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r>
      <w:r/>
    </w:p>
    <w:p>
      <w:pPr>
        <w:jc w:val="center"/>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t xml:space="preserve">苏州市政府采购</w:t>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jc w:val="center"/>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t xml:space="preserve">招 标 文 件</w:t>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color w:val="auto"/>
          <w:sz w:val="26"/>
          <w:szCs w:val="26"/>
          <w:highlight w:val="none"/>
          <w:shd w:val="clear" w:color="auto" w:fill="ffffff"/>
        </w:rPr>
      </w:r>
      <w:r/>
    </w:p>
    <w:p>
      <w:pPr>
        <w:pStyle w:val="1012"/>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249"/>
        <w:spacing w:line="360" w:lineRule="auto"/>
        <w:rPr>
          <w:rFonts w:hint="eastAsia" w:ascii="宋体" w:hAnsi="宋体" w:eastAsia="宋体" w:cs="宋体"/>
          <w:b/>
          <w:bCs/>
          <w:color w:val="auto"/>
          <w:sz w:val="32"/>
          <w:szCs w:val="20"/>
          <w:highlight w:val="none"/>
          <w:shd w:val="clear" w:color="auto" w:fill="ffffff"/>
          <w:lang w:eastAsia="zh-CN"/>
        </w:rPr>
      </w:pPr>
      <w:r>
        <w:rPr>
          <w:rFonts w:hint="eastAsia" w:ascii="宋体" w:hAnsi="宋体" w:eastAsia="宋体" w:cs="宋体"/>
          <w:b/>
          <w:bCs/>
          <w:color w:val="auto"/>
          <w:sz w:val="32"/>
          <w:szCs w:val="20"/>
          <w:highlight w:val="none"/>
          <w:shd w:val="clear" w:color="auto" w:fill="ffffff"/>
        </w:rPr>
        <w:t xml:space="preserve">采购编号：</w:t>
      </w:r>
      <w:r>
        <w:rPr>
          <w:rFonts w:hint="eastAsia" w:ascii="宋体" w:hAnsi="宋体" w:eastAsia="宋体" w:cs="宋体"/>
          <w:b/>
          <w:bCs/>
          <w:color w:val="auto"/>
          <w:sz w:val="32"/>
          <w:szCs w:val="20"/>
          <w:highlight w:val="none"/>
          <w:shd w:val="clear" w:color="auto" w:fill="ffffff"/>
          <w:lang w:eastAsia="zh-CN"/>
        </w:rPr>
        <w:t xml:space="preserve">JSZC-320500-SZCH-G2026-0020</w:t>
      </w:r>
      <w:r/>
    </w:p>
    <w:p>
      <w:pPr>
        <w:ind w:firstLine="2249"/>
        <w:spacing w:line="360" w:lineRule="auto"/>
        <w:rPr>
          <w:rFonts w:hint="eastAsia" w:ascii="宋体" w:hAnsi="宋体" w:eastAsia="宋体" w:cs="宋体"/>
          <w:b/>
          <w:bCs/>
          <w:color w:val="auto"/>
          <w:sz w:val="32"/>
          <w:szCs w:val="20"/>
          <w:highlight w:val="none"/>
          <w:shd w:val="clear" w:color="auto" w:fill="ffffff"/>
        </w:rPr>
      </w:pPr>
      <w:r>
        <w:rPr>
          <w:rFonts w:hint="eastAsia" w:ascii="宋体" w:hAnsi="宋体" w:eastAsia="宋体" w:cs="宋体"/>
          <w:b/>
          <w:bCs/>
          <w:color w:val="auto"/>
          <w:sz w:val="32"/>
          <w:szCs w:val="20"/>
          <w:highlight w:val="none"/>
          <w:shd w:val="clear" w:color="auto" w:fill="ffffff"/>
        </w:rPr>
        <w:t xml:space="preserve">采 购 人：</w:t>
      </w:r>
      <w:r>
        <w:rPr>
          <w:rFonts w:hint="eastAsia" w:ascii="宋体" w:hAnsi="宋体"/>
          <w:b/>
          <w:sz w:val="32"/>
        </w:rPr>
        <w:t xml:space="preserve">苏州市教育质量监测中心</w:t>
      </w:r>
      <w:r/>
    </w:p>
    <w:p>
      <w:pPr>
        <w:ind w:firstLine="2249"/>
        <w:spacing w:line="360" w:lineRule="auto"/>
        <w:rPr>
          <w:rFonts w:hint="eastAsia" w:ascii="宋体" w:hAnsi="宋体"/>
          <w:b/>
          <w:sz w:val="32"/>
        </w:rPr>
      </w:pPr>
      <w:r>
        <w:rPr>
          <w:rFonts w:hint="eastAsia" w:ascii="宋体" w:hAnsi="宋体" w:eastAsia="宋体" w:cs="宋体"/>
          <w:b/>
          <w:bCs/>
          <w:color w:val="auto"/>
          <w:sz w:val="32"/>
          <w:szCs w:val="20"/>
          <w:highlight w:val="none"/>
          <w:shd w:val="clear" w:color="auto" w:fill="ffffff"/>
        </w:rPr>
        <w:t xml:space="preserve">采购内容：</w:t>
      </w:r>
      <w:r>
        <w:rPr>
          <w:rFonts w:hint="eastAsia" w:ascii="宋体" w:hAnsi="宋体"/>
          <w:b/>
          <w:sz w:val="32"/>
        </w:rPr>
        <w:t xml:space="preserve">202</w:t>
      </w:r>
      <w:r>
        <w:rPr>
          <w:rFonts w:hint="eastAsia" w:ascii="宋体" w:hAnsi="宋体"/>
          <w:b/>
          <w:sz w:val="32"/>
          <w:lang w:val="en-US" w:eastAsia="zh-CN"/>
        </w:rPr>
        <w:t xml:space="preserve">6</w:t>
      </w:r>
      <w:r>
        <w:rPr>
          <w:rFonts w:hint="eastAsia" w:ascii="宋体" w:hAnsi="宋体"/>
          <w:b/>
          <w:sz w:val="32"/>
        </w:rPr>
        <w:t xml:space="preserve">年苏州市义务教育学业质量</w:t>
      </w:r>
      <w:r/>
    </w:p>
    <w:p>
      <w:pPr>
        <w:ind w:firstLine="3855"/>
        <w:spacing w:line="360" w:lineRule="auto"/>
        <w:rPr>
          <w:rFonts w:hint="eastAsia" w:ascii="宋体" w:hAnsi="宋体" w:eastAsia="宋体" w:cs="宋体"/>
          <w:b/>
          <w:bCs/>
          <w:color w:val="auto"/>
          <w:sz w:val="32"/>
          <w:szCs w:val="20"/>
          <w:highlight w:val="none"/>
          <w:shd w:val="clear" w:color="auto" w:fill="ffffff"/>
        </w:rPr>
      </w:pPr>
      <w:r>
        <w:rPr>
          <w:rFonts w:hint="eastAsia" w:ascii="宋体" w:hAnsi="宋体"/>
          <w:b/>
          <w:sz w:val="32"/>
        </w:rPr>
        <w:t xml:space="preserve">监测项目及配套服务</w:t>
      </w:r>
      <w:r/>
    </w:p>
    <w:p>
      <w:pPr>
        <w:ind w:firstLine="2249"/>
        <w:spacing w:line="360" w:lineRule="auto"/>
        <w:rPr>
          <w:rFonts w:hint="eastAsia" w:ascii="宋体" w:hAnsi="宋体" w:eastAsia="宋体" w:cs="宋体"/>
          <w:b/>
          <w:bCs/>
          <w:color w:val="auto"/>
          <w:sz w:val="32"/>
          <w:szCs w:val="20"/>
          <w:highlight w:val="none"/>
          <w:shd w:val="clear" w:color="auto" w:fill="ffffff"/>
        </w:rPr>
      </w:pPr>
      <w:r>
        <w:rPr>
          <w:rFonts w:hint="eastAsia" w:ascii="宋体" w:hAnsi="宋体" w:eastAsia="宋体" w:cs="宋体"/>
          <w:b/>
          <w:bCs/>
          <w:color w:val="auto"/>
          <w:sz w:val="32"/>
          <w:szCs w:val="20"/>
          <w:highlight w:val="none"/>
          <w:shd w:val="clear" w:color="auto" w:fill="ffffff"/>
        </w:rPr>
        <w:t xml:space="preserve">采购类别：服务类</w:t>
      </w:r>
      <w:r/>
    </w:p>
    <w:p>
      <w:pPr>
        <w:pStyle w:val="1000"/>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714500" cy="1364615"/>
                <wp:effectExtent l="0" t="0" r="0" b="6985"/>
                <wp:docPr id="5"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7"/>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0pt;height:107.4pt;mso-wrap-distance-left:0.0pt;mso-wrap-distance-top:0.0pt;mso-wrap-distance-right:0.0pt;mso-wrap-distance-bottom:0.0pt;" stroked="f">
                <v:path textboxrect="0,0,0,0"/>
                <v:imagedata r:id="rId17" o:title=""/>
              </v:shape>
            </w:pict>
          </mc:Fallback>
        </mc:AlternateContent>
      </w:r>
      <w:r/>
    </w:p>
    <w:p>
      <w:pPr>
        <w:pStyle w:val="1000"/>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0"/>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b/>
          <w:color w:val="auto"/>
          <w:sz w:val="32"/>
          <w:highlight w:val="none"/>
        </w:rPr>
        <w:t xml:space="preserve">苏州诚和招投标咨询有限公司</w:t>
      </w:r>
      <w:r/>
    </w:p>
    <w:p>
      <w:pPr>
        <w:jc w:val="center"/>
        <w:spacing w:line="360" w:lineRule="auto"/>
        <w:rPr>
          <w:rFonts w:hint="eastAsia" w:ascii="宋体" w:hAnsi="宋体" w:eastAsia="宋体" w:cs="宋体"/>
          <w:b/>
          <w:color w:val="auto"/>
          <w:sz w:val="32"/>
          <w:szCs w:val="20"/>
          <w:highlight w:val="none"/>
          <w:shd w:val="clear" w:color="auto" w:fill="ffffff"/>
        </w:rPr>
      </w:pPr>
      <w:r>
        <w:rPr>
          <w:rFonts w:hint="eastAsia" w:ascii="宋体" w:hAnsi="宋体" w:eastAsia="宋体" w:cs="宋体"/>
          <w:b/>
          <w:color w:val="auto"/>
          <w:sz w:val="32"/>
          <w:szCs w:val="20"/>
          <w:highlight w:val="none"/>
          <w:shd w:val="clear" w:color="auto" w:fill="ffffff"/>
        </w:rPr>
        <w:t xml:space="preserve">二○二</w:t>
      </w:r>
      <w:r>
        <w:rPr>
          <w:rFonts w:hint="eastAsia" w:ascii="宋体" w:hAnsi="宋体" w:eastAsia="宋体" w:cs="宋体"/>
          <w:b/>
          <w:color w:val="auto"/>
          <w:sz w:val="32"/>
          <w:szCs w:val="20"/>
          <w:highlight w:val="none"/>
          <w:shd w:val="clear" w:color="auto" w:fill="ffffff"/>
          <w:lang w:val="en-US" w:eastAsia="zh-CN"/>
        </w:rPr>
        <w:t xml:space="preserve">六</w:t>
      </w:r>
      <w:r>
        <w:rPr>
          <w:rFonts w:hint="eastAsia" w:ascii="宋体" w:hAnsi="宋体" w:eastAsia="宋体" w:cs="宋体"/>
          <w:b/>
          <w:color w:val="auto"/>
          <w:sz w:val="32"/>
          <w:szCs w:val="20"/>
          <w:highlight w:val="none"/>
          <w:shd w:val="clear" w:color="auto" w:fill="ffffff"/>
        </w:rPr>
        <w:t xml:space="preserve">年</w:t>
      </w:r>
      <w:r>
        <w:rPr>
          <w:rFonts w:hint="eastAsia" w:ascii="宋体" w:hAnsi="宋体" w:eastAsia="宋体" w:cs="宋体"/>
          <w:b/>
          <w:color w:val="auto"/>
          <w:sz w:val="32"/>
          <w:szCs w:val="20"/>
          <w:highlight w:val="none"/>
          <w:shd w:val="clear" w:color="auto" w:fill="ffffff"/>
          <w:lang w:val="en-US" w:eastAsia="zh-CN"/>
        </w:rPr>
        <w:t xml:space="preserve">四</w:t>
      </w:r>
      <w:r>
        <w:rPr>
          <w:rFonts w:hint="eastAsia" w:ascii="宋体" w:hAnsi="宋体" w:eastAsia="宋体" w:cs="宋体"/>
          <w:b/>
          <w:color w:val="auto"/>
          <w:sz w:val="32"/>
          <w:szCs w:val="20"/>
          <w:highlight w:val="none"/>
          <w:shd w:val="clear" w:color="auto" w:fill="ffffff"/>
        </w:rPr>
        <w:t xml:space="preserve">月</w:t>
      </w:r>
      <w:r/>
    </w:p>
    <w:p>
      <w:pPr>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r>
      <w:r/>
    </w:p>
    <w:p>
      <w:pPr>
        <w:jc w:val="center"/>
        <w:spacing w:line="360" w:lineRule="auto"/>
        <w:rPr>
          <w:rFonts w:hint="eastAsia" w:ascii="宋体" w:hAnsi="宋体" w:eastAsia="宋体" w:cs="宋体"/>
          <w:b/>
          <w:color w:val="auto"/>
          <w:sz w:val="32"/>
          <w:szCs w:val="32"/>
          <w:highlight w:val="none"/>
          <w:shd w:val="clear" w:color="auto" w:fill="ffffff"/>
        </w:rPr>
        <w:sectPr>
          <w:headerReference w:type="default" r:id="rId9"/>
          <w:headerReference w:type="first" r:id="rId10"/>
          <w:footerReference w:type="default" r:id="rId12"/>
          <w:footerReference w:type="first" r:id="rId13"/>
          <w:footnotePr/>
          <w:endnotePr/>
          <w:type w:val="nextPage"/>
          <w:pgSz w:w="11906" w:h="16838" w:orient="portrait"/>
          <w:pgMar w:top="1134" w:right="1134" w:bottom="1134" w:left="1134" w:header="851" w:footer="850" w:gutter="0"/>
          <w:pgNumType w:start="1"/>
          <w:cols w:num="1" w:sep="0" w:space="0" w:equalWidth="1"/>
          <w:docGrid w:linePitch="360"/>
          <w:titlePg/>
        </w:sectPr>
      </w:pPr>
      <w:r>
        <w:rPr>
          <w:rFonts w:hint="eastAsia" w:ascii="宋体" w:hAnsi="宋体" w:eastAsia="宋体" w:cs="宋体"/>
          <w:b/>
          <w:color w:val="auto"/>
          <w:sz w:val="32"/>
          <w:szCs w:val="32"/>
          <w:highlight w:val="none"/>
          <w:shd w:val="clear" w:color="auto" w:fill="ffffff"/>
        </w:rPr>
      </w:r>
      <w:r/>
    </w:p>
    <w:p>
      <w:pPr>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前附表</w:t>
      </w:r>
      <w:r/>
    </w:p>
    <w:tbl>
      <w:tblPr>
        <w:tblStyle w:val="959"/>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序号</w:t>
            </w:r>
            <w:r/>
          </w:p>
        </w:tc>
        <w:tc>
          <w:tcPr>
            <w:tcW w:w="9144" w:type="dxa"/>
            <w:vAlign w:val="center"/>
            <w:textDirection w:val="lrTb"/>
            <w:noWrap w:val="false"/>
          </w:tcPr>
          <w:p>
            <w:pPr>
              <w:jc w:val="center"/>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1</w:t>
            </w:r>
            <w:r/>
          </w:p>
        </w:tc>
        <w:tc>
          <w:tcPr>
            <w:tcW w:w="9144" w:type="dxa"/>
            <w:vAlign w:val="center"/>
            <w:textDirection w:val="lrTb"/>
            <w:noWrap w:val="false"/>
          </w:tcPr>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采购内容：202</w:t>
            </w:r>
            <w:r>
              <w:rPr>
                <w:rFonts w:hint="eastAsia" w:ascii="宋体" w:hAnsi="宋体" w:eastAsia="宋体" w:cs="宋体"/>
                <w:color w:val="auto"/>
                <w:szCs w:val="21"/>
                <w:highlight w:val="none"/>
                <w:shd w:val="clear" w:color="auto" w:fill="ffffff"/>
                <w:lang w:val="en-US" w:eastAsia="zh-CN"/>
              </w:rPr>
              <w:t xml:space="preserve">6</w:t>
            </w:r>
            <w:r>
              <w:rPr>
                <w:rFonts w:hint="eastAsia" w:ascii="宋体" w:hAnsi="宋体" w:eastAsia="宋体" w:cs="宋体"/>
                <w:color w:val="auto"/>
                <w:szCs w:val="21"/>
                <w:highlight w:val="none"/>
                <w:shd w:val="clear" w:color="auto" w:fill="ffffff"/>
              </w:rPr>
              <w:t xml:space="preserve">年苏州市义务教育学业质量监测项目及配套服务</w:t>
            </w:r>
            <w:r/>
          </w:p>
        </w:tc>
      </w:tr>
      <w:tr>
        <w:trPr>
          <w:jc w:val="center"/>
          <w:trHeight w:val="373"/>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2</w:t>
            </w:r>
            <w:r/>
          </w:p>
        </w:tc>
        <w:tc>
          <w:tcPr>
            <w:tcW w:w="9144" w:type="dxa"/>
            <w:vAlign w:val="center"/>
            <w:textDirection w:val="lrTb"/>
            <w:noWrap w:val="false"/>
          </w:tcPr>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lang w:eastAsia="zh-CN"/>
              </w:rPr>
              <w:t xml:space="preserve">投标（响应）</w:t>
            </w:r>
            <w:r>
              <w:rPr>
                <w:rFonts w:hint="eastAsia" w:ascii="宋体" w:hAnsi="宋体" w:eastAsia="宋体" w:cs="宋体"/>
                <w:color w:val="auto"/>
                <w:szCs w:val="21"/>
                <w:highlight w:val="none"/>
                <w:shd w:val="clear" w:color="auto" w:fill="ffffff"/>
              </w:rPr>
              <w:t xml:space="preserve">有效期：自</w:t>
            </w:r>
            <w:r>
              <w:rPr>
                <w:rFonts w:hint="eastAsia" w:ascii="宋体" w:hAnsi="宋体" w:eastAsia="宋体" w:cs="宋体"/>
                <w:color w:val="auto"/>
                <w:szCs w:val="21"/>
                <w:highlight w:val="none"/>
                <w:shd w:val="clear" w:color="auto" w:fill="ffffff"/>
                <w:lang w:eastAsia="zh-CN"/>
              </w:rPr>
              <w:t xml:space="preserve">投标（响应）</w:t>
            </w:r>
            <w:r>
              <w:rPr>
                <w:rFonts w:hint="eastAsia" w:ascii="宋体" w:hAnsi="宋体" w:eastAsia="宋体" w:cs="宋体"/>
                <w:color w:val="auto"/>
                <w:szCs w:val="21"/>
                <w:highlight w:val="none"/>
                <w:shd w:val="clear" w:color="auto" w:fill="ffffff"/>
              </w:rPr>
              <w:t xml:space="preserve">截止日起</w:t>
            </w:r>
            <w:r>
              <w:rPr>
                <w:rFonts w:hint="eastAsia" w:ascii="宋体" w:hAnsi="宋体" w:eastAsia="宋体" w:cs="宋体"/>
                <w:b/>
                <w:bCs/>
                <w:color w:val="auto"/>
                <w:szCs w:val="21"/>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3</w:t>
            </w:r>
            <w:r/>
          </w:p>
        </w:tc>
        <w:tc>
          <w:tcPr>
            <w:tcW w:w="9144" w:type="dxa"/>
            <w:vAlign w:val="center"/>
            <w:textDirection w:val="lrTb"/>
            <w:noWrap w:val="false"/>
          </w:tcPr>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lang w:eastAsia="zh-CN"/>
              </w:rPr>
              <w:t xml:space="preserve">投标（响应）</w:t>
            </w:r>
            <w:r>
              <w:rPr>
                <w:rFonts w:hint="eastAsia" w:ascii="宋体" w:hAnsi="宋体" w:eastAsia="宋体" w:cs="宋体"/>
                <w:color w:val="auto"/>
                <w:szCs w:val="21"/>
                <w:highlight w:val="none"/>
                <w:shd w:val="clear" w:color="auto" w:fill="ffffff"/>
              </w:rPr>
              <w:t xml:space="preserve">保证金：</w:t>
            </w:r>
            <w:r/>
          </w:p>
          <w:p>
            <w:pPr>
              <w:rPr>
                <w:rFonts w:hint="eastAsia" w:ascii="宋体" w:hAnsi="宋体" w:eastAsia="宋体" w:cs="宋体"/>
                <w:color w:val="auto"/>
                <w:szCs w:val="21"/>
                <w:highlight w:val="none"/>
                <w:shd w:val="clear" w:color="auto" w:fill="ffffff"/>
              </w:rPr>
            </w:pPr>
            <w:r>
              <w:rPr>
                <w:rFonts w:ascii="Wingdings" w:hAnsi="Wingdings" w:eastAsia="Wingdings" w:cs="Wingdings"/>
                <w:color w:val="auto"/>
                <w:szCs w:val="21"/>
                <w:highlight w:val="none"/>
                <w:shd w:val="clear" w:color="auto" w:fill="ffffff"/>
              </w:rPr>
              <w:t xml:space="preserve">þ</w:t>
            </w:r>
            <w:r>
              <w:rPr>
                <w:rFonts w:hint="eastAsia" w:ascii="宋体" w:hAnsi="宋体" w:eastAsia="宋体" w:cs="宋体"/>
                <w:color w:val="auto"/>
                <w:szCs w:val="21"/>
                <w:highlight w:val="none"/>
                <w:shd w:val="clear" w:color="auto" w:fill="ffffff"/>
              </w:rPr>
              <w:t xml:space="preserve">不需提交，招标文件中有关</w:t>
            </w:r>
            <w:r>
              <w:rPr>
                <w:rFonts w:hint="eastAsia" w:ascii="宋体" w:hAnsi="宋体" w:eastAsia="宋体" w:cs="宋体"/>
                <w:color w:val="auto"/>
                <w:szCs w:val="21"/>
                <w:highlight w:val="none"/>
                <w:shd w:val="clear" w:color="auto" w:fill="ffffff"/>
                <w:lang w:eastAsia="zh-CN"/>
              </w:rPr>
              <w:t xml:space="preserve">投标（响应）</w:t>
            </w:r>
            <w:r>
              <w:rPr>
                <w:rFonts w:hint="eastAsia" w:ascii="宋体" w:hAnsi="宋体" w:eastAsia="宋体" w:cs="宋体"/>
                <w:color w:val="auto"/>
                <w:szCs w:val="21"/>
                <w:highlight w:val="none"/>
                <w:shd w:val="clear" w:color="auto" w:fill="ffffff"/>
              </w:rPr>
              <w:t xml:space="preserve">保证金的规定均不适用。</w:t>
            </w:r>
            <w:r/>
          </w:p>
          <w:p>
            <w:pPr>
              <w:pStyle w:val="960"/>
              <w:ind w:left="0"/>
              <w:spacing w:line="240" w:lineRule="auto"/>
              <w:rPr>
                <w:rFonts w:hint="eastAsia" w:ascii="宋体" w:hAnsi="宋体" w:eastAsia="宋体" w:cs="宋体"/>
                <w:color w:val="auto"/>
                <w:highlight w:val="none"/>
              </w:rPr>
            </w:pPr>
            <w:r>
              <w:rPr>
                <w:rFonts w:ascii="Wingdings" w:hAnsi="Wingdings" w:eastAsia="Wingdings" w:cs="Wingdings"/>
                <w:color w:val="auto"/>
                <w:sz w:val="21"/>
                <w:szCs w:val="21"/>
                <w:highlight w:val="none"/>
                <w:shd w:val="clear" w:color="auto" w:fill="ffffff"/>
              </w:rPr>
              <w:t xml:space="preserve">¨</w:t>
            </w:r>
            <w:r>
              <w:rPr>
                <w:rFonts w:hint="eastAsia" w:ascii="宋体" w:hAnsi="宋体" w:eastAsia="宋体" w:cs="宋体"/>
                <w:color w:val="auto"/>
                <w:sz w:val="21"/>
                <w:szCs w:val="21"/>
                <w:highlight w:val="none"/>
                <w:shd w:val="clear" w:color="auto" w:fill="ffffff"/>
              </w:rPr>
              <w:t xml:space="preserve">需提交，</w:t>
            </w:r>
            <w:r>
              <w:rPr>
                <w:rFonts w:hint="eastAsia" w:ascii="宋体" w:hAnsi="宋体" w:eastAsia="宋体" w:cs="宋体"/>
                <w:color w:val="auto"/>
                <w:sz w:val="21"/>
                <w:szCs w:val="21"/>
                <w:highlight w:val="none"/>
                <w:shd w:val="clear" w:color="auto" w:fill="ffffff"/>
                <w:lang w:eastAsia="zh-CN"/>
              </w:rPr>
              <w:t xml:space="preserve">投标（响应）</w:t>
            </w:r>
            <w:r>
              <w:rPr>
                <w:rFonts w:hint="eastAsia" w:ascii="宋体" w:hAnsi="宋体" w:eastAsia="宋体" w:cs="宋体"/>
                <w:color w:val="auto"/>
                <w:sz w:val="21"/>
                <w:szCs w:val="21"/>
                <w:highlight w:val="none"/>
                <w:shd w:val="clear" w:color="auto" w:fill="ffffff"/>
              </w:rPr>
              <w:t xml:space="preserve">保证金金额： 元整。</w:t>
            </w:r>
            <w:r/>
          </w:p>
        </w:tc>
      </w:tr>
      <w:tr>
        <w:trPr>
          <w:jc w:val="center"/>
          <w:trHeight w:val="518"/>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4</w:t>
            </w:r>
            <w:r/>
          </w:p>
        </w:tc>
        <w:tc>
          <w:tcPr>
            <w:tcW w:w="91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szCs w:val="21"/>
                <w:highlight w:val="none"/>
                <w:shd w:val="clear" w:color="auto" w:fill="ffffff"/>
                <w:lang w:eastAsia="zh-CN"/>
              </w:rPr>
              <w:t xml:space="preserve">投标（响应）</w:t>
            </w:r>
            <w:r>
              <w:rPr>
                <w:rFonts w:hint="eastAsia" w:ascii="宋体" w:hAnsi="宋体" w:eastAsia="宋体" w:cs="宋体"/>
                <w:color w:val="auto"/>
                <w:szCs w:val="21"/>
                <w:highlight w:val="none"/>
                <w:shd w:val="clear" w:color="auto" w:fill="ffffff"/>
              </w:rPr>
              <w:t xml:space="preserve">文件：</w:t>
            </w:r>
            <w:r>
              <w:rPr>
                <w:rFonts w:hint="eastAsia" w:ascii="宋体" w:hAnsi="宋体" w:eastAsia="宋体" w:cs="宋体"/>
                <w:b/>
                <w:bCs/>
                <w:color w:val="auto"/>
                <w:sz w:val="24"/>
                <w:szCs w:val="24"/>
                <w:highlight w:val="none"/>
              </w:rPr>
              <w:t xml:space="preserve">本项目采用网上提交电子投标（响应）文件，不接受纸质投标（响应）文件。</w:t>
            </w:r>
            <w:r/>
          </w:p>
        </w:tc>
      </w:tr>
      <w:tr>
        <w:trPr>
          <w:jc w:val="center"/>
          <w:trHeight w:val="45"/>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5</w:t>
            </w:r>
            <w:r/>
          </w:p>
        </w:tc>
        <w:tc>
          <w:tcPr>
            <w:tcW w:w="9144" w:type="dxa"/>
            <w:vAlign w:val="center"/>
            <w:textDirection w:val="lrTb"/>
            <w:noWrap w:val="false"/>
          </w:tcPr>
          <w:p>
            <w:pPr>
              <w:rPr>
                <w:rFonts w:hint="eastAsia" w:ascii="宋体" w:hAnsi="宋体" w:eastAsia="宋体" w:cs="宋体"/>
                <w:bCs/>
                <w:color w:val="auto"/>
                <w:szCs w:val="21"/>
                <w:highlight w:val="none"/>
                <w:shd w:val="clear" w:color="auto" w:fill="ffffff"/>
              </w:rPr>
            </w:pPr>
            <w:r>
              <w:rPr>
                <w:rFonts w:hint="eastAsia" w:ascii="宋体" w:hAnsi="宋体" w:eastAsia="宋体" w:cs="宋体"/>
                <w:bCs/>
                <w:color w:val="auto"/>
                <w:szCs w:val="21"/>
                <w:highlight w:val="none"/>
                <w:shd w:val="clear" w:color="auto" w:fill="ffffff"/>
              </w:rPr>
              <w:t xml:space="preserve">开标信息</w:t>
            </w:r>
            <w:r/>
          </w:p>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lang w:eastAsia="zh-CN"/>
              </w:rPr>
              <w:t xml:space="preserve">投标（响应）</w:t>
            </w:r>
            <w:r>
              <w:rPr>
                <w:rFonts w:hint="eastAsia" w:ascii="宋体" w:hAnsi="宋体" w:eastAsia="宋体" w:cs="宋体"/>
                <w:color w:val="auto"/>
                <w:szCs w:val="21"/>
                <w:highlight w:val="none"/>
                <w:shd w:val="clear" w:color="auto" w:fill="ffffff"/>
              </w:rPr>
              <w:t xml:space="preserve">截止时间：</w:t>
            </w:r>
            <w:r>
              <w:rPr>
                <w:rFonts w:hint="eastAsia" w:ascii="宋体" w:hAnsi="宋体" w:eastAsia="宋体" w:cs="宋体"/>
                <w:color w:val="auto"/>
                <w:szCs w:val="21"/>
                <w:highlight w:val="none"/>
                <w:shd w:val="clear" w:color="auto" w:fill="ffffff"/>
                <w:lang w:eastAsia="zh-CN"/>
              </w:rPr>
              <w:t xml:space="preserve">2026年4月22日</w:t>
            </w:r>
            <w:r>
              <w:rPr>
                <w:rFonts w:hint="eastAsia" w:ascii="宋体" w:hAnsi="宋体" w:eastAsia="宋体" w:cs="宋体"/>
                <w:color w:val="auto"/>
                <w:szCs w:val="21"/>
                <w:highlight w:val="none"/>
                <w:shd w:val="clear" w:color="auto" w:fill="ffffff"/>
              </w:rPr>
              <w:t xml:space="preserve">13点30分（北京时间）</w:t>
            </w:r>
            <w:r/>
          </w:p>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开标时间：</w:t>
            </w:r>
            <w:r>
              <w:rPr>
                <w:rFonts w:hint="eastAsia" w:ascii="宋体" w:hAnsi="宋体" w:eastAsia="宋体" w:cs="宋体"/>
                <w:color w:val="auto"/>
                <w:szCs w:val="21"/>
                <w:highlight w:val="none"/>
                <w:shd w:val="clear" w:color="auto" w:fill="ffffff"/>
                <w:lang w:eastAsia="zh-CN"/>
              </w:rPr>
              <w:t xml:space="preserve">2026年4月22日</w:t>
            </w:r>
            <w:r>
              <w:rPr>
                <w:rFonts w:hint="eastAsia" w:ascii="宋体" w:hAnsi="宋体" w:eastAsia="宋体" w:cs="宋体"/>
                <w:color w:val="auto"/>
                <w:szCs w:val="21"/>
                <w:highlight w:val="none"/>
                <w:shd w:val="clear" w:color="auto" w:fill="ffffff"/>
              </w:rPr>
              <w:t xml:space="preserve">13点30分（北京时间）</w:t>
            </w:r>
            <w:r/>
          </w:p>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开标地点：“苏采云”系统（网址：http://jszfcg.jsczt.cn/）</w:t>
            </w:r>
            <w:r/>
          </w:p>
          <w:p>
            <w:pPr>
              <w:widowControl/>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6</w:t>
            </w:r>
            <w:r/>
          </w:p>
        </w:tc>
        <w:tc>
          <w:tcPr>
            <w:tcW w:w="9144" w:type="dxa"/>
            <w:vAlign w:val="center"/>
            <w:textDirection w:val="lrTb"/>
            <w:noWrap w:val="false"/>
          </w:tcPr>
          <w:p>
            <w:pPr>
              <w:ind w:right="-159"/>
              <w:jc w:val="left"/>
              <w:widowControl/>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履约保证金：</w:t>
            </w:r>
            <w:r/>
          </w:p>
          <w:p>
            <w:pPr>
              <w:rPr>
                <w:rFonts w:hint="eastAsia" w:ascii="宋体" w:hAnsi="宋体" w:eastAsia="宋体" w:cs="宋体"/>
                <w:color w:val="auto"/>
                <w:szCs w:val="21"/>
                <w:highlight w:val="none"/>
                <w:shd w:val="clear" w:color="auto" w:fill="ffffff"/>
              </w:rPr>
            </w:pPr>
            <w:r>
              <w:rPr>
                <w:rFonts w:ascii="Wingdings" w:hAnsi="Wingdings" w:eastAsia="Wingdings" w:cs="Wingdings"/>
                <w:color w:val="auto"/>
                <w:szCs w:val="21"/>
                <w:highlight w:val="none"/>
                <w:shd w:val="clear" w:color="auto" w:fill="ffffff"/>
              </w:rPr>
              <w:t xml:space="preserve">þ</w:t>
            </w:r>
            <w:r>
              <w:rPr>
                <w:rFonts w:hint="eastAsia" w:ascii="宋体" w:hAnsi="宋体" w:eastAsia="宋体" w:cs="宋体"/>
                <w:color w:val="auto"/>
                <w:szCs w:val="21"/>
                <w:highlight w:val="none"/>
                <w:shd w:val="clear" w:color="auto" w:fill="ffffff"/>
              </w:rPr>
              <w:t xml:space="preserve">不需提交，招标文件中有关履约保证金的规定均不适用。</w:t>
            </w:r>
            <w:r/>
          </w:p>
          <w:p>
            <w:pPr>
              <w:ind w:right="-159"/>
              <w:jc w:val="left"/>
              <w:widowControl/>
              <w:rPr>
                <w:rFonts w:hint="eastAsia" w:ascii="宋体" w:hAnsi="宋体" w:eastAsia="宋体" w:cs="宋体"/>
                <w:bCs/>
                <w:color w:val="auto"/>
                <w:sz w:val="24"/>
                <w:szCs w:val="24"/>
                <w:highlight w:val="none"/>
              </w:rPr>
            </w:pPr>
            <w:r>
              <w:rPr>
                <w:rFonts w:ascii="Wingdings" w:hAnsi="Wingdings" w:eastAsia="Wingdings" w:cs="Wingdings"/>
                <w:color w:val="auto"/>
                <w:szCs w:val="21"/>
                <w:highlight w:val="none"/>
                <w:shd w:val="clear" w:color="auto" w:fill="ffffff"/>
              </w:rPr>
              <w:t xml:space="preserve">¨</w:t>
            </w:r>
            <w:r>
              <w:rPr>
                <w:rFonts w:hint="eastAsia" w:ascii="宋体" w:hAnsi="宋体" w:eastAsia="宋体" w:cs="宋体"/>
                <w:color w:val="auto"/>
                <w:szCs w:val="21"/>
                <w:highlight w:val="none"/>
                <w:shd w:val="clear" w:color="auto" w:fill="ffffff"/>
              </w:rPr>
              <w:t xml:space="preserve">需提交，中标金额的</w:t>
            </w:r>
            <w:r>
              <w:rPr>
                <w:rFonts w:hint="eastAsia" w:ascii="宋体" w:hAnsi="宋体" w:eastAsia="宋体" w:cs="宋体"/>
                <w:color w:val="auto"/>
                <w:szCs w:val="21"/>
                <w:highlight w:val="none"/>
                <w:u w:val="single"/>
                <w:shd w:val="clear" w:color="auto" w:fill="ffffff"/>
                <w:lang w:val="en-US" w:eastAsia="zh-CN"/>
              </w:rPr>
              <w:t xml:space="preserve">   </w:t>
            </w:r>
            <w:r>
              <w:rPr>
                <w:rFonts w:hint="eastAsia" w:ascii="宋体" w:hAnsi="宋体" w:eastAsia="宋体" w:cs="宋体"/>
                <w:color w:val="auto"/>
                <w:szCs w:val="21"/>
                <w:highlight w:val="none"/>
                <w:shd w:val="clear" w:color="auto" w:fill="ffffff"/>
              </w:rPr>
              <w:t xml:space="preserve">%。（可提供符合《关于在全省政府采购领域推行电子履约保函(保险)的通知》（苏财购[2023]150号）要求的电子履约保函）</w:t>
            </w:r>
            <w:r/>
          </w:p>
        </w:tc>
      </w:tr>
      <w:tr>
        <w:trPr>
          <w:jc w:val="center"/>
          <w:trHeight w:val="3711"/>
        </w:trPr>
        <w:tc>
          <w:tcPr>
            <w:tcW w:w="664" w:type="dxa"/>
            <w:vAlign w:val="center"/>
            <w:textDirection w:val="lrTb"/>
            <w:noWrap w:val="false"/>
          </w:tcPr>
          <w:p>
            <w:pPr>
              <w:ind w:right="18"/>
              <w:jc w:val="center"/>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9144" w:type="dxa"/>
            <w:vAlign w:val="center"/>
            <w:textDirection w:val="lrTb"/>
            <w:noWrap w:val="false"/>
          </w:tcPr>
          <w:p>
            <w:pPr>
              <w:ind w:right="18"/>
              <w:jc w:val="lef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代理服务费收费标准：代理服务费收费按以下标准的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100</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收取：</w:t>
            </w:r>
            <w:r/>
          </w:p>
          <w:p>
            <w:pPr>
              <w:ind w:right="18"/>
              <w:jc w:val="lef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预算金额100万元以下部分，费率为该部分预算金额的1.5%；</w:t>
            </w:r>
            <w:r/>
          </w:p>
          <w:p>
            <w:pPr>
              <w:ind w:right="18"/>
              <w:jc w:val="lef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预算金额100万元（含）－500万元部分，费率为该部分预算金额的1.1%；</w:t>
            </w:r>
            <w:r/>
          </w:p>
          <w:p>
            <w:pPr>
              <w:ind w:right="18"/>
              <w:jc w:val="lef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预算金额500万元（含）-1000万元部分，费率为该部分预算金额的0.8%；</w:t>
            </w:r>
            <w:r/>
          </w:p>
          <w:p>
            <w:pPr>
              <w:ind w:right="18"/>
              <w:jc w:val="lef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预算金额1000万元（含）-5000万元部分，费率为该部分预算金额的0.5%；</w:t>
            </w:r>
            <w:r/>
          </w:p>
          <w:p>
            <w:pPr>
              <w:ind w:right="18"/>
              <w:jc w:val="lef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预算金额5000万元以上部分，费率为该部分预算金额的0.25%。</w:t>
            </w:r>
            <w:r/>
          </w:p>
          <w:p>
            <w:pPr>
              <w:ind w:right="18"/>
              <w:jc w:val="lef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代理服务费：领取成交通知书时成交人向采购代理机构一次性付清。</w:t>
            </w:r>
            <w:r/>
          </w:p>
          <w:p>
            <w:pPr>
              <w:ind w:right="18"/>
              <w:jc w:val="lef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服务费账号：8314122601346</w:t>
            </w:r>
            <w:r/>
          </w:p>
          <w:p>
            <w:pPr>
              <w:ind w:right="18"/>
              <w:jc w:val="lef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账户名：苏州诚和招投标咨询有限公司</w:t>
            </w:r>
            <w:r/>
          </w:p>
          <w:p>
            <w:pPr>
              <w:ind w:right="18"/>
              <w:jc w:val="left"/>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开户行：上海浦东发展银行苏州分行沧浪支行</w:t>
            </w:r>
            <w:r/>
          </w:p>
        </w:tc>
      </w:tr>
      <w:tr>
        <w:trPr>
          <w:jc w:val="center"/>
          <w:trHeight w:val="578"/>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8</w:t>
            </w:r>
            <w:r/>
          </w:p>
        </w:tc>
        <w:tc>
          <w:tcPr>
            <w:tcW w:w="9144" w:type="dxa"/>
            <w:vAlign w:val="center"/>
            <w:textDirection w:val="lrTb"/>
            <w:noWrap w:val="false"/>
          </w:tcPr>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政府采购监督电话：0512-68616651</w:t>
            </w:r>
            <w:r/>
          </w:p>
        </w:tc>
      </w:tr>
    </w:tbl>
    <w:p>
      <w:pPr>
        <w:jc w:val="center"/>
        <w:spacing w:line="360" w:lineRule="auto"/>
        <w:rPr>
          <w:rFonts w:hint="eastAsia" w:ascii="宋体" w:hAnsi="宋体" w:eastAsia="宋体" w:cs="宋体"/>
          <w:color w:val="auto"/>
          <w:sz w:val="52"/>
          <w:szCs w:val="52"/>
          <w:highlight w:val="none"/>
          <w:shd w:val="clear" w:color="auto" w:fill="ffffff"/>
        </w:rPr>
      </w:pPr>
      <w:r>
        <w:rPr>
          <w:rFonts w:hint="eastAsia" w:ascii="宋体" w:hAnsi="宋体" w:eastAsia="宋体" w:cs="宋体"/>
          <w:color w:val="auto"/>
          <w:sz w:val="52"/>
          <w:szCs w:val="52"/>
          <w:highlight w:val="none"/>
          <w:shd w:val="clear" w:color="auto" w:fill="ffffff"/>
        </w:rPr>
        <w:br w:type="page" w:clear="all"/>
      </w:r>
      <w:r/>
    </w:p>
    <w:p>
      <w:pPr>
        <w:jc w:val="center"/>
        <w:spacing w:line="360" w:lineRule="auto"/>
        <w:rPr>
          <w:rFonts w:hint="eastAsia" w:ascii="宋体" w:hAnsi="宋体" w:eastAsia="宋体" w:cs="宋体"/>
          <w:b/>
          <w:color w:val="auto"/>
          <w:sz w:val="48"/>
          <w:szCs w:val="48"/>
          <w:highlight w:val="none"/>
          <w:shd w:val="clear" w:color="auto" w:fill="ffffff"/>
        </w:rPr>
      </w:pPr>
      <w:r>
        <w:rPr>
          <w:rFonts w:hint="eastAsia" w:ascii="宋体" w:hAnsi="宋体" w:eastAsia="宋体" w:cs="宋体"/>
          <w:b/>
          <w:color w:val="auto"/>
          <w:sz w:val="48"/>
          <w:szCs w:val="48"/>
          <w:highlight w:val="none"/>
          <w:shd w:val="clear" w:color="auto" w:fill="ffffff"/>
        </w:rPr>
      </w:r>
      <w:r/>
    </w:p>
    <w:p>
      <w:pPr>
        <w:jc w:val="center"/>
        <w:spacing w:line="360" w:lineRule="auto"/>
        <w:rPr>
          <w:rFonts w:hint="eastAsia" w:ascii="宋体" w:hAnsi="宋体" w:eastAsia="宋体" w:cs="宋体"/>
          <w:b/>
          <w:color w:val="auto"/>
          <w:sz w:val="48"/>
          <w:szCs w:val="48"/>
          <w:highlight w:val="none"/>
          <w:shd w:val="clear" w:color="auto" w:fill="ffffff"/>
        </w:rPr>
      </w:pPr>
      <w:r>
        <w:rPr>
          <w:rFonts w:hint="eastAsia" w:ascii="宋体" w:hAnsi="宋体" w:eastAsia="宋体" w:cs="宋体"/>
          <w:b/>
          <w:color w:val="auto"/>
          <w:sz w:val="48"/>
          <w:szCs w:val="48"/>
          <w:highlight w:val="none"/>
          <w:shd w:val="clear" w:color="auto" w:fill="ffffff"/>
        </w:rPr>
      </w:r>
      <w:r/>
    </w:p>
    <w:p>
      <w:pPr>
        <w:jc w:val="center"/>
        <w:spacing w:line="360" w:lineRule="auto"/>
        <w:rPr>
          <w:rFonts w:hint="eastAsia" w:ascii="宋体" w:hAnsi="宋体" w:eastAsia="宋体" w:cs="宋体"/>
          <w:b/>
          <w:color w:val="auto"/>
          <w:sz w:val="48"/>
          <w:szCs w:val="48"/>
          <w:highlight w:val="none"/>
          <w:shd w:val="clear" w:color="auto" w:fill="ffffff"/>
        </w:rPr>
      </w:pPr>
      <w:r>
        <w:rPr>
          <w:rFonts w:hint="eastAsia" w:ascii="宋体" w:hAnsi="宋体" w:eastAsia="宋体" w:cs="宋体"/>
          <w:b/>
          <w:color w:val="auto"/>
          <w:sz w:val="48"/>
          <w:szCs w:val="48"/>
          <w:highlight w:val="none"/>
          <w:shd w:val="clear" w:color="auto" w:fill="ffffff"/>
        </w:rPr>
      </w:r>
      <w:r/>
    </w:p>
    <w:p>
      <w:pPr>
        <w:jc w:val="center"/>
        <w:spacing w:line="360" w:lineRule="auto"/>
        <w:rPr>
          <w:rFonts w:hint="eastAsia" w:ascii="宋体" w:hAnsi="宋体" w:eastAsia="宋体" w:cs="宋体"/>
          <w:b/>
          <w:color w:val="auto"/>
          <w:sz w:val="48"/>
          <w:szCs w:val="48"/>
          <w:highlight w:val="none"/>
          <w:shd w:val="clear" w:color="auto" w:fill="ffffff"/>
        </w:rPr>
      </w:pPr>
      <w:r>
        <w:rPr>
          <w:rFonts w:hint="eastAsia" w:ascii="宋体" w:hAnsi="宋体" w:eastAsia="宋体" w:cs="宋体"/>
          <w:b/>
          <w:color w:val="auto"/>
          <w:sz w:val="48"/>
          <w:szCs w:val="48"/>
          <w:highlight w:val="none"/>
          <w:shd w:val="clear" w:color="auto" w:fill="ffffff"/>
        </w:rPr>
        <w:t xml:space="preserve">总目录</w:t>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b/>
          <w:bCs/>
          <w:color w:val="auto"/>
          <w:sz w:val="24"/>
          <w:szCs w:val="24"/>
          <w:highlight w:val="none"/>
          <w:shd w:val="clear" w:color="auto" w:fill="ffffff"/>
        </w:rPr>
        <w:fldChar w:fldCharType="begin"/>
      </w:r>
      <w:r>
        <w:rPr>
          <w:rFonts w:hint="eastAsia" w:ascii="宋体" w:hAnsi="宋体" w:eastAsia="宋体" w:cs="宋体"/>
          <w:b/>
          <w:bCs/>
          <w:color w:val="auto"/>
          <w:sz w:val="24"/>
          <w:szCs w:val="24"/>
          <w:highlight w:val="none"/>
          <w:shd w:val="clear" w:color="auto" w:fill="ffffff"/>
        </w:rPr>
        <w:instrText xml:space="preserve"> TOC \o "1-1"</w:instrText>
      </w:r>
      <w:r>
        <w:rPr>
          <w:rFonts w:hint="eastAsia" w:ascii="宋体" w:hAnsi="宋体" w:eastAsia="宋体" w:cs="宋体"/>
          <w:b/>
          <w:bCs/>
          <w:color w:val="auto"/>
          <w:sz w:val="24"/>
          <w:szCs w:val="24"/>
          <w:highlight w:val="none"/>
          <w:shd w:val="clear" w:color="auto" w:fill="ffffff"/>
        </w:rPr>
        <w:fldChar w:fldCharType="separate"/>
      </w:r>
      <w:r>
        <w:rPr>
          <w:rFonts w:hint="eastAsia" w:ascii="宋体" w:hAnsi="宋体" w:eastAsia="宋体" w:cs="宋体"/>
          <w:color w:val="auto"/>
          <w:sz w:val="24"/>
          <w:szCs w:val="20"/>
          <w:highlight w:val="none"/>
          <w:shd w:val="clear" w:color="auto" w:fill="ffffff"/>
        </w:rPr>
        <w:t xml:space="preserve">第一章</w:t>
      </w:r>
      <w:r>
        <w:rPr>
          <w:rFonts w:hint="eastAsia" w:ascii="宋体" w:hAnsi="宋体" w:eastAsia="宋体" w:cs="宋体"/>
          <w:color w:val="auto"/>
          <w:sz w:val="24"/>
          <w:szCs w:val="20"/>
          <w:highlight w:val="none"/>
          <w:shd w:val="clear" w:color="auto" w:fill="ffffff"/>
          <w:lang w:val="en-US" w:eastAsia="zh-CN"/>
        </w:rPr>
        <w:t xml:space="preserve"> </w:t>
      </w:r>
      <w:r>
        <w:rPr>
          <w:rFonts w:hint="eastAsia" w:ascii="宋体" w:hAnsi="宋体" w:eastAsia="宋体" w:cs="宋体"/>
          <w:color w:val="auto"/>
          <w:sz w:val="24"/>
          <w:szCs w:val="20"/>
          <w:highlight w:val="none"/>
          <w:shd w:val="clear" w:color="auto" w:fill="ffffff"/>
        </w:rPr>
        <w:t xml:space="preserve">投标邀请函</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_Toc105940237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3</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第二章</w:t>
      </w:r>
      <w:r>
        <w:rPr>
          <w:rFonts w:hint="eastAsia" w:ascii="宋体" w:hAnsi="宋体" w:eastAsia="宋体" w:cs="宋体"/>
          <w:color w:val="auto"/>
          <w:sz w:val="24"/>
          <w:szCs w:val="20"/>
          <w:highlight w:val="none"/>
          <w:shd w:val="clear" w:color="auto" w:fill="ffffff"/>
          <w:lang w:val="en-US" w:eastAsia="zh-CN"/>
        </w:rPr>
        <w:t xml:space="preserve"> </w:t>
      </w:r>
      <w:r>
        <w:rPr>
          <w:rFonts w:hint="eastAsia" w:ascii="宋体" w:hAnsi="宋体" w:eastAsia="宋体" w:cs="宋体"/>
          <w:color w:val="auto"/>
          <w:sz w:val="24"/>
          <w:szCs w:val="20"/>
          <w:highlight w:val="none"/>
          <w:shd w:val="clear" w:color="auto" w:fill="ffffff"/>
        </w:rPr>
        <w:t xml:space="preserve">供应商须知</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_Toc105940238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8</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第三章</w:t>
      </w:r>
      <w:r>
        <w:rPr>
          <w:rFonts w:hint="eastAsia" w:ascii="宋体" w:hAnsi="宋体" w:eastAsia="宋体" w:cs="宋体"/>
          <w:color w:val="auto"/>
          <w:sz w:val="24"/>
          <w:szCs w:val="20"/>
          <w:highlight w:val="none"/>
          <w:shd w:val="clear" w:color="auto" w:fill="ffffff"/>
          <w:lang w:val="en-US" w:eastAsia="zh-CN"/>
        </w:rPr>
        <w:t xml:space="preserve"> </w:t>
      </w:r>
      <w:r>
        <w:rPr>
          <w:rFonts w:hint="eastAsia" w:ascii="宋体" w:hAnsi="宋体" w:eastAsia="宋体" w:cs="宋体"/>
          <w:color w:val="auto"/>
          <w:sz w:val="24"/>
          <w:szCs w:val="20"/>
          <w:highlight w:val="none"/>
          <w:shd w:val="clear" w:color="auto" w:fill="ffffff"/>
        </w:rPr>
        <w:t xml:space="preserve">投标文件格式</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_Toc105940239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24</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第四章</w:t>
      </w:r>
      <w:r>
        <w:rPr>
          <w:rFonts w:hint="eastAsia" w:ascii="宋体" w:hAnsi="宋体" w:eastAsia="宋体" w:cs="宋体"/>
          <w:color w:val="auto"/>
          <w:sz w:val="24"/>
          <w:szCs w:val="20"/>
          <w:highlight w:val="none"/>
          <w:shd w:val="clear" w:color="auto" w:fill="ffffff"/>
          <w:lang w:val="en-US" w:eastAsia="zh-CN"/>
        </w:rPr>
        <w:t xml:space="preserve"> </w:t>
      </w:r>
      <w:r>
        <w:rPr>
          <w:rFonts w:hint="eastAsia" w:ascii="宋体" w:hAnsi="宋体" w:eastAsia="宋体" w:cs="宋体"/>
          <w:color w:val="auto"/>
          <w:sz w:val="24"/>
          <w:szCs w:val="20"/>
          <w:highlight w:val="none"/>
          <w:shd w:val="clear" w:color="auto" w:fill="ffffff"/>
        </w:rPr>
        <w:t xml:space="preserve">招标书</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_Toc105940240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41</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第五章</w:t>
      </w:r>
      <w:r>
        <w:rPr>
          <w:rFonts w:hint="eastAsia" w:ascii="宋体" w:hAnsi="宋体" w:eastAsia="宋体" w:cs="宋体"/>
          <w:color w:val="auto"/>
          <w:sz w:val="24"/>
          <w:szCs w:val="20"/>
          <w:highlight w:val="none"/>
          <w:shd w:val="clear" w:color="auto" w:fill="ffffff"/>
          <w:lang w:val="en-US" w:eastAsia="zh-CN"/>
        </w:rPr>
        <w:t xml:space="preserve"> </w:t>
      </w:r>
      <w:r>
        <w:rPr>
          <w:rFonts w:hint="eastAsia" w:ascii="宋体" w:hAnsi="宋体" w:eastAsia="宋体" w:cs="宋体"/>
          <w:color w:val="auto"/>
          <w:sz w:val="24"/>
          <w:szCs w:val="20"/>
          <w:highlight w:val="none"/>
          <w:shd w:val="clear" w:color="auto" w:fill="ffffff"/>
        </w:rPr>
        <w:t xml:space="preserve">合同主要条款</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_Toc105940241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47</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第六章</w:t>
      </w:r>
      <w:r>
        <w:rPr>
          <w:rFonts w:hint="eastAsia" w:ascii="宋体" w:hAnsi="宋体" w:eastAsia="宋体" w:cs="宋体"/>
          <w:color w:val="auto"/>
          <w:sz w:val="24"/>
          <w:szCs w:val="20"/>
          <w:highlight w:val="none"/>
          <w:shd w:val="clear" w:color="auto" w:fill="ffffff"/>
          <w:lang w:val="en-US" w:eastAsia="zh-CN"/>
        </w:rPr>
        <w:t xml:space="preserve"> </w:t>
      </w:r>
      <w:r>
        <w:rPr>
          <w:rFonts w:hint="eastAsia" w:ascii="宋体" w:hAnsi="宋体" w:eastAsia="宋体" w:cs="宋体"/>
          <w:color w:val="auto"/>
          <w:sz w:val="24"/>
          <w:szCs w:val="20"/>
          <w:highlight w:val="none"/>
          <w:shd w:val="clear" w:color="auto" w:fill="ffffff"/>
        </w:rPr>
        <w:t xml:space="preserve">评分标准</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_Toc105940242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52</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第七章</w:t>
      </w:r>
      <w:r>
        <w:rPr>
          <w:rFonts w:hint="eastAsia" w:ascii="宋体" w:hAnsi="宋体" w:eastAsia="宋体" w:cs="宋体"/>
          <w:color w:val="auto"/>
          <w:sz w:val="24"/>
          <w:szCs w:val="20"/>
          <w:highlight w:val="none"/>
          <w:shd w:val="clear" w:color="auto" w:fill="ffffff"/>
          <w:lang w:val="en-US" w:eastAsia="zh-CN"/>
        </w:rPr>
        <w:t xml:space="preserve"> </w:t>
      </w:r>
      <w:r>
        <w:rPr>
          <w:rFonts w:hint="eastAsia" w:ascii="宋体" w:hAnsi="宋体" w:eastAsia="宋体" w:cs="宋体"/>
          <w:color w:val="auto"/>
          <w:sz w:val="24"/>
          <w:szCs w:val="20"/>
          <w:highlight w:val="none"/>
          <w:shd w:val="clear" w:color="auto" w:fill="ffffff"/>
        </w:rPr>
        <w:t xml:space="preserve">附件</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_Toc105940243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57</w:t>
      </w:r>
      <w:r>
        <w:rPr>
          <w:rFonts w:hint="eastAsia" w:ascii="宋体" w:hAnsi="宋体" w:eastAsia="宋体" w:cs="宋体"/>
          <w:color w:val="auto"/>
          <w:sz w:val="24"/>
          <w:szCs w:val="20"/>
          <w:highlight w:val="none"/>
        </w:rPr>
        <w:fldChar w:fldCharType="end"/>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bCs/>
          <w:color w:val="auto"/>
          <w:sz w:val="24"/>
          <w:szCs w:val="24"/>
          <w:highlight w:val="none"/>
          <w:shd w:val="clear" w:color="auto" w:fill="ffffff"/>
        </w:rPr>
        <w:fldChar w:fldCharType="end"/>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color w:val="auto"/>
          <w:sz w:val="24"/>
          <w:szCs w:val="20"/>
          <w:highlight w:val="none"/>
          <w:shd w:val="clear" w:color="auto" w:fill="ffffff"/>
        </w:rPr>
        <w:br w:type="page" w:clear="all"/>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0" w:name="_Toc105940237"/>
      <w:r>
        <w:rPr>
          <w:rFonts w:hint="eastAsia" w:ascii="宋体" w:hAnsi="宋体" w:eastAsia="宋体" w:cs="宋体"/>
          <w:b/>
          <w:color w:val="auto"/>
          <w:sz w:val="52"/>
          <w:szCs w:val="20"/>
          <w:highlight w:val="none"/>
          <w:shd w:val="clear" w:color="auto" w:fill="ffffff"/>
        </w:rPr>
        <w:t xml:space="preserve">第一章</w:t>
      </w:r>
      <w:r>
        <w:rPr>
          <w:rFonts w:hint="eastAsia" w:ascii="宋体" w:hAnsi="宋体" w:eastAsia="宋体" w:cs="宋体"/>
          <w:b/>
          <w:color w:val="auto"/>
          <w:sz w:val="52"/>
          <w:szCs w:val="20"/>
          <w:highlight w:val="none"/>
          <w:shd w:val="clear" w:color="auto" w:fill="ffffff"/>
          <w:lang w:val="en-US" w:eastAsia="zh-CN"/>
        </w:rPr>
        <w:t xml:space="preserve"> </w:t>
      </w:r>
      <w:r>
        <w:rPr>
          <w:rFonts w:hint="eastAsia" w:ascii="宋体" w:hAnsi="宋体" w:eastAsia="宋体" w:cs="宋体"/>
          <w:b/>
          <w:color w:val="auto"/>
          <w:sz w:val="52"/>
          <w:szCs w:val="20"/>
          <w:highlight w:val="none"/>
          <w:shd w:val="clear" w:color="auto" w:fill="ffffff"/>
        </w:rPr>
        <w:t xml:space="preserve">投标邀请函</w:t>
      </w:r>
      <w:bookmarkEnd w:id="0"/>
      <w:r/>
      <w:bookmarkStart w:id="1" w:name="_Hlk117242093"/>
      <w:r/>
      <w:bookmarkEnd w:id="1"/>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bl>
      <w:tblPr>
        <w:tblStyle w:val="959"/>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项目概况：</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年苏州市义务教育学业质量监测项目及配套服务</w:t>
            </w:r>
            <w:r>
              <w:rPr>
                <w:rFonts w:hint="eastAsia" w:ascii="宋体" w:hAnsi="宋体" w:eastAsia="宋体" w:cs="宋体"/>
                <w:color w:val="auto"/>
                <w:sz w:val="24"/>
                <w:highlight w:val="none"/>
                <w:lang w:eastAsia="zh-CN"/>
              </w:rPr>
              <w:t xml:space="preserve">JSZC-320500-SZCH-G2026-0020</w:t>
            </w:r>
            <w:r>
              <w:rPr>
                <w:rFonts w:hint="eastAsia" w:ascii="宋体" w:hAnsi="宋体" w:eastAsia="宋体" w:cs="宋体"/>
                <w:color w:val="auto"/>
                <w:sz w:val="24"/>
                <w:highlight w:val="none"/>
              </w:rPr>
              <w:t xml:space="preserve">招标项目</w:t>
            </w:r>
            <w:r>
              <w:rPr>
                <w:rFonts w:hint="eastAsia" w:ascii="宋体" w:hAnsi="宋体" w:eastAsia="宋体" w:cs="宋体"/>
                <w:color w:val="auto"/>
                <w:sz w:val="24"/>
                <w:szCs w:val="24"/>
                <w:highlight w:val="none"/>
                <w:lang w:val="en-US" w:eastAsia="zh-CN"/>
              </w:rPr>
              <w:t xml:space="preserve">的潜在投标人</w:t>
            </w:r>
            <w:r>
              <w:rPr>
                <w:rFonts w:hint="eastAsia" w:ascii="宋体" w:hAnsi="宋体" w:eastAsia="宋体" w:cs="宋体"/>
                <w:color w:val="auto"/>
                <w:sz w:val="24"/>
                <w:szCs w:val="24"/>
                <w:highlight w:val="none"/>
              </w:rPr>
              <w:t xml:space="preserve">应在江苏省政府采购一体化平台“苏采云”系统</w:t>
            </w:r>
            <w:r>
              <w:rPr>
                <w:rFonts w:hint="eastAsia" w:ascii="宋体" w:hAnsi="宋体" w:eastAsia="宋体" w:cs="宋体"/>
                <w:color w:val="auto"/>
                <w:sz w:val="24"/>
                <w:szCs w:val="24"/>
                <w:highlight w:val="none"/>
                <w:lang w:val="en-US" w:eastAsia="zh-CN"/>
              </w:rPr>
              <w:t xml:space="preserve"> 获取招标文件</w:t>
            </w:r>
            <w:r>
              <w:rPr>
                <w:rFonts w:hint="eastAsia" w:ascii="宋体" w:hAnsi="宋体" w:eastAsia="宋体" w:cs="宋体"/>
                <w:color w:val="auto"/>
                <w:sz w:val="24"/>
                <w:szCs w:val="24"/>
                <w:highlight w:val="none"/>
              </w:rPr>
              <w:t xml:space="preserve">，并于2026-</w:t>
            </w:r>
            <w:r>
              <w:rPr>
                <w:rFonts w:hint="eastAsia" w:ascii="宋体" w:hAnsi="宋体" w:eastAsia="宋体" w:cs="宋体"/>
                <w:color w:val="auto"/>
                <w:sz w:val="24"/>
                <w:szCs w:val="24"/>
                <w:highlight w:val="none"/>
                <w:lang w:val="en-US" w:eastAsia="zh-CN"/>
              </w:rPr>
              <w:t xml:space="preserve">4-22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:30（北京时间）前递交投标文件。</w:t>
            </w:r>
            <w:r/>
          </w:p>
        </w:tc>
      </w:tr>
    </w:tbl>
    <w:p>
      <w:pPr>
        <w:ind w:firstLine="482"/>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一、项目基本情况</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JSZC-320500-SZCH-G2026-0020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年苏州市义务教育学业质量监测项目及配套服务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采购方式：公开招标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55</w:t>
      </w:r>
      <w:r>
        <w:rPr>
          <w:rFonts w:hint="eastAsia" w:ascii="宋体" w:hAnsi="宋体" w:eastAsia="宋体" w:cs="宋体"/>
          <w:color w:val="auto"/>
          <w:sz w:val="24"/>
          <w:szCs w:val="24"/>
          <w:highlight w:val="none"/>
        </w:rPr>
        <w:t xml:space="preserve">.000000万元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最高限价（如有）：</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采购包1：2026年苏州市义务教育质量监测数据处理与报告撰写等相关服务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lang w:val="en-US" w:eastAsia="zh-CN"/>
        </w:rPr>
        <w:t xml:space="preserve">伍拾伍万元整</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人民币（小写）：¥</w:t>
      </w:r>
      <w:r>
        <w:rPr>
          <w:rFonts w:hint="eastAsia" w:ascii="宋体" w:hAnsi="宋体" w:eastAsia="宋体" w:cs="宋体"/>
          <w:color w:val="auto"/>
          <w:sz w:val="24"/>
          <w:szCs w:val="24"/>
          <w:highlight w:val="none"/>
          <w:lang w:val="en-US" w:eastAsia="zh-CN"/>
        </w:rPr>
        <w:t xml:space="preserve">550,000.00</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采购需求：</w:t>
      </w:r>
      <w:r/>
    </w:p>
    <w:p>
      <w:pPr>
        <w:ind w:firstLine="480"/>
        <w:spacing w:line="360" w:lineRule="auto"/>
        <w:rPr>
          <w:rFonts w:hint="eastAsia" w:ascii="宋体" w:hAnsi="宋体" w:eastAsia="宋体" w:cs="宋体"/>
          <w:color w:val="auto"/>
          <w:sz w:val="24"/>
          <w:szCs w:val="24"/>
          <w:highlight w:val="none"/>
          <w:lang w:val="en-US" w:eastAsia="zh-CN"/>
        </w:rPr>
      </w:pPr>
      <w:r/>
      <w:bookmarkStart w:id="2" w:name="_Hlk193370988"/>
      <w:r>
        <w:rPr>
          <w:rFonts w:hint="eastAsia" w:ascii="宋体" w:hAnsi="宋体" w:eastAsia="宋体" w:cs="宋体"/>
          <w:color w:val="auto"/>
          <w:sz w:val="24"/>
          <w:szCs w:val="24"/>
          <w:highlight w:val="none"/>
          <w:lang w:val="en-US" w:eastAsia="zh-CN"/>
        </w:rPr>
        <w:t xml:space="preserve">采购包1：2026年苏州市义务教育质量监测数据处理与报告撰写等相关服务</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数据处理服务工作量：</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学科类监测数据处理分析（31.0万份）</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相关因素监测数据处理分析（39.6万份）</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合计监测数据处理量约70.6万份。</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注：以上数据处理数量为预测数量，最终结算以实际数量为准。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合同履行期限：</w:t>
      </w:r>
      <w:bookmarkEnd w:id="2"/>
      <w:r>
        <w:rPr>
          <w:rFonts w:hint="eastAsia" w:ascii="宋体" w:hAnsi="宋体" w:eastAsia="宋体" w:cs="宋体"/>
          <w:color w:val="auto"/>
          <w:sz w:val="24"/>
          <w:szCs w:val="24"/>
          <w:highlight w:val="none"/>
          <w:lang w:val="en-US" w:eastAsia="zh-CN"/>
        </w:rPr>
        <w:t xml:space="preserve">2026年11月30日前完成全部工作</w:t>
      </w:r>
      <w:r>
        <w:rPr>
          <w:rFonts w:hint="eastAsia" w:ascii="宋体" w:hAnsi="宋体" w:eastAsia="宋体" w:cs="宋体"/>
          <w:color w:val="auto"/>
          <w:sz w:val="24"/>
          <w:szCs w:val="24"/>
          <w:highlight w:val="none"/>
          <w:lang w:eastAsia="zh-CN"/>
        </w:rPr>
        <w:t xml:space="preserve">。</w:t>
      </w:r>
      <w:r/>
    </w:p>
    <w:p>
      <w:pPr>
        <w:ind w:firstLine="482"/>
        <w:spacing w:line="360" w:lineRule="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本项目（是/否）接受联合体：</w:t>
      </w:r>
      <w:r>
        <w:rPr>
          <w:rFonts w:hint="eastAsia" w:ascii="宋体" w:hAnsi="宋体" w:eastAsia="宋体" w:cs="宋体"/>
          <w:color w:val="auto"/>
          <w:sz w:val="24"/>
          <w:highlight w:val="none"/>
          <w:lang w:val="en-US" w:eastAsia="zh-CN"/>
        </w:rPr>
        <w:t xml:space="preserve">否</w:t>
      </w:r>
      <w:r>
        <w:rPr>
          <w:rFonts w:hint="eastAsia" w:ascii="宋体" w:hAnsi="宋体" w:eastAsia="宋体" w:cs="宋体"/>
          <w:b/>
          <w:bCs/>
          <w:color w:val="auto"/>
          <w:sz w:val="24"/>
          <w:szCs w:val="20"/>
          <w:highlight w:val="none"/>
        </w:rPr>
        <w:t xml:space="preserve">。</w:t>
      </w:r>
      <w:r/>
    </w:p>
    <w:p>
      <w:pPr>
        <w:ind w:firstLine="482"/>
        <w:spacing w:line="360" w:lineRule="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二、申请人的资格要求：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（一）满足《中华人民共和国政府采购法》第二十二条规定；</w:t>
      </w:r>
      <w:r/>
    </w:p>
    <w:p>
      <w:pPr>
        <w:pStyle w:val="963"/>
        <w:ind w:firstLine="480"/>
        <w:spacing w:line="360" w:lineRule="auto"/>
        <w:rPr>
          <w:rFonts w:hint="eastAsia" w:ascii="宋体" w:hAnsi="宋体" w:eastAsia="宋体" w:cs="宋体"/>
          <w:color w:val="auto"/>
          <w:szCs w:val="22"/>
          <w:highlight w:val="none"/>
        </w:rPr>
      </w:pPr>
      <w:r/>
      <w:bookmarkStart w:id="3" w:name="_Hlk193371023"/>
      <w:r>
        <w:rPr>
          <w:rFonts w:hint="eastAsia" w:ascii="宋体" w:hAnsi="宋体" w:eastAsia="宋体" w:cs="宋体"/>
          <w:color w:val="auto"/>
          <w:szCs w:val="22"/>
          <w:highlight w:val="none"/>
        </w:rPr>
        <w:t xml:space="preserve">1.具有独立承担民事责任的能力；</w:t>
      </w:r>
      <w:r/>
    </w:p>
    <w:p>
      <w:pPr>
        <w:pStyle w:val="963"/>
        <w:ind w:firstLine="48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2.具有良好的商业信誉和健全的财务会计制度；</w:t>
      </w:r>
      <w:r/>
    </w:p>
    <w:p>
      <w:pPr>
        <w:pStyle w:val="963"/>
        <w:ind w:firstLine="48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3.具有履行合同所必需的设备和专业技术能力；</w:t>
      </w:r>
      <w:r/>
    </w:p>
    <w:p>
      <w:pPr>
        <w:pStyle w:val="963"/>
        <w:ind w:firstLine="48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4.有依法缴纳税收和社会保障资金的良好记录；</w:t>
      </w:r>
      <w:r/>
    </w:p>
    <w:p>
      <w:pPr>
        <w:pStyle w:val="963"/>
        <w:ind w:firstLine="480"/>
        <w:spacing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w:t>
      </w:r>
      <w:bookmarkEnd w:id="3"/>
      <w:r/>
      <w:r/>
    </w:p>
    <w:p>
      <w:pPr>
        <w:pStyle w:val="996"/>
        <w:ind w:firstLine="480"/>
        <w:spacing w:before="0" w:beforeAutospacing="0" w:after="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（二）落实政府采购政策需满足的资格要求：</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根据《政府采购促进中小企业发展管理办法》（财库〔2020〕46号）等相关规定，本项目：专门面向中小企业。供应商应为中小微企业、监狱企业或残疾人福利性单位。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（三）本项目的特定资格要求：</w:t>
      </w:r>
      <w:r/>
    </w:p>
    <w:p>
      <w:pPr>
        <w:pStyle w:val="996"/>
        <w:ind w:firstLine="480"/>
        <w:spacing w:before="0" w:beforeAutospacing="0" w:after="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未被“信用中国”网站（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 xml:space="preserve">）列入失信被执行人、重大税收违法案件当事人名单、政府采购严重失信行为记录名单。</w:t>
      </w:r>
      <w:r/>
    </w:p>
    <w:p>
      <w:pPr>
        <w:ind w:firstLine="482"/>
        <w:spacing w:line="360" w:lineRule="auto"/>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三、获取招标文件</w:t>
      </w:r>
      <w:r/>
    </w:p>
    <w:p>
      <w:pPr>
        <w:ind w:firstLine="480"/>
        <w:spacing w:line="360" w:lineRule="auto"/>
        <w:rPr>
          <w:rFonts w:hint="eastAsia" w:ascii="宋体" w:hAnsi="宋体" w:eastAsia="宋体" w:cs="宋体"/>
          <w:color w:val="auto"/>
          <w:sz w:val="24"/>
          <w:szCs w:val="20"/>
          <w:highlight w:val="none"/>
        </w:rPr>
      </w:pPr>
      <w:r/>
      <w:bookmarkStart w:id="4" w:name="_Hlk97035982"/>
      <w:r>
        <w:rPr>
          <w:rFonts w:hint="eastAsia" w:ascii="宋体" w:hAnsi="宋体" w:eastAsia="宋体" w:cs="宋体"/>
          <w:color w:val="auto"/>
          <w:sz w:val="24"/>
          <w:highlight w:val="none"/>
        </w:rPr>
        <w:t xml:space="preserve">1</w:t>
      </w:r>
      <w:r>
        <w:rPr>
          <w:rFonts w:hint="eastAsia" w:ascii="宋体" w:hAnsi="宋体" w:eastAsia="宋体" w:cs="宋体"/>
          <w:color w:val="auto"/>
          <w:sz w:val="24"/>
          <w:szCs w:val="20"/>
          <w:highlight w:val="none"/>
        </w:rPr>
        <w:t xml:space="preserve">、时间：自招标公告发布之日起</w:t>
      </w:r>
      <w:r>
        <w:rPr>
          <w:rFonts w:hint="eastAsia" w:ascii="宋体" w:hAnsi="宋体" w:eastAsia="宋体" w:cs="宋体"/>
          <w:color w:val="auto"/>
          <w:sz w:val="24"/>
          <w:szCs w:val="24"/>
          <w:highlight w:val="none"/>
          <w:shd w:val="clear" w:color="auto" w:fill="ffffff"/>
        </w:rPr>
        <w:t xml:space="preserve">5个工作日</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0"/>
          <w:highlight w:val="none"/>
        </w:rPr>
        <w:t xml:space="preserve">2、</w:t>
      </w:r>
      <w:r>
        <w:rPr>
          <w:rFonts w:hint="eastAsia" w:ascii="宋体" w:hAnsi="宋体" w:eastAsia="宋体" w:cs="宋体"/>
          <w:color w:val="auto"/>
          <w:sz w:val="24"/>
          <w:szCs w:val="24"/>
          <w:highlight w:val="none"/>
          <w:shd w:val="clear" w:color="auto" w:fill="ffffff"/>
        </w:rPr>
        <w:t xml:space="preserve">地点：江苏省政府采购一体化平台“苏采云”系统</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5" w:name="_Hlk193371285"/>
      <w:r>
        <w:rPr>
          <w:rFonts w:hint="eastAsia" w:ascii="宋体" w:hAnsi="宋体" w:eastAsia="宋体" w:cs="宋体"/>
          <w:color w:val="auto"/>
          <w:sz w:val="24"/>
          <w:szCs w:val="20"/>
          <w:highlight w:val="none"/>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5"/>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4、售价：0.00元</w:t>
      </w:r>
      <w:bookmarkEnd w:id="4"/>
      <w:r/>
      <w:r/>
    </w:p>
    <w:p>
      <w:pPr>
        <w:ind w:firstLine="482"/>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四、提交投标文件截止时间、开标时间和地点</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2026年4月22日</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13</w:t>
      </w:r>
      <w:r>
        <w:rPr>
          <w:rFonts w:hint="eastAsia" w:ascii="宋体" w:hAnsi="宋体" w:eastAsia="宋体" w:cs="宋体"/>
          <w:color w:val="auto"/>
          <w:sz w:val="24"/>
          <w:highlight w:val="none"/>
        </w:rPr>
        <w:t xml:space="preserve"> 点 </w:t>
      </w:r>
      <w:r>
        <w:rPr>
          <w:rFonts w:hint="eastAsia" w:ascii="宋体" w:hAnsi="宋体" w:eastAsia="宋体" w:cs="宋体"/>
          <w:color w:val="auto"/>
          <w:sz w:val="24"/>
          <w:highlight w:val="none"/>
          <w:lang w:val="en-US" w:eastAsia="zh-CN"/>
        </w:rPr>
        <w:t xml:space="preserve">30</w:t>
      </w:r>
      <w:bookmarkStart w:id="93" w:name="_GoBack"/>
      <w:r/>
      <w:bookmarkEnd w:id="93"/>
      <w:r>
        <w:rPr>
          <w:rFonts w:hint="eastAsia" w:ascii="宋体" w:hAnsi="宋体" w:eastAsia="宋体" w:cs="宋体"/>
          <w:color w:val="auto"/>
          <w:sz w:val="24"/>
          <w:highlight w:val="none"/>
        </w:rPr>
        <w:t xml:space="preserve"> 分（北京时间）</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地点：“苏采云”系统（网址：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Style w:val="1005"/>
          <w:rFonts w:hint="eastAsia" w:ascii="宋体" w:hAnsi="宋体" w:eastAsia="宋体" w:cs="宋体"/>
          <w:color w:val="auto"/>
          <w:sz w:val="24"/>
          <w:highlight w:val="none"/>
        </w:rPr>
        <w:t xml:space="preserve">http://jszfcg.jsczt.cn/）</w:t>
      </w:r>
      <w:r>
        <w:rPr>
          <w:rStyle w:val="1005"/>
          <w:rFonts w:hint="eastAsia" w:ascii="宋体" w:hAnsi="宋体" w:eastAsia="宋体" w:cs="宋体"/>
          <w:color w:val="auto"/>
          <w:sz w:val="24"/>
          <w:highlight w:val="none"/>
        </w:rPr>
        <w:fldChar w:fldCharType="end"/>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五、公告期限：自本公告发布之日起5个工作日。</w:t>
      </w:r>
      <w:r/>
    </w:p>
    <w:p>
      <w:pPr>
        <w:ind w:firstLine="482"/>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六、其他补充事宜</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w:t>
      </w:r>
      <w:r>
        <w:rPr>
          <w:rFonts w:hint="eastAsia" w:ascii="宋体" w:hAnsi="宋体" w:eastAsia="宋体" w:cs="宋体"/>
          <w:bCs/>
          <w:color w:val="auto"/>
          <w:sz w:val="24"/>
          <w:szCs w:val="24"/>
          <w:highlight w:val="none"/>
        </w:rPr>
        <w:t xml:space="preserve">为采购项目提供整体设计、规范编制或者项目管理、监理、检测等服务的供应商，不得再参加该采购项目的其他采购活动。</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2、单位负责人为同一人或者存在直接控股、管理关系的不同供应商，不得参加同一合同项下的政府采购活动。</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rPr>
          <w:rFonts w:hint="eastAsia" w:ascii="宋体" w:hAnsi="宋体" w:eastAsia="宋体" w:cs="宋体"/>
          <w:color w:val="auto"/>
          <w:sz w:val="24"/>
          <w:highlight w:val="none"/>
        </w:rPr>
      </w:pPr>
      <w:r/>
      <w:bookmarkStart w:id="6" w:name="_Hlk193371515"/>
      <w:r>
        <w:rPr>
          <w:rFonts w:hint="eastAsia" w:ascii="宋体" w:hAnsi="宋体" w:eastAsia="宋体" w:cs="宋体"/>
          <w:color w:val="auto"/>
          <w:sz w:val="24"/>
          <w:highlight w:val="none"/>
        </w:rPr>
        <w:t xml:space="preserve">4、CA证书办理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auto"/>
          <w:sz w:val="24"/>
          <w:highlight w:val="none"/>
        </w:rPr>
        <w:t xml:space="preserve">“苏采云”系统目前仅支持“苏采云”系统下的政务CA证书，江苏省内各地区办理的“苏采云”系统下的政务CA证书全省通用。</w:t>
      </w:r>
      <w:r>
        <w:rPr>
          <w:rFonts w:hint="eastAsia" w:ascii="宋体" w:hAnsi="宋体" w:eastAsia="宋体" w:cs="宋体"/>
          <w:color w:val="auto"/>
          <w:sz w:val="24"/>
          <w:highlight w:val="none"/>
        </w:rPr>
        <w:t xml:space="preserve">苏州现场办理地址：</w:t>
      </w:r>
      <w:r>
        <w:rPr>
          <w:rFonts w:hint="eastAsia" w:ascii="宋体" w:hAnsi="宋体" w:eastAsia="宋体" w:cs="宋体"/>
          <w:color w:val="auto"/>
          <w:sz w:val="24"/>
          <w:szCs w:val="24"/>
          <w:highlight w:val="none"/>
          <w:shd w:val="clear" w:color="auto" w:fill="ffffff"/>
          <w:lang w:bidi="ar"/>
        </w:rPr>
        <w:t xml:space="preserve">苏州市高新区邓尉路105号狮山科技馆一楼服务大厅，咨询电话：0512-65737699</w:t>
      </w:r>
      <w:r>
        <w:rPr>
          <w:rFonts w:hint="eastAsia" w:ascii="宋体" w:hAnsi="宋体" w:eastAsia="宋体" w:cs="宋体"/>
          <w:color w:val="auto"/>
          <w:sz w:val="24"/>
          <w:highlight w:val="none"/>
        </w:rPr>
        <w:t xml:space="preserve">。</w:t>
      </w:r>
      <w:bookmarkEnd w:id="6"/>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spacing w:line="360" w:lineRule="auto"/>
        <w:rPr>
          <w:rFonts w:hint="eastAsia" w:ascii="宋体" w:hAnsi="宋体" w:eastAsia="宋体" w:cs="宋体"/>
          <w:color w:val="auto"/>
          <w:sz w:val="24"/>
          <w:highlight w:val="none"/>
        </w:rPr>
      </w:pPr>
      <w:r/>
      <w:bookmarkStart w:id="7" w:name="_Hlk193371550"/>
      <w:r>
        <w:rPr>
          <w:rFonts w:hint="eastAsia" w:ascii="宋体" w:hAnsi="宋体" w:eastAsia="宋体" w:cs="宋体"/>
          <w:color w:val="auto"/>
          <w:sz w:val="24"/>
          <w:highlight w:val="none"/>
        </w:rPr>
        <w:t xml:space="preserve">6、更正（补充）公告及附件的获取：供应商应及时关注政府采购信息发布媒体上发布的更正（补充）公告，同时在“苏采云”系统中下载更正（补充）资料，如有遗漏（包括但不限于文件未下载或下载不完整），可能无法解密</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文件，由此所造成的响应失败或损失由供应商自行负责。</w:t>
      </w:r>
      <w:bookmarkEnd w:id="7"/>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7、如不同</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文件制作机器码一致，则</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8、制作电子</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文件：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本项目采用电子招</w:t>
      </w:r>
      <w:r>
        <w:rPr>
          <w:rFonts w:hint="eastAsia" w:ascii="宋体" w:hAnsi="宋体" w:eastAsia="宋体" w:cs="宋体"/>
          <w:color w:val="auto"/>
          <w:sz w:val="24"/>
          <w:highlight w:val="none"/>
          <w:lang w:eastAsia="zh-CN"/>
        </w:rPr>
        <w:t xml:space="preserve">投标</w:t>
      </w:r>
      <w:r>
        <w:rPr>
          <w:rFonts w:hint="eastAsia" w:ascii="宋体" w:hAnsi="宋体" w:eastAsia="宋体" w:cs="宋体"/>
          <w:color w:val="auto"/>
          <w:sz w:val="24"/>
          <w:highlight w:val="none"/>
        </w:rPr>
        <w:t xml:space="preserve">形式，请供应商按照《苏采云系统供应商操作手册》（链接：http://www.ccgp-jiangsu.gov.cn/jiangsu/zlxz/ee/ee3a4bc5a3454aa2b0d9312230633ce9.html）进行制作、上传电子</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文件。</w:t>
      </w:r>
      <w:r>
        <w:rPr>
          <w:rFonts w:hint="eastAsia" w:ascii="宋体" w:hAnsi="宋体" w:eastAsia="宋体" w:cs="宋体"/>
          <w:b/>
          <w:bCs/>
          <w:color w:val="auto"/>
          <w:sz w:val="24"/>
          <w:szCs w:val="24"/>
          <w:highlight w:val="none"/>
          <w:shd w:val="clear" w:color="auto" w:fill="ffffff"/>
          <w:lang w:bidi="ar"/>
        </w:rPr>
        <w:t xml:space="preserve">电子</w:t>
      </w:r>
      <w:r>
        <w:rPr>
          <w:rFonts w:hint="eastAsia" w:ascii="宋体" w:hAnsi="宋体" w:eastAsia="宋体" w:cs="宋体"/>
          <w:b/>
          <w:bCs/>
          <w:color w:val="auto"/>
          <w:sz w:val="24"/>
          <w:szCs w:val="24"/>
          <w:highlight w:val="none"/>
          <w:shd w:val="clear" w:color="auto" w:fill="ffffff"/>
          <w:lang w:eastAsia="zh-CN" w:bidi="ar"/>
        </w:rPr>
        <w:t xml:space="preserve">投标（响应）</w:t>
      </w:r>
      <w:r>
        <w:rPr>
          <w:rFonts w:hint="eastAsia" w:ascii="宋体" w:hAnsi="宋体" w:eastAsia="宋体" w:cs="宋体"/>
          <w:b/>
          <w:bCs/>
          <w:color w:val="auto"/>
          <w:sz w:val="24"/>
          <w:szCs w:val="24"/>
          <w:highlight w:val="none"/>
          <w:shd w:val="clear" w:color="auto" w:fill="ffffff"/>
          <w:lang w:bidi="ar"/>
        </w:rPr>
        <w:t xml:space="preserve">文件制作完成后请于</w:t>
      </w:r>
      <w:r>
        <w:rPr>
          <w:rFonts w:hint="eastAsia" w:ascii="宋体" w:hAnsi="宋体" w:eastAsia="宋体" w:cs="宋体"/>
          <w:b/>
          <w:bCs/>
          <w:color w:val="auto"/>
          <w:sz w:val="24"/>
          <w:szCs w:val="24"/>
          <w:highlight w:val="none"/>
          <w:shd w:val="clear" w:color="auto" w:fill="ffffff"/>
          <w:lang w:eastAsia="zh-CN" w:bidi="ar"/>
        </w:rPr>
        <w:t xml:space="preserve">投标（响应）</w:t>
      </w:r>
      <w:r>
        <w:rPr>
          <w:rFonts w:hint="eastAsia" w:ascii="宋体" w:hAnsi="宋体" w:eastAsia="宋体" w:cs="宋体"/>
          <w:b/>
          <w:bCs/>
          <w:color w:val="auto"/>
          <w:sz w:val="24"/>
          <w:szCs w:val="24"/>
          <w:highlight w:val="none"/>
          <w:shd w:val="clear" w:color="auto" w:fill="ffffff"/>
          <w:lang w:bidi="ar"/>
        </w:rPr>
        <w:t xml:space="preserve">文件递交截止时间前成功上传至“苏采云”系统，否则视为放弃参加该采购项目。</w:t>
      </w:r>
      <w:r>
        <w:rPr>
          <w:rFonts w:hint="eastAsia" w:ascii="宋体" w:hAnsi="宋体" w:eastAsia="宋体" w:cs="宋体"/>
          <w:color w:val="auto"/>
          <w:sz w:val="24"/>
          <w:highlight w:val="none"/>
        </w:rPr>
        <w:t xml:space="preserve">供应商应充分考虑到网络环境、网络带宽等风险因素，如因供应商自身原因造成的电子</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文件上传不成功由供应商自行承担全部责任。</w:t>
      </w:r>
      <w:r/>
    </w:p>
    <w:p>
      <w:pPr>
        <w:ind w:firstLine="480"/>
        <w:spacing w:line="360" w:lineRule="auto"/>
        <w:rPr>
          <w:rFonts w:hint="eastAsia" w:ascii="宋体" w:hAnsi="宋体" w:eastAsia="宋体" w:cs="宋体"/>
          <w:color w:val="auto"/>
          <w:sz w:val="24"/>
          <w:highlight w:val="none"/>
        </w:rPr>
      </w:pPr>
      <w:r/>
      <w:bookmarkStart w:id="8" w:name="_Hlk193371673"/>
      <w:r>
        <w:rPr>
          <w:rFonts w:hint="eastAsia" w:ascii="宋体" w:hAnsi="宋体" w:eastAsia="宋体" w:cs="宋体"/>
          <w:color w:val="auto"/>
          <w:sz w:val="24"/>
          <w:highlight w:val="none"/>
        </w:rPr>
        <w:t xml:space="preserve">9、本项目为不见面开标项目。线上参加开标会方式：供应商登录“苏采云”系统，点击“开标大厅”，选择对应项目，点击进入不见面开标系统。开标阶段供应商在【供应商解密】环节必须使用CA证书解密电子</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文件，如在“苏采云”系统规定的时间内未能成功解密的视为放弃参与本项目</w:t>
      </w:r>
      <w:r>
        <w:rPr>
          <w:rFonts w:hint="eastAsia" w:ascii="宋体" w:hAnsi="宋体" w:eastAsia="宋体" w:cs="宋体"/>
          <w:color w:val="auto"/>
          <w:sz w:val="24"/>
          <w:highlight w:val="none"/>
          <w:lang w:eastAsia="zh-CN"/>
        </w:rPr>
        <w:t xml:space="preserve">投标（响应）</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w:t>
      </w:r>
      <w:r>
        <w:rPr>
          <w:rFonts w:hint="eastAsia" w:ascii="宋体" w:hAnsi="宋体" w:eastAsia="宋体" w:cs="宋体"/>
          <w:color w:val="auto"/>
          <w:sz w:val="24"/>
          <w:highlight w:val="none"/>
          <w:lang w:val="en-US" w:eastAsia="zh-CN"/>
        </w:rPr>
        <w:t xml:space="preserve">通信</w:t>
      </w:r>
      <w:r>
        <w:rPr>
          <w:rFonts w:hint="eastAsia" w:ascii="宋体" w:hAnsi="宋体" w:eastAsia="宋体" w:cs="宋体"/>
          <w:color w:val="auto"/>
          <w:sz w:val="24"/>
          <w:highlight w:val="none"/>
        </w:rPr>
        <w:t xml:space="preserve">畅通，否则导致的对供应商不利的后果由供应商自行承担。</w:t>
      </w:r>
      <w:bookmarkEnd w:id="8"/>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11、技术支持：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CA技术咨询服务电话：400-608-6099</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电子签章技术咨询服务电话：15380932027、15371015030 、13675197356、13675197221</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“苏采云”平台技术咨询电话：0519-86722802、13914088964、18261002950</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智能客服：登录苏采云系统后，联系系统右下方智能客服图标进行咨询。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12、根据《政府采购促进中小企业发展管理办法》（财库〔2020〕46号）及《中小企业划型标准规定》（工信部联企业〔2011〕300号），本采购标的对应的中小企业划分标准所属行业为：</w:t>
      </w:r>
      <w:bookmarkStart w:id="9" w:name="OLE_LINK48"/>
      <w:r>
        <w:rPr>
          <w:rFonts w:hint="eastAsia" w:ascii="宋体" w:hAnsi="宋体" w:eastAsia="宋体" w:cs="宋体"/>
          <w:color w:val="auto"/>
          <w:sz w:val="24"/>
          <w:highlight w:val="none"/>
        </w:rPr>
        <w:t xml:space="preserve">其他未列明行业</w:t>
      </w:r>
      <w:bookmarkEnd w:id="9"/>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13、本项目支持政府采购合同信用融资。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14、政府采购监督电话：</w:t>
      </w:r>
      <w:r>
        <w:rPr>
          <w:rFonts w:hint="eastAsia" w:ascii="宋体" w:hAnsi="宋体" w:eastAsia="宋体" w:cs="宋体"/>
          <w:color w:val="auto"/>
          <w:sz w:val="24"/>
          <w:szCs w:val="24"/>
          <w:highlight w:val="none"/>
        </w:rPr>
        <w:t xml:space="preserve">0512-68616651</w:t>
      </w:r>
      <w:r>
        <w:rPr>
          <w:rFonts w:hint="eastAsia" w:ascii="宋体" w:hAnsi="宋体" w:eastAsia="宋体" w:cs="宋体"/>
          <w:color w:val="auto"/>
          <w:sz w:val="24"/>
          <w:highlight w:val="none"/>
        </w:rPr>
        <w:t xml:space="preserve">。</w:t>
      </w:r>
      <w:r/>
    </w:p>
    <w:p>
      <w:pPr>
        <w:ind w:firstLine="482"/>
        <w:jc w:val="left"/>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七、对本次招标提出询问，请按以下方式联系。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lang w:eastAsia="zh-CN"/>
        </w:rPr>
        <w:t xml:space="preserve">苏州市教育质量监测中心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单位地址：苏州市姑苏区劳动路289号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eastAsia="zh-CN"/>
        </w:rPr>
        <w:t xml:space="preserve">许士中</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联系电话：19905127930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单位名称：苏州诚和招投标咨询有限公司</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单位地址：苏州市竹辉路477号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联系人：沈川渝、邬汝超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张萱</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0512-65161672</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3、项</w:t>
      </w:r>
      <w:r>
        <w:rPr>
          <w:rFonts w:hint="eastAsia" w:ascii="宋体" w:hAnsi="宋体" w:eastAsia="宋体" w:cs="宋体"/>
          <w:color w:val="auto"/>
          <w:sz w:val="24"/>
          <w:szCs w:val="24"/>
          <w:highlight w:val="none"/>
        </w:rPr>
        <w:t xml:space="preserve">目联系方式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项目联系人：沈川渝、邬汝超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张萱</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lang w:eastAsia="zh-CN"/>
        </w:rPr>
        <w:t xml:space="preserve">0512-65161672</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pStyle w:val="960"/>
        <w:rPr>
          <w:rFonts w:hint="eastAsia" w:ascii="宋体" w:hAnsi="宋体" w:eastAsia="宋体" w:cs="宋体"/>
          <w:color w:val="auto"/>
          <w:highlight w:val="none"/>
        </w:rPr>
      </w:pPr>
      <w:r>
        <w:rPr>
          <w:rFonts w:hint="eastAsia" w:ascii="宋体" w:hAnsi="宋体" w:eastAsia="宋体" w:cs="宋体"/>
          <w:color w:val="auto"/>
          <w:highlight w:val="none"/>
        </w:rPr>
      </w:r>
      <w:r/>
    </w:p>
    <w:p>
      <w:pPr>
        <w:ind w:right="-159" w:firstLine="482"/>
        <w:jc w:val="right"/>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69"/>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69"/>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69"/>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69"/>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69"/>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69"/>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69"/>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969"/>
        <w:ind w:left="0" w:right="0"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10" w:name="_Toc105940238"/>
      <w:r>
        <w:rPr>
          <w:rFonts w:hint="eastAsia" w:ascii="宋体" w:hAnsi="宋体" w:eastAsia="宋体" w:cs="宋体"/>
          <w:b/>
          <w:color w:val="auto"/>
          <w:sz w:val="52"/>
          <w:szCs w:val="20"/>
          <w:highlight w:val="none"/>
          <w:shd w:val="clear" w:color="auto" w:fill="ffffff"/>
        </w:rPr>
        <w:t xml:space="preserve">第二章供应商须知</w:t>
      </w:r>
      <w:bookmarkEnd w:id="10"/>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br w:type="page" w:clear="all"/>
      </w:r>
      <w:r/>
    </w:p>
    <w:p>
      <w:pPr>
        <w:ind w:firstLine="482"/>
        <w:keepLines w:val="0"/>
        <w:keepNext w:val="0"/>
        <w:pageBreakBefore w:val="0"/>
        <w:spacing w:line="360" w:lineRule="auto"/>
        <w:widowControl w:val="off"/>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A.说明和释义</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1.1本招标文件仅适用于苏州诚和招投标咨询有限公司组织的招标活动。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1.2本次招标活动及因本次招标产生的合同受中国法律制约和保护。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1.3本招标文件的解释权属于苏州诚和招投标咨询有限公司。</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2.词语释义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bookmarkStart w:id="11" w:name="_Hlk193372031"/>
      <w:r>
        <w:rPr>
          <w:rFonts w:hint="eastAsia" w:ascii="宋体" w:hAnsi="宋体" w:eastAsia="宋体" w:cs="宋体"/>
          <w:color w:val="auto"/>
          <w:sz w:val="24"/>
          <w:szCs w:val="24"/>
          <w:highlight w:val="none"/>
          <w:shd w:val="clear" w:color="auto" w:fill="ffffff"/>
        </w:rPr>
        <w:t xml:space="preserve">2.1采购人：指依法进行政府采购的国家机关、事业单位、团体组织。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2.2采购代理机构：指依法接受采购人委托，从事货物、工程和服务等政府采购代理业务的社会中介机构。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2.3供应商：指响应招标、参加投标竞争的法人、其他组织或者自然人。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2.4响应：供应商根据采购人或采购代理机构发布的招标文件，编制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文件并按规定</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2.5合同：采供双方根据招标文件和中标的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文件及中标通知书规定的内容签署的以书面形式所达成的协议，包括所有的附件、附录和构成协议的所有文件。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2.6甲方（采购人）：合同中明确规定的实际购买货物和服务的法人或其他组织和自然人。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2.7乙方（供应商）：合同中规定的向采购人提供货物和服务的法人或其他组织和自然人。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2.8货物：系指乙方按招标文件规定，应向甲方提供的一切设备、备品、备件、工具、手册及其它有关技术资料和材料。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2.9服务：系指本次招标文件规定乙方应承担的与提供货物和服务有关的辅助服务，比如运输、保险、安装、调试、提供技术援助、培训、配合措施、维修响应及合同中规定乙方应承担的其它义务。</w:t>
      </w:r>
      <w:r/>
    </w:p>
    <w:p>
      <w:pPr>
        <w:ind w:firstLine="484"/>
        <w:keepLines w:val="0"/>
        <w:keepNext w:val="0"/>
        <w:pageBreakBefore w:val="0"/>
        <w:spacing w:line="360" w:lineRule="auto"/>
        <w:widowControl w:val="off"/>
        <w:tabs>
          <w:tab w:val="left" w:pos="54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2.11天：日历天。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2.12时间：除特别说明，均指北京时间。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2.13交货地点：合同中明确约定的乙方提交的货物和服务最终到达地点。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2.14合同价款：根据合同规定，乙方在正确地履行合同义务后甲方应支付乙方的价款。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2.15产地：货物开采、生长、生产、最终制造、加工或提供服务的来源地。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2.16不可抗力：不能预见、不能避免并且不能克服的客观情况。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2.17实质响应：满足有关本次采购标的、数量、质量、价款或者报酬、履行期限、履行地点和方式、违约责任和解决争议方法等要求。</w:t>
      </w:r>
      <w:bookmarkEnd w:id="11"/>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2.18</w:t>
      </w:r>
      <w:r>
        <w:rPr>
          <w:rFonts w:hint="eastAsia" w:ascii="宋体" w:hAnsi="宋体" w:eastAsia="宋体" w:cs="宋体"/>
          <w:color w:val="auto"/>
          <w:sz w:val="24"/>
          <w:szCs w:val="24"/>
          <w:highlight w:val="none"/>
        </w:rPr>
        <w:t xml:space="preserve">书面形式：指书面文字、合同书、信件和传真等可以有形地表现所载内容的形式。</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2.19</w:t>
      </w:r>
      <w:r>
        <w:rPr>
          <w:rFonts w:hint="eastAsia" w:ascii="宋体" w:hAnsi="宋体" w:eastAsia="宋体" w:cs="宋体"/>
          <w:color w:val="auto"/>
          <w:sz w:val="24"/>
          <w:szCs w:val="24"/>
          <w:highlight w:val="none"/>
        </w:rPr>
        <w:t xml:space="preserve">核心产品：根据本项目技术构成、产品价格比重等合理确定的产品。</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2.20</w:t>
      </w:r>
      <w:r>
        <w:rPr>
          <w:rFonts w:hint="eastAsia" w:ascii="宋体" w:hAnsi="宋体" w:eastAsia="宋体" w:cs="宋体"/>
          <w:color w:val="auto"/>
          <w:sz w:val="24"/>
          <w:szCs w:val="24"/>
          <w:highlight w:val="none"/>
        </w:rPr>
        <w:t xml:space="preserve">进口产品：通过中国海关报关验放进入中国境内且产自关境外的产品。</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2.21</w:t>
      </w:r>
      <w:r>
        <w:rPr>
          <w:rFonts w:hint="eastAsia" w:ascii="宋体" w:hAnsi="宋体" w:eastAsia="宋体" w:cs="宋体"/>
          <w:color w:val="auto"/>
          <w:sz w:val="24"/>
          <w:szCs w:val="24"/>
          <w:highlight w:val="none"/>
        </w:rPr>
        <w:t xml:space="preserve">本国产品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w:t>
      </w:r>
      <w:r>
        <w:rPr>
          <w:rFonts w:hint="eastAsia" w:ascii="宋体" w:hAnsi="宋体" w:eastAsia="宋体" w:cs="宋体"/>
          <w:color w:val="auto"/>
          <w:sz w:val="24"/>
          <w:szCs w:val="24"/>
          <w:highlight w:val="none"/>
          <w:lang w:val="zh-CN"/>
        </w:rPr>
        <w:t xml:space="preserve">《国务院办公厅关于在政府采购中实施本国产品标准及相关政策的通知》（国办发［2025］34号）规定</w:t>
      </w:r>
      <w:r>
        <w:rPr>
          <w:rFonts w:hint="eastAsia" w:ascii="宋体" w:hAnsi="宋体" w:eastAsia="宋体" w:cs="宋体"/>
          <w:color w:val="auto"/>
          <w:sz w:val="24"/>
          <w:szCs w:val="24"/>
          <w:highlight w:val="none"/>
        </w:rPr>
        <w:t xml:space="preserve">的产品视为本国产品。</w:t>
      </w:r>
      <w:r/>
    </w:p>
    <w:p>
      <w:pPr>
        <w:ind w:firstLine="480"/>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shd w:val="clear" w:color="auto" w:fill="ffffff"/>
          <w:lang w:val="en-US" w:eastAsia="zh-CN" w:bidi="ar-SA"/>
        </w:rPr>
        <w:t xml:space="preserve">2.22</w:t>
      </w:r>
      <w:r>
        <w:rPr>
          <w:rFonts w:hint="eastAsia" w:ascii="宋体" w:hAnsi="宋体" w:eastAsia="宋体" w:cs="宋体"/>
          <w:color w:val="auto"/>
          <w:sz w:val="24"/>
          <w:highlight w:val="none"/>
        </w:rPr>
        <w:t xml:space="preserve">采购本国货物、工程和服务：除有《中华人民共和国政府采购法》第十条规定情形之外，政府采购应当采购本国货物、工程和服务。</w:t>
      </w:r>
      <w:r/>
    </w:p>
    <w:p>
      <w:pPr>
        <w:ind w:firstLine="482"/>
        <w:keepLines w:val="0"/>
        <w:keepNext w:val="0"/>
        <w:pageBreakBefore w:val="0"/>
        <w:spacing w:line="360" w:lineRule="auto"/>
        <w:widowControl w:val="off"/>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B.供应商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3、申请人的资格要求：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bookmarkStart w:id="12" w:name="_Hlk193372108"/>
      <w:r>
        <w:rPr>
          <w:rFonts w:hint="eastAsia" w:ascii="宋体" w:hAnsi="宋体" w:eastAsia="宋体" w:cs="宋体"/>
          <w:color w:val="auto"/>
          <w:sz w:val="24"/>
          <w:szCs w:val="24"/>
          <w:highlight w:val="none"/>
          <w:shd w:val="clear" w:color="auto" w:fill="ffffff"/>
          <w:lang w:val="en-US"/>
        </w:rPr>
        <w:t xml:space="preserve">详见本项目招标公告中的“</w:t>
      </w:r>
      <w:r>
        <w:rPr>
          <w:rFonts w:hint="eastAsia" w:ascii="宋体" w:hAnsi="宋体" w:eastAsia="宋体" w:cs="宋体"/>
          <w:color w:val="auto"/>
          <w:sz w:val="24"/>
          <w:szCs w:val="24"/>
          <w:highlight w:val="none"/>
          <w:shd w:val="clear" w:color="auto" w:fill="ffffff"/>
        </w:rPr>
        <w:t xml:space="preserve">申请人的资格要求</w:t>
      </w:r>
      <w:r>
        <w:rPr>
          <w:rFonts w:hint="eastAsia" w:ascii="宋体" w:hAnsi="宋体" w:eastAsia="宋体" w:cs="宋体"/>
          <w:color w:val="auto"/>
          <w:sz w:val="24"/>
          <w:szCs w:val="24"/>
          <w:highlight w:val="none"/>
          <w:shd w:val="clear" w:color="auto" w:fill="ffffff"/>
          <w:lang w:val="en-US"/>
        </w:rPr>
        <w:t xml:space="preserve">”。</w:t>
      </w:r>
      <w:bookmarkEnd w:id="12"/>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4.供应商代表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指全权代表供应商参加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活动并签署</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文件的人，如果供应商代表不是法人代表，须持有《法定代表人授权委托书》（</w:t>
      </w:r>
      <w:bookmarkStart w:id="13" w:name="_Hlk193372244"/>
      <w:r>
        <w:rPr>
          <w:rFonts w:hint="eastAsia" w:ascii="宋体" w:hAnsi="宋体" w:eastAsia="宋体" w:cs="宋体"/>
          <w:color w:val="auto"/>
          <w:sz w:val="24"/>
          <w:szCs w:val="24"/>
          <w:highlight w:val="none"/>
          <w:shd w:val="clear" w:color="auto" w:fill="ffffff"/>
        </w:rPr>
        <w:t xml:space="preserve">详见统一格式</w:t>
      </w:r>
      <w:bookmarkEnd w:id="13"/>
      <w:r>
        <w:rPr>
          <w:rFonts w:hint="eastAsia" w:ascii="宋体" w:hAnsi="宋体" w:eastAsia="宋体" w:cs="宋体"/>
          <w:color w:val="auto"/>
          <w:sz w:val="24"/>
          <w:szCs w:val="24"/>
          <w:highlight w:val="none"/>
          <w:shd w:val="clear" w:color="auto" w:fill="ffffff"/>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5.投标费用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无论</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过程中的做法和结果如何，供应商自行承担所有与参加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有关的全部费用。</w:t>
      </w:r>
      <w:r/>
    </w:p>
    <w:p>
      <w:pPr>
        <w:ind w:firstLine="482"/>
        <w:jc w:val="both"/>
        <w:spacing w:line="360" w:lineRule="auto"/>
        <w:rPr>
          <w:rFonts w:hint="eastAsia" w:ascii="宋体" w:hAnsi="宋体" w:eastAsia="宋体" w:cs="宋体"/>
          <w:b/>
          <w:color w:val="auto"/>
          <w:sz w:val="24"/>
          <w:szCs w:val="24"/>
          <w:highlight w:val="none"/>
        </w:rPr>
      </w:pPr>
      <w:r/>
      <w:bookmarkStart w:id="14" w:name="_Hlk193372378"/>
      <w:r>
        <w:rPr>
          <w:rFonts w:hint="eastAsia" w:ascii="宋体" w:hAnsi="宋体" w:eastAsia="宋体" w:cs="宋体"/>
          <w:b/>
          <w:color w:val="auto"/>
          <w:sz w:val="24"/>
          <w:szCs w:val="24"/>
          <w:highlight w:val="none"/>
          <w:shd w:val="clear" w:color="auto" w:fill="ffffff"/>
        </w:rPr>
        <w:t xml:space="preserve">6.</w:t>
      </w:r>
      <w:r>
        <w:rPr>
          <w:rFonts w:hint="eastAsia" w:ascii="宋体" w:hAnsi="宋体" w:eastAsia="宋体" w:cs="宋体"/>
          <w:b/>
          <w:color w:val="auto"/>
          <w:sz w:val="24"/>
          <w:szCs w:val="24"/>
          <w:highlight w:val="none"/>
        </w:rPr>
        <w:t xml:space="preserve">联合投标（响应）</w:t>
      </w:r>
      <w:r/>
    </w:p>
    <w:p>
      <w:pPr>
        <w:ind w:firstLine="480"/>
        <w:jc w:val="both"/>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rPr>
        <w:t xml:space="preserve">6.1本项目不接受联合投标（响应）</w:t>
      </w:r>
      <w:r>
        <w:rPr>
          <w:rFonts w:hint="eastAsia" w:ascii="宋体" w:hAnsi="宋体" w:eastAsia="宋体" w:cs="宋体"/>
          <w:color w:val="auto"/>
          <w:sz w:val="24"/>
          <w:szCs w:val="24"/>
          <w:highlight w:val="none"/>
          <w:shd w:val="clear" w:color="auto" w:fill="ffffff"/>
          <w:lang w:eastAsia="zh-CN"/>
        </w:rPr>
        <w:t xml:space="preserve">。</w:t>
      </w:r>
      <w:bookmarkEnd w:id="14"/>
      <w:r/>
      <w:r/>
    </w:p>
    <w:p>
      <w:pPr>
        <w:ind w:firstLine="482"/>
        <w:keepLines w:val="0"/>
        <w:keepNext w:val="0"/>
        <w:pageBreakBefore w:val="0"/>
        <w:spacing w:line="360" w:lineRule="auto"/>
        <w:widowControl w:val="off"/>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C.招标文件和</w:t>
      </w:r>
      <w:r>
        <w:rPr>
          <w:rFonts w:hint="eastAsia" w:ascii="宋体" w:hAnsi="宋体" w:eastAsia="宋体" w:cs="宋体"/>
          <w:b/>
          <w:bCs/>
          <w:color w:val="auto"/>
          <w:sz w:val="24"/>
          <w:szCs w:val="20"/>
          <w:highlight w:val="none"/>
          <w:shd w:val="clear" w:color="auto" w:fill="ffffff"/>
          <w:lang w:eastAsia="zh-CN"/>
        </w:rPr>
        <w:t xml:space="preserve">投标（响应）</w:t>
      </w:r>
      <w:r>
        <w:rPr>
          <w:rFonts w:hint="eastAsia" w:ascii="宋体" w:hAnsi="宋体" w:eastAsia="宋体" w:cs="宋体"/>
          <w:b/>
          <w:bCs/>
          <w:color w:val="auto"/>
          <w:sz w:val="24"/>
          <w:szCs w:val="20"/>
          <w:highlight w:val="none"/>
          <w:shd w:val="clear" w:color="auto" w:fill="ffffff"/>
        </w:rPr>
        <w:t xml:space="preserve">文件的说明</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7.招标文件</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7.1</w:t>
      </w:r>
      <w:bookmarkStart w:id="15" w:name="_Hlk193372537"/>
      <w:r>
        <w:rPr>
          <w:rFonts w:hint="eastAsia" w:ascii="宋体" w:hAnsi="宋体" w:eastAsia="宋体" w:cs="宋体"/>
          <w:color w:val="auto"/>
          <w:sz w:val="24"/>
          <w:szCs w:val="24"/>
          <w:highlight w:val="none"/>
        </w:rPr>
        <w:t xml:space="preserve">招标文件由招标文件总目录所列内容组成，</w:t>
      </w:r>
      <w:bookmarkEnd w:id="15"/>
      <w:r>
        <w:rPr>
          <w:rFonts w:hint="eastAsia" w:ascii="宋体" w:hAnsi="宋体" w:eastAsia="宋体" w:cs="宋体"/>
          <w:color w:val="auto"/>
          <w:sz w:val="24"/>
          <w:szCs w:val="24"/>
          <w:highlight w:val="none"/>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文件没有按招标文件要求提交全部资料，或</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文件没有对招标文件做出实质性响应，其风险由供应商自行承担，并根据有关条款规定，</w:t>
      </w:r>
      <w:bookmarkStart w:id="16" w:name="_Hlk193372564"/>
      <w:r>
        <w:rPr>
          <w:rFonts w:hint="eastAsia" w:ascii="宋体" w:hAnsi="宋体" w:eastAsia="宋体" w:cs="宋体"/>
          <w:b/>
          <w:color w:val="auto"/>
          <w:sz w:val="24"/>
          <w:szCs w:val="24"/>
          <w:highlight w:val="none"/>
        </w:rPr>
        <w:t xml:space="preserve">该电子</w:t>
      </w:r>
      <w:r>
        <w:rPr>
          <w:rFonts w:hint="eastAsia" w:ascii="宋体" w:hAnsi="宋体" w:eastAsia="宋体" w:cs="宋体"/>
          <w:b/>
          <w:color w:val="auto"/>
          <w:sz w:val="24"/>
          <w:szCs w:val="24"/>
          <w:highlight w:val="none"/>
          <w:lang w:eastAsia="zh-CN"/>
        </w:rPr>
        <w:t xml:space="preserve">投标（响应）</w:t>
      </w:r>
      <w:r>
        <w:rPr>
          <w:rFonts w:hint="eastAsia" w:ascii="宋体" w:hAnsi="宋体" w:eastAsia="宋体" w:cs="宋体"/>
          <w:b/>
          <w:color w:val="auto"/>
          <w:sz w:val="24"/>
          <w:szCs w:val="24"/>
          <w:highlight w:val="none"/>
        </w:rPr>
        <w:t xml:space="preserve">文件将被视为未实质性响应。</w:t>
      </w:r>
      <w:bookmarkEnd w:id="16"/>
      <w:r/>
      <w:r/>
    </w:p>
    <w:p>
      <w:pPr>
        <w:ind w:firstLine="480"/>
        <w:jc w:val="left"/>
        <w:keepLines w:val="0"/>
        <w:keepNext w:val="0"/>
        <w:pageBreakBefore w:val="0"/>
        <w:spacing w:line="360" w:lineRule="auto"/>
        <w:widowControl w:val="off"/>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4"/>
          <w:highlight w:val="none"/>
        </w:rPr>
        <w:t xml:space="preserve">7.2招标文件及其补充文件</w:t>
      </w:r>
      <w:bookmarkStart w:id="17" w:name="_Hlk193372622"/>
      <w:r>
        <w:rPr>
          <w:rFonts w:hint="eastAsia" w:ascii="宋体" w:hAnsi="宋体" w:eastAsia="宋体" w:cs="宋体"/>
          <w:color w:val="auto"/>
          <w:sz w:val="24"/>
          <w:szCs w:val="24"/>
          <w:highlight w:val="none"/>
        </w:rPr>
        <w:t xml:space="preserve">未按规定的方式获得的</w:t>
      </w:r>
      <w:bookmarkEnd w:id="17"/>
      <w:r>
        <w:rPr>
          <w:rFonts w:hint="eastAsia" w:ascii="宋体" w:hAnsi="宋体" w:eastAsia="宋体" w:cs="宋体"/>
          <w:color w:val="auto"/>
          <w:sz w:val="24"/>
          <w:szCs w:val="24"/>
          <w:highlight w:val="none"/>
        </w:rPr>
        <w:t xml:space="preserve">，采购代理机构对招标文件及其补遗的真实性、完整性不承担任何责任。</w:t>
      </w:r>
      <w:r/>
    </w:p>
    <w:p>
      <w:pPr>
        <w:ind w:left="485"/>
        <w:keepLines w:val="0"/>
        <w:keepNext w:val="0"/>
        <w:pageBreakBefore w:val="0"/>
        <w:spacing w:line="360" w:lineRule="auto"/>
        <w:widowControl w:val="off"/>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bookmarkStart w:id="18" w:name="_Hlk193372773"/>
      <w:r>
        <w:rPr>
          <w:rFonts w:hint="eastAsia" w:ascii="宋体" w:hAnsi="宋体" w:eastAsia="宋体" w:cs="宋体"/>
          <w:b/>
          <w:color w:val="auto"/>
          <w:sz w:val="24"/>
          <w:szCs w:val="24"/>
          <w:highlight w:val="none"/>
          <w:shd w:val="clear" w:color="auto" w:fill="ffffff"/>
        </w:rPr>
        <w:t xml:space="preserve">8.招标文件的询问</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供应商在收到招标文件后，若有问题需要询问，应于下载招标文件后，可通过公告中的联系方式及时提出，采购人或采购代理机构将予以解答。</w:t>
      </w:r>
      <w:r/>
    </w:p>
    <w:p>
      <w:pPr>
        <w:ind w:left="485"/>
        <w:keepLines w:val="0"/>
        <w:keepNext w:val="0"/>
        <w:pageBreakBefore w:val="0"/>
        <w:spacing w:line="360" w:lineRule="auto"/>
        <w:widowControl w:val="off"/>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9.现场踏勘</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供应商可自行对有关现场和周围环境进行踏勘，以获取编制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文件和签署合同所需的信息，踏勘现场所发生的费用由供应商自己承担。</w:t>
      </w:r>
      <w:r/>
    </w:p>
    <w:p>
      <w:pPr>
        <w:ind w:left="485"/>
        <w:keepLines w:val="0"/>
        <w:keepNext w:val="0"/>
        <w:pageBreakBefore w:val="0"/>
        <w:spacing w:line="360" w:lineRule="auto"/>
        <w:widowControl w:val="off"/>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10.集中现场考察</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rPr>
        <w:t xml:space="preserve">种方式组织集中现场考察：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①采购人不组织集中现场考察；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②采购人组织集中现场考察，请供应商持在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苏采云”系统中下载本项目采购文件的</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，按以下时间地点参加集中现场考察：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集合时间：</w:t>
      </w:r>
      <w:r>
        <w:rPr>
          <w:rFonts w:hint="eastAsia" w:ascii="宋体" w:hAnsi="宋体" w:eastAsia="宋体" w:cs="宋体"/>
          <w:color w:val="auto"/>
          <w:sz w:val="24"/>
          <w:szCs w:val="24"/>
          <w:highlight w:val="none"/>
          <w:u w:val="single"/>
        </w:rPr>
        <w:t xml:space="preserve">/年/月/日/时/分（北京时间）</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集合地点：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请供应商安排好行程，不得迟到。未提供《投标供应商确认函》或迟到者，恕不接待。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10.1根据自身</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需要，供应商可对项目相关情况进行考察，以获取编制</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文件和签署合同所需的信息。考察现场所发生的费用由供应商自己承担。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10.3经采购人允许，供应商可为考察目的进入采购人的项目现场，但供应商不得因此使采购人承担有关的责任和蒙受损失。供应商应承担考察现场的责任和风险。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10.4供应商应在现场考察时，熟悉现场及本项目的背景概况等情况，以获得一切可能影响其</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的直接资料。供应商中标后，不得以不完全了解情况为理由而向采购人或采购代理机构提出任何索赔的要求，对此采购人或采购代理机构不承担任何责任并将不作任何答复与考虑。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10.5由于未进行现场考察造成的任何问题由供应商自行承担。</w:t>
      </w:r>
      <w:r/>
    </w:p>
    <w:p>
      <w:pPr>
        <w:ind w:left="485"/>
        <w:keepLines w:val="0"/>
        <w:keepNext w:val="0"/>
        <w:pageBreakBefore w:val="0"/>
        <w:spacing w:line="360" w:lineRule="auto"/>
        <w:widowControl w:val="off"/>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11.招标文件的澄清或修改</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11.1在</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11.2为保证供应商有足够时间修正</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文件，或出于其他合理原因，采购代理机构可依法顺延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截止时间和开标时间。</w:t>
      </w:r>
      <w:r/>
    </w:p>
    <w:p>
      <w:pPr>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失败或损失由供应商自行负责。</w:t>
      </w:r>
      <w:bookmarkEnd w:id="18"/>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12.提示与要求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12.1供应商应仔细阅读招标文件的所有内容，按招标文件的要求提供</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文件，并保证所提供的全部资料的真实性，以使其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对招标文件作出实质性响应，否则，其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可能被拒绝。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12.2无论是否递交</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文件，供应商都应将招标文件及以后的所有通知、文件等视为保密文件。</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13.</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文件计量单位和使用文字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13.1</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文件中所使用的计量单位，除招标文件中有特殊要求外，均应使用中华人民共和国法定计量单位。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rPr>
        <w:t xml:space="preserve">13.2</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文件应使用中文编制，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文件中必须使用其他文字的，必须附有中文译本。对于未附有中文译本和中文译本不准确的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文件可能引起的对供应商不利的后果，</w:t>
      </w:r>
      <w:bookmarkStart w:id="19" w:name="_Hlk193372870"/>
      <w:r>
        <w:rPr>
          <w:rFonts w:hint="eastAsia" w:ascii="宋体" w:hAnsi="宋体" w:eastAsia="宋体" w:cs="宋体"/>
          <w:color w:val="auto"/>
          <w:sz w:val="24"/>
          <w:szCs w:val="24"/>
          <w:highlight w:val="none"/>
          <w:shd w:val="clear" w:color="auto" w:fill="ffffff"/>
        </w:rPr>
        <w:t xml:space="preserve">采购人或采购代理机构概不负责。</w:t>
      </w:r>
      <w:bookmarkEnd w:id="19"/>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14.</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文件的组成</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14.1</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书：</w:t>
      </w:r>
      <w:r/>
    </w:p>
    <w:p>
      <w:pPr>
        <w:ind w:firstLine="482"/>
        <w:spacing w:line="360" w:lineRule="auto"/>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14.1.1封面；</w:t>
      </w:r>
      <w:r/>
    </w:p>
    <w:p>
      <w:pPr>
        <w:ind w:firstLine="482"/>
        <w:spacing w:line="360" w:lineRule="auto"/>
        <w:tabs>
          <w:tab w:val="left" w:pos="0" w:leader="none"/>
        </w:tabs>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14.1.2开标一览表（格式详见第三章）；</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14.1.3</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报价明细表（格式详见第三章）；</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14.1.4资格性审查文件</w:t>
      </w:r>
      <w:r/>
    </w:p>
    <w:tbl>
      <w:tblPr>
        <w:tblStyle w:val="959"/>
        <w:tblW w:w="10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315"/>
        <w:gridCol w:w="4767"/>
      </w:tblGrid>
      <w:tr>
        <w:trPr>
          <w:jc w:val="center"/>
          <w:trHeight w:val="462"/>
        </w:trPr>
        <w:tc>
          <w:tcPr>
            <w:tcW w:w="988" w:type="dxa"/>
            <w:vAlign w:val="center"/>
            <w:textDirection w:val="lrTb"/>
            <w:noWrap w:val="false"/>
          </w:tcPr>
          <w:p>
            <w:pPr>
              <w:pStyle w:val="968"/>
              <w:ind w:firstLine="0"/>
              <w:jc w:val="center"/>
              <w:keepLines w:val="0"/>
              <w:keepNext w:val="0"/>
              <w:pageBreakBefore w:val="0"/>
              <w:widowControl w:val="off"/>
              <w:rPr>
                <w:rFonts w:hint="eastAsia" w:ascii="宋体" w:hAnsi="宋体" w:eastAsia="宋体" w:cs="宋体"/>
                <w:color w:val="auto"/>
                <w:sz w:val="21"/>
                <w:highlight w:val="none"/>
              </w:rPr>
            </w:pPr>
            <w:r/>
            <w:bookmarkStart w:id="20" w:name="_Hlk193373287"/>
            <w:r>
              <w:rPr>
                <w:rFonts w:hint="eastAsia" w:ascii="宋体" w:hAnsi="宋体" w:eastAsia="宋体" w:cs="宋体"/>
                <w:color w:val="auto"/>
                <w:sz w:val="21"/>
                <w:highlight w:val="none"/>
              </w:rPr>
              <w:t xml:space="preserve">序号</w:t>
            </w:r>
            <w:r/>
          </w:p>
        </w:tc>
        <w:tc>
          <w:tcPr>
            <w:tcW w:w="4315" w:type="dxa"/>
            <w:vAlign w:val="center"/>
            <w:textDirection w:val="lrTb"/>
            <w:noWrap w:val="false"/>
          </w:tcPr>
          <w:p>
            <w:pPr>
              <w:pStyle w:val="968"/>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评审项</w:t>
            </w:r>
            <w:r/>
          </w:p>
        </w:tc>
        <w:tc>
          <w:tcPr>
            <w:tcW w:w="4767" w:type="dxa"/>
            <w:vAlign w:val="center"/>
            <w:textDirection w:val="lrTb"/>
            <w:noWrap w:val="false"/>
          </w:tcPr>
          <w:p>
            <w:pPr>
              <w:pStyle w:val="968"/>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评审要求</w:t>
            </w:r>
            <w:r/>
          </w:p>
        </w:tc>
      </w:tr>
      <w:tr>
        <w:trPr>
          <w:jc w:val="center"/>
          <w:trHeight w:val="462"/>
        </w:trPr>
        <w:tc>
          <w:tcPr>
            <w:gridSpan w:val="3"/>
            <w:tcW w:w="10070" w:type="dxa"/>
            <w:vAlign w:val="center"/>
            <w:textDirection w:val="lrTb"/>
            <w:noWrap w:val="false"/>
          </w:tcPr>
          <w:p>
            <w:pPr>
              <w:pStyle w:val="968"/>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一、基本资格条件</w:t>
            </w:r>
            <w:r/>
          </w:p>
        </w:tc>
      </w:tr>
      <w:tr>
        <w:trPr>
          <w:jc w:val="center"/>
          <w:trHeight w:val="23"/>
        </w:trPr>
        <w:tc>
          <w:tcPr>
            <w:tcW w:w="988" w:type="dxa"/>
            <w:vAlign w:val="center"/>
            <w:textDirection w:val="lrTb"/>
            <w:noWrap w:val="false"/>
          </w:tcPr>
          <w:p>
            <w:pPr>
              <w:pStyle w:val="968"/>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4315" w:type="dxa"/>
            <w:vAlign w:val="center"/>
            <w:textDirection w:val="lrTb"/>
            <w:noWrap w:val="false"/>
          </w:tcPr>
          <w:p>
            <w:pPr>
              <w:pStyle w:val="968"/>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具有独立承担民事责任的能力</w:t>
            </w:r>
            <w:r/>
          </w:p>
        </w:tc>
        <w:tc>
          <w:tcPr>
            <w:tcW w:w="4767" w:type="dxa"/>
            <w:vAlign w:val="center"/>
            <w:textDirection w:val="lrTb"/>
            <w:noWrap w:val="false"/>
          </w:tcPr>
          <w:p>
            <w:pPr>
              <w:pStyle w:val="968"/>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供应商提供包括法人或者其他组织的营业执照等证明文件，自然人的身份证明。</w:t>
            </w:r>
            <w:r/>
          </w:p>
        </w:tc>
      </w:tr>
      <w:tr>
        <w:trPr>
          <w:jc w:val="center"/>
          <w:trHeight w:val="23"/>
        </w:trPr>
        <w:tc>
          <w:tcPr>
            <w:tcW w:w="988" w:type="dxa"/>
            <w:vAlign w:val="center"/>
            <w:textDirection w:val="lrTb"/>
            <w:noWrap w:val="false"/>
          </w:tcPr>
          <w:p>
            <w:pPr>
              <w:pStyle w:val="968"/>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W w:w="4315" w:type="dxa"/>
            <w:vAlign w:val="center"/>
            <w:textDirection w:val="lrTb"/>
            <w:noWrap w:val="false"/>
          </w:tcPr>
          <w:p>
            <w:pPr>
              <w:pStyle w:val="968"/>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p>
        </w:tc>
        <w:tc>
          <w:tcPr>
            <w:tcW w:w="4767" w:type="dxa"/>
            <w:vAlign w:val="center"/>
            <w:textDirection w:val="lrTb"/>
            <w:noWrap w:val="false"/>
          </w:tcPr>
          <w:p>
            <w:pPr>
              <w:pStyle w:val="968"/>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法人的，应提供最近一期的财务报告（包括但不限于资产负债表、利润表、现金流量表等会计报表），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988" w:type="dxa"/>
            <w:vAlign w:val="center"/>
            <w:textDirection w:val="lrTb"/>
            <w:noWrap w:val="false"/>
          </w:tcPr>
          <w:p>
            <w:pPr>
              <w:pStyle w:val="968"/>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w:t>
            </w:r>
            <w:r/>
          </w:p>
        </w:tc>
        <w:tc>
          <w:tcPr>
            <w:tcW w:w="4315" w:type="dxa"/>
            <w:vAlign w:val="center"/>
            <w:textDirection w:val="lrTb"/>
            <w:noWrap w:val="false"/>
          </w:tcPr>
          <w:p>
            <w:pPr>
              <w:pStyle w:val="968"/>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具有履行合同所必需的设备和专业技术能力</w:t>
            </w:r>
            <w:r/>
          </w:p>
        </w:tc>
        <w:tc>
          <w:tcPr>
            <w:tcW w:w="4767" w:type="dxa"/>
            <w:vAlign w:val="center"/>
            <w:textDirection w:val="lrTb"/>
            <w:noWrap w:val="false"/>
          </w:tcPr>
          <w:p>
            <w:pPr>
              <w:pStyle w:val="968"/>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供应商提供设备清单、相关技术人员的职称证书和用工合同或具有履行合同所必需的设备和专业技术能力的承诺书（格式自拟）。</w:t>
            </w:r>
            <w:r/>
          </w:p>
        </w:tc>
      </w:tr>
      <w:tr>
        <w:trPr>
          <w:jc w:val="center"/>
          <w:trHeight w:val="23"/>
        </w:trPr>
        <w:tc>
          <w:tcPr>
            <w:tcW w:w="988" w:type="dxa"/>
            <w:vAlign w:val="center"/>
            <w:textDirection w:val="lrTb"/>
            <w:noWrap w:val="false"/>
          </w:tcPr>
          <w:p>
            <w:pPr>
              <w:pStyle w:val="968"/>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w:t>
            </w:r>
            <w:r/>
          </w:p>
        </w:tc>
        <w:tc>
          <w:tcPr>
            <w:tcW w:w="4315" w:type="dxa"/>
            <w:vAlign w:val="center"/>
            <w:textDirection w:val="lrTb"/>
            <w:noWrap w:val="false"/>
          </w:tcPr>
          <w:p>
            <w:pPr>
              <w:pStyle w:val="968"/>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具有依法缴纳税收和社会保障资金的良好记录</w:t>
            </w:r>
            <w:r/>
          </w:p>
        </w:tc>
        <w:tc>
          <w:tcPr>
            <w:tcW w:w="4767" w:type="dxa"/>
            <w:vAlign w:val="center"/>
            <w:textDirection w:val="lrTb"/>
            <w:noWrap w:val="false"/>
          </w:tcPr>
          <w:p>
            <w:pPr>
              <w:ind w:firstLine="0"/>
              <w:jc w:val="left"/>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供应商提供参加本次政府采购活动前一段时间内依法缴纳税收（供应商如为法人的，包括但不限于企业所得税和增值税）和社会保险的凭据；依法免税或不需要缴纳社会保障资金的供应商，应提供相应文件证明其依法免税或不需要缴纳社会保障资金。</w:t>
            </w:r>
            <w:r/>
          </w:p>
        </w:tc>
      </w:tr>
      <w:tr>
        <w:trPr>
          <w:jc w:val="center"/>
          <w:trHeight w:val="785"/>
        </w:trPr>
        <w:tc>
          <w:tcPr>
            <w:tcW w:w="988" w:type="dxa"/>
            <w:vAlign w:val="center"/>
            <w:textDirection w:val="lrTb"/>
            <w:noWrap w:val="false"/>
          </w:tcPr>
          <w:p>
            <w:pPr>
              <w:pStyle w:val="968"/>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w:t>
            </w:r>
            <w:r/>
          </w:p>
        </w:tc>
        <w:tc>
          <w:tcPr>
            <w:tcW w:w="4315" w:type="dxa"/>
            <w:vAlign w:val="center"/>
            <w:textDirection w:val="lrTb"/>
            <w:noWrap w:val="false"/>
          </w:tcPr>
          <w:p>
            <w:pPr>
              <w:pStyle w:val="968"/>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参加政府采购活动前三年内，在经营活动中没有重大违法记录</w:t>
            </w:r>
            <w:r/>
          </w:p>
        </w:tc>
        <w:tc>
          <w:tcPr>
            <w:tcW w:w="4767" w:type="dxa"/>
            <w:vAlign w:val="center"/>
            <w:textDirection w:val="lrTb"/>
            <w:noWrap w:val="false"/>
          </w:tcPr>
          <w:p>
            <w:pPr>
              <w:pStyle w:val="968"/>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供应商提供参加政府采购活动前三年内在经营活动中没有重大违法记录的书面声明。</w:t>
            </w:r>
            <w:r/>
          </w:p>
        </w:tc>
      </w:tr>
      <w:tr>
        <w:trPr>
          <w:jc w:val="center"/>
          <w:trHeight w:val="23"/>
        </w:trPr>
        <w:tc>
          <w:tcPr>
            <w:tcW w:w="988" w:type="dxa"/>
            <w:vAlign w:val="center"/>
            <w:textDirection w:val="lrTb"/>
            <w:noWrap w:val="false"/>
          </w:tcPr>
          <w:p>
            <w:pPr>
              <w:pStyle w:val="968"/>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w:t>
            </w:r>
            <w:r/>
          </w:p>
        </w:tc>
        <w:tc>
          <w:tcPr>
            <w:tcW w:w="4315" w:type="dxa"/>
            <w:vAlign w:val="center"/>
            <w:textDirection w:val="lrTb"/>
            <w:noWrap w:val="false"/>
          </w:tcPr>
          <w:p>
            <w:pPr>
              <w:pStyle w:val="968"/>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法律、行政法规规定的其他条件</w:t>
            </w:r>
            <w:r/>
          </w:p>
        </w:tc>
        <w:tc>
          <w:tcPr>
            <w:tcW w:w="4767" w:type="dxa"/>
            <w:vAlign w:val="center"/>
            <w:textDirection w:val="lrTb"/>
            <w:noWrap w:val="false"/>
          </w:tcPr>
          <w:p>
            <w:pPr>
              <w:pStyle w:val="968"/>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符合法律、行政法规规定的其他条件的证明材料或书面声明。</w:t>
            </w:r>
            <w:r/>
          </w:p>
        </w:tc>
      </w:tr>
      <w:tr>
        <w:trPr>
          <w:jc w:val="center"/>
          <w:trHeight w:val="472"/>
        </w:trPr>
        <w:tc>
          <w:tcPr>
            <w:gridSpan w:val="3"/>
            <w:tcW w:w="10070" w:type="dxa"/>
            <w:vAlign w:val="center"/>
            <w:textDirection w:val="lrTb"/>
            <w:noWrap w:val="false"/>
          </w:tcPr>
          <w:p>
            <w:pPr>
              <w:pStyle w:val="968"/>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二、落实政府采购政策需满足的资格要求</w:t>
            </w:r>
            <w:r/>
          </w:p>
        </w:tc>
      </w:tr>
      <w:tr>
        <w:trPr>
          <w:jc w:val="center"/>
          <w:trHeight w:val="23"/>
        </w:trPr>
        <w:tc>
          <w:tcPr>
            <w:tcW w:w="988" w:type="dxa"/>
            <w:vAlign w:val="center"/>
            <w:textDirection w:val="lrTb"/>
            <w:noWrap w:val="false"/>
          </w:tcPr>
          <w:p>
            <w:pPr>
              <w:pStyle w:val="968"/>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4315" w:type="dxa"/>
            <w:vAlign w:val="center"/>
            <w:textDirection w:val="lrTb"/>
            <w:noWrap w:val="false"/>
          </w:tcPr>
          <w:p>
            <w:pPr>
              <w:pStyle w:val="968"/>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根据《政府采购促进中小企业发展管理办法》（财库〔2020〕46号）等相关规定，本项目：</w:t>
            </w:r>
            <w:r>
              <w:rPr>
                <w:rFonts w:hint="eastAsia" w:ascii="宋体" w:hAnsi="宋体" w:eastAsia="宋体" w:cs="宋体"/>
                <w:bCs/>
                <w:color w:val="auto"/>
                <w:sz w:val="21"/>
                <w:highlight w:val="none"/>
                <w:u w:val="single"/>
              </w:rPr>
              <w:t xml:space="preserve">专门面向</w:t>
            </w:r>
            <w:r>
              <w:rPr>
                <w:rFonts w:hint="eastAsia" w:ascii="宋体" w:hAnsi="宋体" w:eastAsia="宋体" w:cs="宋体"/>
                <w:bCs/>
                <w:color w:val="auto"/>
                <w:sz w:val="21"/>
                <w:highlight w:val="none"/>
              </w:rPr>
              <w:t xml:space="preserve">中小企业</w:t>
            </w:r>
            <w:r>
              <w:rPr>
                <w:rFonts w:hint="eastAsia" w:ascii="宋体" w:hAnsi="宋体" w:eastAsia="宋体" w:cs="宋体"/>
                <w:color w:val="auto"/>
                <w:sz w:val="21"/>
                <w:highlight w:val="none"/>
              </w:rPr>
              <w:t xml:space="preserve">。</w:t>
            </w:r>
            <w:r>
              <w:rPr>
                <w:rFonts w:hint="eastAsia" w:ascii="宋体" w:hAnsi="宋体" w:eastAsia="宋体" w:cs="宋体"/>
                <w:color w:val="auto"/>
                <w:sz w:val="21"/>
                <w:szCs w:val="21"/>
                <w:highlight w:val="none"/>
              </w:rPr>
              <w:t xml:space="preserve">供应商应为中小微企业、监狱企业或残疾人福利性单位。</w:t>
            </w:r>
            <w:r/>
          </w:p>
        </w:tc>
        <w:tc>
          <w:tcPr>
            <w:tcW w:w="4767" w:type="dxa"/>
            <w:textDirection w:val="lrTb"/>
            <w:noWrap w:val="false"/>
          </w:tcPr>
          <w:p>
            <w:pPr>
              <w:pStyle w:val="968"/>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供应商提供以下三类文件之一的即符合本条要求，否则，将不享受中小企业扶持政策：</w:t>
            </w:r>
            <w:r/>
          </w:p>
          <w:p>
            <w:pPr>
              <w:pStyle w:val="968"/>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1、中小企业声明函（格式见第三章）；</w:t>
            </w:r>
            <w:r/>
          </w:p>
          <w:p>
            <w:pPr>
              <w:pStyle w:val="968"/>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2、残疾人福利性单位声明函（格式见第三章）；</w:t>
            </w:r>
            <w:r/>
          </w:p>
          <w:p>
            <w:pPr>
              <w:pStyle w:val="968"/>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3、监狱企业证明文件，由省级以上监狱管理局、戒毒管理局（含新疆生产建设兵团）出具。</w:t>
            </w:r>
            <w:r/>
          </w:p>
          <w:p>
            <w:pPr>
              <w:pStyle w:val="968"/>
              <w:ind w:firstLine="0"/>
              <w:jc w:val="left"/>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rPr>
              <w:t xml:space="preserve">注：若供应商提供的声明函内容不实，或文件材料为虚假材料的，依照《</w:t>
            </w:r>
            <w:r>
              <w:rPr>
                <w:rFonts w:hint="eastAsia" w:ascii="宋体" w:hAnsi="宋体" w:eastAsia="宋体" w:cs="宋体"/>
                <w:color w:val="auto"/>
                <w:sz w:val="21"/>
                <w:szCs w:val="21"/>
                <w:highlight w:val="none"/>
              </w:rPr>
              <w:t xml:space="preserve">中华人民共和国</w:t>
            </w:r>
            <w:r>
              <w:rPr>
                <w:rFonts w:hint="eastAsia" w:ascii="宋体" w:hAnsi="宋体" w:eastAsia="宋体" w:cs="宋体"/>
                <w:color w:val="auto"/>
                <w:sz w:val="21"/>
                <w:szCs w:val="21"/>
                <w:highlight w:val="none"/>
              </w:rPr>
              <w:t xml:space="preserve">政府采购法》等相关</w:t>
            </w:r>
            <w:r>
              <w:rPr>
                <w:rFonts w:hint="eastAsia" w:ascii="宋体" w:hAnsi="宋体" w:eastAsia="宋体" w:cs="宋体"/>
                <w:color w:val="auto"/>
                <w:sz w:val="21"/>
                <w:szCs w:val="21"/>
                <w:highlight w:val="none"/>
              </w:rPr>
              <w:t xml:space="preserve">法律法规</w:t>
            </w:r>
            <w:r>
              <w:rPr>
                <w:rFonts w:hint="eastAsia" w:ascii="宋体" w:hAnsi="宋体" w:eastAsia="宋体" w:cs="宋体"/>
                <w:color w:val="auto"/>
                <w:sz w:val="21"/>
                <w:szCs w:val="21"/>
                <w:highlight w:val="none"/>
              </w:rPr>
              <w:t xml:space="preserve">处理并报请政府监管部门给予行政处罚。</w:t>
            </w:r>
            <w:r/>
          </w:p>
        </w:tc>
      </w:tr>
      <w:tr>
        <w:trPr>
          <w:jc w:val="center"/>
          <w:trHeight w:val="405"/>
        </w:trPr>
        <w:tc>
          <w:tcPr>
            <w:gridSpan w:val="3"/>
            <w:tcW w:w="10070" w:type="dxa"/>
            <w:vAlign w:val="center"/>
            <w:textDirection w:val="lrTb"/>
            <w:noWrap w:val="false"/>
          </w:tcPr>
          <w:p>
            <w:pPr>
              <w:pStyle w:val="968"/>
              <w:ind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三、本项目的特定资格要求</w:t>
            </w:r>
            <w:r/>
          </w:p>
        </w:tc>
      </w:tr>
      <w:tr>
        <w:trPr>
          <w:jc w:val="center"/>
          <w:trHeight w:val="23"/>
        </w:trPr>
        <w:tc>
          <w:tcPr>
            <w:tcW w:w="988" w:type="dxa"/>
            <w:vAlign w:val="center"/>
            <w:textDirection w:val="lrTb"/>
            <w:noWrap w:val="false"/>
          </w:tcPr>
          <w:p>
            <w:pPr>
              <w:pStyle w:val="968"/>
              <w:ind w:firstLine="0"/>
              <w:jc w:val="center"/>
              <w:keepLines w:val="0"/>
              <w:keepNext w:val="0"/>
              <w:pageBreakBefore w:val="0"/>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shd w:val="clear" w:color="auto" w:fill="auto"/>
            <w:tcW w:w="4315" w:type="dxa"/>
            <w:vAlign w:val="center"/>
            <w:textDirection w:val="lrTb"/>
            <w:noWrap w:val="false"/>
          </w:tcPr>
          <w:p>
            <w:pPr>
              <w:pStyle w:val="968"/>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未被“信用中国”（www.creditchina.gov.cn）等相关网站列入失信被执行人、重大税收违法案件当事人名单、政府采购严重失信行为记录名单。</w:t>
            </w:r>
            <w:r/>
          </w:p>
        </w:tc>
        <w:tc>
          <w:tcPr>
            <w:shd w:val="clear" w:color="auto" w:fill="auto"/>
            <w:tcW w:w="4767" w:type="dxa"/>
            <w:vAlign w:val="center"/>
            <w:textDirection w:val="lrTb"/>
            <w:noWrap w:val="false"/>
          </w:tcPr>
          <w:p>
            <w:pPr>
              <w:pStyle w:val="968"/>
              <w:ind w:firstLine="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供应商无需提供相关证明资料，由采购代理机构按照招标文件第二章“21.信用查询”要求执行。</w:t>
            </w:r>
            <w:bookmarkEnd w:id="20"/>
            <w:r/>
            <w:r/>
          </w:p>
        </w:tc>
      </w:tr>
    </w:tbl>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以上是资格性审查的要求和必须提供的材料，未按要求提供的投标（响应）无效。</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14.1.5符合性审查响应文件</w:t>
      </w:r>
      <w:r/>
    </w:p>
    <w:tbl>
      <w:tblPr>
        <w:tblStyle w:val="959"/>
        <w:tblW w:w="4743" w:type="pct"/>
        <w:tblInd w:w="4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3954"/>
        <w:gridCol w:w="4740"/>
      </w:tblGrid>
      <w:tr>
        <w:trPr>
          <w:trHeight w:val="452"/>
        </w:trPr>
        <w:tc>
          <w:tcPr>
            <w:tcW w:w="350" w:type="pct"/>
            <w:vAlign w:val="center"/>
            <w:textDirection w:val="lrTb"/>
            <w:noWrap w:val="false"/>
          </w:tcPr>
          <w:p>
            <w:pPr>
              <w:pStyle w:val="968"/>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115" w:type="pct"/>
            <w:vAlign w:val="center"/>
            <w:textDirection w:val="lrTb"/>
            <w:noWrap w:val="false"/>
          </w:tcPr>
          <w:p>
            <w:pPr>
              <w:pStyle w:val="968"/>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评审项</w:t>
            </w:r>
            <w:r/>
          </w:p>
        </w:tc>
        <w:tc>
          <w:tcPr>
            <w:tcW w:w="2533" w:type="pct"/>
            <w:vAlign w:val="center"/>
            <w:textDirection w:val="lrTb"/>
            <w:noWrap w:val="false"/>
          </w:tcPr>
          <w:p>
            <w:pPr>
              <w:pStyle w:val="968"/>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评审要求</w:t>
            </w:r>
            <w:r/>
          </w:p>
        </w:tc>
      </w:tr>
      <w:tr>
        <w:trPr>
          <w:trHeight w:val="392"/>
        </w:trPr>
        <w:tc>
          <w:tcPr>
            <w:gridSpan w:val="3"/>
            <w:tcW w:w="5000" w:type="pct"/>
            <w:vAlign w:val="center"/>
            <w:textDirection w:val="lrTb"/>
            <w:noWrap w:val="false"/>
          </w:tcPr>
          <w:p>
            <w:pPr>
              <w:pStyle w:val="968"/>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一、报价要求</w:t>
            </w:r>
            <w:r/>
          </w:p>
        </w:tc>
      </w:tr>
      <w:tr>
        <w:trPr>
          <w:trHeight w:val="23"/>
        </w:trPr>
        <w:tc>
          <w:tcPr>
            <w:tcW w:w="350" w:type="pct"/>
            <w:vAlign w:val="center"/>
            <w:textDirection w:val="lrTb"/>
            <w:noWrap w:val="false"/>
          </w:tcPr>
          <w:p>
            <w:pPr>
              <w:pStyle w:val="968"/>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15" w:type="pct"/>
            <w:vAlign w:val="center"/>
            <w:textDirection w:val="lrTb"/>
            <w:noWrap w:val="false"/>
          </w:tcPr>
          <w:p>
            <w:pPr>
              <w:pStyle w:val="968"/>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供应商报价不得超出采购预算及最高限价</w:t>
            </w:r>
            <w:r/>
          </w:p>
        </w:tc>
        <w:tc>
          <w:tcPr>
            <w:tcW w:w="2533" w:type="pct"/>
            <w:vAlign w:val="center"/>
            <w:textDirection w:val="lrTb"/>
            <w:noWrap w:val="false"/>
          </w:tcPr>
          <w:p>
            <w:pPr>
              <w:pStyle w:val="968"/>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以响应文件报价为准(供应商无须单独提供资料)</w:t>
            </w:r>
            <w:r/>
          </w:p>
        </w:tc>
      </w:tr>
      <w:tr>
        <w:trPr>
          <w:trHeight w:val="412"/>
        </w:trPr>
        <w:tc>
          <w:tcPr>
            <w:gridSpan w:val="3"/>
            <w:tcW w:w="5000" w:type="pct"/>
            <w:vAlign w:val="center"/>
            <w:textDirection w:val="lrTb"/>
            <w:noWrap w:val="false"/>
          </w:tcPr>
          <w:p>
            <w:pPr>
              <w:pStyle w:val="968"/>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二、商务要求</w:t>
            </w:r>
            <w:r/>
          </w:p>
        </w:tc>
      </w:tr>
      <w:tr>
        <w:trPr>
          <w:trHeight w:val="482"/>
        </w:trPr>
        <w:tc>
          <w:tcPr>
            <w:shd w:val="clear" w:color="auto" w:fill="auto"/>
            <w:tcW w:w="350" w:type="pct"/>
            <w:vAlign w:val="center"/>
            <w:textDirection w:val="lrTb"/>
            <w:noWrap w:val="false"/>
          </w:tcPr>
          <w:p>
            <w:pPr>
              <w:pStyle w:val="968"/>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1</w:t>
            </w:r>
            <w:r/>
          </w:p>
        </w:tc>
        <w:tc>
          <w:tcPr>
            <w:tcW w:w="2115" w:type="pct"/>
            <w:vAlign w:val="center"/>
            <w:textDirection w:val="lrTb"/>
            <w:noWrap w:val="false"/>
          </w:tcPr>
          <w:p>
            <w:pPr>
              <w:pStyle w:val="968"/>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投标（响应）函</w:t>
            </w:r>
            <w:r/>
          </w:p>
        </w:tc>
        <w:tc>
          <w:tcPr>
            <w:tcW w:w="2533" w:type="pct"/>
            <w:vAlign w:val="center"/>
            <w:textDirection w:val="lrTb"/>
            <w:noWrap w:val="false"/>
          </w:tcPr>
          <w:p>
            <w:pPr>
              <w:pStyle w:val="968"/>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532"/>
        </w:trPr>
        <w:tc>
          <w:tcPr>
            <w:shd w:val="clear" w:color="auto" w:fill="auto"/>
            <w:tcW w:w="350" w:type="pct"/>
            <w:vAlign w:val="center"/>
            <w:textDirection w:val="lrTb"/>
            <w:noWrap w:val="false"/>
          </w:tcPr>
          <w:p>
            <w:pPr>
              <w:pStyle w:val="968"/>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2</w:t>
            </w:r>
            <w:r/>
          </w:p>
        </w:tc>
        <w:tc>
          <w:tcPr>
            <w:tcW w:w="2115" w:type="pct"/>
            <w:vAlign w:val="center"/>
            <w:textDirection w:val="lrTb"/>
            <w:noWrap w:val="false"/>
          </w:tcPr>
          <w:p>
            <w:pPr>
              <w:pStyle w:val="968"/>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法定代表人授权委托书（如有授权）</w:t>
            </w:r>
            <w:r/>
          </w:p>
        </w:tc>
        <w:tc>
          <w:tcPr>
            <w:tcW w:w="2533" w:type="pct"/>
            <w:vAlign w:val="center"/>
            <w:textDirection w:val="lrTb"/>
            <w:noWrap w:val="false"/>
          </w:tcPr>
          <w:p>
            <w:pPr>
              <w:pStyle w:val="968"/>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624"/>
        </w:trPr>
        <w:tc>
          <w:tcPr>
            <w:shd w:val="clear" w:color="auto" w:fill="auto"/>
            <w:tcW w:w="350" w:type="pct"/>
            <w:vAlign w:val="center"/>
            <w:textDirection w:val="lrTb"/>
            <w:noWrap w:val="false"/>
          </w:tcPr>
          <w:p>
            <w:pPr>
              <w:pStyle w:val="968"/>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3</w:t>
            </w:r>
            <w:r/>
          </w:p>
        </w:tc>
        <w:tc>
          <w:tcPr>
            <w:tcW w:w="2115" w:type="pct"/>
            <w:vAlign w:val="center"/>
            <w:textDirection w:val="lrTb"/>
            <w:noWrap w:val="false"/>
          </w:tcPr>
          <w:p>
            <w:pPr>
              <w:pStyle w:val="968"/>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c>
          <w:tcPr>
            <w:tcW w:w="2533" w:type="pct"/>
            <w:vAlign w:val="center"/>
            <w:textDirection w:val="lrTb"/>
            <w:noWrap w:val="false"/>
          </w:tcPr>
          <w:p>
            <w:pPr>
              <w:pStyle w:val="968"/>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r>
      <w:tr>
        <w:trPr>
          <w:trHeight w:val="604"/>
        </w:trPr>
        <w:tc>
          <w:tcPr>
            <w:shd w:val="clear" w:color="auto" w:fill="auto"/>
            <w:tcW w:w="350" w:type="pct"/>
            <w:vAlign w:val="center"/>
            <w:textDirection w:val="lrTb"/>
            <w:noWrap w:val="false"/>
          </w:tcPr>
          <w:p>
            <w:pPr>
              <w:pStyle w:val="968"/>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4</w:t>
            </w:r>
            <w:r/>
          </w:p>
        </w:tc>
        <w:tc>
          <w:tcPr>
            <w:tcW w:w="2115" w:type="pct"/>
            <w:vAlign w:val="center"/>
            <w:textDirection w:val="lrTb"/>
            <w:noWrap w:val="false"/>
          </w:tcPr>
          <w:p>
            <w:pPr>
              <w:pStyle w:val="968"/>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《供应商基本情况表》《资格文件的声明函》</w:t>
            </w:r>
            <w:r/>
          </w:p>
        </w:tc>
        <w:tc>
          <w:tcPr>
            <w:tcW w:w="2533" w:type="pct"/>
            <w:vAlign w:val="center"/>
            <w:textDirection w:val="lrTb"/>
            <w:noWrap w:val="false"/>
          </w:tcPr>
          <w:p>
            <w:pPr>
              <w:pStyle w:val="968"/>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614"/>
        </w:trPr>
        <w:tc>
          <w:tcPr>
            <w:shd w:val="clear" w:color="auto" w:fill="auto"/>
            <w:tcW w:w="350" w:type="pct"/>
            <w:vAlign w:val="center"/>
            <w:textDirection w:val="lrTb"/>
            <w:noWrap w:val="false"/>
          </w:tcPr>
          <w:p>
            <w:pPr>
              <w:pStyle w:val="968"/>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5</w:t>
            </w:r>
            <w:r/>
          </w:p>
        </w:tc>
        <w:tc>
          <w:tcPr>
            <w:tcW w:w="2115" w:type="pct"/>
            <w:vAlign w:val="center"/>
            <w:textDirection w:val="lrTb"/>
            <w:noWrap w:val="false"/>
          </w:tcPr>
          <w:p>
            <w:pPr>
              <w:pStyle w:val="968"/>
              <w:jc w:val="left"/>
              <w:spacing w:line="24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《对投标人（供应商）有直接控股、管理关系的单位情况表》</w:t>
            </w:r>
            <w:r/>
          </w:p>
        </w:tc>
        <w:tc>
          <w:tcPr>
            <w:tcW w:w="2533" w:type="pct"/>
            <w:vAlign w:val="center"/>
            <w:textDirection w:val="lrTb"/>
            <w:noWrap w:val="false"/>
          </w:tcPr>
          <w:p>
            <w:pPr>
              <w:pStyle w:val="968"/>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482"/>
        </w:trPr>
        <w:tc>
          <w:tcPr>
            <w:shd w:val="clear" w:color="auto" w:fill="auto"/>
            <w:tcW w:w="350" w:type="pct"/>
            <w:vAlign w:val="center"/>
            <w:textDirection w:val="lrTb"/>
            <w:noWrap w:val="false"/>
          </w:tcPr>
          <w:p>
            <w:pPr>
              <w:pStyle w:val="968"/>
              <w:jc w:val="center"/>
              <w:spacing w:line="240" w:lineRule="auto"/>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6</w:t>
            </w:r>
            <w:r/>
          </w:p>
        </w:tc>
        <w:tc>
          <w:tcPr>
            <w:tcW w:w="2115" w:type="pct"/>
            <w:vAlign w:val="center"/>
            <w:textDirection w:val="lrTb"/>
            <w:noWrap w:val="false"/>
          </w:tcPr>
          <w:p>
            <w:pPr>
              <w:pStyle w:val="968"/>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《商务要求偏离表》</w:t>
            </w:r>
            <w:r/>
          </w:p>
        </w:tc>
        <w:tc>
          <w:tcPr>
            <w:tcW w:w="2533" w:type="pct"/>
            <w:vAlign w:val="center"/>
            <w:textDirection w:val="lrTb"/>
            <w:noWrap w:val="false"/>
          </w:tcPr>
          <w:p>
            <w:pPr>
              <w:pStyle w:val="968"/>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462"/>
        </w:trPr>
        <w:tc>
          <w:tcPr>
            <w:gridSpan w:val="3"/>
            <w:tcW w:w="5000" w:type="pct"/>
            <w:vAlign w:val="center"/>
            <w:textDirection w:val="lrTb"/>
            <w:noWrap w:val="false"/>
          </w:tcPr>
          <w:p>
            <w:pPr>
              <w:pStyle w:val="968"/>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三、技术要求</w:t>
            </w:r>
            <w:r/>
          </w:p>
        </w:tc>
      </w:tr>
      <w:tr>
        <w:trPr>
          <w:trHeight w:val="482"/>
        </w:trPr>
        <w:tc>
          <w:tcPr>
            <w:tcW w:w="350" w:type="pct"/>
            <w:vAlign w:val="center"/>
            <w:textDirection w:val="lrTb"/>
            <w:noWrap w:val="false"/>
          </w:tcPr>
          <w:p>
            <w:pPr>
              <w:pStyle w:val="968"/>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115" w:type="pct"/>
            <w:vAlign w:val="center"/>
            <w:textDirection w:val="lrTb"/>
            <w:noWrap w:val="false"/>
          </w:tcPr>
          <w:p>
            <w:pPr>
              <w:pStyle w:val="968"/>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《服务或技术要求偏离表》</w:t>
            </w:r>
            <w:r/>
          </w:p>
        </w:tc>
        <w:tc>
          <w:tcPr>
            <w:tcW w:w="2533" w:type="pct"/>
            <w:vAlign w:val="center"/>
            <w:textDirection w:val="lrTb"/>
            <w:noWrap w:val="false"/>
          </w:tcPr>
          <w:p>
            <w:pPr>
              <w:pStyle w:val="968"/>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512"/>
        </w:trPr>
        <w:tc>
          <w:tcPr>
            <w:tcW w:w="350" w:type="pct"/>
            <w:vAlign w:val="center"/>
            <w:textDirection w:val="lrTb"/>
            <w:noWrap w:val="false"/>
          </w:tcPr>
          <w:p>
            <w:pPr>
              <w:pStyle w:val="968"/>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115" w:type="pct"/>
            <w:vAlign w:val="center"/>
            <w:textDirection w:val="lrTb"/>
            <w:noWrap w:val="false"/>
          </w:tcPr>
          <w:p>
            <w:pPr>
              <w:pStyle w:val="968"/>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《针对本项目制定的服务实施方案》</w:t>
            </w:r>
            <w:r/>
          </w:p>
        </w:tc>
        <w:tc>
          <w:tcPr>
            <w:tcW w:w="2533" w:type="pct"/>
            <w:vAlign w:val="center"/>
            <w:textDirection w:val="lrTb"/>
            <w:noWrap w:val="false"/>
          </w:tcPr>
          <w:p>
            <w:pPr>
              <w:pStyle w:val="968"/>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512"/>
        </w:trPr>
        <w:tc>
          <w:tcPr>
            <w:tcW w:w="350" w:type="pct"/>
            <w:vAlign w:val="center"/>
            <w:textDirection w:val="lrTb"/>
            <w:noWrap w:val="false"/>
          </w:tcPr>
          <w:p>
            <w:pPr>
              <w:pStyle w:val="968"/>
              <w:jc w:val="center"/>
              <w:spacing w:line="240" w:lineRule="auto"/>
              <w:rPr>
                <w:rFonts w:hint="eastAsia" w:ascii="宋体" w:hAnsi="宋体" w:eastAsia="宋体" w:cs="宋体"/>
                <w:color w:val="auto"/>
                <w:sz w:val="21"/>
                <w:szCs w:val="21"/>
                <w:highlight w:val="none"/>
              </w:rPr>
            </w:pPr>
            <w:r/>
            <w:bookmarkStart w:id="21" w:name="_Hlk193373412"/>
            <w:r>
              <w:rPr>
                <w:rFonts w:hint="eastAsia" w:ascii="宋体" w:hAnsi="宋体" w:eastAsia="宋体" w:cs="宋体"/>
                <w:color w:val="auto"/>
                <w:sz w:val="21"/>
                <w:szCs w:val="21"/>
                <w:highlight w:val="none"/>
              </w:rPr>
              <w:t xml:space="preserve">3</w:t>
            </w:r>
            <w:r/>
          </w:p>
        </w:tc>
        <w:tc>
          <w:tcPr>
            <w:tcW w:w="2115" w:type="pct"/>
            <w:vAlign w:val="center"/>
            <w:textDirection w:val="lrTb"/>
            <w:noWrap w:val="false"/>
          </w:tcPr>
          <w:p>
            <w:pPr>
              <w:pStyle w:val="968"/>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采购需求中所涉及到的或供应商认为需加以说明或证明的其他有关符合性证明材料、证明（如有）</w:t>
            </w:r>
            <w:r/>
          </w:p>
        </w:tc>
        <w:tc>
          <w:tcPr>
            <w:tcW w:w="2533" w:type="pct"/>
            <w:vAlign w:val="center"/>
            <w:textDirection w:val="lrTb"/>
            <w:noWrap w:val="false"/>
          </w:tcPr>
          <w:p>
            <w:pPr>
              <w:pStyle w:val="968"/>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格式自拟</w:t>
            </w:r>
            <w:bookmarkEnd w:id="21"/>
            <w:r/>
            <w:r/>
          </w:p>
        </w:tc>
      </w:tr>
    </w:tbl>
    <w:p>
      <w:pPr>
        <w:ind w:firstLine="482"/>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以上为符合性审查的要求和必须提供的材料，</w:t>
      </w:r>
      <w:bookmarkStart w:id="22" w:name="_Hlk193373771"/>
      <w:r>
        <w:rPr>
          <w:rFonts w:hint="eastAsia" w:ascii="宋体" w:hAnsi="宋体" w:eastAsia="宋体" w:cs="宋体"/>
          <w:b/>
          <w:bCs/>
          <w:color w:val="auto"/>
          <w:sz w:val="24"/>
          <w:szCs w:val="24"/>
          <w:highlight w:val="none"/>
          <w:u w:val="single"/>
          <w:shd w:val="clear" w:color="auto" w:fill="ffffff"/>
        </w:rPr>
        <w:t xml:space="preserve">未按要求提供</w:t>
      </w:r>
      <w:bookmarkEnd w:id="22"/>
      <w:r>
        <w:rPr>
          <w:rFonts w:hint="eastAsia" w:ascii="宋体" w:hAnsi="宋体" w:eastAsia="宋体" w:cs="宋体"/>
          <w:b/>
          <w:bCs/>
          <w:color w:val="auto"/>
          <w:sz w:val="24"/>
          <w:szCs w:val="24"/>
          <w:highlight w:val="none"/>
          <w:u w:val="single"/>
          <w:shd w:val="clear" w:color="auto" w:fill="ffffff"/>
        </w:rPr>
        <w:t xml:space="preserve">的</w:t>
      </w:r>
      <w:r>
        <w:rPr>
          <w:rFonts w:hint="eastAsia" w:ascii="宋体" w:hAnsi="宋体" w:eastAsia="宋体" w:cs="宋体"/>
          <w:b/>
          <w:bCs/>
          <w:color w:val="auto"/>
          <w:sz w:val="24"/>
          <w:szCs w:val="24"/>
          <w:highlight w:val="none"/>
          <w:u w:val="single"/>
          <w:shd w:val="clear" w:color="auto" w:fill="ffffff"/>
          <w:lang w:eastAsia="zh-CN"/>
        </w:rPr>
        <w:t xml:space="preserve">投标（响应）</w:t>
      </w:r>
      <w:r>
        <w:rPr>
          <w:rFonts w:hint="eastAsia" w:ascii="宋体" w:hAnsi="宋体" w:eastAsia="宋体" w:cs="宋体"/>
          <w:b/>
          <w:bCs/>
          <w:color w:val="auto"/>
          <w:sz w:val="24"/>
          <w:szCs w:val="24"/>
          <w:highlight w:val="none"/>
          <w:u w:val="single"/>
          <w:shd w:val="clear" w:color="auto" w:fill="ffffff"/>
        </w:rPr>
        <w:t xml:space="preserve">无效。</w:t>
      </w:r>
      <w:r/>
    </w:p>
    <w:p>
      <w:pPr>
        <w:ind w:firstLine="482"/>
        <w:spacing w:line="360" w:lineRule="auto"/>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rPr>
        <w:t xml:space="preserve">14.1.6</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类似业绩情况表</w:t>
      </w:r>
      <w:r>
        <w:rPr>
          <w:rFonts w:hint="eastAsia" w:ascii="宋体" w:hAnsi="宋体" w:eastAsia="宋体" w:cs="宋体"/>
          <w:b/>
          <w:color w:val="auto"/>
          <w:sz w:val="24"/>
          <w:highlight w:val="none"/>
          <w:lang w:eastAsia="zh-CN"/>
        </w:rPr>
        <w:t xml:space="preserve">》、《拟投入本项目人员配备一览表》</w:t>
      </w:r>
      <w:r>
        <w:rPr>
          <w:rFonts w:hint="eastAsia" w:ascii="宋体" w:hAnsi="宋体" w:eastAsia="宋体" w:cs="宋体"/>
          <w:b/>
          <w:color w:val="auto"/>
          <w:sz w:val="24"/>
          <w:highlight w:val="none"/>
        </w:rPr>
        <w:t xml:space="preserve">（格式详见第三章）</w:t>
      </w:r>
      <w:r>
        <w:rPr>
          <w:rFonts w:hint="eastAsia" w:ascii="宋体" w:hAnsi="宋体" w:eastAsia="宋体" w:cs="宋体"/>
          <w:b/>
          <w:color w:val="auto"/>
          <w:sz w:val="24"/>
          <w:highlight w:val="none"/>
          <w:lang w:eastAsia="zh-CN"/>
        </w:rPr>
        <w:t xml:space="preserve">；</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14.1.</w:t>
      </w:r>
      <w:r>
        <w:rPr>
          <w:rFonts w:hint="eastAsia" w:ascii="宋体" w:hAnsi="宋体" w:eastAsia="宋体" w:cs="宋体"/>
          <w:b/>
          <w:color w:val="auto"/>
          <w:sz w:val="24"/>
          <w:highlight w:val="none"/>
          <w:lang w:val="en-US" w:eastAsia="zh-CN"/>
        </w:rPr>
        <w:t xml:space="preserve">7</w:t>
      </w:r>
      <w:r>
        <w:rPr>
          <w:rFonts w:hint="eastAsia" w:ascii="宋体" w:hAnsi="宋体" w:eastAsia="宋体" w:cs="宋体"/>
          <w:b/>
          <w:color w:val="auto"/>
          <w:sz w:val="24"/>
          <w:highlight w:val="none"/>
        </w:rPr>
        <w:t xml:space="preserve">综合评审其他文件相关要求详见采购文件第六章评审办法。</w:t>
      </w: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color w:val="auto"/>
          <w:sz w:val="24"/>
          <w:szCs w:val="24"/>
          <w:highlight w:val="none"/>
        </w:rPr>
        <w:t xml:space="preserve">供应商</w:t>
      </w:r>
      <w:r>
        <w:rPr>
          <w:rFonts w:hint="eastAsia" w:ascii="宋体" w:hAnsi="宋体" w:eastAsia="宋体" w:cs="宋体"/>
          <w:b/>
          <w:bCs/>
          <w:color w:val="auto"/>
          <w:sz w:val="24"/>
          <w:szCs w:val="24"/>
          <w:highlight w:val="none"/>
        </w:rPr>
        <w:t xml:space="preserve">必须提交上述</w:t>
      </w:r>
      <w:r>
        <w:rPr>
          <w:rFonts w:hint="eastAsia" w:ascii="宋体" w:hAnsi="宋体" w:eastAsia="宋体" w:cs="宋体"/>
          <w:b/>
          <w:color w:val="auto"/>
          <w:sz w:val="24"/>
          <w:highlight w:val="none"/>
        </w:rPr>
        <w:t xml:space="preserve">14.1</w:t>
      </w:r>
      <w:r>
        <w:rPr>
          <w:rFonts w:hint="eastAsia" w:ascii="宋体" w:hAnsi="宋体" w:eastAsia="宋体" w:cs="宋体"/>
          <w:b/>
          <w:bCs/>
          <w:color w:val="auto"/>
          <w:sz w:val="24"/>
          <w:szCs w:val="24"/>
          <w:highlight w:val="none"/>
        </w:rPr>
        <w:t xml:space="preserve">.1—</w:t>
      </w:r>
      <w:r>
        <w:rPr>
          <w:rFonts w:hint="eastAsia" w:ascii="宋体" w:hAnsi="宋体" w:eastAsia="宋体" w:cs="宋体"/>
          <w:b/>
          <w:color w:val="auto"/>
          <w:sz w:val="24"/>
          <w:highlight w:val="none"/>
        </w:rPr>
        <w:t xml:space="preserve">14.1</w:t>
      </w:r>
      <w:r>
        <w:rPr>
          <w:rFonts w:hint="eastAsia" w:ascii="宋体" w:hAnsi="宋体" w:eastAsia="宋体" w:cs="宋体"/>
          <w:b/>
          <w:bCs/>
          <w:color w:val="auto"/>
          <w:sz w:val="24"/>
          <w:szCs w:val="24"/>
          <w:highlight w:val="none"/>
        </w:rPr>
        <w:t xml:space="preserve">.5款规定的资料。否则，投标响应文件将被视为因未实质性响应招标文件要求而被拒绝。</w:t>
      </w:r>
      <w:r/>
    </w:p>
    <w:p>
      <w:pPr>
        <w:ind w:firstLine="480"/>
        <w:spacing w:line="360" w:lineRule="auto"/>
        <w:rPr>
          <w:rFonts w:hint="eastAsia" w:ascii="宋体" w:hAnsi="宋体" w:eastAsia="宋体" w:cs="宋体"/>
          <w:color w:val="auto"/>
          <w:sz w:val="24"/>
          <w:szCs w:val="24"/>
          <w:highlight w:val="none"/>
          <w:shd w:val="clear" w:color="auto" w:fill="ffffff"/>
        </w:rPr>
      </w:pPr>
      <w:r/>
      <w:bookmarkStart w:id="23" w:name="_Hlk158131259"/>
      <w:r/>
      <w:bookmarkStart w:id="24" w:name="_Hlk193374074"/>
      <w:r>
        <w:rPr>
          <w:rFonts w:hint="eastAsia" w:ascii="宋体" w:hAnsi="宋体" w:eastAsia="宋体" w:cs="宋体"/>
          <w:color w:val="auto"/>
          <w:sz w:val="24"/>
          <w:szCs w:val="24"/>
          <w:highlight w:val="none"/>
          <w:shd w:val="clear" w:color="auto" w:fill="ffffff"/>
        </w:rPr>
        <w:t xml:space="preserve">制作电子</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文件时请与电子</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文件制作软件目录一一对应，将相关资料上传至相应模块。供应商应保证上传的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文件完整、清晰可辨认，若因上传资料过小或模糊不清等无法辨认的都视为该资料未提供。</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资料的真实性，如有虚假或对招标文件所要求说明的情况故意隐瞒或虚报，视为不实质性响应招标文件，响应无效。</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文件中某些条款不响应招标文件提出的全部采购内容与服务要求，须在偏离表中逐条列出，未列出的视同响应。</w:t>
      </w:r>
      <w:bookmarkEnd w:id="23"/>
      <w:r/>
      <w:bookmarkEnd w:id="24"/>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15.</w:t>
      </w:r>
      <w:r>
        <w:rPr>
          <w:rFonts w:hint="eastAsia" w:ascii="宋体" w:hAnsi="宋体" w:eastAsia="宋体" w:cs="宋体"/>
          <w:b/>
          <w:color w:val="auto"/>
          <w:sz w:val="24"/>
          <w:szCs w:val="24"/>
          <w:highlight w:val="none"/>
        </w:rPr>
        <w:t xml:space="preserve"> 电子投标（响应）文件的制作及递交</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25" w:name="_Hlk140247794"/>
      <w:r>
        <w:rPr>
          <w:rFonts w:hint="eastAsia" w:ascii="宋体" w:hAnsi="宋体" w:eastAsia="宋体" w:cs="宋体"/>
          <w:color w:val="auto"/>
          <w:sz w:val="24"/>
          <w:szCs w:val="24"/>
          <w:highlight w:val="none"/>
        </w:rPr>
        <w:t xml:space="preserve">15.1电子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文件制作：本项目为网上招投标项目，请供应商插入CA证书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文件递交：供应商应当按照《操作手册》指引，在</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文件提交截止时间前完成电子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文件的上传，未按要求成功上传的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文件视为未递交。供应商应充分考虑到网络环境、网络带宽等风险因素，如因供应商自身原因造成的电子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15.3</w:t>
      </w:r>
      <w:r>
        <w:rPr>
          <w:rFonts w:hint="eastAsia" w:ascii="宋体" w:hAnsi="宋体" w:eastAsia="宋体" w:cs="宋体"/>
          <w:b/>
          <w:bCs/>
          <w:color w:val="auto"/>
          <w:sz w:val="24"/>
          <w:szCs w:val="24"/>
          <w:highlight w:val="none"/>
          <w:lang w:eastAsia="zh-CN"/>
        </w:rPr>
        <w:t xml:space="preserve">投标（响应）</w:t>
      </w:r>
      <w:r>
        <w:rPr>
          <w:rFonts w:hint="eastAsia" w:ascii="宋体" w:hAnsi="宋体" w:eastAsia="宋体" w:cs="宋体"/>
          <w:b/>
          <w:bCs/>
          <w:color w:val="auto"/>
          <w:sz w:val="24"/>
          <w:szCs w:val="24"/>
          <w:highlight w:val="none"/>
        </w:rPr>
        <w:t xml:space="preserve">文件未按照招标文件要求加盖CA电子公章的，响应无效。</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26" w:name="_Hlk158134955"/>
      <w:r>
        <w:rPr>
          <w:rFonts w:hint="eastAsia" w:ascii="宋体" w:hAnsi="宋体" w:eastAsia="宋体" w:cs="宋体"/>
          <w:color w:val="auto"/>
          <w:sz w:val="24"/>
          <w:szCs w:val="24"/>
          <w:highlight w:val="none"/>
        </w:rPr>
        <w:t xml:space="preserve">15.4联合体</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：如招标公告中允许联合体</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文件制作上传操作如下：</w:t>
      </w:r>
      <w:r/>
    </w:p>
    <w:p>
      <w:pPr>
        <w:pStyle w:val="960"/>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 xml:space="preserve">第一步：在</w:t>
      </w:r>
      <w:r>
        <w:rPr>
          <w:rFonts w:hint="eastAsia" w:ascii="宋体" w:hAnsi="宋体" w:eastAsia="宋体" w:cs="宋体"/>
          <w:color w:val="auto"/>
          <w:szCs w:val="24"/>
          <w:highlight w:val="none"/>
          <w:lang w:eastAsia="zh-CN"/>
        </w:rPr>
        <w:t xml:space="preserve">投标（响应）</w:t>
      </w:r>
      <w:r>
        <w:rPr>
          <w:rFonts w:hint="eastAsia" w:ascii="宋体" w:hAnsi="宋体" w:eastAsia="宋体" w:cs="宋体"/>
          <w:color w:val="auto"/>
          <w:szCs w:val="24"/>
          <w:highlight w:val="none"/>
        </w:rPr>
        <w:t xml:space="preserve">文件中上传联合体</w:t>
      </w:r>
      <w:r>
        <w:rPr>
          <w:rFonts w:hint="eastAsia" w:ascii="宋体" w:hAnsi="宋体" w:eastAsia="宋体" w:cs="宋体"/>
          <w:color w:val="auto"/>
          <w:szCs w:val="24"/>
          <w:highlight w:val="none"/>
          <w:lang w:eastAsia="zh-CN"/>
        </w:rPr>
        <w:t xml:space="preserve">投标（响应）</w:t>
      </w:r>
      <w:r>
        <w:rPr>
          <w:rFonts w:hint="eastAsia" w:ascii="宋体" w:hAnsi="宋体" w:eastAsia="宋体" w:cs="宋体"/>
          <w:color w:val="auto"/>
          <w:szCs w:val="24"/>
          <w:highlight w:val="none"/>
        </w:rPr>
        <w:t xml:space="preserve">协议书。</w:t>
      </w:r>
      <w:r>
        <w:rPr>
          <w:rFonts w:hint="eastAsia" w:ascii="宋体" w:hAnsi="宋体" w:eastAsia="宋体" w:cs="宋体"/>
          <w:bCs/>
          <w:color w:val="auto"/>
          <w:szCs w:val="24"/>
          <w:highlight w:val="none"/>
        </w:rPr>
        <w:t xml:space="preserve">（注：联合</w:t>
      </w:r>
      <w:r>
        <w:rPr>
          <w:rFonts w:hint="eastAsia" w:ascii="宋体" w:hAnsi="宋体" w:eastAsia="宋体" w:cs="宋体"/>
          <w:bCs/>
          <w:color w:val="auto"/>
          <w:szCs w:val="24"/>
          <w:highlight w:val="none"/>
          <w:lang w:eastAsia="zh-CN"/>
        </w:rPr>
        <w:t xml:space="preserve">投标（响应）</w:t>
      </w:r>
      <w:r>
        <w:rPr>
          <w:rFonts w:hint="eastAsia" w:ascii="宋体" w:hAnsi="宋体" w:eastAsia="宋体" w:cs="宋体"/>
          <w:bCs/>
          <w:color w:val="auto"/>
          <w:szCs w:val="24"/>
          <w:highlight w:val="none"/>
        </w:rPr>
        <w:t xml:space="preserve">协议书须盖有联合体各方实体公章或电子章，否则</w:t>
      </w:r>
      <w:r>
        <w:rPr>
          <w:rFonts w:hint="eastAsia" w:ascii="宋体" w:hAnsi="宋体" w:eastAsia="宋体" w:cs="宋体"/>
          <w:bCs/>
          <w:color w:val="auto"/>
          <w:szCs w:val="24"/>
          <w:highlight w:val="none"/>
          <w:lang w:eastAsia="zh-CN"/>
        </w:rPr>
        <w:t xml:space="preserve">投标（响应）</w:t>
      </w:r>
      <w:r>
        <w:rPr>
          <w:rFonts w:hint="eastAsia" w:ascii="宋体" w:hAnsi="宋体" w:eastAsia="宋体" w:cs="宋体"/>
          <w:bCs/>
          <w:color w:val="auto"/>
          <w:szCs w:val="24"/>
          <w:highlight w:val="none"/>
        </w:rPr>
        <w:t xml:space="preserve">无效。）</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文件中，由联合体中的牵头人制作</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w:t>
      </w:r>
      <w:bookmarkEnd w:id="26"/>
      <w:r/>
      <w:r/>
    </w:p>
    <w:p>
      <w:pPr>
        <w:ind w:firstLine="482"/>
        <w:jc w:val="left"/>
        <w:spacing w:line="360" w:lineRule="auto"/>
        <w:tabs>
          <w:tab w:val="left" w:pos="142" w:leader="none"/>
          <w:tab w:val="left" w:pos="60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15.5如不同</w:t>
      </w:r>
      <w:r>
        <w:rPr>
          <w:rFonts w:hint="eastAsia" w:ascii="宋体" w:hAnsi="宋体" w:eastAsia="宋体" w:cs="宋体"/>
          <w:b/>
          <w:bCs/>
          <w:color w:val="auto"/>
          <w:sz w:val="24"/>
          <w:szCs w:val="24"/>
          <w:highlight w:val="none"/>
          <w:lang w:eastAsia="zh-CN"/>
        </w:rPr>
        <w:t xml:space="preserve">投标（响应）</w:t>
      </w:r>
      <w:r>
        <w:rPr>
          <w:rFonts w:hint="eastAsia" w:ascii="宋体" w:hAnsi="宋体" w:eastAsia="宋体" w:cs="宋体"/>
          <w:b/>
          <w:bCs/>
          <w:color w:val="auto"/>
          <w:sz w:val="24"/>
          <w:szCs w:val="24"/>
          <w:highlight w:val="none"/>
        </w:rPr>
        <w:t xml:space="preserve">文件制作机器码一致，则</w:t>
      </w:r>
      <w:r>
        <w:rPr>
          <w:rFonts w:hint="eastAsia" w:ascii="宋体" w:hAnsi="宋体" w:eastAsia="宋体" w:cs="宋体"/>
          <w:b/>
          <w:bCs/>
          <w:color w:val="auto"/>
          <w:sz w:val="24"/>
          <w:szCs w:val="24"/>
          <w:highlight w:val="none"/>
          <w:lang w:eastAsia="zh-CN"/>
        </w:rPr>
        <w:t xml:space="preserve">投标（响应）</w:t>
      </w:r>
      <w:r>
        <w:rPr>
          <w:rFonts w:hint="eastAsia" w:ascii="宋体" w:hAnsi="宋体" w:eastAsia="宋体" w:cs="宋体"/>
          <w:b/>
          <w:bCs/>
          <w:color w:val="auto"/>
          <w:sz w:val="24"/>
          <w:szCs w:val="24"/>
          <w:highlight w:val="none"/>
        </w:rPr>
        <w:t xml:space="preserve">无效</w:t>
      </w:r>
      <w:r>
        <w:rPr>
          <w:rFonts w:hint="eastAsia" w:ascii="宋体" w:hAnsi="宋体" w:eastAsia="宋体" w:cs="宋体"/>
          <w:b/>
          <w:bCs/>
          <w:color w:val="auto"/>
          <w:sz w:val="24"/>
          <w:szCs w:val="24"/>
          <w:highlight w:val="none"/>
          <w:lang w:eastAsia="zh-CN"/>
        </w:rPr>
        <w:t xml:space="preserve">。</w:t>
      </w:r>
      <w:bookmarkEnd w:id="25"/>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16.</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报价（编制）要求的说明</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16.1</w:t>
      </w:r>
      <w:bookmarkStart w:id="27" w:name="_Hlk193374411"/>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报价包括完成本招标项目所需的一切费用。</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报价为最终报价，除非因特殊原因并经买卖双方协商同意，供应商不得再要求追加任何费用。同时，除非合同条款中另有规定，否则，供应商所报价格在合同实施期间不因市场变化因素而变动。</w:t>
      </w:r>
      <w:bookmarkEnd w:id="27"/>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16.2供应商应对招标文件内所要采购的全部内容进行报价，只投其中部分内容者，其标书将被拒绝。但如果招标文件要求分</w:t>
      </w:r>
      <w:r>
        <w:rPr>
          <w:rFonts w:hint="eastAsia" w:ascii="宋体" w:hAnsi="宋体" w:eastAsia="宋体" w:cs="宋体"/>
          <w:color w:val="auto"/>
          <w:sz w:val="24"/>
          <w:szCs w:val="24"/>
          <w:highlight w:val="none"/>
          <w:shd w:val="clear" w:color="auto" w:fill="ffffff"/>
          <w:lang w:eastAsia="zh-CN"/>
        </w:rPr>
        <w:t xml:space="preserve">采购包投标（响应）</w:t>
      </w:r>
      <w:r>
        <w:rPr>
          <w:rFonts w:hint="eastAsia" w:ascii="宋体" w:hAnsi="宋体" w:eastAsia="宋体" w:cs="宋体"/>
          <w:color w:val="auto"/>
          <w:sz w:val="24"/>
          <w:szCs w:val="24"/>
          <w:highlight w:val="none"/>
          <w:shd w:val="clear" w:color="auto" w:fill="ffffff"/>
        </w:rPr>
        <w:t xml:space="preserve">的，则供应商可以按招标文件要求有选择地只投其中一个或几个</w:t>
      </w:r>
      <w:r>
        <w:rPr>
          <w:rFonts w:hint="eastAsia" w:ascii="宋体" w:hAnsi="宋体" w:eastAsia="宋体" w:cs="宋体"/>
          <w:color w:val="auto"/>
          <w:sz w:val="24"/>
          <w:szCs w:val="24"/>
          <w:highlight w:val="none"/>
          <w:shd w:val="clear" w:color="auto" w:fill="ffffff"/>
          <w:lang w:eastAsia="zh-CN"/>
        </w:rPr>
        <w:t xml:space="preserve">采购包</w:t>
      </w:r>
      <w:r>
        <w:rPr>
          <w:rFonts w:hint="eastAsia" w:ascii="宋体" w:hAnsi="宋体" w:eastAsia="宋体" w:cs="宋体"/>
          <w:color w:val="auto"/>
          <w:sz w:val="24"/>
          <w:szCs w:val="24"/>
          <w:highlight w:val="none"/>
          <w:shd w:val="clear" w:color="auto" w:fill="ffffff"/>
        </w:rPr>
        <w:t xml:space="preserve">，但各</w:t>
      </w:r>
      <w:r>
        <w:rPr>
          <w:rFonts w:hint="eastAsia" w:ascii="宋体" w:hAnsi="宋体" w:eastAsia="宋体" w:cs="宋体"/>
          <w:color w:val="auto"/>
          <w:sz w:val="24"/>
          <w:szCs w:val="24"/>
          <w:highlight w:val="none"/>
          <w:shd w:val="clear" w:color="auto" w:fill="ffffff"/>
          <w:lang w:eastAsia="zh-CN"/>
        </w:rPr>
        <w:t xml:space="preserve">采购包</w:t>
      </w:r>
      <w:r>
        <w:rPr>
          <w:rFonts w:hint="eastAsia" w:ascii="宋体" w:hAnsi="宋体" w:eastAsia="宋体" w:cs="宋体"/>
          <w:color w:val="auto"/>
          <w:sz w:val="24"/>
          <w:szCs w:val="24"/>
          <w:highlight w:val="none"/>
          <w:shd w:val="clear" w:color="auto" w:fill="ffffff"/>
        </w:rPr>
        <w:t xml:space="preserve">应分别计算填写单价和总价。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16.3一项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内容只允许一个报价，采购人或采购代理机构不接受任何有选择性的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报价。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16.4</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文件报价中的单价和总价全部采用人民币表示，除非合同的特殊条款另有规定。</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16.5最低报价不能作为中标的保证。</w:t>
      </w:r>
      <w:r/>
    </w:p>
    <w:p>
      <w:pPr>
        <w:ind w:firstLine="482"/>
        <w:spacing w:line="360" w:lineRule="auto"/>
        <w:rPr>
          <w:rFonts w:hint="eastAsia" w:ascii="宋体" w:hAnsi="宋体" w:eastAsia="宋体" w:cs="宋体"/>
          <w:b/>
          <w:color w:val="auto"/>
          <w:sz w:val="24"/>
          <w:szCs w:val="24"/>
          <w:highlight w:val="none"/>
          <w:shd w:val="clear" w:color="auto" w:fill="ffffff"/>
        </w:rPr>
      </w:pPr>
      <w:r/>
      <w:bookmarkStart w:id="28" w:name="_Hlk193374841"/>
      <w:r>
        <w:rPr>
          <w:rFonts w:hint="eastAsia" w:ascii="宋体" w:hAnsi="宋体" w:eastAsia="宋体" w:cs="宋体"/>
          <w:b/>
          <w:color w:val="auto"/>
          <w:sz w:val="24"/>
          <w:szCs w:val="24"/>
          <w:highlight w:val="none"/>
          <w:shd w:val="clear" w:color="auto" w:fill="ffffff"/>
        </w:rPr>
        <w:t xml:space="preserve">17.履约保证金：</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17.1中标的供应商应按前附表的规定提交履约保证金。</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17.2在中标通知书发出的七天内，中标单位（联合体形式中标的，须为联合体的牵头人）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rPr>
        <w:t xml:space="preserve">账  户：</w:t>
      </w:r>
      <w:r>
        <w:rPr>
          <w:rFonts w:hint="eastAsia" w:ascii="宋体" w:hAnsi="宋体" w:eastAsia="宋体" w:cs="宋体"/>
          <w:color w:val="auto"/>
          <w:sz w:val="24"/>
          <w:szCs w:val="24"/>
          <w:highlight w:val="none"/>
          <w:shd w:val="clear" w:color="auto" w:fill="ffffff"/>
          <w:lang w:val="en-US" w:eastAsia="zh-CN"/>
        </w:rPr>
        <w:t xml:space="preserve">/</w:t>
      </w:r>
      <w:r/>
    </w:p>
    <w:p>
      <w:pPr>
        <w:ind w:firstLine="480"/>
        <w:spacing w:line="360" w:lineRule="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rPr>
        <w:t xml:space="preserve">开户行：</w:t>
      </w:r>
      <w:r>
        <w:rPr>
          <w:rFonts w:hint="eastAsia" w:ascii="宋体" w:hAnsi="宋体" w:eastAsia="宋体" w:cs="宋体"/>
          <w:color w:val="auto"/>
          <w:sz w:val="24"/>
          <w:szCs w:val="24"/>
          <w:highlight w:val="none"/>
          <w:shd w:val="clear" w:color="auto" w:fill="ffffff"/>
          <w:lang w:val="en-US" w:eastAsia="zh-CN"/>
        </w:rPr>
        <w:t xml:space="preserve">/</w:t>
      </w:r>
      <w:r/>
    </w:p>
    <w:p>
      <w:pPr>
        <w:ind w:firstLine="480"/>
        <w:spacing w:line="360" w:lineRule="auto"/>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rPr>
        <w:t xml:space="preserve">账  号：</w:t>
      </w:r>
      <w:r>
        <w:rPr>
          <w:rFonts w:hint="eastAsia" w:ascii="宋体" w:hAnsi="宋体" w:eastAsia="宋体" w:cs="宋体"/>
          <w:color w:val="auto"/>
          <w:sz w:val="24"/>
          <w:szCs w:val="24"/>
          <w:highlight w:val="none"/>
          <w:shd w:val="clear" w:color="auto" w:fill="ffffff"/>
          <w:lang w:val="en-US" w:eastAsia="zh-CN"/>
        </w:rPr>
        <w:t xml:space="preserve">/</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17.4履约保证金（无息）在服务期满且服务缺陷更正后，中标方配合采购人和新中标单位办理移交手续，由采购人确认后退还。如中标方对服务缺陷不予更正，采购人有权另请其他单位更正，所发生的费用在履约保证金中扣除。</w:t>
      </w:r>
      <w:bookmarkEnd w:id="28"/>
      <w:r/>
      <w:r/>
    </w:p>
    <w:p>
      <w:pPr>
        <w:ind w:firstLine="482"/>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18.</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文件的有效期</w:t>
      </w:r>
      <w:r/>
    </w:p>
    <w:p>
      <w:pPr>
        <w:ind w:firstLine="48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18.1自</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截止日起</w:t>
      </w:r>
      <w:r>
        <w:rPr>
          <w:rFonts w:hint="eastAsia" w:ascii="宋体" w:hAnsi="宋体" w:eastAsia="宋体" w:cs="宋体"/>
          <w:color w:val="auto"/>
          <w:sz w:val="24"/>
          <w:szCs w:val="24"/>
          <w:highlight w:val="none"/>
          <w:u w:val="single"/>
          <w:shd w:val="clear" w:color="auto" w:fill="ffffff"/>
        </w:rPr>
        <w:t xml:space="preserve">90</w:t>
      </w:r>
      <w:r>
        <w:rPr>
          <w:rFonts w:hint="eastAsia" w:ascii="宋体" w:hAnsi="宋体" w:eastAsia="宋体" w:cs="宋体"/>
          <w:color w:val="auto"/>
          <w:sz w:val="24"/>
          <w:szCs w:val="24"/>
          <w:highlight w:val="none"/>
          <w:shd w:val="clear" w:color="auto" w:fill="ffffff"/>
        </w:rPr>
        <w:t xml:space="preserve">天内，</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书应保持有效。</w:t>
      </w:r>
      <w:r>
        <w:rPr>
          <w:rFonts w:hint="eastAsia" w:ascii="宋体" w:hAnsi="宋体" w:eastAsia="宋体" w:cs="宋体"/>
          <w:b/>
          <w:bCs/>
          <w:color w:val="auto"/>
          <w:sz w:val="24"/>
          <w:szCs w:val="24"/>
          <w:highlight w:val="none"/>
          <w:shd w:val="clear" w:color="auto" w:fill="ffffff"/>
        </w:rPr>
        <w:t xml:space="preserve">有效期短于这个规定期限的</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将被拒绝。</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18.2在特殊情况下，采购人或采购代理机构可与供应商协商延长</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书的有效期。这种要求和答复都应以书面形式进行。同意延长有效期的供应商不能修改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文件。拒绝接受延期要求的供应商的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将被拒绝。</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19.</w:t>
      </w:r>
      <w:r>
        <w:rPr>
          <w:rFonts w:hint="eastAsia" w:ascii="宋体" w:hAnsi="宋体" w:eastAsia="宋体" w:cs="宋体"/>
          <w:b/>
          <w:color w:val="auto"/>
          <w:sz w:val="24"/>
          <w:szCs w:val="24"/>
          <w:highlight w:val="none"/>
          <w:lang w:eastAsia="zh-CN"/>
        </w:rPr>
        <w:t xml:space="preserve">投标（响应）</w:t>
      </w:r>
      <w:r>
        <w:rPr>
          <w:rFonts w:hint="eastAsia" w:ascii="宋体" w:hAnsi="宋体" w:eastAsia="宋体" w:cs="宋体"/>
          <w:b/>
          <w:color w:val="auto"/>
          <w:sz w:val="24"/>
          <w:szCs w:val="24"/>
          <w:highlight w:val="none"/>
        </w:rPr>
        <w:t xml:space="preserve">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19.1电子投标（响应）文件制作完成后请于投标（响应）截止时间前上传，否则视为放弃参加该采购项目。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bookmarkStart w:id="29" w:name="_Hlk193375017"/>
      <w:r>
        <w:rPr>
          <w:rFonts w:hint="eastAsia" w:ascii="宋体" w:hAnsi="宋体" w:eastAsia="宋体" w:cs="宋体"/>
          <w:color w:val="auto"/>
          <w:sz w:val="24"/>
          <w:szCs w:val="24"/>
          <w:highlight w:val="none"/>
        </w:rPr>
        <w:t xml:space="preserve">采购人或采购代理机构推迟投标（响应）截止时间时，以更正公告形式发布。在这种情况下，采购人或采购代理机构和投标（响应）单位的权利和义务将受到新的截止期的约束。</w:t>
      </w:r>
      <w:bookmarkEnd w:id="29"/>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w:t>
      </w:r>
      <w:bookmarkStart w:id="30" w:name="_Hlk116314345"/>
      <w:r/>
      <w:bookmarkStart w:id="31" w:name="_Hlk117242692"/>
      <w:r>
        <w:rPr>
          <w:rFonts w:hint="eastAsia" w:ascii="宋体" w:hAnsi="宋体" w:eastAsia="宋体" w:cs="宋体"/>
          <w:color w:val="auto"/>
          <w:sz w:val="24"/>
          <w:szCs w:val="24"/>
          <w:highlight w:val="none"/>
        </w:rPr>
        <w:t xml:space="preserve">在投标（递交）截止时间止，采购人或采购代理机构收到的某</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投标（响应）文件少于三份，采购人或采购代理机构有权宣布该</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本次招标（采购）失败。</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4供应商</w:t>
      </w:r>
      <w:r>
        <w:rPr>
          <w:rFonts w:hint="eastAsia" w:ascii="宋体" w:hAnsi="宋体" w:eastAsia="宋体" w:cs="宋体"/>
          <w:color w:val="auto"/>
          <w:sz w:val="24"/>
          <w:szCs w:val="24"/>
          <w:highlight w:val="none"/>
          <w:lang w:val="zh-CN"/>
        </w:rPr>
        <w:t xml:space="preserve">在投标（响应）截止</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zh-CN"/>
        </w:rPr>
        <w:t xml:space="preserve">间前，可以对所递交的</w:t>
      </w:r>
      <w:r>
        <w:rPr>
          <w:rFonts w:hint="eastAsia" w:ascii="宋体" w:hAnsi="宋体" w:eastAsia="宋体" w:cs="宋体"/>
          <w:color w:val="auto"/>
          <w:sz w:val="24"/>
          <w:szCs w:val="24"/>
          <w:highlight w:val="none"/>
        </w:rPr>
        <w:t xml:space="preserve">投标（响应）</w:t>
      </w:r>
      <w:r>
        <w:rPr>
          <w:rFonts w:hint="eastAsia" w:ascii="宋体" w:hAnsi="宋体" w:eastAsia="宋体" w:cs="宋体"/>
          <w:color w:val="auto"/>
          <w:sz w:val="24"/>
          <w:szCs w:val="24"/>
          <w:highlight w:val="none"/>
          <w:lang w:val="zh-CN"/>
        </w:rPr>
        <w:t xml:space="preserve">文件进行补充、修改或者撤回。</w:t>
      </w:r>
      <w:bookmarkEnd w:id="30"/>
      <w:r/>
      <w:bookmarkEnd w:id="31"/>
      <w:r/>
      <w:r/>
    </w:p>
    <w:p>
      <w:pPr>
        <w:ind w:firstLine="482"/>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b/>
          <w:bCs/>
          <w:color w:val="auto"/>
          <w:sz w:val="24"/>
          <w:szCs w:val="20"/>
          <w:highlight w:val="none"/>
          <w:shd w:val="clear" w:color="auto" w:fill="ffffff"/>
        </w:rPr>
        <w:t xml:space="preserve">D.开标和评标</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20.开标</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bookmarkStart w:id="32" w:name="_Hlk92794076"/>
      <w:r>
        <w:rPr>
          <w:rFonts w:hint="eastAsia" w:ascii="宋体" w:hAnsi="宋体" w:eastAsia="宋体" w:cs="宋体"/>
          <w:color w:val="auto"/>
          <w:sz w:val="24"/>
          <w:szCs w:val="24"/>
          <w:highlight w:val="none"/>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33" w:name="_Hlk90652960"/>
      <w:r>
        <w:rPr>
          <w:rFonts w:hint="eastAsia" w:ascii="宋体" w:hAnsi="宋体" w:eastAsia="宋体" w:cs="宋体"/>
          <w:color w:val="auto"/>
          <w:sz w:val="24"/>
          <w:szCs w:val="24"/>
          <w:highlight w:val="none"/>
        </w:rPr>
        <w:t xml:space="preserve">20.2线上参加（观看）开标（开启）会方式：登录“苏采云”系统，点击“开标大厅”，选择对应项目，点击进入不见面开标系统。</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3"/>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34" w:name="_Hlk158135485"/>
      <w:r>
        <w:rPr>
          <w:rFonts w:hint="eastAsia" w:ascii="宋体" w:hAnsi="宋体" w:eastAsia="宋体" w:cs="宋体"/>
          <w:color w:val="auto"/>
          <w:sz w:val="24"/>
          <w:szCs w:val="24"/>
          <w:highlight w:val="none"/>
        </w:rPr>
        <w:t xml:space="preserve">20.4开标时，供应商应当按照《操作手册》规定，在“苏采云”系统规定的时间内对</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文件进行解密。等待开标流程进入“解锁环境”，点击“点击立即解密”进行标书解密，解锁完成后及时关注开标大厅，等待后续答疑澄清等提示，否则导致的对供应商不利的后果由供应商自行承担</w:t>
      </w:r>
      <w:bookmarkEnd w:id="34"/>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20.5供应商在“苏采云”系统规定的时间内未成功解密电子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无效。</w:t>
      </w:r>
      <w:r/>
    </w:p>
    <w:p>
      <w:pPr>
        <w:ind w:firstLine="480"/>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rPr>
        <w:t xml:space="preserve">20.6开标时，由采购代理机构通过“苏采云”系统在线宣布供应商名称、</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价格和招标文件规定的需要宣布的其他内容。</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单位在不见面开标系统中确认</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价格，如供应商未在线参加开标或未在规定时间内确认价格的，视同认可开标结果。</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35" w:name="_Hlk90653182"/>
      <w:r>
        <w:rPr>
          <w:rFonts w:hint="eastAsia" w:ascii="宋体" w:hAnsi="宋体" w:eastAsia="宋体" w:cs="宋体"/>
          <w:color w:val="auto"/>
          <w:sz w:val="24"/>
          <w:szCs w:val="24"/>
          <w:highlight w:val="none"/>
        </w:rPr>
        <w:t xml:space="preserve">20.</w:t>
      </w:r>
      <w:bookmarkEnd w:id="35"/>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至</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文件提交截止时间，递交</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文件的供应商不足三家的，不得开标。</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开标在招标文件规定的时间、地点进行，由采购人或采购代理机构主持，供应商参加（观看），评标委员会成员不得参加开标活动。</w:t>
      </w:r>
      <w:r/>
    </w:p>
    <w:p>
      <w:pPr>
        <w:ind w:firstLine="480"/>
        <w:keepLines w:val="0"/>
        <w:keepNext w:val="0"/>
        <w:pageBreakBefore w:val="0"/>
        <w:spacing w:line="360" w:lineRule="auto"/>
        <w:rPr>
          <w:rFonts w:hint="eastAsia" w:ascii="宋体" w:hAnsi="宋体" w:eastAsia="宋体" w:cs="宋体"/>
          <w:color w:val="auto"/>
          <w:highlight w:val="none"/>
        </w:rPr>
        <w:outlineLvl w:val="9"/>
      </w:pPr>
      <w:r/>
      <w:bookmarkStart w:id="36" w:name="_Hlk193375492"/>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以上开标活动</w:t>
      </w:r>
      <w:bookmarkStart w:id="37" w:name="_Hlk193375633"/>
      <w:r>
        <w:rPr>
          <w:rFonts w:hint="eastAsia" w:ascii="宋体" w:hAnsi="宋体" w:eastAsia="宋体" w:cs="宋体"/>
          <w:color w:val="auto"/>
          <w:sz w:val="24"/>
          <w:szCs w:val="24"/>
          <w:highlight w:val="none"/>
        </w:rPr>
        <w:t xml:space="preserve">所涉及系统操作，以“苏采云”系统最新要求为准</w:t>
      </w:r>
      <w:bookmarkEnd w:id="37"/>
      <w:r>
        <w:rPr>
          <w:rFonts w:hint="eastAsia" w:ascii="宋体" w:hAnsi="宋体" w:eastAsia="宋体" w:cs="宋体"/>
          <w:color w:val="auto"/>
          <w:sz w:val="24"/>
          <w:szCs w:val="24"/>
          <w:highlight w:val="none"/>
        </w:rPr>
        <w:t xml:space="preserve">。</w:t>
      </w:r>
      <w:bookmarkEnd w:id="36"/>
      <w:r/>
      <w:bookmarkEnd w:id="32"/>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21.信用查询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38" w:name="_Hlk193375658"/>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21.1查询时间：</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文件提交截止时间。</w:t>
      </w:r>
      <w:r/>
    </w:p>
    <w:p>
      <w:pPr>
        <w:ind w:firstLine="480"/>
        <w:jc w:val="both"/>
        <w:keepLines w:val="0"/>
        <w:keepNext w:val="0"/>
        <w:pageBreakBefore w:val="0"/>
        <w:spacing w:line="360" w:lineRule="auto"/>
        <w:tabs>
          <w:tab w:val="left" w:pos="753" w:leader="none"/>
        </w:tabs>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21.2查询渠道：</w:t>
      </w:r>
      <w:bookmarkStart w:id="39" w:name="_Hlk92794284"/>
      <w:r>
        <w:rPr>
          <w:rFonts w:hint="eastAsia" w:ascii="宋体" w:hAnsi="宋体" w:eastAsia="宋体" w:cs="宋体"/>
          <w:bCs/>
          <w:color w:val="auto"/>
          <w:sz w:val="24"/>
          <w:szCs w:val="24"/>
          <w:highlight w:val="none"/>
        </w:rPr>
        <w:t xml:space="preserve">中国政府采购网（www.ccgp.gov.cn）、信用中国（www.creditchina.gov.cn）、信用江苏（</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"http://www.jscredit.gov.cn/"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www.jscredit.gov.cn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）、诚信苏州（www.szcredit.gov.cn）。</w:t>
      </w:r>
      <w:r/>
    </w:p>
    <w:p>
      <w:pPr>
        <w:ind w:firstLine="480"/>
        <w:jc w:val="left"/>
        <w:keepLines w:val="0"/>
        <w:keepNext w:val="0"/>
        <w:pageBreakBefore w:val="0"/>
        <w:spacing w:line="360" w:lineRule="auto"/>
        <w:tabs>
          <w:tab w:val="left" w:pos="753" w:leader="none"/>
        </w:tabs>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21.3查询证据留存方式：</w:t>
      </w:r>
      <w:bookmarkEnd w:id="39"/>
      <w:r>
        <w:rPr>
          <w:rFonts w:hint="eastAsia" w:ascii="宋体" w:hAnsi="宋体" w:eastAsia="宋体" w:cs="宋体"/>
          <w:bCs/>
          <w:color w:val="auto"/>
          <w:sz w:val="24"/>
          <w:szCs w:val="24"/>
          <w:highlight w:val="none"/>
        </w:rPr>
        <w:t xml:space="preserve">对存在失信信息的供应商，由失信供应商进行确认。同时，采购代理机构工作人员应根据评标委员会确认的失信信息，</w:t>
      </w:r>
      <w:r>
        <w:rPr>
          <w:rFonts w:hint="eastAsia" w:ascii="宋体" w:hAnsi="宋体" w:eastAsia="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到相关来源网站页面进行复核并打印，作为证据留存。</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rPr>
        <w:t xml:space="preserve">21.4信用记录使用规则：</w:t>
      </w:r>
      <w:r>
        <w:rPr>
          <w:rFonts w:hint="eastAsia" w:ascii="宋体" w:hAnsi="宋体" w:eastAsia="宋体" w:cs="宋体"/>
          <w:bCs/>
          <w:color w:val="auto"/>
          <w:sz w:val="24"/>
          <w:szCs w:val="24"/>
          <w:highlight w:val="none"/>
        </w:rPr>
        <w:t xml:space="preserve">在对供应商进行资格性审查时，应根据查询结果对供应商的不良信用记录逐项甄别确认。</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21.4.1政府采购严重违法记录，即供应商被全国各级财政部门列入“政府采购严重违法失信行为记录名单”，且在处罚有效期内的。</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21.4.2财政部门与法院、工商、税务等部门联合惩戒的失信信息，包括：</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21.4.2.1被列入失信被执行人名单；</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21.4.2.2被列入重大税收违法案件当事人名单；</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40" w:name="_Hlk92794378"/>
      <w:r>
        <w:rPr>
          <w:rFonts w:hint="eastAsia" w:ascii="宋体" w:hAnsi="宋体" w:eastAsia="宋体" w:cs="宋体"/>
          <w:color w:val="auto"/>
          <w:sz w:val="24"/>
          <w:szCs w:val="24"/>
          <w:highlight w:val="none"/>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38"/>
      <w:r/>
      <w:bookmarkEnd w:id="40"/>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22.评标委员会</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22.1评标委员会由采购人或采购代理机构依法组建,由采购单位代表、专家评委组成。</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22.2评标委员会负责具体的评标事务，并独立履行以下职责：</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22.2.1审查、评价</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文件是否符合招标文件的商务、技术等实质性要求；</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22.2.2要求供应商对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文件有关事项作出澄清或者说明；</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22.2.3对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文件进行比较和评价；</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22.2.4</w:t>
      </w:r>
      <w:r>
        <w:rPr>
          <w:rFonts w:hint="eastAsia" w:ascii="宋体" w:hAnsi="宋体" w:eastAsia="宋体" w:cs="宋体"/>
          <w:color w:val="auto"/>
          <w:sz w:val="24"/>
          <w:szCs w:val="24"/>
          <w:highlight w:val="none"/>
          <w:shd w:val="clear" w:color="auto" w:fill="ffffff"/>
          <w:lang w:val="zh-CN"/>
        </w:rPr>
        <w:t xml:space="preserve">按照评标办法和标准推荐不低于3家中标候选人，并根据采购人的委托及评审结果直接确定中标人；</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22.2.5向采购人、采购代理机构或者有关部门报告评标中发现的违法行为；</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22.3评标委员会成员应当履行下列义务：</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22.3.1遵纪守法，客观、公正、廉洁地履行职责；</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22.3.2按照招标文件规定的评标办法和评标标准进行评标，对评审意见承担个人责任；</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22.3.3对评标过程和结果，以及供应商的商业秘密保密；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22.3.4参与评审报告的起草；</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22.3.5配合相关部门的投诉处理工作；</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22.3.6配合采购人或采购代理机构答复</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供应商提出的质疑。</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23.评标内容的保密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23.1公开开标后，直到宣布授予中标单位合同为止，凡属于审查、澄清、评价和比较</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的所有资料，有关授予合同的信息都不应向供应商或与评标无关的其他人泄露。</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23.2在</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文件的审查、澄清、评价和比较以及授予合同的过程中，供应商对采购人或采购代理机构和评标委员会成员施加影响的任何行为，都将取消其中标资格。</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23.3在评标期间，</w:t>
      </w:r>
      <w:bookmarkStart w:id="41" w:name="_Hlk193376556"/>
      <w:r>
        <w:rPr>
          <w:rFonts w:hint="eastAsia" w:ascii="宋体" w:hAnsi="宋体" w:eastAsia="宋体" w:cs="宋体"/>
          <w:color w:val="auto"/>
          <w:sz w:val="24"/>
          <w:szCs w:val="24"/>
          <w:highlight w:val="none"/>
          <w:shd w:val="clear" w:color="auto" w:fill="ffffff"/>
        </w:rPr>
        <w:t xml:space="preserve">采购人或采购代理机构将通过指定联络人与供应商进行联系。</w:t>
      </w:r>
      <w:bookmarkEnd w:id="41"/>
      <w:r/>
      <w:r/>
    </w:p>
    <w:p>
      <w:pPr>
        <w:ind w:firstLine="482"/>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24.对</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文件初审</w:t>
      </w:r>
      <w:r/>
    </w:p>
    <w:p>
      <w:pPr>
        <w:ind w:firstLine="476"/>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24.1开标结束后，采购人依法对供应商的资格进行审查。</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24.2资格审查后，评标委员会在初审过程中有权拒绝有下列情况之一的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24.2.1供应商的</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文件未按照本须知规定制作的；</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24.2.2与招标文件有重大偏离；</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24.2.3供应商拒绝修正错误；</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24.2.4供应商的报价是选择性的；</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24.2.5供应商的报价只投了部分内容；</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24.2.6供应商的</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文件出现了评标委员会认为不应当雷同的情况；</w:t>
      </w:r>
      <w:r/>
    </w:p>
    <w:p>
      <w:pPr>
        <w:ind w:firstLine="482"/>
        <w:keepLines w:val="0"/>
        <w:keepNext w:val="0"/>
        <w:pageBreakBefore w:val="0"/>
        <w:spacing w:line="360" w:lineRule="auto"/>
        <w:rPr>
          <w:rFonts w:hint="eastAsia" w:ascii="宋体" w:hAnsi="宋体" w:eastAsia="宋体" w:cs="宋体"/>
          <w:b/>
          <w:bCs/>
          <w:color w:val="auto"/>
          <w:sz w:val="24"/>
          <w:szCs w:val="24"/>
          <w:highlight w:val="none"/>
          <w:u w:val="singl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24.2.7其他被评标委员会认定无效的情况。</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24.3在详细评标之前，评委会将首先审查每份</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24.4评标委员会将允许修改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中不构成重大偏离的微小的、非正规、不一致或不规则的地方，但这些修改不能影响任何供应商的名次相应排列。供应商不得对招标文件进行实质性修改，包括但不限于付款方式、付款条件等条款，否则</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文件将被拒绝。</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24.5评标委员会将拒绝被确定为非实质性响应的投标，供应商不能通过修正或撤销不符之处而使其</w:t>
      </w:r>
      <w:r>
        <w:rPr>
          <w:rFonts w:hint="eastAsia" w:ascii="宋体" w:hAnsi="宋体" w:eastAsia="宋体" w:cs="宋体"/>
          <w:color w:val="auto"/>
          <w:sz w:val="24"/>
          <w:szCs w:val="24"/>
          <w:highlight w:val="none"/>
          <w:shd w:val="clear" w:color="auto" w:fill="ffffff"/>
          <w:lang w:eastAsia="zh-CN"/>
        </w:rPr>
        <w:t xml:space="preserve">投标</w:t>
      </w:r>
      <w:r>
        <w:rPr>
          <w:rFonts w:hint="eastAsia" w:ascii="宋体" w:hAnsi="宋体" w:eastAsia="宋体" w:cs="宋体"/>
          <w:color w:val="auto"/>
          <w:sz w:val="24"/>
          <w:szCs w:val="24"/>
          <w:highlight w:val="none"/>
          <w:shd w:val="clear" w:color="auto" w:fill="ffffff"/>
        </w:rPr>
        <w:t xml:space="preserve">成为实质性响应的投标。</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24.6评标委员会将对确定为实质性响应的投标进行审核，看其是否有计算上或累加上的算术错误。</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文件报价出现前后不一致的，除招标文件另有规定外，按照下列规定修正：</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bookmarkStart w:id="42" w:name="_Hlk193377260"/>
      <w:r>
        <w:rPr>
          <w:rFonts w:hint="eastAsia" w:ascii="宋体" w:hAnsi="宋体" w:eastAsia="宋体" w:cs="宋体"/>
          <w:color w:val="auto"/>
          <w:sz w:val="24"/>
          <w:szCs w:val="24"/>
          <w:highlight w:val="none"/>
          <w:shd w:val="clear" w:color="auto" w:fill="ffffff"/>
        </w:rPr>
        <w:t xml:space="preserve">24.6.1投标（响应）文件中开标一览表（报价表）内容与投标（响应）文件中相应内容不一致的，以开标一览表（报价表）为准；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24.6.2大写金额和小写金额不一致的，以大写金额为准；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24.6.3单价金额小数点或者百分比有明显错位的，以开标一览表的总价为准，并修改单价；</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24.6.4总价金额与按单价汇总金额不一致的，以单价金额计算结果为准。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同时出现两种以上不一致的，按照前款规定的顺序修正。修正后的报价按照本须知25.1条的规定经供应商确认后产生约束力，供应商不确认的，其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无效。</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24.7供应商不同意以上修正，则其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将被拒绝。</w:t>
      </w:r>
      <w:bookmarkEnd w:id="42"/>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3" w:name="_Hlk158140341"/>
      <w:r>
        <w:rPr>
          <w:rFonts w:hint="eastAsia" w:ascii="宋体" w:hAnsi="宋体" w:eastAsia="宋体" w:cs="宋体"/>
          <w:color w:val="auto"/>
          <w:sz w:val="24"/>
          <w:szCs w:val="24"/>
          <w:highlight w:val="none"/>
          <w:shd w:val="clear" w:color="auto" w:fill="ffffff"/>
        </w:rPr>
        <w:t xml:space="preserve">（线上开评标项目可通过“苏采云”系统要求其提供）</w:t>
      </w:r>
      <w:bookmarkEnd w:id="43"/>
      <w:r>
        <w:rPr>
          <w:rFonts w:hint="eastAsia" w:ascii="宋体" w:hAnsi="宋体" w:eastAsia="宋体" w:cs="宋体"/>
          <w:color w:val="auto"/>
          <w:sz w:val="24"/>
          <w:szCs w:val="24"/>
          <w:highlight w:val="none"/>
          <w:shd w:val="clear" w:color="auto" w:fill="ffffff"/>
        </w:rPr>
        <w:t xml:space="preserve">，必要时提交相关证明材料；供应商不能证明其报价合理性的，评标委员会将其作为无效</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处理。</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bookmarkStart w:id="44" w:name="_Hlk193377421"/>
      <w:r>
        <w:rPr>
          <w:rFonts w:hint="eastAsia" w:ascii="宋体" w:hAnsi="宋体" w:eastAsia="宋体" w:cs="宋体"/>
          <w:color w:val="auto"/>
          <w:sz w:val="24"/>
          <w:szCs w:val="24"/>
          <w:highlight w:val="none"/>
          <w:shd w:val="clear" w:color="auto" w:fill="ffffff"/>
        </w:rPr>
        <w:t xml:space="preserve">24.9评标委员会对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文件的判定，只依据</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内容本身，不依靠开标后的任何外来证明。</w:t>
      </w:r>
      <w:bookmarkEnd w:id="44"/>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25.投标的澄清</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25.1对于</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文件中含义不明确、同类问题表述不一致或者有明显文字和计算错误的内容，评标委员会应当要求供应商作出必要的澄清、说明或者补正。供应商的澄清、说明或者补正不得超出</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文件的范围或者改变</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文件的实质性内容。</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bookmarkStart w:id="45" w:name="_Hlk158140503"/>
      <w:r/>
      <w:bookmarkStart w:id="46" w:name="_Hlk158140452"/>
      <w:r/>
      <w:bookmarkStart w:id="47" w:name="_Hlk90656398"/>
      <w:r/>
      <w:bookmarkStart w:id="48" w:name="_Hlk193377538"/>
      <w:r>
        <w:rPr>
          <w:rFonts w:hint="eastAsia" w:ascii="宋体" w:hAnsi="宋体" w:eastAsia="宋体" w:cs="宋体"/>
          <w:color w:val="auto"/>
          <w:sz w:val="24"/>
          <w:szCs w:val="24"/>
          <w:highlight w:val="none"/>
          <w:shd w:val="clear" w:color="auto" w:fill="ffffff"/>
        </w:rPr>
        <w:t xml:space="preserve">25.2本项目采用线上澄清</w:t>
      </w:r>
      <w:bookmarkEnd w:id="45"/>
      <w:r>
        <w:rPr>
          <w:rFonts w:hint="eastAsia" w:ascii="宋体" w:hAnsi="宋体" w:eastAsia="宋体" w:cs="宋体"/>
          <w:color w:val="auto"/>
          <w:sz w:val="24"/>
          <w:szCs w:val="24"/>
          <w:highlight w:val="none"/>
          <w:shd w:val="clear" w:color="auto" w:fill="ffffff"/>
        </w:rPr>
        <w:t xml:space="preserve">。</w:t>
      </w:r>
      <w:bookmarkEnd w:id="46"/>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25.2.2接到评标委员会澄清、说明和更正要求的供应商如未按规定</w:t>
      </w:r>
      <w:r>
        <w:rPr>
          <w:rFonts w:hint="eastAsia" w:ascii="宋体" w:hAnsi="宋体" w:eastAsia="宋体" w:cs="宋体"/>
          <w:color w:val="auto"/>
          <w:sz w:val="24"/>
          <w:szCs w:val="24"/>
          <w:highlight w:val="none"/>
          <w:shd w:val="clear" w:color="auto" w:fill="ffffff"/>
          <w:lang w:val="en-US" w:eastAsia="zh-CN"/>
        </w:rPr>
        <w:t xml:space="preserve">作</w:t>
      </w:r>
      <w:r>
        <w:rPr>
          <w:rFonts w:hint="eastAsia" w:ascii="宋体" w:hAnsi="宋体" w:eastAsia="宋体" w:cs="宋体"/>
          <w:color w:val="auto"/>
          <w:sz w:val="24"/>
          <w:szCs w:val="24"/>
          <w:highlight w:val="none"/>
          <w:shd w:val="clear" w:color="auto" w:fill="ffffff"/>
        </w:rPr>
        <w:t xml:space="preserve">出澄清、说明和更正，其风险由供应商自行承担。</w:t>
      </w:r>
      <w:bookmarkEnd w:id="47"/>
      <w:r/>
      <w:bookmarkEnd w:id="48"/>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26.废标</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26.1在招标过程中，出现下列情况之一的，应予废标：</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26.1.1符合专业条件的供应商或者对招标文件作实质响应的供应商不足三家的；</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26.1.2出现影响采购公正的违法、违规行为的；</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26.1.3供应商的报价均超过了采购预算，采购人不能支付的；</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26.1.4因重大变故，采购任务取消的；</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26.2废标后，采购代理机构将把废标的理由通知所有供应商。</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27.</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文件的评价和比较</w:t>
      </w:r>
      <w:r/>
    </w:p>
    <w:p>
      <w:pPr>
        <w:ind w:firstLine="480"/>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27.1评标委员会应当严格按照招标文件的要求、条件、评分标准，对符合性审查合格的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文件进行商务和技术评估，综合比较与评价。</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27.2本项目采用综合评分法，即指</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文件满足招标文件全部实质性要求，且按照评审因素的量化指标评审得分最高的供应商为排名第一的中标候选人的评标方法。</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27.2.1</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者的资信情况和履约能力；</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27.2.2</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者提供的其他优惠条件；</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27.3最低的</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报价或最高的折扣比例是中标的重要条件，但不是唯一条件。</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28.中标单位的确认</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28.1评标委员会根据供应商资格审查情况，以及对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文件进行评价和比较，按照评标办法和标准进行评标，并根据采购人的委托，按照中标候选人的顺序在中标候选人中直接确定成交人。</w:t>
      </w:r>
      <w:r/>
    </w:p>
    <w:p>
      <w:pPr>
        <w:ind w:firstLine="480"/>
        <w:keepLines w:val="0"/>
        <w:keepNext w:val="0"/>
        <w:pageBreakBefore w:val="0"/>
        <w:spacing w:line="360" w:lineRule="auto"/>
        <w:widowControl/>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28.2经评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的代理人签署。采购代理机构将在收到经供应商法定代表人或参加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的代理人签署的书面质疑后七个工作日内，对质疑内容作出答复。如供应商未在中标公告期满后七个工作日内向采购代理机构提出质疑或质疑未经供应商法定代表人或参加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的代理人签署，采购代理机构有权对该质疑不予答复。</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E.授予合同</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29.合同授予标准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29.1采购人将把合同授予其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文件在实质上响应招标文件要求和按本须知规定评选出的供应商。确定为中标的供应商必须具有实施本合同的能力和资源。</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30.中标通知书</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bookmarkStart w:id="49" w:name="_Hlk193377906"/>
      <w:r>
        <w:rPr>
          <w:rFonts w:hint="eastAsia" w:ascii="宋体" w:hAnsi="宋体" w:eastAsia="宋体" w:cs="宋体"/>
          <w:color w:val="auto"/>
          <w:sz w:val="24"/>
          <w:szCs w:val="24"/>
          <w:highlight w:val="none"/>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之日起30日内</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30.2采购人或采购代理机构对未中标单位不承担解释未中标原因的义务。</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30.3中标通知书将成为合同的组成部分。</w:t>
      </w:r>
      <w:bookmarkEnd w:id="49"/>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31.合同的签订</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31.1中标单位应按中标通知书中规定的时间和地点，由法定代表人或授权代理人与甲方代表签订合同。</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31.2签订合同及合同条款应以招标文件和中标单位的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文件及其澄清文件为依据。</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bookmarkStart w:id="50" w:name="_Hlk193378097"/>
      <w:r>
        <w:rPr>
          <w:rFonts w:hint="eastAsia" w:ascii="宋体" w:hAnsi="宋体" w:eastAsia="宋体" w:cs="宋体"/>
          <w:b/>
          <w:bCs/>
          <w:color w:val="auto"/>
          <w:sz w:val="24"/>
          <w:szCs w:val="20"/>
          <w:highlight w:val="none"/>
          <w:shd w:val="clear" w:color="auto" w:fill="ffffff"/>
        </w:rPr>
        <w:t xml:space="preserve">F.其他事项</w:t>
      </w:r>
      <w:bookmarkEnd w:id="50"/>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w:t>
      </w:r>
      <w:r>
        <w:rPr>
          <w:rFonts w:hint="eastAsia" w:ascii="宋体" w:hAnsi="宋体" w:eastAsia="宋体" w:cs="宋体"/>
          <w:b/>
          <w:color w:val="auto"/>
          <w:sz w:val="24"/>
          <w:szCs w:val="24"/>
          <w:highlight w:val="none"/>
          <w:shd w:val="clear" w:color="auto" w:fill="ffffff"/>
          <w:lang w:val="en-US" w:eastAsia="zh-CN"/>
        </w:rPr>
        <w:t xml:space="preserve">2</w:t>
      </w:r>
      <w:r>
        <w:rPr>
          <w:rFonts w:hint="eastAsia" w:ascii="宋体" w:hAnsi="宋体" w:eastAsia="宋体" w:cs="宋体"/>
          <w:b/>
          <w:color w:val="auto"/>
          <w:sz w:val="24"/>
          <w:szCs w:val="24"/>
          <w:highlight w:val="none"/>
          <w:shd w:val="clear" w:color="auto" w:fill="ffffff"/>
        </w:rPr>
        <w:t xml:space="preserve">.质疑</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.1质疑及答复遵守《政府采购质疑和投诉办法》（中华人民共和国财政部令第94号）规定。</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.2.1对可以质疑的招标文件提出质疑的，为收到招标文件之日或者招标文件公告期限届满之日；</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.2.2对采购过程提出质疑的，为各采购程序环节结束之日；</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.2.3对中标结果提出质疑的，为中标结果公告期限届满之日。</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.4提出质疑的供应商应当是参与所质疑项目采购活动的供应商，未依照招标公告要求获取招标文件的供应商，视为未参与该项政府采购活动，不具备对该政府采购项目提出质疑的法定权利。</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.6接收质疑函的方式为书面形式（当场送达或邮寄方式）。供应商质疑函范本格式请参照“苏州市政府采购”网站——“下载中心”——“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shd w:val="clear" w:color="auto" w:fill="ffffff"/>
        </w:rPr>
        <w:t xml:space="preserve">政府采购供应商质疑函范本</w:t>
      </w:r>
      <w:r>
        <w:rPr>
          <w:rFonts w:hint="eastAsia" w:ascii="宋体" w:hAnsi="宋体" w:eastAsia="宋体" w:cs="宋体"/>
          <w:color w:val="auto"/>
          <w:sz w:val="24"/>
          <w:szCs w:val="24"/>
          <w:highlight w:val="none"/>
          <w:shd w:val="clear" w:color="auto" w:fill="ffffff"/>
        </w:rPr>
        <w:fldChar w:fldCharType="end"/>
      </w:r>
      <w:r>
        <w:rPr>
          <w:rFonts w:hint="eastAsia" w:ascii="宋体" w:hAnsi="宋体" w:eastAsia="宋体" w:cs="宋体"/>
          <w:color w:val="auto"/>
          <w:sz w:val="24"/>
          <w:szCs w:val="24"/>
          <w:highlight w:val="none"/>
          <w:shd w:val="clear" w:color="auto" w:fill="ffffff"/>
        </w:rPr>
        <w:t xml:space="preserve">”。供应商如组成联合体参加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，则《质疑函范本》中要求签字、盖章、加盖公章之处，联合体各方均须按要求签字、盖章、加盖公章。</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.7</w:t>
      </w:r>
      <w:r>
        <w:rPr>
          <w:rFonts w:hint="eastAsia" w:ascii="宋体" w:hAnsi="宋体" w:eastAsia="宋体" w:cs="宋体"/>
          <w:color w:val="auto"/>
          <w:sz w:val="24"/>
          <w:szCs w:val="24"/>
          <w:highlight w:val="none"/>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.8</w:t>
      </w:r>
      <w:r>
        <w:rPr>
          <w:rFonts w:hint="eastAsia" w:ascii="宋体" w:hAnsi="宋体" w:eastAsia="宋体" w:cs="宋体"/>
          <w:color w:val="auto"/>
          <w:sz w:val="24"/>
          <w:szCs w:val="24"/>
          <w:highlight w:val="none"/>
          <w:lang w:val="zh-CN"/>
        </w:rPr>
        <w:t xml:space="preserve">质疑递交信息：详见第一章采购人及采购代理机构联系信息。</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w:t>
      </w:r>
      <w:r>
        <w:rPr>
          <w:rFonts w:hint="eastAsia" w:ascii="宋体" w:hAnsi="宋体" w:eastAsia="宋体" w:cs="宋体"/>
          <w:b/>
          <w:color w:val="auto"/>
          <w:sz w:val="24"/>
          <w:szCs w:val="24"/>
          <w:highlight w:val="none"/>
          <w:shd w:val="clear" w:color="auto" w:fill="ffffff"/>
          <w:lang w:val="en-US" w:eastAsia="zh-CN"/>
        </w:rPr>
        <w:t xml:space="preserve">3</w:t>
      </w:r>
      <w:r>
        <w:rPr>
          <w:rFonts w:hint="eastAsia" w:ascii="宋体" w:hAnsi="宋体" w:eastAsia="宋体" w:cs="宋体"/>
          <w:b/>
          <w:color w:val="auto"/>
          <w:sz w:val="24"/>
          <w:szCs w:val="24"/>
          <w:highlight w:val="none"/>
          <w:shd w:val="clear" w:color="auto" w:fill="ffffff"/>
        </w:rPr>
        <w:t xml:space="preserve">.代理服务费</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rPr>
        <w:t xml:space="preserve">.1中标单位须按前附表的规定计算并支付代理服务费，该费用应在领取中标通知书时付清。</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3</w:t>
      </w:r>
      <w:r>
        <w:rPr>
          <w:rFonts w:hint="eastAsia" w:ascii="宋体" w:hAnsi="宋体" w:eastAsia="宋体" w:cs="宋体"/>
          <w:color w:val="auto"/>
          <w:sz w:val="24"/>
          <w:szCs w:val="24"/>
          <w:highlight w:val="none"/>
          <w:shd w:val="clear" w:color="auto" w:fill="ffffff"/>
        </w:rPr>
        <w:t xml:space="preserve">.2中标单位如果未按规定缴纳代理服务费，采购代理机构将保留诉讼的权利。</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w:t>
      </w:r>
      <w:r>
        <w:rPr>
          <w:rFonts w:hint="eastAsia" w:ascii="宋体" w:hAnsi="宋体" w:eastAsia="宋体" w:cs="宋体"/>
          <w:b/>
          <w:color w:val="auto"/>
          <w:sz w:val="24"/>
          <w:szCs w:val="24"/>
          <w:highlight w:val="none"/>
          <w:shd w:val="clear" w:color="auto" w:fill="ffffff"/>
          <w:lang w:val="en-US" w:eastAsia="zh-CN"/>
        </w:rPr>
        <w:t xml:space="preserve">4</w:t>
      </w:r>
      <w:r>
        <w:rPr>
          <w:rFonts w:hint="eastAsia" w:ascii="宋体" w:hAnsi="宋体" w:eastAsia="宋体" w:cs="宋体"/>
          <w:b/>
          <w:color w:val="auto"/>
          <w:sz w:val="24"/>
          <w:szCs w:val="24"/>
          <w:highlight w:val="none"/>
          <w:shd w:val="clear" w:color="auto" w:fill="ffffff"/>
        </w:rPr>
        <w:t xml:space="preserve">.监督和公证</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4</w:t>
      </w:r>
      <w:r>
        <w:rPr>
          <w:rFonts w:hint="eastAsia" w:ascii="宋体" w:hAnsi="宋体" w:eastAsia="宋体" w:cs="宋体"/>
          <w:color w:val="auto"/>
          <w:sz w:val="24"/>
          <w:szCs w:val="24"/>
          <w:highlight w:val="none"/>
          <w:shd w:val="clear" w:color="auto" w:fill="ffffff"/>
        </w:rPr>
        <w:t xml:space="preserve">.1有关监督部门将对招投标全过程进行监督。</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4</w:t>
      </w:r>
      <w:r>
        <w:rPr>
          <w:rFonts w:hint="eastAsia" w:ascii="宋体" w:hAnsi="宋体" w:eastAsia="宋体" w:cs="宋体"/>
          <w:color w:val="auto"/>
          <w:sz w:val="24"/>
          <w:szCs w:val="24"/>
          <w:highlight w:val="none"/>
          <w:shd w:val="clear" w:color="auto" w:fill="ffffff"/>
        </w:rPr>
        <w:t xml:space="preserve">.2开、评标过程将通过公证机关进行公证（如有）。</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w:t>
      </w:r>
      <w:r>
        <w:rPr>
          <w:rFonts w:hint="eastAsia" w:ascii="宋体" w:hAnsi="宋体" w:eastAsia="宋体" w:cs="宋体"/>
          <w:b/>
          <w:color w:val="auto"/>
          <w:sz w:val="24"/>
          <w:szCs w:val="24"/>
          <w:highlight w:val="none"/>
          <w:shd w:val="clear" w:color="auto" w:fill="ffffff"/>
          <w:lang w:val="en-US" w:eastAsia="zh-CN"/>
        </w:rPr>
        <w:t xml:space="preserve">5</w:t>
      </w:r>
      <w:r>
        <w:rPr>
          <w:rFonts w:hint="eastAsia" w:ascii="宋体" w:hAnsi="宋体" w:eastAsia="宋体" w:cs="宋体"/>
          <w:b/>
          <w:color w:val="auto"/>
          <w:sz w:val="24"/>
          <w:szCs w:val="24"/>
          <w:highlight w:val="none"/>
          <w:shd w:val="clear" w:color="auto" w:fill="ffffff"/>
        </w:rPr>
        <w:t xml:space="preserve">.未尽事宜</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bookmarkStart w:id="51" w:name="_Hlk193378690"/>
      <w:r>
        <w:rPr>
          <w:rFonts w:hint="eastAsia" w:ascii="宋体" w:hAnsi="宋体" w:eastAsia="宋体" w:cs="宋体"/>
          <w:color w:val="auto"/>
          <w:sz w:val="24"/>
          <w:szCs w:val="24"/>
          <w:highlight w:val="none"/>
          <w:shd w:val="clear" w:color="auto" w:fill="ffffff"/>
        </w:rPr>
        <w:t xml:space="preserve">未尽事宜应按《中华人民共和国民法典》、《中华人民共和国政府采购法》以及其它相关法律、法规之规定解释。</w:t>
      </w:r>
      <w:bookmarkEnd w:id="51"/>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26"/>
          <w:szCs w:val="20"/>
          <w:highlight w:val="none"/>
          <w:shd w:val="clear" w:color="auto" w:fill="ffffff"/>
        </w:rPr>
        <w:br w:type="page" w:clear="all"/>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jc w:val="center"/>
        <w:keepLines/>
        <w:keepNext/>
        <w:spacing w:before="340" w:after="330" w:line="360" w:lineRule="auto"/>
        <w:rPr>
          <w:rFonts w:hint="eastAsia" w:ascii="宋体" w:hAnsi="宋体" w:eastAsia="宋体" w:cs="宋体"/>
          <w:color w:val="auto"/>
          <w:sz w:val="52"/>
          <w:szCs w:val="20"/>
          <w:highlight w:val="none"/>
          <w:shd w:val="clear" w:color="auto" w:fill="ffffff"/>
        </w:rPr>
        <w:outlineLvl w:val="0"/>
      </w:pPr>
      <w:r/>
      <w:bookmarkStart w:id="52" w:name="_Toc105940239"/>
      <w:r>
        <w:rPr>
          <w:rFonts w:hint="eastAsia" w:ascii="宋体" w:hAnsi="宋体" w:eastAsia="宋体" w:cs="宋体"/>
          <w:b/>
          <w:color w:val="auto"/>
          <w:sz w:val="52"/>
          <w:szCs w:val="20"/>
          <w:highlight w:val="none"/>
          <w:shd w:val="clear" w:color="auto" w:fill="ffffff"/>
        </w:rPr>
        <w:t xml:space="preserve">第三章</w:t>
      </w:r>
      <w:r>
        <w:rPr>
          <w:rFonts w:hint="eastAsia" w:ascii="宋体" w:hAnsi="宋体" w:eastAsia="宋体" w:cs="宋体"/>
          <w:b/>
          <w:color w:val="auto"/>
          <w:sz w:val="52"/>
          <w:szCs w:val="20"/>
          <w:highlight w:val="none"/>
          <w:shd w:val="clear" w:color="auto" w:fill="ffffff"/>
          <w:lang w:eastAsia="zh-CN"/>
        </w:rPr>
        <w:t xml:space="preserve">投标（响应）</w:t>
      </w:r>
      <w:r>
        <w:rPr>
          <w:rFonts w:hint="eastAsia" w:ascii="宋体" w:hAnsi="宋体" w:eastAsia="宋体" w:cs="宋体"/>
          <w:b/>
          <w:color w:val="auto"/>
          <w:sz w:val="52"/>
          <w:szCs w:val="20"/>
          <w:highlight w:val="none"/>
          <w:shd w:val="clear" w:color="auto" w:fill="ffffff"/>
        </w:rPr>
        <w:t xml:space="preserve">文件格式</w:t>
      </w:r>
      <w:bookmarkEnd w:id="52"/>
      <w:r/>
      <w:r/>
    </w:p>
    <w:p>
      <w:pPr>
        <w:jc w:val="left"/>
        <w:spacing w:line="360" w:lineRule="auto"/>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t xml:space="preserve">说明：</w:t>
      </w:r>
      <w:r/>
    </w:p>
    <w:p>
      <w:pPr>
        <w:ind w:firstLine="482"/>
        <w:jc w:val="left"/>
        <w:spacing w:line="360" w:lineRule="auto"/>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1"/>
          <w:highlight w:val="none"/>
          <w:shd w:val="clear" w:color="auto" w:fill="ffffff"/>
        </w:rPr>
        <w:t xml:space="preserve">对本章所有的</w:t>
      </w:r>
      <w:r>
        <w:rPr>
          <w:rFonts w:hint="eastAsia" w:ascii="宋体" w:hAnsi="宋体" w:eastAsia="宋体" w:cs="宋体"/>
          <w:b/>
          <w:color w:val="auto"/>
          <w:sz w:val="24"/>
          <w:szCs w:val="21"/>
          <w:highlight w:val="none"/>
          <w:shd w:val="clear" w:color="auto" w:fill="ffffff"/>
          <w:lang w:eastAsia="zh-CN"/>
        </w:rPr>
        <w:t xml:space="preserve">投标（响应）</w:t>
      </w:r>
      <w:r>
        <w:rPr>
          <w:rFonts w:hint="eastAsia" w:ascii="宋体" w:hAnsi="宋体" w:eastAsia="宋体" w:cs="宋体"/>
          <w:b/>
          <w:color w:val="auto"/>
          <w:sz w:val="24"/>
          <w:szCs w:val="21"/>
          <w:highlight w:val="none"/>
          <w:shd w:val="clear" w:color="auto" w:fill="ffffff"/>
        </w:rPr>
        <w:t xml:space="preserve">文件格式 ，除注明允许修改的文件外，供应商均应按照本章提供的格式填写，否则作为无效标。允许修改的文件，</w:t>
      </w:r>
      <w:r>
        <w:rPr>
          <w:rFonts w:hint="eastAsia" w:ascii="宋体" w:hAnsi="宋体" w:eastAsia="宋体" w:cs="宋体"/>
          <w:b/>
          <w:color w:val="auto"/>
          <w:sz w:val="24"/>
          <w:szCs w:val="21"/>
          <w:highlight w:val="none"/>
          <w:shd w:val="clear" w:color="auto" w:fill="ffffff"/>
          <w:lang w:eastAsia="zh-CN"/>
        </w:rPr>
        <w:t xml:space="preserve">投标（响应）</w:t>
      </w:r>
      <w:r>
        <w:rPr>
          <w:rFonts w:hint="eastAsia" w:ascii="宋体" w:hAnsi="宋体" w:eastAsia="宋体" w:cs="宋体"/>
          <w:b/>
          <w:color w:val="auto"/>
          <w:sz w:val="24"/>
          <w:szCs w:val="21"/>
          <w:highlight w:val="none"/>
          <w:shd w:val="clear" w:color="auto" w:fill="ffffff"/>
        </w:rPr>
        <w:t xml:space="preserve">方可根据自身情况进行补充和修改，但补充和修改不得造成与原格式内容有实质性的违背</w:t>
      </w:r>
      <w:r>
        <w:rPr>
          <w:rFonts w:hint="eastAsia" w:ascii="宋体" w:hAnsi="宋体" w:eastAsia="宋体" w:cs="宋体"/>
          <w:b/>
          <w:color w:val="auto"/>
          <w:sz w:val="24"/>
          <w:szCs w:val="20"/>
          <w:highlight w:val="none"/>
          <w:shd w:val="clear" w:color="auto" w:fill="ffffff"/>
        </w:rPr>
        <w:t xml:space="preserve">。</w:t>
      </w:r>
      <w:r/>
    </w:p>
    <w:p>
      <w:pPr>
        <w:spacing w:line="360" w:lineRule="auto"/>
        <w:rPr>
          <w:rFonts w:hint="eastAsia" w:ascii="宋体" w:hAnsi="宋体" w:eastAsia="宋体" w:cs="宋体"/>
          <w:b/>
          <w:color w:val="auto"/>
          <w:sz w:val="24"/>
          <w:szCs w:val="20"/>
          <w:highlight w:val="none"/>
          <w:shd w:val="clear" w:color="auto" w:fill="ffffff"/>
        </w:rPr>
        <w:outlineLvl w:val="1"/>
      </w:pPr>
      <w:r>
        <w:rPr>
          <w:rFonts w:hint="eastAsia" w:ascii="宋体" w:hAnsi="宋体" w:eastAsia="宋体" w:cs="宋体"/>
          <w:b/>
          <w:color w:val="auto"/>
          <w:sz w:val="28"/>
          <w:szCs w:val="20"/>
          <w:highlight w:val="none"/>
          <w:shd w:val="clear" w:color="auto" w:fill="ffffff"/>
        </w:rPr>
        <w:br w:type="page" w:clear="all"/>
      </w:r>
      <w:r>
        <w:rPr>
          <w:rFonts w:hint="eastAsia" w:ascii="宋体" w:hAnsi="宋体" w:eastAsia="宋体" w:cs="宋体"/>
          <w:b/>
          <w:color w:val="auto"/>
          <w:sz w:val="24"/>
          <w:szCs w:val="20"/>
          <w:highlight w:val="none"/>
          <w:shd w:val="clear" w:color="auto" w:fill="ffffff"/>
        </w:rPr>
        <w:t xml:space="preserve">1、（供应商）法定代表人授权委托书</w:t>
      </w:r>
      <w:r/>
    </w:p>
    <w:p>
      <w:pPr>
        <w:jc w:val="cente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0"/>
          <w:highlight w:val="none"/>
        </w:rPr>
        <w:t xml:space="preserve">授权委托书</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80"/>
        <w:spacing w:line="360" w:lineRule="auto"/>
        <w:rPr>
          <w:rFonts w:hint="eastAsia" w:ascii="宋体" w:hAnsi="宋体" w:eastAsia="宋体" w:cs="宋体"/>
          <w:color w:val="auto"/>
          <w:sz w:val="24"/>
          <w:szCs w:val="20"/>
          <w:highlight w:val="none"/>
        </w:rPr>
      </w:pPr>
      <w:r/>
      <w:bookmarkStart w:id="53" w:name="_Hlk117242496"/>
      <w:r>
        <w:rPr>
          <w:rFonts w:hint="eastAsia" w:ascii="宋体" w:hAnsi="宋体" w:eastAsia="宋体" w:cs="宋体"/>
          <w:color w:val="auto"/>
          <w:sz w:val="24"/>
          <w:szCs w:val="20"/>
          <w:highlight w:val="none"/>
        </w:rPr>
        <w:t xml:space="preserve">本授权委托书声明：我</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（姓名）系</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（供应商名称）的法定代表人，现授权委托</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（供应商名称）的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 （姓名+手机号码）为本公司代理人，以本公司的名义参加苏州诚和招投标咨询有限公司组织实施的编号为</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号的招标活动。代理人在开标、评标、合同招标过程中所签署的一切文件和处理与这有关的一切事务，我均予以承认。</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代理人无转委托权。特此委托。</w:t>
      </w:r>
      <w:bookmarkEnd w:id="53"/>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br w:type="page" w:clear="all"/>
      </w:r>
      <w:r/>
    </w:p>
    <w:p>
      <w:pPr>
        <w:jc w:val="left"/>
        <w:spacing w:line="360" w:lineRule="auto"/>
        <w:rPr>
          <w:rFonts w:hint="eastAsia" w:ascii="宋体" w:hAnsi="宋体" w:eastAsia="宋体" w:cs="宋体"/>
          <w:b/>
          <w:color w:val="auto"/>
          <w:sz w:val="24"/>
          <w:szCs w:val="20"/>
          <w:highlight w:val="none"/>
        </w:rPr>
        <w:outlineLvl w:val="1"/>
      </w:pPr>
      <w:r>
        <w:rPr>
          <w:rFonts w:hint="eastAsia" w:ascii="宋体" w:hAnsi="宋体" w:eastAsia="宋体" w:cs="宋体"/>
          <w:b/>
          <w:color w:val="auto"/>
          <w:sz w:val="24"/>
          <w:szCs w:val="20"/>
          <w:highlight w:val="none"/>
        </w:rPr>
        <w:t xml:space="preserve">2、</w:t>
      </w:r>
      <w:r>
        <w:rPr>
          <w:rFonts w:hint="eastAsia" w:ascii="宋体" w:hAnsi="宋体" w:eastAsia="宋体" w:cs="宋体"/>
          <w:b/>
          <w:color w:val="auto"/>
          <w:sz w:val="24"/>
          <w:szCs w:val="20"/>
          <w:highlight w:val="none"/>
          <w:lang w:eastAsia="zh-CN"/>
        </w:rPr>
        <w:t xml:space="preserve">投标（响应）</w:t>
      </w:r>
      <w:r>
        <w:rPr>
          <w:rFonts w:hint="eastAsia" w:ascii="宋体" w:hAnsi="宋体" w:eastAsia="宋体" w:cs="宋体"/>
          <w:b/>
          <w:color w:val="auto"/>
          <w:sz w:val="24"/>
          <w:szCs w:val="20"/>
          <w:highlight w:val="none"/>
        </w:rPr>
        <w:t xml:space="preserve">函</w:t>
      </w:r>
      <w:r/>
    </w:p>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函</w:t>
      </w:r>
      <w:r/>
    </w:p>
    <w:p>
      <w:pPr>
        <w:spacing w:line="24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苏州诚和招投标咨询有限公司：</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本公司收到贵司</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u w:val="single"/>
          <w:shd w:val="clear" w:color="auto" w:fill="ffffff"/>
          <w:lang w:eastAsia="zh-CN"/>
        </w:rPr>
        <w:t xml:space="preserve">JSZC-320500-SZCH-G2026-0020</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号招标文件，经仔细阅读和研究，本公司决定参加</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w:t>
      </w:r>
      <w:r/>
    </w:p>
    <w:p>
      <w:pPr>
        <w:ind w:firstLine="480"/>
        <w:spacing w:line="24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0"/>
          <w:highlight w:val="none"/>
          <w:shd w:val="clear" w:color="auto" w:fill="ffffff"/>
        </w:rPr>
        <w:t xml:space="preserve">1、本公司愿意按照招标文件的一切要求，提供完成该项目的全部内容，本公司的</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报价</w:t>
      </w:r>
      <w:r>
        <w:rPr>
          <w:rFonts w:hint="eastAsia" w:ascii="宋体" w:hAnsi="宋体" w:eastAsia="宋体" w:cs="宋体"/>
          <w:color w:val="auto"/>
          <w:sz w:val="24"/>
          <w:szCs w:val="24"/>
          <w:highlight w:val="none"/>
          <w:shd w:val="clear" w:color="auto" w:fill="ffffff"/>
          <w:lang w:eastAsia="zh-CN"/>
        </w:rPr>
        <w:t xml:space="preserve">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eastAsia="宋体" w:cs="宋体"/>
          <w:color w:val="auto"/>
          <w:sz w:val="24"/>
          <w:szCs w:val="24"/>
          <w:highlight w:val="none"/>
          <w:shd w:val="clear" w:color="auto" w:fill="ffffff"/>
        </w:rPr>
        <w:t xml:space="preserve">。</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2、如果本公司的</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书被接受，本公司将严格履行招标文件中规定的每一项要求，按期、按质、按量履行合同的义务。</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3、本公司已详细审查全部招标文件，包括补充文件（更正公告</w:t>
      </w:r>
      <w:r>
        <w:rPr>
          <w:rFonts w:hint="eastAsia" w:ascii="宋体" w:hAnsi="宋体" w:eastAsia="宋体" w:cs="宋体"/>
          <w:color w:val="auto"/>
          <w:sz w:val="24"/>
          <w:szCs w:val="20"/>
          <w:highlight w:val="none"/>
          <w:shd w:val="clear" w:color="auto" w:fill="ffffff"/>
          <w:lang w:eastAsia="zh-CN"/>
        </w:rPr>
        <w:t xml:space="preserve">，</w:t>
      </w:r>
      <w:r>
        <w:rPr>
          <w:rFonts w:hint="eastAsia" w:ascii="宋体" w:hAnsi="宋体" w:eastAsia="宋体" w:cs="宋体"/>
          <w:color w:val="auto"/>
          <w:sz w:val="24"/>
          <w:szCs w:val="20"/>
          <w:highlight w:val="none"/>
          <w:shd w:val="clear" w:color="auto" w:fill="ffffff"/>
        </w:rPr>
        <w:t xml:space="preserve">如有</w:t>
      </w:r>
      <w:r>
        <w:rPr>
          <w:rFonts w:hint="eastAsia" w:ascii="宋体" w:hAnsi="宋体" w:eastAsia="宋体" w:cs="宋体"/>
          <w:color w:val="auto"/>
          <w:sz w:val="24"/>
          <w:szCs w:val="20"/>
          <w:highlight w:val="none"/>
          <w:shd w:val="clear" w:color="auto" w:fill="ffffff"/>
          <w:lang w:eastAsia="zh-CN"/>
        </w:rPr>
        <w:t xml:space="preserve">）</w:t>
      </w:r>
      <w:r>
        <w:rPr>
          <w:rFonts w:hint="eastAsia" w:ascii="宋体" w:hAnsi="宋体" w:eastAsia="宋体" w:cs="宋体"/>
          <w:color w:val="auto"/>
          <w:sz w:val="24"/>
          <w:szCs w:val="20"/>
          <w:highlight w:val="none"/>
          <w:shd w:val="clear" w:color="auto" w:fill="ffffff"/>
        </w:rPr>
        <w:t xml:space="preserve">。本公司完全理解并同意放弃对这方面有不明及误解的权力。</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4、本公司同意按招标文件中的规定，本</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书的有效期限为</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截止日起</w:t>
      </w:r>
      <w:r>
        <w:rPr>
          <w:rFonts w:hint="eastAsia" w:ascii="宋体" w:hAnsi="宋体" w:eastAsia="宋体" w:cs="宋体"/>
          <w:color w:val="auto"/>
          <w:sz w:val="24"/>
          <w:szCs w:val="20"/>
          <w:highlight w:val="none"/>
          <w:u w:val="single"/>
          <w:shd w:val="clear" w:color="auto" w:fill="ffffff"/>
        </w:rPr>
        <w:t xml:space="preserve">90</w:t>
      </w:r>
      <w:r>
        <w:rPr>
          <w:rFonts w:hint="eastAsia" w:ascii="宋体" w:hAnsi="宋体" w:eastAsia="宋体" w:cs="宋体"/>
          <w:color w:val="auto"/>
          <w:sz w:val="24"/>
          <w:szCs w:val="20"/>
          <w:highlight w:val="none"/>
          <w:shd w:val="clear" w:color="auto" w:fill="ffffff"/>
        </w:rPr>
        <w:t xml:space="preserve">天。</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5、本公司愿意提供采购人或采购代理机构在招标文件中要求的所有资料。</w:t>
      </w:r>
      <w:r/>
    </w:p>
    <w:p>
      <w:pPr>
        <w:ind w:firstLine="480"/>
        <w:spacing w:line="24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0"/>
          <w:highlight w:val="none"/>
          <w:shd w:val="clear" w:color="auto" w:fill="ffffff"/>
        </w:rPr>
        <w:t xml:space="preserve">6、</w:t>
      </w:r>
      <w:r>
        <w:rPr>
          <w:rFonts w:hint="eastAsia" w:ascii="宋体" w:hAnsi="宋体" w:eastAsia="宋体" w:cs="宋体"/>
          <w:color w:val="auto"/>
          <w:sz w:val="24"/>
          <w:szCs w:val="24"/>
          <w:highlight w:val="none"/>
          <w:shd w:val="clear" w:color="auto" w:fill="ffffff"/>
        </w:rPr>
        <w:t xml:space="preserve">本公司声明：本公司在参加本次政府采购活动前3年内在经营活动中没有重大违法记录。</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7、本公司愿意遵守招标公告及招标文件中所列的收费标准。</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8、本公司承诺该项</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在开标后的全过程中保持有效，不作任何更改和变动。</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9、如果本公司中标，本公司愿意按招标文件规定支付履约保证金和代理服务费。</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10、本公司承诺符合</w:t>
      </w:r>
      <w:r>
        <w:rPr>
          <w:rFonts w:hint="eastAsia" w:ascii="宋体" w:hAnsi="宋体" w:eastAsia="宋体" w:cs="宋体"/>
          <w:color w:val="auto"/>
          <w:sz w:val="24"/>
          <w:szCs w:val="24"/>
          <w:highlight w:val="none"/>
        </w:rPr>
        <w:t xml:space="preserve">招标公告中的“申请人的资格要求”</w:t>
      </w:r>
      <w:r>
        <w:rPr>
          <w:rFonts w:hint="eastAsia" w:ascii="宋体" w:hAnsi="宋体" w:eastAsia="宋体" w:cs="宋体"/>
          <w:color w:val="auto"/>
          <w:sz w:val="24"/>
          <w:szCs w:val="20"/>
          <w:highlight w:val="none"/>
          <w:shd w:val="clear" w:color="auto" w:fill="ffffff"/>
        </w:rPr>
        <w:t xml:space="preserve">的要求，若与真实情况不符，本公司愿意承担由此而产生的一切后果。</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11、综合说明：</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（1）伴随服务及配合措施；</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（2）要求甲方提供的配合；</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（3）对招标文件有不同意见的偏离说明；</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（4）其它说明。</w:t>
      </w:r>
      <w:r/>
    </w:p>
    <w:p>
      <w:pPr>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所有有关</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0"/>
          <w:highlight w:val="none"/>
          <w:shd w:val="clear" w:color="auto" w:fill="ffffff"/>
        </w:rPr>
        <w:t xml:space="preserve">的函电，请按下列地址联系：</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单位：                     联系人：                 地址：</w:t>
      </w:r>
      <w:r/>
    </w:p>
    <w:p>
      <w:pPr>
        <w:ind w:firstLine="480"/>
        <w:spacing w:line="24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邮政编码：                 联系电话：               传真：</w:t>
      </w:r>
      <w:r/>
    </w:p>
    <w:p>
      <w:pPr>
        <w:ind w:firstLine="480"/>
        <w:spacing w:line="24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公司电子邮箱：</w:t>
      </w:r>
      <w:r/>
    </w:p>
    <w:p>
      <w:pPr>
        <w:ind w:firstLine="480"/>
        <w:spacing w:line="24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银行账号：</w:t>
      </w:r>
      <w:r/>
    </w:p>
    <w:p>
      <w:pPr>
        <w:ind w:firstLine="480"/>
        <w:spacing w:line="24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银行开户行：</w:t>
      </w:r>
      <w:r/>
    </w:p>
    <w:p>
      <w:pPr>
        <w:ind w:firstLine="480"/>
        <w:spacing w:line="240" w:lineRule="auto"/>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数字人民币开户行（如有）：</w:t>
      </w:r>
      <w:r/>
    </w:p>
    <w:p>
      <w:pPr>
        <w:ind w:firstLine="480"/>
        <w:spacing w:line="24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highlight w:val="none"/>
          <w:shd w:val="clear" w:color="auto" w:fill="ffffff"/>
        </w:rPr>
        <w:t xml:space="preserve">数字人民币账户（数币钱包ID）：</w:t>
      </w:r>
      <w:r/>
    </w:p>
    <w:p>
      <w:pPr>
        <w:pStyle w:val="100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10"/>
        <w:jc w:val="righ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firstLine="210"/>
        <w:jc w:val="right"/>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br w:type="page" w:clear="all"/>
      </w:r>
      <w:r/>
    </w:p>
    <w:p>
      <w:pPr>
        <w:pStyle w:val="963"/>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lang w:val="en-US" w:eastAsia="zh-CN"/>
        </w:rPr>
        <w:t xml:space="preserve">3</w:t>
      </w:r>
      <w:r>
        <w:rPr>
          <w:rFonts w:hint="eastAsia" w:ascii="宋体" w:hAnsi="宋体" w:eastAsia="宋体" w:cs="宋体"/>
          <w:b/>
          <w:color w:val="auto"/>
          <w:szCs w:val="24"/>
          <w:highlight w:val="none"/>
        </w:rPr>
        <w:t xml:space="preserve">、开标一览表</w:t>
      </w:r>
      <w:r/>
    </w:p>
    <w:p>
      <w:pPr>
        <w:pStyle w:val="1105"/>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开标一览表（总报价）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分包号：                                                    </w:t>
      </w:r>
      <w:r/>
    </w:p>
    <w:tbl>
      <w:tblPr>
        <w:tblStyle w:val="959"/>
        <w:tblW w:w="859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8"/>
        <w:gridCol w:w="5024"/>
      </w:tblGrid>
      <w:tr>
        <w:trPr>
          <w:cantSplit/>
          <w:trHeight w:val="109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p>
        </w:tc>
      </w:tr>
      <w:tr>
        <w:trPr>
          <w:cantSplit/>
          <w:trHeight w:val="108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bookmarkStart w:id="54" w:name="XMMC"/>
            <w:r/>
            <w:bookmarkEnd w:id="54"/>
            <w:r>
              <w:rPr>
                <w:rFonts w:hint="eastAsia" w:ascii="宋体" w:hAnsi="宋体" w:eastAsia="宋体" w:cs="宋体"/>
                <w:color w:val="auto"/>
                <w:sz w:val="24"/>
                <w:szCs w:val="24"/>
                <w:highlight w:val="none"/>
                <w:lang w:val="en-US" w:eastAsia="zh-CN"/>
              </w:rPr>
              <w:t xml:space="preserve"> </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bookmarkStart w:id="55" w:name="JEXX"/>
            <w:r/>
            <w:bookmarkEnd w:id="55"/>
            <w:r>
              <w:rPr>
                <w:rFonts w:hint="eastAsia" w:ascii="宋体" w:hAnsi="宋体" w:eastAsia="宋体" w:cs="宋体"/>
                <w:color w:val="auto"/>
                <w:sz w:val="24"/>
                <w:szCs w:val="24"/>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spacing w:line="600" w:lineRule="exact"/>
              <w:widowControl/>
              <w:rPr>
                <w:rFonts w:hint="eastAsia" w:ascii="宋体" w:hAnsi="宋体" w:eastAsia="宋体" w:cs="宋体"/>
                <w:color w:val="auto"/>
                <w:sz w:val="24"/>
                <w:szCs w:val="24"/>
                <w:highlight w:val="none"/>
              </w:rPr>
            </w:pPr>
            <w:r/>
            <w:bookmarkStart w:id="56" w:name="JEDX"/>
            <w:r/>
            <w:bookmarkEnd w:id="56"/>
            <w:r/>
            <w:r/>
          </w:p>
        </w:tc>
      </w:tr>
    </w:tbl>
    <w:p>
      <w:pPr>
        <w:ind w:left="1024"/>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20" w:firstLine="21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p>
    <w:p>
      <w:pPr>
        <w:pStyle w:val="1000"/>
        <w:ind w:left="0" w:firstLine="480"/>
        <w:spacing w:after="0"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填写说明:</w:t>
      </w:r>
      <w:r/>
    </w:p>
    <w:p>
      <w:pPr>
        <w:pStyle w:val="1000"/>
        <w:ind w:left="0" w:firstLine="48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val="zh-CN"/>
        </w:rPr>
        <w:t xml:space="preserve">1、开标一览表必须加盖投标</w:t>
      </w:r>
      <w:r>
        <w:rPr>
          <w:rFonts w:hint="eastAsia" w:ascii="宋体" w:hAnsi="宋体" w:eastAsia="宋体" w:cs="宋体"/>
          <w:color w:val="auto"/>
          <w:sz w:val="24"/>
          <w:szCs w:val="24"/>
          <w:highlight w:val="none"/>
          <w:u w:val="single"/>
        </w:rPr>
        <w:t xml:space="preserve">人公章（复印件无效）。</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zh-CN"/>
        </w:rPr>
        <w:t xml:space="preserve">2、如有分包，投标人投任何</w:t>
      </w:r>
      <w:r>
        <w:rPr>
          <w:rFonts w:hint="eastAsia" w:ascii="宋体" w:hAnsi="宋体" w:eastAsia="宋体" w:cs="宋体"/>
          <w:color w:val="auto"/>
          <w:sz w:val="24"/>
          <w:szCs w:val="24"/>
          <w:highlight w:val="none"/>
          <w:u w:val="single"/>
        </w:rPr>
        <w:t xml:space="preserve">一个</w:t>
      </w:r>
      <w:r>
        <w:rPr>
          <w:rFonts w:hint="eastAsia" w:ascii="宋体" w:hAnsi="宋体" w:eastAsia="宋体" w:cs="宋体"/>
          <w:color w:val="auto"/>
          <w:sz w:val="24"/>
          <w:szCs w:val="24"/>
          <w:highlight w:val="none"/>
          <w:u w:val="single"/>
          <w:lang w:val="zh-CN"/>
        </w:rPr>
        <w:t xml:space="preserve">包的标的，</w:t>
      </w:r>
      <w:r>
        <w:rPr>
          <w:rFonts w:hint="eastAsia" w:ascii="宋体" w:hAnsi="宋体" w:eastAsia="宋体" w:cs="宋体"/>
          <w:color w:val="auto"/>
          <w:sz w:val="24"/>
          <w:szCs w:val="24"/>
          <w:highlight w:val="none"/>
          <w:u w:val="single"/>
        </w:rPr>
        <w:t xml:space="preserve">都需单</w:t>
      </w:r>
      <w:r>
        <w:rPr>
          <w:rFonts w:hint="eastAsia" w:ascii="宋体" w:hAnsi="宋体" w:eastAsia="宋体" w:cs="宋体"/>
          <w:color w:val="auto"/>
          <w:sz w:val="24"/>
          <w:szCs w:val="24"/>
          <w:highlight w:val="none"/>
          <w:u w:val="single"/>
          <w:lang w:val="zh-CN"/>
        </w:rPr>
        <w:t xml:space="preserve">独填写开标一览表。</w:t>
      </w:r>
      <w:r/>
    </w:p>
    <w:p>
      <w:pPr>
        <w:spacing w:line="360" w:lineRule="auto"/>
        <w:rPr>
          <w:rFonts w:hint="eastAsia" w:ascii="宋体" w:hAnsi="宋体" w:eastAsia="宋体" w:cs="宋体"/>
          <w:color w:val="auto"/>
          <w:highlight w:val="none"/>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lang w:val="en-US" w:eastAsia="zh-CN"/>
        </w:rPr>
        <w:t xml:space="preserve">4</w:t>
      </w:r>
      <w:r>
        <w:rPr>
          <w:rFonts w:hint="eastAsia" w:ascii="宋体" w:hAnsi="宋体" w:eastAsia="宋体" w:cs="宋体"/>
          <w:b/>
          <w:color w:val="auto"/>
          <w:sz w:val="24"/>
          <w:szCs w:val="24"/>
          <w:highlight w:val="none"/>
          <w:shd w:val="clear" w:color="auto" w:fill="ffffff"/>
        </w:rPr>
        <w:t xml:space="preserve">、</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报价明细表</w:t>
      </w:r>
      <w:r/>
    </w:p>
    <w:p>
      <w:pPr>
        <w:pStyle w:val="969"/>
        <w:ind w:left="0" w:right="-607" w:firstLine="0"/>
        <w:jc w:val="center"/>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pStyle w:val="969"/>
        <w:ind w:left="0" w:right="-607" w:firstLine="0"/>
        <w:jc w:val="center"/>
        <w:rPr>
          <w:rFonts w:hint="eastAsia" w:ascii="宋体" w:hAnsi="宋体" w:eastAsia="宋体" w:cs="宋体"/>
          <w:b/>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投标报价明细表</w:t>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ind w:left="0"/>
        <w:jc w:val="right"/>
        <w:spacing w:line="360" w:lineRule="auto"/>
        <w:rPr>
          <w:rFonts w:ascii="宋体" w:hAnsi="宋体"/>
          <w:sz w:val="21"/>
          <w:szCs w:val="21"/>
        </w:rPr>
      </w:pPr>
      <w:r>
        <w:rPr>
          <w:rFonts w:hint="eastAsia" w:ascii="宋体" w:hAnsi="宋体"/>
          <w:sz w:val="21"/>
          <w:szCs w:val="21"/>
        </w:rPr>
        <w:t xml:space="preserve">单位：元（人民币） </w:t>
      </w:r>
      <w:r/>
    </w:p>
    <w:tbl>
      <w:tblPr>
        <w:tblStyle w:val="959"/>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bl>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lang w:val="en-US" w:eastAsia="zh-CN"/>
        </w:rPr>
        <w:t xml:space="preserve">5</w:t>
      </w:r>
      <w:r>
        <w:rPr>
          <w:rFonts w:hint="eastAsia" w:ascii="宋体" w:hAnsi="宋体" w:eastAsia="宋体" w:cs="宋体"/>
          <w:b/>
          <w:color w:val="auto"/>
          <w:sz w:val="24"/>
          <w:szCs w:val="24"/>
          <w:highlight w:val="none"/>
          <w:shd w:val="clear" w:color="auto" w:fill="ffffff"/>
        </w:rPr>
        <w:t xml:space="preserve">、针对本项目制定的服务实施方案</w:t>
      </w:r>
      <w:r/>
    </w:p>
    <w:p>
      <w:pPr>
        <w:jc w:val="center"/>
        <w:spacing w:before="240"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针对本项目制定的服务实施方案</w:t>
      </w:r>
      <w:r/>
    </w:p>
    <w:tbl>
      <w:tblPr>
        <w:tblStyle w:val="959"/>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hint="eastAsia" w:ascii="宋体" w:hAnsi="宋体" w:eastAsia="宋体" w:cs="宋体"/>
                <w:color w:val="auto"/>
                <w:sz w:val="24"/>
                <w:szCs w:val="21"/>
                <w:highlight w:val="none"/>
                <w:shd w:val="clear" w:color="auto" w:fill="ffffff"/>
              </w:rPr>
            </w:pPr>
            <w:r>
              <w:rPr>
                <w:rFonts w:hint="eastAsia" w:ascii="宋体" w:hAnsi="宋体" w:eastAsia="宋体" w:cs="宋体"/>
                <w:color w:val="auto"/>
                <w:sz w:val="24"/>
                <w:szCs w:val="24"/>
                <w:highlight w:val="none"/>
                <w:shd w:val="clear" w:color="auto" w:fill="ffffff"/>
              </w:rPr>
              <w:t xml:space="preserve">提示：</w:t>
            </w:r>
            <w:r>
              <w:rPr>
                <w:rFonts w:hint="eastAsia" w:ascii="宋体" w:hAnsi="宋体" w:eastAsia="宋体" w:cs="宋体"/>
                <w:bCs/>
                <w:color w:val="auto"/>
                <w:sz w:val="24"/>
                <w:szCs w:val="24"/>
                <w:highlight w:val="none"/>
              </w:rPr>
              <w:t xml:space="preserve">供应商应根据本次采购项目要求，对服务实施方案等进行详细的说明与描述。</w:t>
            </w:r>
            <w:r>
              <w:rPr>
                <w:rFonts w:hint="eastAsia" w:ascii="宋体" w:hAnsi="宋体" w:eastAsia="宋体" w:cs="宋体"/>
                <w:color w:val="auto"/>
                <w:sz w:val="24"/>
                <w:szCs w:val="24"/>
                <w:highlight w:val="none"/>
                <w:shd w:val="clear" w:color="auto" w:fill="ffffff"/>
              </w:rPr>
              <w:t xml:space="preserve">供应商可根据自身情况编写，本页不够可另加页附后。</w:t>
            </w:r>
            <w:r/>
          </w:p>
          <w:p>
            <w:pPr>
              <w:jc w:val="left"/>
              <w:spacing w:line="360" w:lineRule="auto"/>
              <w:tabs>
                <w:tab w:val="left" w:pos="0" w:leader="none"/>
              </w:tabs>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260"/>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ind w:firstLine="260"/>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tc>
      </w:tr>
    </w:tbl>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bCs/>
          <w:color w:val="auto"/>
          <w:sz w:val="24"/>
          <w:szCs w:val="24"/>
          <w:highlight w:val="none"/>
          <w:shd w:val="clear" w:color="auto" w:fill="ffffff"/>
          <w:lang w:val="zh-CN"/>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lang w:val="en-US" w:eastAsia="zh-CN"/>
        </w:rPr>
        <w:t xml:space="preserve">6</w:t>
      </w:r>
      <w:r>
        <w:rPr>
          <w:rFonts w:hint="eastAsia" w:ascii="宋体" w:hAnsi="宋体" w:eastAsia="宋体" w:cs="宋体"/>
          <w:b/>
          <w:color w:val="auto"/>
          <w:sz w:val="24"/>
          <w:szCs w:val="24"/>
          <w:highlight w:val="none"/>
          <w:shd w:val="clear" w:color="auto" w:fill="ffffff"/>
        </w:rPr>
        <w:t xml:space="preserve">、服务或技术要求偏离表</w:t>
      </w:r>
      <w:r/>
    </w:p>
    <w:p>
      <w:pPr>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服务或技术要求偏离表</w:t>
      </w:r>
      <w:r/>
    </w:p>
    <w:tbl>
      <w:tblPr>
        <w:tblStyle w:val="9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292" w:type="dxa"/>
            <w:vAlign w:val="center"/>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采购内容</w:t>
            </w:r>
            <w:r/>
          </w:p>
        </w:tc>
        <w:tc>
          <w:tcPr>
            <w:tcW w:w="1620" w:type="dxa"/>
            <w:vAlign w:val="center"/>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1440" w:type="dxa"/>
            <w:vAlign w:val="center"/>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响应情况</w:t>
            </w:r>
            <w:r/>
          </w:p>
        </w:tc>
        <w:tc>
          <w:tcPr>
            <w:tcW w:w="1699" w:type="dxa"/>
            <w:vAlign w:val="center"/>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偏离/响应</w:t>
            </w:r>
            <w:r/>
          </w:p>
        </w:tc>
        <w:tc>
          <w:tcPr>
            <w:tcW w:w="1757" w:type="dxa"/>
            <w:vAlign w:val="center"/>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jc w:val="center"/>
          <w:trHeight w:val="423"/>
        </w:trPr>
        <w:tc>
          <w:tcPr>
            <w:tcW w:w="828"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1000"/>
        <w:ind w:firstLine="5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注：</w:t>
      </w:r>
      <w:r/>
    </w:p>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rPr>
        <w:t xml:space="preserve">2</w:t>
      </w:r>
      <w:r>
        <w:rPr>
          <w:rFonts w:hint="eastAsia" w:ascii="宋体" w:hAnsi="宋体" w:eastAsia="宋体" w:cs="宋体"/>
          <w:b/>
          <w:color w:val="auto"/>
          <w:sz w:val="24"/>
          <w:szCs w:val="24"/>
          <w:highlight w:val="none"/>
          <w:shd w:val="clear" w:color="auto" w:fill="ffffff"/>
          <w:lang w:eastAsia="zh"/>
        </w:rPr>
        <w:t xml:space="preserve">、本表不作为响应单位对所响应标的物</w:t>
      </w:r>
      <w:r>
        <w:rPr>
          <w:rFonts w:hint="eastAsia" w:ascii="宋体" w:hAnsi="宋体" w:eastAsia="宋体" w:cs="宋体"/>
          <w:b/>
          <w:color w:val="auto"/>
          <w:sz w:val="24"/>
          <w:szCs w:val="24"/>
          <w:highlight w:val="none"/>
          <w:shd w:val="clear" w:color="auto" w:fill="ffffff"/>
        </w:rPr>
        <w:t xml:space="preserve">服务</w:t>
      </w:r>
      <w:r>
        <w:rPr>
          <w:rFonts w:hint="eastAsia" w:ascii="宋体" w:hAnsi="宋体" w:eastAsia="宋体" w:cs="宋体"/>
          <w:b/>
          <w:color w:val="auto"/>
          <w:sz w:val="24"/>
          <w:szCs w:val="24"/>
          <w:highlight w:val="none"/>
          <w:shd w:val="clear" w:color="auto" w:fill="ffffff"/>
          <w:lang w:eastAsia="zh"/>
        </w:rPr>
        <w:t xml:space="preserve">条款详细描述和说明的替代。</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lang w:val="en-US" w:eastAsia="zh-CN"/>
        </w:rPr>
        <w:t xml:space="preserve">7</w:t>
      </w:r>
      <w:r>
        <w:rPr>
          <w:rFonts w:hint="eastAsia" w:ascii="宋体" w:hAnsi="宋体" w:eastAsia="宋体" w:cs="宋体"/>
          <w:b/>
          <w:color w:val="auto"/>
          <w:sz w:val="24"/>
          <w:szCs w:val="24"/>
          <w:highlight w:val="none"/>
          <w:shd w:val="clear" w:color="auto" w:fill="ffffff"/>
        </w:rPr>
        <w:t xml:space="preserve">、商务</w:t>
      </w:r>
      <w:r>
        <w:rPr>
          <w:rFonts w:hint="eastAsia" w:ascii="宋体" w:hAnsi="宋体" w:eastAsia="宋体" w:cs="宋体"/>
          <w:b/>
          <w:color w:val="auto"/>
          <w:sz w:val="24"/>
          <w:szCs w:val="24"/>
          <w:highlight w:val="none"/>
          <w:shd w:val="clear" w:color="auto" w:fill="ffffff"/>
          <w:lang w:val="en-US" w:eastAsia="zh-CN"/>
        </w:rPr>
        <w:t xml:space="preserve">要求</w:t>
      </w:r>
      <w:r>
        <w:rPr>
          <w:rFonts w:hint="eastAsia" w:ascii="宋体" w:hAnsi="宋体" w:eastAsia="宋体" w:cs="宋体"/>
          <w:b/>
          <w:color w:val="auto"/>
          <w:sz w:val="24"/>
          <w:szCs w:val="24"/>
          <w:highlight w:val="none"/>
          <w:shd w:val="clear" w:color="auto" w:fill="ffffff"/>
        </w:rPr>
        <w:t xml:space="preserve">偏离表</w:t>
      </w:r>
      <w:r/>
    </w:p>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商务</w:t>
      </w:r>
      <w:r>
        <w:rPr>
          <w:rFonts w:hint="eastAsia" w:ascii="宋体" w:hAnsi="宋体" w:eastAsia="宋体" w:cs="宋体"/>
          <w:b/>
          <w:bCs/>
          <w:color w:val="auto"/>
          <w:sz w:val="24"/>
          <w:szCs w:val="24"/>
          <w:highlight w:val="none"/>
          <w:shd w:val="clear" w:color="auto" w:fill="ffffff"/>
          <w:lang w:val="en-US" w:eastAsia="zh-CN"/>
        </w:rPr>
        <w:t xml:space="preserve">要求</w:t>
      </w:r>
      <w:r>
        <w:rPr>
          <w:rFonts w:hint="eastAsia" w:ascii="宋体" w:hAnsi="宋体" w:eastAsia="宋体" w:cs="宋体"/>
          <w:b/>
          <w:bCs/>
          <w:color w:val="auto"/>
          <w:sz w:val="24"/>
          <w:szCs w:val="24"/>
          <w:highlight w:val="none"/>
          <w:shd w:val="clear" w:color="auto" w:fill="ffffff"/>
        </w:rPr>
        <w:t xml:space="preserve">偏离表</w:t>
      </w:r>
      <w:r/>
    </w:p>
    <w:tbl>
      <w:tblPr>
        <w:tblStyle w:val="95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292" w:type="dxa"/>
            <w:vAlign w:val="center"/>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采购内容</w:t>
            </w:r>
            <w:r/>
          </w:p>
        </w:tc>
        <w:tc>
          <w:tcPr>
            <w:tcW w:w="1620" w:type="dxa"/>
            <w:vAlign w:val="center"/>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1440" w:type="dxa"/>
            <w:vAlign w:val="center"/>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响应情况</w:t>
            </w:r>
            <w:r/>
          </w:p>
        </w:tc>
        <w:tc>
          <w:tcPr>
            <w:tcW w:w="1699" w:type="dxa"/>
            <w:vAlign w:val="center"/>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偏离/响应</w:t>
            </w:r>
            <w:r/>
          </w:p>
        </w:tc>
        <w:tc>
          <w:tcPr>
            <w:tcW w:w="1757" w:type="dxa"/>
            <w:vAlign w:val="center"/>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jc w:val="center"/>
          <w:trHeight w:val="423"/>
        </w:trPr>
        <w:tc>
          <w:tcPr>
            <w:tcW w:w="828"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12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注：</w:t>
      </w:r>
      <w:r/>
    </w:p>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w:t>
      </w:r>
      <w:r>
        <w:rPr>
          <w:rFonts w:hint="eastAsia" w:ascii="宋体" w:hAnsi="宋体" w:eastAsia="宋体" w:cs="宋体"/>
          <w:b/>
          <w:color w:val="auto"/>
          <w:sz w:val="24"/>
          <w:szCs w:val="24"/>
          <w:highlight w:val="none"/>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r/>
    </w:p>
    <w:p>
      <w:pPr>
        <w:spacing w:line="360" w:lineRule="auto"/>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lang w:val="en-US" w:eastAsia="zh-CN"/>
        </w:rPr>
        <w:t xml:space="preserve">8</w:t>
      </w:r>
      <w:r>
        <w:rPr>
          <w:rFonts w:hint="eastAsia" w:ascii="宋体" w:hAnsi="宋体" w:eastAsia="宋体" w:cs="宋体"/>
          <w:b/>
          <w:color w:val="auto"/>
          <w:sz w:val="24"/>
          <w:szCs w:val="24"/>
          <w:highlight w:val="none"/>
          <w:shd w:val="clear" w:color="auto" w:fill="ffffff"/>
        </w:rPr>
        <w:t xml:space="preserve">、拟投入本项目人员配备一览表</w:t>
      </w:r>
      <w:r/>
    </w:p>
    <w:p>
      <w:pPr>
        <w:jc w:val="center"/>
        <w:spacing w:line="360" w:lineRule="auto"/>
        <w:rPr>
          <w:rFonts w:hint="eastAsia" w:ascii="宋体" w:hAnsi="宋体" w:eastAsia="宋体" w:cs="宋体"/>
          <w:b/>
          <w:bCs/>
          <w:color w:val="auto"/>
          <w:sz w:val="26"/>
          <w:szCs w:val="20"/>
          <w:highlight w:val="none"/>
        </w:rPr>
      </w:pPr>
      <w:r>
        <w:rPr>
          <w:rFonts w:hint="eastAsia" w:ascii="宋体" w:hAnsi="宋体" w:eastAsia="宋体" w:cs="宋体"/>
          <w:b/>
          <w:bCs/>
          <w:color w:val="auto"/>
          <w:sz w:val="24"/>
          <w:szCs w:val="24"/>
          <w:highlight w:val="none"/>
        </w:rPr>
        <w:t xml:space="preserve">拟投入本项目人员配备一览表</w:t>
      </w:r>
      <w:r/>
    </w:p>
    <w:tbl>
      <w:tblPr>
        <w:tblStyle w:val="959"/>
        <w:tblpPr w:horzAnchor="margin" w:tblpXSpec="center" w:vertAnchor="text" w:tblpY="48" w:leftFromText="180" w:topFromText="0" w:rightFromText="180" w:bottomFromText="0"/>
        <w:tblW w:w="974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b/>
          <w:color w:val="auto"/>
          <w:sz w:val="24"/>
          <w:szCs w:val="21"/>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b/>
          <w:color w:val="auto"/>
          <w:sz w:val="24"/>
          <w:szCs w:val="21"/>
          <w:highlight w:val="none"/>
        </w:rPr>
        <w:br w:type="page" w:clear="all"/>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1"/>
          <w:highlight w:val="none"/>
          <w:lang w:val="en-US" w:eastAsia="zh-CN"/>
        </w:rPr>
        <w:t xml:space="preserve">9</w:t>
      </w:r>
      <w:r>
        <w:rPr>
          <w:rFonts w:hint="eastAsia" w:ascii="宋体" w:hAnsi="宋体" w:eastAsia="宋体" w:cs="宋体"/>
          <w:b/>
          <w:color w:val="auto"/>
          <w:sz w:val="24"/>
          <w:szCs w:val="21"/>
          <w:highlight w:val="none"/>
        </w:rPr>
        <w:t xml:space="preserve">、类似业绩情况表</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类似业绩情况表（如有）</w:t>
      </w:r>
      <w:r/>
    </w:p>
    <w:tbl>
      <w:tblPr>
        <w:tblStyle w:val="959"/>
        <w:tblW w:w="994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合同期</w:t>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合同金额（万元）</w:t>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969"/>
        <w:rPr>
          <w:rFonts w:hint="eastAsia" w:ascii="宋体" w:hAnsi="宋体" w:eastAsia="宋体" w:cs="宋体"/>
          <w:color w:val="auto"/>
          <w:highlight w:val="none"/>
        </w:rPr>
      </w:pPr>
      <w:r>
        <w:rPr>
          <w:rFonts w:hint="eastAsia" w:ascii="宋体" w:hAnsi="宋体" w:eastAsia="宋体" w:cs="宋体"/>
          <w:color w:val="auto"/>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br w:type="page" w:clear="all"/>
      </w:r>
      <w:r/>
    </w:p>
    <w:p>
      <w:pPr>
        <w:spacing w:line="360" w:lineRule="auto"/>
        <w:rPr>
          <w:rFonts w:hint="eastAsia" w:ascii="宋体" w:hAnsi="宋体" w:eastAsia="宋体" w:cs="宋体"/>
          <w:b/>
          <w:color w:val="auto"/>
          <w:sz w:val="24"/>
          <w:szCs w:val="20"/>
          <w:highlight w:val="none"/>
          <w:shd w:val="clear" w:color="auto" w:fill="ffffff"/>
        </w:rPr>
        <w:outlineLvl w:val="1"/>
      </w:pPr>
      <w:r>
        <w:rPr>
          <w:rFonts w:hint="eastAsia" w:ascii="宋体" w:hAnsi="宋体" w:eastAsia="宋体" w:cs="宋体"/>
          <w:b/>
          <w:color w:val="auto"/>
          <w:sz w:val="24"/>
          <w:szCs w:val="21"/>
          <w:highlight w:val="none"/>
          <w:lang w:val="en-US" w:eastAsia="zh-CN"/>
        </w:rPr>
        <w:t xml:space="preserve">10</w:t>
      </w:r>
      <w:r>
        <w:rPr>
          <w:rFonts w:hint="eastAsia" w:ascii="宋体" w:hAnsi="宋体" w:eastAsia="宋体" w:cs="宋体"/>
          <w:b/>
          <w:color w:val="auto"/>
          <w:sz w:val="24"/>
          <w:szCs w:val="21"/>
          <w:highlight w:val="none"/>
        </w:rPr>
        <w:t xml:space="preserve">、资格证明文件</w:t>
      </w:r>
      <w:r/>
    </w:p>
    <w:p>
      <w:pPr>
        <w:spacing w:line="360" w:lineRule="auto"/>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（1）资格文件的声明函</w:t>
      </w:r>
      <w:r/>
    </w:p>
    <w:p>
      <w:pPr>
        <w:jc w:val="center"/>
        <w:spacing w:line="360" w:lineRule="auto"/>
        <w:rPr>
          <w:rFonts w:hint="eastAsia"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资格文件的声明函</w:t>
      </w:r>
      <w:r/>
    </w:p>
    <w:p>
      <w:pPr>
        <w:pStyle w:val="1122"/>
        <w:ind w:firstLine="0"/>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u w:val="single"/>
        </w:rPr>
        <w:t xml:space="preserve">苏州诚和招投标咨询有限公司</w:t>
      </w:r>
      <w:r>
        <w:rPr>
          <w:rFonts w:hint="eastAsia" w:ascii="宋体" w:hAnsi="宋体" w:eastAsia="宋体" w:cs="宋体"/>
          <w:color w:val="auto"/>
          <w:szCs w:val="24"/>
          <w:highlight w:val="none"/>
        </w:rPr>
        <w:t xml:space="preserve">：</w:t>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本公司愿就由贵司组织实施的编号为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u w:val="single"/>
          <w:shd w:val="clear" w:color="auto" w:fill="ffffff"/>
          <w:lang w:eastAsia="zh-CN"/>
        </w:rPr>
        <w:t xml:space="preserve">JSZC-320500-SZCH-G2026-0020</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号的招标活动进行</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。本公司所提交的</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文件中所有关于</w:t>
      </w:r>
      <w:r>
        <w:rPr>
          <w:rFonts w:hint="eastAsia" w:ascii="宋体" w:hAnsi="宋体" w:eastAsia="宋体" w:cs="宋体"/>
          <w:color w:val="auto"/>
          <w:sz w:val="24"/>
          <w:szCs w:val="20"/>
          <w:highlight w:val="none"/>
          <w:shd w:val="clear" w:color="auto" w:fill="ffffff"/>
          <w:lang w:eastAsia="zh-CN"/>
        </w:rPr>
        <w:t xml:space="preserve">投标（响应）</w:t>
      </w:r>
      <w:r>
        <w:rPr>
          <w:rFonts w:hint="eastAsia" w:ascii="宋体" w:hAnsi="宋体" w:eastAsia="宋体" w:cs="宋体"/>
          <w:color w:val="auto"/>
          <w:sz w:val="24"/>
          <w:szCs w:val="20"/>
          <w:highlight w:val="none"/>
          <w:shd w:val="clear" w:color="auto" w:fill="ffffff"/>
        </w:rPr>
        <w:t xml:space="preserve">资格的文件、证明和陈述均是真实的、准确的。若与真实情况不符，本公司愿意承担由此而产生的一切后果。</w:t>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bookmarkStart w:id="57" w:name="_Hlk193378870"/>
      <w:r>
        <w:rPr>
          <w:rFonts w:hint="eastAsia" w:ascii="宋体" w:hAnsi="宋体" w:eastAsia="宋体" w:cs="宋体"/>
          <w:b/>
          <w:color w:val="auto"/>
          <w:sz w:val="24"/>
          <w:szCs w:val="20"/>
          <w:highlight w:val="none"/>
          <w:shd w:val="clear" w:color="auto" w:fill="ffffff"/>
        </w:rPr>
        <w:t xml:space="preserve">（2）供应商基本情况表</w:t>
      </w:r>
      <w:r/>
    </w:p>
    <w:p>
      <w:pPr>
        <w:jc w:val="center"/>
        <w:spacing w:line="360" w:lineRule="auto"/>
        <w:rPr>
          <w:rFonts w:hint="eastAsia"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供应商基本情况表</w:t>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单位名称：</w:t>
      </w:r>
      <w:r/>
    </w:p>
    <w:tbl>
      <w:tblPr>
        <w:tblStyle w:val="95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920"/>
        <w:gridCol w:w="1470"/>
        <w:gridCol w:w="2030"/>
        <w:gridCol w:w="978"/>
      </w:tblGrid>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法定代表人</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成立日期</w:t>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企业地址</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注册资本</w:t>
            </w:r>
            <w:r/>
          </w:p>
        </w:tc>
        <w:tc>
          <w:tcPr>
            <w:gridSpan w:val="2"/>
            <w:tcW w:w="3008" w:type="dxa"/>
            <w:vAlign w:val="center"/>
            <w:textDirection w:val="lrTb"/>
            <w:noWrap w:val="false"/>
          </w:tcPr>
          <w:p>
            <w:pPr>
              <w:ind w:firstLine="2160"/>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万元</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经营范围</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职工人数</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350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其中：有中高级以上职称的人数</w:t>
            </w:r>
            <w:r/>
          </w:p>
        </w:tc>
        <w:tc>
          <w:tcPr>
            <w:tcW w:w="97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资产总计</w:t>
            </w:r>
            <w:r/>
          </w:p>
        </w:tc>
        <w:tc>
          <w:tcPr>
            <w:tcW w:w="1920"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4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净资产</w:t>
            </w:r>
            <w:r/>
          </w:p>
        </w:tc>
        <w:tc>
          <w:tcPr>
            <w:gridSpan w:val="2"/>
            <w:tcW w:w="3008" w:type="dxa"/>
            <w:vAlign w:val="center"/>
            <w:textDirection w:val="lrTb"/>
            <w:noWrap w:val="false"/>
          </w:tcPr>
          <w:p>
            <w:pPr>
              <w:ind w:firstLine="96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r>
      <w:tr>
        <w:trPr>
          <w:cantSplit/>
          <w:jc w:val="center"/>
          <w:trHeight w:val="363"/>
        </w:trPr>
        <w:tc>
          <w:tcPr>
            <w:tcW w:w="28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股东权益</w:t>
            </w:r>
            <w:r/>
          </w:p>
        </w:tc>
        <w:tc>
          <w:tcPr>
            <w:tcW w:w="1920"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470" w:type="dxa"/>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销售收入</w:t>
            </w:r>
            <w:r/>
          </w:p>
        </w:tc>
        <w:tc>
          <w:tcPr>
            <w:gridSpan w:val="2"/>
            <w:tcW w:w="3008" w:type="dxa"/>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w:t>
            </w:r>
            <w:r>
              <w:rPr>
                <w:rFonts w:hint="eastAsia" w:ascii="宋体" w:hAnsi="宋体" w:eastAsia="宋体" w:cs="宋体"/>
                <w:color w:val="auto"/>
                <w:sz w:val="24"/>
                <w:szCs w:val="24"/>
                <w:highlight w:val="none"/>
                <w:shd w:val="clear" w:color="auto" w:fill="ffffff"/>
                <w:lang w:val="en-US" w:eastAsia="zh-CN"/>
              </w:rPr>
              <w:t xml:space="preserve">5</w:t>
            </w:r>
            <w:r>
              <w:rPr>
                <w:rFonts w:hint="eastAsia" w:ascii="宋体" w:hAnsi="宋体" w:eastAsia="宋体" w:cs="宋体"/>
                <w:color w:val="auto"/>
                <w:sz w:val="24"/>
                <w:szCs w:val="24"/>
                <w:highlight w:val="none"/>
                <w:shd w:val="clear" w:color="auto" w:fill="ffffff"/>
              </w:rPr>
              <w:t xml:space="preserve">年    万元</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实现利润</w:t>
            </w:r>
            <w:r/>
          </w:p>
        </w:tc>
        <w:tc>
          <w:tcPr>
            <w:tcW w:w="192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w:t>
            </w:r>
            <w:r>
              <w:rPr>
                <w:rFonts w:hint="eastAsia" w:ascii="宋体" w:hAnsi="宋体" w:eastAsia="宋体" w:cs="宋体"/>
                <w:color w:val="auto"/>
                <w:sz w:val="24"/>
                <w:szCs w:val="24"/>
                <w:highlight w:val="none"/>
                <w:shd w:val="clear" w:color="auto" w:fill="ffffff"/>
                <w:lang w:val="en-US" w:eastAsia="zh-CN"/>
              </w:rPr>
              <w:t xml:space="preserve">5</w:t>
            </w:r>
            <w:r>
              <w:rPr>
                <w:rFonts w:hint="eastAsia" w:ascii="宋体" w:hAnsi="宋体" w:eastAsia="宋体" w:cs="宋体"/>
                <w:color w:val="auto"/>
                <w:sz w:val="24"/>
                <w:szCs w:val="24"/>
                <w:highlight w:val="none"/>
                <w:shd w:val="clear" w:color="auto" w:fill="ffffff"/>
              </w:rPr>
              <w:t xml:space="preserve">年  万元</w:t>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营业面积（含厂房面积）</w:t>
            </w:r>
            <w:r/>
          </w:p>
        </w:tc>
        <w:tc>
          <w:tcPr>
            <w:tcW w:w="1920" w:type="dxa"/>
            <w:vAlign w:val="center"/>
            <w:textDirection w:val="lrTb"/>
            <w:noWrap w:val="false"/>
          </w:tcPr>
          <w:p>
            <w:pPr>
              <w:ind w:firstLine="96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平方米</w:t>
            </w:r>
            <w:r/>
          </w:p>
        </w:tc>
        <w:tc>
          <w:tcPr>
            <w:tcW w:w="14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w:t>
            </w:r>
            <w:r/>
          </w:p>
        </w:tc>
        <w:tc>
          <w:tcPr>
            <w:gridSpan w:val="2"/>
            <w:tcW w:w="300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自有面积      平方米</w:t>
            </w:r>
            <w:r/>
          </w:p>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承租面积      平方米</w:t>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单位简历及内设机构情况</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单位优势及特长</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是否处于被行政或司法机关责令停业或停止承接项目或停止</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资格</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最近2年内在经营过程中受到何种奖励或处分（包括情况和结果）</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最近3年内主要负责人有无因经济犯罪被司法机关追究的情况及说明</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获得技术认证的工程师及简介</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其他需要说明的情况</w:t>
            </w:r>
            <w:r/>
          </w:p>
        </w:tc>
        <w:tc>
          <w:tcPr>
            <w:gridSpan w:val="4"/>
            <w:tcW w:w="6398" w:type="dxa"/>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bookmarkEnd w:id="57"/>
      <w:r/>
      <w:r/>
    </w:p>
    <w:p>
      <w:pPr>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（3）关于符合本国产品标准的声明函</w:t>
      </w:r>
      <w:r/>
    </w:p>
    <w:p>
      <w:pPr>
        <w:ind w:firstLine="200"/>
        <w:jc w:val="both"/>
        <w:spacing w:line="360" w:lineRule="auto"/>
        <w:rPr>
          <w:rFonts w:hint="eastAsia" w:ascii="宋体" w:hAnsi="宋体" w:eastAsia="宋体" w:cs="宋体"/>
          <w:color w:val="auto"/>
          <w:sz w:val="24"/>
          <w:szCs w:val="24"/>
          <w:highlight w:val="none"/>
        </w:rPr>
      </w:pPr>
      <w:r/>
      <w:bookmarkStart w:id="58" w:name="OLE_LINK5"/>
      <w:r/>
      <w:bookmarkStart w:id="59" w:name="OLE_LINK6"/>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关于符合本国产品标准的声明函</w:t>
      </w:r>
      <w:bookmarkEnd w:id="58"/>
      <w:r/>
      <w:bookmarkEnd w:id="59"/>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6"/>
        <w:ind w:firstLine="480"/>
        <w:jc w:val="both"/>
        <w:spacing w:beforeAutospacing="0" w:afterAutospacing="0" w:line="360" w:lineRule="auto"/>
        <w:rPr>
          <w:rFonts w:hint="eastAsia" w:ascii="宋体" w:hAnsi="宋体" w:eastAsia="宋体" w:cs="宋体"/>
          <w:color w:val="000000" w:themeColor="text1"/>
          <w:szCs w:val="24"/>
          <w:highlight w:val="none"/>
          <w14:textFill>
            <w14:solidFill>
              <w14:schemeClr w14:val="tx1"/>
            </w14:solidFill>
          </w14:textFill>
        </w:rPr>
      </w:pPr>
      <w:r/>
      <w:bookmarkStart w:id="60" w:name="OLE_LINK12"/>
      <w:r>
        <w:rPr>
          <w:rFonts w:hint="eastAsia" w:ascii="宋体" w:hAnsi="宋体" w:eastAsia="宋体" w:cs="宋体"/>
          <w:color w:val="000000" w:themeColor="text1"/>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6"/>
        <w:ind w:firstLine="480"/>
        <w:jc w:val="both"/>
        <w:spacing w:beforeAutospacing="0" w:afterAutospacing="0"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6"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7"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9"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1.</w:t>
      </w:r>
      <w:r>
        <w:rPr>
          <w:rStyle w:val="1006"/>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（产品名称1）</w:t>
      </w:r>
      <w:r>
        <w:rPr>
          <w:rStyle w:val="1006"/>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，生产厂为</w:t>
      </w:r>
      <w:r>
        <w:rPr>
          <w:rStyle w:val="1006"/>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（厂名）</w:t>
      </w:r>
      <w:r>
        <w:rPr>
          <w:rStyle w:val="1006"/>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，厂址为</w:t>
      </w:r>
      <w:r>
        <w:rPr>
          <w:rStyle w:val="1006"/>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Cs w:val="24"/>
          <w:highlight w:val="none"/>
          <w:u w:val="single"/>
          <w:shd w:val="clear" w:color="auto" w:fill="ffffff"/>
          <w14:textFill>
            <w14:solidFill>
              <w14:schemeClr w14:val="tx1"/>
            </w14:solidFill>
          </w14:textFill>
        </w:rPr>
        <w:t xml:space="preserve"> </w:t>
      </w:r>
      <w:r>
        <w:rPr>
          <w:rStyle w:val="1006"/>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（产品名称1） </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的中国境内生产的组件成本占比≥</w:t>
      </w:r>
      <w:r>
        <w:rPr>
          <w:rStyle w:val="1006"/>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（规定比例）</w:t>
      </w:r>
      <w:r>
        <w:rPr>
          <w:rStyle w:val="1006"/>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w:t>
      </w:r>
      <w:r>
        <w:rPr>
          <w:rStyle w:val="1006"/>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的</w:t>
      </w:r>
      <w:r>
        <w:rPr>
          <w:rStyle w:val="1006"/>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（关键组件）</w:t>
      </w:r>
      <w:r>
        <w:rPr>
          <w:rStyle w:val="1006"/>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在中国境内生产。</w:t>
      </w:r>
      <w:r>
        <w:rPr>
          <w:rStyle w:val="1006"/>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的</w:t>
      </w:r>
      <w:r>
        <w:rPr>
          <w:rStyle w:val="1006"/>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（关键工序）</w:t>
      </w:r>
      <w:r>
        <w:rPr>
          <w:rStyle w:val="1006"/>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在中国境内完成。</w:t>
      </w:r>
      <w:r/>
    </w:p>
    <w:p>
      <w:p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7"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Style w:val="1006"/>
          <w:rFonts w:hint="eastAsia" w:ascii="宋体" w:hAnsi="宋体" w:eastAsia="宋体" w:cs="宋体"/>
          <w:i w:val="0"/>
          <w:color w:val="000000" w:themeColor="text1"/>
          <w:sz w:val="24"/>
          <w:szCs w:val="24"/>
          <w:highlight w:val="none"/>
          <w:u w:val="single"/>
          <w14:textFill>
            <w14:solidFill>
              <w14:schemeClr w14:val="tx1"/>
            </w14:solidFill>
          </w14:textFill>
        </w:rPr>
        <w:t xml:space="preserve">（产品名称2）</w:t>
      </w:r>
      <w:r>
        <w:rPr>
          <w:rFonts w:hint="eastAsia" w:ascii="宋体" w:hAnsi="宋体" w:eastAsia="宋体" w:cs="宋体"/>
          <w:color w:val="000000" w:themeColor="text1"/>
          <w:sz w:val="24"/>
          <w:szCs w:val="24"/>
          <w:highlight w:val="none"/>
          <w14:textFill>
            <w14:solidFill>
              <w14:schemeClr w14:val="tx1"/>
            </w14:solidFill>
          </w14:textFill>
        </w:rPr>
        <w:t xml:space="preserve">，生产厂为</w:t>
      </w:r>
      <w:r>
        <w:rPr>
          <w:rStyle w:val="1006"/>
          <w:rFonts w:hint="eastAsia" w:ascii="宋体" w:hAnsi="宋体" w:eastAsia="宋体" w:cs="宋体"/>
          <w:i w:val="0"/>
          <w:color w:val="000000" w:themeColor="text1"/>
          <w:sz w:val="24"/>
          <w:szCs w:val="24"/>
          <w:highlight w:val="none"/>
          <w:u w:val="single"/>
          <w14:textFill>
            <w14:solidFill>
              <w14:schemeClr w14:val="tx1"/>
            </w14:solidFill>
          </w14:textFill>
        </w:rPr>
        <w:t xml:space="preserve">（厂名）</w:t>
      </w:r>
      <w:r>
        <w:rPr>
          <w:rFonts w:hint="eastAsia" w:ascii="宋体" w:hAnsi="宋体" w:eastAsia="宋体" w:cs="宋体"/>
          <w:color w:val="000000" w:themeColor="text1"/>
          <w:sz w:val="24"/>
          <w:szCs w:val="24"/>
          <w:highlight w:val="none"/>
          <w14:textFill>
            <w14:solidFill>
              <w14:schemeClr w14:val="tx1"/>
            </w14:solidFill>
          </w14:textFill>
        </w:rPr>
        <w:t xml:space="preserve">，厂址为</w:t>
      </w:r>
      <w:r>
        <w:rPr>
          <w:rStyle w:val="1006"/>
          <w:rFonts w:hint="eastAsia" w:ascii="宋体" w:hAnsi="宋体" w:eastAsia="宋体" w:cs="宋体"/>
          <w:i w:val="0"/>
          <w:color w:val="000000" w:themeColor="text1"/>
          <w:sz w:val="24"/>
          <w:szCs w:val="24"/>
          <w:highlight w:val="none"/>
          <w:u w:val="single"/>
          <w14:textFill>
            <w14:solidFill>
              <w14:schemeClr w14:val="tx1"/>
            </w14:solidFill>
          </w14:textFill>
        </w:rPr>
        <w:t xml:space="preserve">（生产厂址）</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Style w:val="1006"/>
          <w:rFonts w:hint="eastAsia" w:ascii="宋体" w:hAnsi="宋体" w:eastAsia="宋体" w:cs="宋体"/>
          <w:i w:val="0"/>
          <w:color w:val="000000" w:themeColor="text1"/>
          <w:sz w:val="24"/>
          <w:szCs w:val="24"/>
          <w:highlight w:val="none"/>
          <w:u w:val="single"/>
          <w14:textFill>
            <w14:solidFill>
              <w14:schemeClr w14:val="tx1"/>
            </w14:solidFill>
          </w14:textFill>
        </w:rPr>
        <w:t xml:space="preserve">（产品名称2）</w:t>
      </w:r>
      <w:r>
        <w:rPr>
          <w:rFonts w:hint="eastAsia" w:ascii="宋体" w:hAnsi="宋体" w:eastAsia="宋体" w:cs="宋体"/>
          <w:color w:val="000000" w:themeColor="text1"/>
          <w:sz w:val="24"/>
          <w:szCs w:val="24"/>
          <w:highlight w:val="none"/>
          <w14:textFill>
            <w14:solidFill>
              <w14:schemeClr w14:val="tx1"/>
            </w14:solidFill>
          </w14:textFill>
        </w:rPr>
        <w:t xml:space="preserve">的中国境内生产的组件成本占比≥</w:t>
      </w:r>
      <w:r>
        <w:rPr>
          <w:rStyle w:val="1006"/>
          <w:rFonts w:hint="eastAsia" w:ascii="宋体" w:hAnsi="宋体" w:eastAsia="宋体" w:cs="宋体"/>
          <w:i w:val="0"/>
          <w:color w:val="000000" w:themeColor="text1"/>
          <w:sz w:val="24"/>
          <w:szCs w:val="24"/>
          <w:highlight w:val="none"/>
          <w:u w:val="single"/>
          <w14:textFill>
            <w14:solidFill>
              <w14:schemeClr w14:val="tx1"/>
            </w14:solidFill>
          </w14:textFill>
        </w:rPr>
        <w:t xml:space="preserve">（规定比例）</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Style w:val="1006"/>
          <w:rFonts w:hint="eastAsia" w:ascii="宋体" w:hAnsi="宋体" w:eastAsia="宋体" w:cs="宋体"/>
          <w:i w:val="0"/>
          <w:color w:val="000000" w:themeColor="text1"/>
          <w:sz w:val="24"/>
          <w:szCs w:val="24"/>
          <w:highlight w:val="none"/>
          <w:u w:val="single"/>
          <w14:textFill>
            <w14:solidFill>
              <w14:schemeClr w14:val="tx1"/>
            </w14:solidFill>
          </w14:textFill>
        </w:rPr>
        <w:t xml:space="preserve">（产品名称2）</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Style w:val="1006"/>
          <w:rFonts w:hint="eastAsia" w:ascii="宋体" w:hAnsi="宋体" w:eastAsia="宋体" w:cs="宋体"/>
          <w:i w:val="0"/>
          <w:color w:val="000000" w:themeColor="text1"/>
          <w:sz w:val="24"/>
          <w:szCs w:val="24"/>
          <w:highlight w:val="none"/>
          <w:u w:val="single"/>
          <w14:textFill>
            <w14:solidFill>
              <w14:schemeClr w14:val="tx1"/>
            </w14:solidFill>
          </w14:textFill>
        </w:rPr>
        <w:t xml:space="preserve">（关键组件）</w:t>
      </w:r>
      <w:r>
        <w:rPr>
          <w:rFonts w:hint="eastAsia" w:ascii="宋体" w:hAnsi="宋体" w:eastAsia="宋体" w:cs="宋体"/>
          <w:color w:val="000000" w:themeColor="text1"/>
          <w:sz w:val="24"/>
          <w:szCs w:val="24"/>
          <w:highlight w:val="none"/>
          <w14:textFill>
            <w14:solidFill>
              <w14:schemeClr w14:val="tx1"/>
            </w14:solidFill>
          </w14:textFill>
        </w:rPr>
        <w:t xml:space="preserve">在中国境内生产。</w:t>
      </w:r>
      <w:r>
        <w:rPr>
          <w:rStyle w:val="1006"/>
          <w:rFonts w:hint="eastAsia" w:ascii="宋体" w:hAnsi="宋体" w:eastAsia="宋体" w:cs="宋体"/>
          <w:i w:val="0"/>
          <w:color w:val="000000" w:themeColor="text1"/>
          <w:sz w:val="24"/>
          <w:szCs w:val="24"/>
          <w:highlight w:val="none"/>
          <w:u w:val="single"/>
          <w14:textFill>
            <w14:solidFill>
              <w14:schemeClr w14:val="tx1"/>
            </w14:solidFill>
          </w14:textFill>
        </w:rPr>
        <w:t xml:space="preserve">（产品名称</w:t>
      </w:r>
      <w:r>
        <w:rPr>
          <w:rStyle w:val="1006"/>
          <w:rFonts w:hint="eastAsia" w:ascii="宋体" w:hAnsi="宋体" w:eastAsia="宋体" w:cs="宋体"/>
          <w:i w:val="0"/>
          <w:color w:val="000000" w:themeColor="text1"/>
          <w:sz w:val="24"/>
          <w:szCs w:val="24"/>
          <w:highlight w:val="none"/>
          <w:u w:val="single"/>
          <w:lang w:val="en-US" w:eastAsia="zh-CN"/>
          <w14:textFill>
            <w14:solidFill>
              <w14:schemeClr w14:val="tx1"/>
            </w14:solidFill>
          </w14:textFill>
        </w:rPr>
        <w:t xml:space="preserve">2</w:t>
      </w:r>
      <w:r>
        <w:rPr>
          <w:rStyle w:val="1006"/>
          <w:rFonts w:hint="eastAsia" w:ascii="宋体" w:hAnsi="宋体" w:eastAsia="宋体" w:cs="宋体"/>
          <w:i w:val="0"/>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Style w:val="1006"/>
          <w:rFonts w:hint="eastAsia" w:ascii="宋体" w:hAnsi="宋体" w:eastAsia="宋体" w:cs="宋体"/>
          <w:i w:val="0"/>
          <w:color w:val="000000" w:themeColor="text1"/>
          <w:sz w:val="24"/>
          <w:szCs w:val="24"/>
          <w:highlight w:val="none"/>
          <w:u w:val="single"/>
          <w14:textFill>
            <w14:solidFill>
              <w14:schemeClr w14:val="tx1"/>
            </w14:solidFill>
          </w14:textFill>
        </w:rPr>
        <w:t xml:space="preserve">（关键工序）</w:t>
      </w:r>
      <w:r>
        <w:rPr>
          <w:rFonts w:hint="eastAsia" w:ascii="宋体" w:hAnsi="宋体" w:eastAsia="宋体" w:cs="宋体"/>
          <w:color w:val="000000" w:themeColor="text1"/>
          <w:sz w:val="24"/>
          <w:szCs w:val="24"/>
          <w:highlight w:val="none"/>
          <w14:textFill>
            <w14:solidFill>
              <w14:schemeClr w14:val="tx1"/>
            </w14:solidFill>
          </w14:textFill>
        </w:rPr>
        <w:t xml:space="preserve">在中国境内完成。</w:t>
      </w:r>
      <w:r/>
    </w:p>
    <w:p>
      <w:pPr>
        <w:ind w:firstLine="480"/>
        <w:jc w:val="both"/>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p>
    <w:p>
      <w:pPr>
        <w:ind w:firstLine="480"/>
        <w:jc w:val="both"/>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__________________</w:t>
      </w:r>
      <w:r/>
    </w:p>
    <w:p>
      <w:pPr>
        <w:ind w:firstLine="480"/>
        <w:jc w:val="both"/>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1.产品如有型号，请在“产品名称”栏一并填写。</w:t>
      </w:r>
      <w:r/>
    </w:p>
    <w:p>
      <w:pPr>
        <w:ind w:firstLine="480"/>
        <w:jc w:val="both"/>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2.生产厂址应与生产厂营业执照载明的相关信息保持一致。</w:t>
      </w:r>
      <w:bookmarkStart w:id="61" w:name="OLE_LINK11"/>
      <w:r/>
      <w:r/>
    </w:p>
    <w:p>
      <w:pPr>
        <w:ind w:firstLine="480"/>
        <w:jc w:val="both"/>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3.该产品的中国境内生产的组件成本占比相关要求实施前，“规定比例”栏可不填，下同</w:t>
      </w:r>
      <w:bookmarkEnd w:id="61"/>
      <w:r>
        <w:rPr>
          <w:rFonts w:hint="eastAsia" w:ascii="宋体" w:hAnsi="宋体" w:eastAsia="宋体" w:cs="宋体"/>
          <w:sz w:val="24"/>
          <w:szCs w:val="24"/>
          <w:highlight w:val="none"/>
          <w:lang w:val="zh-CN"/>
        </w:rPr>
        <w:t xml:space="preserve">。</w:t>
      </w:r>
      <w:r/>
    </w:p>
    <w:p>
      <w:pPr>
        <w:ind w:firstLine="480"/>
        <w:jc w:val="both"/>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4.该产品的关键组件要求实施前，“关键组件”栏可不填，下同。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5.该产品的关键工序要求实施前，“关键工序”栏可不填，下同。</w:t>
      </w:r>
      <w:r/>
    </w:p>
    <w:p>
      <w:pPr>
        <w:pStyle w:val="996"/>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Cs w:val="24"/>
          <w:highlight w:val="none"/>
          <w:shd w:val="clear" w:color="auto" w:fill="ffffff"/>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6.用斜线划除的地方无需填写。</w:t>
      </w:r>
      <w:r/>
    </w:p>
    <w:p>
      <w:pPr>
        <w:pStyle w:val="968"/>
        <w:rPr>
          <w:rFonts w:hint="eastAsia" w:ascii="宋体" w:hAnsi="宋体" w:eastAsia="宋体" w:cs="宋体"/>
          <w:highlight w:val="none"/>
        </w:rPr>
      </w:pPr>
      <w:r>
        <w:rPr>
          <w:rFonts w:hint="eastAsia" w:ascii="宋体" w:hAnsi="宋体" w:eastAsia="宋体" w:cs="宋体"/>
          <w:highlight w:val="none"/>
        </w:rPr>
      </w:r>
      <w:r/>
    </w:p>
    <w:p>
      <w:pPr>
        <w:ind w:firstLine="480"/>
        <w:jc w:val="both"/>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本公司（单位）对上述声明内容的真实性负责。如有虚假，愿承担相应法律责任。</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394"/>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公司（单位）名称（盖章）：</w:t>
      </w:r>
      <w:r/>
    </w:p>
    <w:p>
      <w:pPr>
        <w:ind w:firstLine="4394"/>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bookmarkEnd w:id="60"/>
      <w:r/>
      <w:r/>
    </w:p>
    <w:p>
      <w:pPr>
        <w:pStyle w:val="968"/>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（4）关于本国产品成本占比的声明函（采购项目含有多种产品时适用）</w:t>
      </w:r>
      <w:r/>
    </w:p>
    <w:p>
      <w:pPr>
        <w:ind w:firstLine="2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关于本国产品成本占比的声明函</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w:t>
      </w:r>
      <w:r>
        <w:rPr>
          <w:rFonts w:hint="eastAsia" w:ascii="宋体" w:hAnsi="宋体" w:eastAsia="宋体" w:cs="宋体"/>
          <w:sz w:val="24"/>
          <w:szCs w:val="24"/>
          <w:highlight w:val="none"/>
          <w:lang w:val="zh-CN"/>
        </w:rPr>
        <w:t xml:space="preserve">达到</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本公司（单位）对上表内容的真实性负责。如有虚假，愿承担相应法律责任。</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jc w:val="both"/>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年     月     日</w:t>
      </w:r>
      <w:r/>
    </w:p>
    <w:p>
      <w:pPr>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w:t>
      </w:r>
      <w:r>
        <w:rPr>
          <w:rFonts w:hint="eastAsia" w:ascii="宋体" w:hAnsi="宋体" w:eastAsia="宋体" w:cs="宋体"/>
          <w:b/>
          <w:color w:val="auto"/>
          <w:sz w:val="24"/>
          <w:szCs w:val="20"/>
          <w:highlight w:val="none"/>
          <w:shd w:val="clear" w:color="auto" w:fill="ffffff"/>
          <w:lang w:val="en-US" w:eastAsia="zh-CN"/>
        </w:rPr>
        <w:t xml:space="preserve">5</w:t>
      </w:r>
      <w:r>
        <w:rPr>
          <w:rFonts w:hint="eastAsia" w:ascii="宋体" w:hAnsi="宋体" w:eastAsia="宋体" w:cs="宋体"/>
          <w:b/>
          <w:color w:val="auto"/>
          <w:sz w:val="24"/>
          <w:szCs w:val="20"/>
          <w:highlight w:val="none"/>
          <w:shd w:val="clear" w:color="auto" w:fill="ffffff"/>
        </w:rPr>
        <w:t xml:space="preserve">）中小企业声明函</w:t>
      </w:r>
      <w:r/>
    </w:p>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482"/>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中小企业声明函（服务）</w:t>
      </w:r>
      <w:r/>
    </w:p>
    <w:p>
      <w:pPr>
        <w:ind w:left="57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480"/>
        <w:jc w:val="left"/>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0"/>
          <w:highlight w:val="none"/>
          <w:u w:val="single"/>
          <w:shd w:val="clear" w:color="auto" w:fill="ffffff"/>
        </w:rPr>
        <w:t xml:space="preserve">苏州市教育质量监测中心</w:t>
      </w:r>
      <w:r>
        <w:rPr>
          <w:rFonts w:hint="eastAsia" w:ascii="宋体" w:hAnsi="宋体" w:eastAsia="宋体" w:cs="宋体"/>
          <w:color w:val="auto"/>
          <w:sz w:val="24"/>
          <w:szCs w:val="20"/>
          <w:highlight w:val="none"/>
          <w:shd w:val="clear" w:color="auto" w:fill="ffffff"/>
        </w:rPr>
        <w:t xml:space="preserve">的</w:t>
      </w:r>
      <w:r>
        <w:rPr>
          <w:rFonts w:hint="eastAsia" w:ascii="宋体" w:hAnsi="宋体" w:eastAsia="宋体" w:cs="宋体"/>
          <w:color w:val="auto"/>
          <w:sz w:val="24"/>
          <w:szCs w:val="20"/>
          <w:highlight w:val="none"/>
          <w:u w:val="single"/>
          <w:shd w:val="clear" w:color="auto" w:fill="ffffff"/>
        </w:rPr>
        <w:t xml:space="preserve">202</w:t>
      </w:r>
      <w:r>
        <w:rPr>
          <w:rFonts w:hint="eastAsia" w:ascii="宋体" w:hAnsi="宋体" w:eastAsia="宋体" w:cs="宋体"/>
          <w:color w:val="auto"/>
          <w:sz w:val="24"/>
          <w:szCs w:val="20"/>
          <w:highlight w:val="none"/>
          <w:u w:val="single"/>
          <w:shd w:val="clear" w:color="auto" w:fill="ffffff"/>
          <w:lang w:val="en-US" w:eastAsia="zh-CN"/>
        </w:rPr>
        <w:t xml:space="preserve">6</w:t>
      </w:r>
      <w:r>
        <w:rPr>
          <w:rFonts w:hint="eastAsia" w:ascii="宋体" w:hAnsi="宋体" w:eastAsia="宋体" w:cs="宋体"/>
          <w:color w:val="auto"/>
          <w:sz w:val="24"/>
          <w:szCs w:val="20"/>
          <w:highlight w:val="none"/>
          <w:u w:val="single"/>
          <w:shd w:val="clear" w:color="auto" w:fill="ffffff"/>
        </w:rPr>
        <w:t xml:space="preserve">年苏州市义务教育学业质量监测项目及配套服务</w:t>
      </w:r>
      <w:r>
        <w:rPr>
          <w:rFonts w:hint="eastAsia" w:ascii="宋体" w:hAnsi="宋体" w:eastAsia="宋体" w:cs="宋体"/>
          <w:color w:val="auto"/>
          <w:sz w:val="24"/>
          <w:szCs w:val="20"/>
          <w:highlight w:val="none"/>
          <w:shd w:val="clear" w:color="auto" w:fill="ffffff"/>
        </w:rPr>
        <w:t xml:space="preserve">采购活动，服务全部由符合政策要求的中小企业承接。相关企业（含联合体中的中小企业、签订分包意向协议的中小企业）的具体情况如下：</w:t>
      </w:r>
      <w:r/>
    </w:p>
    <w:p>
      <w:pPr>
        <w:numPr>
          <w:ilvl w:val="0"/>
          <w:numId w:val="3"/>
        </w:numPr>
        <w:ind w:firstLine="480"/>
        <w:jc w:val="left"/>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b w:val="0"/>
          <w:bCs/>
          <w:color w:val="auto"/>
          <w:sz w:val="24"/>
          <w:szCs w:val="20"/>
          <w:highlight w:val="none"/>
          <w:u w:val="single"/>
          <w:shd w:val="clear" w:color="auto" w:fill="ffffff"/>
        </w:rPr>
        <w:t xml:space="preserve">202</w:t>
      </w:r>
      <w:r>
        <w:rPr>
          <w:rFonts w:hint="eastAsia" w:ascii="宋体" w:hAnsi="宋体" w:eastAsia="宋体" w:cs="宋体"/>
          <w:b w:val="0"/>
          <w:bCs/>
          <w:color w:val="auto"/>
          <w:sz w:val="24"/>
          <w:szCs w:val="20"/>
          <w:highlight w:val="none"/>
          <w:u w:val="single"/>
          <w:shd w:val="clear" w:color="auto" w:fill="ffffff"/>
          <w:lang w:val="en-US" w:eastAsia="zh-CN"/>
        </w:rPr>
        <w:t xml:space="preserve">6</w:t>
      </w:r>
      <w:r>
        <w:rPr>
          <w:rFonts w:hint="eastAsia" w:ascii="宋体" w:hAnsi="宋体" w:eastAsia="宋体" w:cs="宋体"/>
          <w:b w:val="0"/>
          <w:bCs/>
          <w:color w:val="auto"/>
          <w:sz w:val="24"/>
          <w:szCs w:val="20"/>
          <w:highlight w:val="none"/>
          <w:u w:val="single"/>
          <w:shd w:val="clear" w:color="auto" w:fill="ffffff"/>
        </w:rPr>
        <w:t xml:space="preserve">年苏州市义务教育学业质量监测项目及配套服务</w:t>
      </w:r>
      <w:r>
        <w:rPr>
          <w:rFonts w:hint="eastAsia" w:ascii="宋体" w:hAnsi="宋体" w:eastAsia="宋体" w:cs="宋体"/>
          <w:b w:val="0"/>
          <w:bCs/>
          <w:color w:val="auto"/>
          <w:sz w:val="24"/>
          <w:szCs w:val="20"/>
          <w:highlight w:val="none"/>
          <w:u w:val="none"/>
          <w:shd w:val="clear" w:color="auto" w:fill="ffffff"/>
        </w:rPr>
        <w:t xml:space="preserve">，</w:t>
      </w:r>
      <w:r>
        <w:rPr>
          <w:rFonts w:hint="eastAsia" w:ascii="宋体" w:hAnsi="宋体" w:eastAsia="宋体" w:cs="宋体"/>
          <w:color w:val="auto"/>
          <w:sz w:val="24"/>
          <w:szCs w:val="20"/>
          <w:highlight w:val="none"/>
          <w:shd w:val="clear" w:color="auto" w:fill="ffffff"/>
        </w:rPr>
        <w:t xml:space="preserve">属于</w:t>
      </w:r>
      <w:r>
        <w:rPr>
          <w:rFonts w:hint="eastAsia" w:ascii="宋体" w:hAnsi="宋体" w:eastAsia="宋体" w:cs="宋体"/>
          <w:color w:val="auto"/>
          <w:sz w:val="24"/>
          <w:szCs w:val="20"/>
          <w:highlight w:val="none"/>
          <w:u w:val="single"/>
          <w:shd w:val="clear" w:color="auto" w:fill="ffffff"/>
        </w:rPr>
        <w:t xml:space="preserve">其他未列明行业</w:t>
      </w:r>
      <w:r>
        <w:rPr>
          <w:rFonts w:hint="eastAsia" w:ascii="宋体" w:hAnsi="宋体" w:eastAsia="宋体" w:cs="宋体"/>
          <w:color w:val="auto"/>
          <w:sz w:val="24"/>
          <w:szCs w:val="20"/>
          <w:highlight w:val="none"/>
          <w:shd w:val="clear" w:color="auto" w:fill="ffffff"/>
        </w:rPr>
        <w:t xml:space="preserve">；承建（承接）企业为</w:t>
      </w:r>
      <w:r>
        <w:rPr>
          <w:rFonts w:hint="eastAsia" w:ascii="宋体" w:hAnsi="宋体" w:eastAsia="宋体" w:cs="宋体"/>
          <w:color w:val="auto"/>
          <w:sz w:val="24"/>
          <w:szCs w:val="20"/>
          <w:highlight w:val="none"/>
          <w:u w:val="single"/>
          <w:shd w:val="clear" w:color="auto" w:fill="ffffff"/>
        </w:rPr>
        <w:t xml:space="preserve">（企业名称）</w:t>
      </w:r>
      <w:r>
        <w:rPr>
          <w:rFonts w:hint="eastAsia" w:ascii="宋体" w:hAnsi="宋体" w:eastAsia="宋体" w:cs="宋体"/>
          <w:color w:val="auto"/>
          <w:sz w:val="24"/>
          <w:szCs w:val="20"/>
          <w:highlight w:val="none"/>
          <w:shd w:val="clear" w:color="auto" w:fill="ffffff"/>
        </w:rPr>
        <w:t xml:space="preserve">，从业人员</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人，营业收入为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万元，资产总额为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万元，属于</w:t>
      </w:r>
      <w:r>
        <w:rPr>
          <w:rFonts w:hint="eastAsia" w:ascii="宋体" w:hAnsi="宋体" w:eastAsia="宋体" w:cs="宋体"/>
          <w:color w:val="auto"/>
          <w:sz w:val="24"/>
          <w:szCs w:val="20"/>
          <w:highlight w:val="none"/>
          <w:u w:val="single"/>
          <w:shd w:val="clear" w:color="auto" w:fill="ffffff"/>
        </w:rPr>
        <w:t xml:space="preserve">     （中型企业、小型企业、微型企业）</w:t>
      </w:r>
      <w:r>
        <w:rPr>
          <w:rFonts w:hint="eastAsia" w:ascii="宋体" w:hAnsi="宋体" w:eastAsia="宋体" w:cs="宋体"/>
          <w:color w:val="auto"/>
          <w:sz w:val="24"/>
          <w:szCs w:val="20"/>
          <w:highlight w:val="none"/>
          <w:shd w:val="clear" w:color="auto" w:fill="ffffff"/>
        </w:rPr>
        <w:t xml:space="preserve">；</w:t>
      </w:r>
      <w:r/>
    </w:p>
    <w:p>
      <w:pPr>
        <w:numPr>
          <w:ilvl w:val="0"/>
          <w:numId w:val="3"/>
        </w:numPr>
        <w:ind w:firstLine="480"/>
        <w:jc w:val="left"/>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4"/>
          <w:highlight w:val="none"/>
          <w:u w:val="single"/>
          <w:lang w:val="en-US" w:eastAsia="zh-CN"/>
        </w:rPr>
        <w:t xml:space="preserve">标的</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b/>
          <w:color w:val="auto"/>
          <w:sz w:val="24"/>
          <w:szCs w:val="20"/>
          <w:highlight w:val="none"/>
          <w:u w:val="single"/>
          <w:shd w:val="clear" w:color="auto" w:fill="ffffff"/>
        </w:rPr>
        <w:t xml:space="preserve">，</w:t>
      </w:r>
      <w:r>
        <w:rPr>
          <w:rFonts w:hint="eastAsia" w:ascii="宋体" w:hAnsi="宋体" w:eastAsia="宋体" w:cs="宋体"/>
          <w:color w:val="auto"/>
          <w:sz w:val="24"/>
          <w:szCs w:val="20"/>
          <w:highlight w:val="none"/>
          <w:shd w:val="clear" w:color="auto" w:fill="ffffff"/>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0"/>
          <w:highlight w:val="none"/>
          <w:shd w:val="clear" w:color="auto" w:fill="ffffff"/>
        </w:rPr>
        <w:t xml:space="preserve">；承建（承接）企业为</w:t>
      </w:r>
      <w:r>
        <w:rPr>
          <w:rFonts w:hint="eastAsia" w:ascii="宋体" w:hAnsi="宋体" w:eastAsia="宋体" w:cs="宋体"/>
          <w:color w:val="auto"/>
          <w:sz w:val="24"/>
          <w:szCs w:val="20"/>
          <w:highlight w:val="none"/>
          <w:u w:val="single"/>
          <w:shd w:val="clear" w:color="auto" w:fill="ffffff"/>
        </w:rPr>
        <w:t xml:space="preserve">（企业名称）</w:t>
      </w:r>
      <w:r>
        <w:rPr>
          <w:rFonts w:hint="eastAsia" w:ascii="宋体" w:hAnsi="宋体" w:eastAsia="宋体" w:cs="宋体"/>
          <w:color w:val="auto"/>
          <w:sz w:val="24"/>
          <w:szCs w:val="20"/>
          <w:highlight w:val="none"/>
          <w:shd w:val="clear" w:color="auto" w:fill="ffffff"/>
        </w:rPr>
        <w:t xml:space="preserve">，从业人员</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人，营业收入为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万元，资产总额为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万元，属于</w:t>
      </w:r>
      <w:r>
        <w:rPr>
          <w:rFonts w:hint="eastAsia" w:ascii="宋体" w:hAnsi="宋体" w:eastAsia="宋体" w:cs="宋体"/>
          <w:color w:val="auto"/>
          <w:sz w:val="24"/>
          <w:szCs w:val="20"/>
          <w:highlight w:val="none"/>
          <w:u w:val="single"/>
          <w:shd w:val="clear" w:color="auto" w:fill="ffffff"/>
        </w:rPr>
        <w:t xml:space="preserve">     （中型企业、小型企业、微型企业）</w:t>
      </w:r>
      <w:r>
        <w:rPr>
          <w:rFonts w:hint="eastAsia" w:ascii="宋体" w:hAnsi="宋体" w:eastAsia="宋体" w:cs="宋体"/>
          <w:color w:val="auto"/>
          <w:sz w:val="24"/>
          <w:szCs w:val="20"/>
          <w:highlight w:val="none"/>
          <w:shd w:val="clear" w:color="auto" w:fill="ffffff"/>
        </w:rPr>
        <w:t xml:space="preserve">；</w:t>
      </w:r>
      <w:r/>
    </w:p>
    <w:p>
      <w:pPr>
        <w:ind w:firstLine="480"/>
        <w:jc w:val="left"/>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w:t>
      </w:r>
      <w:r/>
    </w:p>
    <w:p>
      <w:pPr>
        <w:ind w:firstLine="480"/>
        <w:jc w:val="left"/>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以上企业，不属于大企业的分支机构，不存在控股股东</w:t>
      </w:r>
      <w:r>
        <w:rPr>
          <w:rFonts w:hint="eastAsia" w:ascii="宋体" w:hAnsi="宋体" w:eastAsia="宋体" w:cs="宋体"/>
          <w:color w:val="auto"/>
          <w:sz w:val="24"/>
          <w:szCs w:val="24"/>
          <w:highlight w:val="none"/>
          <w:shd w:val="clear" w:color="auto" w:fill="ffffff"/>
        </w:rPr>
        <w:t xml:space="preserve">为大企业的情形，也不存在与大企业的负责人为同一人的情形。</w:t>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52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企业名称（盖章）：</w:t>
      </w:r>
      <w:r/>
    </w:p>
    <w:p>
      <w:pPr>
        <w:ind w:firstLine="52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日期：</w:t>
      </w:r>
      <w:r/>
    </w:p>
    <w:p>
      <w:pPr>
        <w:ind w:firstLine="422"/>
        <w:spacing w:line="38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Cs w:val="21"/>
          <w:highlight w:val="none"/>
        </w:rPr>
        <w:t xml:space="preserve">备注：</w:t>
      </w:r>
      <w:r/>
    </w:p>
    <w:p>
      <w:pPr>
        <w:numPr>
          <w:ilvl w:val="255"/>
          <w:numId w:val="0"/>
        </w:numPr>
        <w:ind w:firstLine="420"/>
        <w:spacing w:line="38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1、从业人员、营业收入、资产总额填报上一年度数据，无上一年度数据的新成立企业可不填报。</w:t>
      </w:r>
      <w:r/>
    </w:p>
    <w:p>
      <w:pPr>
        <w:spacing w:line="38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w:t>
      </w:r>
      <w:r>
        <w:rPr>
          <w:rFonts w:hint="eastAsia" w:ascii="宋体" w:hAnsi="宋体" w:eastAsia="宋体" w:cs="宋体"/>
          <w:b/>
          <w:color w:val="auto"/>
          <w:sz w:val="24"/>
          <w:szCs w:val="20"/>
          <w:highlight w:val="none"/>
          <w:shd w:val="clear" w:color="auto" w:fill="ffffff"/>
          <w:lang w:val="en-US" w:eastAsia="zh-CN"/>
        </w:rPr>
        <w:t xml:space="preserve">6</w:t>
      </w:r>
      <w:r>
        <w:rPr>
          <w:rFonts w:hint="eastAsia" w:ascii="宋体" w:hAnsi="宋体" w:eastAsia="宋体" w:cs="宋体"/>
          <w:b/>
          <w:color w:val="auto"/>
          <w:sz w:val="24"/>
          <w:szCs w:val="20"/>
          <w:highlight w:val="none"/>
          <w:shd w:val="clear" w:color="auto" w:fill="ffffff"/>
        </w:rPr>
        <w:t xml:space="preserve">）残疾人福利性单位声明函</w:t>
      </w:r>
      <w:r/>
    </w:p>
    <w:p>
      <w:pPr>
        <w:jc w:val="center"/>
        <w:spacing w:before="100" w:after="100" w:line="360" w:lineRule="auto"/>
        <w:widowControl/>
        <w:rPr>
          <w:rFonts w:hint="eastAsia" w:ascii="宋体" w:hAnsi="宋体" w:eastAsia="宋体" w:cs="宋体"/>
          <w:b/>
          <w:color w:val="auto"/>
          <w:sz w:val="24"/>
          <w:highlight w:val="none"/>
          <w:shd w:val="clear" w:color="auto" w:fill="ffffff"/>
        </w:rPr>
      </w:pPr>
      <w:r>
        <w:rPr>
          <w:rFonts w:hint="eastAsia" w:ascii="宋体" w:hAnsi="宋体" w:eastAsia="宋体" w:cs="宋体"/>
          <w:b/>
          <w:color w:val="auto"/>
          <w:sz w:val="24"/>
          <w:highlight w:val="none"/>
          <w:shd w:val="clear" w:color="auto" w:fill="ffffff"/>
        </w:rPr>
        <w:t xml:space="preserve">残疾人福利性单位声明函</w:t>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本单位对上述声明的真实性负责。如有虚假，将依法承担相应责任。</w:t>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r>
      <w:r/>
    </w:p>
    <w:p>
      <w:pPr>
        <w:ind w:firstLine="52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单位名称（盖章）：</w:t>
      </w:r>
      <w:r/>
    </w:p>
    <w:p>
      <w:pPr>
        <w:ind w:firstLine="52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日期：</w:t>
      </w:r>
      <w:r/>
    </w:p>
    <w:p>
      <w:pPr>
        <w:ind w:firstLine="422"/>
        <w:keepLines w:val="0"/>
        <w:keepNext w:val="0"/>
        <w:pageBreakBefore w:val="0"/>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w:t>
      </w:r>
      <w:bookmarkStart w:id="62" w:name="_Hlk158140990"/>
      <w:r>
        <w:rPr>
          <w:rFonts w:hint="eastAsia" w:ascii="宋体" w:hAnsi="宋体" w:eastAsia="宋体" w:cs="宋体"/>
          <w:b/>
          <w:color w:val="auto"/>
          <w:szCs w:val="21"/>
          <w:highlight w:val="none"/>
        </w:rPr>
        <w:t xml:space="preserve">投标文件中的电子签章视为供应商对本声明进行了签署盖章并承担相应责任</w:t>
      </w:r>
      <w:bookmarkEnd w:id="62"/>
      <w:r>
        <w:rPr>
          <w:rFonts w:hint="eastAsia" w:ascii="宋体" w:hAnsi="宋体" w:eastAsia="宋体" w:cs="宋体"/>
          <w:b/>
          <w:color w:val="auto"/>
          <w:szCs w:val="21"/>
          <w:highlight w:val="none"/>
        </w:rPr>
        <w:t xml:space="preserve">。</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clear="all"/>
      </w:r>
      <w:r/>
    </w:p>
    <w:p>
      <w:pPr>
        <w:jc w:val="left"/>
        <w:spacing w:line="360" w:lineRule="auto"/>
        <w:rPr>
          <w:rFonts w:hint="eastAsia" w:ascii="宋体" w:hAnsi="宋体" w:eastAsia="宋体" w:cs="宋体"/>
          <w:b/>
          <w:color w:val="auto"/>
          <w:sz w:val="24"/>
          <w:shd w:val="clear" w:color="auto" w:fill="ffffff"/>
        </w:rPr>
        <w:outlineLvl w:val="2"/>
      </w:pPr>
      <w:r>
        <w:rPr>
          <w:rFonts w:hint="eastAsia" w:ascii="宋体" w:hAnsi="宋体" w:eastAsia="宋体" w:cs="宋体"/>
          <w:b/>
          <w:color w:val="auto"/>
          <w:sz w:val="24"/>
          <w:szCs w:val="20"/>
          <w:highlight w:val="none"/>
          <w:shd w:val="clear" w:color="auto" w:fill="ffffff"/>
        </w:rPr>
        <w:t xml:space="preserve">（</w:t>
      </w:r>
      <w:r>
        <w:rPr>
          <w:rFonts w:hint="eastAsia" w:ascii="宋体" w:hAnsi="宋体" w:eastAsia="宋体" w:cs="宋体"/>
          <w:b/>
          <w:color w:val="auto"/>
          <w:sz w:val="24"/>
          <w:szCs w:val="20"/>
          <w:highlight w:val="none"/>
          <w:shd w:val="clear" w:color="auto" w:fill="ffffff"/>
          <w:lang w:val="en-US" w:eastAsia="zh-CN"/>
        </w:rPr>
        <w:t xml:space="preserve">7</w:t>
      </w:r>
      <w:r>
        <w:rPr>
          <w:rFonts w:hint="eastAsia" w:ascii="宋体" w:hAnsi="宋体" w:eastAsia="宋体" w:cs="宋体"/>
          <w:b/>
          <w:color w:val="auto"/>
          <w:sz w:val="24"/>
          <w:szCs w:val="20"/>
          <w:highlight w:val="none"/>
          <w:shd w:val="clear" w:color="auto" w:fill="ffffff"/>
        </w:rPr>
        <w:t xml:space="preserve">）</w:t>
      </w:r>
      <w:r>
        <w:rPr>
          <w:rFonts w:hint="eastAsia" w:ascii="宋体" w:hAnsi="宋体" w:eastAsia="宋体" w:cs="宋体"/>
          <w:b/>
          <w:bCs/>
          <w:color w:val="auto"/>
          <w:sz w:val="24"/>
          <w:shd w:val="clear" w:color="auto" w:fill="ffffff"/>
        </w:rPr>
        <w:t xml:space="preserve">对投标人（供应商）有直接控股、管理关系的单位情况表</w:t>
      </w:r>
      <w:r/>
    </w:p>
    <w:p>
      <w:pPr>
        <w:jc w:val="center"/>
        <w:spacing w:line="360" w:lineRule="auto"/>
        <w:widowControl/>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对投标人（供应商）有直接控股、管理关系的单位情况表</w:t>
      </w:r>
      <w:r/>
    </w:p>
    <w:p>
      <w:pPr>
        <w:ind w:firstLine="420"/>
        <w:rPr>
          <w:rFonts w:hint="eastAsia" w:ascii="宋体" w:hAnsi="宋体" w:eastAsia="宋体" w:cs="宋体"/>
          <w:color w:val="auto"/>
          <w:sz w:val="21"/>
          <w:shd w:val="clear" w:color="auto" w:fill="ffffff"/>
        </w:rPr>
      </w:pPr>
      <w:r>
        <w:rPr>
          <w:rFonts w:hint="eastAsia" w:ascii="宋体" w:hAnsi="宋体" w:eastAsia="宋体" w:cs="宋体"/>
          <w:color w:val="auto"/>
          <w:sz w:val="21"/>
          <w:shd w:val="clear" w:color="auto" w:fill="ffffff"/>
        </w:rPr>
        <w:t xml:space="preserve">单位名称：</w:t>
      </w:r>
      <w:r/>
    </w:p>
    <w:tbl>
      <w:tblPr>
        <w:tblStyle w:val="959"/>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单位名称</w:t>
            </w:r>
            <w:r/>
          </w:p>
        </w:tc>
        <w:tc>
          <w:tcPr>
            <w:tcW w:w="23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是否为大型企业</w:t>
            </w:r>
            <w:r/>
          </w:p>
          <w:p>
            <w:pPr>
              <w:jc w:val="center"/>
              <w:widowControl/>
              <w:rPr>
                <w:rFonts w:hint="eastAsia" w:ascii="宋体" w:hAnsi="宋体" w:eastAsia="宋体" w:cs="宋体"/>
                <w:b/>
                <w:color w:val="auto"/>
                <w:sz w:val="18"/>
                <w:szCs w:val="18"/>
                <w:shd w:val="clear" w:color="auto" w:fill="ffffff"/>
              </w:rPr>
            </w:pPr>
            <w:r>
              <w:rPr>
                <w:rFonts w:hint="eastAsia" w:ascii="宋体" w:hAnsi="宋体" w:eastAsia="宋体" w:cs="宋体"/>
                <w:b/>
                <w:color w:val="auto"/>
                <w:sz w:val="18"/>
                <w:szCs w:val="18"/>
                <w:shd w:val="clear" w:color="auto" w:fill="ffffff"/>
              </w:rPr>
              <w:t xml:space="preserve">（填写“是”或 “否”）</w:t>
            </w:r>
            <w:r/>
          </w:p>
        </w:tc>
        <w:tc>
          <w:tcPr>
            <w:tcW w:w="2025" w:type="dxa"/>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直接控股关系情况说明</w:t>
            </w:r>
            <w:r>
              <w:rPr>
                <w:rFonts w:hint="eastAsia" w:ascii="宋体" w:hAnsi="宋体" w:eastAsia="宋体" w:cs="宋体"/>
                <w:b/>
                <w:color w:val="auto"/>
                <w:sz w:val="18"/>
                <w:szCs w:val="18"/>
                <w:shd w:val="clear" w:color="auto" w:fill="ffffff"/>
              </w:rPr>
              <w:t xml:space="preserve">（持股比例等）</w:t>
            </w:r>
            <w:r/>
          </w:p>
        </w:tc>
        <w:tc>
          <w:tcPr>
            <w:tcW w:w="147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单位名称</w:t>
            </w:r>
            <w:r/>
          </w:p>
        </w:tc>
        <w:tc>
          <w:tcPr>
            <w:tcW w:w="198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是否为大型企业</w:t>
            </w:r>
            <w:r/>
          </w:p>
          <w:p>
            <w:pPr>
              <w:jc w:val="center"/>
              <w:widowControl/>
              <w:rPr>
                <w:rFonts w:hint="eastAsia" w:ascii="宋体" w:hAnsi="宋体" w:eastAsia="宋体" w:cs="宋体"/>
                <w:b/>
                <w:color w:val="auto"/>
                <w:sz w:val="18"/>
                <w:szCs w:val="18"/>
                <w:shd w:val="clear" w:color="auto" w:fill="ffffff"/>
              </w:rPr>
            </w:pPr>
            <w:r>
              <w:rPr>
                <w:rFonts w:hint="eastAsia" w:ascii="宋体" w:hAnsi="宋体" w:eastAsia="宋体" w:cs="宋体"/>
                <w:b/>
                <w:color w:val="auto"/>
                <w:sz w:val="18"/>
                <w:szCs w:val="18"/>
                <w:shd w:val="clear" w:color="auto" w:fill="ffffff"/>
              </w:rPr>
              <w:t xml:space="preserve">（填写“是”或 “否”）</w:t>
            </w:r>
            <w:r/>
          </w:p>
        </w:tc>
        <w:tc>
          <w:tcPr>
            <w:tcW w:w="16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r>
    </w:tbl>
    <w:p>
      <w:pPr>
        <w:ind w:firstLine="482"/>
        <w:jc w:val="left"/>
        <w:spacing w:line="360" w:lineRule="auto"/>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注：1、本表仅</w:t>
      </w:r>
      <w:r>
        <w:rPr>
          <w:rFonts w:hint="eastAsia" w:ascii="宋体" w:hAnsi="宋体" w:eastAsia="宋体" w:cs="宋体"/>
          <w:b/>
          <w:color w:val="auto"/>
          <w:sz w:val="24"/>
          <w:szCs w:val="24"/>
          <w:shd w:val="clear" w:color="auto" w:fill="ffffff"/>
          <w:lang w:val="en-US" w:eastAsia="zh-CN"/>
        </w:rPr>
        <w:t xml:space="preserve">需</w:t>
      </w:r>
      <w:r>
        <w:rPr>
          <w:rFonts w:hint="eastAsia" w:ascii="宋体" w:hAnsi="宋体" w:eastAsia="宋体" w:cs="宋体"/>
          <w:b/>
          <w:color w:val="auto"/>
          <w:sz w:val="24"/>
          <w:szCs w:val="24"/>
          <w:shd w:val="clear" w:color="auto" w:fill="ffffff"/>
        </w:rPr>
        <w:t xml:space="preserve">填写对投标人（供应商）有直接控股、管理关系的单位情况。投标人（供应商）应按上表要求据实填写</w:t>
      </w:r>
      <w:r>
        <w:rPr>
          <w:rFonts w:hint="eastAsia" w:ascii="宋体" w:hAnsi="宋体" w:eastAsia="宋体" w:cs="宋体"/>
          <w:b/>
          <w:color w:val="auto"/>
          <w:sz w:val="24"/>
          <w:shd w:val="clear" w:color="auto" w:fill="ffffff"/>
        </w:rPr>
        <w:t xml:space="preserve">，</w:t>
      </w:r>
      <w:r>
        <w:rPr>
          <w:rFonts w:hint="eastAsia" w:ascii="宋体" w:hAnsi="宋体" w:eastAsia="宋体" w:cs="宋体"/>
          <w:b/>
          <w:color w:val="auto"/>
          <w:sz w:val="24"/>
          <w:szCs w:val="24"/>
          <w:shd w:val="clear" w:color="auto" w:fill="ffffff"/>
        </w:rPr>
        <w:t xml:space="preserve">如填写“无”或不填写，均视为投标人（供应商）声明不存在有关情形。</w:t>
      </w:r>
      <w:r/>
    </w:p>
    <w:p>
      <w:pPr>
        <w:pStyle w:val="960"/>
        <w:ind w:left="0" w:firstLine="482"/>
        <w:jc w:val="left"/>
        <w:spacing w:line="360" w:lineRule="auto"/>
        <w:rPr>
          <w:rFonts w:hint="eastAsia" w:ascii="宋体" w:hAnsi="宋体" w:eastAsia="宋体" w:cs="宋体"/>
          <w:color w:val="auto"/>
        </w:rPr>
      </w:pPr>
      <w:r>
        <w:rPr>
          <w:rFonts w:hint="eastAsia" w:ascii="宋体" w:hAnsi="宋体" w:eastAsia="宋体" w:cs="宋体"/>
          <w:b/>
          <w:color w:val="auto"/>
          <w:szCs w:val="24"/>
          <w:shd w:val="clear" w:color="auto" w:fill="ffffff"/>
        </w:rPr>
        <w:t xml:space="preserve">2、其中“直接控股”是指投标人（供应商）与大型企业之间存在直接投资并控股（非普通持股）的关系。</w:t>
      </w:r>
      <w:r/>
    </w:p>
    <w:p>
      <w:pPr>
        <w:pStyle w:val="1105"/>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05"/>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105" w:firstLine="210"/>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pStyle w:val="1105"/>
        <w:ind w:firstLine="4440"/>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63" w:name="_Toc13642115"/>
      <w:r/>
      <w:bookmarkStart w:id="64" w:name="_Toc105940240"/>
      <w:r>
        <w:rPr>
          <w:rFonts w:hint="eastAsia" w:ascii="宋体" w:hAnsi="宋体" w:eastAsia="宋体" w:cs="宋体"/>
          <w:b/>
          <w:color w:val="auto"/>
          <w:sz w:val="52"/>
          <w:szCs w:val="20"/>
          <w:highlight w:val="none"/>
          <w:shd w:val="clear" w:color="auto" w:fill="ffffff"/>
        </w:rPr>
        <w:t xml:space="preserve">第四章 招标书</w:t>
      </w:r>
      <w:bookmarkEnd w:id="63"/>
      <w:r/>
      <w:bookmarkEnd w:id="64"/>
      <w:r/>
      <w:r/>
    </w:p>
    <w:p>
      <w:pPr>
        <w:jc w:val="center"/>
        <w:spacing w:line="360" w:lineRule="auto"/>
        <w:rPr>
          <w:rFonts w:hint="eastAsia" w:ascii="宋体" w:hAnsi="宋体" w:eastAsia="宋体" w:cs="宋体"/>
          <w:b/>
          <w:color w:val="auto"/>
          <w:sz w:val="32"/>
          <w:szCs w:val="32"/>
          <w:highlight w:val="none"/>
          <w:shd w:val="clear" w:color="auto" w:fill="ffffff"/>
        </w:rPr>
      </w:pPr>
      <w:r/>
      <w:bookmarkStart w:id="65" w:name="_Toc13543212"/>
      <w:r>
        <w:rPr>
          <w:rFonts w:hint="eastAsia" w:ascii="宋体" w:hAnsi="宋体" w:eastAsia="宋体" w:cs="宋体"/>
          <w:b/>
          <w:color w:val="auto"/>
          <w:sz w:val="48"/>
          <w:szCs w:val="48"/>
          <w:highlight w:val="none"/>
          <w:shd w:val="clear" w:color="auto" w:fill="ffffff"/>
        </w:rPr>
        <w:br w:type="page" w:clear="all"/>
      </w:r>
      <w:r>
        <w:rPr>
          <w:rFonts w:hint="eastAsia" w:ascii="宋体" w:hAnsi="宋体" w:eastAsia="宋体" w:cs="宋体"/>
          <w:b/>
          <w:color w:val="auto"/>
          <w:sz w:val="32"/>
          <w:szCs w:val="32"/>
          <w:highlight w:val="none"/>
          <w:shd w:val="clear" w:color="auto" w:fill="ffffff"/>
        </w:rPr>
        <w:t xml:space="preserve">招标书</w:t>
      </w:r>
      <w:bookmarkEnd w:id="65"/>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苏州诚和招投标咨询有限公司受苏州市教育质量监测中心的委托，就其所需的202</w:t>
      </w:r>
      <w:r>
        <w:rPr>
          <w:rFonts w:hint="eastAsia" w:ascii="宋体" w:hAnsi="宋体" w:eastAsia="宋体" w:cs="宋体"/>
          <w:color w:val="auto"/>
          <w:sz w:val="24"/>
          <w:szCs w:val="24"/>
          <w:highlight w:val="none"/>
          <w:shd w:val="clear" w:color="auto" w:fill="ffffff"/>
          <w:lang w:val="en-US" w:eastAsia="zh-CN"/>
        </w:rPr>
        <w:t xml:space="preserve">6</w:t>
      </w:r>
      <w:r>
        <w:rPr>
          <w:rFonts w:hint="eastAsia" w:ascii="宋体" w:hAnsi="宋体" w:eastAsia="宋体" w:cs="宋体"/>
          <w:color w:val="auto"/>
          <w:sz w:val="24"/>
          <w:szCs w:val="24"/>
          <w:highlight w:val="none"/>
          <w:shd w:val="clear" w:color="auto" w:fill="ffffff"/>
        </w:rPr>
        <w:t xml:space="preserve">年苏州市义务教育学业质量监测项目及配套服务项目进行国内公开招标。</w:t>
      </w:r>
      <w:r>
        <w:rPr>
          <w:rFonts w:hint="eastAsia" w:ascii="宋体" w:hAnsi="宋体" w:eastAsia="宋体" w:cs="宋体"/>
          <w:color w:val="auto"/>
          <w:sz w:val="24"/>
          <w:szCs w:val="24"/>
          <w:highlight w:val="none"/>
        </w:rPr>
        <w:t xml:space="preserve">欢迎符合条件的供应商</w:t>
      </w:r>
      <w:r>
        <w:rPr>
          <w:rFonts w:hint="eastAsia" w:ascii="宋体" w:hAnsi="宋体" w:eastAsia="宋体" w:cs="宋体"/>
          <w:color w:val="auto"/>
          <w:sz w:val="24"/>
          <w:szCs w:val="24"/>
          <w:highlight w:val="none"/>
          <w:shd w:val="clear" w:color="auto" w:fill="ffffff"/>
        </w:rPr>
        <w:t xml:space="preserve">前来参加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w:t>
      </w:r>
      <w:r/>
    </w:p>
    <w:p>
      <w:pPr>
        <w:ind w:firstLine="482"/>
        <w:jc w:val="left"/>
        <w:spacing w:line="360" w:lineRule="auto"/>
        <w:rPr>
          <w:rFonts w:hint="eastAsia" w:ascii="宋体" w:hAnsi="宋体" w:eastAsia="宋体" w:cs="宋体"/>
          <w:b/>
          <w:color w:val="auto"/>
          <w:sz w:val="24"/>
          <w:szCs w:val="24"/>
          <w:highlight w:val="none"/>
          <w:shd w:val="clear" w:color="auto" w:fill="ffffff"/>
          <w:lang w:eastAsia="zh-CN"/>
        </w:rPr>
        <w:outlineLvl w:val="1"/>
      </w:pPr>
      <w:r>
        <w:rPr>
          <w:rFonts w:hint="eastAsia" w:ascii="宋体" w:hAnsi="宋体" w:eastAsia="宋体" w:cs="宋体"/>
          <w:b/>
          <w:color w:val="auto"/>
          <w:sz w:val="24"/>
          <w:szCs w:val="24"/>
          <w:highlight w:val="none"/>
          <w:shd w:val="clear" w:color="auto" w:fill="ffffff"/>
        </w:rPr>
        <w:t xml:space="preserve">一、招标编号：</w:t>
      </w:r>
      <w:bookmarkStart w:id="66" w:name="OLE_LINK1"/>
      <w:r>
        <w:rPr>
          <w:rFonts w:hint="eastAsia" w:ascii="宋体" w:hAnsi="宋体" w:eastAsia="宋体" w:cs="宋体"/>
          <w:b/>
          <w:color w:val="auto"/>
          <w:sz w:val="24"/>
          <w:szCs w:val="24"/>
          <w:highlight w:val="none"/>
          <w:shd w:val="clear" w:color="auto" w:fill="ffffff"/>
          <w:lang w:eastAsia="zh-CN"/>
        </w:rPr>
        <w:t xml:space="preserve">JSZC-320500-SZCH-G2026-0020</w:t>
      </w:r>
      <w:r/>
    </w:p>
    <w:p>
      <w:pPr>
        <w:ind w:firstLine="482"/>
        <w:jc w:val="left"/>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二、采购需求</w:t>
      </w:r>
      <w:r/>
    </w:p>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采购包1：2026年苏州市义务教育质量监测数据处理与报告撰写等相关服务</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1、数据处理服务工作量</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学科类监测数据处理分析（31.0万份）：</w:t>
      </w:r>
      <w:r/>
    </w:p>
    <w:tbl>
      <w:tblPr>
        <w:tblStyle w:val="959"/>
        <w:tblW w:w="8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94"/>
        <w:gridCol w:w="3529"/>
        <w:gridCol w:w="2871"/>
      </w:tblGrid>
      <w:tr>
        <w:trPr>
          <w:jc w:val="center"/>
          <w:trHeight w:val="567"/>
        </w:trPr>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ind w:firstLine="0"/>
              <w:jc w:val="center"/>
              <w:keepLines w:val="0"/>
              <w:keepNext w:val="0"/>
              <w:pageBreakBefore w:val="0"/>
              <w:spacing w:line="240" w:lineRule="auto"/>
              <w:widowControl/>
              <w:tabs>
                <w:tab w:val="left" w:pos="42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测试年级</w:t>
            </w:r>
            <w:r/>
          </w:p>
        </w:tc>
        <w:tc>
          <w:tcPr>
            <w:tcBorders>
              <w:top w:val="single" w:color="auto" w:sz="4" w:space="0"/>
              <w:left w:val="single" w:color="auto" w:sz="4" w:space="0"/>
              <w:bottom w:val="single" w:color="auto" w:sz="4" w:space="0"/>
              <w:right w:val="single" w:color="auto" w:sz="4" w:space="0"/>
            </w:tcBorders>
            <w:tcW w:w="3529" w:type="dxa"/>
            <w:vAlign w:val="center"/>
            <w:textDirection w:val="lrTb"/>
            <w:noWrap w:val="false"/>
          </w:tcPr>
          <w:p>
            <w:pPr>
              <w:ind w:firstLine="0"/>
              <w:jc w:val="center"/>
              <w:keepLines w:val="0"/>
              <w:keepNext w:val="0"/>
              <w:pageBreakBefore w:val="0"/>
              <w:spacing w:line="240" w:lineRule="auto"/>
              <w:widowControl/>
              <w:tabs>
                <w:tab w:val="left" w:pos="42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测试学科</w:t>
            </w:r>
            <w:r/>
          </w:p>
        </w:tc>
        <w:tc>
          <w:tcPr>
            <w:tcBorders>
              <w:top w:val="single" w:color="auto" w:sz="4" w:space="0"/>
              <w:left w:val="single" w:color="auto" w:sz="4" w:space="0"/>
              <w:bottom w:val="single" w:color="auto" w:sz="4" w:space="0"/>
              <w:right w:val="single" w:color="auto" w:sz="4" w:space="0"/>
            </w:tcBorders>
            <w:tcW w:w="2871" w:type="dxa"/>
            <w:vAlign w:val="center"/>
            <w:textDirection w:val="lrTb"/>
            <w:noWrap w:val="false"/>
          </w:tcPr>
          <w:p>
            <w:pPr>
              <w:ind w:firstLine="0"/>
              <w:jc w:val="center"/>
              <w:keepLines w:val="0"/>
              <w:keepNext w:val="0"/>
              <w:pageBreakBefore w:val="0"/>
              <w:spacing w:line="240" w:lineRule="auto"/>
              <w:widowControl/>
              <w:tabs>
                <w:tab w:val="left" w:pos="42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数据处理总数（万份）</w:t>
            </w:r>
            <w:r/>
          </w:p>
        </w:tc>
      </w:tr>
      <w:tr>
        <w:trPr>
          <w:jc w:val="center"/>
          <w:trHeight w:val="567"/>
        </w:trPr>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ind w:firstLine="0"/>
              <w:jc w:val="center"/>
              <w:keepLines w:val="0"/>
              <w:keepNext w:val="0"/>
              <w:pageBreakBefore w:val="0"/>
              <w:spacing w:line="240" w:lineRule="auto"/>
              <w:widowControl/>
              <w:tabs>
                <w:tab w:val="left" w:pos="42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四年级</w:t>
            </w:r>
            <w:r/>
          </w:p>
        </w:tc>
        <w:tc>
          <w:tcPr>
            <w:tcBorders>
              <w:top w:val="single" w:color="auto" w:sz="4" w:space="0"/>
              <w:left w:val="single" w:color="auto" w:sz="4" w:space="0"/>
              <w:bottom w:val="single" w:color="auto" w:sz="4" w:space="0"/>
              <w:right w:val="single" w:color="auto" w:sz="4" w:space="0"/>
            </w:tcBorders>
            <w:tcW w:w="3529" w:type="dxa"/>
            <w:vAlign w:val="center"/>
            <w:textDirection w:val="lrTb"/>
            <w:noWrap w:val="false"/>
          </w:tcPr>
          <w:p>
            <w:pPr>
              <w:ind w:firstLine="0"/>
              <w:jc w:val="center"/>
              <w:keepLines w:val="0"/>
              <w:keepNext w:val="0"/>
              <w:pageBreakBefore w:val="0"/>
              <w:spacing w:line="240" w:lineRule="auto"/>
              <w:widowControl/>
              <w:tabs>
                <w:tab w:val="left" w:pos="42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语文、数学、英语、科学</w:t>
            </w:r>
            <w:r/>
          </w:p>
        </w:tc>
        <w:tc>
          <w:tcPr>
            <w:tcBorders>
              <w:top w:val="single" w:color="auto" w:sz="4" w:space="0"/>
              <w:left w:val="single" w:color="auto" w:sz="4" w:space="0"/>
              <w:right w:val="single" w:color="auto" w:sz="4" w:space="0"/>
            </w:tcBorders>
            <w:tcW w:w="2871" w:type="dxa"/>
            <w:vAlign w:val="center"/>
            <w:vMerge w:val="restart"/>
            <w:textDirection w:val="lrTb"/>
            <w:noWrap w:val="false"/>
          </w:tcPr>
          <w:p>
            <w:pPr>
              <w:ind w:firstLine="0"/>
              <w:jc w:val="center"/>
              <w:keepLines w:val="0"/>
              <w:keepNext w:val="0"/>
              <w:pageBreakBefore w:val="0"/>
              <w:spacing w:line="240" w:lineRule="auto"/>
              <w:widowControl/>
              <w:tabs>
                <w:tab w:val="left" w:pos="42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31.0</w:t>
            </w:r>
            <w:r/>
          </w:p>
        </w:tc>
      </w:tr>
      <w:tr>
        <w:trPr>
          <w:jc w:val="center"/>
          <w:trHeight w:val="567"/>
        </w:trPr>
        <w:tc>
          <w:tcPr>
            <w:tcBorders>
              <w:top w:val="single" w:color="auto" w:sz="4" w:space="0"/>
              <w:left w:val="single" w:color="auto" w:sz="4" w:space="0"/>
              <w:bottom w:val="single" w:color="auto" w:sz="4" w:space="0"/>
              <w:right w:val="single" w:color="auto" w:sz="4" w:space="0"/>
            </w:tcBorders>
            <w:tcW w:w="2294" w:type="dxa"/>
            <w:vAlign w:val="center"/>
            <w:textDirection w:val="lrTb"/>
            <w:noWrap w:val="false"/>
          </w:tcPr>
          <w:p>
            <w:pPr>
              <w:ind w:firstLine="0"/>
              <w:jc w:val="center"/>
              <w:keepLines w:val="0"/>
              <w:keepNext w:val="0"/>
              <w:pageBreakBefore w:val="0"/>
              <w:spacing w:line="240" w:lineRule="auto"/>
              <w:widowControl/>
              <w:tabs>
                <w:tab w:val="left" w:pos="42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八年级</w:t>
            </w:r>
            <w:r/>
          </w:p>
        </w:tc>
        <w:tc>
          <w:tcPr>
            <w:tcBorders>
              <w:top w:val="single" w:color="auto" w:sz="4" w:space="0"/>
              <w:left w:val="single" w:color="auto" w:sz="4" w:space="0"/>
              <w:bottom w:val="single" w:color="auto" w:sz="4" w:space="0"/>
              <w:right w:val="single" w:color="auto" w:sz="4" w:space="0"/>
            </w:tcBorders>
            <w:tcW w:w="3529" w:type="dxa"/>
            <w:vAlign w:val="center"/>
            <w:textDirection w:val="lrTb"/>
            <w:noWrap w:val="false"/>
          </w:tcPr>
          <w:p>
            <w:pPr>
              <w:ind w:firstLine="0"/>
              <w:jc w:val="center"/>
              <w:keepLines w:val="0"/>
              <w:keepNext w:val="0"/>
              <w:pageBreakBefore w:val="0"/>
              <w:spacing w:line="240" w:lineRule="auto"/>
              <w:widowControl/>
              <w:tabs>
                <w:tab w:val="left" w:pos="42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语文、数学、英语、科学</w:t>
            </w:r>
            <w:r/>
          </w:p>
        </w:tc>
        <w:tc>
          <w:tcPr>
            <w:tcBorders>
              <w:left w:val="single" w:color="auto" w:sz="4" w:space="0"/>
              <w:right w:val="single" w:color="auto" w:sz="4" w:space="0"/>
            </w:tcBorders>
            <w:tcW w:w="2871" w:type="dxa"/>
            <w:vAlign w:val="center"/>
            <w:vMerge w:val="continue"/>
            <w:textDirection w:val="lrTb"/>
            <w:noWrap w:val="false"/>
          </w:tcPr>
          <w:p>
            <w:pPr>
              <w:ind w:firstLine="0"/>
              <w:jc w:val="left"/>
              <w:keepLines w:val="0"/>
              <w:keepNext w:val="0"/>
              <w:pageBreakBefore w:val="0"/>
              <w:spacing w:line="240" w:lineRule="auto"/>
              <w:widowControl/>
              <w:tabs>
                <w:tab w:val="left" w:pos="420" w:leader="none"/>
                <w:tab w:val="left" w:pos="540" w:leader="none"/>
              </w:tabs>
              <w:rPr>
                <w:rFonts w:hint="eastAsia" w:ascii="宋体" w:hAnsi="宋体" w:eastAsia="宋体" w:cs="宋体"/>
                <w:sz w:val="24"/>
                <w:szCs w:val="24"/>
              </w:rPr>
            </w:pPr>
            <w:r>
              <w:rPr>
                <w:rFonts w:hint="eastAsia" w:ascii="宋体" w:hAnsi="宋体" w:eastAsia="宋体" w:cs="宋体"/>
                <w:sz w:val="24"/>
                <w:szCs w:val="24"/>
              </w:rPr>
            </w:r>
            <w:r/>
          </w:p>
        </w:tc>
      </w:tr>
    </w:tbl>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相关因素监测数据处理分析（39.6万份）：</w:t>
      </w:r>
      <w:r/>
    </w:p>
    <w:tbl>
      <w:tblPr>
        <w:tblStyle w:val="9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41"/>
        <w:gridCol w:w="3659"/>
        <w:gridCol w:w="2916"/>
      </w:tblGrid>
      <w:tr>
        <w:trPr>
          <w:jc w:val="center"/>
          <w:trHeight w:val="567"/>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ind w:firstLine="0"/>
              <w:jc w:val="center"/>
              <w:keepLines w:val="0"/>
              <w:keepNext w:val="0"/>
              <w:pageBreakBefore w:val="0"/>
              <w:spacing w:line="240" w:lineRule="auto"/>
              <w:widowControl/>
              <w:tabs>
                <w:tab w:val="left" w:pos="42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测试年级</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firstLine="0"/>
              <w:jc w:val="center"/>
              <w:keepLines w:val="0"/>
              <w:keepNext w:val="0"/>
              <w:pageBreakBefore w:val="0"/>
              <w:spacing w:line="240" w:lineRule="auto"/>
              <w:widowControl/>
              <w:tabs>
                <w:tab w:val="left" w:pos="42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测试类别</w:t>
            </w:r>
            <w:r/>
          </w:p>
        </w:tc>
        <w:tc>
          <w:tcPr>
            <w:tcBorders>
              <w:top w:val="single" w:color="auto" w:sz="4" w:space="0"/>
              <w:left w:val="single" w:color="auto" w:sz="4" w:space="0"/>
              <w:bottom w:val="single" w:color="auto" w:sz="4" w:space="0"/>
              <w:right w:val="single" w:color="auto" w:sz="4" w:space="0"/>
            </w:tcBorders>
            <w:tcW w:w="2916" w:type="dxa"/>
            <w:vAlign w:val="center"/>
            <w:textDirection w:val="lrTb"/>
            <w:noWrap w:val="false"/>
          </w:tcPr>
          <w:p>
            <w:pPr>
              <w:ind w:firstLine="0"/>
              <w:jc w:val="center"/>
              <w:keepLines w:val="0"/>
              <w:keepNext w:val="0"/>
              <w:pageBreakBefore w:val="0"/>
              <w:spacing w:line="240" w:lineRule="auto"/>
              <w:widowControl/>
              <w:tabs>
                <w:tab w:val="left" w:pos="42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数据处理总量（万份）</w:t>
            </w:r>
            <w:r/>
          </w:p>
        </w:tc>
      </w:tr>
      <w:tr>
        <w:trPr>
          <w:jc w:val="center"/>
          <w:trHeight w:val="567"/>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ind w:firstLine="0"/>
              <w:jc w:val="center"/>
              <w:keepLines w:val="0"/>
              <w:keepNext w:val="0"/>
              <w:pageBreakBefore w:val="0"/>
              <w:spacing w:line="240" w:lineRule="auto"/>
              <w:widowControl/>
              <w:tabs>
                <w:tab w:val="left" w:pos="42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四、八</w:t>
            </w:r>
            <w:r/>
          </w:p>
        </w:tc>
        <w:tc>
          <w:tcPr>
            <w:tcBorders>
              <w:top w:val="single" w:color="auto" w:sz="4" w:space="0"/>
              <w:left w:val="single" w:color="auto" w:sz="4" w:space="0"/>
              <w:bottom w:val="single" w:color="auto" w:sz="4" w:space="0"/>
              <w:right w:val="single" w:color="auto" w:sz="4" w:space="0"/>
            </w:tcBorders>
            <w:tcW w:w="3659" w:type="dxa"/>
            <w:vAlign w:val="center"/>
            <w:textDirection w:val="lrTb"/>
            <w:noWrap w:val="false"/>
          </w:tcPr>
          <w:p>
            <w:pPr>
              <w:ind w:firstLine="0"/>
              <w:jc w:val="center"/>
              <w:keepLines w:val="0"/>
              <w:keepNext w:val="0"/>
              <w:pageBreakBefore w:val="0"/>
              <w:spacing w:line="240" w:lineRule="auto"/>
              <w:widowControl/>
              <w:tabs>
                <w:tab w:val="left" w:pos="42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相关因素（教师+学生）</w:t>
            </w:r>
            <w:r/>
          </w:p>
        </w:tc>
        <w:tc>
          <w:tcPr>
            <w:tcBorders>
              <w:top w:val="single" w:color="auto" w:sz="4" w:space="0"/>
              <w:left w:val="single" w:color="auto" w:sz="4" w:space="0"/>
              <w:bottom w:val="single" w:color="auto" w:sz="4" w:space="0"/>
              <w:right w:val="single" w:color="auto" w:sz="4" w:space="0"/>
            </w:tcBorders>
            <w:tcW w:w="2916" w:type="dxa"/>
            <w:vAlign w:val="center"/>
            <w:textDirection w:val="lrTb"/>
            <w:noWrap w:val="false"/>
          </w:tcPr>
          <w:p>
            <w:pPr>
              <w:ind w:firstLine="0"/>
              <w:jc w:val="center"/>
              <w:keepLines w:val="0"/>
              <w:keepNext w:val="0"/>
              <w:pageBreakBefore w:val="0"/>
              <w:spacing w:line="240" w:lineRule="auto"/>
              <w:widowControl/>
              <w:tabs>
                <w:tab w:val="left" w:pos="420" w:leader="none"/>
                <w:tab w:val="left" w:pos="540" w:leader="none"/>
              </w:tabs>
              <w:rPr>
                <w:rFonts w:hint="eastAsia" w:ascii="宋体" w:hAnsi="宋体" w:eastAsia="宋体" w:cs="宋体"/>
                <w:sz w:val="24"/>
                <w:szCs w:val="24"/>
              </w:rPr>
            </w:pPr>
            <w:r>
              <w:rPr>
                <w:rFonts w:hint="eastAsia" w:ascii="宋体" w:hAnsi="宋体" w:eastAsia="宋体" w:cs="宋体"/>
                <w:sz w:val="24"/>
                <w:szCs w:val="24"/>
              </w:rPr>
              <w:t xml:space="preserve">39.6</w:t>
            </w:r>
            <w:r/>
          </w:p>
        </w:tc>
      </w:tr>
    </w:tbl>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合计监测数据处理量约70.6万份。</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注：以上数据处理数量为预测数量，最终结算以实际数量为准。</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2、服务期限：</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bookmarkStart w:id="67" w:name="OLE_LINK3"/>
      <w:r>
        <w:rPr>
          <w:rFonts w:hint="eastAsia" w:ascii="宋体" w:hAnsi="宋体" w:eastAsia="宋体" w:cs="宋体"/>
          <w:sz w:val="24"/>
          <w:szCs w:val="24"/>
        </w:rPr>
        <w:t xml:space="preserve">2026年11月30日前完成全部工作。</w:t>
      </w:r>
      <w:bookmarkEnd w:id="67"/>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3、服务地点：</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招标单位指定地点。</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4、服务要求：</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4.1数据处理服务时间要求</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自接收监测数据起，利用相关软件工具，完成规定的数据对接、数据清理、等值计算、模板转化，工作周期至多不超过65个工作日，最终批量生成2026年苏州市义务教育学业质量监测数据文档。</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与此同时，中标单位需在向招标单位提交2026年苏州市义务教育学业质量监测数据文档后，根据招标单位的需求做好相关数据处理、计算和文档导出等服务，服务周期至多不超过90个工作日。</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4.2数据处理服务工作要求</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bookmarkStart w:id="68" w:name="OLE_LINK29"/>
      <w:r>
        <w:rPr>
          <w:rFonts w:hint="eastAsia" w:ascii="宋体" w:hAnsi="宋体" w:eastAsia="宋体" w:cs="宋体"/>
          <w:sz w:val="24"/>
          <w:szCs w:val="24"/>
        </w:rPr>
        <w:t xml:space="preserve">（1）做好数据处理服务团队组织工作</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a.应安排专职团队提供数据处理服务，团队配置人员至少4人（其中需包含1名项目经理、1名数据分析师、1名专业为</w:t>
      </w:r>
      <w:bookmarkStart w:id="69" w:name="OLE_LINK31"/>
      <w:r>
        <w:rPr>
          <w:rFonts w:hint="eastAsia" w:ascii="宋体" w:hAnsi="宋体" w:eastAsia="宋体" w:cs="宋体"/>
          <w:sz w:val="24"/>
          <w:szCs w:val="24"/>
        </w:rPr>
        <w:t xml:space="preserve">教育测量或教育心理类似学科</w:t>
      </w:r>
      <w:bookmarkEnd w:id="69"/>
      <w:r>
        <w:rPr>
          <w:rFonts w:hint="eastAsia" w:ascii="宋体" w:hAnsi="宋体" w:eastAsia="宋体" w:cs="宋体"/>
          <w:sz w:val="24"/>
          <w:szCs w:val="24"/>
        </w:rPr>
        <w:t xml:space="preserve">的本科及以上学历人员），要求持续稳定、吃苦耐劳，思路清晰，普通话标准。</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b.服务方式为招标单位指定地点现场驻点，应保障及时顺畅的沟通。</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c.项目组内需配备一名项目经理，具备教育类的数据处理分析的经验，了解数据处理分析的流程。</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d.项目组内至少配备一名数据分析师，需熟练使用SPSS、MPlus、ConQuest等数据处理工具，并且对统计学以及教育、心理学有一定的理解。</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e.项目组应具有较强的学习能力，能在较短时间内熟练掌握招标单位的各种数据处理平台。</w:t>
      </w:r>
      <w:bookmarkEnd w:id="68"/>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对监测数据处理工作制定操作规范：中标单位应对监测工作各环节事项充分理解，需参照招标单位实际需求独立制定各工作环节细化实施规范、数据交付要求、交接确认表单等标准化文档，并于监测工作实施过程中严格参照规范执行，及时参照招标单位需求对相应内容进行优化修订。</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项目流程管理：中标单位应具备监测项目流程管控能力，基于招标单位实际项目进度需求对本次项目细化工作流程进行梳理，形成标准化项目流程管理文档，对工作具体事项、处理流程、重点工作安排、工作时间节点、涉及处理人员、交付文档内容等进行明确。项目实施过程中应严格参照流程管理相应要求执行，涉及工作安排调整，应及时协调招标单位对相关流程进行修订，以便采购方团队合理把控项目进度。</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（4）数据库对接及核查：根据阅卷系统提供的原始数据库，使用统计类脚本比对接收数据是否与原始数据库一致。按照相应的字段要求，将阅卷系统的数据库同步至本地数据库。</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a.根据数据库中的原始数据导出数据明细，与阅卷系统提供的明细进行抽样比对。</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b.核查各题本的题目信息（题号与维度对应关系）是否完整。</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c.核查各学生的答题记录是否完整。</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d.导出数据库中题目信息，配合各学科秘书进行比对。</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e.两人同时对学生答题记录完整性进行比对。</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对于最终的扫描结果进行针对性校验，对有疑问的数据进行分析核实，溯源，定位，根据具体情况进行相应的技术处理。</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（5）基础库信息核对：在项目前期就项目（本年度项目及关联的历年项目）参测基础信息数量、变更情况、对应关系等内容进行核实确认。</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6）等值数据计算：中标单位应具备监测项目实施经验，理解等值化计算的各类算法，包括锚题合并、赋分修改、SPSS文件处理、ConQuest和Z值计算等，并可通过招标单位提供软件平台独立完成监测数据的等值化计算。</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（7）相关因素计算</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a.要求熟悉理论基础，根据不同类型的测评确定相应的模型。</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b.按照格式输出每个学生每个题目的得分情况。</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c.根据模型的自变量与应变量，整理好相应的数据得分,并且将得分中心化。</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d.使用SPSS工具，根据实际情况选择具体的操作，对数据进行相关性分析。</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e.使用SPSS工具，对数据进行回归分析。</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f.需要采用Mplus、SPSS的Process等插件，采用Bootstrap方法进行有调节中介作用分析。</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8）监测报告模板的编辑生成：中标单位应具备监测报告模板的编辑及生成能力，可基于招标单位监测需求完成监测报告模板的设计及编辑工作，具体包括：报告整体框架的搭建、报告内容文字的组织、报告图表展示方式及数据内容的选取、报告图表生成相关参数配置。报告模板编辑完成后，中标单位应可通过招标单位提供软件平台基于模拟数据及相关配置内容自动生成监测报告模板样稿。</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9）监测报告修订交付：中标单位在服务过程中，需到每日做好工作记录，统计并更新《每日问题登记表》，对发生的问题需要明确原因、解决人员、记录时间、解决时间和复核人员，以确保服务过程中不出现问题遗漏未修改的情况；在修订图表和数据算法时，提前对数据算法和图表影响范围的评估，以确保不出现未修改或多修改的情况。</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（10）内容排版：最后生成的报告，需要每个检查，按照要求调整排版，并更新目录后生成pdf，然后根据相应的报告类型选择正确的封面已经组合合并。</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（11）报告交付：按照招标单位的格式要求，分类分层交付pdf和word版报告。</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（12）根据需求完成招标单位历史数据的关联分析与深度挖掘需求。</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（13）服务过程中须严格按照以下安全保障要求：</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a.数据安全要求：严格按招标单位远程操作及数据处理的相关要求开展工作，数据传输时必须对文档进行加密处理。</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b.数据备份要求：应建立可行的、有效的数据备份方案，以应对非常情况发生，确保数据可恢复。</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c.设备安全要求：应对远程方式在所使用办公设备建立安全管理相关措施，包括但不限于密码管理、系统及漏洞更新等。</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4.3数据处理服务准确性要求</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要求数据处理服务过程中数据对接、数据清理、等值计算、模板转化等各环节都配备两人独立操作，使用不同开发语言进行计算，并交由第三人核查数据是否一致。如有数据比对结果不一致情况，数据处理人员应及时核查解决问题，并提供相关过程性记录和报告。</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4.4数据处理服务的归档及整合要求</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依据招标单位的需求，对历年的数据重新进行加工并生成中间表。并对原始数据和中间表数据采用两种以上方式进行归档备份；对归档后的数据库生成通用应的数据接口，以便今后的数据录入后的可加工性。</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4.5数据呈现服务要求</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（1）数据接收完成后，通过系统自动呈现统计数据明细，包含监测所覆盖的整体情况、区域情况、学校情况、年级情况以及参测学生情况。</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（2）数据处理过程中，根据相应的处理规则，展示符合不同规则下的学生的相关考试信息，并支持导出指定学生的原始作答数据。</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（3）数据计算完成后，根据筛选的监测工具类型（包含但不限于量尺分，百分等级，四水平，四分位），通过软件展示各区域、各学校的学业相关情况。</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（4）报告模板配置完成后，根据筛选报告类型，批量动态生成各区域，各学校的相应报告。</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bookmarkStart w:id="70" w:name="OLE_LINK25"/>
      <w:r>
        <w:rPr>
          <w:rFonts w:hint="eastAsia" w:ascii="宋体" w:hAnsi="宋体" w:eastAsia="宋体" w:cs="宋体"/>
          <w:sz w:val="24"/>
          <w:szCs w:val="24"/>
        </w:rPr>
        <w:t xml:space="preserve">4.6</w:t>
      </w:r>
      <w:bookmarkEnd w:id="70"/>
      <w:r>
        <w:rPr>
          <w:rFonts w:hint="eastAsia" w:ascii="宋体" w:hAnsi="宋体" w:eastAsia="宋体" w:cs="宋体"/>
          <w:sz w:val="24"/>
          <w:szCs w:val="24"/>
        </w:rPr>
        <w:t xml:space="preserve">报告类目</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（1）试题质量报告（应在20个工作日内完成）</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包含但不限于难度、区分度、信度、效度，难度结构、通过率分析、选项分析和得分率分析。</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（2）批量报告（应在45个工作日内完成）</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包含四年级和八年级大市、区域、学校的四类报告：</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a.基础类：包含但不限于量尺分，百分等级，四水平，四分位，百分等级增值，四水平增值相关数据图表。</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b.学科类：包含但不限于内容维度，能力维度，素养维度相关数据图表。</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c.学生相关因素类：包含但不限于成长背景，家庭社会经济地位，学生个人基本信息，学业支持，学业负担，学习情感相关数据图表。</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d.教师相关因素类：包含但不限于教育理念，课程资源，学校管理，人际支持，教学行为，以及学校满意度等相关数据图表。</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4.7现场驻场人员要求：</w:t>
      </w:r>
      <w:r/>
    </w:p>
    <w:p>
      <w:pPr>
        <w:ind w:firstLine="480"/>
        <w:jc w:val="left"/>
        <w:keepLines w:val="0"/>
        <w:keepNext w:val="0"/>
        <w:pageBreakBefore w:val="0"/>
        <w:spacing w:line="360" w:lineRule="auto"/>
        <w:widowControl/>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项目团队视甲方项目实施需求，提供现场驻点服务，具体现场驻点时间以甲方需求为准，最长不超过项目完整实施周期。现场驻点人员至少1人，驻点人员应具备Java或.net系统开发经验，熟悉监测数据处理基本逻辑及算法，有教育质量监测类项目数据处理工作实施经验。现场驻点时间预计为2026年8月10日-11月30日。</w:t>
      </w:r>
      <w:r/>
    </w:p>
    <w:p>
      <w:pPr>
        <w:ind w:firstLine="482"/>
        <w:jc w:val="left"/>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、综合说明及其他要求</w:t>
      </w:r>
      <w:r/>
    </w:p>
    <w:p>
      <w:pPr>
        <w:ind w:firstLine="480"/>
        <w:spacing w:line="360" w:lineRule="auto"/>
        <w:rPr>
          <w:rFonts w:hint="eastAsia" w:ascii="宋体" w:hAnsi="宋体" w:eastAsia="宋体" w:cs="宋体"/>
          <w:color w:val="auto"/>
          <w:sz w:val="24"/>
          <w:szCs w:val="24"/>
          <w:highlight w:val="none"/>
        </w:rPr>
      </w:pPr>
      <w:r/>
      <w:bookmarkStart w:id="71" w:name="_Hlk193379214"/>
      <w:r/>
      <w:bookmarkStart w:id="72" w:name="_Hlk117243055"/>
      <w:r>
        <w:rPr>
          <w:rFonts w:hint="eastAsia" w:ascii="宋体" w:hAnsi="宋体" w:eastAsia="宋体" w:cs="宋体"/>
          <w:color w:val="auto"/>
          <w:sz w:val="24"/>
          <w:szCs w:val="24"/>
          <w:highlight w:val="none"/>
        </w:rPr>
        <w:t xml:space="preserve">1、供应商提供的服务能够至少达到以上要求，同时明确详细的服务方案，并对所提供的全部资料的真实性承担法律责任。</w:t>
      </w:r>
      <w:bookmarkEnd w:id="71"/>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2、供应商必须承诺招标文件中提出的全部管理要求，如果其中某些条款不响应时，应在文件中逐条列出，未列出的视同响应。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bookmarkStart w:id="73" w:name="_Hlk193379165"/>
      <w:r>
        <w:rPr>
          <w:rFonts w:hint="eastAsia" w:ascii="宋体" w:hAnsi="宋体" w:eastAsia="宋体" w:cs="宋体"/>
          <w:color w:val="auto"/>
          <w:sz w:val="24"/>
          <w:szCs w:val="24"/>
          <w:highlight w:val="none"/>
        </w:rPr>
        <w:t xml:space="preserve">供应商应对所投</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的全部内容进行报价，只投其中部分内容者，其</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文件将被拒绝。</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总报价一次报定，</w:t>
      </w:r>
      <w:r>
        <w:rPr>
          <w:rFonts w:hint="eastAsia" w:ascii="宋体" w:hAnsi="宋体" w:eastAsia="宋体" w:cs="宋体"/>
          <w:color w:val="auto"/>
          <w:sz w:val="24"/>
          <w:szCs w:val="24"/>
          <w:highlight w:val="none"/>
          <w:lang w:eastAsia="zh-CN"/>
        </w:rPr>
        <w:t xml:space="preserve">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eastAsia="宋体" w:cs="宋体"/>
          <w:color w:val="auto"/>
          <w:sz w:val="24"/>
          <w:szCs w:val="24"/>
          <w:highlight w:val="none"/>
        </w:rPr>
        <w:t xml:space="preserve">。</w:t>
      </w:r>
      <w:bookmarkEnd w:id="73"/>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4、中标单位将根据招标文件、</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文件的相关约定，承担合同责任，履行合同义务。</w:t>
      </w:r>
      <w:bookmarkEnd w:id="7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5、验收标准：</w:t>
      </w:r>
      <w:r>
        <w:rPr>
          <w:rFonts w:hint="eastAsia" w:ascii="宋体" w:hAnsi="宋体" w:eastAsia="宋体" w:cs="宋体"/>
          <w:color w:val="auto"/>
          <w:sz w:val="24"/>
          <w:szCs w:val="24"/>
          <w:highlight w:val="none"/>
        </w:rPr>
        <w:t xml:space="preserve">本项目将根据政府采购法及相关法规，对供应商进行履约验收。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6、付款方式：见合同主要条款。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7、凡涉及招标文件的补充说明和修改，均以苏州政府采购网发布的内容为准。</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left"/>
        <w:rPr>
          <w:rFonts w:hint="eastAsia" w:ascii="宋体" w:hAnsi="宋体" w:eastAsia="宋体" w:cs="宋体"/>
          <w:color w:val="auto"/>
          <w:highlight w:val="none"/>
        </w:rPr>
      </w:pPr>
      <w:r/>
      <w:bookmarkStart w:id="74" w:name="_Toc396747046"/>
      <w:r/>
      <w:bookmarkStart w:id="75" w:name="_Toc105940241"/>
      <w:r/>
      <w:r/>
    </w:p>
    <w:p>
      <w:pPr>
        <w:pStyle w:val="1000"/>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1000"/>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1000"/>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1000"/>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1000"/>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1000"/>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1000"/>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1000"/>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r>
      <w:r/>
    </w:p>
    <w:p>
      <w:pPr>
        <w:pStyle w:val="1000"/>
        <w:ind w:firstLine="964"/>
        <w:rPr>
          <w:rFonts w:hint="eastAsia" w:ascii="宋体" w:hAnsi="宋体" w:eastAsia="宋体" w:cs="宋体"/>
          <w:b/>
          <w:color w:val="auto"/>
          <w:sz w:val="48"/>
          <w:szCs w:val="48"/>
          <w:highlight w:val="none"/>
          <w:shd w:val="clear" w:color="auto" w:fill="ffffff"/>
        </w:rPr>
      </w:pPr>
      <w:r>
        <w:rPr>
          <w:rFonts w:hint="eastAsia" w:ascii="宋体" w:hAnsi="宋体" w:eastAsia="宋体" w:cs="宋体"/>
          <w:b/>
          <w:color w:val="auto"/>
          <w:sz w:val="48"/>
          <w:szCs w:val="48"/>
          <w:highlight w:val="none"/>
          <w:shd w:val="clear" w:color="auto" w:fill="ffffff"/>
        </w:rPr>
      </w:r>
      <w:r/>
    </w:p>
    <w:p>
      <w:pPr>
        <w:jc w:val="center"/>
        <w:keepLines/>
        <w:keepNext/>
        <w:spacing w:before="340" w:after="330" w:line="360" w:lineRule="auto"/>
        <w:rPr>
          <w:rFonts w:hint="eastAsia" w:ascii="宋体" w:hAnsi="宋体" w:eastAsia="宋体" w:cs="宋体"/>
          <w:b/>
          <w:color w:val="auto"/>
          <w:sz w:val="48"/>
          <w:szCs w:val="48"/>
          <w:highlight w:val="none"/>
          <w:shd w:val="clear" w:color="auto" w:fill="ffffff"/>
        </w:rPr>
        <w:outlineLvl w:val="0"/>
      </w:pPr>
      <w:r>
        <w:rPr>
          <w:rFonts w:hint="eastAsia" w:ascii="宋体" w:hAnsi="宋体" w:eastAsia="宋体" w:cs="宋体"/>
          <w:b/>
          <w:color w:val="auto"/>
          <w:sz w:val="48"/>
          <w:szCs w:val="48"/>
          <w:highlight w:val="none"/>
          <w:shd w:val="clear" w:color="auto" w:fill="ffffff"/>
        </w:rPr>
        <w:t xml:space="preserve">第五章 合同主要条款</w:t>
      </w:r>
      <w:bookmarkEnd w:id="74"/>
      <w:r/>
      <w:bookmarkEnd w:id="75"/>
      <w:r/>
      <w:bookmarkEnd w:id="66"/>
      <w:r/>
      <w:r/>
    </w:p>
    <w:p>
      <w:pPr>
        <w:jc w:val="left"/>
        <w:rPr>
          <w:rFonts w:hint="eastAsia" w:ascii="宋体" w:hAnsi="宋体" w:eastAsia="宋体" w:cs="宋体"/>
          <w:color w:val="auto"/>
          <w:sz w:val="24"/>
          <w:szCs w:val="24"/>
          <w:highlight w:val="none"/>
        </w:rPr>
      </w:pPr>
      <w:r/>
      <w:bookmarkStart w:id="76" w:name="_Toc13889378"/>
      <w:r/>
      <w:bookmarkStart w:id="77" w:name="_Toc13642118"/>
      <w:r>
        <w:rPr>
          <w:rFonts w:hint="eastAsia" w:ascii="宋体" w:hAnsi="宋体" w:eastAsia="宋体" w:cs="宋体"/>
          <w:color w:val="auto"/>
          <w:sz w:val="24"/>
          <w:szCs w:val="24"/>
          <w:highlight w:val="none"/>
        </w:rPr>
        <w:br w:type="page" w:clear="all"/>
      </w:r>
      <w:r/>
    </w:p>
    <w:p>
      <w:pPr>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t xml:space="preserve">合同主要条款</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甲方（采购人）：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82"/>
        <w:spacing w:before="100" w:beforeAutospacing="1"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乙方（供应商）：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邮政编码：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                      手机号码：</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办公电话：                    电子邮件</w:t>
      </w:r>
      <w:r>
        <w:rPr>
          <w:rFonts w:hint="eastAsia" w:ascii="宋体" w:hAnsi="宋体" w:eastAsia="宋体" w:cs="宋体"/>
          <w:color w:val="auto"/>
          <w:sz w:val="24"/>
          <w:szCs w:val="24"/>
          <w:highlight w:val="none"/>
          <w:lang w:eastAsia="zh-CN"/>
        </w:rPr>
        <w:t xml:space="preserve">：</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采购代理机构：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Style w:val="1120"/>
          <w:rFonts w:hint="eastAsia" w:ascii="宋体" w:hAnsi="宋体" w:eastAsia="宋体" w:cs="宋体"/>
          <w:color w:val="auto"/>
          <w:sz w:val="24"/>
          <w:szCs w:val="24"/>
          <w:highlight w:val="none"/>
        </w:rPr>
      </w:pPr>
      <w:r>
        <w:rPr>
          <w:rStyle w:val="1120"/>
          <w:rFonts w:hint="eastAsia" w:ascii="宋体" w:hAnsi="宋体" w:eastAsia="宋体" w:cs="宋体"/>
          <w:color w:val="auto"/>
          <w:sz w:val="24"/>
          <w:szCs w:val="24"/>
          <w:highlight w:val="none"/>
        </w:rPr>
        <w:t xml:space="preserve">依据甲方委托</w:t>
      </w:r>
      <w:r>
        <w:rPr>
          <w:rStyle w:val="1120"/>
          <w:rFonts w:hint="eastAsia" w:ascii="宋体" w:hAnsi="宋体" w:eastAsia="宋体" w:cs="宋体"/>
          <w:color w:val="auto"/>
          <w:sz w:val="24"/>
          <w:szCs w:val="24"/>
          <w:highlight w:val="none"/>
          <w:u w:val="single"/>
        </w:rPr>
        <w:t xml:space="preserve">苏州诚和招投标咨询有限公司</w:t>
      </w:r>
      <w:r>
        <w:rPr>
          <w:rStyle w:val="1120"/>
          <w:rFonts w:hint="eastAsia" w:ascii="宋体" w:hAnsi="宋体" w:eastAsia="宋体" w:cs="宋体"/>
          <w:color w:val="auto"/>
          <w:sz w:val="24"/>
          <w:szCs w:val="24"/>
          <w:highlight w:val="none"/>
        </w:rPr>
        <w:t xml:space="preserve">进行本项目政府采购</w:t>
      </w:r>
      <w:r>
        <w:rPr>
          <w:rStyle w:val="1120"/>
          <w:rFonts w:hint="eastAsia" w:ascii="宋体" w:hAnsi="宋体" w:eastAsia="宋体" w:cs="宋体"/>
          <w:color w:val="auto"/>
          <w:sz w:val="24"/>
          <w:szCs w:val="24"/>
          <w:highlight w:val="none"/>
          <w:u w:val="single"/>
        </w:rPr>
        <w:t xml:space="preserve">（采购编号： </w:t>
      </w:r>
      <w:r>
        <w:rPr>
          <w:rStyle w:val="1120"/>
          <w:rFonts w:hint="eastAsia" w:ascii="宋体" w:hAnsi="宋体" w:eastAsia="宋体" w:cs="宋体"/>
          <w:color w:val="auto"/>
          <w:sz w:val="24"/>
          <w:szCs w:val="24"/>
          <w:highlight w:val="none"/>
          <w:u w:val="single"/>
          <w:lang w:eastAsia="zh-CN"/>
        </w:rPr>
        <w:t xml:space="preserve">JSZC-320500-SZCH-G2026-0020</w:t>
      </w:r>
      <w:r>
        <w:rPr>
          <w:rStyle w:val="1120"/>
          <w:rFonts w:hint="eastAsia" w:ascii="宋体" w:hAnsi="宋体" w:eastAsia="宋体" w:cs="宋体"/>
          <w:color w:val="auto"/>
          <w:sz w:val="24"/>
          <w:szCs w:val="24"/>
          <w:highlight w:val="none"/>
          <w:u w:val="single"/>
        </w:rPr>
        <w:t xml:space="preserve"> ）</w:t>
      </w:r>
      <w:r>
        <w:rPr>
          <w:rStyle w:val="1120"/>
          <w:rFonts w:hint="eastAsia" w:ascii="宋体" w:hAnsi="宋体" w:eastAsia="宋体" w:cs="宋体"/>
          <w:color w:val="auto"/>
          <w:sz w:val="24"/>
          <w:szCs w:val="24"/>
          <w:highlight w:val="none"/>
        </w:rPr>
        <w:t xml:space="preserve">的采购结果，确定乙方为本</w:t>
      </w:r>
      <w:r>
        <w:rPr>
          <w:rStyle w:val="1120"/>
          <w:rFonts w:hint="eastAsia" w:ascii="宋体" w:hAnsi="宋体" w:eastAsia="宋体" w:cs="宋体"/>
          <w:color w:val="auto"/>
          <w:sz w:val="24"/>
          <w:szCs w:val="24"/>
          <w:highlight w:val="none"/>
          <w:lang w:val="en-US" w:eastAsia="zh-CN"/>
        </w:rPr>
        <w:t xml:space="preserve">项目</w:t>
      </w:r>
      <w:r>
        <w:rPr>
          <w:rStyle w:val="1120"/>
          <w:rFonts w:hint="eastAsia" w:ascii="宋体" w:hAnsi="宋体" w:eastAsia="宋体" w:cs="宋体"/>
          <w:color w:val="auto"/>
          <w:sz w:val="24"/>
          <w:szCs w:val="24"/>
          <w:highlight w:val="none"/>
          <w:u w:val="single"/>
          <w:lang w:val="en-US" w:eastAsia="zh-CN"/>
        </w:rPr>
        <w:t xml:space="preserve">采购包  ：   </w:t>
      </w:r>
      <w:r>
        <w:rPr>
          <w:rStyle w:val="1120"/>
          <w:rFonts w:hint="eastAsia" w:ascii="宋体" w:hAnsi="宋体" w:eastAsia="宋体" w:cs="宋体"/>
          <w:color w:val="auto"/>
          <w:sz w:val="24"/>
          <w:szCs w:val="24"/>
          <w:highlight w:val="none"/>
        </w:rPr>
        <w:t xml:space="preserve">中标供应商，现依照采购文件、乙方的响应文件及相关文件的内容，签订本合同书。</w:t>
      </w:r>
      <w:r/>
    </w:p>
    <w:p>
      <w:pPr>
        <w:ind w:firstLine="482"/>
        <w:spacing w:line="360" w:lineRule="auto"/>
        <w:rPr>
          <w:rStyle w:val="1120"/>
          <w:rFonts w:hint="eastAsia" w:ascii="宋体" w:hAnsi="宋体" w:eastAsia="宋体" w:cs="宋体"/>
          <w:b/>
          <w:color w:val="auto"/>
          <w:sz w:val="24"/>
          <w:szCs w:val="24"/>
          <w:highlight w:val="none"/>
        </w:rPr>
      </w:pPr>
      <w:r>
        <w:rPr>
          <w:rStyle w:val="1120"/>
          <w:rFonts w:hint="eastAsia" w:ascii="宋体" w:hAnsi="宋体" w:eastAsia="宋体" w:cs="宋体"/>
          <w:b/>
          <w:color w:val="auto"/>
          <w:sz w:val="24"/>
          <w:szCs w:val="24"/>
          <w:highlight w:val="none"/>
        </w:rPr>
        <w:t xml:space="preserve">一、合同标的物和合同价格组成</w:t>
      </w:r>
      <w:r/>
    </w:p>
    <w:p>
      <w:pPr>
        <w:pStyle w:val="1121"/>
        <w:ind w:firstLine="480"/>
        <w:jc w:val="both"/>
        <w:spacing w:line="360" w:lineRule="auto"/>
        <w:tabs>
          <w:tab w:val="left" w:pos="7560" w:leader="none"/>
        </w:tabs>
        <w:rPr>
          <w:rStyle w:val="1120"/>
          <w:rFonts w:hint="eastAsia" w:ascii="宋体" w:hAnsi="宋体" w:eastAsia="宋体" w:cs="宋体"/>
          <w:color w:val="auto"/>
          <w:sz w:val="24"/>
          <w:szCs w:val="24"/>
          <w:highlight w:val="none"/>
        </w:rPr>
      </w:pPr>
      <w:r>
        <w:rPr>
          <w:rStyle w:val="1120"/>
          <w:rFonts w:hint="eastAsia" w:ascii="宋体" w:hAnsi="宋体" w:eastAsia="宋体" w:cs="宋体"/>
          <w:color w:val="auto"/>
          <w:sz w:val="24"/>
          <w:szCs w:val="24"/>
          <w:highlight w:val="none"/>
          <w:lang w:eastAsia="zh-CN"/>
        </w:rPr>
        <w:t xml:space="preserve">（</w:t>
      </w:r>
      <w:r>
        <w:rPr>
          <w:rStyle w:val="1120"/>
          <w:rFonts w:hint="eastAsia" w:ascii="宋体" w:hAnsi="宋体" w:eastAsia="宋体" w:cs="宋体"/>
          <w:color w:val="auto"/>
          <w:sz w:val="24"/>
          <w:szCs w:val="24"/>
          <w:highlight w:val="none"/>
          <w:lang w:val="en-US" w:eastAsia="zh-CN"/>
        </w:rPr>
        <w:t xml:space="preserve">一</w:t>
      </w:r>
      <w:r>
        <w:rPr>
          <w:rStyle w:val="1120"/>
          <w:rFonts w:hint="eastAsia" w:ascii="宋体" w:hAnsi="宋体" w:eastAsia="宋体" w:cs="宋体"/>
          <w:color w:val="auto"/>
          <w:sz w:val="24"/>
          <w:szCs w:val="24"/>
          <w:highlight w:val="none"/>
          <w:lang w:eastAsia="zh-CN"/>
        </w:rPr>
        <w:t xml:space="preserve">）</w:t>
      </w:r>
      <w:r>
        <w:rPr>
          <w:rStyle w:val="1120"/>
          <w:rFonts w:hint="eastAsia" w:ascii="宋体" w:hAnsi="宋体" w:eastAsia="宋体" w:cs="宋体"/>
          <w:color w:val="auto"/>
          <w:sz w:val="24"/>
          <w:szCs w:val="24"/>
          <w:highlight w:val="none"/>
        </w:rPr>
        <w:t xml:space="preserve">采购的服务内容概述：详见第四章</w:t>
      </w:r>
      <w:r/>
    </w:p>
    <w:p>
      <w:pPr>
        <w:ind w:firstLine="480"/>
        <w:spacing w:line="360" w:lineRule="auto"/>
        <w:rPr>
          <w:rStyle w:val="1120"/>
          <w:rFonts w:hint="eastAsia" w:ascii="宋体" w:hAnsi="宋体" w:eastAsia="宋体" w:cs="宋体"/>
          <w:color w:val="auto"/>
          <w:sz w:val="24"/>
          <w:szCs w:val="24"/>
          <w:highlight w:val="none"/>
        </w:rPr>
      </w:pPr>
      <w:r>
        <w:rPr>
          <w:rStyle w:val="1120"/>
          <w:rFonts w:hint="eastAsia" w:ascii="宋体" w:hAnsi="宋体" w:eastAsia="宋体" w:cs="宋体"/>
          <w:color w:val="auto"/>
          <w:sz w:val="24"/>
          <w:szCs w:val="24"/>
          <w:highlight w:val="none"/>
          <w:lang w:eastAsia="zh-CN"/>
        </w:rPr>
        <w:t xml:space="preserve">（</w:t>
      </w:r>
      <w:r>
        <w:rPr>
          <w:rStyle w:val="1120"/>
          <w:rFonts w:hint="eastAsia" w:ascii="宋体" w:hAnsi="宋体" w:eastAsia="宋体" w:cs="宋体"/>
          <w:color w:val="auto"/>
          <w:sz w:val="24"/>
          <w:szCs w:val="24"/>
          <w:highlight w:val="none"/>
          <w:lang w:val="en-US" w:eastAsia="zh-CN"/>
        </w:rPr>
        <w:t xml:space="preserve">二</w:t>
      </w:r>
      <w:r>
        <w:rPr>
          <w:rStyle w:val="1120"/>
          <w:rFonts w:hint="eastAsia" w:ascii="宋体" w:hAnsi="宋体" w:eastAsia="宋体" w:cs="宋体"/>
          <w:color w:val="auto"/>
          <w:sz w:val="24"/>
          <w:szCs w:val="24"/>
          <w:highlight w:val="none"/>
          <w:lang w:eastAsia="zh-CN"/>
        </w:rPr>
        <w:t xml:space="preserve">）</w:t>
      </w:r>
      <w:r>
        <w:rPr>
          <w:rStyle w:val="1120"/>
          <w:rFonts w:hint="eastAsia" w:ascii="宋体" w:hAnsi="宋体" w:eastAsia="宋体" w:cs="宋体"/>
          <w:color w:val="auto"/>
          <w:sz w:val="24"/>
          <w:szCs w:val="24"/>
          <w:highlight w:val="none"/>
        </w:rPr>
        <w:t xml:space="preserve">合同价款的组成：</w:t>
      </w:r>
      <w:r>
        <w:rPr>
          <w:rFonts w:hint="eastAsia" w:ascii="宋体" w:hAnsi="宋体" w:eastAsia="宋体" w:cs="宋体"/>
          <w:color w:val="auto"/>
          <w:sz w:val="24"/>
          <w:szCs w:val="24"/>
          <w:highlight w:val="none"/>
        </w:rPr>
        <w:t xml:space="preserve">合同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firstLine="482"/>
        <w:spacing w:line="360" w:lineRule="auto"/>
        <w:rPr>
          <w:rStyle w:val="1120"/>
          <w:rFonts w:hint="eastAsia" w:ascii="宋体" w:hAnsi="宋体" w:eastAsia="宋体" w:cs="宋体"/>
          <w:b/>
          <w:color w:val="auto"/>
          <w:sz w:val="24"/>
          <w:szCs w:val="24"/>
          <w:highlight w:val="none"/>
        </w:rPr>
      </w:pPr>
      <w:r>
        <w:rPr>
          <w:rStyle w:val="1120"/>
          <w:rFonts w:hint="eastAsia" w:ascii="宋体" w:hAnsi="宋体" w:eastAsia="宋体" w:cs="宋体"/>
          <w:b/>
          <w:color w:val="auto"/>
          <w:sz w:val="24"/>
          <w:szCs w:val="24"/>
          <w:highlight w:val="none"/>
        </w:rPr>
        <w:t xml:space="preserve">二、下列文件为本合同不可分割部分</w:t>
      </w:r>
      <w:r/>
    </w:p>
    <w:p>
      <w:pPr>
        <w:ind w:firstLine="480"/>
        <w:spacing w:line="360" w:lineRule="auto"/>
        <w:rPr>
          <w:rStyle w:val="1120"/>
          <w:rFonts w:hint="eastAsia" w:ascii="宋体" w:hAnsi="宋体" w:eastAsia="宋体" w:cs="宋体"/>
          <w:color w:val="auto"/>
          <w:sz w:val="24"/>
          <w:szCs w:val="24"/>
          <w:highlight w:val="none"/>
        </w:rPr>
      </w:pPr>
      <w:r>
        <w:rPr>
          <w:rStyle w:val="1120"/>
          <w:rFonts w:hint="eastAsia" w:ascii="宋体" w:hAnsi="宋体" w:eastAsia="宋体" w:cs="宋体"/>
          <w:color w:val="auto"/>
          <w:sz w:val="24"/>
          <w:szCs w:val="24"/>
          <w:highlight w:val="none"/>
        </w:rPr>
        <w:t xml:space="preserve">1、中标（成交）通知书；</w:t>
      </w:r>
      <w:r/>
    </w:p>
    <w:p>
      <w:pPr>
        <w:ind w:firstLine="480"/>
        <w:spacing w:line="360" w:lineRule="auto"/>
        <w:rPr>
          <w:rStyle w:val="1120"/>
          <w:rFonts w:hint="eastAsia" w:ascii="宋体" w:hAnsi="宋体" w:eastAsia="宋体" w:cs="宋体"/>
          <w:color w:val="auto"/>
          <w:sz w:val="24"/>
          <w:szCs w:val="24"/>
          <w:highlight w:val="none"/>
        </w:rPr>
      </w:pPr>
      <w:r>
        <w:rPr>
          <w:rStyle w:val="1120"/>
          <w:rFonts w:hint="eastAsia" w:ascii="宋体" w:hAnsi="宋体" w:eastAsia="宋体" w:cs="宋体"/>
          <w:color w:val="auto"/>
          <w:sz w:val="24"/>
          <w:szCs w:val="24"/>
          <w:highlight w:val="none"/>
        </w:rPr>
        <w:t xml:space="preserve">2、乙方的响应文件；</w:t>
      </w:r>
      <w:r/>
    </w:p>
    <w:p>
      <w:pPr>
        <w:ind w:firstLine="480"/>
        <w:spacing w:line="360" w:lineRule="auto"/>
        <w:rPr>
          <w:rStyle w:val="1120"/>
          <w:rFonts w:hint="eastAsia" w:ascii="宋体" w:hAnsi="宋体" w:eastAsia="宋体" w:cs="宋体"/>
          <w:color w:val="auto"/>
          <w:sz w:val="24"/>
          <w:szCs w:val="24"/>
          <w:highlight w:val="none"/>
        </w:rPr>
      </w:pPr>
      <w:r>
        <w:rPr>
          <w:rStyle w:val="1120"/>
          <w:rFonts w:hint="eastAsia" w:ascii="宋体" w:hAnsi="宋体" w:eastAsia="宋体" w:cs="宋体"/>
          <w:color w:val="auto"/>
          <w:sz w:val="24"/>
          <w:szCs w:val="24"/>
          <w:highlight w:val="none"/>
        </w:rPr>
        <w:t xml:space="preserve">3、采购文件；</w:t>
      </w:r>
      <w:r/>
    </w:p>
    <w:p>
      <w:pPr>
        <w:ind w:firstLine="480"/>
        <w:spacing w:line="360" w:lineRule="auto"/>
        <w:rPr>
          <w:rStyle w:val="1120"/>
          <w:rFonts w:hint="eastAsia" w:ascii="宋体" w:hAnsi="宋体" w:eastAsia="宋体" w:cs="宋体"/>
          <w:color w:val="auto"/>
          <w:sz w:val="24"/>
          <w:szCs w:val="24"/>
          <w:highlight w:val="none"/>
        </w:rPr>
      </w:pPr>
      <w:r>
        <w:rPr>
          <w:rStyle w:val="1120"/>
          <w:rFonts w:hint="eastAsia" w:ascii="宋体" w:hAnsi="宋体" w:eastAsia="宋体" w:cs="宋体"/>
          <w:color w:val="auto"/>
          <w:sz w:val="24"/>
          <w:szCs w:val="24"/>
          <w:highlight w:val="none"/>
        </w:rPr>
        <w:t xml:space="preserve">4、乙方在采购过程中所做的其它承诺、声明、书面澄清等。</w:t>
      </w:r>
      <w:r/>
    </w:p>
    <w:p>
      <w:pPr>
        <w:ind w:firstLine="480"/>
        <w:spacing w:line="360" w:lineRule="auto"/>
        <w:rPr>
          <w:rStyle w:val="1120"/>
          <w:rFonts w:hint="eastAsia" w:ascii="宋体" w:hAnsi="宋体" w:eastAsia="宋体" w:cs="宋体"/>
          <w:sz w:val="24"/>
          <w:szCs w:val="24"/>
          <w:lang w:val="en-US" w:eastAsia="zh-CN"/>
        </w:rPr>
      </w:pPr>
      <w:r>
        <w:rPr>
          <w:rStyle w:val="1120"/>
          <w:rFonts w:hint="eastAsia" w:ascii="宋体" w:hAnsi="宋体" w:eastAsia="宋体" w:cs="宋体"/>
          <w:sz w:val="24"/>
          <w:szCs w:val="24"/>
          <w:lang w:val="en-US" w:eastAsia="zh-CN"/>
        </w:rPr>
        <w:t xml:space="preserve">双方确认在上述各文件内容发生冲突时，以本合同约定内容为准。</w:t>
      </w:r>
      <w:r/>
    </w:p>
    <w:p>
      <w:pPr>
        <w:ind w:firstLine="482"/>
        <w:spacing w:line="360" w:lineRule="auto"/>
        <w:rPr>
          <w:rStyle w:val="1120"/>
          <w:rFonts w:hint="eastAsia" w:ascii="宋体" w:hAnsi="宋体" w:eastAsia="宋体" w:cs="宋体"/>
          <w:color w:val="auto"/>
          <w:sz w:val="24"/>
          <w:szCs w:val="24"/>
          <w:highlight w:val="none"/>
        </w:rPr>
      </w:pPr>
      <w:r>
        <w:rPr>
          <w:rStyle w:val="1120"/>
          <w:rFonts w:hint="eastAsia" w:ascii="宋体" w:hAnsi="宋体" w:eastAsia="宋体" w:cs="宋体"/>
          <w:b/>
          <w:bCs/>
          <w:color w:val="auto"/>
          <w:sz w:val="24"/>
          <w:szCs w:val="24"/>
          <w:highlight w:val="none"/>
        </w:rPr>
        <w:t xml:space="preserve">三、合同价格支付</w:t>
      </w:r>
      <w:r/>
    </w:p>
    <w:p>
      <w:pPr>
        <w:ind w:firstLine="480"/>
        <w:spacing w:line="360" w:lineRule="auto"/>
        <w:rPr>
          <w:rStyle w:val="1120"/>
          <w:rFonts w:hint="eastAsia" w:ascii="宋体" w:hAnsi="宋体" w:eastAsia="宋体" w:cs="宋体"/>
          <w:color w:val="auto"/>
          <w:sz w:val="24"/>
          <w:szCs w:val="24"/>
          <w:highlight w:val="none"/>
        </w:rPr>
      </w:pPr>
      <w:r>
        <w:rPr>
          <w:rStyle w:val="1120"/>
          <w:rFonts w:hint="eastAsia" w:ascii="宋体" w:hAnsi="宋体" w:eastAsia="宋体" w:cs="宋体"/>
          <w:color w:val="auto"/>
          <w:sz w:val="24"/>
          <w:szCs w:val="24"/>
          <w:highlight w:val="none"/>
        </w:rPr>
        <w:t xml:space="preserve">1、支付步骤和比例：</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采购包1：2026年苏州市义务教育质量监测数据处理与报告撰写等相关服务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合同签订并生效后，甲方向乙方预付合同金额的30%作为预付款。监测报告完成并验收后30个工作日内甲方支付乙方合同金额的50%；待项目（含后期个性化数据服务）结束经由甲方验收项目合格后，甲方支付乙方合同金额的20%。每次付款前，乙方需提供合格的等额发票,在甲方确认材料且无任何违约扣款项后支付。最后一次付款时，需提供由甲乙双方、代理公司签章的《采购合同履行验收报告》。</w:t>
      </w:r>
      <w:r/>
    </w:p>
    <w:p>
      <w:pPr>
        <w:ind w:firstLine="480"/>
        <w:spacing w:line="360" w:lineRule="auto"/>
        <w:rPr>
          <w:rFonts w:hint="eastAsia" w:ascii="宋体" w:hAnsi="宋体" w:eastAsia="宋体" w:cs="宋体"/>
          <w:sz w:val="24"/>
          <w:szCs w:val="24"/>
        </w:rPr>
      </w:pPr>
      <w:r/>
      <w:bookmarkStart w:id="78" w:name="_Hlk172100131"/>
      <w:r>
        <w:rPr>
          <w:rFonts w:hint="eastAsia" w:ascii="宋体" w:hAnsi="宋体" w:eastAsia="宋体" w:cs="宋体"/>
          <w:sz w:val="24"/>
          <w:szCs w:val="24"/>
        </w:rPr>
        <w:t xml:space="preserve">2、甲方通过数字人民币形式（具体支付方式甲方有权根据财务安排自主选择）支付，将相应款项支付至乙方以下账户：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支付账户信息：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开户公司名称（全称）：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数字人民币开户银行：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数字人民币账户（数币钱包ID）：</w:t>
      </w:r>
      <w:r/>
    </w:p>
    <w:p>
      <w:pPr>
        <w:ind w:firstLine="480"/>
        <w:spacing w:line="360" w:lineRule="auto"/>
        <w:rPr>
          <w:rStyle w:val="1120"/>
          <w:rFonts w:hint="eastAsia" w:ascii="宋体" w:hAnsi="宋体" w:eastAsia="宋体" w:cs="宋体"/>
          <w:i/>
          <w:iCs/>
          <w:color w:val="auto"/>
          <w:sz w:val="24"/>
          <w:szCs w:val="24"/>
          <w:highlight w:val="none"/>
        </w:rPr>
      </w:pPr>
      <w:r>
        <w:rPr>
          <w:rStyle w:val="1120"/>
          <w:rFonts w:hint="eastAsia" w:ascii="宋体" w:hAnsi="宋体" w:eastAsia="宋体" w:cs="宋体"/>
          <w:color w:val="auto"/>
          <w:sz w:val="24"/>
          <w:szCs w:val="24"/>
          <w:highlight w:val="none"/>
        </w:rPr>
        <w:t xml:space="preserve">3、根据现行税法对甲方征收的与本合同有关的一切税费均由甲方承担；根据现行税法对乙方征收的与本合同有关的一切税费均由乙方承担。</w:t>
      </w:r>
      <w:bookmarkEnd w:id="78"/>
      <w:r/>
      <w:r/>
    </w:p>
    <w:p>
      <w:pPr>
        <w:ind w:firstLine="480"/>
        <w:spacing w:line="360" w:lineRule="auto"/>
        <w:rPr>
          <w:rStyle w:val="1120"/>
          <w:rFonts w:hint="eastAsia" w:ascii="宋体" w:hAnsi="宋体" w:eastAsia="宋体" w:cs="宋体"/>
          <w:sz w:val="24"/>
          <w:szCs w:val="24"/>
        </w:rPr>
      </w:pPr>
      <w:r/>
      <w:bookmarkStart w:id="79" w:name="_Hlk172100209"/>
      <w:r>
        <w:rPr>
          <w:rStyle w:val="1120"/>
          <w:rFonts w:hint="eastAsia" w:ascii="宋体" w:hAnsi="宋体" w:eastAsia="宋体" w:cs="宋体"/>
          <w:sz w:val="24"/>
          <w:szCs w:val="24"/>
        </w:rPr>
        <w:t xml:space="preserve">4、乙方要求付款应提供以下资料：</w:t>
      </w:r>
      <w:r/>
    </w:p>
    <w:p>
      <w:pPr>
        <w:ind w:firstLine="480"/>
        <w:spacing w:line="360" w:lineRule="auto"/>
        <w:rPr>
          <w:rStyle w:val="1120"/>
          <w:rFonts w:hint="eastAsia" w:ascii="宋体" w:hAnsi="宋体" w:eastAsia="宋体" w:cs="宋体"/>
          <w:sz w:val="24"/>
          <w:szCs w:val="24"/>
        </w:rPr>
      </w:pPr>
      <w:r>
        <w:rPr>
          <w:rStyle w:val="1120"/>
          <w:rFonts w:hint="eastAsia" w:ascii="宋体" w:hAnsi="宋体" w:eastAsia="宋体" w:cs="宋体"/>
          <w:sz w:val="24"/>
          <w:szCs w:val="24"/>
        </w:rPr>
        <w:t xml:space="preserve">（1）合格的发票</w:t>
      </w:r>
      <w:r/>
    </w:p>
    <w:p>
      <w:pPr>
        <w:ind w:firstLine="480"/>
        <w:spacing w:line="360" w:lineRule="auto"/>
        <w:rPr>
          <w:rStyle w:val="1120"/>
          <w:rFonts w:hint="eastAsia" w:ascii="宋体" w:hAnsi="宋体" w:eastAsia="宋体" w:cs="宋体"/>
          <w:sz w:val="24"/>
          <w:szCs w:val="24"/>
          <w:lang w:val="en-US" w:eastAsia="zh-CN"/>
        </w:rPr>
      </w:pPr>
      <w:r>
        <w:rPr>
          <w:rStyle w:val="1120"/>
          <w:rFonts w:hint="eastAsia" w:ascii="宋体" w:hAnsi="宋体" w:eastAsia="宋体" w:cs="宋体"/>
          <w:sz w:val="24"/>
          <w:szCs w:val="24"/>
          <w:lang w:eastAsia="zh-CN"/>
        </w:rPr>
        <w:t xml:space="preserve">（</w:t>
      </w:r>
      <w:r>
        <w:rPr>
          <w:rStyle w:val="1120"/>
          <w:rFonts w:hint="eastAsia" w:ascii="宋体" w:hAnsi="宋体" w:eastAsia="宋体" w:cs="宋体"/>
          <w:sz w:val="24"/>
          <w:szCs w:val="24"/>
          <w:lang w:val="en-US" w:eastAsia="zh-CN"/>
        </w:rPr>
        <w:t xml:space="preserve">2</w:t>
      </w:r>
      <w:r>
        <w:rPr>
          <w:rStyle w:val="1120"/>
          <w:rFonts w:hint="eastAsia" w:ascii="宋体" w:hAnsi="宋体" w:eastAsia="宋体" w:cs="宋体"/>
          <w:sz w:val="24"/>
          <w:szCs w:val="24"/>
          <w:lang w:eastAsia="zh-CN"/>
        </w:rPr>
        <w:t xml:space="preserve">）</w:t>
      </w:r>
      <w:r>
        <w:rPr>
          <w:rStyle w:val="1120"/>
          <w:rFonts w:hint="eastAsia" w:ascii="宋体" w:hAnsi="宋体" w:eastAsia="宋体" w:cs="宋体"/>
          <w:sz w:val="24"/>
          <w:szCs w:val="24"/>
          <w:lang w:val="en-US" w:eastAsia="zh-CN"/>
        </w:rPr>
        <w:t xml:space="preserve">甲方要求的其他付款相关资料</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四、甲方的权利和义务</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依本合同约定按期支付合同款项；</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依本合同约定及时组织验收；</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协助乙方进行项目的相关协调工作及约定期限内提供相关资料以利于开展项目。</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五、乙方的权利与义务</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乙方负责完成本次采购要求的全部服务工作，乙方应按招标文件以及合同约定的技术规范、标准进行实施，并保证按期、保质保量完成项目的实施工作，对提交的项目质量负责。</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六、保密义务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1、甲乙双方均应承担保密义务。双方保证对在讨论、签订、执行本协议过程中所获悉的属于对方的且无法自公开渠道获得的文件、资料以及通过上述文件、资料所形成的技术成果予以保密。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2、未经该文件、资料的原提供方同意，另一方不得向任何第三方泄露该文件、资料以及通过上述文件、资料所形成的技术成果的全部或部分内容。但法律法规另有规定或双方另有约定的除外。</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七、不可抗力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八、合同的解除和转让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1、有下列情形之一，合同一方可以解除合同：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（2）因合同一方违约导致合同不能履行，另一方有权解除合同；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（3）因乙方在履行合同过程中造成社会不良影响的，甲方有权解除合同。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2、有权解除合同的一方，应当在违约事实或不可抗力发生之后三十天内书面通知对方以主张解除合同，合同在书面通知到达对方时解除。</w:t>
      </w:r>
      <w:r/>
    </w:p>
    <w:p>
      <w:pPr>
        <w:ind w:firstLine="480"/>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3、合同的部分和全部都不得转让。</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4、依据预留项目和价格扣除等优惠政策获取政府采购合同后，小型、微型企业不得分包或转包给大型、中型企业，中型企业不得分包或转包给大型企业。</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5、本合同履行过程中出现危害国家利益和社会公共利益问题的，甲方有权立即终止合同。</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1、合同一方不履行合同义务或者履行合同义务不符合约定的，应当承担继续履行、采取补救措施或赔偿损失等违约责任。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2、甲方违约责任。甲方未按照约定时间支付合同价款的，应当承担逾期付款违约责任。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3、乙方违约责任。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（1）乙方不能提供服务的，或服务不合格从而影响甲方按期正常使用的,甲方有权视情况要求乙方支付违约金以及解除合同，甲方有权在应付乙方的价</w:t>
      </w:r>
      <w:bookmarkStart w:id="80" w:name="OLE_LINK78"/>
      <w:r>
        <w:rPr>
          <w:rFonts w:hint="eastAsia" w:ascii="宋体" w:hAnsi="宋体" w:eastAsia="宋体" w:cs="宋体"/>
          <w:color w:val="auto"/>
          <w:sz w:val="24"/>
          <w:szCs w:val="24"/>
          <w:highlight w:val="none"/>
        </w:rPr>
        <w:t xml:space="preserve">款中直接扣除有关违约金后支</w:t>
      </w:r>
      <w:bookmarkEnd w:id="80"/>
      <w:r>
        <w:rPr>
          <w:rFonts w:hint="eastAsia" w:ascii="宋体" w:hAnsi="宋体" w:eastAsia="宋体" w:cs="宋体"/>
          <w:color w:val="auto"/>
          <w:sz w:val="24"/>
          <w:szCs w:val="24"/>
          <w:highlight w:val="none"/>
        </w:rPr>
        <w:t xml:space="preserve">付，乙方对此不存异议。乙方承担的违约金不足以赔偿甲方实际损失的，甲方有权要求乙方继续赔偿。</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（2）乙方履行合同不符合合同要求的，甲方有权责令乙方立即改正，乙方拒不改正或已经造成不良社会影响的，甲方有权解除合同并要求乙方承担责任。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（3）乙方履行合同不符合要求，被取消中标资格（或终止、解除合同）的，并不能免除其支付违约金的责任。</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十、争议解决办法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1、因本合同或与本合同有关的一切事项发生争议，由双方友好协商解决。协商不成的，任何一方均可以向甲方所在地人民法院起诉。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2、乙方保证以下通讯方式为本单位各类文书送达地址，如发生变化，乙方应提前3日书面加盖公章通知甲方。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联系电话号码：</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十一、合同生效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本合同在双方签字或盖章后生效。</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十二、附则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1、本合同一式</w:t>
      </w:r>
      <w:r>
        <w:rPr>
          <w:rFonts w:hint="eastAsia" w:ascii="宋体" w:hAnsi="宋体" w:eastAsia="宋体" w:cs="宋体"/>
          <w:color w:val="auto"/>
          <w:sz w:val="24"/>
          <w:szCs w:val="24"/>
          <w:highlight w:val="none"/>
          <w:lang w:val="en-US" w:eastAsia="zh-CN"/>
        </w:rPr>
        <w:t xml:space="preserve">伍</w:t>
      </w:r>
      <w:r>
        <w:rPr>
          <w:rFonts w:hint="eastAsia" w:ascii="宋体" w:hAnsi="宋体" w:eastAsia="宋体" w:cs="宋体"/>
          <w:color w:val="auto"/>
          <w:sz w:val="24"/>
          <w:szCs w:val="24"/>
          <w:highlight w:val="none"/>
        </w:rPr>
        <w:t xml:space="preserve">份，甲乙双方各执贰份，采购代理机构</w:t>
      </w:r>
      <w:r>
        <w:rPr>
          <w:rFonts w:hint="eastAsia" w:ascii="宋体" w:hAnsi="宋体" w:eastAsia="宋体" w:cs="宋体"/>
          <w:color w:val="auto"/>
          <w:sz w:val="24"/>
          <w:szCs w:val="24"/>
          <w:highlight w:val="none"/>
          <w:lang w:val="en-US" w:eastAsia="zh-CN"/>
        </w:rPr>
        <w:t xml:space="preserve">壹</w:t>
      </w:r>
      <w:r>
        <w:rPr>
          <w:rFonts w:hint="eastAsia" w:ascii="宋体" w:hAnsi="宋体" w:eastAsia="宋体" w:cs="宋体"/>
          <w:color w:val="auto"/>
          <w:sz w:val="24"/>
          <w:szCs w:val="24"/>
          <w:highlight w:val="none"/>
        </w:rPr>
        <w:t xml:space="preserve">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2、本合同文件使用中文书写、解释和说明。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3、本合同履行过程中产生的纪要、协议以及中标通知书、</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文件和采购文件为本合同的附件，与合同具有同等效力。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4、未尽事宜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rPr>
        <w:t xml:space="preserve">《中华人民共和国民法典》、《中华人民共和国政府采购法》</w:t>
      </w:r>
      <w:r>
        <w:rPr>
          <w:rFonts w:hint="eastAsia" w:ascii="宋体" w:hAnsi="宋体" w:eastAsia="宋体" w:cs="宋体"/>
          <w:color w:val="auto"/>
          <w:sz w:val="24"/>
          <w:szCs w:val="24"/>
          <w:highlight w:val="none"/>
        </w:rPr>
        <w:t xml:space="preserve">及其他有关的法律法规的规定执行。</w:t>
      </w:r>
      <w:r/>
    </w:p>
    <w:p>
      <w:pP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firstLine="48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甲方：</w:t>
      </w:r>
      <w:r>
        <w:rPr>
          <w:rFonts w:hint="eastAsia" w:ascii="宋体" w:hAnsi="宋体" w:eastAsia="宋体" w:cs="宋体"/>
          <w:color w:val="auto"/>
          <w:sz w:val="24"/>
          <w:szCs w:val="24"/>
          <w:highlight w:val="none"/>
          <w:shd w:val="clear" w:color="auto" w:fill="ffffff"/>
        </w:rPr>
        <w:t xml:space="preserve">                               </w:t>
      </w:r>
      <w:r>
        <w:rPr>
          <w:rFonts w:hint="eastAsia" w:ascii="宋体" w:hAnsi="宋体" w:eastAsia="宋体" w:cs="宋体"/>
          <w:b/>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lang w:val="zh-CN"/>
        </w:rPr>
        <w:t xml:space="preserve">乙方： </w:t>
      </w:r>
      <w:r/>
    </w:p>
    <w:p>
      <w:pPr>
        <w:ind w:firstLine="48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（加盖公章或合同专用章）                    （加盖公章或合同专用章）</w:t>
      </w:r>
      <w:r/>
    </w:p>
    <w:p>
      <w:pPr>
        <w:ind w:firstLine="480"/>
        <w:spacing w:line="360" w:lineRule="auto"/>
        <w:rPr>
          <w:rFonts w:hint="eastAsia" w:ascii="宋体" w:hAnsi="宋体" w:eastAsia="宋体" w:cs="宋体"/>
          <w:color w:val="auto"/>
          <w:sz w:val="24"/>
          <w:szCs w:val="24"/>
          <w:highlight w:val="none"/>
          <w:shd w:val="clear" w:color="auto" w:fill="ffffff"/>
          <w:lang w:val="zh-CN"/>
        </w:rPr>
      </w:pPr>
      <w:r>
        <w:rPr>
          <w:rFonts w:hint="eastAsia" w:ascii="宋体" w:hAnsi="宋体" w:eastAsia="宋体" w:cs="宋体"/>
          <w:color w:val="auto"/>
          <w:sz w:val="24"/>
          <w:szCs w:val="24"/>
          <w:highlight w:val="none"/>
          <w:shd w:val="clear" w:color="auto" w:fill="ffffff"/>
          <w:lang w:val="zh-CN"/>
        </w:rPr>
        <w:t xml:space="preserve">法定代表人签字或签章：                      法定代表人签字或签章：  </w:t>
      </w:r>
      <w:bookmarkEnd w:id="79"/>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签约日期：    年  月    日                               </w:t>
      </w:r>
      <w:r/>
    </w:p>
    <w:p>
      <w:pPr>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合同签订地：</w:t>
      </w:r>
      <w:r>
        <w:rPr>
          <w:rFonts w:hint="eastAsia" w:ascii="宋体" w:hAnsi="宋体" w:eastAsia="宋体" w:cs="宋体"/>
          <w:color w:val="auto"/>
          <w:szCs w:val="24"/>
          <w:highlight w:val="none"/>
        </w:rPr>
        <w:br w:type="page" w:clear="all"/>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bookmarkStart w:id="81" w:name="_Toc105940242"/>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rPr>
          <w:rFonts w:hint="eastAsia" w:ascii="宋体" w:hAnsi="宋体" w:eastAsia="宋体" w:cs="宋体"/>
          <w:color w:val="auto"/>
          <w:sz w:val="26"/>
          <w:szCs w:val="20"/>
          <w:highlight w:val="none"/>
          <w:shd w:val="clear" w:color="auto" w:fill="ffffff"/>
        </w:rPr>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rPr>
          <w:rFonts w:hint="eastAsia" w:ascii="宋体" w:hAnsi="宋体" w:eastAsia="宋体" w:cs="宋体"/>
          <w:color w:val="auto"/>
          <w:sz w:val="26"/>
          <w:szCs w:val="20"/>
          <w:highlight w:val="none"/>
          <w:shd w:val="clear" w:color="auto" w:fill="ffffff"/>
        </w:rPr>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rPr>
          <w:rFonts w:hint="eastAsia" w:ascii="宋体" w:hAnsi="宋体" w:eastAsia="宋体" w:cs="宋体"/>
          <w:color w:val="auto"/>
          <w:sz w:val="26"/>
          <w:szCs w:val="20"/>
          <w:highlight w:val="none"/>
          <w:shd w:val="clear" w:color="auto" w:fill="ffffff"/>
        </w:rPr>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rPr>
          <w:rFonts w:hint="eastAsia" w:ascii="宋体" w:hAnsi="宋体" w:eastAsia="宋体" w:cs="宋体"/>
          <w:color w:val="auto"/>
          <w:sz w:val="26"/>
          <w:szCs w:val="20"/>
          <w:highlight w:val="none"/>
          <w:shd w:val="clear" w:color="auto" w:fill="ffffff"/>
        </w:rPr>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rPr>
          <w:rFonts w:hint="eastAsia" w:ascii="宋体" w:hAnsi="宋体" w:eastAsia="宋体" w:cs="宋体"/>
          <w:color w:val="auto"/>
          <w:sz w:val="26"/>
          <w:szCs w:val="20"/>
          <w:highlight w:val="none"/>
          <w:shd w:val="clear" w:color="auto" w:fill="ffffff"/>
        </w:rPr>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rPr>
          <w:rFonts w:hint="eastAsia" w:ascii="宋体" w:hAnsi="宋体" w:eastAsia="宋体" w:cs="宋体"/>
          <w:color w:val="auto"/>
          <w:sz w:val="26"/>
          <w:szCs w:val="20"/>
          <w:highlight w:val="none"/>
          <w:shd w:val="clear" w:color="auto" w:fill="ffffff"/>
        </w:rPr>
      </w:r>
      <w:r/>
    </w:p>
    <w:p>
      <w:pPr>
        <w:ind w:firstLine="520"/>
        <w:jc w:val="left"/>
        <w:keepLines w:val="0"/>
        <w:keepNext w:val="0"/>
        <w:pageBreakBefore w:val="0"/>
        <w:spacing w:line="360" w:lineRule="auto"/>
        <w:widowControl w:val="off"/>
        <w:rPr>
          <w:rFonts w:hint="eastAsia" w:ascii="宋体" w:hAnsi="宋体" w:eastAsia="宋体" w:cs="宋体"/>
          <w:color w:val="auto"/>
          <w:sz w:val="26"/>
          <w:szCs w:val="20"/>
          <w:highlight w:val="none"/>
          <w:shd w:val="clear" w:color="auto" w:fill="ffffff"/>
        </w:rPr>
        <w:outlineLvl w:val="9"/>
      </w:pPr>
      <w:r>
        <w:rPr>
          <w:rFonts w:hint="eastAsia" w:ascii="宋体" w:hAnsi="宋体" w:eastAsia="宋体" w:cs="宋体"/>
          <w:color w:val="auto"/>
          <w:sz w:val="26"/>
          <w:szCs w:val="2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rPr>
          <w:rFonts w:hint="eastAsia" w:ascii="宋体" w:hAnsi="宋体" w:eastAsia="宋体" w:cs="宋体"/>
          <w:b/>
          <w:color w:val="auto"/>
          <w:sz w:val="52"/>
          <w:szCs w:val="20"/>
          <w:highlight w:val="none"/>
          <w:shd w:val="clear" w:color="auto" w:fill="ffffff"/>
        </w:rPr>
        <w:t xml:space="preserve">第六章 评分</w:t>
      </w:r>
      <w:bookmarkEnd w:id="76"/>
      <w:r/>
      <w:bookmarkEnd w:id="77"/>
      <w:r>
        <w:rPr>
          <w:rFonts w:hint="eastAsia" w:ascii="宋体" w:hAnsi="宋体" w:eastAsia="宋体" w:cs="宋体"/>
          <w:b/>
          <w:color w:val="auto"/>
          <w:sz w:val="52"/>
          <w:szCs w:val="20"/>
          <w:highlight w:val="none"/>
          <w:shd w:val="clear" w:color="auto" w:fill="ffffff"/>
        </w:rPr>
        <w:t xml:space="preserve">标准</w:t>
      </w:r>
      <w:bookmarkEnd w:id="81"/>
      <w:r/>
      <w:r/>
    </w:p>
    <w:p>
      <w:pPr>
        <w:ind w:firstLine="520"/>
        <w:spacing w:line="360" w:lineRule="auto"/>
        <w:rPr>
          <w:rFonts w:hint="eastAsia" w:ascii="宋体" w:hAnsi="宋体" w:eastAsia="宋体" w:cs="宋体"/>
          <w:color w:val="auto"/>
          <w:sz w:val="24"/>
          <w:szCs w:val="24"/>
          <w:highlight w:val="none"/>
        </w:rPr>
        <w:outlineLvl w:val="1"/>
      </w:pPr>
      <w:r/>
      <w:bookmarkStart w:id="82" w:name="OLE_LINK2"/>
      <w:r>
        <w:rPr>
          <w:rFonts w:hint="eastAsia" w:ascii="宋体" w:hAnsi="宋体" w:eastAsia="宋体" w:cs="宋体"/>
          <w:color w:val="auto"/>
          <w:sz w:val="26"/>
          <w:szCs w:val="20"/>
          <w:highlight w:val="none"/>
          <w:shd w:val="clear" w:color="auto" w:fill="ffffff"/>
        </w:rPr>
        <w:br w:type="page" w:clear="all"/>
      </w:r>
      <w:bookmarkEnd w:id="82"/>
      <w:r>
        <w:rPr>
          <w:rFonts w:hint="eastAsia" w:ascii="宋体" w:hAnsi="宋体" w:eastAsia="宋体" w:cs="宋体"/>
          <w:b/>
          <w:bCs/>
          <w:color w:val="auto"/>
          <w:sz w:val="24"/>
          <w:szCs w:val="24"/>
          <w:highlight w:val="none"/>
        </w:rPr>
        <w:t xml:space="preserve">一、评标办法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1、评价和比较采用综合评分法，即指</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文件满足招标文件全部实质性要求，且按照评审因素的量化指标评审得分最高的供应商</w:t>
      </w:r>
      <w:r>
        <w:rPr>
          <w:rFonts w:hint="eastAsia" w:ascii="宋体" w:hAnsi="宋体" w:eastAsia="宋体" w:cs="宋体"/>
          <w:color w:val="auto"/>
          <w:sz w:val="24"/>
          <w:szCs w:val="24"/>
          <w:highlight w:val="none"/>
        </w:rPr>
        <w:t xml:space="preserve">为排名第一的</w:t>
      </w:r>
      <w:r>
        <w:rPr>
          <w:rFonts w:hint="eastAsia" w:ascii="宋体" w:hAnsi="宋体" w:eastAsia="宋体" w:cs="宋体"/>
          <w:color w:val="auto"/>
          <w:sz w:val="24"/>
          <w:szCs w:val="24"/>
          <w:highlight w:val="none"/>
        </w:rPr>
        <w:t xml:space="preserve">中标候选人的评标方法。</w:t>
      </w:r>
      <w:r/>
    </w:p>
    <w:p>
      <w:pPr>
        <w:ind w:firstLine="424"/>
        <w:spacing w:line="360" w:lineRule="auto"/>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2、</w:t>
      </w:r>
      <w:r>
        <w:rPr>
          <w:rFonts w:hint="eastAsia" w:ascii="宋体" w:hAnsi="宋体" w:eastAsia="宋体" w:cs="宋体"/>
          <w:sz w:val="24"/>
          <w:szCs w:val="24"/>
        </w:rPr>
        <w:t xml:space="preserve">根据财政部《关于推动解决政府采购异常低价问题的通知》（财库〔2026〕2号）规定，实施政府采购异常低价审查：</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（1）评审过程中出现下列情形之一的，评审委员会应当启动异常低价投标(响应)审查程序：</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color w:val="000000"/>
          <w:sz w:val="24"/>
          <w:szCs w:val="24"/>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color w:val="000000"/>
          <w:sz w:val="24"/>
          <w:szCs w:val="24"/>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color w:val="000000"/>
          <w:sz w:val="24"/>
          <w:szCs w:val="24"/>
        </w:rPr>
        <w:t xml:space="preserve">投标（响应）报价低于采购项目最高限价45%的，即投标（响应）报价&lt;采购项目最高限价×45%；</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color w:val="000000"/>
          <w:sz w:val="24"/>
          <w:szCs w:val="24"/>
        </w:rPr>
        <w:t xml:space="preserve">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（2）异常低价投标(响应)审查启动后，</w:t>
      </w:r>
      <w:r>
        <w:rPr>
          <w:rFonts w:hint="eastAsia" w:ascii="宋体" w:hAnsi="宋体" w:eastAsia="宋体" w:cs="宋体"/>
          <w:color w:val="000000"/>
          <w:sz w:val="24"/>
          <w:szCs w:val="24"/>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960"/>
        <w:ind w:left="0" w:firstLine="480"/>
        <w:spacing w:line="360" w:lineRule="auto"/>
        <w:rPr>
          <w:rFonts w:hint="eastAsia" w:ascii="宋体" w:hAnsi="宋体" w:eastAsia="宋体" w:cs="宋体"/>
        </w:rPr>
      </w:pPr>
      <w:r>
        <w:rPr>
          <w:rFonts w:hint="eastAsia" w:ascii="宋体" w:hAnsi="宋体" w:eastAsia="宋体" w:cs="宋体"/>
          <w:color w:val="000000"/>
          <w:szCs w:val="24"/>
        </w:rPr>
        <w:t xml:space="preserve">其中，属于第</w:t>
      </w:r>
      <w:r>
        <w:rPr>
          <w:rFonts w:hint="eastAsia" w:ascii="宋体" w:hAnsi="宋体" w:eastAsia="宋体" w:cs="宋体"/>
          <w:szCs w:val="24"/>
        </w:rPr>
        <w:t xml:space="preserve">③</w:t>
      </w:r>
      <w:r>
        <w:rPr>
          <w:rFonts w:hint="eastAsia" w:ascii="宋体" w:hAnsi="宋体" w:eastAsia="宋体" w:cs="宋体"/>
          <w:color w:val="000000"/>
          <w:szCs w:val="24"/>
        </w:rPr>
        <w:t xml:space="preserve">项情形，供应商已随投标（响应）文件一并提交相关书面说明及必要的证明材料的，在评审现场可不再重复提交。</w:t>
      </w:r>
      <w:r/>
    </w:p>
    <w:p>
      <w:pPr>
        <w:ind w:firstLine="424"/>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、评标委员会各成员独立对每个进入打分程序的有效</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单位的标书技术和资质部分以打分的形式进行评审和评价。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、对评委的评分(除价格分外)进行统计汇总，直接算术平均，计算出每个</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单位的得分，加上价格得分即为每个</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单位的综合得分。评标结果按评审后得分由高到低顺序排列，得分相同的，按</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报价由低到高顺序排列，得分且</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报价相同的并列。</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文件满足招标文件全部实质性要求，且按照前述综合评审得分由高到低的排序选择前三名供应商作为中标候选人。如选取中标候选人时出现评审得分相同，且</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报价也相同的并列情况的，则由采购人组织以抽签方式确定优先选取顺序。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、评标委员会根据采购人的授权，按照中标候选人的顺序在中标候选人中直接确定中标供应商。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6、评审顺序按标段顺序评审。</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二、评分标准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（一）价格分：</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30</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lang w:eastAsia="zh-CN"/>
        </w:rPr>
      </w:pPr>
      <w:r/>
      <w:bookmarkStart w:id="83" w:name="_Hlk193379726"/>
      <w:r>
        <w:rPr>
          <w:rFonts w:hint="eastAsia" w:ascii="宋体" w:hAnsi="宋体" w:eastAsia="宋体" w:cs="宋体"/>
          <w:color w:val="auto"/>
          <w:sz w:val="24"/>
          <w:szCs w:val="24"/>
          <w:highlight w:val="none"/>
        </w:rPr>
        <w:t xml:space="preserve">第一步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投标(响应)报价低于或等于财政预算(最高限价)且符合采购文件要求的，为有效投标(响应)报价。无效投标(响应)报价的投标(响应)文件不参与进一步评审</w:t>
      </w:r>
      <w:r>
        <w:rPr>
          <w:rFonts w:hint="eastAsia" w:ascii="宋体" w:hAnsi="宋体" w:eastAsia="宋体" w:cs="宋体"/>
          <w:color w:val="auto"/>
          <w:sz w:val="24"/>
          <w:szCs w:val="24"/>
          <w:highlight w:val="none"/>
          <w:lang w:eastAsia="zh-CN"/>
        </w:rPr>
        <w:t xml:space="preserve">。</w:t>
      </w:r>
      <w:bookmarkEnd w:id="83"/>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w:t>
      </w:r>
      <w:bookmarkStart w:id="84" w:name="_Hlk193380191"/>
      <w:r>
        <w:rPr>
          <w:rFonts w:hint="eastAsia" w:ascii="宋体" w:hAnsi="宋体" w:eastAsia="宋体" w:cs="宋体"/>
          <w:color w:val="auto"/>
          <w:sz w:val="24"/>
          <w:szCs w:val="24"/>
          <w:highlight w:val="none"/>
        </w:rPr>
        <w:t xml:space="preserve">满足招标文件要求，且</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价格最低的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报价为评标基准价</w:t>
      </w:r>
      <w:bookmarkEnd w:id="84"/>
      <w:r>
        <w:rPr>
          <w:rFonts w:hint="eastAsia" w:ascii="宋体" w:hAnsi="宋体" w:eastAsia="宋体" w:cs="宋体"/>
          <w:color w:val="auto"/>
          <w:sz w:val="24"/>
          <w:szCs w:val="24"/>
          <w:highlight w:val="none"/>
        </w:rPr>
        <w:t xml:space="preserve">，</w:t>
      </w:r>
      <w:bookmarkStart w:id="85" w:name="_Hlk193380219"/>
      <w:r>
        <w:rPr>
          <w:rFonts w:hint="eastAsia" w:ascii="宋体" w:hAnsi="宋体" w:eastAsia="宋体" w:cs="宋体"/>
          <w:color w:val="auto"/>
          <w:sz w:val="24"/>
          <w:szCs w:val="24"/>
          <w:highlight w:val="none"/>
        </w:rPr>
        <w:t xml:space="preserve">其价格分为满分，即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w:t>
      </w:r>
      <w:bookmarkEnd w:id="85"/>
      <w:r>
        <w:rPr>
          <w:rFonts w:hint="eastAsia" w:ascii="宋体" w:hAnsi="宋体" w:eastAsia="宋体" w:cs="宋体"/>
          <w:color w:val="auto"/>
          <w:sz w:val="24"/>
          <w:szCs w:val="24"/>
          <w:highlight w:val="none"/>
        </w:rPr>
        <w:t xml:space="preserve">。其他报价得分统一按照下列公式计算（计算结果四舍五入，保留两位小数）：</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报价得分=（评标基准价/有效</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%×100</w:t>
      </w:r>
      <w:r/>
    </w:p>
    <w:p>
      <w:pPr>
        <w:numPr>
          <w:ilvl w:val="0"/>
          <w:numId w:val="4"/>
        </w:num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技术部分：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45</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分</w:t>
      </w:r>
      <w:r/>
    </w:p>
    <w:tbl>
      <w:tblPr>
        <w:tblStyle w:val="9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2220"/>
        <w:gridCol w:w="5590"/>
        <w:gridCol w:w="1262"/>
      </w:tblGrid>
      <w:tr>
        <w:trPr>
          <w:jc w:val="center"/>
        </w:trPr>
        <w:tc>
          <w:tcPr>
            <w:tcW w:w="782"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2220"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评分项名称</w:t>
            </w:r>
            <w:r/>
          </w:p>
        </w:tc>
        <w:tc>
          <w:tcPr>
            <w:tcW w:w="5590"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1262"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Pr>
        <w:tc>
          <w:tcPr>
            <w:tcW w:w="782"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tcW w:w="222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系统方案、实施能力与保障措施</w:t>
            </w:r>
            <w:r>
              <w:rPr>
                <w:rFonts w:hint="eastAsia" w:ascii="宋体" w:hAnsi="宋体" w:eastAsia="宋体" w:cs="宋体"/>
                <w:b w:val="0"/>
                <w:bCs/>
                <w:color w:val="auto"/>
                <w:sz w:val="24"/>
                <w:szCs w:val="24"/>
                <w:highlight w:val="none"/>
                <w:lang w:val="en-US" w:eastAsia="zh-CN"/>
              </w:rPr>
              <w:t xml:space="preserve">1</w:t>
            </w:r>
            <w:r/>
          </w:p>
        </w:tc>
        <w:tc>
          <w:tcPr>
            <w:tcW w:w="5590" w:type="dxa"/>
            <w:vAlign w:val="center"/>
            <w:textDirection w:val="lrTb"/>
            <w:noWrap w:val="false"/>
          </w:tcPr>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单位需对苏州市教育质量监测中心数据测评工作充分理解，服务方案需包含：1.监测服务定位与目标；2.数据处理工作流程；3.数据对接与核查；4.数据清理计算；5.报告模板定制；6.报告修订与交付；7.数据归档与整合。</w:t>
            </w:r>
            <w:r/>
          </w:p>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上述每项应逐条叙述，内容完整，条理清晰的得2分；内容基本完整，条理较为清晰的得1分；每项叙述内容完全脱离采购需求或未作完整叙述的不得分。本项最高得14分。</w:t>
            </w:r>
            <w:r/>
          </w:p>
        </w:tc>
        <w:tc>
          <w:tcPr>
            <w:tcW w:w="1262"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14</w:t>
            </w:r>
            <w:r/>
          </w:p>
        </w:tc>
      </w:tr>
      <w:tr>
        <w:trPr>
          <w:jc w:val="center"/>
        </w:trPr>
        <w:tc>
          <w:tcPr>
            <w:tcW w:w="782"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c>
          <w:tcPr>
            <w:tcW w:w="222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系统方案、实施能力与保障措施</w:t>
            </w:r>
            <w:r>
              <w:rPr>
                <w:rFonts w:hint="eastAsia" w:ascii="宋体" w:hAnsi="宋体" w:eastAsia="宋体" w:cs="宋体"/>
                <w:b w:val="0"/>
                <w:bCs/>
                <w:color w:val="auto"/>
                <w:sz w:val="24"/>
                <w:szCs w:val="24"/>
                <w:highlight w:val="none"/>
                <w:lang w:val="en-US" w:eastAsia="zh-CN"/>
              </w:rPr>
              <w:t xml:space="preserve">2</w:t>
            </w:r>
            <w:r/>
          </w:p>
        </w:tc>
        <w:tc>
          <w:tcPr>
            <w:tcW w:w="5590" w:type="dxa"/>
            <w:vAlign w:val="center"/>
            <w:textDirection w:val="lrTb"/>
            <w:noWrap w:val="false"/>
          </w:tcPr>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为确保监测项目服务质量高、准确性高、时效性强，投标单位服务方案需包含服务保障计划，内容包括：1.专业实施团队人员安排；2.实施保障流程规范；3.安全保障规范；4.工作进度管理规范；5.应急处理规范。</w:t>
            </w:r>
            <w:r/>
          </w:p>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上述每项应逐条叙述，内容完整，条理清晰的得2分；内容基本完整，条理较为清晰的得1分；每项叙述内容完全脱离采购需求或未作完整叙述的不得分。本项最高得10分。</w:t>
            </w:r>
            <w:r/>
          </w:p>
        </w:tc>
        <w:tc>
          <w:tcPr>
            <w:tcW w:w="1262"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w:t>
            </w:r>
            <w:r/>
          </w:p>
        </w:tc>
      </w:tr>
      <w:tr>
        <w:trPr>
          <w:jc w:val="center"/>
        </w:trPr>
        <w:tc>
          <w:tcPr>
            <w:tcW w:w="782"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p>
        </w:tc>
        <w:tc>
          <w:tcPr>
            <w:tcW w:w="222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监测报告模板比较</w:t>
            </w:r>
            <w:r/>
          </w:p>
        </w:tc>
        <w:tc>
          <w:tcPr>
            <w:tcW w:w="5590" w:type="dxa"/>
            <w:vAlign w:val="center"/>
            <w:textDirection w:val="lrTb"/>
            <w:noWrap w:val="false"/>
          </w:tcPr>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根据投标单位对教育质量监测数据处理和可视化呈现的能力，需提供一份教育质量监测类分析报告的模板，内容不限于大市、区域或学校的监测分析，由专家对报告模板进行综合评价。</w:t>
            </w:r>
            <w:r/>
          </w:p>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（1）报告整体框架的搭建结构</w:t>
            </w:r>
            <w:r/>
          </w:p>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（2）内容文字组织的准确流畅度</w:t>
            </w:r>
            <w:r/>
          </w:p>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（3）监测工具运用的合理性</w:t>
            </w:r>
            <w:r/>
          </w:p>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（4）数据分析方法的科学性</w:t>
            </w:r>
            <w:r/>
          </w:p>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（5）报告图表的展呈方式及美观程度</w:t>
            </w:r>
            <w:r/>
          </w:p>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上述每项应逐条叙述，内容完整，条理清晰的得3分；内容基本完整，条理较为清晰的得1.5分；每项叙述内容完全脱离采购需求或未作完整叙述的不得分。本项最高得15分。</w:t>
            </w:r>
            <w:r/>
          </w:p>
        </w:tc>
        <w:tc>
          <w:tcPr>
            <w:tcW w:w="1262" w:type="dxa"/>
            <w:vAlign w:val="center"/>
            <w:textDirection w:val="lrTb"/>
            <w:noWrap w:val="false"/>
          </w:tcPr>
          <w:p>
            <w:pPr>
              <w:jc w:val="center"/>
              <w:spacing w:line="24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15</w:t>
            </w:r>
            <w:r/>
          </w:p>
        </w:tc>
      </w:tr>
      <w:tr>
        <w:trPr>
          <w:jc w:val="center"/>
        </w:trPr>
        <w:tc>
          <w:tcPr>
            <w:tcW w:w="782"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p>
        </w:tc>
        <w:tc>
          <w:tcPr>
            <w:tcW w:w="222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内部管理制度的完整性</w:t>
            </w:r>
            <w:r/>
          </w:p>
        </w:tc>
        <w:tc>
          <w:tcPr>
            <w:tcW w:w="5590" w:type="dxa"/>
            <w:vAlign w:val="center"/>
            <w:textDirection w:val="lrTb"/>
            <w:noWrap w:val="false"/>
          </w:tcPr>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（1）项目服务协调沟通、及时处理反馈管理制度</w:t>
            </w:r>
            <w:r/>
          </w:p>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（2）项目服务保密管理制度</w:t>
            </w:r>
            <w:r/>
          </w:p>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上述每项应逐条叙述，内容完整，条理清晰的得3分；内容基本完整，条理较为清晰的得1.5分；每项叙述内容完全脱离采购需求或未作完整叙述的不得分。本项最高得6分。</w:t>
            </w:r>
            <w:r/>
          </w:p>
        </w:tc>
        <w:tc>
          <w:tcPr>
            <w:tcW w:w="1262"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p>
        </w:tc>
      </w:tr>
    </w:tbl>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（三）商务部分：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25</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分</w:t>
      </w:r>
      <w:r/>
    </w:p>
    <w:tbl>
      <w:tblPr>
        <w:tblStyle w:val="9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2220"/>
        <w:gridCol w:w="5210"/>
        <w:gridCol w:w="1642"/>
      </w:tblGrid>
      <w:tr>
        <w:trPr>
          <w:jc w:val="center"/>
        </w:trPr>
        <w:tc>
          <w:tcPr>
            <w:tcW w:w="782"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2220"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评分项名称</w:t>
            </w:r>
            <w:r/>
          </w:p>
        </w:tc>
        <w:tc>
          <w:tcPr>
            <w:tcW w:w="5210"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1642" w:type="dxa"/>
            <w:vAlign w:val="center"/>
            <w:textDirection w:val="lrTb"/>
            <w:noWrap w:val="false"/>
          </w:tcPr>
          <w:p>
            <w:pPr>
              <w:jc w:val="center"/>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Pr>
        <w:tc>
          <w:tcPr>
            <w:tcW w:w="782"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tcW w:w="222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企业综合能力</w:t>
            </w:r>
            <w:r/>
          </w:p>
        </w:tc>
        <w:tc>
          <w:tcPr>
            <w:tcW w:w="5210" w:type="dxa"/>
            <w:vAlign w:val="center"/>
            <w:textDirection w:val="lrTb"/>
            <w:noWrap w:val="false"/>
          </w:tcPr>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投标单位具有教育质量监测相关软件系统的开发及使用经验，提供相应系统软件著作权登记证书，每提供一个证书得1分。本项最高得4分。</w:t>
            </w:r>
            <w:r/>
          </w:p>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注：投标文件中需提供相关登记证书电子版加盖投标单位公章，</w:t>
            </w:r>
            <w:r>
              <w:rPr>
                <w:rFonts w:hint="eastAsia" w:ascii="宋体" w:hAnsi="宋体" w:eastAsia="宋体" w:cs="宋体"/>
                <w:b w:val="0"/>
                <w:bCs/>
                <w:color w:val="auto"/>
                <w:sz w:val="24"/>
                <w:szCs w:val="24"/>
                <w:highlight w:val="none"/>
                <w:lang w:val="en-US" w:eastAsia="zh-CN"/>
              </w:rPr>
              <w:t xml:space="preserve">否则</w:t>
            </w:r>
            <w:r>
              <w:rPr>
                <w:rFonts w:hint="eastAsia" w:ascii="宋体" w:hAnsi="宋体" w:eastAsia="宋体" w:cs="宋体"/>
                <w:b w:val="0"/>
                <w:bCs/>
                <w:color w:val="auto"/>
                <w:sz w:val="24"/>
                <w:szCs w:val="24"/>
                <w:highlight w:val="none"/>
              </w:rPr>
              <w:t xml:space="preserve">不得分。</w:t>
            </w:r>
            <w:r/>
          </w:p>
        </w:tc>
        <w:tc>
          <w:tcPr>
            <w:tcW w:w="1642"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w:t>
            </w:r>
            <w:r/>
          </w:p>
        </w:tc>
      </w:tr>
      <w:tr>
        <w:trPr>
          <w:jc w:val="center"/>
        </w:trPr>
        <w:tc>
          <w:tcPr>
            <w:tcW w:w="782"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p>
        </w:tc>
        <w:tc>
          <w:tcPr>
            <w:tcW w:w="222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项目团队专职数据处理团队配备</w:t>
            </w:r>
            <w:r/>
          </w:p>
        </w:tc>
        <w:tc>
          <w:tcPr>
            <w:tcW w:w="5210" w:type="dxa"/>
            <w:vAlign w:val="center"/>
            <w:textDirection w:val="lrTb"/>
            <w:noWrap w:val="false"/>
          </w:tcPr>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投标单位提供的专职数据处理团队，在满足采购需求中最低人员要求（4人）的基础上，每多增加1名人员得3分，最高得6分。</w:t>
            </w:r>
            <w:r/>
          </w:p>
          <w:p>
            <w:pPr>
              <w:jc w:val="left"/>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注：投标文件内需提供身份证扫描件、有效证书复印件、投标单位为其缴纳的最新一期社保证明资料复印件并加盖投标单位公章，否则不得分</w:t>
            </w:r>
            <w:r>
              <w:rPr>
                <w:rFonts w:hint="eastAsia" w:ascii="宋体" w:hAnsi="宋体" w:eastAsia="宋体" w:cs="宋体"/>
                <w:b w:val="0"/>
                <w:bCs/>
                <w:color w:val="auto"/>
                <w:sz w:val="24"/>
                <w:szCs w:val="24"/>
                <w:highlight w:val="none"/>
                <w:lang w:eastAsia="zh-CN"/>
              </w:rPr>
              <w:t xml:space="preserve">。</w:t>
            </w:r>
            <w:r/>
          </w:p>
        </w:tc>
        <w:tc>
          <w:tcPr>
            <w:tcW w:w="1642"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p>
        </w:tc>
      </w:tr>
      <w:tr>
        <w:trPr>
          <w:jc w:val="center"/>
        </w:trPr>
        <w:tc>
          <w:tcPr>
            <w:tcW w:w="782"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p>
        </w:tc>
        <w:tc>
          <w:tcPr>
            <w:tcW w:w="222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项目团队相关配置</w:t>
            </w:r>
            <w:r/>
          </w:p>
        </w:tc>
        <w:tc>
          <w:tcPr>
            <w:tcW w:w="5210" w:type="dxa"/>
            <w:vAlign w:val="center"/>
            <w:textDirection w:val="lrTb"/>
            <w:noWrap w:val="false"/>
          </w:tcPr>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因采购方项目实施涉及学科数据等值、相关因素信效度分析、回归分析等数据分析方法，项目组内至少配置专业为教育测量或教育心理类似学科的硕士研究生及以上学历1人，得3分，最高得3分，不提供不得分。</w:t>
            </w:r>
            <w:r/>
          </w:p>
          <w:p>
            <w:pPr>
              <w:jc w:val="left"/>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注：投标文件内需提供</w:t>
            </w:r>
            <w:bookmarkStart w:id="86" w:name="OLE_LINK43"/>
            <w:r>
              <w:rPr>
                <w:rFonts w:hint="eastAsia" w:ascii="宋体" w:hAnsi="宋体" w:eastAsia="宋体" w:cs="宋体"/>
                <w:b w:val="0"/>
                <w:bCs/>
                <w:color w:val="auto"/>
                <w:sz w:val="24"/>
                <w:szCs w:val="24"/>
                <w:highlight w:val="none"/>
              </w:rPr>
              <w:t xml:space="preserve">身份证扫描件</w:t>
            </w:r>
            <w:bookmarkEnd w:id="86"/>
            <w:r>
              <w:rPr>
                <w:rFonts w:hint="eastAsia" w:ascii="宋体" w:hAnsi="宋体" w:eastAsia="宋体" w:cs="宋体"/>
                <w:b w:val="0"/>
                <w:bCs/>
                <w:color w:val="auto"/>
                <w:sz w:val="24"/>
                <w:szCs w:val="24"/>
                <w:highlight w:val="none"/>
              </w:rPr>
              <w:t xml:space="preserve">、有效证书复印件、投标单位为其缴纳的最新一期社保证明资料复印件并加盖投标单位公章，否则不得分</w:t>
            </w:r>
            <w:r>
              <w:rPr>
                <w:rFonts w:hint="eastAsia" w:ascii="宋体" w:hAnsi="宋体" w:eastAsia="宋体" w:cs="宋体"/>
                <w:b w:val="0"/>
                <w:bCs/>
                <w:color w:val="auto"/>
                <w:sz w:val="24"/>
                <w:szCs w:val="24"/>
                <w:highlight w:val="none"/>
                <w:lang w:eastAsia="zh-CN"/>
              </w:rPr>
              <w:t xml:space="preserve">。</w:t>
            </w:r>
            <w:r/>
          </w:p>
        </w:tc>
        <w:tc>
          <w:tcPr>
            <w:tcW w:w="1642"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w:t>
            </w:r>
            <w:r/>
          </w:p>
        </w:tc>
      </w:tr>
      <w:tr>
        <w:trPr>
          <w:jc w:val="center"/>
        </w:trPr>
        <w:tc>
          <w:tcPr>
            <w:tcW w:w="782"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p>
        </w:tc>
        <w:tc>
          <w:tcPr>
            <w:tcW w:w="222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项目实施驻点要求</w:t>
            </w:r>
            <w:r/>
          </w:p>
        </w:tc>
        <w:tc>
          <w:tcPr>
            <w:tcW w:w="5210" w:type="dxa"/>
            <w:vAlign w:val="center"/>
            <w:textDirection w:val="lrTb"/>
            <w:noWrap w:val="false"/>
          </w:tcPr>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项目团队视采购方项目实施需求，提供现场驻点服务，具体现场驻点时间以采购方需求为准，最长不超过项目完整实施周期。现场驻点人数满2人得3分，每多1人加3分；现场驻点服务</w:t>
            </w:r>
            <w:r>
              <w:rPr>
                <w:rFonts w:hint="eastAsia" w:ascii="宋体" w:hAnsi="宋体" w:eastAsia="宋体" w:cs="宋体"/>
                <w:b w:val="0"/>
                <w:bCs/>
                <w:color w:val="auto"/>
                <w:sz w:val="24"/>
                <w:szCs w:val="24"/>
                <w:highlight w:val="none"/>
                <w:lang w:val="en-US" w:eastAsia="zh-CN"/>
              </w:rPr>
              <w:t xml:space="preserve">仅</w:t>
            </w:r>
            <w:r>
              <w:rPr>
                <w:rFonts w:hint="eastAsia" w:ascii="宋体" w:hAnsi="宋体" w:eastAsia="宋体" w:cs="宋体"/>
                <w:b w:val="0"/>
                <w:bCs/>
                <w:color w:val="auto"/>
                <w:sz w:val="24"/>
                <w:szCs w:val="24"/>
                <w:highlight w:val="none"/>
              </w:rPr>
              <w:t xml:space="preserve">满足甲方</w:t>
            </w:r>
            <w:r>
              <w:rPr>
                <w:rFonts w:hint="eastAsia" w:ascii="宋体" w:hAnsi="宋体" w:eastAsia="宋体" w:cs="宋体"/>
                <w:b w:val="0"/>
                <w:bCs/>
                <w:color w:val="auto"/>
                <w:sz w:val="24"/>
                <w:szCs w:val="24"/>
                <w:highlight w:val="none"/>
                <w:lang w:val="en-US" w:eastAsia="zh-CN"/>
              </w:rPr>
              <w:t xml:space="preserve">基本</w:t>
            </w:r>
            <w:r>
              <w:rPr>
                <w:rFonts w:hint="eastAsia" w:ascii="宋体" w:hAnsi="宋体" w:eastAsia="宋体" w:cs="宋体"/>
                <w:b w:val="0"/>
                <w:bCs/>
                <w:color w:val="auto"/>
                <w:sz w:val="24"/>
                <w:szCs w:val="24"/>
                <w:highlight w:val="none"/>
              </w:rPr>
              <w:t xml:space="preserve">需求的，不得分。本项最高得6分。</w:t>
            </w:r>
            <w:r/>
          </w:p>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注：需提供项目实施驻点要求承诺书（格式自拟），并加盖投标单位公章，否则不得分</w:t>
            </w:r>
            <w:r>
              <w:rPr>
                <w:rFonts w:hint="eastAsia" w:ascii="宋体" w:hAnsi="宋体" w:eastAsia="宋体" w:cs="宋体"/>
                <w:b w:val="0"/>
                <w:bCs/>
                <w:color w:val="auto"/>
                <w:sz w:val="24"/>
                <w:szCs w:val="24"/>
                <w:highlight w:val="none"/>
                <w:lang w:eastAsia="zh-CN"/>
              </w:rPr>
              <w:t xml:space="preserve">。</w:t>
            </w:r>
            <w:r/>
          </w:p>
        </w:tc>
        <w:tc>
          <w:tcPr>
            <w:tcW w:w="1642"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p>
        </w:tc>
      </w:tr>
      <w:tr>
        <w:trPr>
          <w:jc w:val="center"/>
        </w:trPr>
        <w:tc>
          <w:tcPr>
            <w:tcW w:w="782"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p>
        </w:tc>
        <w:tc>
          <w:tcPr>
            <w:tcW w:w="2220"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履约能力</w:t>
            </w:r>
            <w:r/>
          </w:p>
        </w:tc>
        <w:tc>
          <w:tcPr>
            <w:tcW w:w="5210" w:type="dxa"/>
            <w:vAlign w:val="center"/>
            <w:textDirection w:val="lrTb"/>
            <w:noWrap w:val="false"/>
          </w:tcPr>
          <w:p>
            <w:pPr>
              <w:jc w:val="left"/>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投标单位提供202</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年1月1日以来承担的类似项目业绩，每提供一个案例得2分，最高6分。</w:t>
            </w:r>
            <w:r/>
          </w:p>
          <w:p>
            <w:pPr>
              <w:jc w:val="left"/>
              <w:spacing w:line="24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注：投标文件中需提供</w:t>
            </w:r>
            <w:r>
              <w:rPr>
                <w:rFonts w:hint="eastAsia" w:ascii="宋体" w:hAnsi="宋体" w:eastAsia="宋体" w:cs="宋体"/>
                <w:b w:val="0"/>
                <w:bCs/>
                <w:color w:val="auto"/>
                <w:sz w:val="24"/>
                <w:szCs w:val="24"/>
                <w:highlight w:val="none"/>
                <w:lang w:val="en-US" w:eastAsia="zh-CN"/>
              </w:rPr>
              <w:t xml:space="preserve">完整</w:t>
            </w:r>
            <w:r>
              <w:rPr>
                <w:rFonts w:hint="eastAsia" w:ascii="宋体" w:hAnsi="宋体" w:eastAsia="宋体" w:cs="宋体"/>
                <w:b w:val="0"/>
                <w:bCs/>
                <w:color w:val="auto"/>
                <w:sz w:val="24"/>
                <w:szCs w:val="24"/>
                <w:highlight w:val="none"/>
              </w:rPr>
              <w:t xml:space="preserve">合同复印件及任意一期发票复印件并加盖投标单位公章，否则不得分。类似业绩日期认定：以签订合同日期为准</w:t>
            </w:r>
            <w:r>
              <w:rPr>
                <w:rFonts w:hint="eastAsia" w:ascii="宋体" w:hAnsi="宋体" w:eastAsia="宋体" w:cs="宋体"/>
                <w:b w:val="0"/>
                <w:bCs/>
                <w:color w:val="auto"/>
                <w:sz w:val="24"/>
                <w:szCs w:val="24"/>
                <w:highlight w:val="none"/>
                <w:lang w:eastAsia="zh-CN"/>
              </w:rPr>
              <w:t xml:space="preserve">。</w:t>
            </w:r>
            <w:r/>
          </w:p>
        </w:tc>
        <w:tc>
          <w:tcPr>
            <w:tcW w:w="1642" w:type="dxa"/>
            <w:vAlign w:val="center"/>
            <w:textDirection w:val="lrTb"/>
            <w:noWrap w:val="false"/>
          </w:tcPr>
          <w:p>
            <w:pPr>
              <w:jc w:val="center"/>
              <w:spacing w:line="24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p>
        </w:tc>
      </w:tr>
    </w:tbl>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针对评分标准中评分的每一条，供应商在</w:t>
      </w:r>
      <w:r>
        <w:rPr>
          <w:rFonts w:hint="eastAsia" w:ascii="宋体" w:hAnsi="宋体" w:eastAsia="宋体" w:cs="宋体"/>
          <w:b/>
          <w:bCs/>
          <w:color w:val="auto"/>
          <w:sz w:val="24"/>
          <w:szCs w:val="24"/>
          <w:highlight w:val="none"/>
          <w:lang w:eastAsia="zh-CN"/>
        </w:rPr>
        <w:t xml:space="preserve">投标（响应）</w:t>
      </w:r>
      <w:r>
        <w:rPr>
          <w:rFonts w:hint="eastAsia" w:ascii="宋体" w:hAnsi="宋体" w:eastAsia="宋体" w:cs="宋体"/>
          <w:b/>
          <w:bCs/>
          <w:color w:val="auto"/>
          <w:sz w:val="24"/>
          <w:szCs w:val="24"/>
          <w:highlight w:val="none"/>
        </w:rPr>
        <w:t xml:space="preserve">文件中均应提供相关资料的清晰扫描件并作出相应说明供评委评判，未提供或提供不完整的视为不具备该项得分的条件。</w:t>
      </w:r>
      <w:r/>
    </w:p>
    <w:p>
      <w:pPr>
        <w:ind w:firstLine="480"/>
        <w:spacing w:line="360" w:lineRule="auto"/>
        <w:rPr>
          <w:rFonts w:hint="eastAsia" w:ascii="宋体" w:hAnsi="宋体" w:eastAsia="宋体" w:cs="宋体"/>
          <w:color w:val="auto"/>
          <w:sz w:val="24"/>
          <w:szCs w:val="24"/>
          <w:highlight w:val="none"/>
        </w:rPr>
      </w:pPr>
      <w:r/>
      <w:bookmarkStart w:id="87" w:name="_Toc48723925"/>
      <w:r/>
      <w:bookmarkStart w:id="88" w:name="_Toc105940243"/>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ind w:firstLine="482"/>
        <w:spacing w:line="360" w:lineRule="auto"/>
        <w:rPr>
          <w:rFonts w:hint="eastAsia" w:ascii="宋体" w:hAnsi="宋体" w:eastAsia="宋体" w:cs="宋体"/>
          <w:b/>
          <w:color w:val="auto"/>
          <w:szCs w:val="21"/>
          <w:highlight w:val="none"/>
          <w:lang w:val="en-US" w:eastAsia="zh-CN"/>
        </w:rPr>
        <w:outlineLvl w:val="1"/>
      </w:pPr>
      <w:r>
        <w:rPr>
          <w:rFonts w:hint="eastAsia" w:ascii="宋体" w:hAnsi="宋体" w:eastAsia="宋体" w:cs="宋体"/>
          <w:b/>
          <w:bCs/>
          <w:color w:val="auto"/>
          <w:sz w:val="24"/>
          <w:szCs w:val="24"/>
          <w:highlight w:val="none"/>
        </w:rPr>
        <w:t xml:space="preserve">三、政府采购政策</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如有</w:t>
      </w:r>
      <w:r>
        <w:rPr>
          <w:rFonts w:hint="eastAsia" w:ascii="宋体" w:hAnsi="宋体" w:eastAsia="宋体" w:cs="宋体"/>
          <w:b/>
          <w:bCs/>
          <w:color w:val="auto"/>
          <w:sz w:val="24"/>
          <w:szCs w:val="24"/>
          <w:highlight w:val="none"/>
          <w:lang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（一）支持本国产品政策</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1、根据</w:t>
      </w:r>
      <w:r>
        <w:rPr>
          <w:rFonts w:hint="eastAsia" w:ascii="宋体" w:hAnsi="宋体" w:eastAsia="宋体" w:cs="宋体"/>
          <w:b w:val="0"/>
          <w:bCs w:val="0"/>
          <w:color w:val="auto"/>
          <w:sz w:val="24"/>
          <w:szCs w:val="24"/>
          <w:highlight w:val="none"/>
          <w:lang w:val="zh-CN"/>
        </w:rPr>
        <w:t xml:space="preserve">《国务院办公厅关于在政府采购中实施本国产品标准及相关政策的通知》</w:t>
      </w:r>
      <w:bookmarkStart w:id="89" w:name="OLE_LINK13"/>
      <w:r>
        <w:rPr>
          <w:rFonts w:hint="eastAsia" w:ascii="宋体" w:hAnsi="宋体" w:eastAsia="宋体" w:cs="宋体"/>
          <w:b w:val="0"/>
          <w:bCs w:val="0"/>
          <w:color w:val="auto"/>
          <w:sz w:val="24"/>
          <w:szCs w:val="24"/>
          <w:highlight w:val="none"/>
          <w:lang w:val="zh-CN"/>
        </w:rPr>
        <w:t xml:space="preserve">（国办发［2025］34号）</w:t>
      </w:r>
      <w:bookmarkEnd w:id="89"/>
      <w:r>
        <w:rPr>
          <w:rFonts w:hint="eastAsia" w:ascii="宋体" w:hAnsi="宋体" w:eastAsia="宋体" w:cs="宋体"/>
          <w:b w:val="0"/>
          <w:bCs w:val="0"/>
          <w:color w:val="auto"/>
          <w:sz w:val="24"/>
          <w:szCs w:val="24"/>
          <w:highlight w:val="none"/>
          <w:lang w:val="zh-CN"/>
        </w:rPr>
        <w:t xml:space="preserve">（以下简称“本国产品扶持政策”）的规定，</w:t>
      </w:r>
      <w:r>
        <w:rPr>
          <w:rFonts w:hint="eastAsia" w:ascii="宋体" w:hAnsi="宋体" w:eastAsia="宋体" w:cs="宋体"/>
          <w:b w:val="0"/>
          <w:bCs w:val="0"/>
          <w:color w:val="auto"/>
          <w:sz w:val="24"/>
          <w:szCs w:val="24"/>
          <w:highlight w:val="none"/>
        </w:rPr>
        <w:t xml:space="preserve">既有本国产品又有非本国产品参与竞争的，依法对本国产品给予价格评审优惠，对本国产品的报价给予20%的价格扣除，用扣除后的价格参与评审。</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未填写比例数值，或比例数值未达到80%的，将不享受本国产品价格评审优惠。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3、本国产品标准的适用范围</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4、供应商应当提供符合</w:t>
      </w:r>
      <w:r>
        <w:rPr>
          <w:rFonts w:hint="eastAsia" w:ascii="宋体" w:hAnsi="宋体" w:eastAsia="宋体" w:cs="宋体"/>
          <w:b w:val="0"/>
          <w:bCs w:val="0"/>
          <w:color w:val="auto"/>
          <w:sz w:val="24"/>
          <w:szCs w:val="24"/>
          <w:highlight w:val="none"/>
          <w:lang w:val="zh-CN"/>
        </w:rPr>
        <w:t xml:space="preserve">本国产品扶持政策</w:t>
      </w:r>
      <w:r>
        <w:rPr>
          <w:rFonts w:hint="eastAsia" w:ascii="宋体" w:hAnsi="宋体" w:eastAsia="宋体" w:cs="宋体"/>
          <w:b w:val="0"/>
          <w:bCs w:val="0"/>
          <w:color w:val="auto"/>
          <w:sz w:val="24"/>
          <w:szCs w:val="24"/>
          <w:highlight w:val="none"/>
        </w:rPr>
        <w:t xml:space="preserve">附件规定的《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符合本国产品标准的声明函》（格式见第三章），或财政部会同有关部门规定的有关证明文件。供应商需在《</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多种产品采购时，还应提供《</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（格式见第三章）。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未按上述要求提供的，不享受本国产品扶持政策。</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5、评标过程中，如发现供应商在《</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内容含义不明确、同类事项与投标（响应）文件表述不一致或者有明显文字错误等情况的，评标委员会应当以书面形式要求供应商作出必要的澄清、说明或者补正。经澄清、说明或者补正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、若供应商提供虚假《</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虚假证明文件谋取中标、成交的，依照《中华人民共和国政府采购法》等法律法规规定追究相应责任。</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、供应商提供的《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符合本国产品标准的声明函》，或财政部会同有关部门规定的有关证明文件将随中标（成交）结果同时公告。</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（二）促进中小企业发展政策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90" w:name="_Hlk111647296"/>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1、在政府采购活动中，供应商提供的货物、工程或者服务符合下列情形的，享受本办法规定的中小企业扶持政策：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在货物采购项目中，供应商提供的货物既有中小企业制造货物，也有大型企业制造货物的，不享受本办法规定的中小企业扶持政策。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bookmarkEnd w:id="90"/>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2、本项目如属于</w:t>
      </w:r>
      <w:r>
        <w:rPr>
          <w:rFonts w:hint="eastAsia" w:ascii="宋体" w:hAnsi="宋体" w:eastAsia="宋体" w:cs="宋体"/>
          <w:b/>
          <w:color w:val="auto"/>
          <w:sz w:val="24"/>
          <w:szCs w:val="24"/>
          <w:highlight w:val="none"/>
        </w:rPr>
        <w:t xml:space="preserve">非专门面向中小企业采购</w:t>
      </w:r>
      <w:r>
        <w:rPr>
          <w:rFonts w:hint="eastAsia" w:ascii="宋体" w:hAnsi="宋体" w:eastAsia="宋体" w:cs="宋体"/>
          <w:color w:val="auto"/>
          <w:sz w:val="24"/>
          <w:szCs w:val="24"/>
          <w:highlight w:val="none"/>
        </w:rPr>
        <w:t xml:space="preserve">，对小微企业报价给予</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的扣除，用扣除后的价格参与评审。如扣除后的价格为最低价的，则作为评标基准价，中标（成交）金额则以实际投标（响应）报价为准。</w:t>
      </w:r>
      <w:r/>
    </w:p>
    <w:p>
      <w:pPr>
        <w:pStyle w:val="960"/>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w:t>
      </w:r>
      <w:bookmarkStart w:id="91" w:name="OLE_LINK8"/>
      <w:r/>
      <w:bookmarkStart w:id="92" w:name="OLE_LINK9"/>
      <w:r>
        <w:rPr>
          <w:rFonts w:hint="eastAsia" w:ascii="宋体" w:hAnsi="宋体" w:eastAsia="宋体" w:cs="宋体"/>
          <w:color w:val="auto"/>
          <w:sz w:val="24"/>
          <w:szCs w:val="24"/>
          <w:highlight w:val="none"/>
        </w:rPr>
        <w:t xml:space="preserve">接受供应商为联合体投标（响应）</w:t>
      </w:r>
      <w:bookmarkEnd w:id="91"/>
      <w:r/>
      <w:bookmarkEnd w:id="92"/>
      <w:r>
        <w:rPr>
          <w:rFonts w:hint="eastAsia" w:ascii="宋体" w:hAnsi="宋体" w:eastAsia="宋体" w:cs="宋体"/>
          <w:color w:val="auto"/>
          <w:sz w:val="24"/>
          <w:szCs w:val="24"/>
          <w:highlight w:val="none"/>
        </w:rPr>
        <w:t xml:space="preserve">，联合体各方均为小微企业的，对联合体报价在评审时给予</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的扣除，用扣除后的价格参与评审。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4、依据《政府采购促进中小企业发展管理办法》规定享受扶持政策获得政府采购合同的，小微企业不得将合同分包给大中型企业，中型企业不得将合同分包给大型企业。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5、供应商应当出具符合《政府采购促进中小企业发展管理办法》（财库〔2020〕46号）附件规定的《中小企业声明函》，否则不得享受相关中小企业扶持政策。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6、若供应商提供的《中小企业声明函》内容不实的，属于提供虚假材料谋取中标、成交，按政府采购相关规定处理并报请政府监管部门给予行政处罚。</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）残疾人福利性单位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）监狱企业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left="420"/>
        <w:spacing w:line="360" w:lineRule="auto"/>
        <w:rPr>
          <w:rFonts w:hint="eastAsia" w:ascii="宋体" w:hAnsi="宋体" w:eastAsia="宋体" w:cs="宋体"/>
          <w:color w:val="auto"/>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）绿色采购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1、根据苏财购【2019】10号文：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（1）本次采购产品中的</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属于《节能产品政府采购品目清单》范围内的强制采购产品，投标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文件中须提供认证机构出具的、处于有效期之内的节能产品认证证书，未提供或提供不全的将视响应文件为未实质性响应采购要求。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（2）本次采购产品中的</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属于《节能产品政府采购品目清单》范围内优先采购的产品，本次采购产品中的</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属于《环境标志产品政府采购品目清单》范围内优先采购的产品，供应商可提供由国家确定的认证机构出具的、处于有效期之内的节能产品、环境标志产品认证证书，</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（体现优先采购的措施）</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2、绿色采购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pStyle w:val="96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60"/>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keepNext/>
        <w:spacing w:before="340" w:after="330" w:line="360" w:lineRule="auto"/>
        <w:rPr>
          <w:rFonts w:hint="eastAsia" w:ascii="宋体" w:hAnsi="宋体" w:eastAsia="宋体" w:cs="宋体"/>
          <w:color w:val="auto"/>
          <w:highlight w:val="none"/>
        </w:rPr>
        <w:outlineLvl w:val="0"/>
      </w:pPr>
      <w:r>
        <w:rPr>
          <w:rFonts w:hint="eastAsia" w:ascii="宋体" w:hAnsi="宋体" w:eastAsia="宋体" w:cs="宋体"/>
          <w:b/>
          <w:color w:val="auto"/>
          <w:sz w:val="52"/>
          <w:szCs w:val="20"/>
          <w:highlight w:val="none"/>
          <w:shd w:val="clear" w:color="auto" w:fill="ffffff"/>
        </w:rPr>
        <w:t xml:space="preserve">第七章 附件</w:t>
      </w:r>
      <w:bookmarkEnd w:id="87"/>
      <w:r/>
      <w:bookmarkEnd w:id="88"/>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附件1：政府采购合同信用融资政策告知函</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
        </w:rPr>
        <w:t xml:space="preserve">附件2：中小企业</w:t>
      </w:r>
      <w:r>
        <w:rPr>
          <w:rFonts w:hint="eastAsia" w:ascii="宋体" w:hAnsi="宋体" w:eastAsia="宋体" w:cs="宋体"/>
          <w:b/>
          <w:bCs/>
          <w:color w:val="auto"/>
          <w:sz w:val="24"/>
          <w:szCs w:val="24"/>
          <w:highlight w:val="none"/>
        </w:rPr>
        <w:t xml:space="preserve">相关要求</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附件3：中小企业划型标准规定</w:t>
      </w:r>
      <w:r>
        <w:rPr>
          <w:rFonts w:hint="eastAsia" w:ascii="宋体" w:hAnsi="宋体" w:eastAsia="宋体" w:cs="宋体"/>
          <w:b/>
          <w:color w:val="auto"/>
          <w:sz w:val="24"/>
          <w:szCs w:val="24"/>
          <w:highlight w:val="none"/>
        </w:rPr>
        <w:t xml:space="preserve">（工信部联企业〔2011〕300号）</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附件1：</w:t>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8"/>
          <w:szCs w:val="24"/>
          <w:highlight w:val="none"/>
        </w:rPr>
        <w:t xml:space="preserve">政府采购合同信用融资政策告知函</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欢迎贵公司参加苏州市政府采购活动！</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1047"/>
        <w:ind w:firstLine="0"/>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附件2：</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
        </w:rPr>
        <w:t xml:space="preserve">中小企业</w:t>
      </w:r>
      <w:r>
        <w:rPr>
          <w:rFonts w:hint="eastAsia" w:ascii="宋体" w:hAnsi="宋体" w:eastAsia="宋体" w:cs="宋体"/>
          <w:b/>
          <w:bCs/>
          <w:color w:val="auto"/>
          <w:sz w:val="24"/>
          <w:szCs w:val="24"/>
          <w:highlight w:val="none"/>
        </w:rPr>
        <w:t xml:space="preserve">相关要求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1.在服务采购项目中，服务由中小企业承接，即提供服务的人员为中小企业依照《中华人民共和国劳动合同法》订立劳动合同的从业人员。</w:t>
      </w:r>
      <w:r>
        <w:rPr>
          <w:rFonts w:hint="eastAsia" w:ascii="宋体" w:hAnsi="宋体" w:eastAsia="宋体" w:cs="宋体"/>
          <w:b/>
          <w:color w:val="auto"/>
          <w:sz w:val="24"/>
          <w:szCs w:val="24"/>
          <w:highlight w:val="none"/>
        </w:rPr>
        <w:t xml:space="preserve">服务类项目中供应商若使用退休人员，将不享受相应扶持政策。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2.《中小企业声明函》中所填的行业应与本采购标的对应的中小企业划分标准所属行业一致，不一致的不可享受相应政策优惠。</w:t>
      </w:r>
      <w:r>
        <w:rPr>
          <w:rFonts w:hint="eastAsia" w:ascii="宋体" w:hAnsi="宋体" w:eastAsia="宋体" w:cs="宋体"/>
          <w:b/>
          <w:color w:val="auto"/>
          <w:sz w:val="24"/>
          <w:szCs w:val="24"/>
          <w:highlight w:val="none"/>
        </w:rPr>
        <w:t xml:space="preserve">本采购标的对应的中小企业划分标准所属行业，以采购文件中具体规定为准。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color w:val="auto"/>
          <w:sz w:val="24"/>
          <w:szCs w:val="24"/>
          <w:highlight w:val="none"/>
        </w:rPr>
        <w:t xml:space="preserve">如未在</w:t>
      </w:r>
      <w:r>
        <w:rPr>
          <w:rFonts w:hint="eastAsia" w:ascii="宋体" w:hAnsi="宋体" w:eastAsia="宋体" w:cs="宋体"/>
          <w:color w:val="auto"/>
          <w:sz w:val="24"/>
          <w:szCs w:val="24"/>
          <w:highlight w:val="none"/>
        </w:rPr>
        <w:t xml:space="preserve">《中小企业声明函》中填写注明具体企业类型</w:t>
      </w:r>
      <w:r>
        <w:rPr>
          <w:rFonts w:hint="eastAsia" w:ascii="宋体" w:hAnsi="宋体" w:eastAsia="宋体" w:cs="宋体"/>
          <w:b/>
          <w:color w:val="auto"/>
          <w:sz w:val="24"/>
          <w:szCs w:val="24"/>
          <w:highlight w:val="none"/>
        </w:rPr>
        <w:t xml:space="preserve">（中型企业、小型企业或微型企业），不视为中小微企业，不享受相应扶持政策</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中标（成交）</w:t>
      </w:r>
      <w:r>
        <w:rPr>
          <w:rFonts w:hint="eastAsia" w:ascii="宋体" w:hAnsi="宋体" w:eastAsia="宋体" w:cs="宋体"/>
          <w:color w:val="auto"/>
          <w:sz w:val="24"/>
          <w:szCs w:val="24"/>
          <w:highlight w:val="none"/>
        </w:rPr>
        <w:t xml:space="preserve">单位为中小企业的，《中小企业声明函》将随</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结果同时公告。</w:t>
      </w:r>
      <w:r/>
    </w:p>
    <w:p>
      <w:pPr>
        <w:ind w:firstLine="422"/>
        <w:keepLines w:val="0"/>
        <w:keepNext w:val="0"/>
        <w:pageBreakBefore w:val="0"/>
        <w:spacing w:line="360" w:lineRule="auto"/>
        <w:widowControl w:val="off"/>
        <w:rPr>
          <w:rFonts w:hint="eastAsia" w:ascii="宋体" w:hAnsi="宋体" w:eastAsia="宋体" w:cs="宋体"/>
          <w:b/>
          <w:color w:val="auto"/>
          <w:highlight w:val="none"/>
        </w:rPr>
        <w:outlineLvl w:val="9"/>
      </w:pPr>
      <w:r>
        <w:rPr>
          <w:rFonts w:hint="eastAsia" w:ascii="宋体" w:hAnsi="宋体" w:eastAsia="宋体" w:cs="宋体"/>
          <w:b/>
          <w:color w:val="auto"/>
          <w:highlight w:val="none"/>
        </w:rPr>
        <w:br w:type="page" w:clear="all"/>
      </w:r>
      <w:r/>
    </w:p>
    <w:p>
      <w:pPr>
        <w:pStyle w:val="1047"/>
        <w:ind w:firstLine="0"/>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附件3：</w:t>
      </w:r>
      <w:r/>
    </w:p>
    <w:p>
      <w:pPr>
        <w:pStyle w:val="1047"/>
        <w:ind w:firstLine="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中小企业划型标准规定</w:t>
      </w:r>
      <w:r>
        <w:rPr>
          <w:rFonts w:hint="eastAsia" w:ascii="宋体" w:hAnsi="宋体" w:eastAsia="宋体" w:cs="宋体"/>
          <w:b/>
          <w:color w:val="auto"/>
          <w:highlight w:val="none"/>
        </w:rPr>
        <w:t xml:space="preserve">（工信部联企业〔2011〕300号）</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（一）农、林、牧、渔业。</w:t>
      </w:r>
      <w:r>
        <w:rPr>
          <w:rFonts w:hint="eastAsia" w:ascii="宋体" w:hAnsi="宋体" w:eastAsia="宋体" w:cs="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（二）工业。</w:t>
      </w:r>
      <w:r>
        <w:rPr>
          <w:rFonts w:hint="eastAsia" w:ascii="宋体" w:hAnsi="宋体" w:eastAsia="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（三）建筑业。</w:t>
      </w:r>
      <w:r>
        <w:rPr>
          <w:rFonts w:hint="eastAsia" w:ascii="宋体" w:hAnsi="宋体" w:eastAsia="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（四）批发业。</w:t>
      </w:r>
      <w:r>
        <w:rPr>
          <w:rFonts w:hint="eastAsia" w:ascii="宋体" w:hAnsi="宋体" w:eastAsia="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（五）零售业。</w:t>
      </w:r>
      <w:r>
        <w:rPr>
          <w:rFonts w:hint="eastAsia" w:ascii="宋体" w:hAnsi="宋体" w:eastAsia="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（六）交通运输业。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（七）仓储业。</w:t>
      </w:r>
      <w:r>
        <w:rPr>
          <w:rFonts w:hint="eastAsia" w:ascii="宋体" w:hAnsi="宋体" w:eastAsia="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（八）邮政业。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（九）住宿业。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（十）餐饮业。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（十一）信息传输业。</w:t>
      </w:r>
      <w:r>
        <w:rPr>
          <w:rFonts w:hint="eastAsia" w:ascii="宋体" w:hAnsi="宋体" w:eastAsia="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（十二）软件和信息技术服务业。</w:t>
      </w:r>
      <w:r>
        <w:rPr>
          <w:rFonts w:hint="eastAsia" w:ascii="宋体" w:hAnsi="宋体" w:eastAsia="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（十三）房地产开发经营。</w:t>
      </w:r>
      <w:r>
        <w:rPr>
          <w:rFonts w:hint="eastAsia" w:ascii="宋体" w:hAnsi="宋体" w:eastAsia="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（十四）物业管理。</w:t>
      </w:r>
      <w:r>
        <w:rPr>
          <w:rFonts w:hint="eastAsia" w:ascii="宋体" w:hAnsi="宋体" w:eastAsia="宋体" w:cs="宋体"/>
          <w:color w:val="auto"/>
          <w:highlight w:val="none"/>
        </w:rPr>
        <w:t xml:space="preserve">从业人员1000人以下或营业收入5000万元以下的为中小微型企业。其中，从业人员</w:t>
      </w:r>
      <w:r/>
    </w:p>
    <w:p>
      <w:pPr>
        <w:ind w:firstLine="210"/>
        <w:spacing w:before="180" w:line="2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（十五）租赁和商务服务业。</w:t>
      </w:r>
      <w:r>
        <w:rPr>
          <w:rFonts w:hint="eastAsia" w:ascii="宋体" w:hAnsi="宋体" w:eastAsia="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（十六）其他未列明行业。</w:t>
      </w:r>
      <w:r>
        <w:rPr>
          <w:rFonts w:hint="eastAsia" w:ascii="宋体" w:hAnsi="宋体" w:eastAsia="宋体" w:cs="宋体"/>
          <w:color w:val="auto"/>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r>
      <w:r/>
    </w:p>
    <w:p>
      <w:pPr>
        <w:jc w:val="right"/>
        <w:rPr>
          <w:rFonts w:hint="eastAsia" w:ascii="宋体" w:hAnsi="宋体" w:eastAsia="宋体" w:cs="宋体"/>
          <w:b/>
          <w:bCs/>
          <w:color w:val="auto"/>
          <w:highlight w:val="none"/>
        </w:rPr>
      </w:pPr>
      <w:r>
        <w:rPr>
          <w:rFonts w:hint="eastAsia" w:ascii="宋体" w:hAnsi="宋体" w:eastAsia="宋体" w:cs="宋体"/>
          <w:b/>
          <w:bCs/>
          <w:color w:val="auto"/>
          <w:sz w:val="24"/>
          <w:szCs w:val="20"/>
          <w:highlight w:val="none"/>
          <w:shd w:val="clear" w:color="auto" w:fill="ffffff"/>
        </w:rPr>
        <w:t xml:space="preserve">（全文完）</w:t>
      </w:r>
      <w:r/>
    </w:p>
    <w:sectPr>
      <w:headerReference w:type="default" r:id="rId11"/>
      <w:footerReference w:type="default" r:id="rId14"/>
      <w:footnotePr/>
      <w:endnotePr/>
      <w:type w:val="nextPage"/>
      <w:pgSz w:w="11906" w:h="16838" w:orient="portrait"/>
      <w:pgMar w:top="1134" w:right="1134" w:bottom="1134" w:left="1134" w:header="851" w:footer="850"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980"/>
                          </w:pPr>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98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left" w:pos="4013" w:leader="none"/>
      </w:tabs>
      <w:rPr>
        <w:rFonts w:hint="eastAsia" w:ascii="宋体" w:hAnsi="宋体" w:eastAsia="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0"/>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jc w:val="left"/>
                          </w:pPr>
                          <w:r/>
                          <w:r/>
                        </w:p>
                        <w:p>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jc w:val="left"/>
                    </w:pPr>
                    <w:r/>
                    <w:r/>
                  </w:p>
                  <w:p>
                    <w:r/>
                    <w:r/>
                  </w:p>
                </w:txbxContent>
              </v:textbox>
            </v:shape>
          </w:pict>
        </mc:Fallback>
      </mc:AlternateContent>
    </w:r>
    <w:r>
      <w:rPr>
        <w:rFonts w:hint="eastAsia" w:ascii="宋体" w:hAnsi="宋体" w:eastAsia="宋体"/>
        <w:sz w:val="18"/>
        <w:szCs w:val="18"/>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rPr>
        <w:rFonts w:hint="eastAsia" w:ascii="宋体" w:hAnsi="宋体" w:eastAsia="宋体"/>
      </w:rPr>
    </w:pPr>
    <w:r>
      <w:rPr>
        <w:rFonts w:hint="eastAsia" w:ascii="宋体" w:hAnsi="宋体" w:eastAsia="宋体"/>
      </w:rPr>
      <w:t xml:space="preserve">政府采购招标文件                                                                     标号：XXX-XXX-XXX-XXX</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rPr>
        <w:rFonts w:hint="eastAsia" w:ascii="宋体" w:hAnsi="宋体" w:eastAsia="宋体"/>
        <w:lang w:eastAsia="zh-CN"/>
      </w:rPr>
    </w:pPr>
    <w:r>
      <w:rPr>
        <w:rFonts w:hint="eastAsia" w:ascii="宋体" w:hAnsi="宋体" w:eastAsia="宋体"/>
      </w:rPr>
      <w:t xml:space="preserve">政府采购招标文件                                                           标号：</w:t>
    </w:r>
    <w:r>
      <w:rPr>
        <w:rFonts w:hint="eastAsia" w:ascii="宋体" w:hAnsi="宋体" w:eastAsia="宋体"/>
        <w:lang w:eastAsia="zh-CN"/>
      </w:rPr>
      <w:t xml:space="preserve">JSZC-320500-SZCH-G2026-0020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1051"/>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2"/>
      <w:numFmt w:val="decimal"/>
      <w:pStyle w:val="1076"/>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0">
    <w:name w:val="Heading 1 Char"/>
    <w:basedOn w:val="958"/>
    <w:link w:val="952"/>
    <w:uiPriority w:val="9"/>
    <w:rPr>
      <w:rFonts w:ascii="Arial" w:hAnsi="Arial" w:eastAsia="Arial" w:cs="Arial"/>
      <w:sz w:val="40"/>
      <w:szCs w:val="40"/>
    </w:rPr>
  </w:style>
  <w:style w:type="character" w:styleId="801">
    <w:name w:val="Heading 2 Char"/>
    <w:basedOn w:val="958"/>
    <w:link w:val="953"/>
    <w:uiPriority w:val="9"/>
    <w:rPr>
      <w:rFonts w:ascii="Arial" w:hAnsi="Arial" w:eastAsia="Arial" w:cs="Arial"/>
      <w:sz w:val="34"/>
    </w:rPr>
  </w:style>
  <w:style w:type="character" w:styleId="802">
    <w:name w:val="Heading 3 Char"/>
    <w:basedOn w:val="958"/>
    <w:link w:val="954"/>
    <w:uiPriority w:val="9"/>
    <w:rPr>
      <w:rFonts w:ascii="Arial" w:hAnsi="Arial" w:eastAsia="Arial" w:cs="Arial"/>
      <w:sz w:val="30"/>
      <w:szCs w:val="30"/>
    </w:rPr>
  </w:style>
  <w:style w:type="character" w:styleId="803">
    <w:name w:val="Heading 4 Char"/>
    <w:basedOn w:val="958"/>
    <w:link w:val="955"/>
    <w:uiPriority w:val="9"/>
    <w:rPr>
      <w:rFonts w:ascii="Arial" w:hAnsi="Arial" w:eastAsia="Arial" w:cs="Arial"/>
      <w:b/>
      <w:bCs/>
      <w:sz w:val="26"/>
      <w:szCs w:val="26"/>
    </w:rPr>
  </w:style>
  <w:style w:type="character" w:styleId="804">
    <w:name w:val="Heading 5 Char"/>
    <w:basedOn w:val="958"/>
    <w:link w:val="956"/>
    <w:uiPriority w:val="9"/>
    <w:rPr>
      <w:rFonts w:ascii="Arial" w:hAnsi="Arial" w:eastAsia="Arial" w:cs="Arial"/>
      <w:b/>
      <w:bCs/>
      <w:sz w:val="24"/>
      <w:szCs w:val="24"/>
    </w:rPr>
  </w:style>
  <w:style w:type="character" w:styleId="805">
    <w:name w:val="Heading 6 Char"/>
    <w:basedOn w:val="958"/>
    <w:link w:val="957"/>
    <w:uiPriority w:val="9"/>
    <w:rPr>
      <w:rFonts w:ascii="Arial" w:hAnsi="Arial" w:eastAsia="Arial" w:cs="Arial"/>
      <w:b/>
      <w:bCs/>
      <w:sz w:val="22"/>
      <w:szCs w:val="22"/>
    </w:rPr>
  </w:style>
  <w:style w:type="paragraph" w:styleId="806">
    <w:name w:val="Heading 7"/>
    <w:basedOn w:val="951"/>
    <w:next w:val="951"/>
    <w:link w:val="807"/>
    <w:uiPriority w:val="9"/>
    <w:unhideWhenUsed/>
    <w:qFormat/>
    <w:pPr>
      <w:keepLines/>
      <w:keepNext/>
      <w:spacing w:before="320" w:after="200"/>
      <w:outlineLvl w:val="6"/>
    </w:pPr>
    <w:rPr>
      <w:rFonts w:ascii="Arial" w:hAnsi="Arial" w:eastAsia="Arial" w:cs="Arial"/>
      <w:b/>
      <w:bCs/>
      <w:i/>
      <w:iCs/>
      <w:sz w:val="22"/>
      <w:szCs w:val="22"/>
    </w:rPr>
  </w:style>
  <w:style w:type="character" w:styleId="807">
    <w:name w:val="Heading 7 Char"/>
    <w:basedOn w:val="958"/>
    <w:link w:val="806"/>
    <w:uiPriority w:val="9"/>
    <w:rPr>
      <w:rFonts w:ascii="Arial" w:hAnsi="Arial" w:eastAsia="Arial" w:cs="Arial"/>
      <w:b/>
      <w:bCs/>
      <w:i/>
      <w:iCs/>
      <w:sz w:val="22"/>
      <w:szCs w:val="22"/>
    </w:rPr>
  </w:style>
  <w:style w:type="paragraph" w:styleId="808">
    <w:name w:val="Heading 8"/>
    <w:basedOn w:val="951"/>
    <w:next w:val="951"/>
    <w:link w:val="809"/>
    <w:uiPriority w:val="9"/>
    <w:unhideWhenUsed/>
    <w:qFormat/>
    <w:pPr>
      <w:keepLines/>
      <w:keepNext/>
      <w:spacing w:before="320" w:after="200"/>
      <w:outlineLvl w:val="7"/>
    </w:pPr>
    <w:rPr>
      <w:rFonts w:ascii="Arial" w:hAnsi="Arial" w:eastAsia="Arial" w:cs="Arial"/>
      <w:i/>
      <w:iCs/>
      <w:sz w:val="22"/>
      <w:szCs w:val="22"/>
    </w:rPr>
  </w:style>
  <w:style w:type="character" w:styleId="809">
    <w:name w:val="Heading 8 Char"/>
    <w:basedOn w:val="958"/>
    <w:link w:val="808"/>
    <w:uiPriority w:val="9"/>
    <w:rPr>
      <w:rFonts w:ascii="Arial" w:hAnsi="Arial" w:eastAsia="Arial" w:cs="Arial"/>
      <w:i/>
      <w:iCs/>
      <w:sz w:val="22"/>
      <w:szCs w:val="22"/>
    </w:rPr>
  </w:style>
  <w:style w:type="paragraph" w:styleId="810">
    <w:name w:val="Heading 9"/>
    <w:basedOn w:val="951"/>
    <w:next w:val="951"/>
    <w:link w:val="811"/>
    <w:uiPriority w:val="9"/>
    <w:unhideWhenUsed/>
    <w:qFormat/>
    <w:pPr>
      <w:keepLines/>
      <w:keepNext/>
      <w:spacing w:before="320" w:after="200"/>
      <w:outlineLvl w:val="8"/>
    </w:pPr>
    <w:rPr>
      <w:rFonts w:ascii="Arial" w:hAnsi="Arial" w:eastAsia="Arial" w:cs="Arial"/>
      <w:i/>
      <w:iCs/>
      <w:sz w:val="21"/>
      <w:szCs w:val="21"/>
    </w:rPr>
  </w:style>
  <w:style w:type="character" w:styleId="811">
    <w:name w:val="Heading 9 Char"/>
    <w:basedOn w:val="958"/>
    <w:link w:val="810"/>
    <w:uiPriority w:val="9"/>
    <w:rPr>
      <w:rFonts w:ascii="Arial" w:hAnsi="Arial" w:eastAsia="Arial" w:cs="Arial"/>
      <w:i/>
      <w:iCs/>
      <w:sz w:val="21"/>
      <w:szCs w:val="21"/>
    </w:rPr>
  </w:style>
  <w:style w:type="paragraph" w:styleId="812">
    <w:name w:val="No Spacing"/>
    <w:uiPriority w:val="1"/>
    <w:qFormat/>
    <w:pPr>
      <w:spacing w:before="0" w:after="0" w:line="240" w:lineRule="auto"/>
    </w:pPr>
  </w:style>
  <w:style w:type="character" w:styleId="813">
    <w:name w:val="Title Char"/>
    <w:basedOn w:val="958"/>
    <w:link w:val="998"/>
    <w:uiPriority w:val="10"/>
    <w:rPr>
      <w:sz w:val="48"/>
      <w:szCs w:val="48"/>
    </w:rPr>
  </w:style>
  <w:style w:type="character" w:styleId="814">
    <w:name w:val="Subtitle Char"/>
    <w:basedOn w:val="958"/>
    <w:link w:val="986"/>
    <w:uiPriority w:val="11"/>
    <w:rPr>
      <w:sz w:val="24"/>
      <w:szCs w:val="24"/>
    </w:rPr>
  </w:style>
  <w:style w:type="paragraph" w:styleId="815">
    <w:name w:val="Quote"/>
    <w:basedOn w:val="951"/>
    <w:next w:val="951"/>
    <w:link w:val="816"/>
    <w:uiPriority w:val="29"/>
    <w:qFormat/>
    <w:pPr>
      <w:ind w:left="720" w:right="720"/>
    </w:pPr>
    <w:rPr>
      <w:i/>
    </w:rPr>
  </w:style>
  <w:style w:type="character" w:styleId="816">
    <w:name w:val="Quote Char"/>
    <w:link w:val="815"/>
    <w:uiPriority w:val="29"/>
    <w:rPr>
      <w:i/>
    </w:rPr>
  </w:style>
  <w:style w:type="paragraph" w:styleId="817">
    <w:name w:val="Intense Quote"/>
    <w:basedOn w:val="951"/>
    <w:next w:val="951"/>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name w:val="Intense Quote Char"/>
    <w:link w:val="817"/>
    <w:uiPriority w:val="30"/>
    <w:rPr>
      <w:i/>
    </w:rPr>
  </w:style>
  <w:style w:type="character" w:styleId="819">
    <w:name w:val="Header Char"/>
    <w:basedOn w:val="958"/>
    <w:link w:val="981"/>
    <w:uiPriority w:val="99"/>
  </w:style>
  <w:style w:type="character" w:styleId="820">
    <w:name w:val="Footer Char"/>
    <w:basedOn w:val="958"/>
    <w:link w:val="980"/>
    <w:uiPriority w:val="99"/>
  </w:style>
  <w:style w:type="paragraph" w:styleId="821">
    <w:name w:val="Caption"/>
    <w:basedOn w:val="951"/>
    <w:next w:val="951"/>
    <w:uiPriority w:val="35"/>
    <w:semiHidden/>
    <w:unhideWhenUsed/>
    <w:qFormat/>
    <w:pPr>
      <w:spacing w:line="276" w:lineRule="auto"/>
    </w:pPr>
    <w:rPr>
      <w:b/>
      <w:bCs/>
      <w:color w:val="4f81bd" w:themeColor="accent1"/>
      <w:sz w:val="18"/>
      <w:szCs w:val="18"/>
    </w:rPr>
  </w:style>
  <w:style w:type="character" w:styleId="822">
    <w:name w:val="Caption Char"/>
    <w:basedOn w:val="821"/>
    <w:link w:val="980"/>
    <w:uiPriority w:val="99"/>
  </w:style>
  <w:style w:type="table" w:styleId="823">
    <w:name w:val="Table Grid Light"/>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4">
    <w:name w:val="Plain Table 1"/>
    <w:basedOn w:val="9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2"/>
    <w:basedOn w:val="9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name w:val="Plain Table 3"/>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name w:val="Plain Table 4"/>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name w:val="Plain Table 5"/>
    <w:basedOn w:val="9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9">
    <w:name w:val="Grid Table 1 Light"/>
    <w:basedOn w:val="9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0">
    <w:name w:val="Grid Table 1 Light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1">
    <w:name w:val="Grid Table 1 Light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2">
    <w:name w:val="Grid Table 1 Light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3">
    <w:name w:val="Grid Table 1 Light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4">
    <w:name w:val="Grid Table 1 Light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5">
    <w:name w:val="Grid Table 1 Light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6">
    <w:name w:val="Grid Table 2"/>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7">
    <w:name w:val="Grid Table 2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8">
    <w:name w:val="Grid Table 2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2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2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2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2">
    <w:name w:val="Grid Table 2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3">
    <w:name w:val="Grid Table 3"/>
    <w:basedOn w:val="9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1"/>
    <w:basedOn w:val="9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2"/>
    <w:basedOn w:val="9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3"/>
    <w:basedOn w:val="9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4"/>
    <w:basedOn w:val="9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5"/>
    <w:basedOn w:val="9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6"/>
    <w:basedOn w:val="9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basedOn w:val="9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4 - Accent 1"/>
    <w:basedOn w:val="9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2">
    <w:name w:val="Grid Table 4 - Accent 2"/>
    <w:basedOn w:val="9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3">
    <w:name w:val="Grid Table 4 - Accent 3"/>
    <w:basedOn w:val="9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4">
    <w:name w:val="Grid Table 4 - Accent 4"/>
    <w:basedOn w:val="9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5">
    <w:name w:val="Grid Table 4 - Accent 5"/>
    <w:basedOn w:val="9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6">
    <w:name w:val="Grid Table 4 - Accent 6"/>
    <w:basedOn w:val="9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7">
    <w:name w:val="Grid Table 5 Dark"/>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5 Dark- Accent 1"/>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9">
    <w:name w:val="Grid Table 5 Dark - Accent 2"/>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0">
    <w:name w:val="Grid Table 5 Dark - Accent 3"/>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1">
    <w:name w:val="Grid Table 5 Dark- Accent 4"/>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2">
    <w:name w:val="Grid Table 5 Dark - Accent 5"/>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3">
    <w:name w:val="Grid Table 5 Dark - Accent 6"/>
    <w:basedOn w:val="9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4">
    <w:name w:val="Grid Table 6 Colorful"/>
    <w:basedOn w:val="9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5">
    <w:name w:val="Grid Table 6 Colorful - Accent 1"/>
    <w:basedOn w:val="9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6">
    <w:name w:val="Grid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7">
    <w:name w:val="Grid Table 6 Colorful - Accent 3"/>
    <w:basedOn w:val="9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8">
    <w:name w:val="Grid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9">
    <w:name w:val="Grid Table 6 Colorful - Accent 5"/>
    <w:basedOn w:val="9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0">
    <w:name w:val="Grid Table 6 Colorful - Accent 6"/>
    <w:basedOn w:val="9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1">
    <w:name w:val="Grid Table 7 Colorful"/>
    <w:basedOn w:val="9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2">
    <w:name w:val="Grid Table 7 Colorful - Accent 1"/>
    <w:basedOn w:val="9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3">
    <w:name w:val="Grid Table 7 Colorful - Accent 2"/>
    <w:basedOn w:val="9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4">
    <w:name w:val="Grid Table 7 Colorful - Accent 3"/>
    <w:basedOn w:val="9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5">
    <w:name w:val="Grid Table 7 Colorful - Accent 4"/>
    <w:basedOn w:val="9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6">
    <w:name w:val="Grid Table 7 Colorful - Accent 5"/>
    <w:basedOn w:val="9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7">
    <w:name w:val="Grid Table 7 Colorful - Accent 6"/>
    <w:basedOn w:val="9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8">
    <w:name w:val="List Table 1 Light"/>
    <w:basedOn w:val="9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name w:val="List Table 1 Light - Accent 1"/>
    <w:basedOn w:val="95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0">
    <w:name w:val="List Table 1 Light - Accent 2"/>
    <w:basedOn w:val="95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1">
    <w:name w:val="List Table 1 Light - Accent 3"/>
    <w:basedOn w:val="95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2">
    <w:name w:val="List Table 1 Light - Accent 4"/>
    <w:basedOn w:val="95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3">
    <w:name w:val="List Table 1 Light - Accent 5"/>
    <w:basedOn w:val="95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4">
    <w:name w:val="List Table 1 Light - Accent 6"/>
    <w:basedOn w:val="95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5">
    <w:name w:val="List Table 2"/>
    <w:basedOn w:val="9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6">
    <w:name w:val="List Table 2 - Accent 1"/>
    <w:basedOn w:val="9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7">
    <w:name w:val="List Table 2 - Accent 2"/>
    <w:basedOn w:val="9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8">
    <w:name w:val="List Table 2 - Accent 3"/>
    <w:basedOn w:val="9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9">
    <w:name w:val="List Table 2 - Accent 4"/>
    <w:basedOn w:val="9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0">
    <w:name w:val="List Table 2 - Accent 5"/>
    <w:basedOn w:val="9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1">
    <w:name w:val="List Table 2 - Accent 6"/>
    <w:basedOn w:val="9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2">
    <w:name w:val="List Table 3"/>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3 - Accent 1"/>
    <w:basedOn w:val="9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3 - Accent 2"/>
    <w:basedOn w:val="9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5">
    <w:name w:val="List Table 3 - Accent 3"/>
    <w:basedOn w:val="9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6">
    <w:name w:val="List Table 3 - Accent 4"/>
    <w:basedOn w:val="9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7">
    <w:name w:val="List Table 3 - Accent 5"/>
    <w:basedOn w:val="9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8">
    <w:name w:val="List Table 3 - Accent 6"/>
    <w:basedOn w:val="9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9">
    <w:name w:val="List Table 4"/>
    <w:basedOn w:val="9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4 - Accent 1"/>
    <w:basedOn w:val="9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1">
    <w:name w:val="List Table 4 - Accent 2"/>
    <w:basedOn w:val="9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2">
    <w:name w:val="List Table 4 - Accent 3"/>
    <w:basedOn w:val="9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3">
    <w:name w:val="List Table 4 - Accent 4"/>
    <w:basedOn w:val="9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4">
    <w:name w:val="List Table 4 - Accent 5"/>
    <w:basedOn w:val="9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5">
    <w:name w:val="List Table 4 - Accent 6"/>
    <w:basedOn w:val="9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6">
    <w:name w:val="List Table 5 Dark"/>
    <w:basedOn w:val="9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1"/>
    <w:basedOn w:val="9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2"/>
    <w:basedOn w:val="9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3"/>
    <w:basedOn w:val="9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4"/>
    <w:basedOn w:val="9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5"/>
    <w:basedOn w:val="9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6"/>
    <w:basedOn w:val="9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6 Colorful"/>
    <w:basedOn w:val="9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4">
    <w:name w:val="List Table 6 Colorful - Accent 1"/>
    <w:basedOn w:val="9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5">
    <w:name w:val="List Table 6 Colorful - Accent 2"/>
    <w:basedOn w:val="9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6">
    <w:name w:val="List Table 6 Colorful - Accent 3"/>
    <w:basedOn w:val="9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7">
    <w:name w:val="List Table 6 Colorful - Accent 4"/>
    <w:basedOn w:val="9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8">
    <w:name w:val="List Table 6 Colorful - Accent 5"/>
    <w:basedOn w:val="9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9">
    <w:name w:val="List Table 6 Colorful - Accent 6"/>
    <w:basedOn w:val="9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0">
    <w:name w:val="List Table 7 Colorful"/>
    <w:basedOn w:val="9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1">
    <w:name w:val="List Table 7 Colorful - Accent 1"/>
    <w:basedOn w:val="9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2">
    <w:name w:val="List Table 7 Colorful - Accent 2"/>
    <w:basedOn w:val="9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3">
    <w:name w:val="List Table 7 Colorful - Accent 3"/>
    <w:basedOn w:val="9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4">
    <w:name w:val="List Table 7 Colorful - Accent 4"/>
    <w:basedOn w:val="9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5">
    <w:name w:val="List Table 7 Colorful - Accent 5"/>
    <w:basedOn w:val="9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6">
    <w:name w:val="List Table 7 Colorful - Accent 6"/>
    <w:basedOn w:val="9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7">
    <w:name w:val="Lined - Accent"/>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Lined - Accent 1"/>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Lined - Accent 2"/>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Lined - Accent 3"/>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Lined - Accent 4"/>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Lined - Accent 5"/>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Lined - Accent 6"/>
    <w:basedOn w:val="9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amp; Lined - Accent"/>
    <w:basedOn w:val="9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5">
    <w:name w:val="Bordered &amp; Lined - Accent 1"/>
    <w:basedOn w:val="9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6">
    <w:name w:val="Bordered &amp; Lined - Accent 2"/>
    <w:basedOn w:val="9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7">
    <w:name w:val="Bordered &amp; Lined - Accent 3"/>
    <w:basedOn w:val="9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8">
    <w:name w:val="Bordered &amp; Lined - Accent 4"/>
    <w:basedOn w:val="9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9">
    <w:name w:val="Bordered &amp; Lined - Accent 5"/>
    <w:basedOn w:val="9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0">
    <w:name w:val="Bordered &amp; Lined - Accent 6"/>
    <w:basedOn w:val="9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1">
    <w:name w:val="Bordered"/>
    <w:basedOn w:val="9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2">
    <w:name w:val="Bordered - Accent 1"/>
    <w:basedOn w:val="9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3">
    <w:name w:val="Bordered - Accent 2"/>
    <w:basedOn w:val="9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4">
    <w:name w:val="Bordered - Accent 3"/>
    <w:basedOn w:val="9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5">
    <w:name w:val="Bordered - Accent 4"/>
    <w:basedOn w:val="9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6">
    <w:name w:val="Bordered - Accent 5"/>
    <w:basedOn w:val="9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7">
    <w:name w:val="Bordered - Accent 6"/>
    <w:basedOn w:val="9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8">
    <w:name w:val="Footnote Text Char"/>
    <w:link w:val="987"/>
    <w:uiPriority w:val="99"/>
    <w:rPr>
      <w:sz w:val="18"/>
    </w:rPr>
  </w:style>
  <w:style w:type="character" w:styleId="949">
    <w:name w:val="Endnote Text Char"/>
    <w:link w:val="978"/>
    <w:uiPriority w:val="99"/>
    <w:rPr>
      <w:sz w:val="20"/>
    </w:rPr>
  </w:style>
  <w:style w:type="paragraph" w:styleId="950">
    <w:name w:val="TOC Heading"/>
    <w:uiPriority w:val="39"/>
    <w:unhideWhenUsed/>
  </w:style>
  <w:style w:type="paragraph" w:styleId="951" w:default="1">
    <w:name w:val="Normal"/>
    <w:next w:val="96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952">
    <w:name w:val="Heading 1"/>
    <w:basedOn w:val="951"/>
    <w:next w:val="951"/>
    <w:link w:val="1013"/>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953">
    <w:name w:val="Heading 2"/>
    <w:basedOn w:val="951"/>
    <w:next w:val="951"/>
    <w:link w:val="1014"/>
    <w:uiPriority w:val="0"/>
    <w:qFormat/>
    <w:pPr>
      <w:jc w:val="left"/>
      <w:keepLines/>
      <w:keepNext/>
      <w:outlineLvl w:val="1"/>
    </w:pPr>
    <w:rPr>
      <w:rFonts w:ascii="宋体" w:hAnsi="宋体" w:eastAsia="楷体_GB2312" w:cs="Times New Roman"/>
      <w:b/>
      <w:sz w:val="26"/>
      <w:szCs w:val="20"/>
    </w:rPr>
  </w:style>
  <w:style w:type="paragraph" w:styleId="954">
    <w:name w:val="Heading 3"/>
    <w:basedOn w:val="951"/>
    <w:next w:val="951"/>
    <w:link w:val="1015"/>
    <w:uiPriority w:val="0"/>
    <w:qFormat/>
    <w:pPr>
      <w:jc w:val="left"/>
      <w:keepLines/>
      <w:keepNext/>
      <w:outlineLvl w:val="2"/>
    </w:pPr>
    <w:rPr>
      <w:rFonts w:ascii="Calibri" w:hAnsi="Calibri" w:eastAsia="楷体_GB2312" w:cs="Times New Roman"/>
      <w:b/>
      <w:sz w:val="26"/>
      <w:szCs w:val="20"/>
    </w:rPr>
  </w:style>
  <w:style w:type="paragraph" w:styleId="955">
    <w:name w:val="Heading 4"/>
    <w:basedOn w:val="951"/>
    <w:next w:val="951"/>
    <w:link w:val="1016"/>
    <w:uiPriority w:val="0"/>
    <w:qFormat/>
    <w:pPr>
      <w:keepLines/>
      <w:keepNext/>
      <w:spacing w:before="280" w:after="290" w:line="376" w:lineRule="auto"/>
      <w:outlineLvl w:val="3"/>
    </w:pPr>
    <w:rPr>
      <w:rFonts w:ascii="Arial" w:hAnsi="Arial" w:eastAsia="黑体" w:cs="Times New Roman"/>
      <w:b/>
      <w:bCs/>
      <w:sz w:val="28"/>
      <w:szCs w:val="28"/>
    </w:rPr>
  </w:style>
  <w:style w:type="paragraph" w:styleId="956">
    <w:name w:val="Heading 5"/>
    <w:basedOn w:val="951"/>
    <w:next w:val="951"/>
    <w:link w:val="1017"/>
    <w:uiPriority w:val="0"/>
    <w:qFormat/>
    <w:pPr>
      <w:keepNext/>
      <w:outlineLvl w:val="4"/>
    </w:pPr>
    <w:rPr>
      <w:rFonts w:ascii="宋体" w:hAnsi="宋体" w:eastAsia="宋体" w:cs="Times New Roman"/>
      <w:color w:val="000000"/>
      <w:sz w:val="28"/>
      <w:szCs w:val="20"/>
    </w:rPr>
  </w:style>
  <w:style w:type="paragraph" w:styleId="957">
    <w:name w:val="Heading 6"/>
    <w:basedOn w:val="951"/>
    <w:next w:val="951"/>
    <w:link w:val="1018"/>
    <w:uiPriority w:val="0"/>
    <w:qFormat/>
    <w:pPr>
      <w:keepNext/>
      <w:outlineLvl w:val="5"/>
    </w:pPr>
    <w:rPr>
      <w:rFonts w:ascii="宋体" w:hAnsi="宋体" w:eastAsia="宋体" w:cs="Times New Roman"/>
      <w:sz w:val="28"/>
      <w:szCs w:val="20"/>
    </w:rPr>
  </w:style>
  <w:style w:type="character" w:styleId="958" w:default="1">
    <w:name w:val="Default Paragraph Font"/>
    <w:uiPriority w:val="1"/>
    <w:semiHidden/>
    <w:unhideWhenUsed/>
    <w:qFormat/>
  </w:style>
  <w:style w:type="table" w:styleId="959" w:default="1">
    <w:name w:val="Normal Table"/>
    <w:uiPriority w:val="99"/>
    <w:semiHidden/>
    <w:unhideWhenUsed/>
    <w:qFormat/>
    <w:tblPr>
      <w:tblCellMar>
        <w:left w:w="108" w:type="dxa"/>
        <w:top w:w="0" w:type="dxa"/>
        <w:right w:w="108" w:type="dxa"/>
        <w:bottom w:w="0" w:type="dxa"/>
      </w:tblCellMar>
    </w:tblPr>
  </w:style>
  <w:style w:type="paragraph" w:styleId="960">
    <w:name w:val="Body Text Indent"/>
    <w:basedOn w:val="951"/>
    <w:next w:val="951"/>
    <w:link w:val="1023"/>
    <w:uiPriority w:val="99"/>
    <w:qFormat/>
    <w:pPr>
      <w:ind w:left="570"/>
      <w:spacing w:line="520" w:lineRule="exact"/>
    </w:pPr>
    <w:rPr>
      <w:rFonts w:ascii="方正仿宋简体" w:hAnsi="创艺简仿宋" w:eastAsia="方正仿宋简体" w:cs="Times New Roman"/>
      <w:sz w:val="24"/>
      <w:szCs w:val="20"/>
    </w:rPr>
  </w:style>
  <w:style w:type="paragraph" w:styleId="961">
    <w:name w:val="toc 7"/>
    <w:basedOn w:val="951"/>
    <w:next w:val="951"/>
    <w:uiPriority w:val="0"/>
    <w:qFormat/>
    <w:pPr>
      <w:ind w:left="2520"/>
    </w:pPr>
    <w:rPr>
      <w:rFonts w:ascii="Calibri" w:hAnsi="Calibri" w:eastAsia="楷体_GB2312" w:cs="Times New Roman"/>
      <w:sz w:val="26"/>
      <w:szCs w:val="20"/>
    </w:rPr>
  </w:style>
  <w:style w:type="paragraph" w:styleId="962">
    <w:name w:val="index 8"/>
    <w:basedOn w:val="951"/>
    <w:next w:val="951"/>
    <w:uiPriority w:val="0"/>
    <w:qFormat/>
    <w:pPr>
      <w:ind w:left="2940"/>
    </w:pPr>
    <w:rPr>
      <w:rFonts w:ascii="Calibri" w:hAnsi="Calibri" w:eastAsia="楷体_GB2312" w:cs="Times New Roman"/>
      <w:sz w:val="26"/>
      <w:szCs w:val="20"/>
    </w:rPr>
  </w:style>
  <w:style w:type="paragraph" w:styleId="963">
    <w:name w:val="Normal Indent"/>
    <w:basedOn w:val="951"/>
    <w:next w:val="951"/>
    <w:link w:val="1019"/>
    <w:uiPriority w:val="0"/>
    <w:qFormat/>
    <w:pPr>
      <w:ind w:firstLine="420"/>
      <w:jc w:val="left"/>
    </w:pPr>
    <w:rPr>
      <w:rFonts w:ascii="Calibri" w:hAnsi="Calibri" w:eastAsia="楷体_GB2312" w:cs="Times New Roman"/>
      <w:sz w:val="24"/>
      <w:szCs w:val="20"/>
    </w:rPr>
  </w:style>
  <w:style w:type="paragraph" w:styleId="964">
    <w:name w:val="index 5"/>
    <w:basedOn w:val="951"/>
    <w:next w:val="951"/>
    <w:uiPriority w:val="0"/>
    <w:qFormat/>
    <w:pPr>
      <w:ind w:left="1680"/>
    </w:pPr>
    <w:rPr>
      <w:rFonts w:ascii="Calibri" w:hAnsi="Calibri" w:eastAsia="楷体_GB2312" w:cs="Times New Roman"/>
      <w:sz w:val="26"/>
      <w:szCs w:val="20"/>
    </w:rPr>
  </w:style>
  <w:style w:type="paragraph" w:styleId="965">
    <w:name w:val="Document Map"/>
    <w:basedOn w:val="951"/>
    <w:link w:val="1020"/>
    <w:uiPriority w:val="0"/>
    <w:qFormat/>
    <w:pPr>
      <w:shd w:val="clear" w:color="auto" w:fill="000080"/>
    </w:pPr>
    <w:rPr>
      <w:rFonts w:ascii="Calibri" w:hAnsi="Calibri" w:eastAsia="楷体_GB2312" w:cs="Times New Roman"/>
      <w:sz w:val="26"/>
      <w:szCs w:val="20"/>
    </w:rPr>
  </w:style>
  <w:style w:type="paragraph" w:styleId="966">
    <w:name w:val="annotation text"/>
    <w:basedOn w:val="951"/>
    <w:link w:val="1021"/>
    <w:uiPriority w:val="0"/>
    <w:qFormat/>
    <w:pPr>
      <w:jc w:val="left"/>
    </w:pPr>
    <w:rPr>
      <w:rFonts w:ascii="Calibri" w:hAnsi="Calibri" w:eastAsia="楷体_GB2312" w:cs="Times New Roman"/>
      <w:sz w:val="26"/>
      <w:szCs w:val="20"/>
    </w:rPr>
  </w:style>
  <w:style w:type="paragraph" w:styleId="967">
    <w:name w:val="index 6"/>
    <w:basedOn w:val="951"/>
    <w:next w:val="951"/>
    <w:uiPriority w:val="0"/>
    <w:qFormat/>
    <w:pPr>
      <w:ind w:left="2100"/>
    </w:pPr>
    <w:rPr>
      <w:rFonts w:ascii="Calibri" w:hAnsi="Calibri" w:eastAsia="楷体_GB2312" w:cs="Times New Roman"/>
      <w:sz w:val="26"/>
      <w:szCs w:val="20"/>
    </w:rPr>
  </w:style>
  <w:style w:type="paragraph" w:styleId="968">
    <w:name w:val="Body Text"/>
    <w:basedOn w:val="951"/>
    <w:link w:val="1022"/>
    <w:uiPriority w:val="0"/>
    <w:qFormat/>
    <w:pPr>
      <w:spacing w:line="400" w:lineRule="exact"/>
    </w:pPr>
    <w:rPr>
      <w:rFonts w:ascii="楷体_GB2312" w:hAnsi="Calibri" w:eastAsia="楷体_GB2312" w:cs="Times New Roman"/>
      <w:sz w:val="28"/>
      <w:szCs w:val="20"/>
    </w:rPr>
  </w:style>
  <w:style w:type="paragraph" w:styleId="969">
    <w:name w:val="Block Text"/>
    <w:basedOn w:val="951"/>
    <w:next w:val="951"/>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970">
    <w:name w:val="index 4"/>
    <w:basedOn w:val="951"/>
    <w:next w:val="951"/>
    <w:uiPriority w:val="0"/>
    <w:qFormat/>
    <w:pPr>
      <w:ind w:left="1260"/>
    </w:pPr>
    <w:rPr>
      <w:rFonts w:ascii="Calibri" w:hAnsi="Calibri" w:eastAsia="楷体_GB2312" w:cs="Times New Roman"/>
      <w:sz w:val="26"/>
      <w:szCs w:val="20"/>
    </w:rPr>
  </w:style>
  <w:style w:type="paragraph" w:styleId="971">
    <w:name w:val="toc 5"/>
    <w:basedOn w:val="951"/>
    <w:next w:val="951"/>
    <w:uiPriority w:val="0"/>
    <w:qFormat/>
    <w:pPr>
      <w:ind w:left="1680"/>
    </w:pPr>
    <w:rPr>
      <w:rFonts w:ascii="Calibri" w:hAnsi="Calibri" w:eastAsia="楷体_GB2312" w:cs="Times New Roman"/>
      <w:sz w:val="26"/>
      <w:szCs w:val="20"/>
    </w:rPr>
  </w:style>
  <w:style w:type="paragraph" w:styleId="972">
    <w:name w:val="toc 3"/>
    <w:basedOn w:val="951"/>
    <w:next w:val="951"/>
    <w:uiPriority w:val="0"/>
    <w:qFormat/>
    <w:pPr>
      <w:ind w:left="840"/>
    </w:pPr>
    <w:rPr>
      <w:rFonts w:ascii="Calibri" w:hAnsi="Calibri" w:eastAsia="楷体_GB2312" w:cs="Times New Roman"/>
      <w:sz w:val="26"/>
      <w:szCs w:val="20"/>
    </w:rPr>
  </w:style>
  <w:style w:type="paragraph" w:styleId="973">
    <w:name w:val="Plain Text"/>
    <w:basedOn w:val="951"/>
    <w:link w:val="1024"/>
    <w:uiPriority w:val="0"/>
    <w:qFormat/>
    <w:rPr>
      <w:rFonts w:ascii="宋体" w:hAnsi="Courier New" w:eastAsia="楷体_GB2312" w:cs="Times New Roman"/>
      <w:sz w:val="26"/>
      <w:szCs w:val="20"/>
    </w:rPr>
  </w:style>
  <w:style w:type="paragraph" w:styleId="974">
    <w:name w:val="toc 8"/>
    <w:basedOn w:val="951"/>
    <w:next w:val="951"/>
    <w:uiPriority w:val="0"/>
    <w:qFormat/>
    <w:pPr>
      <w:ind w:left="2940"/>
    </w:pPr>
    <w:rPr>
      <w:rFonts w:ascii="Calibri" w:hAnsi="Calibri" w:eastAsia="楷体_GB2312" w:cs="Times New Roman"/>
      <w:sz w:val="26"/>
      <w:szCs w:val="20"/>
    </w:rPr>
  </w:style>
  <w:style w:type="paragraph" w:styleId="975">
    <w:name w:val="index 3"/>
    <w:basedOn w:val="951"/>
    <w:next w:val="951"/>
    <w:uiPriority w:val="0"/>
    <w:qFormat/>
    <w:pPr>
      <w:ind w:left="840"/>
    </w:pPr>
    <w:rPr>
      <w:rFonts w:ascii="Calibri" w:hAnsi="Calibri" w:eastAsia="楷体_GB2312" w:cs="Times New Roman"/>
      <w:sz w:val="26"/>
      <w:szCs w:val="20"/>
    </w:rPr>
  </w:style>
  <w:style w:type="paragraph" w:styleId="976">
    <w:name w:val="Date"/>
    <w:basedOn w:val="951"/>
    <w:next w:val="951"/>
    <w:link w:val="1025"/>
    <w:uiPriority w:val="0"/>
    <w:qFormat/>
    <w:rPr>
      <w:rFonts w:ascii="宋体" w:hAnsi="宋体" w:eastAsia="楷体_GB2312" w:cs="Times New Roman"/>
      <w:sz w:val="24"/>
      <w:szCs w:val="20"/>
    </w:rPr>
  </w:style>
  <w:style w:type="paragraph" w:styleId="977">
    <w:name w:val="Body Text Indent 2"/>
    <w:basedOn w:val="951"/>
    <w:link w:val="1026"/>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978">
    <w:name w:val="endnote text"/>
    <w:basedOn w:val="951"/>
    <w:link w:val="1027"/>
    <w:uiPriority w:val="0"/>
    <w:qFormat/>
    <w:pPr>
      <w:jc w:val="left"/>
    </w:pPr>
    <w:rPr>
      <w:rFonts w:ascii="Calibri" w:hAnsi="Calibri" w:eastAsia="楷体_GB2312" w:cs="Times New Roman"/>
      <w:sz w:val="26"/>
      <w:szCs w:val="20"/>
    </w:rPr>
  </w:style>
  <w:style w:type="paragraph" w:styleId="979">
    <w:name w:val="Balloon Text"/>
    <w:basedOn w:val="951"/>
    <w:link w:val="1028"/>
    <w:uiPriority w:val="99"/>
    <w:qFormat/>
    <w:rPr>
      <w:rFonts w:ascii="Calibri" w:hAnsi="Calibri" w:eastAsia="楷体_GB2312" w:cs="Times New Roman"/>
      <w:sz w:val="18"/>
      <w:szCs w:val="18"/>
    </w:rPr>
  </w:style>
  <w:style w:type="paragraph" w:styleId="980">
    <w:name w:val="Footer"/>
    <w:basedOn w:val="951"/>
    <w:link w:val="1029"/>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981">
    <w:name w:val="Header"/>
    <w:basedOn w:val="951"/>
    <w:link w:val="1030"/>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982">
    <w:name w:val="toc 1"/>
    <w:basedOn w:val="951"/>
    <w:next w:val="951"/>
    <w:uiPriority w:val="39"/>
    <w:qFormat/>
    <w:pPr>
      <w:jc w:val="left"/>
    </w:pPr>
    <w:rPr>
      <w:rFonts w:ascii="Calibri" w:hAnsi="Calibri" w:eastAsia="楷体_GB2312" w:cs="Times New Roman"/>
      <w:sz w:val="24"/>
      <w:szCs w:val="20"/>
    </w:rPr>
  </w:style>
  <w:style w:type="paragraph" w:styleId="983">
    <w:name w:val="toc 4"/>
    <w:basedOn w:val="951"/>
    <w:next w:val="951"/>
    <w:uiPriority w:val="0"/>
    <w:qFormat/>
    <w:pPr>
      <w:ind w:left="1260"/>
    </w:pPr>
    <w:rPr>
      <w:rFonts w:ascii="Calibri" w:hAnsi="Calibri" w:eastAsia="楷体_GB2312" w:cs="Times New Roman"/>
      <w:sz w:val="26"/>
      <w:szCs w:val="20"/>
    </w:rPr>
  </w:style>
  <w:style w:type="paragraph" w:styleId="984">
    <w:name w:val="index heading"/>
    <w:basedOn w:val="951"/>
    <w:next w:val="985"/>
    <w:uiPriority w:val="0"/>
    <w:qFormat/>
    <w:rPr>
      <w:rFonts w:ascii="Calibri" w:hAnsi="Calibri" w:eastAsia="楷体_GB2312" w:cs="Times New Roman"/>
      <w:sz w:val="26"/>
      <w:szCs w:val="20"/>
    </w:rPr>
  </w:style>
  <w:style w:type="paragraph" w:styleId="985">
    <w:name w:val="index 1"/>
    <w:basedOn w:val="951"/>
    <w:next w:val="951"/>
    <w:uiPriority w:val="0"/>
    <w:unhideWhenUsed/>
    <w:qFormat/>
  </w:style>
  <w:style w:type="paragraph" w:styleId="986">
    <w:name w:val="Subtitle"/>
    <w:basedOn w:val="951"/>
    <w:next w:val="951"/>
    <w:link w:val="1031"/>
    <w:uiPriority w:val="0"/>
    <w:qFormat/>
    <w:pPr>
      <w:jc w:val="left"/>
      <w:spacing w:before="120"/>
      <w:outlineLvl w:val="1"/>
    </w:pPr>
    <w:rPr>
      <w:rFonts w:ascii="Cambria" w:hAnsi="Cambria" w:eastAsia="宋体" w:cs="Times New Roman"/>
      <w:b/>
      <w:bCs/>
      <w:sz w:val="24"/>
      <w:szCs w:val="32"/>
    </w:rPr>
  </w:style>
  <w:style w:type="paragraph" w:styleId="987">
    <w:name w:val="footnote text"/>
    <w:basedOn w:val="951"/>
    <w:link w:val="1032"/>
    <w:uiPriority w:val="0"/>
    <w:qFormat/>
    <w:pPr>
      <w:jc w:val="left"/>
    </w:pPr>
    <w:rPr>
      <w:rFonts w:ascii="Calibri" w:hAnsi="Calibri" w:eastAsia="楷体_GB2312" w:cs="Times New Roman"/>
      <w:sz w:val="18"/>
      <w:szCs w:val="20"/>
    </w:rPr>
  </w:style>
  <w:style w:type="paragraph" w:styleId="988">
    <w:name w:val="toc 6"/>
    <w:basedOn w:val="951"/>
    <w:next w:val="951"/>
    <w:uiPriority w:val="0"/>
    <w:qFormat/>
    <w:pPr>
      <w:ind w:left="2100"/>
    </w:pPr>
    <w:rPr>
      <w:rFonts w:ascii="Calibri" w:hAnsi="Calibri" w:eastAsia="楷体_GB2312" w:cs="Times New Roman"/>
      <w:sz w:val="26"/>
      <w:szCs w:val="20"/>
    </w:rPr>
  </w:style>
  <w:style w:type="paragraph" w:styleId="989">
    <w:name w:val="Body Text Indent 3"/>
    <w:basedOn w:val="951"/>
    <w:link w:val="1033"/>
    <w:uiPriority w:val="0"/>
    <w:qFormat/>
    <w:pPr>
      <w:ind w:firstLine="617"/>
      <w:spacing w:line="360" w:lineRule="auto"/>
    </w:pPr>
    <w:rPr>
      <w:rFonts w:ascii="Calibri" w:hAnsi="Calibri" w:eastAsia="宋体" w:cs="Times New Roman"/>
      <w:sz w:val="24"/>
      <w:szCs w:val="24"/>
    </w:rPr>
  </w:style>
  <w:style w:type="paragraph" w:styleId="990">
    <w:name w:val="index 7"/>
    <w:basedOn w:val="951"/>
    <w:next w:val="951"/>
    <w:uiPriority w:val="0"/>
    <w:qFormat/>
    <w:pPr>
      <w:ind w:left="2520"/>
    </w:pPr>
    <w:rPr>
      <w:rFonts w:ascii="Calibri" w:hAnsi="Calibri" w:eastAsia="楷体_GB2312" w:cs="Times New Roman"/>
      <w:sz w:val="26"/>
      <w:szCs w:val="20"/>
    </w:rPr>
  </w:style>
  <w:style w:type="paragraph" w:styleId="991">
    <w:name w:val="index 9"/>
    <w:basedOn w:val="951"/>
    <w:next w:val="951"/>
    <w:uiPriority w:val="0"/>
    <w:qFormat/>
    <w:pPr>
      <w:ind w:left="3360"/>
    </w:pPr>
    <w:rPr>
      <w:rFonts w:ascii="Calibri" w:hAnsi="Calibri" w:eastAsia="楷体_GB2312" w:cs="Times New Roman"/>
      <w:sz w:val="26"/>
      <w:szCs w:val="20"/>
    </w:rPr>
  </w:style>
  <w:style w:type="paragraph" w:styleId="992">
    <w:name w:val="table of figures"/>
    <w:basedOn w:val="951"/>
    <w:next w:val="951"/>
    <w:uiPriority w:val="0"/>
    <w:qFormat/>
    <w:pPr>
      <w:ind w:left="420" w:hanging="420"/>
      <w:jc w:val="left"/>
    </w:pPr>
    <w:rPr>
      <w:rFonts w:ascii="Calibri" w:hAnsi="Calibri" w:eastAsia="楷体_GB2312" w:cs="Times New Roman"/>
      <w:smallCaps/>
      <w:sz w:val="24"/>
      <w:szCs w:val="20"/>
    </w:rPr>
  </w:style>
  <w:style w:type="paragraph" w:styleId="993">
    <w:name w:val="toc 2"/>
    <w:basedOn w:val="951"/>
    <w:next w:val="951"/>
    <w:uiPriority w:val="0"/>
    <w:qFormat/>
    <w:pPr>
      <w:ind w:left="420"/>
    </w:pPr>
    <w:rPr>
      <w:rFonts w:ascii="Calibri" w:hAnsi="Calibri" w:eastAsia="楷体_GB2312" w:cs="Times New Roman"/>
      <w:sz w:val="26"/>
      <w:szCs w:val="20"/>
    </w:rPr>
  </w:style>
  <w:style w:type="paragraph" w:styleId="994">
    <w:name w:val="toc 9"/>
    <w:basedOn w:val="951"/>
    <w:next w:val="951"/>
    <w:uiPriority w:val="0"/>
    <w:qFormat/>
    <w:pPr>
      <w:ind w:left="3360"/>
    </w:pPr>
    <w:rPr>
      <w:rFonts w:ascii="Calibri" w:hAnsi="Calibri" w:eastAsia="楷体_GB2312" w:cs="Times New Roman"/>
      <w:sz w:val="26"/>
      <w:szCs w:val="20"/>
    </w:rPr>
  </w:style>
  <w:style w:type="paragraph" w:styleId="995">
    <w:name w:val="HTML Preformatted"/>
    <w:basedOn w:val="951"/>
    <w:link w:val="10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996">
    <w:name w:val="Normal (Web)"/>
    <w:basedOn w:val="951"/>
    <w:uiPriority w:val="0"/>
    <w:qFormat/>
    <w:pPr>
      <w:jc w:val="left"/>
      <w:spacing w:before="100" w:beforeAutospacing="1" w:after="100" w:afterAutospacing="1"/>
    </w:pPr>
    <w:rPr>
      <w:rFonts w:ascii="Calibri" w:hAnsi="Calibri" w:eastAsia="楷体_GB2312" w:cs="Times New Roman"/>
      <w:sz w:val="24"/>
    </w:rPr>
  </w:style>
  <w:style w:type="paragraph" w:styleId="997">
    <w:name w:val="index 2"/>
    <w:basedOn w:val="951"/>
    <w:next w:val="951"/>
    <w:uiPriority w:val="0"/>
    <w:qFormat/>
    <w:pPr>
      <w:ind w:left="420"/>
    </w:pPr>
    <w:rPr>
      <w:rFonts w:ascii="Calibri" w:hAnsi="Calibri" w:eastAsia="楷体_GB2312" w:cs="Times New Roman"/>
      <w:sz w:val="26"/>
      <w:szCs w:val="20"/>
    </w:rPr>
  </w:style>
  <w:style w:type="paragraph" w:styleId="998">
    <w:name w:val="Title"/>
    <w:basedOn w:val="951"/>
    <w:next w:val="951"/>
    <w:link w:val="1035"/>
    <w:uiPriority w:val="0"/>
    <w:qFormat/>
    <w:pPr>
      <w:jc w:val="center"/>
      <w:spacing w:before="240" w:after="60"/>
      <w:outlineLvl w:val="0"/>
    </w:pPr>
    <w:rPr>
      <w:rFonts w:ascii="Cambria" w:hAnsi="Cambria" w:eastAsia="宋体" w:cs="Times New Roman"/>
      <w:b/>
      <w:bCs/>
      <w:sz w:val="32"/>
      <w:szCs w:val="32"/>
    </w:rPr>
  </w:style>
  <w:style w:type="paragraph" w:styleId="999">
    <w:name w:val="annotation subject"/>
    <w:basedOn w:val="966"/>
    <w:next w:val="966"/>
    <w:link w:val="1036"/>
    <w:uiPriority w:val="99"/>
    <w:qFormat/>
    <w:rPr>
      <w:b/>
      <w:bCs/>
    </w:rPr>
  </w:style>
  <w:style w:type="paragraph" w:styleId="1000">
    <w:name w:val="Body Text First Indent 2"/>
    <w:basedOn w:val="960"/>
    <w:link w:val="1037"/>
    <w:uiPriority w:val="0"/>
    <w:qFormat/>
    <w:pPr>
      <w:ind w:left="420" w:firstLine="420"/>
      <w:spacing w:after="120" w:line="240" w:lineRule="auto"/>
    </w:pPr>
    <w:rPr>
      <w:rFonts w:ascii="Calibri" w:hAnsi="Calibri" w:eastAsia="楷体_GB2312"/>
      <w:sz w:val="26"/>
    </w:rPr>
  </w:style>
  <w:style w:type="table" w:styleId="1001">
    <w:name w:val="Table Grid"/>
    <w:basedOn w:val="9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2">
    <w:name w:val="Strong"/>
    <w:basedOn w:val="958"/>
    <w:uiPriority w:val="0"/>
    <w:qFormat/>
    <w:rPr>
      <w:b/>
    </w:rPr>
  </w:style>
  <w:style w:type="character" w:styleId="1003">
    <w:name w:val="endnote reference"/>
    <w:uiPriority w:val="0"/>
    <w:qFormat/>
    <w:rPr>
      <w:vertAlign w:val="superscript"/>
    </w:rPr>
  </w:style>
  <w:style w:type="character" w:styleId="1004">
    <w:name w:val="page number"/>
    <w:basedOn w:val="958"/>
    <w:uiPriority w:val="0"/>
    <w:qFormat/>
  </w:style>
  <w:style w:type="character" w:styleId="1005">
    <w:name w:val="FollowedHyperlink"/>
    <w:uiPriority w:val="99"/>
    <w:unhideWhenUsed/>
    <w:qFormat/>
    <w:rPr>
      <w:color w:val="800080"/>
      <w:u w:val="single"/>
    </w:rPr>
  </w:style>
  <w:style w:type="character" w:styleId="1006">
    <w:name w:val="Emphasis"/>
    <w:uiPriority w:val="0"/>
    <w:qFormat/>
    <w:rPr>
      <w:i/>
    </w:rPr>
  </w:style>
  <w:style w:type="character" w:styleId="1007">
    <w:name w:val="Hyperlink"/>
    <w:uiPriority w:val="0"/>
    <w:unhideWhenUsed/>
    <w:qFormat/>
    <w:rPr>
      <w:color w:val="0000ff"/>
      <w:u w:val="single"/>
    </w:rPr>
  </w:style>
  <w:style w:type="character" w:styleId="1008">
    <w:name w:val="annotation reference"/>
    <w:basedOn w:val="958"/>
    <w:uiPriority w:val="99"/>
    <w:qFormat/>
    <w:rPr>
      <w:sz w:val="21"/>
      <w:szCs w:val="21"/>
    </w:rPr>
  </w:style>
  <w:style w:type="character" w:styleId="1009">
    <w:name w:val="footnote reference"/>
    <w:uiPriority w:val="0"/>
    <w:qFormat/>
    <w:rPr>
      <w:vertAlign w:val="superscript"/>
    </w:rPr>
  </w:style>
  <w:style w:type="paragraph" w:styleId="1010" w:customStyle="1">
    <w:name w:val="段"/>
    <w:next w:val="1011"/>
    <w:uiPriority w:val="0"/>
    <w:qFormat/>
    <w:pPr>
      <w:ind w:firstLine="200"/>
      <w:jc w:val="both"/>
    </w:pPr>
    <w:rPr>
      <w:rFonts w:ascii="宋体" w:hAnsi="Times New Roman" w:eastAsia="宋体" w:cs="宋体"/>
      <w:sz w:val="21"/>
      <w:szCs w:val="21"/>
      <w:lang w:val="en-US" w:eastAsia="zh-CN" w:bidi="ar-SA"/>
    </w:rPr>
  </w:style>
  <w:style w:type="paragraph" w:styleId="1011" w:customStyle="1">
    <w:name w:val="正文 A"/>
    <w:next w:val="1010"/>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paragraph" w:styleId="1012" w:customStyle="1">
    <w:name w:val="首行缩进"/>
    <w:basedOn w:val="951"/>
    <w:uiPriority w:val="0"/>
    <w:qFormat/>
    <w:pPr>
      <w:ind w:firstLine="480"/>
    </w:pPr>
    <w:rPr>
      <w:rFonts w:ascii="Calibri" w:hAnsi="Calibri" w:eastAsia="宋体" w:cs="Times New Roman"/>
      <w:szCs w:val="20"/>
      <w:lang w:val="zh-CN"/>
    </w:rPr>
  </w:style>
  <w:style w:type="character" w:styleId="1013" w:customStyle="1">
    <w:name w:val="标题 1 字符"/>
    <w:basedOn w:val="958"/>
    <w:link w:val="952"/>
    <w:uiPriority w:val="0"/>
    <w:qFormat/>
    <w:rPr>
      <w:rFonts w:ascii="Calibri" w:hAnsi="Calibri" w:eastAsia="楷体_GB2312" w:cs="Times New Roman"/>
      <w:b/>
      <w:sz w:val="44"/>
      <w:szCs w:val="20"/>
    </w:rPr>
  </w:style>
  <w:style w:type="character" w:styleId="1014" w:customStyle="1">
    <w:name w:val="标题 2 字符"/>
    <w:basedOn w:val="958"/>
    <w:link w:val="953"/>
    <w:uiPriority w:val="0"/>
    <w:qFormat/>
    <w:rPr>
      <w:rFonts w:ascii="宋体" w:hAnsi="宋体" w:eastAsia="楷体_GB2312" w:cs="Times New Roman"/>
      <w:b/>
      <w:sz w:val="26"/>
      <w:szCs w:val="20"/>
    </w:rPr>
  </w:style>
  <w:style w:type="character" w:styleId="1015" w:customStyle="1">
    <w:name w:val="标题 3 字符"/>
    <w:basedOn w:val="958"/>
    <w:link w:val="954"/>
    <w:uiPriority w:val="0"/>
    <w:qFormat/>
    <w:rPr>
      <w:rFonts w:ascii="Calibri" w:hAnsi="Calibri" w:eastAsia="楷体_GB2312" w:cs="Times New Roman"/>
      <w:b/>
      <w:sz w:val="26"/>
      <w:szCs w:val="20"/>
    </w:rPr>
  </w:style>
  <w:style w:type="character" w:styleId="1016" w:customStyle="1">
    <w:name w:val="标题 4 字符"/>
    <w:basedOn w:val="958"/>
    <w:link w:val="955"/>
    <w:uiPriority w:val="0"/>
    <w:qFormat/>
    <w:rPr>
      <w:rFonts w:ascii="Arial" w:hAnsi="Arial" w:eastAsia="黑体" w:cs="Times New Roman"/>
      <w:b/>
      <w:bCs/>
      <w:sz w:val="28"/>
      <w:szCs w:val="28"/>
    </w:rPr>
  </w:style>
  <w:style w:type="character" w:styleId="1017" w:customStyle="1">
    <w:name w:val="标题 5 字符"/>
    <w:basedOn w:val="958"/>
    <w:link w:val="956"/>
    <w:uiPriority w:val="0"/>
    <w:qFormat/>
    <w:rPr>
      <w:rFonts w:ascii="宋体" w:hAnsi="宋体" w:eastAsia="宋体" w:cs="Times New Roman"/>
      <w:color w:val="000000"/>
      <w:sz w:val="28"/>
      <w:szCs w:val="20"/>
    </w:rPr>
  </w:style>
  <w:style w:type="character" w:styleId="1018" w:customStyle="1">
    <w:name w:val="标题 6 字符"/>
    <w:basedOn w:val="958"/>
    <w:link w:val="957"/>
    <w:uiPriority w:val="0"/>
    <w:qFormat/>
    <w:rPr>
      <w:rFonts w:ascii="宋体" w:hAnsi="宋体" w:eastAsia="宋体" w:cs="Times New Roman"/>
      <w:sz w:val="28"/>
      <w:szCs w:val="20"/>
    </w:rPr>
  </w:style>
  <w:style w:type="character" w:styleId="1019" w:customStyle="1">
    <w:name w:val="正文缩进 字符"/>
    <w:link w:val="963"/>
    <w:uiPriority w:val="0"/>
    <w:qFormat/>
    <w:rPr>
      <w:rFonts w:ascii="Calibri" w:hAnsi="Calibri" w:eastAsia="楷体_GB2312" w:cs="Times New Roman"/>
      <w:sz w:val="24"/>
      <w:szCs w:val="20"/>
    </w:rPr>
  </w:style>
  <w:style w:type="character" w:styleId="1020" w:customStyle="1">
    <w:name w:val="文档结构图 字符"/>
    <w:basedOn w:val="958"/>
    <w:link w:val="965"/>
    <w:uiPriority w:val="0"/>
    <w:qFormat/>
    <w:rPr>
      <w:rFonts w:ascii="Calibri" w:hAnsi="Calibri" w:eastAsia="楷体_GB2312" w:cs="Times New Roman"/>
      <w:sz w:val="26"/>
      <w:szCs w:val="20"/>
      <w:shd w:val="clear" w:color="auto" w:fill="000080"/>
    </w:rPr>
  </w:style>
  <w:style w:type="character" w:styleId="1021" w:customStyle="1">
    <w:name w:val="批注文字 字符"/>
    <w:basedOn w:val="958"/>
    <w:link w:val="966"/>
    <w:uiPriority w:val="0"/>
    <w:qFormat/>
    <w:rPr>
      <w:rFonts w:ascii="Calibri" w:hAnsi="Calibri" w:eastAsia="楷体_GB2312" w:cs="Times New Roman"/>
      <w:sz w:val="26"/>
      <w:szCs w:val="20"/>
    </w:rPr>
  </w:style>
  <w:style w:type="character" w:styleId="1022" w:customStyle="1">
    <w:name w:val="正文文本 字符"/>
    <w:basedOn w:val="958"/>
    <w:link w:val="968"/>
    <w:uiPriority w:val="0"/>
    <w:qFormat/>
    <w:rPr>
      <w:rFonts w:ascii="楷体_GB2312" w:hAnsi="Calibri" w:eastAsia="楷体_GB2312" w:cs="Times New Roman"/>
      <w:sz w:val="28"/>
      <w:szCs w:val="20"/>
    </w:rPr>
  </w:style>
  <w:style w:type="character" w:styleId="1023" w:customStyle="1">
    <w:name w:val="正文文本缩进 字符"/>
    <w:basedOn w:val="958"/>
    <w:link w:val="960"/>
    <w:uiPriority w:val="99"/>
    <w:qFormat/>
    <w:rPr>
      <w:rFonts w:ascii="方正仿宋简体" w:hAnsi="创艺简仿宋" w:eastAsia="方正仿宋简体" w:cs="Times New Roman"/>
      <w:sz w:val="24"/>
      <w:szCs w:val="20"/>
    </w:rPr>
  </w:style>
  <w:style w:type="character" w:styleId="1024" w:customStyle="1">
    <w:name w:val="纯文本 字符"/>
    <w:basedOn w:val="958"/>
    <w:link w:val="973"/>
    <w:uiPriority w:val="0"/>
    <w:qFormat/>
    <w:rPr>
      <w:rFonts w:ascii="宋体" w:hAnsi="Courier New" w:eastAsia="楷体_GB2312" w:cs="Times New Roman"/>
      <w:sz w:val="26"/>
      <w:szCs w:val="20"/>
    </w:rPr>
  </w:style>
  <w:style w:type="character" w:styleId="1025" w:customStyle="1">
    <w:name w:val="日期 字符"/>
    <w:basedOn w:val="958"/>
    <w:link w:val="976"/>
    <w:uiPriority w:val="0"/>
    <w:qFormat/>
    <w:rPr>
      <w:rFonts w:ascii="宋体" w:hAnsi="宋体" w:eastAsia="楷体_GB2312" w:cs="Times New Roman"/>
      <w:sz w:val="24"/>
      <w:szCs w:val="20"/>
    </w:rPr>
  </w:style>
  <w:style w:type="character" w:styleId="1026" w:customStyle="1">
    <w:name w:val="正文文本缩进 2 字符"/>
    <w:basedOn w:val="958"/>
    <w:link w:val="977"/>
    <w:uiPriority w:val="0"/>
    <w:qFormat/>
    <w:rPr>
      <w:rFonts w:ascii="宋体" w:hAnsi="Calibri" w:eastAsia="宋体" w:cs="Times New Roman"/>
      <w:b/>
      <w:bCs/>
      <w:sz w:val="24"/>
      <w:szCs w:val="20"/>
    </w:rPr>
  </w:style>
  <w:style w:type="character" w:styleId="1027" w:customStyle="1">
    <w:name w:val="尾注文本 字符"/>
    <w:basedOn w:val="958"/>
    <w:link w:val="978"/>
    <w:uiPriority w:val="0"/>
    <w:qFormat/>
    <w:rPr>
      <w:rFonts w:ascii="Calibri" w:hAnsi="Calibri" w:eastAsia="楷体_GB2312" w:cs="Times New Roman"/>
      <w:sz w:val="26"/>
      <w:szCs w:val="20"/>
    </w:rPr>
  </w:style>
  <w:style w:type="character" w:styleId="1028" w:customStyle="1">
    <w:name w:val="批注框文本 字符"/>
    <w:basedOn w:val="958"/>
    <w:link w:val="979"/>
    <w:uiPriority w:val="99"/>
    <w:qFormat/>
    <w:rPr>
      <w:rFonts w:ascii="Calibri" w:hAnsi="Calibri" w:eastAsia="楷体_GB2312" w:cs="Times New Roman"/>
      <w:sz w:val="18"/>
      <w:szCs w:val="18"/>
    </w:rPr>
  </w:style>
  <w:style w:type="character" w:styleId="1029" w:customStyle="1">
    <w:name w:val="页脚 字符"/>
    <w:basedOn w:val="958"/>
    <w:link w:val="980"/>
    <w:uiPriority w:val="99"/>
    <w:qFormat/>
    <w:rPr>
      <w:rFonts w:ascii="Calibri" w:hAnsi="Calibri" w:eastAsia="楷体_GB2312" w:cs="Times New Roman"/>
      <w:sz w:val="18"/>
      <w:szCs w:val="20"/>
    </w:rPr>
  </w:style>
  <w:style w:type="character" w:styleId="1030" w:customStyle="1">
    <w:name w:val="页眉 字符"/>
    <w:basedOn w:val="958"/>
    <w:link w:val="981"/>
    <w:uiPriority w:val="99"/>
    <w:qFormat/>
    <w:rPr>
      <w:rFonts w:ascii="Calibri" w:hAnsi="Calibri" w:eastAsia="楷体_GB2312" w:cs="Times New Roman"/>
      <w:sz w:val="18"/>
      <w:szCs w:val="20"/>
    </w:rPr>
  </w:style>
  <w:style w:type="character" w:styleId="1031" w:customStyle="1">
    <w:name w:val="副标题 字符"/>
    <w:basedOn w:val="958"/>
    <w:link w:val="986"/>
    <w:uiPriority w:val="0"/>
    <w:qFormat/>
    <w:rPr>
      <w:rFonts w:ascii="Cambria" w:hAnsi="Cambria" w:eastAsia="宋体" w:cs="Times New Roman"/>
      <w:b/>
      <w:bCs/>
      <w:sz w:val="24"/>
      <w:szCs w:val="32"/>
    </w:rPr>
  </w:style>
  <w:style w:type="character" w:styleId="1032" w:customStyle="1">
    <w:name w:val="脚注文本 字符"/>
    <w:basedOn w:val="958"/>
    <w:link w:val="987"/>
    <w:uiPriority w:val="0"/>
    <w:qFormat/>
    <w:rPr>
      <w:rFonts w:ascii="Calibri" w:hAnsi="Calibri" w:eastAsia="楷体_GB2312" w:cs="Times New Roman"/>
      <w:sz w:val="18"/>
      <w:szCs w:val="20"/>
    </w:rPr>
  </w:style>
  <w:style w:type="character" w:styleId="1033" w:customStyle="1">
    <w:name w:val="正文文本缩进 3 字符"/>
    <w:basedOn w:val="958"/>
    <w:link w:val="989"/>
    <w:uiPriority w:val="0"/>
    <w:qFormat/>
    <w:rPr>
      <w:rFonts w:ascii="Calibri" w:hAnsi="Calibri" w:eastAsia="宋体" w:cs="Times New Roman"/>
      <w:sz w:val="24"/>
      <w:szCs w:val="24"/>
    </w:rPr>
  </w:style>
  <w:style w:type="character" w:styleId="1034" w:customStyle="1">
    <w:name w:val="HTML 预设格式 字符"/>
    <w:basedOn w:val="958"/>
    <w:link w:val="995"/>
    <w:uiPriority w:val="0"/>
    <w:qFormat/>
    <w:rPr>
      <w:rFonts w:ascii="黑体" w:hAnsi="Courier New" w:eastAsia="黑体" w:cs="Times New Roman"/>
      <w:sz w:val="20"/>
      <w:szCs w:val="20"/>
    </w:rPr>
  </w:style>
  <w:style w:type="character" w:styleId="1035" w:customStyle="1">
    <w:name w:val="标题 字符"/>
    <w:basedOn w:val="958"/>
    <w:link w:val="998"/>
    <w:uiPriority w:val="0"/>
    <w:qFormat/>
    <w:rPr>
      <w:rFonts w:ascii="Cambria" w:hAnsi="Cambria" w:eastAsia="宋体" w:cs="Times New Roman"/>
      <w:b/>
      <w:bCs/>
      <w:sz w:val="32"/>
      <w:szCs w:val="32"/>
    </w:rPr>
  </w:style>
  <w:style w:type="character" w:styleId="1036" w:customStyle="1">
    <w:name w:val="批注主题 字符"/>
    <w:basedOn w:val="1021"/>
    <w:link w:val="999"/>
    <w:uiPriority w:val="99"/>
    <w:qFormat/>
    <w:rPr>
      <w:rFonts w:ascii="Calibri" w:hAnsi="Calibri" w:eastAsia="楷体_GB2312" w:cs="Times New Roman"/>
      <w:b/>
      <w:bCs/>
      <w:sz w:val="26"/>
      <w:szCs w:val="20"/>
    </w:rPr>
  </w:style>
  <w:style w:type="character" w:styleId="1037" w:customStyle="1">
    <w:name w:val="正文文本首行缩进 2 字符"/>
    <w:basedOn w:val="1023"/>
    <w:link w:val="1000"/>
    <w:uiPriority w:val="0"/>
    <w:qFormat/>
    <w:rPr>
      <w:rFonts w:ascii="Calibri" w:hAnsi="Calibri" w:eastAsia="楷体_GB2312" w:cs="Times New Roman"/>
      <w:sz w:val="26"/>
      <w:szCs w:val="20"/>
    </w:rPr>
  </w:style>
  <w:style w:type="character" w:styleId="1038" w:customStyle="1">
    <w:name w:val="Plain Text Char Char"/>
    <w:link w:val="1039"/>
    <w:uiPriority w:val="0"/>
    <w:qFormat/>
    <w:rPr>
      <w:rFonts w:ascii="宋体" w:hAnsi="Courier New" w:eastAsia="楷体_GB2312"/>
      <w:sz w:val="26"/>
    </w:rPr>
  </w:style>
  <w:style w:type="paragraph" w:styleId="1039" w:customStyle="1">
    <w:name w:val="纯文本3"/>
    <w:basedOn w:val="951"/>
    <w:link w:val="1038"/>
    <w:uiPriority w:val="0"/>
    <w:qFormat/>
    <w:rPr>
      <w:rFonts w:ascii="宋体" w:hAnsi="Courier New" w:eastAsia="楷体_GB2312"/>
      <w:sz w:val="26"/>
    </w:rPr>
  </w:style>
  <w:style w:type="character" w:styleId="1040" w:customStyle="1">
    <w:name w:val="styl81"/>
    <w:uiPriority w:val="0"/>
    <w:qFormat/>
    <w:rPr>
      <w:sz w:val="21"/>
    </w:rPr>
  </w:style>
  <w:style w:type="character" w:styleId="1041" w:customStyle="1">
    <w:name w:val="Plain Text Char"/>
    <w:link w:val="1042"/>
    <w:uiPriority w:val="0"/>
    <w:qFormat/>
    <w:rPr>
      <w:rFonts w:ascii="宋体" w:hAnsi="Courier New" w:eastAsia="楷体_GB2312"/>
      <w:sz w:val="26"/>
    </w:rPr>
  </w:style>
  <w:style w:type="paragraph" w:styleId="1042" w:customStyle="1">
    <w:name w:val="纯文本1"/>
    <w:basedOn w:val="951"/>
    <w:link w:val="1041"/>
    <w:uiPriority w:val="0"/>
    <w:qFormat/>
    <w:rPr>
      <w:rFonts w:ascii="宋体" w:hAnsi="Courier New" w:eastAsia="楷体_GB2312"/>
      <w:sz w:val="26"/>
    </w:rPr>
  </w:style>
  <w:style w:type="character" w:styleId="1043" w:customStyle="1">
    <w:name w:val="表正文 Char1"/>
    <w:uiPriority w:val="0"/>
    <w:qFormat/>
    <w:rPr>
      <w:rFonts w:eastAsia="楷体_GB2312"/>
      <w:sz w:val="24"/>
      <w:lang w:val="en-US" w:eastAsia="zh-CN" w:bidi="ar-SA"/>
    </w:rPr>
  </w:style>
  <w:style w:type="character" w:styleId="1044" w:customStyle="1">
    <w:name w:val="_正文段落 Char"/>
    <w:link w:val="1045"/>
    <w:uiPriority w:val="0"/>
    <w:qFormat/>
    <w:rPr>
      <w:rFonts w:ascii="宋体" w:hAnsi="宋体"/>
      <w:sz w:val="24"/>
      <w:szCs w:val="24"/>
    </w:rPr>
  </w:style>
  <w:style w:type="paragraph" w:styleId="1045" w:customStyle="1">
    <w:name w:val="_正文段落"/>
    <w:basedOn w:val="951"/>
    <w:link w:val="1044"/>
    <w:uiPriority w:val="0"/>
    <w:qFormat/>
    <w:pPr>
      <w:ind w:firstLine="480"/>
      <w:spacing w:line="360" w:lineRule="auto"/>
    </w:pPr>
    <w:rPr>
      <w:rFonts w:ascii="宋体" w:hAnsi="宋体"/>
      <w:sz w:val="24"/>
      <w:szCs w:val="24"/>
    </w:rPr>
  </w:style>
  <w:style w:type="character" w:styleId="1046" w:customStyle="1">
    <w:name w:val="Andy_正文 Char"/>
    <w:link w:val="1047"/>
    <w:uiPriority w:val="0"/>
    <w:qFormat/>
    <w:rPr>
      <w:sz w:val="24"/>
      <w:szCs w:val="24"/>
    </w:rPr>
  </w:style>
  <w:style w:type="paragraph" w:styleId="1047" w:customStyle="1">
    <w:name w:val="Andy_正文"/>
    <w:basedOn w:val="951"/>
    <w:link w:val="1046"/>
    <w:uiPriority w:val="0"/>
    <w:qFormat/>
    <w:pPr>
      <w:ind w:firstLine="480"/>
      <w:spacing w:line="360" w:lineRule="auto"/>
    </w:pPr>
    <w:rPr>
      <w:sz w:val="24"/>
      <w:szCs w:val="24"/>
    </w:rPr>
  </w:style>
  <w:style w:type="character" w:styleId="1048" w:customStyle="1">
    <w:name w:val="正文缩进 Char1"/>
    <w:uiPriority w:val="0"/>
    <w:qFormat/>
    <w:rPr>
      <w:rFonts w:eastAsia="楷体_GB2312"/>
      <w:sz w:val="24"/>
    </w:rPr>
  </w:style>
  <w:style w:type="character" w:styleId="1049" w:customStyle="1">
    <w:name w:val="副标题 Char1"/>
    <w:uiPriority w:val="11"/>
    <w:qFormat/>
    <w:rPr>
      <w:rFonts w:ascii="Cambria" w:hAnsi="Cambria" w:cs="Times New Roman"/>
      <w:b/>
      <w:bCs/>
      <w:sz w:val="32"/>
      <w:szCs w:val="32"/>
    </w:rPr>
  </w:style>
  <w:style w:type="character" w:styleId="1050" w:customStyle="1">
    <w:name w:val="Andy_2级 Char"/>
    <w:link w:val="1051"/>
    <w:uiPriority w:val="0"/>
    <w:qFormat/>
    <w:rPr>
      <w:sz w:val="24"/>
    </w:rPr>
  </w:style>
  <w:style w:type="paragraph" w:styleId="1051" w:customStyle="1">
    <w:name w:val="Andy_2级"/>
    <w:basedOn w:val="951"/>
    <w:link w:val="1050"/>
    <w:uiPriority w:val="0"/>
    <w:qFormat/>
    <w:pPr>
      <w:numPr>
        <w:ilvl w:val="1"/>
        <w:numId w:val="1"/>
      </w:numPr>
      <w:spacing w:line="360" w:lineRule="auto"/>
    </w:pPr>
    <w:rPr>
      <w:sz w:val="24"/>
    </w:rPr>
  </w:style>
  <w:style w:type="character" w:styleId="1052" w:customStyle="1">
    <w:name w:val="副标题 Char2"/>
    <w:uiPriority w:val="0"/>
    <w:qFormat/>
    <w:rPr>
      <w:rFonts w:ascii="Cambria" w:hAnsi="Cambria" w:cs="Times New Roman"/>
      <w:b/>
      <w:bCs/>
      <w:sz w:val="32"/>
      <w:szCs w:val="32"/>
    </w:rPr>
  </w:style>
  <w:style w:type="character" w:styleId="1053" w:customStyle="1">
    <w:name w:val="正文首行缩进 2 Char1"/>
    <w:uiPriority w:val="0"/>
    <w:qFormat/>
    <w:rPr>
      <w:rFonts w:ascii="方正仿宋简体" w:hAnsi="创艺简仿宋" w:eastAsia="楷体_GB2312"/>
      <w:sz w:val="26"/>
    </w:rPr>
  </w:style>
  <w:style w:type="character" w:styleId="1054" w:customStyle="1">
    <w:name w:val="ca-221"/>
    <w:uiPriority w:val="0"/>
    <w:qFormat/>
    <w:rPr>
      <w:rFonts w:hint="eastAsia" w:ascii="宋体" w:hAnsi="宋体" w:eastAsia="宋体"/>
      <w:color w:val="ff0000"/>
      <w:sz w:val="24"/>
      <w:szCs w:val="24"/>
    </w:rPr>
  </w:style>
  <w:style w:type="paragraph" w:styleId="1055" w:customStyle="1">
    <w:name w:val="纯文本11"/>
    <w:basedOn w:val="951"/>
    <w:uiPriority w:val="0"/>
    <w:qFormat/>
    <w:rPr>
      <w:rFonts w:ascii="宋体" w:hAnsi="Courier New" w:eastAsia="楷体_GB2312" w:cs="Times New Roman"/>
      <w:sz w:val="26"/>
      <w:szCs w:val="20"/>
    </w:rPr>
  </w:style>
  <w:style w:type="paragraph" w:styleId="1056" w:customStyle="1">
    <w:name w:val="xl70"/>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1057" w:customStyle="1">
    <w:name w:val="xl69"/>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1058" w:customStyle="1">
    <w:name w:val="xl79"/>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59" w:customStyle="1">
    <w:name w:val="xl86"/>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1060" w:customStyle="1">
    <w:name w:val="纯文本2"/>
    <w:basedOn w:val="951"/>
    <w:uiPriority w:val="0"/>
    <w:qFormat/>
    <w:rPr>
      <w:rFonts w:ascii="宋体" w:hAnsi="Courier New" w:eastAsia="楷体_GB2312" w:cs="Times New Roman"/>
      <w:sz w:val="26"/>
      <w:szCs w:val="20"/>
    </w:rPr>
  </w:style>
  <w:style w:type="paragraph" w:styleId="1061" w:customStyle="1">
    <w:name w:val="列出段落2"/>
    <w:basedOn w:val="951"/>
    <w:uiPriority w:val="0"/>
    <w:qFormat/>
    <w:pPr>
      <w:ind w:firstLine="420"/>
    </w:pPr>
    <w:rPr>
      <w:rFonts w:ascii="Calibri" w:hAnsi="Calibri" w:eastAsia="宋体" w:cs="Times New Roman"/>
    </w:rPr>
  </w:style>
  <w:style w:type="paragraph" w:styleId="1062" w:customStyle="1">
    <w:name w:val="xl78"/>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63" w:customStyle="1">
    <w:name w:val="xl96"/>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64" w:customStyle="1">
    <w:name w:val="Char Char Char Char"/>
    <w:basedOn w:val="965"/>
    <w:uiPriority w:val="0"/>
    <w:qFormat/>
    <w:pPr>
      <w:ind w:left="357"/>
      <w:jc w:val="left"/>
      <w:spacing w:line="436" w:lineRule="exact"/>
      <w:outlineLvl w:val="3"/>
    </w:pPr>
    <w:rPr>
      <w:rFonts w:ascii="Tahoma" w:hAnsi="Tahoma" w:eastAsia="宋体"/>
      <w:b/>
      <w:sz w:val="24"/>
      <w:szCs w:val="24"/>
    </w:rPr>
  </w:style>
  <w:style w:type="paragraph" w:styleId="1065" w:customStyle="1">
    <w:name w:val="列出段落1"/>
    <w:basedOn w:val="951"/>
    <w:uiPriority w:val="0"/>
    <w:qFormat/>
    <w:pPr>
      <w:ind w:firstLine="420"/>
    </w:pPr>
    <w:rPr>
      <w:rFonts w:ascii="Calibri" w:hAnsi="Calibri" w:eastAsia="楷体_GB2312" w:cs="Times New Roman"/>
      <w:sz w:val="26"/>
      <w:szCs w:val="20"/>
    </w:rPr>
  </w:style>
  <w:style w:type="paragraph" w:styleId="1066" w:customStyle="1">
    <w:name w:val="xl74"/>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067" w:customStyle="1">
    <w:name w:val="纯文本4"/>
    <w:basedOn w:val="951"/>
    <w:uiPriority w:val="0"/>
    <w:qFormat/>
    <w:rPr>
      <w:rFonts w:ascii="宋体" w:hAnsi="Courier New" w:eastAsia="楷体_GB2312" w:cs="Times New Roman"/>
      <w:sz w:val="26"/>
      <w:szCs w:val="20"/>
    </w:rPr>
  </w:style>
  <w:style w:type="paragraph" w:styleId="1068" w:customStyle="1">
    <w:name w:val="xl92"/>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69" w:customStyle="1">
    <w:name w:val="xl66"/>
    <w:basedOn w:val="95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70" w:customStyle="1">
    <w:name w:val="xl94"/>
    <w:basedOn w:val="951"/>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1071" w:customStyle="1">
    <w:name w:val="Char Char3"/>
    <w:basedOn w:val="951"/>
    <w:uiPriority w:val="0"/>
    <w:qFormat/>
    <w:pPr>
      <w:jc w:val="left"/>
      <w:spacing w:after="160" w:line="240" w:lineRule="exact"/>
      <w:widowControl/>
    </w:pPr>
    <w:rPr>
      <w:rFonts w:ascii="Calibri" w:hAnsi="Calibri" w:eastAsia="宋体" w:cs="Times New Roman"/>
      <w:sz w:val="24"/>
      <w:szCs w:val="24"/>
    </w:rPr>
  </w:style>
  <w:style w:type="paragraph" w:styleId="1072" w:customStyle="1">
    <w:name w:val="xl95"/>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073" w:customStyle="1">
    <w:name w:val="xl85"/>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74" w:customStyle="1">
    <w:name w:val="q3"/>
    <w:basedOn w:val="951"/>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1075" w:customStyle="1">
    <w:name w:val="xl91"/>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76" w:customStyle="1">
    <w:name w:val="Char Char Char"/>
    <w:basedOn w:val="951"/>
    <w:uiPriority w:val="0"/>
    <w:qFormat/>
    <w:pPr>
      <w:numPr>
        <w:ilvl w:val="0"/>
        <w:numId w:val="2"/>
      </w:numPr>
    </w:pPr>
    <w:rPr>
      <w:rFonts w:ascii="Calibri" w:hAnsi="Calibri" w:eastAsia="宋体" w:cs="Times New Roman"/>
      <w:sz w:val="24"/>
      <w:szCs w:val="24"/>
    </w:rPr>
  </w:style>
  <w:style w:type="paragraph" w:styleId="1077" w:customStyle="1">
    <w:name w:val="xl80"/>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78" w:customStyle="1">
    <w:name w:val="修订1"/>
    <w:uiPriority w:val="99"/>
    <w:unhideWhenUsed/>
    <w:qFormat/>
    <w:rPr>
      <w:rFonts w:ascii="Calibri" w:hAnsi="Calibri" w:eastAsia="楷体_GB2312" w:cs="Times New Roman"/>
      <w:sz w:val="26"/>
      <w:lang w:val="en-US" w:eastAsia="zh-CN" w:bidi="ar-SA"/>
    </w:rPr>
  </w:style>
  <w:style w:type="paragraph" w:styleId="1079" w:customStyle="1">
    <w:name w:val="xl72"/>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1080"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1081" w:customStyle="1">
    <w:name w:val="纯文本111"/>
    <w:basedOn w:val="951"/>
    <w:uiPriority w:val="0"/>
    <w:qFormat/>
    <w:rPr>
      <w:rFonts w:ascii="宋体" w:hAnsi="Courier New" w:eastAsia="楷体_GB2312" w:cs="Times New Roman"/>
      <w:sz w:val="26"/>
      <w:szCs w:val="20"/>
    </w:rPr>
  </w:style>
  <w:style w:type="paragraph" w:styleId="1082" w:customStyle="1">
    <w:name w:val="xl93"/>
    <w:basedOn w:val="95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1083"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1084" w:customStyle="1">
    <w:name w:val="xl71"/>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85" w:customStyle="1">
    <w:name w:val="xl87"/>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1086" w:customStyle="1">
    <w:name w:val="Char"/>
    <w:basedOn w:val="951"/>
    <w:uiPriority w:val="0"/>
    <w:qFormat/>
    <w:pPr>
      <w:jc w:val="left"/>
      <w:spacing w:after="160" w:line="240" w:lineRule="exact"/>
      <w:widowControl/>
    </w:pPr>
    <w:rPr>
      <w:rFonts w:ascii="Verdana" w:hAnsi="Verdana" w:eastAsia="仿宋_GB2312" w:cs="Times New Roman"/>
      <w:sz w:val="24"/>
      <w:szCs w:val="20"/>
      <w:lang w:eastAsia="en-US"/>
    </w:rPr>
  </w:style>
  <w:style w:type="paragraph" w:styleId="1087" w:customStyle="1">
    <w:name w:val="xl67"/>
    <w:basedOn w:val="951"/>
    <w:uiPriority w:val="0"/>
    <w:qFormat/>
    <w:pPr>
      <w:jc w:val="left"/>
      <w:spacing w:before="100" w:beforeAutospacing="1" w:after="100" w:afterAutospacing="1"/>
      <w:widowControl/>
    </w:pPr>
    <w:rPr>
      <w:rFonts w:ascii="仿宋_GB2312" w:hAnsi="宋体" w:eastAsia="仿宋_GB2312" w:cs="宋体"/>
      <w:sz w:val="20"/>
      <w:szCs w:val="20"/>
    </w:rPr>
  </w:style>
  <w:style w:type="paragraph" w:styleId="1088" w:customStyle="1">
    <w:name w:val="xl81"/>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089" w:customStyle="1">
    <w:name w:val="xl73"/>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090" w:customStyle="1">
    <w:name w:val="xl68"/>
    <w:basedOn w:val="951"/>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1091" w:customStyle="1">
    <w:name w:val="正文1"/>
    <w:basedOn w:val="951"/>
    <w:next w:val="951"/>
    <w:uiPriority w:val="0"/>
    <w:qFormat/>
    <w:pPr>
      <w:ind w:left="420" w:firstLine="527"/>
      <w:spacing w:before="120" w:line="360" w:lineRule="auto"/>
    </w:pPr>
    <w:rPr>
      <w:rFonts w:ascii="宋体" w:hAnsi="宋体" w:eastAsia="宋体" w:cs="Times New Roman"/>
      <w:sz w:val="24"/>
      <w:szCs w:val="24"/>
    </w:rPr>
  </w:style>
  <w:style w:type="paragraph" w:styleId="1092" w:customStyle="1">
    <w:name w:val="xl90"/>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93" w:customStyle="1">
    <w:name w:val="xl83"/>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1094" w:customStyle="1">
    <w:name w:val="xl76"/>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095" w:customStyle="1">
    <w:name w:val="xl82"/>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1096">
    <w:name w:val="List Paragraph"/>
    <w:basedOn w:val="951"/>
    <w:uiPriority w:val="34"/>
    <w:qFormat/>
    <w:pPr>
      <w:ind w:firstLine="420"/>
    </w:pPr>
    <w:rPr>
      <w:rFonts w:ascii="Calibri" w:hAnsi="Calibri" w:eastAsia="楷体_GB2312" w:cs="Times New Roman"/>
      <w:sz w:val="26"/>
      <w:szCs w:val="20"/>
    </w:rPr>
  </w:style>
  <w:style w:type="paragraph" w:styleId="1097" w:customStyle="1">
    <w:name w:val="纯文本5"/>
    <w:basedOn w:val="951"/>
    <w:uiPriority w:val="0"/>
    <w:qFormat/>
    <w:rPr>
      <w:rFonts w:ascii="宋体" w:hAnsi="Courier New" w:eastAsia="楷体_GB2312" w:cs="Times New Roman"/>
      <w:sz w:val="26"/>
      <w:szCs w:val="20"/>
    </w:rPr>
  </w:style>
  <w:style w:type="paragraph" w:styleId="1098" w:customStyle="1">
    <w:name w:val="xl84"/>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1099" w:customStyle="1">
    <w:name w:val="xl88"/>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1100" w:customStyle="1">
    <w:name w:val="xl75"/>
    <w:basedOn w:val="9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1101" w:customStyle="1">
    <w:name w:val="xl97"/>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1102" w:customStyle="1">
    <w:name w:val="xl77"/>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1103" w:customStyle="1">
    <w:name w:val="xl89"/>
    <w:basedOn w:val="9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1104" w:customStyle="1">
    <w:name w:val="Table Grid"/>
    <w:uiPriority w:val="0"/>
    <w:qFormat/>
    <w:rPr>
      <w:rFonts w:ascii="Calibri" w:hAnsi="Calibri"/>
    </w:rPr>
    <w:tblPr>
      <w:tblCellMar>
        <w:left w:w="0" w:type="dxa"/>
        <w:top w:w="0" w:type="dxa"/>
        <w:right w:w="0" w:type="dxa"/>
        <w:bottom w:w="0" w:type="dxa"/>
      </w:tblCellMar>
    </w:tblPr>
  </w:style>
  <w:style w:type="paragraph" w:styleId="1105" w:customStyle="1">
    <w:name w:val="Plain Text1"/>
    <w:basedOn w:val="951"/>
    <w:uiPriority w:val="0"/>
    <w:qFormat/>
    <w:rPr>
      <w:rFonts w:ascii="宋体" w:hAnsi="Courier New" w:eastAsia="楷体_GB2312" w:cs="Times New Roman"/>
      <w:sz w:val="26"/>
      <w:szCs w:val="20"/>
    </w:rPr>
  </w:style>
  <w:style w:type="table" w:styleId="1106" w:customStyle="1">
    <w:name w:val="网格型1"/>
    <w:basedOn w:val="9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07"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1108"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1109"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110"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111"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112"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113" w:customStyle="1">
    <w:name w:val="font81"/>
    <w:basedOn w:val="958"/>
    <w:uiPriority w:val="0"/>
    <w:qFormat/>
    <w:rPr>
      <w:rFonts w:hint="eastAsia" w:ascii="宋体" w:hAnsi="宋体" w:eastAsia="宋体" w:cs="宋体"/>
      <w:color w:val="000000"/>
      <w:sz w:val="18"/>
      <w:szCs w:val="18"/>
      <w:u w:val="none"/>
    </w:rPr>
  </w:style>
  <w:style w:type="character" w:styleId="1114" w:customStyle="1">
    <w:name w:val="font91"/>
    <w:basedOn w:val="958"/>
    <w:uiPriority w:val="0"/>
    <w:qFormat/>
    <w:rPr>
      <w:rFonts w:hint="eastAsia" w:ascii="宋体" w:hAnsi="宋体" w:eastAsia="宋体" w:cs="宋体"/>
      <w:b/>
      <w:bCs/>
      <w:color w:val="ff0000"/>
      <w:sz w:val="18"/>
      <w:szCs w:val="18"/>
      <w:u w:val="none"/>
    </w:rPr>
  </w:style>
  <w:style w:type="character" w:styleId="1115" w:customStyle="1">
    <w:name w:val="font21"/>
    <w:basedOn w:val="958"/>
    <w:uiPriority w:val="0"/>
    <w:qFormat/>
    <w:rPr>
      <w:rFonts w:hint="eastAsia" w:ascii="宋体" w:hAnsi="宋体" w:eastAsia="宋体" w:cs="宋体"/>
      <w:b/>
      <w:bCs/>
      <w:color w:val="000000"/>
      <w:sz w:val="22"/>
      <w:szCs w:val="22"/>
      <w:u w:val="none"/>
    </w:rPr>
  </w:style>
  <w:style w:type="character" w:styleId="1116" w:customStyle="1">
    <w:name w:val="font51"/>
    <w:basedOn w:val="958"/>
    <w:uiPriority w:val="0"/>
    <w:qFormat/>
    <w:rPr>
      <w:rFonts w:hint="eastAsia" w:ascii="宋体" w:hAnsi="宋体" w:eastAsia="宋体" w:cs="宋体"/>
      <w:b/>
      <w:bCs/>
      <w:color w:val="ff0000"/>
      <w:sz w:val="22"/>
      <w:szCs w:val="22"/>
      <w:u w:val="none"/>
    </w:rPr>
  </w:style>
  <w:style w:type="character" w:styleId="1117" w:customStyle="1">
    <w:name w:val="font31"/>
    <w:basedOn w:val="958"/>
    <w:uiPriority w:val="0"/>
    <w:qFormat/>
    <w:rPr>
      <w:rFonts w:hint="eastAsia" w:ascii="宋体" w:hAnsi="宋体" w:eastAsia="宋体" w:cs="宋体"/>
      <w:color w:val="000000"/>
      <w:sz w:val="22"/>
      <w:szCs w:val="22"/>
      <w:u w:val="none"/>
    </w:rPr>
  </w:style>
  <w:style w:type="character" w:styleId="1118" w:customStyle="1">
    <w:name w:val="font61"/>
    <w:basedOn w:val="958"/>
    <w:uiPriority w:val="0"/>
    <w:qFormat/>
    <w:rPr>
      <w:rFonts w:hint="eastAsia" w:ascii="宋体" w:hAnsi="宋体" w:eastAsia="宋体" w:cs="宋体"/>
      <w:color w:val="ff0000"/>
      <w:sz w:val="22"/>
      <w:szCs w:val="22"/>
      <w:u w:val="none"/>
    </w:rPr>
  </w:style>
  <w:style w:type="table" w:styleId="1119" w:customStyle="1">
    <w:name w:val="Table Normal"/>
    <w:uiPriority w:val="0"/>
    <w:unhideWhenUsed/>
    <w:qFormat/>
    <w:tblPr>
      <w:tblCellMar>
        <w:left w:w="0" w:type="dxa"/>
        <w:top w:w="0" w:type="dxa"/>
        <w:right w:w="0" w:type="dxa"/>
        <w:bottom w:w="0" w:type="dxa"/>
      </w:tblCellMar>
    </w:tblPr>
  </w:style>
  <w:style w:type="character" w:styleId="1120" w:customStyle="1">
    <w:name w:val="NormalCharacter"/>
    <w:uiPriority w:val="0"/>
    <w:semiHidden/>
    <w:qFormat/>
  </w:style>
  <w:style w:type="paragraph" w:styleId="1121" w:customStyle="1">
    <w:name w:val="NormalIndent"/>
    <w:basedOn w:val="951"/>
    <w:uiPriority w:val="0"/>
    <w:qFormat/>
    <w:pPr>
      <w:ind w:firstLine="420"/>
      <w:jc w:val="left"/>
      <w:widowControl/>
    </w:pPr>
    <w:rPr>
      <w:sz w:val="24"/>
    </w:rPr>
  </w:style>
  <w:style w:type="paragraph" w:styleId="1122" w:customStyle="1">
    <w:name w:val="正文缩进1"/>
    <w:basedOn w:val="951"/>
    <w:uiPriority w:val="0"/>
    <w:qFormat/>
    <w:pPr>
      <w:ind w:firstLine="420"/>
      <w:jc w:val="left"/>
    </w:pPr>
    <w:rPr>
      <w:sz w:val="24"/>
    </w:r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StyleName="APA Fifth Edition" SelectedStyle="\APA.XSL"/>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93FEE30-CA69-4E23-A1A7-85AD10BD71F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沈川渝</cp:lastModifiedBy>
  <cp:revision>11</cp:revision>
  <dcterms:created xsi:type="dcterms:W3CDTF">2022-06-13T16:19:00Z</dcterms:created>
  <dcterms:modified xsi:type="dcterms:W3CDTF">2026-04-01T06:34:10Z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338CAD65E026BB8ABDAFAE67A57A7EB9_43</vt:lpwstr>
  </property>
  <property fmtid="{D5CDD505-2E9C-101B-9397-08002B2CF9AE}" pid="4" name="KSOTemplateDocerSaveRecord">
    <vt:lpwstr>eyJoZGlkIjoiNDcyOTY2ZDg2ZWQ5ZmU4ZTI4MDIxMTM2NjJiNDA2MzYiLCJ1c2VySWQiOiIzMjk1NDQ3OTEifQ==</vt:lpwstr>
  </property>
</Properties>
</file>