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B6AF">
      <w:pPr>
        <w:spacing w:line="360" w:lineRule="auto"/>
        <w:jc w:val="center"/>
        <w:rPr>
          <w:rFonts w:hint="eastAsia" w:ascii="宋体" w:hAnsi="宋体" w:cs="宋体"/>
          <w:b/>
          <w:sz w:val="30"/>
          <w:szCs w:val="30"/>
          <w:lang w:eastAsia="zh-CN"/>
        </w:rPr>
      </w:pPr>
      <w:r>
        <w:rPr>
          <w:rFonts w:hint="eastAsia" w:ascii="宋体" w:hAnsi="宋体" w:cs="宋体"/>
          <w:b/>
          <w:sz w:val="30"/>
          <w:szCs w:val="30"/>
          <w:lang w:eastAsia="zh-CN"/>
        </w:rPr>
        <w:t>镇江市第四人民医院妇幼保健院主楼八楼改造项目</w:t>
      </w:r>
    </w:p>
    <w:p w14:paraId="299AEA72">
      <w:pPr>
        <w:spacing w:line="360" w:lineRule="auto"/>
        <w:jc w:val="center"/>
        <w:rPr>
          <w:rFonts w:ascii="宋体" w:hAnsi="宋体" w:cs="宋体"/>
          <w:b/>
          <w:sz w:val="30"/>
          <w:szCs w:val="30"/>
        </w:rPr>
      </w:pPr>
      <w:r>
        <w:rPr>
          <w:rFonts w:hint="eastAsia" w:ascii="宋体" w:hAnsi="宋体" w:cs="宋体"/>
          <w:b/>
          <w:sz w:val="30"/>
          <w:szCs w:val="30"/>
          <w:lang w:val="en-US" w:eastAsia="zh-CN"/>
        </w:rPr>
        <w:t>工程量清单</w:t>
      </w:r>
      <w:r>
        <w:rPr>
          <w:rFonts w:hint="eastAsia" w:ascii="宋体" w:hAnsi="宋体" w:cs="宋体"/>
          <w:b/>
          <w:sz w:val="30"/>
          <w:szCs w:val="30"/>
        </w:rPr>
        <w:t>编制说明</w:t>
      </w:r>
    </w:p>
    <w:p w14:paraId="38705E41">
      <w:pPr>
        <w:spacing w:line="360" w:lineRule="auto"/>
        <w:rPr>
          <w:rFonts w:ascii="宋体" w:hAnsi="宋体" w:cs="宋体"/>
          <w:b/>
          <w:sz w:val="24"/>
        </w:rPr>
      </w:pPr>
      <w:r>
        <w:rPr>
          <w:rFonts w:hint="eastAsia" w:ascii="宋体" w:hAnsi="宋体" w:cs="宋体"/>
          <w:b/>
          <w:sz w:val="24"/>
        </w:rPr>
        <w:t>一、工程概况</w:t>
      </w:r>
    </w:p>
    <w:p w14:paraId="1CDFD7EA">
      <w:pPr>
        <w:spacing w:line="360" w:lineRule="auto"/>
        <w:ind w:firstLine="480"/>
        <w:jc w:val="left"/>
        <w:rPr>
          <w:rFonts w:ascii="宋体" w:hAnsi="宋体" w:cs="宋体"/>
          <w:sz w:val="24"/>
          <w:lang w:val="zh-CN"/>
        </w:rPr>
      </w:pPr>
      <w:r>
        <w:rPr>
          <w:rFonts w:hint="eastAsia" w:ascii="宋体" w:hAnsi="宋体" w:cs="宋体"/>
          <w:sz w:val="24"/>
        </w:rPr>
        <w:t>1、</w:t>
      </w:r>
      <w:r>
        <w:rPr>
          <w:rFonts w:hint="eastAsia" w:ascii="宋体" w:hAnsi="宋体" w:cs="宋体"/>
          <w:sz w:val="24"/>
          <w:lang w:val="zh-CN"/>
        </w:rPr>
        <w:t>镇江市第四人民医院妇幼保健院主楼八楼改造项目位于</w:t>
      </w:r>
      <w:r>
        <w:rPr>
          <w:rFonts w:hint="eastAsia" w:ascii="宋体" w:hAnsi="宋体" w:cs="宋体"/>
          <w:sz w:val="24"/>
          <w:lang w:val="en-US" w:eastAsia="zh-CN"/>
        </w:rPr>
        <w:t>第四人民医院八楼</w:t>
      </w:r>
      <w:r>
        <w:rPr>
          <w:rFonts w:hint="eastAsia" w:ascii="宋体" w:hAnsi="宋体" w:cs="宋体"/>
          <w:sz w:val="24"/>
          <w:lang w:val="zh-CN"/>
        </w:rPr>
        <w:t>，</w:t>
      </w:r>
      <w:r>
        <w:rPr>
          <w:rFonts w:hint="eastAsia" w:ascii="宋体" w:hAnsi="宋体" w:cs="宋体"/>
          <w:sz w:val="24"/>
        </w:rPr>
        <w:t>主要</w:t>
      </w:r>
      <w:r>
        <w:rPr>
          <w:rFonts w:hint="eastAsia" w:ascii="宋体" w:hAnsi="宋体" w:cs="宋体"/>
          <w:sz w:val="24"/>
          <w:lang w:val="en-US" w:eastAsia="zh-CN"/>
        </w:rPr>
        <w:t>装饰改造</w:t>
      </w:r>
      <w:r>
        <w:rPr>
          <w:rFonts w:hint="eastAsia" w:ascii="宋体" w:hAnsi="宋体" w:cs="宋体"/>
          <w:sz w:val="24"/>
        </w:rPr>
        <w:t>等</w:t>
      </w:r>
      <w:r>
        <w:rPr>
          <w:rFonts w:hint="eastAsia" w:ascii="宋体" w:hAnsi="宋体" w:cs="宋体"/>
          <w:sz w:val="24"/>
          <w:lang w:val="zh-CN"/>
        </w:rPr>
        <w:t>。</w:t>
      </w:r>
    </w:p>
    <w:p w14:paraId="34138405">
      <w:pPr>
        <w:spacing w:line="360" w:lineRule="auto"/>
        <w:ind w:firstLine="480"/>
        <w:jc w:val="left"/>
        <w:rPr>
          <w:rFonts w:ascii="宋体" w:hAnsi="宋体" w:cs="宋体"/>
          <w:sz w:val="24"/>
          <w:lang w:val="zh-CN"/>
        </w:rPr>
      </w:pPr>
      <w:r>
        <w:rPr>
          <w:rFonts w:hint="eastAsia" w:ascii="宋体" w:hAnsi="宋体" w:cs="宋体"/>
          <w:sz w:val="24"/>
          <w:lang w:val="zh-CN"/>
        </w:rPr>
        <w:t>2、工期要求：详见招标文件。</w:t>
      </w:r>
    </w:p>
    <w:p w14:paraId="06CA1F17">
      <w:pPr>
        <w:spacing w:line="360" w:lineRule="auto"/>
        <w:ind w:firstLine="480"/>
        <w:jc w:val="left"/>
        <w:rPr>
          <w:rFonts w:ascii="宋体" w:hAnsi="宋体" w:cs="宋体"/>
          <w:sz w:val="24"/>
          <w:lang w:val="zh-CN"/>
        </w:rPr>
      </w:pPr>
      <w:r>
        <w:rPr>
          <w:rFonts w:hint="eastAsia" w:ascii="宋体" w:hAnsi="宋体" w:cs="宋体"/>
          <w:sz w:val="24"/>
          <w:lang w:val="zh-CN"/>
        </w:rPr>
        <w:t>3、质量要求：详见招标文件，同时应满足国家有关的设计、施工以及验收规范的要求。</w:t>
      </w:r>
    </w:p>
    <w:p w14:paraId="17BD4B56">
      <w:pPr>
        <w:spacing w:line="360" w:lineRule="auto"/>
        <w:outlineLvl w:val="0"/>
        <w:rPr>
          <w:rFonts w:ascii="宋体" w:hAnsi="宋体" w:cs="宋体"/>
          <w:b/>
          <w:sz w:val="24"/>
        </w:rPr>
      </w:pPr>
      <w:r>
        <w:rPr>
          <w:rFonts w:hint="eastAsia" w:ascii="宋体" w:hAnsi="宋体" w:cs="宋体"/>
          <w:b/>
          <w:sz w:val="24"/>
        </w:rPr>
        <w:t>二、工程量清单编制范围和依据</w:t>
      </w:r>
    </w:p>
    <w:p w14:paraId="50D812E8">
      <w:pPr>
        <w:spacing w:line="360" w:lineRule="auto"/>
        <w:ind w:firstLine="480" w:firstLineChars="200"/>
        <w:outlineLvl w:val="0"/>
        <w:rPr>
          <w:rFonts w:ascii="宋体" w:hAnsi="宋体" w:cs="宋体"/>
          <w:b/>
          <w:sz w:val="24"/>
        </w:rPr>
      </w:pPr>
      <w:r>
        <w:rPr>
          <w:rFonts w:hint="eastAsia" w:ascii="宋体" w:hAnsi="宋体" w:cs="宋体"/>
          <w:sz w:val="24"/>
        </w:rPr>
        <w:t>1、</w:t>
      </w:r>
      <w:r>
        <w:rPr>
          <w:rFonts w:hint="eastAsia" w:ascii="宋体" w:hAnsi="宋体" w:cs="宋体"/>
          <w:sz w:val="24"/>
          <w:lang w:val="zh-CN"/>
        </w:rPr>
        <w:t>本工程量清单根据</w:t>
      </w:r>
      <w:r>
        <w:rPr>
          <w:rFonts w:hint="eastAsia" w:ascii="宋体" w:hAnsi="宋体" w:cs="宋体"/>
          <w:sz w:val="24"/>
        </w:rPr>
        <w:t>业主</w:t>
      </w:r>
      <w:r>
        <w:rPr>
          <w:rFonts w:hint="eastAsia" w:ascii="宋体" w:hAnsi="宋体" w:cs="宋体"/>
          <w:sz w:val="24"/>
          <w:lang w:val="zh-CN"/>
        </w:rPr>
        <w:t>提供的</w:t>
      </w:r>
      <w:r>
        <w:rPr>
          <w:rFonts w:hint="eastAsia" w:ascii="宋体" w:hAnsi="宋体" w:cs="宋体"/>
          <w:sz w:val="24"/>
          <w:lang w:val="en-US" w:eastAsia="zh-CN"/>
        </w:rPr>
        <w:t>图纸等</w:t>
      </w:r>
      <w:r>
        <w:rPr>
          <w:rFonts w:hint="eastAsia" w:ascii="宋体" w:hAnsi="宋体" w:cs="宋体"/>
          <w:sz w:val="24"/>
        </w:rPr>
        <w:t>相关内容</w:t>
      </w:r>
      <w:r>
        <w:rPr>
          <w:rFonts w:hint="eastAsia" w:ascii="宋体" w:hAnsi="宋体" w:cs="宋体"/>
          <w:sz w:val="24"/>
          <w:lang w:val="zh-CN"/>
        </w:rPr>
        <w:t>；</w:t>
      </w:r>
      <w:r>
        <w:rPr>
          <w:rFonts w:hint="eastAsia" w:ascii="宋体" w:hAnsi="宋体" w:cs="宋体"/>
          <w:sz w:val="24"/>
        </w:rPr>
        <w:t>所有工程量清单；</w:t>
      </w:r>
      <w:r>
        <w:rPr>
          <w:rFonts w:hint="eastAsia" w:ascii="宋体" w:hAnsi="宋体" w:cs="宋体"/>
          <w:sz w:val="24"/>
          <w:lang w:val="zh-CN"/>
        </w:rPr>
        <w:t>与建设工程有关的标准、规范与技术资料；常规施工方案。</w:t>
      </w:r>
    </w:p>
    <w:p w14:paraId="5F9071E8">
      <w:pPr>
        <w:spacing w:line="360" w:lineRule="auto"/>
        <w:ind w:firstLine="480" w:firstLineChars="200"/>
        <w:jc w:val="left"/>
        <w:rPr>
          <w:rFonts w:ascii="宋体" w:hAnsi="宋体" w:cs="宋体"/>
          <w:sz w:val="24"/>
          <w:lang w:val="zh-CN"/>
        </w:rPr>
      </w:pPr>
      <w:r>
        <w:rPr>
          <w:rFonts w:hint="eastAsia" w:ascii="宋体" w:hAnsi="宋体" w:cs="宋体"/>
          <w:sz w:val="24"/>
        </w:rPr>
        <w:t>2.</w:t>
      </w:r>
      <w:r>
        <w:rPr>
          <w:rFonts w:hint="eastAsia" w:ascii="宋体" w:hAnsi="宋体" w:cs="宋体"/>
          <w:sz w:val="24"/>
          <w:lang w:val="zh-CN"/>
        </w:rPr>
        <w:t>本工程采用工程量清单计价方式，执行</w:t>
      </w:r>
      <w:r>
        <w:rPr>
          <w:rFonts w:hint="eastAsia" w:ascii="宋体" w:hAnsi="宋体" w:cs="宋体"/>
          <w:sz w:val="24"/>
        </w:rPr>
        <w:t>《建设工程工程量清单计价规范》（GB50500-2013）、《江苏省建筑与装饰工程量计算规范》（GB50857-2013）、《江苏省建筑与装饰工程计价定额》（2014版）</w:t>
      </w:r>
      <w:r>
        <w:rPr>
          <w:rFonts w:hint="eastAsia" w:ascii="宋体" w:hAnsi="宋体" w:cs="宋体"/>
          <w:sz w:val="24"/>
          <w:lang w:eastAsia="zh-CN"/>
        </w:rPr>
        <w:t>、</w:t>
      </w:r>
      <w:r>
        <w:rPr>
          <w:rFonts w:hint="eastAsia" w:ascii="宋体" w:hAnsi="宋体" w:cs="宋体"/>
          <w:sz w:val="24"/>
          <w:lang w:val="en-US" w:eastAsia="zh-CN"/>
        </w:rPr>
        <w:t>2014版《江苏省建设工程费用定额》</w:t>
      </w:r>
      <w:r>
        <w:rPr>
          <w:rFonts w:hint="eastAsia" w:ascii="宋体" w:hAnsi="宋体" w:cs="宋体"/>
          <w:sz w:val="24"/>
        </w:rPr>
        <w:t>及</w:t>
      </w:r>
      <w:r>
        <w:rPr>
          <w:rFonts w:hint="eastAsia" w:ascii="宋体" w:hAnsi="宋体" w:cs="宋体"/>
          <w:sz w:val="24"/>
          <w:lang w:val="zh-CN"/>
        </w:rPr>
        <w:t>《苏建价（</w:t>
      </w:r>
      <w:r>
        <w:rPr>
          <w:rFonts w:hint="eastAsia" w:ascii="宋体" w:hAnsi="宋体" w:cs="宋体"/>
          <w:sz w:val="24"/>
        </w:rPr>
        <w:t>2019）178</w:t>
      </w:r>
      <w:r>
        <w:rPr>
          <w:rFonts w:hint="eastAsia" w:ascii="宋体" w:hAnsi="宋体" w:cs="宋体"/>
          <w:sz w:val="24"/>
          <w:lang w:val="zh-CN"/>
        </w:rPr>
        <w:t>号》营改后调整内容。</w:t>
      </w:r>
    </w:p>
    <w:p w14:paraId="248385BB">
      <w:pPr>
        <w:spacing w:line="360" w:lineRule="auto"/>
        <w:ind w:firstLine="480" w:firstLineChars="200"/>
        <w:jc w:val="left"/>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rPr>
        <w:t>、执行</w:t>
      </w:r>
      <w:r>
        <w:rPr>
          <w:rFonts w:hint="eastAsia" w:ascii="宋体" w:hAnsi="宋体" w:cs="宋体"/>
          <w:sz w:val="24"/>
          <w:lang w:val="en-US" w:eastAsia="zh-CN"/>
        </w:rPr>
        <w:t>江苏省、</w:t>
      </w:r>
      <w:r>
        <w:rPr>
          <w:rFonts w:hint="eastAsia" w:ascii="宋体" w:hAnsi="宋体" w:cs="宋体"/>
          <w:sz w:val="24"/>
          <w:lang w:val="zh-CN"/>
        </w:rPr>
        <w:t>镇江</w:t>
      </w:r>
      <w:r>
        <w:rPr>
          <w:rFonts w:hint="eastAsia" w:ascii="宋体" w:hAnsi="宋体" w:cs="宋体"/>
          <w:sz w:val="24"/>
          <w:lang w:val="en-US" w:eastAsia="zh-CN"/>
        </w:rPr>
        <w:t>市</w:t>
      </w:r>
      <w:r>
        <w:rPr>
          <w:rFonts w:hint="eastAsia" w:ascii="宋体" w:hAnsi="宋体" w:cs="宋体"/>
          <w:sz w:val="24"/>
          <w:lang w:val="zh-CN"/>
        </w:rPr>
        <w:t>的相关计价规定。</w:t>
      </w:r>
    </w:p>
    <w:p w14:paraId="3B94F21F">
      <w:pPr>
        <w:spacing w:line="3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、委托方编标要求。</w:t>
      </w:r>
    </w:p>
    <w:p w14:paraId="562D2433">
      <w:pPr>
        <w:tabs>
          <w:tab w:val="left" w:pos="540"/>
          <w:tab w:val="left" w:pos="2700"/>
          <w:tab w:val="left" w:pos="5040"/>
        </w:tabs>
        <w:spacing w:line="380" w:lineRule="exact"/>
        <w:outlineLvl w:val="0"/>
        <w:rPr>
          <w:rFonts w:ascii="宋体" w:hAnsi="宋体" w:cs="宋体"/>
          <w:b/>
          <w:sz w:val="24"/>
        </w:rPr>
      </w:pPr>
      <w:r>
        <w:rPr>
          <w:rFonts w:hint="eastAsia" w:ascii="宋体" w:hAnsi="宋体" w:cs="宋体"/>
          <w:b/>
          <w:sz w:val="24"/>
        </w:rPr>
        <w:t>三、工程类别及取费标准</w:t>
      </w:r>
    </w:p>
    <w:p w14:paraId="3A05BCCE">
      <w:pPr>
        <w:spacing w:line="360" w:lineRule="auto"/>
        <w:ind w:firstLine="480" w:firstLineChars="200"/>
        <w:rPr>
          <w:rFonts w:hint="eastAsia" w:ascii="宋体" w:hAnsi="宋体" w:cs="宋体"/>
          <w:sz w:val="24"/>
        </w:rPr>
      </w:pPr>
      <w:r>
        <w:rPr>
          <w:rFonts w:hint="eastAsia" w:ascii="宋体" w:hAnsi="宋体" w:cs="宋体"/>
          <w:sz w:val="24"/>
        </w:rPr>
        <w:t>1、工程类别按2014年《江苏省建设工程费用定额》划分标准执行。</w:t>
      </w:r>
    </w:p>
    <w:p w14:paraId="1E05AD1F">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color w:val="000000"/>
          <w:sz w:val="24"/>
        </w:rPr>
        <w:t>规费及现场安全文明措施费率：</w:t>
      </w:r>
      <w:r>
        <w:rPr>
          <w:rFonts w:hint="eastAsia" w:ascii="宋体" w:hAnsi="宋体" w:cs="宋体"/>
          <w:sz w:val="24"/>
        </w:rPr>
        <w:t>安全文明施工措施费、各项规费、税金按镇江市规定费率计取，其余由各投标单位自主报价。</w:t>
      </w:r>
    </w:p>
    <w:p w14:paraId="4A0EF7EA">
      <w:pPr>
        <w:spacing w:line="360" w:lineRule="auto"/>
        <w:ind w:firstLine="480" w:firstLineChars="200"/>
        <w:rPr>
          <w:rFonts w:ascii="宋体" w:hAnsi="宋体" w:cs="宋体"/>
          <w:sz w:val="24"/>
        </w:rPr>
      </w:pPr>
      <w:r>
        <w:rPr>
          <w:rFonts w:hint="eastAsia" w:ascii="宋体" w:hAnsi="宋体" w:cs="宋体"/>
          <w:sz w:val="24"/>
        </w:rPr>
        <w:t>3、各项规费税金税率（%）如下：</w:t>
      </w:r>
    </w:p>
    <w:tbl>
      <w:tblPr>
        <w:tblStyle w:val="5"/>
        <w:tblW w:w="8946" w:type="dxa"/>
        <w:tblInd w:w="0" w:type="dxa"/>
        <w:tblLayout w:type="fixed"/>
        <w:tblCellMar>
          <w:top w:w="0" w:type="dxa"/>
          <w:left w:w="0" w:type="dxa"/>
          <w:bottom w:w="0" w:type="dxa"/>
          <w:right w:w="0" w:type="dxa"/>
        </w:tblCellMar>
      </w:tblPr>
      <w:tblGrid>
        <w:gridCol w:w="1797"/>
        <w:gridCol w:w="1136"/>
        <w:gridCol w:w="900"/>
        <w:gridCol w:w="1080"/>
        <w:gridCol w:w="1186"/>
        <w:gridCol w:w="1276"/>
        <w:gridCol w:w="1571"/>
      </w:tblGrid>
      <w:tr w14:paraId="5072BF7E">
        <w:tblPrEx>
          <w:tblCellMar>
            <w:top w:w="0" w:type="dxa"/>
            <w:left w:w="0" w:type="dxa"/>
            <w:bottom w:w="0" w:type="dxa"/>
            <w:right w:w="0" w:type="dxa"/>
          </w:tblCellMar>
        </w:tblPrEx>
        <w:trPr>
          <w:cantSplit/>
          <w:trHeight w:val="312" w:hRule="atLeast"/>
        </w:trPr>
        <w:tc>
          <w:tcPr>
            <w:tcW w:w="179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EE80F1">
            <w:pPr>
              <w:jc w:val="center"/>
              <w:rPr>
                <w:rFonts w:hint="eastAsia" w:ascii="宋体" w:hAnsi="宋体" w:eastAsia="宋体" w:cs="宋体"/>
                <w:szCs w:val="21"/>
              </w:rPr>
            </w:pPr>
            <w:r>
              <w:rPr>
                <w:rFonts w:hint="eastAsia" w:ascii="宋体" w:hAnsi="宋体" w:eastAsia="宋体" w:cs="宋体"/>
                <w:szCs w:val="21"/>
              </w:rPr>
              <w:t>工程项目</w:t>
            </w:r>
          </w:p>
        </w:tc>
        <w:tc>
          <w:tcPr>
            <w:tcW w:w="1136" w:type="dxa"/>
            <w:vMerge w:val="restart"/>
            <w:tcBorders>
              <w:top w:val="single" w:color="auto" w:sz="4" w:space="0"/>
              <w:left w:val="single" w:color="auto" w:sz="4" w:space="0"/>
              <w:right w:val="single" w:color="auto" w:sz="4" w:space="0"/>
            </w:tcBorders>
            <w:noWrap/>
            <w:vAlign w:val="center"/>
          </w:tcPr>
          <w:p w14:paraId="355FDC29">
            <w:pPr>
              <w:jc w:val="center"/>
              <w:rPr>
                <w:rFonts w:hint="eastAsia" w:ascii="宋体" w:hAnsi="宋体" w:eastAsia="宋体" w:cs="宋体"/>
                <w:szCs w:val="21"/>
              </w:rPr>
            </w:pPr>
            <w:r>
              <w:rPr>
                <w:rFonts w:hint="eastAsia" w:ascii="宋体" w:hAnsi="宋体" w:eastAsia="宋体" w:cs="宋体"/>
                <w:szCs w:val="21"/>
              </w:rPr>
              <w:t>社会保</w:t>
            </w:r>
          </w:p>
          <w:p w14:paraId="539F5E9E">
            <w:pPr>
              <w:jc w:val="center"/>
              <w:rPr>
                <w:rFonts w:hint="eastAsia" w:ascii="宋体" w:hAnsi="宋体" w:eastAsia="宋体" w:cs="宋体"/>
                <w:szCs w:val="21"/>
              </w:rPr>
            </w:pPr>
            <w:r>
              <w:rPr>
                <w:rFonts w:hint="eastAsia" w:ascii="宋体" w:hAnsi="宋体" w:eastAsia="宋体" w:cs="宋体"/>
                <w:szCs w:val="21"/>
              </w:rPr>
              <w:t>障费率</w:t>
            </w:r>
          </w:p>
          <w:p w14:paraId="3E5D7423">
            <w:pPr>
              <w:jc w:val="center"/>
              <w:rPr>
                <w:rFonts w:hint="eastAsia" w:ascii="宋体" w:hAnsi="宋体" w:eastAsia="宋体" w:cs="宋体"/>
                <w:szCs w:val="21"/>
              </w:rPr>
            </w:pPr>
            <w:r>
              <w:rPr>
                <w:rFonts w:hint="eastAsia" w:ascii="宋体" w:hAnsi="宋体" w:eastAsia="宋体" w:cs="宋体"/>
                <w:kern w:val="0"/>
                <w:szCs w:val="21"/>
              </w:rPr>
              <w:t>（%）</w:t>
            </w:r>
          </w:p>
        </w:tc>
        <w:tc>
          <w:tcPr>
            <w:tcW w:w="900" w:type="dxa"/>
            <w:vMerge w:val="restart"/>
            <w:tcBorders>
              <w:top w:val="single" w:color="auto" w:sz="4" w:space="0"/>
              <w:left w:val="single" w:color="auto" w:sz="4" w:space="0"/>
              <w:right w:val="single" w:color="auto" w:sz="4" w:space="0"/>
            </w:tcBorders>
            <w:noWrap/>
            <w:vAlign w:val="center"/>
          </w:tcPr>
          <w:p w14:paraId="0B24455C">
            <w:pPr>
              <w:jc w:val="center"/>
              <w:rPr>
                <w:rFonts w:hint="eastAsia" w:ascii="宋体" w:hAnsi="宋体" w:eastAsia="宋体" w:cs="宋体"/>
                <w:szCs w:val="21"/>
              </w:rPr>
            </w:pPr>
            <w:r>
              <w:rPr>
                <w:rFonts w:hint="eastAsia" w:ascii="宋体" w:hAnsi="宋体" w:eastAsia="宋体" w:cs="宋体"/>
                <w:szCs w:val="21"/>
              </w:rPr>
              <w:t>公积金</w:t>
            </w:r>
          </w:p>
          <w:p w14:paraId="036B4DBD">
            <w:pPr>
              <w:jc w:val="center"/>
              <w:rPr>
                <w:rFonts w:hint="eastAsia" w:ascii="宋体" w:hAnsi="宋体" w:eastAsia="宋体" w:cs="宋体"/>
                <w:szCs w:val="21"/>
              </w:rPr>
            </w:pPr>
            <w:r>
              <w:rPr>
                <w:rFonts w:hint="eastAsia" w:ascii="宋体" w:hAnsi="宋体" w:eastAsia="宋体" w:cs="宋体"/>
                <w:szCs w:val="21"/>
              </w:rPr>
              <w:t>费率</w:t>
            </w:r>
          </w:p>
          <w:p w14:paraId="4D1065F5">
            <w:pPr>
              <w:jc w:val="center"/>
              <w:rPr>
                <w:rFonts w:hint="eastAsia" w:ascii="宋体" w:hAnsi="宋体" w:eastAsia="宋体" w:cs="宋体"/>
                <w:szCs w:val="21"/>
              </w:rPr>
            </w:pPr>
            <w:r>
              <w:rPr>
                <w:rFonts w:hint="eastAsia" w:ascii="宋体" w:hAnsi="宋体" w:eastAsia="宋体" w:cs="宋体"/>
                <w:kern w:val="0"/>
                <w:szCs w:val="21"/>
              </w:rPr>
              <w:t>（%）</w:t>
            </w:r>
          </w:p>
        </w:tc>
        <w:tc>
          <w:tcPr>
            <w:tcW w:w="1080" w:type="dxa"/>
            <w:vMerge w:val="restart"/>
            <w:tcBorders>
              <w:top w:val="single" w:color="auto" w:sz="4" w:space="0"/>
              <w:left w:val="single" w:color="auto" w:sz="4" w:space="0"/>
              <w:right w:val="single" w:color="auto" w:sz="4" w:space="0"/>
            </w:tcBorders>
            <w:noWrap/>
            <w:vAlign w:val="center"/>
          </w:tcPr>
          <w:p w14:paraId="7F021D3F">
            <w:pPr>
              <w:jc w:val="center"/>
              <w:rPr>
                <w:rFonts w:hint="eastAsia" w:ascii="宋体" w:hAnsi="宋体" w:eastAsia="宋体" w:cs="宋体"/>
                <w:color w:val="auto"/>
                <w:szCs w:val="21"/>
              </w:rPr>
            </w:pPr>
            <w:r>
              <w:rPr>
                <w:rFonts w:hint="eastAsia" w:ascii="宋体" w:hAnsi="宋体" w:eastAsia="宋体" w:cs="宋体"/>
                <w:color w:val="auto"/>
                <w:szCs w:val="21"/>
              </w:rPr>
              <w:t>增值税税率</w:t>
            </w:r>
          </w:p>
          <w:p w14:paraId="0F8813D9">
            <w:pPr>
              <w:jc w:val="center"/>
              <w:rPr>
                <w:rFonts w:hint="eastAsia" w:ascii="宋体" w:hAnsi="宋体" w:eastAsia="宋体" w:cs="宋体"/>
                <w:szCs w:val="21"/>
              </w:rPr>
            </w:pPr>
            <w:r>
              <w:rPr>
                <w:rFonts w:hint="eastAsia" w:ascii="宋体" w:hAnsi="宋体" w:eastAsia="宋体" w:cs="宋体"/>
                <w:color w:val="auto"/>
                <w:kern w:val="0"/>
                <w:szCs w:val="21"/>
              </w:rPr>
              <w:t>（%）</w:t>
            </w:r>
          </w:p>
        </w:tc>
        <w:tc>
          <w:tcPr>
            <w:tcW w:w="4033" w:type="dxa"/>
            <w:gridSpan w:val="3"/>
            <w:tcBorders>
              <w:top w:val="single" w:color="auto" w:sz="4" w:space="0"/>
              <w:left w:val="single" w:color="auto" w:sz="4" w:space="0"/>
              <w:bottom w:val="single" w:color="auto" w:sz="4" w:space="0"/>
              <w:right w:val="single" w:color="auto" w:sz="4" w:space="0"/>
            </w:tcBorders>
            <w:noWrap/>
            <w:vAlign w:val="center"/>
          </w:tcPr>
          <w:p w14:paraId="4DD3871D">
            <w:pPr>
              <w:jc w:val="center"/>
              <w:rPr>
                <w:rFonts w:hint="eastAsia" w:ascii="宋体" w:hAnsi="宋体" w:eastAsia="宋体" w:cs="宋体"/>
                <w:szCs w:val="21"/>
              </w:rPr>
            </w:pPr>
            <w:r>
              <w:rPr>
                <w:rFonts w:hint="eastAsia" w:ascii="宋体" w:hAnsi="宋体" w:eastAsia="宋体" w:cs="宋体"/>
                <w:szCs w:val="21"/>
              </w:rPr>
              <w:t>现场安全文明施工措施费率</w:t>
            </w:r>
          </w:p>
        </w:tc>
      </w:tr>
      <w:tr w14:paraId="1A59C242">
        <w:tblPrEx>
          <w:tblCellMar>
            <w:top w:w="0" w:type="dxa"/>
            <w:left w:w="0" w:type="dxa"/>
            <w:bottom w:w="0" w:type="dxa"/>
            <w:right w:w="0" w:type="dxa"/>
          </w:tblCellMar>
        </w:tblPrEx>
        <w:trPr>
          <w:cantSplit/>
          <w:trHeight w:val="836" w:hRule="atLeast"/>
        </w:trPr>
        <w:tc>
          <w:tcPr>
            <w:tcW w:w="1797" w:type="dxa"/>
            <w:vMerge w:val="continue"/>
            <w:tcBorders>
              <w:top w:val="single" w:color="auto" w:sz="4" w:space="0"/>
              <w:left w:val="single" w:color="auto" w:sz="4" w:space="0"/>
              <w:bottom w:val="single" w:color="auto" w:sz="4" w:space="0"/>
              <w:right w:val="single" w:color="auto" w:sz="4" w:space="0"/>
            </w:tcBorders>
            <w:noWrap/>
            <w:vAlign w:val="center"/>
          </w:tcPr>
          <w:p w14:paraId="231491D3">
            <w:pPr>
              <w:jc w:val="center"/>
              <w:rPr>
                <w:rFonts w:hint="eastAsia" w:ascii="宋体" w:hAnsi="宋体" w:eastAsia="宋体" w:cs="宋体"/>
                <w:szCs w:val="21"/>
              </w:rPr>
            </w:pPr>
          </w:p>
        </w:tc>
        <w:tc>
          <w:tcPr>
            <w:tcW w:w="1136" w:type="dxa"/>
            <w:vMerge w:val="continue"/>
            <w:tcBorders>
              <w:left w:val="single" w:color="auto" w:sz="4" w:space="0"/>
              <w:bottom w:val="single" w:color="auto" w:sz="4" w:space="0"/>
              <w:right w:val="single" w:color="auto" w:sz="4" w:space="0"/>
            </w:tcBorders>
            <w:noWrap/>
            <w:vAlign w:val="center"/>
          </w:tcPr>
          <w:p w14:paraId="4675D9EC">
            <w:pPr>
              <w:jc w:val="center"/>
              <w:rPr>
                <w:rFonts w:hint="eastAsia" w:ascii="宋体" w:hAnsi="宋体" w:eastAsia="宋体" w:cs="宋体"/>
                <w:szCs w:val="21"/>
              </w:rPr>
            </w:pPr>
          </w:p>
        </w:tc>
        <w:tc>
          <w:tcPr>
            <w:tcW w:w="900" w:type="dxa"/>
            <w:vMerge w:val="continue"/>
            <w:tcBorders>
              <w:left w:val="single" w:color="auto" w:sz="4" w:space="0"/>
              <w:bottom w:val="single" w:color="auto" w:sz="4" w:space="0"/>
              <w:right w:val="single" w:color="auto" w:sz="4" w:space="0"/>
            </w:tcBorders>
            <w:noWrap/>
            <w:vAlign w:val="center"/>
          </w:tcPr>
          <w:p w14:paraId="0AC062DF">
            <w:pPr>
              <w:jc w:val="center"/>
              <w:rPr>
                <w:rFonts w:hint="eastAsia" w:ascii="宋体" w:hAnsi="宋体" w:eastAsia="宋体" w:cs="宋体"/>
                <w:szCs w:val="21"/>
              </w:rPr>
            </w:pPr>
          </w:p>
        </w:tc>
        <w:tc>
          <w:tcPr>
            <w:tcW w:w="1080" w:type="dxa"/>
            <w:vMerge w:val="continue"/>
            <w:tcBorders>
              <w:left w:val="single" w:color="auto" w:sz="4" w:space="0"/>
              <w:bottom w:val="single" w:color="auto" w:sz="4" w:space="0"/>
              <w:right w:val="single" w:color="auto" w:sz="4" w:space="0"/>
            </w:tcBorders>
            <w:noWrap/>
            <w:vAlign w:val="center"/>
          </w:tcPr>
          <w:p w14:paraId="6B513117">
            <w:pPr>
              <w:jc w:val="center"/>
              <w:rPr>
                <w:rFonts w:hint="eastAsia" w:ascii="宋体" w:hAnsi="宋体" w:eastAsia="宋体" w:cs="宋体"/>
                <w:szCs w:val="21"/>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14336C03">
            <w:pPr>
              <w:jc w:val="center"/>
              <w:rPr>
                <w:rFonts w:hint="eastAsia" w:ascii="宋体" w:hAnsi="宋体" w:eastAsia="宋体" w:cs="宋体"/>
                <w:szCs w:val="21"/>
              </w:rPr>
            </w:pPr>
            <w:r>
              <w:rPr>
                <w:rFonts w:hint="eastAsia" w:ascii="宋体" w:hAnsi="宋体" w:eastAsia="宋体" w:cs="宋体"/>
                <w:szCs w:val="21"/>
              </w:rPr>
              <w:t>基本费率</w:t>
            </w:r>
          </w:p>
          <w:p w14:paraId="0800A1FC">
            <w:pPr>
              <w:jc w:val="center"/>
              <w:rPr>
                <w:rFonts w:hint="eastAsia" w:ascii="宋体" w:hAnsi="宋体" w:eastAsia="宋体" w:cs="宋体"/>
                <w:szCs w:val="21"/>
              </w:rPr>
            </w:pPr>
            <w:r>
              <w:rPr>
                <w:rFonts w:hint="eastAsia" w:ascii="宋体" w:hAnsi="宋体" w:eastAsia="宋体" w:cs="宋体"/>
                <w:kern w:val="0"/>
                <w:szCs w:val="21"/>
              </w:rPr>
              <w:t>（%）</w:t>
            </w:r>
          </w:p>
        </w:tc>
        <w:tc>
          <w:tcPr>
            <w:tcW w:w="1276" w:type="dxa"/>
            <w:tcBorders>
              <w:top w:val="single" w:color="auto" w:sz="4" w:space="0"/>
              <w:left w:val="single" w:color="auto" w:sz="4" w:space="0"/>
              <w:bottom w:val="single" w:color="auto" w:sz="4" w:space="0"/>
              <w:right w:val="single" w:color="auto" w:sz="4" w:space="0"/>
            </w:tcBorders>
            <w:noWrap/>
            <w:vAlign w:val="center"/>
          </w:tcPr>
          <w:p w14:paraId="27AF9A96">
            <w:pPr>
              <w:jc w:val="center"/>
              <w:rPr>
                <w:rFonts w:hint="eastAsia" w:ascii="宋体" w:hAnsi="宋体" w:eastAsia="宋体" w:cs="宋体"/>
                <w:szCs w:val="21"/>
              </w:rPr>
            </w:pPr>
            <w:r>
              <w:rPr>
                <w:rFonts w:hint="eastAsia" w:ascii="宋体" w:hAnsi="宋体" w:eastAsia="宋体" w:cs="宋体"/>
                <w:szCs w:val="21"/>
              </w:rPr>
              <w:t>增加费率</w:t>
            </w:r>
          </w:p>
          <w:p w14:paraId="72CA5C16">
            <w:pPr>
              <w:jc w:val="center"/>
              <w:rPr>
                <w:rFonts w:hint="eastAsia" w:ascii="宋体" w:hAnsi="宋体" w:eastAsia="宋体" w:cs="宋体"/>
                <w:szCs w:val="21"/>
              </w:rPr>
            </w:pPr>
            <w:r>
              <w:rPr>
                <w:rFonts w:hint="eastAsia" w:ascii="宋体" w:hAnsi="宋体" w:eastAsia="宋体" w:cs="宋体"/>
                <w:kern w:val="0"/>
                <w:szCs w:val="21"/>
              </w:rPr>
              <w:t>（%）</w:t>
            </w:r>
          </w:p>
        </w:tc>
        <w:tc>
          <w:tcPr>
            <w:tcW w:w="1571" w:type="dxa"/>
            <w:tcBorders>
              <w:top w:val="single" w:color="auto" w:sz="4" w:space="0"/>
              <w:left w:val="single" w:color="auto" w:sz="4" w:space="0"/>
              <w:bottom w:val="single" w:color="auto" w:sz="4" w:space="0"/>
              <w:right w:val="single" w:color="auto" w:sz="4" w:space="0"/>
            </w:tcBorders>
            <w:noWrap/>
            <w:vAlign w:val="center"/>
          </w:tcPr>
          <w:p w14:paraId="380D8A15">
            <w:pPr>
              <w:jc w:val="center"/>
              <w:rPr>
                <w:rFonts w:hint="eastAsia" w:ascii="宋体" w:hAnsi="宋体" w:eastAsia="宋体" w:cs="宋体"/>
                <w:szCs w:val="21"/>
              </w:rPr>
            </w:pPr>
            <w:r>
              <w:rPr>
                <w:rFonts w:hint="eastAsia" w:ascii="宋体" w:hAnsi="宋体" w:eastAsia="宋体" w:cs="宋体"/>
                <w:szCs w:val="21"/>
              </w:rPr>
              <w:t>扬尘污染防治</w:t>
            </w:r>
          </w:p>
          <w:p w14:paraId="694AFDA2">
            <w:pPr>
              <w:jc w:val="center"/>
              <w:rPr>
                <w:rFonts w:hint="eastAsia" w:ascii="宋体" w:hAnsi="宋体" w:eastAsia="宋体" w:cs="宋体"/>
                <w:szCs w:val="21"/>
              </w:rPr>
            </w:pPr>
            <w:r>
              <w:rPr>
                <w:rFonts w:hint="eastAsia" w:ascii="宋体" w:hAnsi="宋体" w:eastAsia="宋体" w:cs="宋体"/>
                <w:szCs w:val="21"/>
              </w:rPr>
              <w:t>增加费（%）</w:t>
            </w:r>
          </w:p>
        </w:tc>
      </w:tr>
      <w:tr w14:paraId="26876B76">
        <w:tblPrEx>
          <w:tblCellMar>
            <w:top w:w="0" w:type="dxa"/>
            <w:left w:w="0" w:type="dxa"/>
            <w:bottom w:w="0" w:type="dxa"/>
            <w:right w:w="0" w:type="dxa"/>
          </w:tblCellMar>
        </w:tblPrEx>
        <w:trPr>
          <w:trHeight w:val="427" w:hRule="atLeast"/>
        </w:trPr>
        <w:tc>
          <w:tcPr>
            <w:tcW w:w="17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78D680">
            <w:pPr>
              <w:jc w:val="center"/>
              <w:rPr>
                <w:rFonts w:hint="default" w:ascii="宋体" w:hAnsi="宋体" w:cs="宋体"/>
                <w:szCs w:val="21"/>
                <w:lang w:val="en-US" w:eastAsia="zh-CN"/>
              </w:rPr>
            </w:pPr>
            <w:r>
              <w:rPr>
                <w:rFonts w:hint="eastAsia" w:ascii="宋体" w:hAnsi="宋体" w:cs="宋体"/>
                <w:szCs w:val="21"/>
                <w:lang w:val="en-US" w:eastAsia="zh-CN"/>
              </w:rPr>
              <w:t>修缮工程</w:t>
            </w:r>
          </w:p>
        </w:tc>
        <w:tc>
          <w:tcPr>
            <w:tcW w:w="1136" w:type="dxa"/>
            <w:tcBorders>
              <w:top w:val="single" w:color="auto" w:sz="4" w:space="0"/>
              <w:left w:val="single" w:color="auto" w:sz="4" w:space="0"/>
              <w:bottom w:val="single" w:color="auto" w:sz="4" w:space="0"/>
              <w:right w:val="single" w:color="auto" w:sz="4" w:space="0"/>
            </w:tcBorders>
            <w:noWrap/>
            <w:vAlign w:val="center"/>
          </w:tcPr>
          <w:p w14:paraId="481D1CB4">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3.8</w:t>
            </w:r>
          </w:p>
        </w:tc>
        <w:tc>
          <w:tcPr>
            <w:tcW w:w="900" w:type="dxa"/>
            <w:tcBorders>
              <w:top w:val="single" w:color="auto" w:sz="4" w:space="0"/>
              <w:left w:val="single" w:color="auto" w:sz="4" w:space="0"/>
              <w:bottom w:val="single" w:color="auto" w:sz="4" w:space="0"/>
              <w:right w:val="single" w:color="auto" w:sz="4" w:space="0"/>
            </w:tcBorders>
            <w:noWrap/>
            <w:vAlign w:val="center"/>
          </w:tcPr>
          <w:p w14:paraId="38982122">
            <w:pPr>
              <w:jc w:val="center"/>
              <w:rPr>
                <w:rFonts w:hint="default" w:ascii="宋体" w:hAnsi="宋体" w:cs="宋体"/>
                <w:bCs/>
                <w:szCs w:val="21"/>
                <w:lang w:val="en-US" w:eastAsia="zh-CN"/>
              </w:rPr>
            </w:pPr>
            <w:r>
              <w:rPr>
                <w:rFonts w:hint="eastAsia" w:ascii="宋体" w:hAnsi="宋体" w:cs="宋体"/>
                <w:bCs/>
                <w:color w:val="auto"/>
                <w:szCs w:val="21"/>
                <w:lang w:val="en-US" w:eastAsia="zh-CN"/>
              </w:rPr>
              <w:t>0.67</w:t>
            </w:r>
          </w:p>
        </w:tc>
        <w:tc>
          <w:tcPr>
            <w:tcW w:w="1080" w:type="dxa"/>
            <w:tcBorders>
              <w:top w:val="single" w:color="auto" w:sz="4" w:space="0"/>
              <w:left w:val="single" w:color="auto" w:sz="4" w:space="0"/>
              <w:bottom w:val="single" w:color="auto" w:sz="4" w:space="0"/>
              <w:right w:val="single" w:color="auto" w:sz="4" w:space="0"/>
            </w:tcBorders>
            <w:noWrap/>
            <w:vAlign w:val="center"/>
          </w:tcPr>
          <w:p w14:paraId="0489DA1D">
            <w:pPr>
              <w:jc w:val="center"/>
              <w:rPr>
                <w:rFonts w:hint="eastAsia" w:ascii="宋体" w:hAnsi="宋体" w:eastAsia="宋体" w:cs="宋体"/>
                <w:bCs/>
                <w:szCs w:val="21"/>
              </w:rPr>
            </w:pPr>
            <w:r>
              <w:rPr>
                <w:rFonts w:hint="eastAsia" w:ascii="宋体" w:hAnsi="宋体" w:cs="宋体"/>
                <w:bCs/>
                <w:szCs w:val="21"/>
                <w:lang w:val="en-US" w:eastAsia="zh-CN"/>
              </w:rPr>
              <w:t>9</w:t>
            </w:r>
          </w:p>
        </w:tc>
        <w:tc>
          <w:tcPr>
            <w:tcW w:w="1186" w:type="dxa"/>
            <w:tcBorders>
              <w:top w:val="single" w:color="auto" w:sz="4" w:space="0"/>
              <w:left w:val="single" w:color="auto" w:sz="4" w:space="0"/>
              <w:bottom w:val="single" w:color="auto" w:sz="4" w:space="0"/>
              <w:right w:val="single" w:color="auto" w:sz="4" w:space="0"/>
            </w:tcBorders>
            <w:noWrap/>
            <w:vAlign w:val="center"/>
          </w:tcPr>
          <w:p w14:paraId="0FAAE15A">
            <w:pPr>
              <w:jc w:val="center"/>
              <w:rPr>
                <w:rFonts w:hint="default" w:ascii="宋体" w:hAnsi="宋体" w:cs="宋体"/>
                <w:bCs/>
                <w:szCs w:val="21"/>
                <w:lang w:val="en-US" w:eastAsia="zh-CN"/>
              </w:rPr>
            </w:pPr>
            <w:r>
              <w:rPr>
                <w:rFonts w:hint="eastAsia" w:ascii="宋体" w:hAnsi="宋体" w:cs="宋体"/>
                <w:bCs/>
                <w:szCs w:val="21"/>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ign w:val="center"/>
          </w:tcPr>
          <w:p w14:paraId="49DDB3C1">
            <w:pPr>
              <w:jc w:val="center"/>
              <w:rPr>
                <w:rFonts w:hint="eastAsia" w:ascii="宋体" w:hAnsi="宋体" w:eastAsia="宋体" w:cs="宋体"/>
                <w:szCs w:val="21"/>
              </w:rPr>
            </w:pPr>
            <w:r>
              <w:rPr>
                <w:rFonts w:hint="eastAsia" w:ascii="宋体" w:hAnsi="宋体" w:cs="宋体"/>
                <w:color w:val="auto"/>
                <w:szCs w:val="21"/>
              </w:rPr>
              <w:t>/</w:t>
            </w:r>
          </w:p>
        </w:tc>
        <w:tc>
          <w:tcPr>
            <w:tcW w:w="1571" w:type="dxa"/>
            <w:tcBorders>
              <w:top w:val="single" w:color="auto" w:sz="4" w:space="0"/>
              <w:left w:val="single" w:color="auto" w:sz="4" w:space="0"/>
              <w:bottom w:val="single" w:color="auto" w:sz="4" w:space="0"/>
              <w:right w:val="single" w:color="auto" w:sz="4" w:space="0"/>
            </w:tcBorders>
            <w:noWrap/>
            <w:vAlign w:val="center"/>
          </w:tcPr>
          <w:p w14:paraId="7536AE43">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0.21</w:t>
            </w:r>
          </w:p>
        </w:tc>
      </w:tr>
      <w:tr w14:paraId="7DC911E8">
        <w:tblPrEx>
          <w:tblCellMar>
            <w:top w:w="0" w:type="dxa"/>
            <w:left w:w="0" w:type="dxa"/>
            <w:bottom w:w="0" w:type="dxa"/>
            <w:right w:w="0" w:type="dxa"/>
          </w:tblCellMar>
        </w:tblPrEx>
        <w:trPr>
          <w:trHeight w:val="427" w:hRule="atLeast"/>
        </w:trPr>
        <w:tc>
          <w:tcPr>
            <w:tcW w:w="17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D32C11">
            <w:pPr>
              <w:jc w:val="center"/>
              <w:rPr>
                <w:rFonts w:hint="default" w:ascii="宋体" w:hAnsi="宋体" w:cs="宋体"/>
                <w:szCs w:val="21"/>
                <w:lang w:val="en-US" w:eastAsia="zh-CN"/>
              </w:rPr>
            </w:pPr>
            <w:r>
              <w:rPr>
                <w:rFonts w:hint="eastAsia" w:ascii="宋体" w:hAnsi="宋体" w:cs="宋体"/>
                <w:szCs w:val="21"/>
                <w:lang w:val="en-US" w:eastAsia="zh-CN"/>
              </w:rPr>
              <w:t>装饰工程</w:t>
            </w:r>
          </w:p>
        </w:tc>
        <w:tc>
          <w:tcPr>
            <w:tcW w:w="1136" w:type="dxa"/>
            <w:tcBorders>
              <w:top w:val="single" w:color="auto" w:sz="4" w:space="0"/>
              <w:left w:val="single" w:color="auto" w:sz="4" w:space="0"/>
              <w:bottom w:val="single" w:color="auto" w:sz="4" w:space="0"/>
              <w:right w:val="single" w:color="auto" w:sz="4" w:space="0"/>
            </w:tcBorders>
            <w:noWrap/>
            <w:vAlign w:val="center"/>
          </w:tcPr>
          <w:p w14:paraId="6758A569">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2.4</w:t>
            </w:r>
          </w:p>
        </w:tc>
        <w:tc>
          <w:tcPr>
            <w:tcW w:w="900" w:type="dxa"/>
            <w:tcBorders>
              <w:top w:val="single" w:color="auto" w:sz="4" w:space="0"/>
              <w:left w:val="single" w:color="auto" w:sz="4" w:space="0"/>
              <w:bottom w:val="single" w:color="auto" w:sz="4" w:space="0"/>
              <w:right w:val="single" w:color="auto" w:sz="4" w:space="0"/>
            </w:tcBorders>
            <w:noWrap/>
            <w:vAlign w:val="center"/>
          </w:tcPr>
          <w:p w14:paraId="488D113B">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0.42</w:t>
            </w:r>
          </w:p>
        </w:tc>
        <w:tc>
          <w:tcPr>
            <w:tcW w:w="1080" w:type="dxa"/>
            <w:tcBorders>
              <w:top w:val="single" w:color="auto" w:sz="4" w:space="0"/>
              <w:left w:val="single" w:color="auto" w:sz="4" w:space="0"/>
              <w:bottom w:val="single" w:color="auto" w:sz="4" w:space="0"/>
              <w:right w:val="single" w:color="auto" w:sz="4" w:space="0"/>
            </w:tcBorders>
            <w:noWrap/>
            <w:vAlign w:val="center"/>
          </w:tcPr>
          <w:p w14:paraId="773041E0">
            <w:pPr>
              <w:jc w:val="center"/>
              <w:rPr>
                <w:rFonts w:hint="default" w:ascii="宋体" w:hAnsi="宋体" w:cs="宋体"/>
                <w:bCs/>
                <w:szCs w:val="21"/>
                <w:lang w:val="en-US" w:eastAsia="zh-CN"/>
              </w:rPr>
            </w:pPr>
            <w:r>
              <w:rPr>
                <w:rFonts w:hint="eastAsia" w:ascii="宋体" w:hAnsi="宋体" w:cs="宋体"/>
                <w:bCs/>
                <w:szCs w:val="21"/>
                <w:lang w:val="en-US" w:eastAsia="zh-CN"/>
              </w:rPr>
              <w:t>9</w:t>
            </w:r>
          </w:p>
        </w:tc>
        <w:tc>
          <w:tcPr>
            <w:tcW w:w="1186" w:type="dxa"/>
            <w:tcBorders>
              <w:top w:val="single" w:color="auto" w:sz="4" w:space="0"/>
              <w:left w:val="single" w:color="auto" w:sz="4" w:space="0"/>
              <w:bottom w:val="single" w:color="auto" w:sz="4" w:space="0"/>
              <w:right w:val="single" w:color="auto" w:sz="4" w:space="0"/>
            </w:tcBorders>
            <w:noWrap/>
            <w:vAlign w:val="center"/>
          </w:tcPr>
          <w:p w14:paraId="64931CE2">
            <w:pPr>
              <w:jc w:val="center"/>
              <w:rPr>
                <w:rFonts w:hint="default" w:ascii="宋体" w:hAnsi="宋体" w:cs="宋体"/>
                <w:bCs/>
                <w:szCs w:val="21"/>
                <w:lang w:val="en-US" w:eastAsia="zh-CN"/>
              </w:rPr>
            </w:pPr>
            <w:r>
              <w:rPr>
                <w:rFonts w:hint="eastAsia" w:ascii="宋体" w:hAnsi="宋体" w:cs="宋体"/>
                <w:bCs/>
                <w:szCs w:val="21"/>
                <w:lang w:val="en-US" w:eastAsia="zh-CN"/>
              </w:rPr>
              <w:t>1.7</w:t>
            </w:r>
          </w:p>
        </w:tc>
        <w:tc>
          <w:tcPr>
            <w:tcW w:w="1276" w:type="dxa"/>
            <w:tcBorders>
              <w:top w:val="single" w:color="auto" w:sz="4" w:space="0"/>
              <w:left w:val="single" w:color="auto" w:sz="4" w:space="0"/>
              <w:bottom w:val="single" w:color="auto" w:sz="4" w:space="0"/>
              <w:right w:val="single" w:color="auto" w:sz="4" w:space="0"/>
            </w:tcBorders>
            <w:noWrap/>
            <w:vAlign w:val="center"/>
          </w:tcPr>
          <w:p w14:paraId="06243BE6">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1571" w:type="dxa"/>
            <w:tcBorders>
              <w:top w:val="single" w:color="auto" w:sz="4" w:space="0"/>
              <w:left w:val="single" w:color="auto" w:sz="4" w:space="0"/>
              <w:bottom w:val="single" w:color="auto" w:sz="4" w:space="0"/>
              <w:right w:val="single" w:color="auto" w:sz="4" w:space="0"/>
            </w:tcBorders>
            <w:noWrap/>
            <w:vAlign w:val="center"/>
          </w:tcPr>
          <w:p w14:paraId="0F07640A">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0.22</w:t>
            </w:r>
          </w:p>
        </w:tc>
      </w:tr>
      <w:tr w14:paraId="7834D375">
        <w:tblPrEx>
          <w:tblCellMar>
            <w:top w:w="0" w:type="dxa"/>
            <w:left w:w="0" w:type="dxa"/>
            <w:bottom w:w="0" w:type="dxa"/>
            <w:right w:w="0" w:type="dxa"/>
          </w:tblCellMar>
        </w:tblPrEx>
        <w:trPr>
          <w:trHeight w:val="427" w:hRule="atLeast"/>
        </w:trPr>
        <w:tc>
          <w:tcPr>
            <w:tcW w:w="17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A8EA41">
            <w:pPr>
              <w:jc w:val="center"/>
              <w:rPr>
                <w:rFonts w:hint="default" w:ascii="宋体" w:hAnsi="宋体" w:cs="宋体"/>
                <w:szCs w:val="21"/>
                <w:lang w:val="en-US" w:eastAsia="zh-CN"/>
              </w:rPr>
            </w:pPr>
            <w:r>
              <w:rPr>
                <w:rFonts w:hint="eastAsia" w:ascii="宋体" w:hAnsi="宋体" w:cs="宋体"/>
                <w:szCs w:val="21"/>
                <w:lang w:val="en-US" w:eastAsia="zh-CN"/>
              </w:rPr>
              <w:t>安装</w:t>
            </w:r>
          </w:p>
        </w:tc>
        <w:tc>
          <w:tcPr>
            <w:tcW w:w="1136" w:type="dxa"/>
            <w:tcBorders>
              <w:top w:val="single" w:color="auto" w:sz="4" w:space="0"/>
              <w:left w:val="single" w:color="auto" w:sz="4" w:space="0"/>
              <w:bottom w:val="single" w:color="auto" w:sz="4" w:space="0"/>
              <w:right w:val="single" w:color="auto" w:sz="4" w:space="0"/>
            </w:tcBorders>
            <w:noWrap/>
            <w:vAlign w:val="center"/>
          </w:tcPr>
          <w:p w14:paraId="0D7472DF">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2.4</w:t>
            </w:r>
          </w:p>
        </w:tc>
        <w:tc>
          <w:tcPr>
            <w:tcW w:w="900" w:type="dxa"/>
            <w:tcBorders>
              <w:top w:val="single" w:color="auto" w:sz="4" w:space="0"/>
              <w:left w:val="single" w:color="auto" w:sz="4" w:space="0"/>
              <w:bottom w:val="single" w:color="auto" w:sz="4" w:space="0"/>
              <w:right w:val="single" w:color="auto" w:sz="4" w:space="0"/>
            </w:tcBorders>
            <w:noWrap/>
            <w:vAlign w:val="center"/>
          </w:tcPr>
          <w:p w14:paraId="48F7BDCE">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0.42</w:t>
            </w:r>
          </w:p>
        </w:tc>
        <w:tc>
          <w:tcPr>
            <w:tcW w:w="1080" w:type="dxa"/>
            <w:tcBorders>
              <w:top w:val="single" w:color="auto" w:sz="4" w:space="0"/>
              <w:left w:val="single" w:color="auto" w:sz="4" w:space="0"/>
              <w:bottom w:val="single" w:color="auto" w:sz="4" w:space="0"/>
              <w:right w:val="single" w:color="auto" w:sz="4" w:space="0"/>
            </w:tcBorders>
            <w:noWrap/>
            <w:vAlign w:val="center"/>
          </w:tcPr>
          <w:p w14:paraId="1B9FE5B3">
            <w:pPr>
              <w:jc w:val="center"/>
              <w:rPr>
                <w:rFonts w:hint="default" w:ascii="宋体" w:hAnsi="宋体" w:cs="宋体"/>
                <w:bCs/>
                <w:szCs w:val="21"/>
                <w:lang w:val="en-US" w:eastAsia="zh-CN"/>
              </w:rPr>
            </w:pPr>
            <w:r>
              <w:rPr>
                <w:rFonts w:hint="eastAsia" w:ascii="宋体" w:hAnsi="宋体" w:cs="宋体"/>
                <w:bCs/>
                <w:szCs w:val="21"/>
                <w:lang w:val="en-US" w:eastAsia="zh-CN"/>
              </w:rPr>
              <w:t>9</w:t>
            </w:r>
          </w:p>
        </w:tc>
        <w:tc>
          <w:tcPr>
            <w:tcW w:w="1186" w:type="dxa"/>
            <w:tcBorders>
              <w:top w:val="single" w:color="auto" w:sz="4" w:space="0"/>
              <w:left w:val="single" w:color="auto" w:sz="4" w:space="0"/>
              <w:bottom w:val="single" w:color="auto" w:sz="4" w:space="0"/>
              <w:right w:val="single" w:color="auto" w:sz="4" w:space="0"/>
            </w:tcBorders>
            <w:noWrap/>
            <w:vAlign w:val="center"/>
          </w:tcPr>
          <w:p w14:paraId="0A413021">
            <w:pPr>
              <w:jc w:val="center"/>
              <w:rPr>
                <w:rFonts w:hint="default" w:ascii="宋体" w:hAnsi="宋体" w:cs="宋体"/>
                <w:bCs/>
                <w:szCs w:val="21"/>
                <w:lang w:val="en-US" w:eastAsia="zh-CN"/>
              </w:rPr>
            </w:pPr>
            <w:r>
              <w:rPr>
                <w:rFonts w:hint="eastAsia" w:ascii="宋体" w:hAnsi="宋体" w:cs="宋体"/>
                <w:bCs/>
                <w:szCs w:val="21"/>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ign w:val="center"/>
          </w:tcPr>
          <w:p w14:paraId="400A1CFB">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1571" w:type="dxa"/>
            <w:tcBorders>
              <w:top w:val="single" w:color="auto" w:sz="4" w:space="0"/>
              <w:left w:val="single" w:color="auto" w:sz="4" w:space="0"/>
              <w:bottom w:val="single" w:color="auto" w:sz="4" w:space="0"/>
              <w:right w:val="single" w:color="auto" w:sz="4" w:space="0"/>
            </w:tcBorders>
            <w:noWrap/>
            <w:vAlign w:val="center"/>
          </w:tcPr>
          <w:p w14:paraId="72DA1C6C">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0.21</w:t>
            </w:r>
          </w:p>
        </w:tc>
      </w:tr>
    </w:tbl>
    <w:p w14:paraId="693E0B2B">
      <w:pPr>
        <w:tabs>
          <w:tab w:val="left" w:pos="900"/>
        </w:tabs>
        <w:spacing w:line="360" w:lineRule="auto"/>
        <w:ind w:firstLine="360" w:firstLineChars="150"/>
        <w:rPr>
          <w:rFonts w:ascii="宋体" w:hAnsi="宋体" w:cs="宋体"/>
          <w:sz w:val="24"/>
        </w:rPr>
      </w:pPr>
      <w:r>
        <w:rPr>
          <w:rFonts w:hint="eastAsia" w:ascii="宋体" w:hAnsi="宋体" w:cs="宋体"/>
          <w:sz w:val="24"/>
        </w:rPr>
        <w:t>4、各项措施费率如下：各投标单位应结合工程实际、工期、设计要求和投标单位的施工组织设计、施工方案等综合考虑一切可见和不可见因素，相关的费用均视为已含在措施费用或报价中，竣工结算时不再调整和增加任何费用，措施项目清单中所列项目，投标人根据施工组织设计需要自主报价。</w:t>
      </w:r>
    </w:p>
    <w:p w14:paraId="3C9CE36C">
      <w:pPr>
        <w:spacing w:line="360" w:lineRule="auto"/>
        <w:rPr>
          <w:rFonts w:ascii="宋体" w:hAnsi="宋体" w:cs="宋体"/>
          <w:b/>
          <w:sz w:val="24"/>
        </w:rPr>
      </w:pPr>
      <w:r>
        <w:rPr>
          <w:rFonts w:hint="eastAsia" w:ascii="宋体" w:hAnsi="宋体" w:cs="宋体"/>
          <w:b/>
          <w:sz w:val="24"/>
        </w:rPr>
        <w:t>四、其他项目费</w:t>
      </w:r>
    </w:p>
    <w:p w14:paraId="04384811">
      <w:pPr>
        <w:tabs>
          <w:tab w:val="left" w:pos="900"/>
        </w:tabs>
        <w:spacing w:line="360" w:lineRule="auto"/>
        <w:ind w:firstLine="360" w:firstLineChars="150"/>
        <w:rPr>
          <w:rFonts w:hint="eastAsia" w:ascii="宋体" w:hAnsi="宋体" w:cs="宋体"/>
          <w:sz w:val="24"/>
          <w:lang w:val="zh-CN"/>
        </w:rPr>
      </w:pPr>
      <w:r>
        <w:rPr>
          <w:rFonts w:hint="eastAsia" w:ascii="宋体" w:hAnsi="宋体" w:cs="宋体"/>
          <w:sz w:val="24"/>
          <w:lang w:val="zh-CN"/>
        </w:rPr>
        <w:t>1、暂列金额：详见其他项目清单暂列金额。</w:t>
      </w:r>
    </w:p>
    <w:p w14:paraId="0B0914E8">
      <w:pPr>
        <w:tabs>
          <w:tab w:val="left" w:pos="900"/>
        </w:tabs>
        <w:spacing w:line="360" w:lineRule="auto"/>
        <w:ind w:firstLine="360" w:firstLineChars="150"/>
        <w:rPr>
          <w:rFonts w:hint="default" w:ascii="宋体" w:hAnsi="宋体" w:eastAsia="宋体" w:cs="宋体"/>
          <w:sz w:val="24"/>
          <w:lang w:val="en-US" w:eastAsia="zh-CN"/>
        </w:rPr>
      </w:pPr>
      <w:r>
        <w:rPr>
          <w:rFonts w:hint="eastAsia" w:ascii="宋体" w:hAnsi="宋体" w:cs="宋体"/>
          <w:sz w:val="24"/>
          <w:lang w:val="zh-CN"/>
        </w:rPr>
        <w:t>2、</w:t>
      </w:r>
      <w:r>
        <w:rPr>
          <w:rFonts w:hint="eastAsia" w:ascii="宋体" w:hAnsi="宋体" w:cs="宋体"/>
          <w:sz w:val="24"/>
          <w:lang w:val="en-US" w:eastAsia="zh-CN"/>
        </w:rPr>
        <w:t>材料暂估价：</w:t>
      </w:r>
      <w:r>
        <w:rPr>
          <w:rFonts w:hint="eastAsia" w:ascii="宋体" w:hAnsi="宋体" w:cs="宋体"/>
          <w:sz w:val="24"/>
          <w:lang w:val="zh-CN"/>
        </w:rPr>
        <w:t>详见其他项目清单</w:t>
      </w:r>
      <w:r>
        <w:rPr>
          <w:rFonts w:hint="eastAsia" w:ascii="宋体" w:hAnsi="宋体" w:cs="宋体"/>
          <w:sz w:val="24"/>
          <w:lang w:val="en-US" w:eastAsia="zh-CN"/>
        </w:rPr>
        <w:t>材料</w:t>
      </w:r>
      <w:r>
        <w:rPr>
          <w:rFonts w:hint="eastAsia" w:ascii="宋体" w:hAnsi="宋体" w:cs="宋体"/>
          <w:sz w:val="24"/>
          <w:lang w:val="zh-CN"/>
        </w:rPr>
        <w:t>暂估价。</w:t>
      </w:r>
    </w:p>
    <w:p w14:paraId="69310136">
      <w:pPr>
        <w:tabs>
          <w:tab w:val="left" w:pos="900"/>
        </w:tabs>
        <w:spacing w:line="360" w:lineRule="auto"/>
        <w:ind w:firstLine="360" w:firstLineChars="150"/>
        <w:rPr>
          <w:rFonts w:hint="eastAsia"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专业工程暂估价:详见其他项目清单专业工程暂估价。</w:t>
      </w:r>
    </w:p>
    <w:p w14:paraId="7756E2EC">
      <w:pPr>
        <w:tabs>
          <w:tab w:val="left" w:pos="900"/>
        </w:tabs>
        <w:spacing w:line="360" w:lineRule="auto"/>
        <w:rPr>
          <w:rFonts w:ascii="宋体" w:hAnsi="宋体" w:cs="宋体"/>
          <w:b/>
          <w:bCs/>
          <w:color w:val="000000"/>
          <w:sz w:val="24"/>
        </w:rPr>
      </w:pPr>
      <w:r>
        <w:rPr>
          <w:rFonts w:hint="eastAsia" w:ascii="宋体" w:hAnsi="宋体" w:cs="宋体"/>
          <w:b/>
          <w:bCs/>
          <w:color w:val="000000"/>
          <w:sz w:val="24"/>
        </w:rPr>
        <w:t>五、人工及材料价格取定</w:t>
      </w:r>
    </w:p>
    <w:p w14:paraId="6BE84282">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sz w:val="24"/>
          <w:lang w:val="zh-CN"/>
        </w:rPr>
      </w:pPr>
      <w:r>
        <w:rPr>
          <w:rFonts w:hint="eastAsia" w:ascii="宋体" w:hAnsi="宋体" w:cs="宋体"/>
          <w:sz w:val="24"/>
          <w:lang w:val="zh-CN"/>
        </w:rPr>
        <w:t>1、本工程材料价格按《镇江工程造价信息》镇江市2</w:t>
      </w:r>
      <w:r>
        <w:rPr>
          <w:rFonts w:hint="eastAsia" w:ascii="宋体" w:hAnsi="宋体" w:cs="宋体"/>
          <w:sz w:val="24"/>
        </w:rPr>
        <w:t>02</w:t>
      </w:r>
      <w:r>
        <w:rPr>
          <w:rFonts w:hint="eastAsia" w:ascii="宋体" w:hAnsi="宋体" w:cs="宋体"/>
          <w:sz w:val="24"/>
          <w:lang w:val="en-US" w:eastAsia="zh-CN"/>
        </w:rPr>
        <w:t>5</w:t>
      </w:r>
      <w:r>
        <w:rPr>
          <w:rFonts w:hint="eastAsia" w:ascii="宋体" w:hAnsi="宋体" w:cs="宋体"/>
          <w:sz w:val="24"/>
          <w:lang w:val="zh-CN"/>
        </w:rPr>
        <w:t>年第</w:t>
      </w:r>
      <w:r>
        <w:rPr>
          <w:rFonts w:hint="eastAsia" w:ascii="宋体" w:hAnsi="宋体" w:cs="宋体"/>
          <w:sz w:val="24"/>
          <w:lang w:val="en-US" w:eastAsia="zh-CN"/>
        </w:rPr>
        <w:t>10</w:t>
      </w:r>
      <w:r>
        <w:rPr>
          <w:rFonts w:hint="eastAsia" w:ascii="宋体" w:hAnsi="宋体" w:cs="宋体"/>
          <w:sz w:val="24"/>
          <w:lang w:val="zh-CN"/>
        </w:rPr>
        <w:t>期并结合市场价与市场波动等因素综合考虑。人工单价执行苏建函价[20</w:t>
      </w: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lang w:val="zh-CN"/>
        </w:rPr>
        <w:t>]</w:t>
      </w:r>
      <w:r>
        <w:rPr>
          <w:rFonts w:hint="eastAsia" w:ascii="宋体" w:hAnsi="宋体" w:cs="宋体"/>
          <w:sz w:val="24"/>
          <w:lang w:val="en-US" w:eastAsia="zh-CN"/>
        </w:rPr>
        <w:t>273</w:t>
      </w:r>
      <w:r>
        <w:rPr>
          <w:rFonts w:hint="eastAsia" w:ascii="宋体" w:hAnsi="宋体" w:cs="宋体"/>
          <w:sz w:val="24"/>
          <w:lang w:val="zh-CN"/>
        </w:rPr>
        <w:t>号文件。</w:t>
      </w:r>
    </w:p>
    <w:p w14:paraId="083FF56B">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sz w:val="24"/>
          <w:lang w:val="zh-CN"/>
        </w:rPr>
      </w:pPr>
      <w:r>
        <w:rPr>
          <w:rFonts w:hint="eastAsia" w:ascii="宋体" w:hAnsi="宋体" w:cs="宋体"/>
          <w:sz w:val="24"/>
          <w:lang w:val="zh-CN"/>
        </w:rPr>
        <w:t>2、各投标人根据招标文件要求和工程实际情况（自行踏勘现场），充分考虑市场风险，结合市场行情、自身实力和管理水平等因素自主报价。</w:t>
      </w:r>
    </w:p>
    <w:p w14:paraId="579A006B">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ascii="宋体" w:hAnsi="宋体" w:cs="宋体"/>
          <w:b/>
          <w:bCs/>
          <w:sz w:val="24"/>
        </w:rPr>
      </w:pPr>
      <w:r>
        <w:rPr>
          <w:rFonts w:hint="eastAsia" w:ascii="宋体" w:hAnsi="宋体" w:cs="宋体"/>
          <w:b/>
          <w:bCs/>
          <w:sz w:val="24"/>
        </w:rPr>
        <w:t>六、其他说明：</w:t>
      </w:r>
    </w:p>
    <w:p w14:paraId="3312A1A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val="zh-CN" w:eastAsia="zh-CN"/>
        </w:rPr>
        <w:t>本工程量清单中“工作内容”为完成本项目所需的主要工作内容，各投标单位投标报价时应结合</w:t>
      </w:r>
      <w:r>
        <w:rPr>
          <w:rFonts w:hint="eastAsia" w:asciiTheme="minorEastAsia" w:hAnsiTheme="minorEastAsia" w:eastAsiaTheme="minorEastAsia" w:cstheme="minorEastAsia"/>
          <w:sz w:val="24"/>
          <w:lang w:val="en-US" w:eastAsia="zh-CN"/>
        </w:rPr>
        <w:t>图纸、现场</w:t>
      </w:r>
      <w:r>
        <w:rPr>
          <w:rFonts w:hint="eastAsia" w:asciiTheme="minorEastAsia" w:hAnsiTheme="minorEastAsia" w:eastAsiaTheme="minorEastAsia" w:cstheme="minorEastAsia"/>
          <w:sz w:val="24"/>
          <w:lang w:val="zh-CN" w:eastAsia="zh-CN"/>
        </w:rPr>
        <w:t>、本单位施工方案综合考虑，竣工结算时工程量按实调整,综合单价不变。</w:t>
      </w:r>
    </w:p>
    <w:p w14:paraId="3ABD10F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val="zh-CN" w:eastAsia="zh-CN"/>
        </w:rPr>
        <w:t>工程量清单应与招标文件、招标项目图纸等文件结合起来查阅与理解,工程量清单中所描述的项目特征仅为招标人对该分部分项工程特征的概述,而非是工程特征的全面描述,工程量清单特征描述不全时，应结合设计图纸、招标文件，并应当综合考虑专业技术要求、施工规范、地方规章等要求，所产生的费用计入投标报价中；清单特征中未描述的，但13计价规范中注明的工程内容，承包人在报价中应充分考虑“工程内容”而产生的费用，列入相应报价中。</w:t>
      </w:r>
    </w:p>
    <w:p w14:paraId="70E652E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3、混凝土采用预拌混凝土，砂浆均采用预拌砂浆。</w:t>
      </w:r>
    </w:p>
    <w:p w14:paraId="39C645C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4、各类成品保护自行考虑，包含在报价中，结算不予调整。</w:t>
      </w:r>
    </w:p>
    <w:p w14:paraId="29CDE59C">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5、所有不锈钢材料均为</w:t>
      </w:r>
      <w:bookmarkStart w:id="0" w:name="_GoBack"/>
      <w:bookmarkEnd w:id="0"/>
      <w:r>
        <w:rPr>
          <w:rFonts w:hint="eastAsia" w:asciiTheme="minorEastAsia" w:hAnsiTheme="minorEastAsia" w:eastAsiaTheme="minorEastAsia" w:cstheme="minorEastAsia"/>
          <w:sz w:val="24"/>
          <w:lang w:val="en-US" w:eastAsia="zh-CN"/>
        </w:rPr>
        <w:t>304不锈钢材质。</w:t>
      </w:r>
    </w:p>
    <w:p w14:paraId="2D6F1CA9">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材料品牌</w:t>
      </w:r>
    </w:p>
    <w:p w14:paraId="2D909A90">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材料品牌按中等档次考虑，所有材料需经业主选样封存后方可施工。</w:t>
      </w:r>
    </w:p>
    <w:sectPr>
      <w:footerReference r:id="rId3" w:type="default"/>
      <w:footerReference r:id="rId4" w:type="even"/>
      <w:pgSz w:w="11906" w:h="16838"/>
      <w:pgMar w:top="1440" w:right="1418" w:bottom="1135" w:left="153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FFE7">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616EA10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B838">
    <w:pPr>
      <w:pStyle w:val="4"/>
      <w:framePr w:wrap="around" w:vAnchor="text" w:hAnchor="margin" w:xAlign="center" w:y="1"/>
      <w:rPr>
        <w:rStyle w:val="8"/>
      </w:rPr>
    </w:pPr>
    <w:r>
      <w:fldChar w:fldCharType="begin"/>
    </w:r>
    <w:r>
      <w:rPr>
        <w:rStyle w:val="8"/>
      </w:rPr>
      <w:instrText xml:space="preserve">PAGE  </w:instrText>
    </w:r>
    <w:r>
      <w:fldChar w:fldCharType="end"/>
    </w:r>
  </w:p>
  <w:p w14:paraId="41C2A57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ZmE5ZmQ4MjQwYThkZTA2MmIxZmE0YTM4M2YyMjQifQ=="/>
    <w:docVar w:name="KSO_WPS_MARK_KEY" w:val="426e72f1-ef0d-4424-954a-f5c3dfc94a9f"/>
  </w:docVars>
  <w:rsids>
    <w:rsidRoot w:val="3A7D3A53"/>
    <w:rsid w:val="007C1670"/>
    <w:rsid w:val="0222218B"/>
    <w:rsid w:val="02581FAD"/>
    <w:rsid w:val="036A7762"/>
    <w:rsid w:val="06FE3D0D"/>
    <w:rsid w:val="09D05934"/>
    <w:rsid w:val="0ACB4E95"/>
    <w:rsid w:val="0DFE23C8"/>
    <w:rsid w:val="0E9E5877"/>
    <w:rsid w:val="0EBB1415"/>
    <w:rsid w:val="12942742"/>
    <w:rsid w:val="12B72DB4"/>
    <w:rsid w:val="12C069AA"/>
    <w:rsid w:val="15236C69"/>
    <w:rsid w:val="16FC6853"/>
    <w:rsid w:val="17766E8D"/>
    <w:rsid w:val="17D336D0"/>
    <w:rsid w:val="180B6CBC"/>
    <w:rsid w:val="18504606"/>
    <w:rsid w:val="1A0A62AD"/>
    <w:rsid w:val="1BFC74FD"/>
    <w:rsid w:val="1C76116A"/>
    <w:rsid w:val="1DC33B6E"/>
    <w:rsid w:val="1FDE11D7"/>
    <w:rsid w:val="205C5F46"/>
    <w:rsid w:val="22752280"/>
    <w:rsid w:val="24576B84"/>
    <w:rsid w:val="25E718BA"/>
    <w:rsid w:val="282D754F"/>
    <w:rsid w:val="28DD578D"/>
    <w:rsid w:val="29127667"/>
    <w:rsid w:val="298F4F7D"/>
    <w:rsid w:val="2A0A472D"/>
    <w:rsid w:val="2E2B1D5F"/>
    <w:rsid w:val="2E9A675D"/>
    <w:rsid w:val="2FDD46A4"/>
    <w:rsid w:val="369141D0"/>
    <w:rsid w:val="3A0D3ADD"/>
    <w:rsid w:val="3A7D3A53"/>
    <w:rsid w:val="3B9A5856"/>
    <w:rsid w:val="3DB4062C"/>
    <w:rsid w:val="412F49F2"/>
    <w:rsid w:val="41800FC2"/>
    <w:rsid w:val="43EC5448"/>
    <w:rsid w:val="45293834"/>
    <w:rsid w:val="457A4512"/>
    <w:rsid w:val="46250CEB"/>
    <w:rsid w:val="49F615DF"/>
    <w:rsid w:val="4C0F31BB"/>
    <w:rsid w:val="4DC1028E"/>
    <w:rsid w:val="4EE87AD5"/>
    <w:rsid w:val="51C36932"/>
    <w:rsid w:val="560D69D7"/>
    <w:rsid w:val="57A466F8"/>
    <w:rsid w:val="57B779AD"/>
    <w:rsid w:val="57F01E40"/>
    <w:rsid w:val="597D203B"/>
    <w:rsid w:val="5B4A7DAE"/>
    <w:rsid w:val="5CC606DB"/>
    <w:rsid w:val="5D6A2755"/>
    <w:rsid w:val="5E5065DE"/>
    <w:rsid w:val="618D6CCC"/>
    <w:rsid w:val="642736E8"/>
    <w:rsid w:val="64D84182"/>
    <w:rsid w:val="6605273D"/>
    <w:rsid w:val="66AE6114"/>
    <w:rsid w:val="68117F41"/>
    <w:rsid w:val="68324794"/>
    <w:rsid w:val="695A31DC"/>
    <w:rsid w:val="6A057E75"/>
    <w:rsid w:val="6A2D34DC"/>
    <w:rsid w:val="6A316002"/>
    <w:rsid w:val="6C5F7088"/>
    <w:rsid w:val="6CC76906"/>
    <w:rsid w:val="6F5035DA"/>
    <w:rsid w:val="6FD11419"/>
    <w:rsid w:val="70E63C96"/>
    <w:rsid w:val="71BE3412"/>
    <w:rsid w:val="72EB459F"/>
    <w:rsid w:val="7432158F"/>
    <w:rsid w:val="793D18CD"/>
    <w:rsid w:val="79F9215D"/>
    <w:rsid w:val="7A5D5882"/>
    <w:rsid w:val="7ACD74A9"/>
    <w:rsid w:val="7C280623"/>
    <w:rsid w:val="7D02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afterLines="0" w:afterAutospacing="0"/>
      <w:ind w:left="0" w:leftChars="0" w:rightChars="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1294</Words>
  <Characters>1376</Characters>
  <Lines>0</Lines>
  <Paragraphs>0</Paragraphs>
  <TotalTime>10</TotalTime>
  <ScaleCrop>false</ScaleCrop>
  <LinksUpToDate>false</LinksUpToDate>
  <CharactersWithSpaces>1376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2020-12-09T11:07:00Z</dcterms:created>
  <dc:creator>穆晨</dc:creator>
  <cp:lastModifiedBy>WPS_1600223186</cp:lastModifiedBy>
  <dcterms:modified xsi:type="dcterms:W3CDTF">2026-03-24T03:17:52Z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17486DDB1C654A979706AFD1AAFD1CA1_13</vt:lpwstr>
  </property>
  <property fmtid="{D5CDD505-2E9C-101B-9397-08002B2CF9AE}" pid="4" name="KSOTemplateDocerSaveRecord">
    <vt:lpwstr>eyJoZGlkIjoiZjgzYzU3M2FkYzQ3ZTkzN2Q3MDBhODA0YTdhMTdkNjkiLCJ1c2VySWQiOiIxMTA1MjM3NTI0In0=</vt:lpwstr>
  </property>
</Properties>
</file>