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jc w:val="left"/>
        <w:rPr>
          <w:highlight w:val="none"/>
        </w:rPr>
      </w:pPr>
      <w:r>
        <w:rPr>
          <w:highlight w:val="none"/>
        </w:rPr>
      </w:r>
      <w:r/>
    </w:p>
    <w:p>
      <w:pPr>
        <w:pStyle w:val="783"/>
        <w:rPr>
          <w:highlight w:val="none"/>
        </w:rPr>
      </w:pPr>
      <w:r/>
      <w:bookmarkStart w:id="0" w:name="EB3ace3d43b98b41779337deb808be6fa3"/>
      <w:r>
        <w:rPr>
          <w:rFonts w:hint="eastAsia"/>
          <w:sz w:val="20"/>
          <w:highlight w:val="none"/>
        </w:rPr>
        <w:t xml:space="preserve"> </w:t>
      </w:r>
      <w:bookmarkEnd w:id="0"/>
      <w:r/>
      <w:bookmarkStart w:id="1" w:name="EB57dd2a69e2b54b0cb3f5c2f03a1ab7bf"/>
      <w:r>
        <w:rPr>
          <w:rFonts w:hint="eastAsia"/>
          <w:sz w:val="20"/>
          <w:highlight w:val="none"/>
        </w:rPr>
        <w:t xml:space="preserve"> </w:t>
      </w:r>
      <w:bookmarkEnd w:id="1"/>
      <w:r>
        <w:rPr>
          <w:highlight w:val="none"/>
        </w:rPr>
      </w:r>
      <w:r/>
    </w:p>
    <w:p>
      <w:pPr>
        <w:pStyle w:val="783"/>
        <w:rPr>
          <w:highlight w:val="none"/>
        </w:rPr>
      </w:pPr>
      <w:r>
        <w:rPr>
          <w:highlight w:val="none"/>
        </w:rPr>
      </w:r>
      <w:r/>
    </w:p>
    <w:p>
      <w:pPr>
        <w:pStyle w:val="783"/>
        <w:jc w:val="center"/>
        <w:spacing w:before="120" w:after="120" w:line="360" w:lineRule="auto"/>
        <w:rPr>
          <w:rFonts w:hint="eastAsia" w:ascii="Arial" w:hAnsi="Arial" w:eastAsia="黑体" w:cs="黑体"/>
          <w:b/>
          <w:sz w:val="84"/>
          <w:szCs w:val="24"/>
          <w:highlight w:val="none"/>
          <w:lang w:bidi="ar"/>
        </w:rPr>
      </w:pPr>
      <w:r>
        <w:rPr>
          <w:rFonts w:hint="eastAsia" w:ascii="Arial" w:hAnsi="Arial" w:eastAsia="黑体" w:cs="黑体"/>
          <w:b/>
          <w:sz w:val="84"/>
          <w:szCs w:val="24"/>
          <w:highlight w:val="none"/>
          <w:lang w:bidi="ar"/>
        </w:rPr>
        <w:t xml:space="preserve">招　标　文　件</w:t>
      </w:r>
      <w:r>
        <w:rPr>
          <w:rFonts w:hint="eastAsia" w:ascii="Arial" w:hAnsi="Arial" w:eastAsia="黑体" w:cs="黑体"/>
          <w:b/>
          <w:sz w:val="84"/>
          <w:szCs w:val="24"/>
          <w:highlight w:val="none"/>
          <w:lang w:bidi="ar"/>
        </w:rPr>
      </w:r>
      <w:r/>
    </w:p>
    <w:p>
      <w:pPr>
        <w:pStyle w:val="783"/>
        <w:rPr>
          <w:rFonts w:hint="eastAsia" w:ascii="Times New Roman" w:hAnsi="Times New Roman" w:cs="宋体"/>
          <w:b/>
          <w:sz w:val="30"/>
          <w:szCs w:val="30"/>
          <w:highlight w:val="none"/>
          <w:lang w:bidi="ar"/>
        </w:rPr>
      </w:pPr>
      <w:r>
        <w:rPr>
          <w:rFonts w:hint="eastAsia" w:ascii="Times New Roman" w:hAnsi="Times New Roman" w:cs="宋体"/>
          <w:b/>
          <w:sz w:val="30"/>
          <w:szCs w:val="30"/>
          <w:highlight w:val="none"/>
          <w:lang w:bidi="ar"/>
        </w:rPr>
      </w:r>
      <w:r/>
    </w:p>
    <w:p>
      <w:pPr>
        <w:pStyle w:val="783"/>
        <w:rPr>
          <w:rFonts w:hint="eastAsia" w:ascii="Times New Roman" w:hAnsi="Times New Roman" w:cs="宋体"/>
          <w:b/>
          <w:sz w:val="30"/>
          <w:szCs w:val="30"/>
          <w:highlight w:val="none"/>
          <w:lang w:bidi="ar"/>
        </w:rPr>
      </w:pPr>
      <w:r>
        <w:rPr>
          <w:rFonts w:hint="eastAsia" w:ascii="Times New Roman" w:hAnsi="Times New Roman" w:cs="宋体"/>
          <w:b/>
          <w:sz w:val="30"/>
          <w:szCs w:val="30"/>
          <w:highlight w:val="none"/>
          <w:lang w:bidi="ar"/>
        </w:rPr>
      </w:r>
      <w:r/>
    </w:p>
    <w:p>
      <w:pPr>
        <w:pStyle w:val="783"/>
        <w:ind w:firstLine="1506"/>
        <w:rPr>
          <w:rFonts w:hint="eastAsia"/>
          <w:b/>
          <w:sz w:val="30"/>
          <w:szCs w:val="30"/>
          <w:highlight w:val="none"/>
        </w:rPr>
      </w:pPr>
      <w:r>
        <w:rPr>
          <w:rFonts w:hint="eastAsia" w:ascii="Times New Roman" w:hAnsi="Times New Roman" w:cs="宋体"/>
          <w:b/>
          <w:sz w:val="30"/>
          <w:szCs w:val="30"/>
          <w:highlight w:val="none"/>
          <w:lang w:bidi="ar"/>
        </w:rPr>
        <w:t xml:space="preserve">项目名称：</w:t>
      </w:r>
      <w:r>
        <w:rPr>
          <w:rFonts w:hint="eastAsia" w:ascii="Times New Roman" w:hAnsi="Times New Roman"/>
          <w:b/>
          <w:sz w:val="30"/>
          <w:szCs w:val="30"/>
          <w:highlight w:val="none"/>
          <w:lang w:bidi="ar"/>
        </w:rPr>
        <w:t xml:space="preserve">宿迁学院新能源汽车构造实验室建设项目</w:t>
      </w:r>
      <w:r>
        <w:rPr>
          <w:rFonts w:hint="eastAsia" w:ascii="Times New Roman" w:hAnsi="Times New Roman" w:cs="宋体"/>
          <w:b/>
          <w:sz w:val="30"/>
          <w:szCs w:val="30"/>
          <w:highlight w:val="none"/>
          <w:lang w:bidi="ar"/>
        </w:rPr>
        <w:t xml:space="preserve"> </w:t>
      </w:r>
      <w:r>
        <w:rPr>
          <w:rFonts w:hint="eastAsia"/>
          <w:b/>
          <w:sz w:val="30"/>
          <w:szCs w:val="30"/>
          <w:highlight w:val="none"/>
        </w:rPr>
      </w:r>
      <w:r/>
    </w:p>
    <w:p>
      <w:pPr>
        <w:pStyle w:val="783"/>
        <w:ind w:firstLine="1506"/>
        <w:rPr>
          <w:rFonts w:hint="eastAsia" w:ascii="Times New Roman" w:hAnsi="Times New Roman" w:cs="宋体"/>
          <w:b/>
          <w:sz w:val="30"/>
          <w:szCs w:val="30"/>
          <w:highlight w:val="none"/>
          <w:lang w:bidi="ar"/>
        </w:rPr>
      </w:pPr>
      <w:r>
        <w:rPr>
          <w:rFonts w:hint="eastAsia" w:ascii="Times New Roman" w:hAnsi="Times New Roman" w:cs="宋体"/>
          <w:b/>
          <w:sz w:val="30"/>
          <w:szCs w:val="30"/>
          <w:highlight w:val="none"/>
          <w:lang w:bidi="ar"/>
        </w:rPr>
      </w:r>
      <w:r/>
    </w:p>
    <w:p>
      <w:pPr>
        <w:pStyle w:val="783"/>
        <w:ind w:firstLine="1506"/>
        <w:rPr>
          <w:rFonts w:hint="eastAsia" w:ascii="Times New Roman" w:hAnsi="Times New Roman" w:eastAsia="宋体" w:cs="宋体"/>
          <w:b/>
          <w:sz w:val="30"/>
          <w:szCs w:val="30"/>
          <w:highlight w:val="none"/>
          <w:lang w:eastAsia="zh-CN" w:bidi="ar"/>
        </w:rPr>
      </w:pPr>
      <w:r>
        <w:rPr>
          <w:rFonts w:hint="eastAsia" w:ascii="Times New Roman" w:hAnsi="Times New Roman" w:cs="宋体"/>
          <w:b/>
          <w:sz w:val="30"/>
          <w:szCs w:val="30"/>
          <w:highlight w:val="none"/>
          <w:lang w:bidi="ar"/>
        </w:rPr>
        <w:t xml:space="preserve">项目编号：</w:t>
      </w:r>
      <w:r>
        <w:rPr>
          <w:rFonts w:hint="eastAsia" w:ascii="Times New Roman" w:hAnsi="Times New Roman"/>
          <w:b/>
          <w:sz w:val="30"/>
          <w:szCs w:val="30"/>
          <w:highlight w:val="none"/>
          <w:lang w:eastAsia="zh-CN" w:bidi="ar"/>
        </w:rPr>
        <w:t xml:space="preserve">JSZC-320000-JING-G2026-0012</w:t>
      </w:r>
      <w:r>
        <w:rPr>
          <w:rFonts w:hint="eastAsia" w:ascii="Times New Roman" w:hAnsi="Times New Roman" w:eastAsia="宋体" w:cs="宋体"/>
          <w:b/>
          <w:sz w:val="30"/>
          <w:szCs w:val="30"/>
          <w:highlight w:val="none"/>
          <w:lang w:eastAsia="zh-CN" w:bidi="ar"/>
        </w:rPr>
      </w:r>
      <w:r/>
    </w:p>
    <w:p>
      <w:pPr>
        <w:pStyle w:val="783"/>
        <w:ind w:left="2800" w:hanging="2800"/>
        <w:rPr>
          <w:rFonts w:ascii="Times New Roman" w:hAnsi="Times New Roman"/>
          <w:sz w:val="28"/>
          <w:szCs w:val="28"/>
          <w:highlight w:val="none"/>
          <w:lang w:bidi="ar"/>
        </w:rPr>
      </w:pPr>
      <w:r>
        <w:rPr>
          <w:rFonts w:ascii="Times New Roman" w:hAnsi="Times New Roman"/>
          <w:sz w:val="28"/>
          <w:szCs w:val="28"/>
          <w:highlight w:val="none"/>
          <w:lang w:bidi="ar"/>
        </w:rPr>
      </w:r>
      <w:r/>
    </w:p>
    <w:p>
      <w:pPr>
        <w:pStyle w:val="783"/>
        <w:ind w:left="2800" w:hanging="2800"/>
        <w:rPr>
          <w:b/>
          <w:sz w:val="28"/>
          <w:szCs w:val="28"/>
          <w:highlight w:val="none"/>
        </w:rPr>
      </w:pPr>
      <w:r>
        <w:rPr>
          <w:rFonts w:ascii="Times New Roman" w:hAnsi="Times New Roman"/>
          <w:sz w:val="28"/>
          <w:szCs w:val="28"/>
          <w:highlight w:val="none"/>
          <w:lang w:bidi="ar"/>
        </w:rPr>
        <w:t xml:space="preserve">       </w:t>
      </w:r>
      <w:r>
        <w:rPr>
          <w:rFonts w:hint="eastAsia" w:ascii="Times New Roman" w:hAnsi="Times New Roman"/>
          <w:sz w:val="28"/>
          <w:szCs w:val="28"/>
          <w:highlight w:val="none"/>
          <w:lang w:bidi="ar"/>
        </w:rPr>
        <w:t xml:space="preserve">   </w:t>
      </w:r>
      <w:r>
        <w:rPr>
          <w:rFonts w:ascii="Times New Roman" w:hAnsi="Times New Roman"/>
          <w:b/>
          <w:sz w:val="28"/>
          <w:szCs w:val="28"/>
          <w:highlight w:val="none"/>
          <w:lang w:bidi="ar"/>
        </w:rPr>
        <w:t xml:space="preserve"> </w:t>
      </w:r>
      <w:r>
        <w:rPr>
          <w:b/>
          <w:sz w:val="28"/>
          <w:szCs w:val="28"/>
          <w:highlight w:val="none"/>
        </w:rPr>
      </w:r>
      <w:r/>
    </w:p>
    <w:p>
      <w:pPr>
        <w:pStyle w:val="783"/>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83"/>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83"/>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83"/>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83"/>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83"/>
        <w:jc w:val="left"/>
        <w:spacing w:line="360" w:lineRule="auto"/>
        <w:rPr>
          <w:rFonts w:ascii="宋体" w:hAnsi="宋体" w:cs="宋体"/>
          <w:sz w:val="24"/>
          <w:szCs w:val="24"/>
          <w:highlight w:val="none"/>
        </w:rPr>
      </w:pPr>
      <w:r>
        <w:rPr>
          <w:rFonts w:ascii="宋体" w:hAnsi="宋体" w:cs="宋体"/>
          <w:sz w:val="24"/>
          <w:szCs w:val="24"/>
          <w:highlight w:val="none"/>
        </w:rPr>
      </w:r>
      <w:r/>
    </w:p>
    <w:tbl>
      <w:tblPr>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783"/>
              <w:jc w:val="left"/>
              <w:spacing w:line="500" w:lineRule="exact"/>
              <w:rPr>
                <w:rFonts w:ascii="仿宋" w:hAnsi="仿宋" w:eastAsia="仿宋" w:cs="仿宋"/>
                <w:sz w:val="24"/>
                <w:szCs w:val="24"/>
                <w:highlight w:val="none"/>
              </w:rPr>
              <w:framePr w:vAnchor="text" w:hAnchor="page" w:x="2413" w:y="466"/>
            </w:pPr>
            <w:r>
              <w:rPr>
                <w:rFonts w:hint="eastAsia" w:ascii="Times New Roman" w:hAnsi="Times New Roman"/>
                <w:b/>
                <w:bCs/>
                <w:spacing w:val="45"/>
                <w:sz w:val="32"/>
                <w:szCs w:val="24"/>
                <w:highlight w:val="none"/>
              </w:rPr>
              <w:t xml:space="preserve">采  购 人</w:t>
            </w:r>
            <w:r>
              <w:rPr>
                <w:rFonts w:hint="eastAsia" w:ascii="Times New Roman" w:hAnsi="Times New Roman"/>
                <w:b/>
                <w:bCs/>
                <w:spacing w:val="1"/>
                <w:sz w:val="32"/>
                <w:szCs w:val="24"/>
                <w:highlight w:val="none"/>
              </w:rPr>
              <w:t xml:space="preserve">：</w:t>
            </w:r>
            <w:r>
              <w:rPr>
                <w:rFonts w:ascii="仿宋" w:hAnsi="仿宋" w:eastAsia="仿宋" w:cs="仿宋"/>
                <w:sz w:val="24"/>
                <w:szCs w:val="24"/>
                <w:highlight w:val="none"/>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783"/>
              <w:jc w:val="left"/>
              <w:spacing w:line="500" w:lineRule="exact"/>
              <w:rPr>
                <w:rFonts w:hint="eastAsia" w:ascii="Times New Roman" w:hAnsi="Times New Roman"/>
                <w:b/>
                <w:bCs/>
                <w:sz w:val="32"/>
                <w:szCs w:val="24"/>
                <w:highlight w:val="none"/>
              </w:rPr>
              <w:framePr w:vAnchor="text" w:hAnchor="page" w:x="2413" w:y="466"/>
            </w:pPr>
            <w:r>
              <w:rPr>
                <w:rFonts w:hint="eastAsia" w:ascii="Times New Roman" w:hAnsi="Times New Roman"/>
                <w:b/>
                <w:bCs/>
                <w:sz w:val="32"/>
                <w:szCs w:val="24"/>
                <w:highlight w:val="none"/>
              </w:rPr>
              <w:t xml:space="preserve">宿迁学院</w:t>
            </w:r>
            <w:r>
              <w:rPr>
                <w:rFonts w:hint="eastAsia" w:ascii="Times New Roman" w:hAnsi="Times New Roman"/>
                <w:b/>
                <w:bCs/>
                <w:sz w:val="32"/>
                <w:szCs w:val="24"/>
                <w:highlight w:val="none"/>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783"/>
              <w:jc w:val="left"/>
              <w:spacing w:line="500" w:lineRule="exact"/>
              <w:rPr>
                <w:rFonts w:hint="eastAsia" w:ascii="Times New Roman" w:hAnsi="Times New Roman"/>
                <w:b/>
                <w:bCs/>
                <w:spacing w:val="45"/>
                <w:sz w:val="32"/>
                <w:szCs w:val="24"/>
                <w:highlight w:val="none"/>
              </w:rPr>
              <w:framePr w:vAnchor="text" w:hAnchor="page" w:x="2413" w:y="466"/>
            </w:pPr>
            <w:r>
              <w:rPr>
                <w:rFonts w:hint="eastAsia" w:ascii="Times New Roman" w:hAnsi="Times New Roman"/>
                <w:b/>
                <w:bCs/>
                <w:sz w:val="32"/>
                <w:szCs w:val="24"/>
                <w:highlight w:val="none"/>
              </w:rPr>
              <w:t xml:space="preserve">采购代理机构：</w:t>
            </w:r>
            <w:r>
              <w:rPr>
                <w:rFonts w:hint="eastAsia" w:ascii="Times New Roman" w:hAnsi="Times New Roman"/>
                <w:b/>
                <w:bCs/>
                <w:spacing w:val="45"/>
                <w:sz w:val="32"/>
                <w:szCs w:val="24"/>
                <w:highlight w:val="none"/>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783"/>
              <w:jc w:val="left"/>
              <w:spacing w:line="500" w:lineRule="exact"/>
              <w:rPr>
                <w:rFonts w:hint="eastAsia" w:ascii="Times New Roman" w:hAnsi="Times New Roman"/>
                <w:b/>
                <w:bCs/>
                <w:sz w:val="32"/>
                <w:szCs w:val="24"/>
                <w:highlight w:val="none"/>
              </w:rPr>
              <w:framePr w:vAnchor="text" w:hAnchor="page" w:x="2413" w:y="466"/>
            </w:pPr>
            <w:r>
              <w:rPr>
                <w:rFonts w:hint="eastAsia" w:ascii="Times New Roman" w:hAnsi="Times New Roman"/>
                <w:b/>
                <w:bCs/>
                <w:sz w:val="32"/>
                <w:szCs w:val="24"/>
                <w:highlight w:val="none"/>
              </w:rPr>
              <w:t xml:space="preserve">江苏经天纬地建设项目管理有限公司</w:t>
            </w:r>
            <w:r>
              <w:rPr>
                <w:rFonts w:hint="eastAsia" w:ascii="Times New Roman" w:hAnsi="Times New Roman"/>
                <w:b/>
                <w:bCs/>
                <w:sz w:val="32"/>
                <w:szCs w:val="24"/>
                <w:highlight w:val="none"/>
              </w:rPr>
            </w:r>
            <w:r/>
          </w:p>
        </w:tc>
      </w:tr>
    </w:tbl>
    <w:p>
      <w:pPr>
        <w:pStyle w:val="783"/>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83"/>
        <w:ind w:firstLine="964"/>
        <w:jc w:val="left"/>
        <w:spacing w:before="120" w:after="120" w:line="360" w:lineRule="auto"/>
        <w:rPr>
          <w:rFonts w:ascii="Arial" w:hAnsi="Arial"/>
          <w:b/>
          <w:sz w:val="32"/>
          <w:szCs w:val="24"/>
          <w:highlight w:val="none"/>
        </w:rPr>
      </w:pPr>
      <w:r>
        <w:rPr>
          <w:rFonts w:hint="eastAsia" w:ascii="Times New Roman" w:hAnsi="Times New Roman"/>
          <w:b/>
          <w:bCs/>
          <w:sz w:val="32"/>
          <w:szCs w:val="24"/>
          <w:highlight w:val="none"/>
        </w:rPr>
        <w:t xml:space="preserve"> </w:t>
      </w:r>
      <w:r>
        <w:rPr>
          <w:rFonts w:ascii="Arial" w:hAnsi="Arial"/>
          <w:b/>
          <w:sz w:val="32"/>
          <w:szCs w:val="24"/>
          <w:highlight w:val="none"/>
        </w:rPr>
      </w:r>
      <w:r/>
    </w:p>
    <w:p>
      <w:pPr>
        <w:pStyle w:val="783"/>
        <w:jc w:val="center"/>
        <w:spacing w:before="120" w:after="120" w:line="360" w:lineRule="auto"/>
        <w:rPr>
          <w:rFonts w:ascii="Arial" w:hAnsi="Arial"/>
          <w:b/>
          <w:sz w:val="32"/>
          <w:szCs w:val="24"/>
          <w:highlight w:val="none"/>
        </w:rPr>
      </w:pPr>
      <w:r>
        <w:rPr>
          <w:rFonts w:ascii="Arial" w:hAnsi="Arial"/>
          <w:b/>
          <w:sz w:val="32"/>
          <w:szCs w:val="24"/>
          <w:highlight w:val="none"/>
          <w:lang w:bidi="ar"/>
        </w:rPr>
        <w:t xml:space="preserve">202</w:t>
      </w:r>
      <w:r>
        <w:rPr>
          <w:rFonts w:hint="eastAsia" w:ascii="Arial" w:hAnsi="Arial"/>
          <w:b/>
          <w:sz w:val="32"/>
          <w:szCs w:val="24"/>
          <w:highlight w:val="none"/>
          <w:lang w:bidi="ar"/>
        </w:rPr>
        <w:t xml:space="preserve">6</w:t>
      </w:r>
      <w:r>
        <w:rPr>
          <w:rFonts w:hint="eastAsia" w:ascii="Arial" w:hAnsi="Arial" w:cs="宋体"/>
          <w:b/>
          <w:sz w:val="32"/>
          <w:szCs w:val="24"/>
          <w:highlight w:val="none"/>
          <w:lang w:bidi="ar"/>
        </w:rPr>
        <w:t xml:space="preserve">年3月</w:t>
      </w:r>
      <w:r>
        <w:rPr>
          <w:rFonts w:hint="eastAsia" w:ascii="Arial" w:hAnsi="Arial" w:cs="宋体"/>
          <w:b/>
          <w:sz w:val="32"/>
          <w:szCs w:val="24"/>
          <w:highlight w:val="none"/>
          <w:lang w:val="en-US" w:eastAsia="zh-CN" w:bidi="ar"/>
        </w:rPr>
        <w:t xml:space="preserve">3</w:t>
      </w:r>
      <w:r>
        <w:rPr>
          <w:rFonts w:hint="eastAsia" w:ascii="Arial" w:hAnsi="Arial" w:cs="宋体"/>
          <w:b/>
          <w:sz w:val="32"/>
          <w:szCs w:val="24"/>
          <w:highlight w:val="none"/>
          <w:lang w:val="en-US" w:eastAsia="zh-CN" w:bidi="ar"/>
        </w:rPr>
        <w:t xml:space="preserve">0</w:t>
      </w:r>
      <w:r>
        <w:rPr>
          <w:rFonts w:hint="eastAsia" w:ascii="Arial" w:hAnsi="Arial" w:cs="宋体"/>
          <w:b/>
          <w:sz w:val="32"/>
          <w:szCs w:val="24"/>
          <w:highlight w:val="none"/>
          <w:lang w:bidi="ar"/>
        </w:rPr>
        <w:t xml:space="preserve">日</w:t>
      </w:r>
      <w:r>
        <w:rPr>
          <w:rFonts w:ascii="Arial" w:hAnsi="Arial"/>
          <w:b/>
          <w:sz w:val="32"/>
          <w:szCs w:val="24"/>
          <w:highlight w:val="none"/>
        </w:rPr>
      </w:r>
      <w:r/>
    </w:p>
    <w:p>
      <w:pPr>
        <w:pStyle w:val="783"/>
        <w:jc w:val="center"/>
        <w:spacing w:before="120" w:after="120" w:line="360" w:lineRule="auto"/>
        <w:rPr>
          <w:rFonts w:ascii="Arial" w:hAnsi="Arial"/>
          <w:b/>
          <w:sz w:val="32"/>
          <w:szCs w:val="24"/>
          <w:highlight w:val="none"/>
        </w:rPr>
      </w:pPr>
      <w:r>
        <w:rPr>
          <w:rFonts w:ascii="Arial" w:hAnsi="Arial"/>
          <w:b/>
          <w:sz w:val="32"/>
          <w:szCs w:val="24"/>
          <w:highlight w:val="none"/>
        </w:rPr>
      </w:r>
      <w:r/>
    </w:p>
    <w:p>
      <w:pPr>
        <w:pStyle w:val="783"/>
        <w:jc w:val="center"/>
        <w:keepLines/>
        <w:keepNext/>
        <w:pageBreakBefore/>
        <w:rPr>
          <w:b/>
          <w:sz w:val="44"/>
          <w:szCs w:val="44"/>
          <w:highlight w:val="none"/>
        </w:rPr>
      </w:pPr>
      <w:r>
        <w:rPr>
          <w:rFonts w:hint="eastAsia"/>
          <w:b/>
          <w:sz w:val="44"/>
          <w:szCs w:val="44"/>
          <w:highlight w:val="none"/>
        </w:rPr>
        <w:t xml:space="preserve">目 录</w:t>
      </w:r>
      <w:r>
        <w:rPr>
          <w:b/>
          <w:sz w:val="44"/>
          <w:szCs w:val="44"/>
          <w:highlight w:val="none"/>
        </w:rPr>
      </w:r>
      <w:r/>
    </w:p>
    <w:p>
      <w:pPr>
        <w:pStyle w:val="840"/>
        <w:spacing w:line="600" w:lineRule="exact"/>
        <w:tabs>
          <w:tab w:val="right" w:pos="9185" w:leader="dot"/>
        </w:tabs>
        <w:rPr>
          <w:rFonts w:ascii="Times New Roman" w:hAnsi="Times New Roman" w:eastAsia="黑体"/>
          <w:b w:val="0"/>
          <w:bCs w:val="0"/>
          <w:sz w:val="32"/>
          <w:highlight w:val="none"/>
        </w:rPr>
      </w:pPr>
      <w:r>
        <w:rPr>
          <w:highlight w:val="none"/>
        </w:rPr>
        <w:fldChar w:fldCharType="begin"/>
      </w:r>
      <w:r>
        <w:rPr>
          <w:highlight w:val="none"/>
        </w:rPr>
        <w:instrText xml:space="preserve">TOC \o "1-1" \h \u </w:instrText>
      </w:r>
      <w:r>
        <w:rPr>
          <w:highlight w:val="none"/>
        </w:rPr>
        <w:fldChar w:fldCharType="separate"/>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_Toc10813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highlight w:val="none"/>
        </w:rPr>
        <w:t xml:space="preserve">第一章  投标邀请</w:t>
      </w:r>
      <w:r>
        <w:rPr>
          <w:rFonts w:ascii="Times New Roman" w:hAnsi="Times New Roman" w:eastAsia="黑体"/>
          <w:b w:val="0"/>
          <w:bCs w:val="0"/>
          <w:sz w:val="32"/>
          <w:highlight w:val="none"/>
        </w:rPr>
        <w:tab/>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PAGEREF _Toc10813 \h </w:instrText>
      </w:r>
      <w:r>
        <w:rPr>
          <w:rFonts w:ascii="Times New Roman" w:hAnsi="Times New Roman" w:eastAsia="黑体"/>
          <w:b w:val="0"/>
          <w:bCs w:val="0"/>
          <w:sz w:val="32"/>
          <w:highlight w:val="none"/>
        </w:rPr>
        <w:fldChar w:fldCharType="separate"/>
      </w:r>
      <w:r>
        <w:rPr>
          <w:rFonts w:ascii="Times New Roman" w:hAnsi="Times New Roman" w:eastAsia="黑体"/>
          <w:b w:val="0"/>
          <w:bCs w:val="0"/>
          <w:sz w:val="32"/>
          <w:highlight w:val="none"/>
        </w:rPr>
        <w:t xml:space="preserve">3</w:t>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r>
      <w:r/>
    </w:p>
    <w:p>
      <w:pPr>
        <w:pStyle w:val="840"/>
        <w:spacing w:line="600" w:lineRule="exact"/>
        <w:tabs>
          <w:tab w:val="right" w:pos="9185" w:leader="dot"/>
        </w:tabs>
        <w:rPr>
          <w:rFonts w:ascii="Times New Roman" w:hAnsi="Times New Roman" w:eastAsia="黑体"/>
          <w:b w:val="0"/>
          <w:bCs w:val="0"/>
          <w:sz w:val="32"/>
          <w:highlight w:val="none"/>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_Toc9425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highlight w:val="none"/>
        </w:rPr>
        <w:t xml:space="preserve">第二章  投标人须知</w:t>
      </w:r>
      <w:r>
        <w:rPr>
          <w:rFonts w:ascii="Times New Roman" w:hAnsi="Times New Roman" w:eastAsia="黑体"/>
          <w:b w:val="0"/>
          <w:bCs w:val="0"/>
          <w:sz w:val="32"/>
          <w:highlight w:val="none"/>
        </w:rPr>
        <w:tab/>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PAGEREF _Toc9425 \h </w:instrText>
      </w:r>
      <w:r>
        <w:rPr>
          <w:rFonts w:ascii="Times New Roman" w:hAnsi="Times New Roman" w:eastAsia="黑体"/>
          <w:b w:val="0"/>
          <w:bCs w:val="0"/>
          <w:sz w:val="32"/>
          <w:highlight w:val="none"/>
        </w:rPr>
        <w:fldChar w:fldCharType="separate"/>
      </w:r>
      <w:r>
        <w:rPr>
          <w:rFonts w:ascii="Times New Roman" w:hAnsi="Times New Roman" w:eastAsia="黑体"/>
          <w:b w:val="0"/>
          <w:bCs w:val="0"/>
          <w:sz w:val="32"/>
          <w:highlight w:val="none"/>
        </w:rPr>
        <w:t xml:space="preserve">3</w:t>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r>
      <w:r/>
    </w:p>
    <w:p>
      <w:pPr>
        <w:pStyle w:val="840"/>
        <w:spacing w:line="600" w:lineRule="exact"/>
        <w:tabs>
          <w:tab w:val="right" w:pos="9185" w:leader="dot"/>
        </w:tabs>
        <w:rPr>
          <w:rFonts w:ascii="Times New Roman" w:hAnsi="Times New Roman" w:eastAsia="黑体"/>
          <w:b w:val="0"/>
          <w:bCs w:val="0"/>
          <w:sz w:val="32"/>
          <w:highlight w:val="none"/>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_Toc17996 </w:instrText>
      </w:r>
      <w:r>
        <w:rPr>
          <w:rFonts w:ascii="Times New Roman" w:hAnsi="Times New Roman" w:eastAsia="黑体"/>
          <w:b w:val="0"/>
          <w:bCs w:val="0"/>
          <w:sz w:val="32"/>
          <w:highlight w:val="none"/>
        </w:rPr>
        <w:fldChar w:fldCharType="separate"/>
      </w:r>
      <w:r>
        <w:rPr>
          <w:rFonts w:hint="eastAsia" w:ascii="Times New Roman" w:hAnsi="Times New Roman" w:eastAsia="黑体" w:cs="Times New Roman"/>
          <w:b w:val="0"/>
          <w:bCs w:val="0"/>
          <w:sz w:val="32"/>
          <w:szCs w:val="44"/>
          <w:highlight w:val="none"/>
        </w:rPr>
        <w:t xml:space="preserve">第三章  资格审查及评标办法</w:t>
      </w:r>
      <w:r>
        <w:rPr>
          <w:rFonts w:ascii="Times New Roman" w:hAnsi="Times New Roman" w:eastAsia="黑体"/>
          <w:b w:val="0"/>
          <w:bCs w:val="0"/>
          <w:sz w:val="32"/>
          <w:highlight w:val="none"/>
        </w:rPr>
        <w:tab/>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PAGEREF _Toc17996 \h </w:instrText>
      </w:r>
      <w:r>
        <w:rPr>
          <w:rFonts w:ascii="Times New Roman" w:hAnsi="Times New Roman" w:eastAsia="黑体"/>
          <w:b w:val="0"/>
          <w:bCs w:val="0"/>
          <w:sz w:val="32"/>
          <w:highlight w:val="none"/>
        </w:rPr>
        <w:fldChar w:fldCharType="separate"/>
      </w:r>
      <w:r>
        <w:rPr>
          <w:rFonts w:ascii="Times New Roman" w:hAnsi="Times New Roman" w:eastAsia="黑体"/>
          <w:b w:val="0"/>
          <w:bCs w:val="0"/>
          <w:sz w:val="32"/>
          <w:highlight w:val="none"/>
        </w:rPr>
        <w:t xml:space="preserve">20</w:t>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r>
      <w:r/>
    </w:p>
    <w:p>
      <w:pPr>
        <w:pStyle w:val="840"/>
        <w:spacing w:line="600" w:lineRule="exact"/>
        <w:tabs>
          <w:tab w:val="right" w:pos="9185" w:leader="dot"/>
        </w:tabs>
        <w:rPr>
          <w:rFonts w:ascii="Times New Roman" w:hAnsi="Times New Roman" w:eastAsia="黑体"/>
          <w:b w:val="0"/>
          <w:bCs w:val="0"/>
          <w:sz w:val="32"/>
          <w:highlight w:val="none"/>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_Toc22314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szCs w:val="44"/>
          <w:highlight w:val="none"/>
        </w:rPr>
        <w:t xml:space="preserve">第四章</w:t>
      </w:r>
      <w:r>
        <w:rPr>
          <w:rFonts w:ascii="Times New Roman" w:hAnsi="Times New Roman" w:eastAsia="黑体"/>
          <w:b w:val="0"/>
          <w:bCs w:val="0"/>
          <w:sz w:val="32"/>
          <w:szCs w:val="44"/>
          <w:highlight w:val="none"/>
        </w:rPr>
        <w:t xml:space="preserve">  </w:t>
      </w:r>
      <w:r>
        <w:rPr>
          <w:rFonts w:hint="eastAsia" w:ascii="Times New Roman" w:hAnsi="Times New Roman" w:eastAsia="黑体"/>
          <w:b w:val="0"/>
          <w:bCs w:val="0"/>
          <w:sz w:val="32"/>
          <w:szCs w:val="44"/>
          <w:highlight w:val="none"/>
        </w:rPr>
        <w:t xml:space="preserve">采购需求</w:t>
      </w:r>
      <w:r>
        <w:rPr>
          <w:rFonts w:ascii="Times New Roman" w:hAnsi="Times New Roman" w:eastAsia="黑体"/>
          <w:b w:val="0"/>
          <w:bCs w:val="0"/>
          <w:sz w:val="32"/>
          <w:highlight w:val="none"/>
        </w:rPr>
        <w:tab/>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PAGEREF _Toc22314 \h </w:instrText>
      </w:r>
      <w:r>
        <w:rPr>
          <w:rFonts w:ascii="Times New Roman" w:hAnsi="Times New Roman" w:eastAsia="黑体"/>
          <w:b w:val="0"/>
          <w:bCs w:val="0"/>
          <w:sz w:val="32"/>
          <w:highlight w:val="none"/>
        </w:rPr>
        <w:fldChar w:fldCharType="separate"/>
      </w:r>
      <w:r>
        <w:rPr>
          <w:rFonts w:ascii="Times New Roman" w:hAnsi="Times New Roman" w:eastAsia="黑体"/>
          <w:b w:val="0"/>
          <w:bCs w:val="0"/>
          <w:sz w:val="32"/>
          <w:highlight w:val="none"/>
        </w:rPr>
        <w:t xml:space="preserve">22</w:t>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r>
      <w:r/>
    </w:p>
    <w:p>
      <w:pPr>
        <w:pStyle w:val="840"/>
        <w:spacing w:line="600" w:lineRule="exact"/>
        <w:tabs>
          <w:tab w:val="right" w:pos="9185" w:leader="dot"/>
        </w:tabs>
        <w:rPr>
          <w:rFonts w:ascii="Times New Roman" w:hAnsi="Times New Roman" w:eastAsia="黑体"/>
          <w:b w:val="0"/>
          <w:bCs w:val="0"/>
          <w:sz w:val="32"/>
          <w:highlight w:val="none"/>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_Toc2513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szCs w:val="44"/>
          <w:highlight w:val="none"/>
        </w:rPr>
        <w:t xml:space="preserve">第五章</w:t>
      </w:r>
      <w:r>
        <w:rPr>
          <w:rFonts w:ascii="Times New Roman" w:hAnsi="Times New Roman" w:eastAsia="黑体"/>
          <w:b w:val="0"/>
          <w:bCs w:val="0"/>
          <w:sz w:val="32"/>
          <w:szCs w:val="44"/>
          <w:highlight w:val="none"/>
        </w:rPr>
        <w:t xml:space="preserve">  </w:t>
      </w:r>
      <w:r>
        <w:rPr>
          <w:rFonts w:hint="eastAsia" w:ascii="Times New Roman" w:hAnsi="Times New Roman" w:eastAsia="黑体"/>
          <w:b w:val="0"/>
          <w:bCs w:val="0"/>
          <w:sz w:val="32"/>
          <w:szCs w:val="44"/>
          <w:highlight w:val="none"/>
        </w:rPr>
        <w:t xml:space="preserve">合同文本</w:t>
      </w:r>
      <w:r>
        <w:rPr>
          <w:rFonts w:ascii="Times New Roman" w:hAnsi="Times New Roman" w:eastAsia="黑体"/>
          <w:b w:val="0"/>
          <w:bCs w:val="0"/>
          <w:sz w:val="32"/>
          <w:highlight w:val="none"/>
        </w:rPr>
        <w:tab/>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PAGEREF _Toc2513 \h </w:instrText>
      </w:r>
      <w:r>
        <w:rPr>
          <w:rFonts w:ascii="Times New Roman" w:hAnsi="Times New Roman" w:eastAsia="黑体"/>
          <w:b w:val="0"/>
          <w:bCs w:val="0"/>
          <w:sz w:val="32"/>
          <w:highlight w:val="none"/>
        </w:rPr>
        <w:fldChar w:fldCharType="separate"/>
      </w:r>
      <w:r>
        <w:rPr>
          <w:rFonts w:ascii="Times New Roman" w:hAnsi="Times New Roman" w:eastAsia="黑体"/>
          <w:b w:val="0"/>
          <w:bCs w:val="0"/>
          <w:sz w:val="32"/>
          <w:highlight w:val="none"/>
        </w:rPr>
        <w:t xml:space="preserve">41</w:t>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r>
      <w:r/>
    </w:p>
    <w:p>
      <w:pPr>
        <w:pStyle w:val="840"/>
        <w:spacing w:line="600" w:lineRule="exact"/>
        <w:tabs>
          <w:tab w:val="right" w:pos="9185" w:leader="dot"/>
        </w:tabs>
        <w:rPr>
          <w:highlight w:val="none"/>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_Toc12937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szCs w:val="44"/>
          <w:highlight w:val="none"/>
        </w:rPr>
        <w:t xml:space="preserve">第六章  投标文件格式</w:t>
      </w:r>
      <w:r>
        <w:rPr>
          <w:rFonts w:ascii="Times New Roman" w:hAnsi="Times New Roman" w:eastAsia="黑体"/>
          <w:b w:val="0"/>
          <w:bCs w:val="0"/>
          <w:sz w:val="32"/>
          <w:highlight w:val="none"/>
        </w:rPr>
        <w:tab/>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PAGEREF _Toc12937 \h </w:instrText>
      </w:r>
      <w:r>
        <w:rPr>
          <w:rFonts w:ascii="Times New Roman" w:hAnsi="Times New Roman" w:eastAsia="黑体"/>
          <w:b w:val="0"/>
          <w:bCs w:val="0"/>
          <w:sz w:val="32"/>
          <w:highlight w:val="none"/>
        </w:rPr>
        <w:fldChar w:fldCharType="separate"/>
      </w:r>
      <w:r>
        <w:rPr>
          <w:rFonts w:ascii="Times New Roman" w:hAnsi="Times New Roman" w:eastAsia="黑体"/>
          <w:b w:val="0"/>
          <w:bCs w:val="0"/>
          <w:sz w:val="32"/>
          <w:highlight w:val="none"/>
        </w:rPr>
        <w:t xml:space="preserve">41</w:t>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fldChar w:fldCharType="end"/>
      </w:r>
      <w:r>
        <w:rPr>
          <w:highlight w:val="none"/>
        </w:rPr>
      </w:r>
      <w:r/>
    </w:p>
    <w:p>
      <w:pPr>
        <w:pStyle w:val="783"/>
        <w:rPr>
          <w:highlight w:val="none"/>
        </w:rPr>
      </w:pPr>
      <w:r>
        <w:rPr>
          <w:highlight w:val="none"/>
        </w:rPr>
        <w:fldChar w:fldCharType="end"/>
      </w:r>
      <w:r>
        <w:rPr>
          <w:highlight w:val="none"/>
        </w:rPr>
      </w:r>
      <w:r/>
    </w:p>
    <w:p>
      <w:pPr>
        <w:pStyle w:val="783"/>
        <w:jc w:val="center"/>
        <w:keepLines/>
        <w:keepNext/>
        <w:pageBreakBefore/>
        <w:rPr>
          <w:b/>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Pr>
          <w:b/>
          <w:sz w:val="44"/>
          <w:szCs w:val="44"/>
          <w:highlight w:val="none"/>
        </w:rPr>
      </w:r>
      <w:r/>
    </w:p>
    <w:p>
      <w:pPr>
        <w:pStyle w:val="784"/>
        <w:jc w:val="center"/>
        <w:spacing w:before="200"/>
        <w:rPr>
          <w:rFonts w:hint="eastAsia" w:eastAsia="黑体"/>
          <w:sz w:val="44"/>
          <w:highlight w:val="none"/>
        </w:rPr>
      </w:pPr>
      <w:r/>
      <w:bookmarkStart w:id="4" w:name="_Toc30943"/>
      <w:r/>
      <w:bookmarkStart w:id="5" w:name="_Toc10813"/>
      <w:r/>
      <w:bookmarkStart w:id="6" w:name="_Toc25722"/>
      <w:r>
        <w:rPr>
          <w:rFonts w:hint="eastAsia" w:eastAsia="黑体"/>
          <w:sz w:val="44"/>
          <w:highlight w:val="none"/>
        </w:rPr>
        <w:t xml:space="preserve">第一章  投标邀请</w:t>
      </w:r>
      <w:bookmarkEnd w:id="2"/>
      <w:r/>
      <w:bookmarkEnd w:id="3"/>
      <w:r/>
      <w:bookmarkEnd w:id="4"/>
      <w:r/>
      <w:bookmarkEnd w:id="5"/>
      <w:r/>
      <w:bookmarkEnd w:id="6"/>
      <w:r>
        <w:rPr>
          <w:rFonts w:hint="eastAsia" w:eastAsia="黑体"/>
          <w:sz w:val="44"/>
          <w:highlight w:val="none"/>
        </w:rPr>
      </w:r>
      <w:r/>
    </w:p>
    <w:p>
      <w:pPr>
        <w:pStyle w:val="783"/>
        <w:ind w:firstLine="480"/>
        <w:spacing w:line="480" w:lineRule="exact"/>
        <w:rPr>
          <w:rFonts w:ascii="Times New Roman" w:hAnsi="Times New Roman" w:cs="方正仿宋_GBK"/>
          <w:sz w:val="24"/>
          <w:szCs w:val="24"/>
          <w:highlight w:val="none"/>
        </w:rPr>
      </w:pPr>
      <w:r/>
      <w:bookmarkStart w:id="7" w:name="_Toc11687"/>
      <w:r/>
      <w:bookmarkStart w:id="8" w:name="_Toc81575153"/>
      <w:r/>
      <w:bookmarkStart w:id="9" w:name="_Toc81575190"/>
      <w:r/>
      <w:bookmarkStart w:id="10" w:name="_Toc9425"/>
      <w:r/>
      <w:bookmarkStart w:id="11" w:name="_Toc15265"/>
      <w:r>
        <w:rPr>
          <w:rFonts w:hint="eastAsia" w:ascii="宋体" w:hAnsi="宋体"/>
          <w:sz w:val="24"/>
          <w:szCs w:val="24"/>
          <w:highlight w:val="none"/>
        </w:rPr>
        <w:t xml:space="preserve">受</w:t>
      </w:r>
      <w:r>
        <w:rPr>
          <w:rFonts w:hint="eastAsia" w:ascii="宋体" w:hAnsi="宋体"/>
          <w:sz w:val="24"/>
          <w:szCs w:val="24"/>
          <w:highlight w:val="none"/>
          <w:u w:val="single"/>
        </w:rPr>
        <w:t xml:space="preserve">宿迁学院</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江苏经天纬地建设项目管理有限公司</w:t>
      </w:r>
      <w:r>
        <w:rPr>
          <w:rFonts w:hint="eastAsia" w:ascii="Times New Roman" w:hAnsi="Times New Roman" w:cs="方正仿宋_GBK"/>
          <w:sz w:val="24"/>
          <w:szCs w:val="24"/>
          <w:highlight w:val="none"/>
        </w:rPr>
        <w:t xml:space="preserve">就</w:t>
      </w:r>
      <w:r>
        <w:rPr>
          <w:rFonts w:hint="eastAsia" w:ascii="宋体" w:hAnsi="宋体"/>
          <w:sz w:val="24"/>
          <w:szCs w:val="24"/>
          <w:highlight w:val="none"/>
          <w:u w:val="single"/>
        </w:rPr>
        <w:t xml:space="preserve">宿迁学院新能源汽车构造实验室建设项目</w:t>
      </w:r>
      <w:r>
        <w:rPr>
          <w:rFonts w:hint="eastAsia" w:ascii="宋体" w:hAnsi="宋体"/>
          <w:sz w:val="24"/>
          <w:szCs w:val="24"/>
          <w:highlight w:val="none"/>
        </w:rPr>
        <w:t xml:space="preserve">(</w:t>
      </w:r>
      <w:r>
        <w:rPr>
          <w:rFonts w:hint="eastAsia" w:ascii="宋体" w:hAnsi="宋体"/>
          <w:sz w:val="24"/>
          <w:szCs w:val="24"/>
          <w:highlight w:val="none"/>
          <w:u w:val="single"/>
          <w:lang w:eastAsia="zh-CN"/>
        </w:rPr>
        <w:t xml:space="preserve">JSZC-320000-JING-G2026-0012</w:t>
      </w:r>
      <w:r>
        <w:rPr>
          <w:rFonts w:hint="eastAsia" w:ascii="宋体" w:hAnsi="宋体"/>
          <w:sz w:val="24"/>
          <w:szCs w:val="24"/>
          <w:highlight w:val="none"/>
        </w:rPr>
        <w:t xml:space="preserve">)</w:t>
      </w:r>
      <w:r>
        <w:rPr>
          <w:rFonts w:hint="eastAsia" w:ascii="Times New Roman" w:hAnsi="Times New Roman" w:cs="方正仿宋_GBK"/>
          <w:sz w:val="24"/>
          <w:szCs w:val="24"/>
          <w:highlight w:val="none"/>
        </w:rPr>
        <w:t xml:space="preserve">进行公开招标采购，欢迎符合条件的投标人投标。</w:t>
      </w:r>
      <w:r>
        <w:rPr>
          <w:rFonts w:ascii="Times New Roman" w:hAnsi="Times New Roman" w:cs="方正仿宋_GBK"/>
          <w:sz w:val="24"/>
          <w:szCs w:val="24"/>
          <w:highlight w:val="none"/>
        </w:rPr>
      </w:r>
      <w:r/>
    </w:p>
    <w:p>
      <w:pPr>
        <w:pStyle w:val="783"/>
        <w:ind w:firstLine="480"/>
        <w:spacing w:line="480" w:lineRule="exact"/>
        <w:rPr>
          <w:rFonts w:ascii="Times New Roman" w:hAnsi="Times New Roman" w:cs="方正仿宋_GBK"/>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highlight w:val="none"/>
        </w:rPr>
        <w:t xml:space="preserve">项目概况</w:t>
      </w:r>
      <w:r>
        <w:rPr>
          <w:rFonts w:ascii="Times New Roman" w:hAnsi="Times New Roman" w:cs="方正仿宋_GBK"/>
          <w:sz w:val="24"/>
          <w:szCs w:val="24"/>
          <w:highlight w:val="none"/>
        </w:rPr>
      </w:r>
      <w:r/>
    </w:p>
    <w:p>
      <w:pPr>
        <w:pStyle w:val="783"/>
        <w:ind w:firstLine="480"/>
        <w:spacing w:line="480" w:lineRule="exact"/>
        <w:rPr>
          <w:rFonts w:ascii="方正仿宋_GBK" w:hAnsi="方正仿宋_GBK" w:eastAsia="方正仿宋_GBK" w:cs="方正仿宋_GBK"/>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宿迁学院新能源汽车构造实验室建设项目</w:t>
      </w:r>
      <w:r>
        <w:rPr>
          <w:rFonts w:hint="eastAsia" w:ascii="Times New Roman" w:hAnsi="Times New Roman" w:cs="方正仿宋_GBK"/>
          <w:sz w:val="24"/>
          <w:szCs w:val="24"/>
          <w:highlight w:val="none"/>
        </w:rPr>
        <w:t xml:space="preserve">招标项目的潜在投标人可在</w:t>
      </w:r>
      <w:r>
        <w:rPr>
          <w:rFonts w:hint="eastAsia" w:ascii="Times New Roman" w:hAnsi="Times New Roman" w:cs="方正仿宋_GBK"/>
          <w:sz w:val="24"/>
          <w:szCs w:val="24"/>
          <w:highlight w:val="none"/>
          <w:u w:val="single"/>
        </w:rPr>
        <w:t xml:space="preserve">江苏经天纬地建设项目管理有限公司</w:t>
      </w:r>
      <w:r>
        <w:rPr>
          <w:rFonts w:hint="eastAsia" w:ascii="Times New Roman" w:hAnsi="Times New Roman" w:cs="方正仿宋_GBK"/>
          <w:sz w:val="24"/>
          <w:szCs w:val="24"/>
          <w:highlight w:val="none"/>
        </w:rPr>
        <w:t xml:space="preserve">获取招标文件，并于</w:t>
      </w:r>
      <w:r>
        <w:rPr>
          <w:rFonts w:hint="eastAsia" w:ascii="宋体" w:hAnsi="宋体"/>
          <w:b/>
          <w:bCs/>
          <w:sz w:val="24"/>
          <w:szCs w:val="24"/>
          <w:highlight w:val="none"/>
          <w:u w:val="single"/>
        </w:rPr>
        <w:t xml:space="preserve">2026年</w:t>
      </w:r>
      <w:r>
        <w:rPr>
          <w:rFonts w:hint="eastAsia" w:ascii="宋体" w:hAnsi="宋体"/>
          <w:b/>
          <w:bCs/>
          <w:sz w:val="24"/>
          <w:szCs w:val="24"/>
          <w:highlight w:val="none"/>
          <w:u w:val="single"/>
          <w:lang w:val="en-US" w:eastAsia="zh-CN"/>
        </w:rPr>
        <w:t xml:space="preserve">4</w:t>
      </w:r>
      <w:r>
        <w:rPr>
          <w:rFonts w:hint="eastAsia" w:ascii="宋体" w:hAnsi="宋体"/>
          <w:b/>
          <w:bCs/>
          <w:sz w:val="24"/>
          <w:szCs w:val="24"/>
          <w:highlight w:val="none"/>
          <w:u w:val="single"/>
        </w:rPr>
        <w:t xml:space="preserve">月</w:t>
      </w:r>
      <w:r>
        <w:rPr>
          <w:rFonts w:hint="eastAsia" w:ascii="宋体" w:hAnsi="宋体"/>
          <w:b/>
          <w:bCs/>
          <w:sz w:val="24"/>
          <w:szCs w:val="24"/>
          <w:highlight w:val="none"/>
          <w:u w:val="single"/>
          <w:lang w:val="en-US" w:eastAsia="zh-CN"/>
        </w:rPr>
        <w:t xml:space="preserve">2</w:t>
      </w:r>
      <w:r>
        <w:rPr>
          <w:rFonts w:hint="eastAsia" w:ascii="宋体" w:hAnsi="宋体"/>
          <w:b/>
          <w:bCs/>
          <w:sz w:val="24"/>
          <w:szCs w:val="24"/>
          <w:highlight w:val="none"/>
          <w:u w:val="single"/>
          <w:lang w:val="en-US" w:eastAsia="zh-CN"/>
        </w:rPr>
        <w:t xml:space="preserve">1</w:t>
      </w:r>
      <w:r>
        <w:rPr>
          <w:rFonts w:hint="eastAsia" w:ascii="宋体" w:hAnsi="宋体"/>
          <w:b/>
          <w:bCs/>
          <w:sz w:val="24"/>
          <w:szCs w:val="24"/>
          <w:highlight w:val="none"/>
          <w:u w:val="single"/>
        </w:rPr>
        <w:t xml:space="preserve">日</w:t>
      </w:r>
      <w:r>
        <w:rPr>
          <w:rFonts w:hint="eastAsia" w:ascii="宋体" w:hAnsi="宋体"/>
          <w:b/>
          <w:bCs/>
          <w:sz w:val="24"/>
          <w:szCs w:val="24"/>
          <w:highlight w:val="none"/>
          <w:u w:val="single"/>
          <w:lang w:val="en-US" w:eastAsia="zh-CN"/>
        </w:rPr>
        <w:t xml:space="preserve">0</w:t>
      </w:r>
      <w:r>
        <w:rPr>
          <w:rFonts w:hint="eastAsia" w:ascii="宋体" w:hAnsi="宋体"/>
          <w:b/>
          <w:bCs/>
          <w:sz w:val="24"/>
          <w:szCs w:val="24"/>
          <w:highlight w:val="none"/>
          <w:u w:val="single"/>
          <w:lang w:val="en-US" w:eastAsia="zh-CN"/>
        </w:rPr>
        <w:t xml:space="preserve">9</w:t>
      </w:r>
      <w:r>
        <w:rPr>
          <w:rFonts w:hint="eastAsia" w:ascii="宋体" w:hAnsi="宋体"/>
          <w:b/>
          <w:bCs/>
          <w:sz w:val="24"/>
          <w:szCs w:val="24"/>
          <w:highlight w:val="none"/>
          <w:u w:val="single"/>
        </w:rPr>
        <w:t xml:space="preserve">点</w:t>
      </w:r>
      <w:r>
        <w:rPr>
          <w:rFonts w:hint="eastAsia" w:ascii="宋体" w:hAnsi="宋体"/>
          <w:b/>
          <w:bCs/>
          <w:sz w:val="24"/>
          <w:szCs w:val="24"/>
          <w:highlight w:val="none"/>
          <w:u w:val="single"/>
          <w:lang w:val="en-US" w:eastAsia="zh-CN"/>
        </w:rPr>
        <w:t xml:space="preserve">3</w:t>
      </w:r>
      <w:r>
        <w:rPr>
          <w:rFonts w:hint="eastAsia" w:ascii="宋体" w:hAnsi="宋体"/>
          <w:b/>
          <w:bCs/>
          <w:sz w:val="24"/>
          <w:szCs w:val="24"/>
          <w:highlight w:val="none"/>
          <w:u w:val="single"/>
        </w:rPr>
        <w:t xml:space="preserve">0分</w:t>
      </w:r>
      <w:r>
        <w:rPr>
          <w:rFonts w:hint="eastAsia" w:ascii="宋体" w:hAnsi="宋体"/>
          <w:bCs/>
          <w:sz w:val="24"/>
          <w:szCs w:val="24"/>
          <w:highlight w:val="none"/>
          <w:u w:val="single"/>
        </w:rPr>
        <w:t xml:space="preserve">（</w:t>
      </w:r>
      <w:r>
        <w:rPr>
          <w:rFonts w:hint="eastAsia" w:ascii="宋体" w:hAnsi="宋体"/>
          <w:bCs/>
          <w:sz w:val="24"/>
          <w:szCs w:val="24"/>
          <w:highlight w:val="none"/>
        </w:rPr>
        <w:t xml:space="preserve">北京时间）</w:t>
      </w:r>
      <w:r>
        <w:rPr>
          <w:rFonts w:hint="eastAsia" w:ascii="Times New Roman" w:hAnsi="Times New Roman" w:cs="方正仿宋_GBK"/>
          <w:bCs/>
          <w:sz w:val="24"/>
          <w:szCs w:val="24"/>
          <w:highlight w:val="none"/>
        </w:rPr>
        <w:t xml:space="preserve">前递交投标文件</w:t>
      </w:r>
      <w:r>
        <w:rPr>
          <w:rFonts w:hint="eastAsia" w:ascii="Times New Roman" w:hAnsi="Times New Roman" w:cs="方正仿宋_GBK"/>
          <w:sz w:val="24"/>
          <w:szCs w:val="24"/>
          <w:highlight w:val="none"/>
        </w:rPr>
        <w:t xml:space="preserve">。</w:t>
      </w:r>
      <w:r>
        <w:rPr>
          <w:rFonts w:ascii="方正仿宋_GBK" w:hAnsi="方正仿宋_GBK" w:eastAsia="方正仿宋_GBK" w:cs="方正仿宋_GBK"/>
          <w:sz w:val="24"/>
          <w:szCs w:val="24"/>
          <w:highlight w:val="none"/>
        </w:rPr>
      </w:r>
      <w:r/>
    </w:p>
    <w:p>
      <w:pPr>
        <w:pStyle w:val="785"/>
        <w:ind w:firstLine="643"/>
        <w:spacing w:before="0" w:after="0" w:line="480" w:lineRule="exact"/>
        <w:rPr>
          <w:rFonts w:hint="eastAsia" w:eastAsia="宋体" w:cs="Arial"/>
          <w:bCs/>
          <w:szCs w:val="22"/>
          <w:highlight w:val="none"/>
        </w:rPr>
      </w:pPr>
      <w:r/>
      <w:bookmarkStart w:id="12" w:name="_Toc35393790"/>
      <w:r/>
      <w:bookmarkStart w:id="13" w:name="_Toc38985263"/>
      <w:r/>
      <w:bookmarkStart w:id="14" w:name="_Toc28359002"/>
      <w:r/>
      <w:bookmarkStart w:id="15" w:name="_Toc2584"/>
      <w:r/>
      <w:bookmarkStart w:id="16" w:name="_Toc35393621"/>
      <w:r/>
      <w:bookmarkStart w:id="17" w:name="_Toc28359079"/>
      <w:r/>
      <w:bookmarkStart w:id="18" w:name="_Hlk24379207"/>
      <w:r>
        <w:rPr>
          <w:rFonts w:hint="eastAsia" w:eastAsia="宋体" w:cs="Arial"/>
          <w:bCs/>
          <w:szCs w:val="22"/>
          <w:highlight w:val="none"/>
        </w:rPr>
        <w:t xml:space="preserve">一、项目基本情况</w:t>
      </w:r>
      <w:bookmarkEnd w:id="12"/>
      <w:r/>
      <w:bookmarkEnd w:id="13"/>
      <w:r/>
      <w:bookmarkEnd w:id="14"/>
      <w:r/>
      <w:bookmarkEnd w:id="15"/>
      <w:r/>
      <w:bookmarkEnd w:id="16"/>
      <w:r/>
      <w:bookmarkEnd w:id="17"/>
      <w:r>
        <w:rPr>
          <w:rFonts w:hint="eastAsia" w:eastAsia="宋体" w:cs="Arial"/>
          <w:bCs/>
          <w:szCs w:val="22"/>
          <w:highlight w:val="none"/>
        </w:rPr>
      </w:r>
      <w:r/>
    </w:p>
    <w:p>
      <w:pPr>
        <w:pStyle w:val="783"/>
        <w:ind w:firstLine="480"/>
        <w:spacing w:line="480" w:lineRule="exact"/>
        <w:rPr>
          <w:rFonts w:hint="eastAsia" w:ascii="Times New Roman" w:hAnsi="Times New Roman" w:eastAsia="宋体" w:cs="仿宋"/>
          <w:sz w:val="24"/>
          <w:szCs w:val="24"/>
          <w:highlight w:val="none"/>
          <w:lang w:eastAsia="zh-CN"/>
        </w:rPr>
      </w:pPr>
      <w:r>
        <w:rPr>
          <w:rFonts w:hint="eastAsia" w:ascii="Times New Roman" w:hAnsi="Times New Roman" w:cs="仿宋"/>
          <w:sz w:val="24"/>
          <w:szCs w:val="24"/>
          <w:highlight w:val="none"/>
        </w:rPr>
        <w:t xml:space="preserve">1.项目编号：</w:t>
      </w:r>
      <w:r>
        <w:rPr>
          <w:rFonts w:hint="eastAsia" w:ascii="Times New Roman" w:hAnsi="Times New Roman" w:cs="仿宋"/>
          <w:sz w:val="24"/>
          <w:szCs w:val="24"/>
          <w:highlight w:val="none"/>
          <w:lang w:eastAsia="zh-CN"/>
        </w:rPr>
        <w:t xml:space="preserve">JSZC-320000-JING-G2026-0012</w:t>
      </w:r>
      <w:r>
        <w:rPr>
          <w:rFonts w:hint="eastAsia" w:ascii="Times New Roman" w:hAnsi="Times New Roman" w:eastAsia="宋体" w:cs="仿宋"/>
          <w:sz w:val="24"/>
          <w:szCs w:val="24"/>
          <w:highlight w:val="none"/>
          <w:lang w:eastAsia="zh-CN"/>
        </w:rPr>
      </w:r>
      <w:r/>
    </w:p>
    <w:p>
      <w:pPr>
        <w:pStyle w:val="783"/>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2.项目名称：</w:t>
      </w:r>
      <w:bookmarkEnd w:id="18"/>
      <w:r>
        <w:rPr>
          <w:rFonts w:hint="eastAsia" w:ascii="Times New Roman" w:hAnsi="Times New Roman" w:cs="仿宋"/>
          <w:sz w:val="24"/>
          <w:szCs w:val="24"/>
          <w:highlight w:val="none"/>
        </w:rPr>
        <w:t xml:space="preserve">宿迁学院新能源汽车构造实验室建设项目</w:t>
      </w:r>
      <w:r>
        <w:rPr>
          <w:rFonts w:hint="eastAsia" w:ascii="Times New Roman" w:hAnsi="Times New Roman" w:cs="仿宋"/>
          <w:sz w:val="24"/>
          <w:szCs w:val="24"/>
          <w:highlight w:val="none"/>
        </w:rPr>
      </w:r>
      <w:r/>
    </w:p>
    <w:p>
      <w:pPr>
        <w:pStyle w:val="783"/>
        <w:ind w:firstLine="480"/>
        <w:spacing w:line="480" w:lineRule="exact"/>
        <w:rPr>
          <w:rFonts w:ascii="仿宋" w:hAnsi="仿宋"/>
          <w:sz w:val="24"/>
          <w:szCs w:val="24"/>
          <w:highlight w:val="none"/>
        </w:rPr>
      </w:pPr>
      <w:r>
        <w:rPr>
          <w:rFonts w:hint="eastAsia" w:ascii="Times New Roman" w:hAnsi="Times New Roman" w:cs="仿宋"/>
          <w:sz w:val="24"/>
          <w:szCs w:val="24"/>
          <w:highlight w:val="none"/>
        </w:rPr>
        <w:t xml:space="preserve">3.预算金额：220万元</w:t>
      </w:r>
      <w:r>
        <w:rPr>
          <w:rFonts w:ascii="仿宋" w:hAnsi="仿宋"/>
          <w:sz w:val="24"/>
          <w:szCs w:val="24"/>
          <w:highlight w:val="none"/>
        </w:rPr>
      </w:r>
      <w:r/>
    </w:p>
    <w:p>
      <w:pPr>
        <w:pStyle w:val="783"/>
        <w:ind w:firstLine="480"/>
        <w:spacing w:line="480" w:lineRule="exact"/>
        <w:rPr>
          <w:rFonts w:hint="eastAsia" w:ascii="仿宋_GB2312"/>
          <w:sz w:val="24"/>
          <w:highlight w:val="none"/>
        </w:rPr>
      </w:pPr>
      <w:r>
        <w:rPr>
          <w:rFonts w:hint="eastAsia" w:ascii="Times New Roman" w:hAnsi="Times New Roman" w:cs="仿宋"/>
          <w:sz w:val="24"/>
          <w:szCs w:val="24"/>
          <w:highlight w:val="none"/>
        </w:rPr>
        <w:t xml:space="preserve">4.本项目设定最高限价，最高限价为</w:t>
      </w:r>
      <w:r>
        <w:rPr>
          <w:rFonts w:hint="eastAsia" w:ascii="仿宋_GB2312"/>
          <w:sz w:val="24"/>
          <w:highlight w:val="none"/>
        </w:rPr>
        <w:t xml:space="preserve">：</w:t>
      </w:r>
      <w:r>
        <w:rPr>
          <w:rFonts w:hint="eastAsia" w:ascii="Times New Roman" w:hAnsi="Times New Roman" w:cs="仿宋"/>
          <w:sz w:val="24"/>
          <w:szCs w:val="24"/>
          <w:highlight w:val="none"/>
        </w:rPr>
        <w:t xml:space="preserve">220万元</w:t>
      </w:r>
      <w:r>
        <w:rPr>
          <w:rFonts w:hint="eastAsia" w:ascii="仿宋_GB2312"/>
          <w:sz w:val="24"/>
          <w:highlight w:val="none"/>
        </w:rPr>
      </w:r>
      <w:r/>
    </w:p>
    <w:p>
      <w:pPr>
        <w:pStyle w:val="783"/>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5.采购需求（简介）：宿迁学院新能源汽车构造实验室建设项目，详见第四章采购需求。</w:t>
      </w:r>
      <w:r>
        <w:rPr>
          <w:rFonts w:hint="eastAsia" w:ascii="Times New Roman" w:hAnsi="Times New Roman" w:cs="仿宋"/>
          <w:sz w:val="24"/>
          <w:szCs w:val="24"/>
          <w:highlight w:val="none"/>
        </w:rPr>
      </w:r>
      <w:r/>
    </w:p>
    <w:p>
      <w:pPr>
        <w:pStyle w:val="783"/>
        <w:ind w:firstLine="480"/>
        <w:spacing w:line="480" w:lineRule="exact"/>
        <w:rPr>
          <w:rFonts w:hint="eastAsia" w:ascii="宋体" w:hAnsi="宋体"/>
          <w:sz w:val="24"/>
          <w:szCs w:val="24"/>
          <w:highlight w:val="none"/>
        </w:rPr>
      </w:pPr>
      <w:r>
        <w:rPr>
          <w:rFonts w:hint="eastAsia" w:ascii="Times New Roman" w:hAnsi="Times New Roman" w:cs="仿宋"/>
          <w:sz w:val="24"/>
          <w:szCs w:val="24"/>
          <w:highlight w:val="none"/>
        </w:rPr>
        <w:t xml:space="preserve">6.合同履行期限：</w:t>
      </w:r>
      <w:r>
        <w:rPr>
          <w:rFonts w:hint="eastAsia" w:ascii="宋体" w:hAnsi="宋体"/>
          <w:sz w:val="24"/>
          <w:szCs w:val="24"/>
          <w:highlight w:val="none"/>
        </w:rPr>
        <w:t xml:space="preserve">60日历天</w:t>
      </w:r>
      <w:r>
        <w:rPr>
          <w:rFonts w:hint="eastAsia" w:ascii="宋体" w:hAnsi="宋体"/>
          <w:sz w:val="24"/>
          <w:szCs w:val="24"/>
          <w:highlight w:val="none"/>
        </w:rPr>
      </w:r>
      <w:r/>
    </w:p>
    <w:p>
      <w:pPr>
        <w:pStyle w:val="783"/>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7.本项目</w:t>
      </w:r>
      <w:r>
        <w:rPr>
          <w:rFonts w:hint="eastAsia" w:ascii="Times New Roman" w:hAnsi="Times New Roman" w:cs="仿宋"/>
          <w:sz w:val="24"/>
          <w:szCs w:val="24"/>
          <w:highlight w:val="none"/>
          <w:u w:val="single"/>
        </w:rPr>
        <w:t xml:space="preserve"> 不接受 </w:t>
      </w:r>
      <w:r>
        <w:rPr>
          <w:rFonts w:hint="eastAsia" w:ascii="Times New Roman" w:hAnsi="Times New Roman" w:cs="仿宋"/>
          <w:sz w:val="24"/>
          <w:szCs w:val="24"/>
          <w:highlight w:val="none"/>
        </w:rPr>
        <w:t xml:space="preserve">联合体投标。</w:t>
      </w:r>
      <w:r>
        <w:rPr>
          <w:rFonts w:hint="eastAsia" w:ascii="Times New Roman" w:hAnsi="Times New Roman" w:cs="仿宋"/>
          <w:sz w:val="24"/>
          <w:szCs w:val="24"/>
          <w:highlight w:val="none"/>
        </w:rPr>
      </w:r>
      <w:r/>
    </w:p>
    <w:p>
      <w:pPr>
        <w:pStyle w:val="785"/>
        <w:ind w:firstLine="643"/>
        <w:spacing w:before="0" w:after="0" w:line="480" w:lineRule="exact"/>
        <w:rPr>
          <w:rFonts w:hint="eastAsia" w:eastAsia="宋体" w:cs="Arial"/>
          <w:bCs/>
          <w:szCs w:val="22"/>
          <w:highlight w:val="none"/>
        </w:rPr>
      </w:pPr>
      <w:r/>
      <w:bookmarkStart w:id="19" w:name="_Toc28359003"/>
      <w:r/>
      <w:bookmarkStart w:id="20" w:name="_Toc28359080"/>
      <w:r/>
      <w:bookmarkStart w:id="21" w:name="_Toc38985264"/>
      <w:r/>
      <w:bookmarkStart w:id="22" w:name="_Toc35393622"/>
      <w:r/>
      <w:bookmarkStart w:id="23" w:name="_Toc27291"/>
      <w:r/>
      <w:bookmarkStart w:id="24" w:name="_Toc35393791"/>
      <w:r>
        <w:rPr>
          <w:rFonts w:hint="eastAsia" w:eastAsia="宋体" w:cs="Arial"/>
          <w:bCs/>
          <w:szCs w:val="22"/>
          <w:highlight w:val="none"/>
        </w:rPr>
        <w:t xml:space="preserve">二、申请人的资格要求</w:t>
      </w:r>
      <w:bookmarkEnd w:id="19"/>
      <w:r/>
      <w:bookmarkEnd w:id="20"/>
      <w:r/>
      <w:bookmarkEnd w:id="21"/>
      <w:r/>
      <w:bookmarkEnd w:id="22"/>
      <w:r/>
      <w:bookmarkEnd w:id="23"/>
      <w:r/>
      <w:bookmarkEnd w:id="24"/>
      <w:r>
        <w:rPr>
          <w:rFonts w:hint="eastAsia" w:eastAsia="宋体" w:cs="Arial"/>
          <w:bCs/>
          <w:szCs w:val="22"/>
          <w:highlight w:val="none"/>
        </w:rPr>
      </w:r>
      <w:r/>
    </w:p>
    <w:p>
      <w:pPr>
        <w:pStyle w:val="783"/>
        <w:ind w:firstLine="480"/>
        <w:spacing w:line="480" w:lineRule="exact"/>
        <w:rPr>
          <w:rFonts w:hint="eastAsia" w:ascii="Times New Roman" w:hAnsi="Times New Roman" w:cs="仿宋"/>
          <w:sz w:val="24"/>
          <w:szCs w:val="24"/>
          <w:highlight w:val="none"/>
        </w:rPr>
      </w:pPr>
      <w:r/>
      <w:bookmarkStart w:id="25" w:name="_Toc28359081"/>
      <w:r/>
      <w:bookmarkStart w:id="26" w:name="_Toc35393792"/>
      <w:r/>
      <w:bookmarkStart w:id="27" w:name="_Toc35393623"/>
      <w:r/>
      <w:bookmarkStart w:id="28" w:name="_Toc28359004"/>
      <w:r/>
      <w:bookmarkStart w:id="29" w:name="_Toc38985265"/>
      <w:r>
        <w:rPr>
          <w:rFonts w:hint="eastAsia" w:ascii="Times New Roman" w:hAnsi="Times New Roman" w:cs="仿宋"/>
          <w:sz w:val="24"/>
          <w:szCs w:val="24"/>
          <w:highlight w:val="none"/>
        </w:rPr>
        <w:t xml:space="preserve">（一）通用资格要求</w:t>
      </w:r>
      <w:r>
        <w:rPr>
          <w:rFonts w:hint="eastAsia" w:ascii="Times New Roman" w:hAnsi="Times New Roman" w:cs="仿宋"/>
          <w:sz w:val="24"/>
          <w:szCs w:val="24"/>
          <w:highlight w:val="none"/>
        </w:rPr>
      </w:r>
      <w:r/>
    </w:p>
    <w:p>
      <w:pPr>
        <w:pStyle w:val="783"/>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1.具备《中华人民共和国政府采购法》第二十二条第一款规定的6项条件（按要求提供投标函）。</w:t>
      </w:r>
      <w:r>
        <w:rPr>
          <w:rFonts w:hint="eastAsia" w:ascii="Times New Roman" w:hAnsi="Times New Roman" w:cs="仿宋"/>
          <w:sz w:val="24"/>
          <w:szCs w:val="24"/>
          <w:highlight w:val="none"/>
        </w:rPr>
      </w:r>
      <w:r/>
    </w:p>
    <w:p>
      <w:pPr>
        <w:pStyle w:val="783"/>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Times New Roman" w:hAnsi="Times New Roman" w:cs="仿宋"/>
          <w:sz w:val="24"/>
          <w:szCs w:val="24"/>
          <w:highlight w:val="none"/>
        </w:rPr>
      </w:r>
      <w:r/>
    </w:p>
    <w:p>
      <w:pPr>
        <w:pStyle w:val="783"/>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3.落实政府采购政策需满足的资格要求：</w:t>
      </w:r>
      <w:r>
        <w:rPr>
          <w:rFonts w:hint="eastAsia" w:ascii="宋体" w:hAnsi="宋体" w:cs="宋体"/>
          <w:color w:val="000000"/>
          <w:sz w:val="24"/>
          <w:szCs w:val="24"/>
          <w:highlight w:val="none"/>
        </w:rPr>
        <w:t xml:space="preserve">无。</w:t>
      </w:r>
      <w:r>
        <w:rPr>
          <w:rFonts w:hint="eastAsia" w:ascii="Times New Roman" w:hAnsi="Times New Roman" w:cs="仿宋"/>
          <w:sz w:val="24"/>
          <w:szCs w:val="24"/>
          <w:highlight w:val="none"/>
        </w:rPr>
      </w:r>
      <w:r/>
    </w:p>
    <w:p>
      <w:pPr>
        <w:pStyle w:val="783"/>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（二）本项目的特定资格要求：无；</w:t>
      </w:r>
      <w:r>
        <w:rPr>
          <w:rFonts w:hint="eastAsia" w:ascii="Times New Roman" w:hAnsi="Times New Roman" w:cs="仿宋"/>
          <w:sz w:val="24"/>
          <w:szCs w:val="24"/>
          <w:highlight w:val="none"/>
        </w:rPr>
      </w:r>
      <w:r/>
    </w:p>
    <w:p>
      <w:pPr>
        <w:pStyle w:val="785"/>
        <w:ind w:firstLine="643"/>
        <w:spacing w:before="0" w:after="0" w:line="480" w:lineRule="exact"/>
        <w:rPr>
          <w:rFonts w:hint="eastAsia" w:eastAsia="宋体" w:cs="Arial"/>
          <w:bCs/>
          <w:szCs w:val="22"/>
          <w:highlight w:val="none"/>
        </w:rPr>
      </w:pPr>
      <w:r/>
      <w:bookmarkStart w:id="30" w:name="_Toc22204"/>
      <w:r>
        <w:rPr>
          <w:rFonts w:hint="eastAsia" w:eastAsia="宋体" w:cs="Arial"/>
          <w:bCs/>
          <w:szCs w:val="22"/>
          <w:highlight w:val="none"/>
        </w:rPr>
        <w:t xml:space="preserve">三、获取招标文件</w:t>
      </w:r>
      <w:bookmarkEnd w:id="25"/>
      <w:r/>
      <w:bookmarkEnd w:id="26"/>
      <w:r/>
      <w:bookmarkEnd w:id="27"/>
      <w:r/>
      <w:bookmarkEnd w:id="28"/>
      <w:r/>
      <w:bookmarkEnd w:id="29"/>
      <w:r/>
      <w:bookmarkEnd w:id="30"/>
      <w:r>
        <w:rPr>
          <w:rFonts w:hint="eastAsia" w:eastAsia="宋体" w:cs="Arial"/>
          <w:bCs/>
          <w:szCs w:val="22"/>
          <w:highlight w:val="none"/>
        </w:rPr>
      </w:r>
      <w:r/>
    </w:p>
    <w:p>
      <w:pPr>
        <w:pStyle w:val="783"/>
        <w:ind w:firstLine="480"/>
        <w:spacing w:line="480" w:lineRule="exact"/>
        <w:rPr>
          <w:rFonts w:ascii="Times New Roman" w:hAnsi="Times New Roman" w:cs="仿宋"/>
          <w:sz w:val="24"/>
          <w:szCs w:val="24"/>
          <w:highlight w:val="none"/>
        </w:rPr>
      </w:pPr>
      <w:r/>
      <w:bookmarkStart w:id="31" w:name="_Toc35393624"/>
      <w:r/>
      <w:bookmarkStart w:id="32" w:name="_Toc35393793"/>
      <w:r/>
      <w:bookmarkStart w:id="33" w:name="_Toc28359005"/>
      <w:r/>
      <w:bookmarkStart w:id="34" w:name="_Toc28359082"/>
      <w:r/>
      <w:bookmarkStart w:id="35" w:name="_Toc38985266"/>
      <w:r>
        <w:rPr>
          <w:rFonts w:hint="eastAsia" w:ascii="Times New Roman" w:hAnsi="Times New Roman" w:cs="仿宋"/>
          <w:sz w:val="24"/>
          <w:szCs w:val="24"/>
          <w:highlight w:val="none"/>
        </w:rPr>
        <w:t xml:space="preserve">1.时间：自招标文件公告发布之日起5个工作日。</w:t>
      </w:r>
      <w:r>
        <w:rPr>
          <w:rFonts w:ascii="Times New Roman" w:hAnsi="Times New Roman" w:cs="仿宋"/>
          <w:sz w:val="24"/>
          <w:szCs w:val="24"/>
          <w:highlight w:val="none"/>
        </w:rPr>
      </w:r>
      <w:r/>
    </w:p>
    <w:p>
      <w:pPr>
        <w:pStyle w:val="783"/>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2.方式：投标人应在招标文件提供的时间内，在</w:t>
      </w:r>
      <w:r>
        <w:rPr>
          <w:rFonts w:hint="eastAsia" w:ascii="Times New Roman" w:hAnsi="Times New Roman" w:cs="方正仿宋_GBK"/>
          <w:sz w:val="24"/>
          <w:szCs w:val="24"/>
          <w:highlight w:val="none"/>
        </w:rPr>
        <w:t xml:space="preserve">江苏经天纬地建设项目管理有限公司</w:t>
      </w:r>
      <w:r>
        <w:rPr>
          <w:rFonts w:hint="eastAsia" w:ascii="Times New Roman" w:hAnsi="Times New Roman" w:cs="仿宋"/>
          <w:sz w:val="24"/>
          <w:szCs w:val="24"/>
          <w:highlight w:val="none"/>
        </w:rPr>
        <w:t xml:space="preserve">获取招标文件，获取文件联系方式：18262844633（微信同号），获取文件所需提供资料：营业执照、授权委托书及代理人身份证原件（扫描件）。</w:t>
      </w:r>
      <w:r>
        <w:rPr>
          <w:rFonts w:hint="eastAsia" w:ascii="Times New Roman" w:hAnsi="Times New Roman" w:cs="仿宋"/>
          <w:sz w:val="24"/>
          <w:szCs w:val="24"/>
          <w:highlight w:val="none"/>
        </w:rPr>
      </w:r>
      <w:r/>
    </w:p>
    <w:p>
      <w:pPr>
        <w:pStyle w:val="783"/>
        <w:ind w:firstLine="480"/>
        <w:spacing w:line="480" w:lineRule="exact"/>
        <w:rPr>
          <w:rFonts w:hint="eastAsia" w:ascii="Times New Roman" w:hAnsi="Times New Roman" w:cs="仿宋"/>
          <w:sz w:val="24"/>
          <w:szCs w:val="24"/>
          <w:highlight w:val="none"/>
        </w:rPr>
      </w:pPr>
      <w:r/>
      <w:bookmarkStart w:id="36" w:name="EB0c44ff4da61f4af989d119fe214be450"/>
      <w:r>
        <w:rPr>
          <w:rFonts w:hint="eastAsia" w:ascii="Times New Roman" w:hAnsi="Times New Roman" w:cs="仿宋"/>
          <w:sz w:val="24"/>
          <w:szCs w:val="24"/>
          <w:highlight w:val="none"/>
        </w:rPr>
        <w:t xml:space="preserve">3.本项目共分一个采购包。投标人未按要求获取招标文件，后果自负（其投标文件不予接受）。</w:t>
      </w:r>
      <w:bookmarkEnd w:id="36"/>
      <w:r>
        <w:rPr>
          <w:rFonts w:hint="eastAsia" w:ascii="Times New Roman" w:hAnsi="Times New Roman" w:cs="仿宋"/>
          <w:sz w:val="24"/>
          <w:szCs w:val="24"/>
          <w:highlight w:val="none"/>
        </w:rPr>
      </w:r>
      <w:r/>
    </w:p>
    <w:p>
      <w:pPr>
        <w:pStyle w:val="783"/>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4.售价：300元。</w:t>
      </w:r>
      <w:r>
        <w:rPr>
          <w:rFonts w:hint="eastAsia" w:ascii="Times New Roman" w:hAnsi="Times New Roman" w:cs="仿宋"/>
          <w:sz w:val="24"/>
          <w:szCs w:val="24"/>
          <w:highlight w:val="none"/>
        </w:rPr>
      </w:r>
      <w:r/>
    </w:p>
    <w:p>
      <w:pPr>
        <w:pStyle w:val="785"/>
        <w:ind w:firstLine="643"/>
        <w:spacing w:before="0" w:after="0" w:line="480" w:lineRule="exact"/>
        <w:rPr>
          <w:rFonts w:hint="eastAsia" w:eastAsia="宋体" w:cs="Arial"/>
          <w:bCs/>
          <w:szCs w:val="22"/>
          <w:highlight w:val="none"/>
        </w:rPr>
      </w:pPr>
      <w:r/>
      <w:bookmarkStart w:id="37" w:name="_Toc19148"/>
      <w:r>
        <w:rPr>
          <w:rFonts w:hint="eastAsia" w:eastAsia="宋体" w:cs="Arial"/>
          <w:bCs/>
          <w:szCs w:val="22"/>
          <w:highlight w:val="none"/>
        </w:rPr>
        <w:t xml:space="preserve">四、提交投标文件</w:t>
      </w:r>
      <w:bookmarkEnd w:id="33"/>
      <w:r/>
      <w:bookmarkEnd w:id="34"/>
      <w:r>
        <w:rPr>
          <w:rFonts w:hint="eastAsia" w:eastAsia="宋体" w:cs="Arial"/>
          <w:bCs/>
          <w:szCs w:val="22"/>
          <w:highlight w:val="none"/>
        </w:rPr>
        <w:t xml:space="preserve">截止时间、开标时间和地点</w:t>
      </w:r>
      <w:bookmarkEnd w:id="31"/>
      <w:r/>
      <w:bookmarkEnd w:id="32"/>
      <w:r/>
      <w:bookmarkEnd w:id="35"/>
      <w:r/>
      <w:bookmarkEnd w:id="37"/>
      <w:r>
        <w:rPr>
          <w:rFonts w:hint="eastAsia" w:eastAsia="宋体" w:cs="Arial"/>
          <w:bCs/>
          <w:szCs w:val="22"/>
          <w:highlight w:val="none"/>
        </w:rPr>
      </w:r>
      <w:r/>
    </w:p>
    <w:p>
      <w:pPr>
        <w:pStyle w:val="783"/>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1.提交投标文件截止时间、开标时间：</w:t>
      </w:r>
      <w:r>
        <w:rPr>
          <w:rFonts w:hint="eastAsia" w:ascii="Times New Roman" w:hAnsi="Times New Roman" w:cs="仿宋"/>
          <w:b/>
          <w:bCs/>
          <w:sz w:val="24"/>
          <w:szCs w:val="24"/>
          <w:highlight w:val="none"/>
        </w:rPr>
        <w:t xml:space="preserve">2026年</w:t>
      </w:r>
      <w:r>
        <w:rPr>
          <w:rFonts w:hint="eastAsia" w:ascii="Times New Roman" w:hAnsi="Times New Roman" w:cs="仿宋"/>
          <w:b/>
          <w:bCs/>
          <w:sz w:val="24"/>
          <w:szCs w:val="24"/>
          <w:highlight w:val="none"/>
          <w:lang w:val="en-US" w:eastAsia="zh-CN"/>
        </w:rPr>
        <w:t xml:space="preserve">4</w:t>
      </w:r>
      <w:r>
        <w:rPr>
          <w:rFonts w:hint="eastAsia" w:ascii="Times New Roman" w:hAnsi="Times New Roman" w:cs="仿宋"/>
          <w:b/>
          <w:bCs/>
          <w:sz w:val="24"/>
          <w:szCs w:val="24"/>
          <w:highlight w:val="none"/>
        </w:rPr>
        <w:t xml:space="preserve">月</w:t>
      </w:r>
      <w:r>
        <w:rPr>
          <w:rFonts w:hint="eastAsia" w:ascii="Times New Roman" w:hAnsi="Times New Roman" w:cs="仿宋"/>
          <w:b/>
          <w:bCs/>
          <w:sz w:val="24"/>
          <w:szCs w:val="24"/>
          <w:highlight w:val="none"/>
          <w:lang w:val="en-US" w:eastAsia="zh-CN"/>
        </w:rPr>
        <w:t xml:space="preserve">2</w:t>
      </w:r>
      <w:r>
        <w:rPr>
          <w:rFonts w:hint="eastAsia" w:ascii="Times New Roman" w:hAnsi="Times New Roman" w:cs="仿宋"/>
          <w:b/>
          <w:bCs/>
          <w:sz w:val="24"/>
          <w:szCs w:val="24"/>
          <w:highlight w:val="none"/>
          <w:lang w:val="en-US" w:eastAsia="zh-CN"/>
        </w:rPr>
        <w:t xml:space="preserve">1</w:t>
      </w:r>
      <w:r>
        <w:rPr>
          <w:rFonts w:hint="eastAsia" w:ascii="Times New Roman" w:hAnsi="Times New Roman" w:cs="仿宋"/>
          <w:b/>
          <w:bCs/>
          <w:sz w:val="24"/>
          <w:szCs w:val="24"/>
          <w:highlight w:val="none"/>
        </w:rPr>
        <w:t xml:space="preserve">日09点30分</w:t>
      </w:r>
      <w:r>
        <w:rPr>
          <w:rFonts w:hint="eastAsia" w:ascii="Times New Roman" w:hAnsi="Times New Roman" w:cs="仿宋"/>
          <w:sz w:val="24"/>
          <w:szCs w:val="24"/>
          <w:highlight w:val="none"/>
        </w:rPr>
        <w:t xml:space="preserve">（北京时间）</w:t>
      </w:r>
      <w:r>
        <w:rPr>
          <w:rFonts w:hint="eastAsia" w:ascii="Times New Roman" w:hAnsi="Times New Roman" w:cs="仿宋"/>
          <w:sz w:val="24"/>
          <w:szCs w:val="24"/>
          <w:highlight w:val="none"/>
        </w:rPr>
      </w:r>
      <w:r/>
    </w:p>
    <w:p>
      <w:pPr>
        <w:pStyle w:val="783"/>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2.地点：宿豫区金融财富广场C栋15楼开标室。</w:t>
      </w:r>
      <w:r>
        <w:rPr>
          <w:rFonts w:hint="eastAsia" w:ascii="Times New Roman" w:hAnsi="Times New Roman" w:cs="仿宋"/>
          <w:sz w:val="24"/>
          <w:szCs w:val="24"/>
          <w:highlight w:val="none"/>
        </w:rPr>
      </w:r>
      <w:r/>
    </w:p>
    <w:p>
      <w:pPr>
        <w:pStyle w:val="785"/>
        <w:ind w:firstLine="643"/>
        <w:spacing w:before="0" w:after="0" w:line="480" w:lineRule="exact"/>
        <w:rPr>
          <w:rFonts w:hint="eastAsia" w:eastAsia="宋体" w:cs="Arial"/>
          <w:bCs/>
          <w:szCs w:val="22"/>
          <w:highlight w:val="none"/>
        </w:rPr>
      </w:pPr>
      <w:r/>
      <w:bookmarkStart w:id="38" w:name="_Toc28359007"/>
      <w:r/>
      <w:bookmarkStart w:id="39" w:name="_Toc28359084"/>
      <w:r/>
      <w:bookmarkStart w:id="40" w:name="_Toc35393794"/>
      <w:r/>
      <w:bookmarkStart w:id="41" w:name="_Toc24820"/>
      <w:r/>
      <w:bookmarkStart w:id="42" w:name="_Toc38985267"/>
      <w:r/>
      <w:bookmarkStart w:id="43" w:name="_Toc35393625"/>
      <w:r>
        <w:rPr>
          <w:rFonts w:hint="eastAsia" w:eastAsia="宋体" w:cs="Arial"/>
          <w:bCs/>
          <w:szCs w:val="22"/>
          <w:highlight w:val="none"/>
        </w:rPr>
        <w:t xml:space="preserve">五、公告期限</w:t>
      </w:r>
      <w:bookmarkEnd w:id="38"/>
      <w:r/>
      <w:bookmarkEnd w:id="39"/>
      <w:r/>
      <w:bookmarkEnd w:id="40"/>
      <w:r/>
      <w:bookmarkEnd w:id="41"/>
      <w:r/>
      <w:bookmarkEnd w:id="42"/>
      <w:r/>
      <w:bookmarkEnd w:id="43"/>
      <w:r>
        <w:rPr>
          <w:rFonts w:hint="eastAsia" w:eastAsia="宋体" w:cs="Arial"/>
          <w:bCs/>
          <w:szCs w:val="22"/>
          <w:highlight w:val="none"/>
        </w:rPr>
      </w:r>
      <w:r/>
    </w:p>
    <w:p>
      <w:pPr>
        <w:pStyle w:val="783"/>
        <w:ind w:firstLine="480"/>
        <w:spacing w:line="480" w:lineRule="exact"/>
        <w:rPr>
          <w:rFonts w:hint="eastAsia" w:ascii="Times New Roman" w:hAnsi="Times New Roman" w:cs="仿宋"/>
          <w:sz w:val="24"/>
          <w:szCs w:val="24"/>
          <w:highlight w:val="none"/>
        </w:rPr>
      </w:pPr>
      <w:r/>
      <w:bookmarkStart w:id="44" w:name="_Toc38985268"/>
      <w:r/>
      <w:bookmarkStart w:id="45" w:name="_Toc35393626"/>
      <w:r/>
      <w:bookmarkStart w:id="46" w:name="_Toc35393795"/>
      <w:r>
        <w:rPr>
          <w:rFonts w:hint="eastAsia" w:ascii="Times New Roman" w:hAnsi="Times New Roman" w:cs="仿宋"/>
          <w:sz w:val="24"/>
          <w:szCs w:val="24"/>
          <w:highlight w:val="none"/>
        </w:rPr>
        <w:t xml:space="preserve">招标公告及招标文件公告期限为自本公告发布之日起5个工作日。</w:t>
      </w:r>
      <w:r>
        <w:rPr>
          <w:rFonts w:hint="eastAsia" w:ascii="Times New Roman" w:hAnsi="Times New Roman" w:cs="仿宋"/>
          <w:sz w:val="24"/>
          <w:szCs w:val="24"/>
          <w:highlight w:val="none"/>
        </w:rPr>
      </w:r>
      <w:r/>
    </w:p>
    <w:p>
      <w:pPr>
        <w:pStyle w:val="785"/>
        <w:ind w:firstLine="643"/>
        <w:spacing w:before="0" w:after="0" w:line="480" w:lineRule="exact"/>
        <w:rPr>
          <w:rFonts w:hint="eastAsia" w:eastAsia="宋体" w:cs="Arial"/>
          <w:bCs/>
          <w:szCs w:val="22"/>
          <w:highlight w:val="none"/>
        </w:rPr>
      </w:pPr>
      <w:r/>
      <w:bookmarkStart w:id="47" w:name="_Toc13415"/>
      <w:r>
        <w:rPr>
          <w:rFonts w:hint="eastAsia" w:eastAsia="宋体" w:cs="Arial"/>
          <w:bCs/>
          <w:szCs w:val="22"/>
          <w:highlight w:val="none"/>
        </w:rPr>
        <w:t xml:space="preserve">六、其他补充事宜</w:t>
      </w:r>
      <w:bookmarkEnd w:id="44"/>
      <w:r/>
      <w:bookmarkEnd w:id="45"/>
      <w:r/>
      <w:bookmarkEnd w:id="46"/>
      <w:r/>
      <w:bookmarkEnd w:id="47"/>
      <w:r>
        <w:rPr>
          <w:rFonts w:hint="eastAsia" w:eastAsia="宋体" w:cs="Arial"/>
          <w:bCs/>
          <w:szCs w:val="22"/>
          <w:highlight w:val="none"/>
        </w:rPr>
      </w:r>
      <w:r/>
    </w:p>
    <w:p>
      <w:pPr>
        <w:pStyle w:val="783"/>
        <w:ind w:firstLine="480"/>
        <w:spacing w:line="480" w:lineRule="exact"/>
        <w:rPr>
          <w:rFonts w:hint="eastAsia" w:ascii="Times New Roman" w:hAnsi="Times New Roman" w:cs="仿宋"/>
          <w:sz w:val="24"/>
          <w:highlight w:val="none"/>
        </w:rPr>
      </w:pPr>
      <w:r/>
      <w:bookmarkStart w:id="48" w:name="_Toc35393627"/>
      <w:r/>
      <w:bookmarkStart w:id="49" w:name="_Toc38985269"/>
      <w:r/>
      <w:bookmarkStart w:id="50" w:name="_Toc28359085"/>
      <w:r/>
      <w:bookmarkStart w:id="51" w:name="EB64e1f522fd8c43fcb4d3ba471386b3e7"/>
      <w:r/>
      <w:bookmarkStart w:id="52" w:name="_Toc35393796"/>
      <w:r/>
      <w:bookmarkStart w:id="53" w:name="_Toc28359008"/>
      <w:r>
        <w:rPr>
          <w:rFonts w:hint="eastAsia" w:ascii="Times New Roman" w:hAnsi="Times New Roman" w:cs="仿宋"/>
          <w:sz w:val="24"/>
          <w:szCs w:val="24"/>
          <w:highlight w:val="none"/>
        </w:rPr>
        <w:t xml:space="preserve">1.招标公告发布媒体：</w:t>
      </w:r>
      <w:bookmarkStart w:id="54" w:name="OLE_LINK3"/>
      <w:r>
        <w:rPr>
          <w:rFonts w:hint="eastAsia" w:ascii="Times New Roman" w:hAnsi="Times New Roman" w:cs="仿宋"/>
          <w:sz w:val="24"/>
          <w:szCs w:val="24"/>
          <w:highlight w:val="none"/>
        </w:rPr>
        <w:t xml:space="preserve">江苏政府采购网</w:t>
      </w:r>
      <w:bookmarkEnd w:id="54"/>
      <w:r>
        <w:rPr>
          <w:rFonts w:hint="eastAsia" w:ascii="Times New Roman" w:hAnsi="Times New Roman" w:cs="仿宋"/>
          <w:sz w:val="24"/>
          <w:szCs w:val="24"/>
          <w:highlight w:val="none"/>
        </w:rPr>
        <w:t xml:space="preserve">、宿迁学院官网。</w:t>
      </w:r>
      <w:bookmarkEnd w:id="51"/>
      <w:r/>
      <w:bookmarkStart w:id="55" w:name="_Toc29049"/>
      <w:r>
        <w:rPr>
          <w:rFonts w:hint="eastAsia" w:ascii="Times New Roman" w:hAnsi="Times New Roman" w:cs="仿宋"/>
          <w:sz w:val="24"/>
          <w:highlight w:val="none"/>
        </w:rPr>
      </w:r>
      <w:r/>
    </w:p>
    <w:p>
      <w:pPr>
        <w:pStyle w:val="785"/>
        <w:ind w:firstLine="643"/>
        <w:spacing w:before="0" w:after="0" w:line="480" w:lineRule="exact"/>
        <w:rPr>
          <w:rFonts w:hint="eastAsia" w:eastAsia="宋体" w:cs="Arial"/>
          <w:bCs/>
          <w:szCs w:val="22"/>
          <w:highlight w:val="none"/>
        </w:rPr>
      </w:pPr>
      <w:r>
        <w:rPr>
          <w:rFonts w:hint="eastAsia" w:eastAsia="宋体" w:cs="Arial"/>
          <w:bCs/>
          <w:szCs w:val="22"/>
          <w:highlight w:val="none"/>
        </w:rPr>
        <w:t xml:space="preserve">七、本次招标联系方式</w:t>
      </w:r>
      <w:bookmarkEnd w:id="48"/>
      <w:r/>
      <w:bookmarkEnd w:id="49"/>
      <w:r/>
      <w:bookmarkEnd w:id="50"/>
      <w:r/>
      <w:bookmarkEnd w:id="52"/>
      <w:r/>
      <w:bookmarkEnd w:id="53"/>
      <w:r/>
      <w:bookmarkEnd w:id="55"/>
      <w:r>
        <w:rPr>
          <w:rFonts w:hint="eastAsia" w:eastAsia="宋体" w:cs="Arial"/>
          <w:bCs/>
          <w:szCs w:val="22"/>
          <w:highlight w:val="none"/>
        </w:rPr>
      </w:r>
      <w:r/>
    </w:p>
    <w:p>
      <w:pPr>
        <w:pStyle w:val="783"/>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1.采购人信息</w:t>
      </w:r>
      <w:r>
        <w:rPr>
          <w:rFonts w:hint="eastAsia" w:ascii="Times New Roman" w:hAnsi="Times New Roman" w:cs="仿宋"/>
          <w:sz w:val="24"/>
          <w:szCs w:val="24"/>
          <w:highlight w:val="none"/>
        </w:rPr>
      </w:r>
      <w:r/>
    </w:p>
    <w:p>
      <w:pPr>
        <w:pStyle w:val="783"/>
        <w:ind w:firstLine="480"/>
        <w:spacing w:line="480" w:lineRule="exact"/>
        <w:rPr>
          <w:rFonts w:hint="eastAsia" w:ascii="Times New Roman" w:hAnsi="Times New Roman" w:cs="仿宋"/>
          <w:sz w:val="24"/>
          <w:szCs w:val="24"/>
          <w:highlight w:val="none"/>
        </w:rPr>
      </w:pPr>
      <w:r/>
      <w:bookmarkStart w:id="56" w:name="_Toc28359086"/>
      <w:r/>
      <w:bookmarkStart w:id="57" w:name="_Toc28359009"/>
      <w:r>
        <w:rPr>
          <w:rFonts w:hint="eastAsia" w:ascii="Times New Roman" w:hAnsi="Times New Roman" w:cs="仿宋"/>
          <w:sz w:val="24"/>
          <w:szCs w:val="24"/>
          <w:highlight w:val="none"/>
        </w:rPr>
        <w:t xml:space="preserve">名称：宿迁学院</w:t>
      </w:r>
      <w:r>
        <w:rPr>
          <w:rFonts w:hint="eastAsia" w:ascii="Times New Roman" w:hAnsi="Times New Roman" w:cs="仿宋"/>
          <w:sz w:val="24"/>
          <w:szCs w:val="24"/>
          <w:highlight w:val="none"/>
        </w:rPr>
      </w:r>
      <w:r/>
    </w:p>
    <w:p>
      <w:pPr>
        <w:pStyle w:val="783"/>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地址：江苏省宿迁市黄河南路399号</w:t>
      </w:r>
      <w:r>
        <w:rPr>
          <w:rFonts w:hint="eastAsia" w:ascii="Times New Roman" w:hAnsi="Times New Roman" w:cs="仿宋"/>
          <w:sz w:val="24"/>
          <w:szCs w:val="24"/>
          <w:highlight w:val="none"/>
        </w:rPr>
      </w:r>
      <w:r/>
    </w:p>
    <w:p>
      <w:pPr>
        <w:pStyle w:val="783"/>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联系电话：李老师   13514497507</w:t>
      </w:r>
      <w:r>
        <w:rPr>
          <w:rFonts w:hint="eastAsia" w:ascii="Times New Roman" w:hAnsi="Times New Roman" w:cs="仿宋"/>
          <w:sz w:val="24"/>
          <w:szCs w:val="24"/>
          <w:highlight w:val="none"/>
        </w:rPr>
      </w:r>
      <w:r/>
    </w:p>
    <w:p>
      <w:pPr>
        <w:pStyle w:val="783"/>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2.采购代理机构信息</w:t>
      </w:r>
      <w:bookmarkEnd w:id="56"/>
      <w:r/>
      <w:bookmarkEnd w:id="57"/>
      <w:r>
        <w:rPr>
          <w:rFonts w:hint="eastAsia" w:ascii="Times New Roman" w:hAnsi="Times New Roman" w:cs="仿宋"/>
          <w:sz w:val="24"/>
          <w:szCs w:val="24"/>
          <w:highlight w:val="none"/>
        </w:rPr>
      </w:r>
      <w:r/>
    </w:p>
    <w:p>
      <w:pPr>
        <w:pStyle w:val="783"/>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名称：江苏经天纬地建设项目管理有限公司</w:t>
      </w:r>
      <w:r>
        <w:rPr>
          <w:rFonts w:hint="eastAsia" w:ascii="Times New Roman" w:hAnsi="Times New Roman" w:cs="仿宋"/>
          <w:sz w:val="24"/>
          <w:szCs w:val="24"/>
          <w:highlight w:val="none"/>
        </w:rPr>
      </w:r>
      <w:r/>
    </w:p>
    <w:p>
      <w:pPr>
        <w:pStyle w:val="783"/>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地址：宿豫区金融财富广场C栋15楼</w:t>
      </w:r>
      <w:r>
        <w:rPr>
          <w:rFonts w:hint="eastAsia" w:ascii="Times New Roman" w:hAnsi="Times New Roman" w:cs="仿宋"/>
          <w:sz w:val="24"/>
          <w:szCs w:val="24"/>
          <w:highlight w:val="none"/>
        </w:rPr>
      </w:r>
      <w:r/>
    </w:p>
    <w:p>
      <w:pPr>
        <w:pStyle w:val="783"/>
        <w:ind w:firstLine="480"/>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联系方式：周辰   18262844633</w:t>
      </w:r>
      <w:r>
        <w:rPr>
          <w:rFonts w:ascii="Times New Roman" w:hAnsi="Times New Roman" w:cs="仿宋"/>
          <w:sz w:val="24"/>
          <w:szCs w:val="24"/>
          <w:highlight w:val="none"/>
        </w:rPr>
      </w:r>
      <w:r/>
    </w:p>
    <w:p>
      <w:pPr>
        <w:pStyle w:val="783"/>
        <w:ind w:firstLine="480"/>
        <w:spacing w:line="480" w:lineRule="exact"/>
        <w:rPr>
          <w:rFonts w:ascii="Times New Roman" w:hAnsi="Times New Roman" w:cs="仿宋"/>
          <w:sz w:val="24"/>
          <w:szCs w:val="24"/>
          <w:highlight w:val="none"/>
        </w:rPr>
      </w:pPr>
      <w:r>
        <w:rPr>
          <w:rFonts w:ascii="Times New Roman" w:hAnsi="Times New Roman" w:cs="仿宋"/>
          <w:sz w:val="24"/>
          <w:szCs w:val="24"/>
          <w:highlight w:val="none"/>
        </w:rPr>
      </w:r>
      <w:r/>
    </w:p>
    <w:p>
      <w:pPr>
        <w:pStyle w:val="78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78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pStyle w:val="783"/>
        <w:ind w:firstLine="480"/>
        <w:spacing w:line="480" w:lineRule="exact"/>
        <w:rPr>
          <w:rFonts w:hint="eastAsia" w:ascii="宋体" w:hAnsi="宋体"/>
          <w:sz w:val="24"/>
          <w:szCs w:val="24"/>
          <w:highlight w:val="none"/>
          <w:u w:val="single"/>
        </w:rPr>
      </w:pPr>
      <w:r>
        <w:rPr>
          <w:rFonts w:hint="eastAsia" w:ascii="宋体" w:hAnsi="宋体"/>
          <w:sz w:val="24"/>
          <w:szCs w:val="24"/>
          <w:highlight w:val="none"/>
          <w:u w:val="single"/>
        </w:rPr>
      </w:r>
      <w:r/>
    </w:p>
    <w:p>
      <w:pPr>
        <w:pStyle w:val="783"/>
        <w:jc w:val="center"/>
        <w:keepLines/>
        <w:keepNext/>
        <w:pageBreakBefore/>
        <w:rPr>
          <w:rFonts w:hint="eastAsia"/>
          <w:b/>
          <w:sz w:val="44"/>
          <w:szCs w:val="44"/>
          <w:highlight w:val="none"/>
        </w:rPr>
        <w:outlineLvl w:val="0"/>
      </w:pPr>
      <w:r>
        <w:rPr>
          <w:rFonts w:hint="eastAsia"/>
          <w:b/>
          <w:sz w:val="44"/>
          <w:szCs w:val="44"/>
          <w:highlight w:val="none"/>
        </w:rPr>
        <w:t xml:space="preserve">第二章  投标人须知</w:t>
      </w:r>
      <w:bookmarkEnd w:id="7"/>
      <w:r/>
      <w:bookmarkEnd w:id="8"/>
      <w:r/>
      <w:bookmarkEnd w:id="9"/>
      <w:r/>
      <w:bookmarkEnd w:id="10"/>
      <w:r/>
      <w:bookmarkEnd w:id="11"/>
      <w:r>
        <w:rPr>
          <w:rFonts w:hint="eastAsia"/>
          <w:b/>
          <w:sz w:val="44"/>
          <w:szCs w:val="44"/>
          <w:highlight w:val="none"/>
        </w:rPr>
      </w:r>
      <w:r/>
    </w:p>
    <w:p>
      <w:pPr>
        <w:pStyle w:val="785"/>
        <w:spacing w:before="0" w:after="120" w:line="520" w:lineRule="exact"/>
        <w:rPr>
          <w:rFonts w:hint="eastAsia" w:eastAsia="宋体" w:cs="Arial"/>
          <w:bCs/>
          <w:szCs w:val="22"/>
          <w:highlight w:val="none"/>
        </w:rPr>
      </w:pPr>
      <w:r/>
      <w:bookmarkStart w:id="58" w:name="_Toc4529"/>
      <w:r>
        <w:rPr>
          <w:rFonts w:hint="eastAsia" w:eastAsia="宋体" w:cs="Arial"/>
          <w:bCs/>
          <w:szCs w:val="22"/>
          <w:highlight w:val="none"/>
        </w:rPr>
        <w:t xml:space="preserve">投标人须知前附表：</w:t>
      </w:r>
      <w:bookmarkEnd w:id="58"/>
      <w:r>
        <w:rPr>
          <w:rFonts w:hint="eastAsia" w:eastAsia="宋体" w:cs="Arial"/>
          <w:bCs/>
          <w:szCs w:val="22"/>
          <w:highlight w:val="none"/>
        </w:rPr>
      </w:r>
      <w:r/>
    </w:p>
    <w:tbl>
      <w:tblPr>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783"/>
              <w:jc w:val="center"/>
              <w:rPr>
                <w:rFonts w:hint="eastAsia" w:ascii="仿宋_GB2312" w:hAnsi="仿宋"/>
                <w:b/>
                <w:sz w:val="24"/>
                <w:szCs w:val="24"/>
                <w:highlight w:val="none"/>
              </w:rPr>
              <w:framePr w:vAnchor="text" w:hAnchor="page" w:x="1530" w:y="228"/>
            </w:pPr>
            <w:r/>
            <w:bookmarkStart w:id="59" w:name="_Toc81575154"/>
            <w:r/>
            <w:bookmarkStart w:id="60" w:name="_Toc81575191"/>
            <w:r/>
            <w:bookmarkStart w:id="61" w:name="_Toc29262"/>
            <w:r>
              <w:rPr>
                <w:rFonts w:hint="eastAsia" w:ascii="仿宋_GB2312" w:hAnsi="仿宋"/>
                <w:b/>
                <w:sz w:val="24"/>
                <w:szCs w:val="24"/>
                <w:highlight w:val="none"/>
              </w:rPr>
              <w:t xml:space="preserve">序号</w:t>
            </w:r>
            <w:r>
              <w:rPr>
                <w:rFonts w:hint="eastAsia" w:ascii="仿宋_GB2312" w:hAnsi="仿宋"/>
                <w:b/>
                <w:sz w:val="24"/>
                <w:szCs w:val="24"/>
                <w:highlight w:val="none"/>
              </w:rPr>
            </w:r>
            <w:r/>
          </w:p>
        </w:tc>
        <w:tc>
          <w:tcPr>
            <w:tcW w:w="1772" w:type="dxa"/>
            <w:vAlign w:val="center"/>
            <w:textDirection w:val="lrTb"/>
            <w:noWrap w:val="false"/>
          </w:tcPr>
          <w:p>
            <w:pPr>
              <w:pStyle w:val="783"/>
              <w:jc w:val="center"/>
              <w:rPr>
                <w:rFonts w:hint="eastAsia" w:ascii="仿宋_GB2312" w:hAnsi="仿宋"/>
                <w:b/>
                <w:sz w:val="24"/>
                <w:szCs w:val="24"/>
                <w:highlight w:val="none"/>
              </w:rPr>
              <w:framePr w:vAnchor="text" w:hAnchor="page" w:x="1530" w:y="228"/>
            </w:pPr>
            <w:r>
              <w:rPr>
                <w:rFonts w:hint="eastAsia" w:ascii="仿宋_GB2312" w:hAnsi="仿宋"/>
                <w:b/>
                <w:sz w:val="24"/>
                <w:szCs w:val="24"/>
                <w:highlight w:val="none"/>
              </w:rPr>
              <w:t xml:space="preserve">内容</w:t>
            </w:r>
            <w:r>
              <w:rPr>
                <w:rFonts w:hint="eastAsia" w:ascii="仿宋_GB2312" w:hAnsi="仿宋"/>
                <w:b/>
                <w:sz w:val="24"/>
                <w:szCs w:val="24"/>
                <w:highlight w:val="none"/>
              </w:rPr>
            </w:r>
            <w:r/>
          </w:p>
        </w:tc>
        <w:tc>
          <w:tcPr>
            <w:tcW w:w="6579" w:type="dxa"/>
            <w:vAlign w:val="center"/>
            <w:textDirection w:val="lrTb"/>
            <w:noWrap w:val="false"/>
          </w:tcPr>
          <w:p>
            <w:pPr>
              <w:pStyle w:val="783"/>
              <w:jc w:val="center"/>
              <w:rPr>
                <w:rFonts w:hint="eastAsia" w:ascii="仿宋_GB2312" w:hAnsi="仿宋"/>
                <w:b/>
                <w:sz w:val="24"/>
                <w:szCs w:val="24"/>
                <w:highlight w:val="none"/>
              </w:rPr>
              <w:framePr w:vAnchor="text" w:hAnchor="page" w:x="1530" w:y="228"/>
            </w:pPr>
            <w:r>
              <w:rPr>
                <w:rFonts w:hint="eastAsia" w:ascii="仿宋_GB2312" w:hAnsi="仿宋"/>
                <w:b/>
                <w:sz w:val="24"/>
                <w:szCs w:val="24"/>
                <w:highlight w:val="none"/>
              </w:rPr>
              <w:t xml:space="preserve">说明及要求</w:t>
            </w:r>
            <w:r>
              <w:rPr>
                <w:rFonts w:hint="eastAsia" w:ascii="仿宋_GB2312" w:hAnsi="仿宋"/>
                <w:b/>
                <w:sz w:val="24"/>
                <w:szCs w:val="24"/>
                <w:highlight w:val="none"/>
              </w:rPr>
            </w:r>
            <w:r/>
          </w:p>
        </w:tc>
      </w:tr>
      <w:tr>
        <w:trPr/>
        <w:tc>
          <w:tcPr>
            <w:tcW w:w="858" w:type="dxa"/>
            <w:vAlign w:val="center"/>
            <w:textDirection w:val="lrTb"/>
            <w:noWrap w:val="false"/>
          </w:tcPr>
          <w:p>
            <w:pPr>
              <w:pStyle w:val="783"/>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w:t>
            </w:r>
            <w:r>
              <w:rPr>
                <w:rFonts w:hint="eastAsia" w:ascii="Times New Roman" w:hAnsi="Times New Roman" w:cs="仿宋"/>
                <w:sz w:val="24"/>
                <w:szCs w:val="24"/>
                <w:highlight w:val="none"/>
              </w:rPr>
            </w:r>
            <w:r/>
          </w:p>
        </w:tc>
        <w:tc>
          <w:tcPr>
            <w:tcW w:w="1772" w:type="dxa"/>
            <w:vAlign w:val="center"/>
            <w:textDirection w:val="lrTb"/>
            <w:noWrap w:val="false"/>
          </w:tcPr>
          <w:p>
            <w:pPr>
              <w:pStyle w:val="783"/>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项目属性</w:t>
            </w:r>
            <w:r>
              <w:rPr>
                <w:rFonts w:hint="eastAsia" w:ascii="Times New Roman" w:hAnsi="Times New Roman" w:cs="仿宋"/>
                <w:sz w:val="24"/>
                <w:szCs w:val="24"/>
                <w:highlight w:val="none"/>
              </w:rPr>
            </w:r>
            <w:r/>
          </w:p>
        </w:tc>
        <w:tc>
          <w:tcPr>
            <w:tcW w:w="6579" w:type="dxa"/>
            <w:vAlign w:val="center"/>
            <w:textDirection w:val="lrTb"/>
            <w:noWrap w:val="false"/>
          </w:tcPr>
          <w:p>
            <w:pPr>
              <w:pStyle w:val="783"/>
              <w:jc w:val="left"/>
              <w:spacing w:line="400" w:lineRule="exact"/>
              <w:rPr>
                <w:rFonts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本项目</w:t>
            </w:r>
            <w:bookmarkStart w:id="62" w:name="EB9a5853ee094f4f0ea6ec3169265f6f2c"/>
            <w:r>
              <w:rPr>
                <w:rFonts w:hint="eastAsia" w:ascii="Times New Roman" w:hAnsi="Times New Roman" w:cs="仿宋"/>
                <w:sz w:val="24"/>
                <w:szCs w:val="24"/>
                <w:highlight w:val="none"/>
              </w:rPr>
              <w:t xml:space="preserve">属性按以下第</w:t>
            </w:r>
            <w:bookmarkEnd w:id="62"/>
            <w:r>
              <w:rPr>
                <w:rFonts w:hint="eastAsia" w:ascii="Times New Roman" w:hAnsi="Times New Roman" w:cs="仿宋"/>
                <w:sz w:val="24"/>
                <w:szCs w:val="24"/>
                <w:highlight w:val="none"/>
                <w:u w:val="single"/>
              </w:rPr>
              <w:t xml:space="preserve"> 1 </w:t>
            </w:r>
            <w:r>
              <w:rPr>
                <w:rFonts w:hint="eastAsia" w:ascii="Times New Roman" w:hAnsi="Times New Roman" w:cs="仿宋"/>
                <w:sz w:val="24"/>
                <w:szCs w:val="24"/>
                <w:highlight w:val="none"/>
              </w:rPr>
              <w:t xml:space="preserve">种确定：</w:t>
            </w:r>
            <w:r>
              <w:rPr>
                <w:rFonts w:ascii="Times New Roman" w:hAnsi="Times New Roman" w:cs="仿宋"/>
                <w:sz w:val="24"/>
                <w:szCs w:val="24"/>
                <w:highlight w:val="none"/>
              </w:rPr>
            </w:r>
            <w:r/>
          </w:p>
          <w:p>
            <w:pPr>
              <w:pStyle w:val="783"/>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1.货物</w:t>
            </w:r>
            <w:bookmarkStart w:id="63" w:name="EBd5c6c026f9674c39b21b31ecd0c1e7fa"/>
            <w:r>
              <w:rPr>
                <w:rFonts w:hint="eastAsia" w:ascii="Times New Roman" w:hAnsi="Times New Roman" w:cs="仿宋"/>
                <w:sz w:val="24"/>
                <w:szCs w:val="24"/>
                <w:highlight w:val="none"/>
              </w:rPr>
              <w:t xml:space="preserve">采购；2.</w:t>
            </w:r>
            <w:bookmarkEnd w:id="63"/>
            <w:r>
              <w:rPr>
                <w:rFonts w:hint="eastAsia" w:ascii="Times New Roman" w:hAnsi="Times New Roman" w:cs="仿宋"/>
                <w:sz w:val="24"/>
                <w:szCs w:val="24"/>
                <w:highlight w:val="none"/>
              </w:rPr>
              <w:t xml:space="preserve">服务</w:t>
            </w:r>
            <w:bookmarkStart w:id="64" w:name="EBf7d2a4f44ecb4166a93ea852e73be69f"/>
            <w:r>
              <w:rPr>
                <w:rFonts w:hint="eastAsia" w:ascii="Times New Roman" w:hAnsi="Times New Roman" w:cs="仿宋"/>
                <w:sz w:val="24"/>
                <w:szCs w:val="24"/>
                <w:highlight w:val="none"/>
              </w:rPr>
              <w:t xml:space="preserve">采购；3.</w:t>
            </w:r>
            <w:bookmarkEnd w:id="64"/>
            <w:r>
              <w:rPr>
                <w:rFonts w:hint="eastAsia" w:ascii="Times New Roman" w:hAnsi="Times New Roman" w:cs="仿宋"/>
                <w:sz w:val="24"/>
                <w:szCs w:val="24"/>
                <w:highlight w:val="none"/>
              </w:rPr>
              <w:t xml:space="preserve">工程采购。</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83"/>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2</w:t>
            </w:r>
            <w:r>
              <w:rPr>
                <w:rFonts w:hint="eastAsia" w:ascii="Times New Roman" w:hAnsi="Times New Roman" w:cs="仿宋"/>
                <w:sz w:val="24"/>
                <w:szCs w:val="24"/>
                <w:highlight w:val="none"/>
              </w:rPr>
            </w:r>
            <w:r/>
          </w:p>
        </w:tc>
        <w:tc>
          <w:tcPr>
            <w:tcW w:w="1772" w:type="dxa"/>
            <w:vAlign w:val="center"/>
            <w:textDirection w:val="lrTb"/>
            <w:noWrap w:val="false"/>
          </w:tcPr>
          <w:p>
            <w:pPr>
              <w:pStyle w:val="783"/>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投标有效期</w:t>
            </w:r>
            <w:r>
              <w:rPr>
                <w:rFonts w:hint="eastAsia" w:ascii="Times New Roman" w:hAnsi="Times New Roman" w:cs="仿宋"/>
                <w:sz w:val="24"/>
                <w:szCs w:val="24"/>
                <w:highlight w:val="none"/>
              </w:rPr>
            </w:r>
            <w:r/>
          </w:p>
        </w:tc>
        <w:tc>
          <w:tcPr>
            <w:tcW w:w="6579" w:type="dxa"/>
            <w:vAlign w:val="center"/>
            <w:textDirection w:val="lrTb"/>
            <w:noWrap w:val="false"/>
          </w:tcPr>
          <w:p>
            <w:pPr>
              <w:pStyle w:val="783"/>
              <w:jc w:val="left"/>
              <w:spacing w:line="400" w:lineRule="exact"/>
              <w:rPr>
                <w:rFonts w:hint="eastAsia" w:ascii="Times New Roman" w:hAnsi="Times New Roman" w:cs="仿宋"/>
                <w:sz w:val="24"/>
                <w:szCs w:val="24"/>
                <w:highlight w:val="none"/>
              </w:rPr>
              <w:framePr w:vAnchor="text" w:hAnchor="page" w:x="1530" w:y="228"/>
            </w:pPr>
            <w:r/>
            <w:bookmarkStart w:id="65" w:name="EBd40b5fb42f2944a3b45e579ce3941f02"/>
            <w:r/>
            <w:bookmarkEnd w:id="65"/>
            <w:r>
              <w:rPr>
                <w:rFonts w:hint="eastAsia" w:ascii="Times New Roman" w:hAnsi="Times New Roman" w:cs="仿宋"/>
                <w:sz w:val="24"/>
                <w:szCs w:val="24"/>
                <w:highlight w:val="none"/>
              </w:rPr>
              <w:t xml:space="preserve">60日（从提交投标文件截止之日起算）</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83"/>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3</w:t>
            </w:r>
            <w:r>
              <w:rPr>
                <w:rFonts w:hint="eastAsia" w:ascii="Times New Roman" w:hAnsi="Times New Roman" w:cs="仿宋"/>
                <w:sz w:val="24"/>
                <w:szCs w:val="24"/>
                <w:highlight w:val="none"/>
              </w:rPr>
            </w:r>
            <w:r/>
          </w:p>
        </w:tc>
        <w:tc>
          <w:tcPr>
            <w:tcW w:w="1772" w:type="dxa"/>
            <w:vAlign w:val="center"/>
            <w:textDirection w:val="lrTb"/>
            <w:noWrap w:val="false"/>
          </w:tcPr>
          <w:p>
            <w:pPr>
              <w:pStyle w:val="783"/>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投标文件份数</w:t>
            </w:r>
            <w:r>
              <w:rPr>
                <w:rFonts w:hint="eastAsia" w:ascii="Times New Roman" w:hAnsi="Times New Roman" w:cs="仿宋"/>
                <w:sz w:val="24"/>
                <w:szCs w:val="24"/>
                <w:highlight w:val="none"/>
              </w:rPr>
            </w:r>
            <w:r/>
          </w:p>
        </w:tc>
        <w:tc>
          <w:tcPr>
            <w:tcW w:w="6579" w:type="dxa"/>
            <w:vAlign w:val="center"/>
            <w:textDirection w:val="lrTb"/>
            <w:noWrap w:val="false"/>
          </w:tcPr>
          <w:p>
            <w:pPr>
              <w:pStyle w:val="783"/>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3份，1正2副。中标后提供正本扫描件1份。</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83"/>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4</w:t>
            </w:r>
            <w:r>
              <w:rPr>
                <w:rFonts w:hint="eastAsia" w:ascii="Times New Roman" w:hAnsi="Times New Roman" w:cs="仿宋"/>
                <w:sz w:val="24"/>
                <w:szCs w:val="24"/>
                <w:highlight w:val="none"/>
              </w:rPr>
            </w:r>
            <w:r/>
          </w:p>
        </w:tc>
        <w:tc>
          <w:tcPr>
            <w:tcW w:w="1772" w:type="dxa"/>
            <w:vAlign w:val="center"/>
            <w:textDirection w:val="lrTb"/>
            <w:noWrap w:val="false"/>
          </w:tcPr>
          <w:p>
            <w:pPr>
              <w:pStyle w:val="783"/>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开标</w:t>
            </w:r>
            <w:r>
              <w:rPr>
                <w:rFonts w:hint="eastAsia" w:ascii="Times New Roman" w:hAnsi="Times New Roman" w:cs="仿宋"/>
                <w:sz w:val="24"/>
                <w:szCs w:val="24"/>
                <w:highlight w:val="none"/>
              </w:rPr>
            </w:r>
            <w:r/>
          </w:p>
        </w:tc>
        <w:tc>
          <w:tcPr>
            <w:tcW w:w="6579" w:type="dxa"/>
            <w:vAlign w:val="center"/>
            <w:textDirection w:val="lrTb"/>
            <w:noWrap w:val="false"/>
          </w:tcPr>
          <w:p>
            <w:pPr>
              <w:pStyle w:val="783"/>
              <w:jc w:val="left"/>
              <w:spacing w:line="400" w:lineRule="exact"/>
              <w:rPr>
                <w:rFonts w:hint="eastAsia" w:ascii="Times New Roman" w:hAnsi="Times New Roman" w:cs="仿宋"/>
                <w:sz w:val="24"/>
                <w:szCs w:val="24"/>
                <w:highlight w:val="none"/>
              </w:rPr>
              <w:framePr w:vAnchor="text" w:hAnchor="page" w:x="1530" w:y="228"/>
            </w:pPr>
            <w:r>
              <w:rPr>
                <w:rFonts w:hint="eastAsia" w:ascii="宋体" w:hAnsi="宋体" w:cs="宋体"/>
                <w:sz w:val="24"/>
                <w:highlight w:val="none"/>
              </w:rPr>
              <w:t xml:space="preserve">现场开标</w:t>
            </w:r>
            <w:r>
              <w:rPr>
                <w:rFonts w:hint="eastAsia" w:ascii="Times New Roman" w:hAnsi="Times New Roman" w:cs="仿宋"/>
                <w:sz w:val="24"/>
                <w:szCs w:val="24"/>
                <w:highlight w:val="none"/>
              </w:rPr>
            </w:r>
            <w:r/>
          </w:p>
        </w:tc>
      </w:tr>
      <w:tr>
        <w:trPr>
          <w:trHeight w:val="90"/>
        </w:trPr>
        <w:tc>
          <w:tcPr>
            <w:tcW w:w="858" w:type="dxa"/>
            <w:vAlign w:val="center"/>
            <w:textDirection w:val="lrTb"/>
            <w:noWrap w:val="false"/>
          </w:tcPr>
          <w:p>
            <w:pPr>
              <w:pStyle w:val="783"/>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5</w:t>
            </w:r>
            <w:r>
              <w:rPr>
                <w:rFonts w:hint="eastAsia" w:ascii="Times New Roman" w:hAnsi="Times New Roman" w:cs="仿宋"/>
                <w:sz w:val="24"/>
                <w:szCs w:val="24"/>
                <w:highlight w:val="none"/>
              </w:rPr>
            </w:r>
            <w:r/>
          </w:p>
        </w:tc>
        <w:tc>
          <w:tcPr>
            <w:tcW w:w="1772" w:type="dxa"/>
            <w:vAlign w:val="center"/>
            <w:textDirection w:val="lrTb"/>
            <w:noWrap w:val="false"/>
          </w:tcPr>
          <w:p>
            <w:pPr>
              <w:pStyle w:val="783"/>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进口产品</w:t>
            </w:r>
            <w:r>
              <w:rPr>
                <w:rFonts w:hint="eastAsia" w:ascii="Times New Roman" w:hAnsi="Times New Roman" w:cs="仿宋"/>
                <w:sz w:val="24"/>
                <w:szCs w:val="24"/>
                <w:highlight w:val="none"/>
              </w:rPr>
            </w:r>
            <w:r/>
          </w:p>
        </w:tc>
        <w:tc>
          <w:tcPr>
            <w:tcW w:w="6579" w:type="dxa"/>
            <w:vAlign w:val="center"/>
            <w:textDirection w:val="lrTb"/>
            <w:noWrap w:val="false"/>
          </w:tcPr>
          <w:p>
            <w:pPr>
              <w:pStyle w:val="783"/>
              <w:jc w:val="left"/>
              <w:spacing w:line="400" w:lineRule="exact"/>
              <w:rPr>
                <w:rFonts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2</w:t>
            </w:r>
            <w:r>
              <w:rPr>
                <w:rFonts w:hint="eastAsia" w:ascii="Times New Roman" w:hAnsi="Times New Roman" w:cs="仿宋"/>
                <w:sz w:val="24"/>
                <w:szCs w:val="24"/>
                <w:highlight w:val="none"/>
              </w:rPr>
              <w:t xml:space="preserve">种方式确定：</w:t>
            </w:r>
            <w:r>
              <w:rPr>
                <w:rFonts w:ascii="Times New Roman" w:hAnsi="Times New Roman" w:cs="仿宋"/>
                <w:sz w:val="24"/>
                <w:szCs w:val="24"/>
                <w:highlight w:val="none"/>
              </w:rPr>
            </w:r>
            <w:r/>
          </w:p>
          <w:p>
            <w:pPr>
              <w:pStyle w:val="783"/>
              <w:jc w:val="left"/>
              <w:spacing w:line="360" w:lineRule="exact"/>
              <w:widowControl/>
              <w:rPr>
                <w:rFonts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1.接受进口产品。</w:t>
            </w:r>
            <w:r>
              <w:rPr>
                <w:rFonts w:hint="eastAsia" w:ascii="Times New Roman" w:hAnsi="Times New Roman" w:cs="仿宋"/>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highlight w:val="none"/>
              </w:rPr>
              <w:t xml:space="preserve">；</w:t>
            </w:r>
            <w:r>
              <w:rPr>
                <w:rFonts w:ascii="Times New Roman" w:hAnsi="Times New Roman" w:cs="仿宋"/>
                <w:sz w:val="24"/>
                <w:szCs w:val="24"/>
                <w:highlight w:val="none"/>
              </w:rPr>
            </w:r>
            <w:r/>
          </w:p>
          <w:p>
            <w:pPr>
              <w:pStyle w:val="783"/>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2.不接受进口产品。</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83"/>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6</w:t>
            </w:r>
            <w:r>
              <w:rPr>
                <w:rFonts w:hint="eastAsia" w:ascii="Times New Roman" w:hAnsi="Times New Roman" w:cs="仿宋"/>
                <w:sz w:val="24"/>
                <w:szCs w:val="24"/>
                <w:highlight w:val="none"/>
              </w:rPr>
            </w:r>
            <w:r/>
          </w:p>
        </w:tc>
        <w:tc>
          <w:tcPr>
            <w:tcW w:w="1772" w:type="dxa"/>
            <w:vAlign w:val="center"/>
            <w:textDirection w:val="lrTb"/>
            <w:noWrap w:val="false"/>
          </w:tcPr>
          <w:p>
            <w:pPr>
              <w:pStyle w:val="783"/>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评标办法</w:t>
            </w:r>
            <w:r>
              <w:rPr>
                <w:rFonts w:hint="eastAsia" w:ascii="Times New Roman" w:hAnsi="Times New Roman" w:cs="仿宋"/>
                <w:sz w:val="24"/>
                <w:szCs w:val="24"/>
                <w:highlight w:val="none"/>
              </w:rPr>
            </w:r>
            <w:r/>
          </w:p>
        </w:tc>
        <w:tc>
          <w:tcPr>
            <w:tcW w:w="6579" w:type="dxa"/>
            <w:vAlign w:val="center"/>
            <w:textDirection w:val="lrTb"/>
            <w:noWrap w:val="false"/>
          </w:tcPr>
          <w:p>
            <w:pPr>
              <w:pStyle w:val="783"/>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具体评标办法详见招标文件第三章。</w:t>
            </w:r>
            <w:r>
              <w:rPr>
                <w:rFonts w:hint="eastAsia" w:ascii="Times New Roman" w:hAnsi="Times New Roman" w:cs="仿宋"/>
                <w:sz w:val="24"/>
                <w:szCs w:val="24"/>
                <w:highlight w:val="none"/>
              </w:rPr>
            </w:r>
            <w:r/>
          </w:p>
          <w:p>
            <w:pPr>
              <w:pStyle w:val="783"/>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评标委员会依据招标文件规定的评标办法和标准推荐</w:t>
            </w:r>
            <w:r>
              <w:rPr>
                <w:rFonts w:hint="eastAsia" w:ascii="Times New Roman" w:hAnsi="Times New Roman" w:cs="仿宋"/>
                <w:sz w:val="24"/>
                <w:szCs w:val="24"/>
                <w:highlight w:val="none"/>
                <w:u w:val="single"/>
              </w:rPr>
              <w:t xml:space="preserve">3</w:t>
            </w:r>
            <w:r>
              <w:rPr>
                <w:rFonts w:hint="eastAsia" w:ascii="Times New Roman" w:hAnsi="Times New Roman" w:cs="仿宋"/>
                <w:sz w:val="24"/>
                <w:szCs w:val="24"/>
                <w:highlight w:val="none"/>
              </w:rPr>
              <w:t xml:space="preserve">名中标候选人。</w:t>
            </w:r>
            <w:r>
              <w:rPr>
                <w:rFonts w:hint="eastAsia" w:ascii="Times New Roman" w:hAnsi="Times New Roman" w:cs="仿宋"/>
                <w:sz w:val="24"/>
                <w:szCs w:val="24"/>
                <w:highlight w:val="none"/>
              </w:rPr>
            </w:r>
            <w:r/>
          </w:p>
        </w:tc>
      </w:tr>
      <w:tr>
        <w:trPr>
          <w:trHeight w:val="90"/>
        </w:trPr>
        <w:tc>
          <w:tcPr>
            <w:tcW w:w="858" w:type="dxa"/>
            <w:vAlign w:val="center"/>
            <w:textDirection w:val="lrTb"/>
            <w:noWrap w:val="false"/>
          </w:tcPr>
          <w:p>
            <w:pPr>
              <w:pStyle w:val="783"/>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7</w:t>
            </w:r>
            <w:r>
              <w:rPr>
                <w:rFonts w:hint="eastAsia" w:ascii="Times New Roman" w:hAnsi="Times New Roman" w:cs="仿宋"/>
                <w:sz w:val="24"/>
                <w:szCs w:val="24"/>
                <w:highlight w:val="none"/>
              </w:rPr>
            </w:r>
            <w:r/>
          </w:p>
        </w:tc>
        <w:tc>
          <w:tcPr>
            <w:tcW w:w="1772" w:type="dxa"/>
            <w:vAlign w:val="center"/>
            <w:textDirection w:val="lrTb"/>
            <w:noWrap w:val="false"/>
          </w:tcPr>
          <w:p>
            <w:pPr>
              <w:pStyle w:val="783"/>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确定中标人</w:t>
            </w:r>
            <w:r>
              <w:rPr>
                <w:rFonts w:hint="eastAsia" w:ascii="Times New Roman" w:hAnsi="Times New Roman" w:cs="仿宋"/>
                <w:sz w:val="24"/>
                <w:szCs w:val="24"/>
                <w:highlight w:val="none"/>
              </w:rPr>
            </w:r>
            <w:r/>
          </w:p>
        </w:tc>
        <w:tc>
          <w:tcPr>
            <w:tcW w:w="6579" w:type="dxa"/>
            <w:vAlign w:val="center"/>
            <w:textDirection w:val="lrTb"/>
            <w:noWrap w:val="false"/>
          </w:tcPr>
          <w:p>
            <w:pPr>
              <w:pStyle w:val="783"/>
              <w:jc w:val="left"/>
              <w:spacing w:line="400" w:lineRule="exact"/>
              <w:rPr>
                <w:rFonts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1</w:t>
            </w:r>
            <w:r>
              <w:rPr>
                <w:rFonts w:hint="eastAsia" w:ascii="Times New Roman" w:hAnsi="Times New Roman" w:cs="仿宋"/>
                <w:sz w:val="24"/>
                <w:szCs w:val="24"/>
                <w:highlight w:val="none"/>
              </w:rPr>
              <w:t xml:space="preserve">种方式确定中标人：</w:t>
            </w:r>
            <w:r>
              <w:rPr>
                <w:rFonts w:ascii="Times New Roman" w:hAnsi="Times New Roman" w:cs="仿宋"/>
                <w:sz w:val="24"/>
                <w:szCs w:val="24"/>
                <w:highlight w:val="none"/>
              </w:rPr>
            </w:r>
            <w:r/>
          </w:p>
          <w:p>
            <w:pPr>
              <w:pStyle w:val="783"/>
              <w:jc w:val="left"/>
              <w:spacing w:line="400" w:lineRule="exact"/>
              <w:rPr>
                <w:rFonts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1.采购人按规定在评标委员会推荐的中标候选人中确定中标人；</w:t>
            </w:r>
            <w:r>
              <w:rPr>
                <w:rFonts w:ascii="Times New Roman" w:hAnsi="Times New Roman" w:cs="仿宋"/>
                <w:sz w:val="24"/>
                <w:szCs w:val="24"/>
                <w:highlight w:val="none"/>
              </w:rPr>
            </w:r>
            <w:r/>
          </w:p>
          <w:p>
            <w:pPr>
              <w:pStyle w:val="783"/>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2.采购人授权评标委员会直接确定中标人。</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83"/>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8</w:t>
            </w:r>
            <w:r>
              <w:rPr>
                <w:rFonts w:hint="eastAsia" w:ascii="Times New Roman" w:hAnsi="Times New Roman" w:cs="仿宋"/>
                <w:sz w:val="24"/>
                <w:szCs w:val="24"/>
                <w:highlight w:val="none"/>
              </w:rPr>
            </w:r>
            <w:r/>
          </w:p>
        </w:tc>
        <w:tc>
          <w:tcPr>
            <w:tcW w:w="1772" w:type="dxa"/>
            <w:vAlign w:val="center"/>
            <w:textDirection w:val="lrTb"/>
            <w:noWrap w:val="false"/>
          </w:tcPr>
          <w:p>
            <w:pPr>
              <w:pStyle w:val="783"/>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分包要求</w:t>
            </w:r>
            <w:r>
              <w:rPr>
                <w:rFonts w:hint="eastAsia" w:ascii="Times New Roman" w:hAnsi="Times New Roman" w:cs="仿宋"/>
                <w:sz w:val="24"/>
                <w:szCs w:val="24"/>
                <w:highlight w:val="none"/>
              </w:rPr>
            </w:r>
            <w:r/>
          </w:p>
        </w:tc>
        <w:tc>
          <w:tcPr>
            <w:tcW w:w="6579" w:type="dxa"/>
            <w:vAlign w:val="center"/>
            <w:textDirection w:val="lrTb"/>
            <w:noWrap w:val="false"/>
          </w:tcPr>
          <w:p>
            <w:pPr>
              <w:pStyle w:val="783"/>
              <w:jc w:val="left"/>
              <w:spacing w:line="400" w:lineRule="exact"/>
              <w:rPr>
                <w:rFonts w:hint="eastAsia" w:ascii="Times New Roman" w:hAnsi="Times New Roman" w:cs="仿宋"/>
                <w:sz w:val="24"/>
                <w:szCs w:val="24"/>
                <w:highlight w:val="none"/>
              </w:rPr>
              <w:framePr w:vAnchor="text" w:hAnchor="page" w:x="1530" w:y="228"/>
            </w:pPr>
            <w:r/>
            <w:bookmarkStart w:id="66" w:name="EBebac1462c5d9459fbda8a75065c2455d"/>
            <w:r>
              <w:rPr>
                <w:rFonts w:hint="eastAsia" w:ascii="Times New Roman" w:hAnsi="Times New Roman" w:cs="仿宋"/>
                <w:sz w:val="24"/>
                <w:szCs w:val="24"/>
                <w:highlight w:val="none"/>
              </w:rPr>
              <w:t xml:space="preserve">本项目的非主体、非关键性工作是否允许分包</w:t>
            </w:r>
            <w:bookmarkEnd w:id="66"/>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2  </w:t>
            </w:r>
            <w:r>
              <w:rPr>
                <w:rFonts w:hint="eastAsia" w:ascii="Times New Roman" w:hAnsi="Times New Roman" w:cs="仿宋"/>
                <w:sz w:val="24"/>
                <w:szCs w:val="24"/>
                <w:highlight w:val="none"/>
              </w:rPr>
              <w:t xml:space="preserve">种方式确定：</w:t>
            </w:r>
            <w:r>
              <w:rPr>
                <w:rFonts w:hint="eastAsia" w:ascii="Times New Roman" w:hAnsi="Times New Roman" w:cs="仿宋"/>
                <w:sz w:val="24"/>
                <w:szCs w:val="24"/>
                <w:highlight w:val="none"/>
              </w:rPr>
            </w:r>
            <w:r/>
          </w:p>
          <w:p>
            <w:pPr>
              <w:pStyle w:val="783"/>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1.允许分包，</w:t>
            </w:r>
            <w:bookmarkStart w:id="67"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67"/>
            <w:r>
              <w:rPr>
                <w:rFonts w:hint="eastAsia" w:ascii="Times New Roman" w:hAnsi="Times New Roman" w:cs="仿宋"/>
                <w:sz w:val="24"/>
                <w:szCs w:val="24"/>
                <w:highlight w:val="none"/>
              </w:rPr>
              <w:t xml:space="preserve">无</w:t>
            </w:r>
            <w:r>
              <w:rPr>
                <w:rFonts w:hint="eastAsia" w:ascii="Times New Roman" w:hAnsi="Times New Roman" w:cs="仿宋"/>
                <w:sz w:val="24"/>
                <w:szCs w:val="24"/>
                <w:highlight w:val="none"/>
              </w:rPr>
            </w:r>
            <w:r/>
          </w:p>
          <w:p>
            <w:pPr>
              <w:pStyle w:val="783"/>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2.不允许分包。</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83"/>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9</w:t>
            </w:r>
            <w:r>
              <w:rPr>
                <w:rFonts w:hint="eastAsia" w:ascii="Times New Roman" w:hAnsi="Times New Roman" w:cs="仿宋"/>
                <w:sz w:val="24"/>
                <w:szCs w:val="24"/>
                <w:highlight w:val="none"/>
              </w:rPr>
            </w:r>
            <w:r/>
          </w:p>
        </w:tc>
        <w:tc>
          <w:tcPr>
            <w:tcW w:w="1772" w:type="dxa"/>
            <w:vAlign w:val="center"/>
            <w:textDirection w:val="lrTb"/>
            <w:noWrap w:val="false"/>
          </w:tcPr>
          <w:p>
            <w:pPr>
              <w:pStyle w:val="783"/>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代理费用收取方式及标准</w:t>
            </w:r>
            <w:r>
              <w:rPr>
                <w:rFonts w:hint="eastAsia" w:ascii="Times New Roman" w:hAnsi="Times New Roman" w:cs="仿宋"/>
                <w:sz w:val="24"/>
                <w:szCs w:val="24"/>
                <w:highlight w:val="none"/>
              </w:rPr>
            </w:r>
            <w:r/>
          </w:p>
        </w:tc>
        <w:tc>
          <w:tcPr>
            <w:tcW w:w="6579" w:type="dxa"/>
            <w:vAlign w:val="center"/>
            <w:textDirection w:val="lrTb"/>
            <w:noWrap w:val="false"/>
          </w:tcPr>
          <w:p>
            <w:pPr>
              <w:pStyle w:val="783"/>
              <w:jc w:val="left"/>
              <w:spacing w:line="400" w:lineRule="exact"/>
              <w:rPr>
                <w:rFonts w:hint="eastAsia" w:ascii="Times New Roman" w:hAnsi="Times New Roman" w:cs="仿宋"/>
                <w:sz w:val="24"/>
                <w:szCs w:val="24"/>
                <w:highlight w:val="none"/>
              </w:rPr>
              <w:framePr w:vAnchor="text" w:hAnchor="page" w:x="1530" w:y="228"/>
            </w:pPr>
            <w:r/>
            <w:bookmarkStart w:id="68" w:name="EBfe735bb6fc4d4e5e9e350f940db98c5f"/>
            <w:r/>
            <w:bookmarkEnd w:id="68"/>
            <w:r>
              <w:rPr>
                <w:rFonts w:hint="eastAsia" w:ascii="宋体" w:hAnsi="宋体" w:cs="宋体"/>
                <w:sz w:val="24"/>
                <w:szCs w:val="24"/>
                <w:highlight w:val="none"/>
              </w:rPr>
              <w:t xml:space="preserve">按照代理合同约定支付代理费</w:t>
            </w:r>
            <w:r>
              <w:rPr>
                <w:rFonts w:hint="eastAsia" w:ascii="Times New Roman" w:hAnsi="Times New Roman" w:cs="仿宋"/>
                <w:sz w:val="24"/>
                <w:szCs w:val="24"/>
                <w:highlight w:val="none"/>
              </w:rPr>
              <w:t xml:space="preserve">，评委费据实结算。</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83"/>
              <w:jc w:val="center"/>
              <w:spacing w:line="400" w:lineRule="exact"/>
              <w:rPr>
                <w:rFonts w:ascii="Times New Roman" w:hAnsi="Times New Roman" w:cs="仿宋"/>
                <w:sz w:val="24"/>
                <w:szCs w:val="24"/>
                <w:highlight w:val="none"/>
              </w:rPr>
              <w:framePr w:vAnchor="text" w:hAnchor="page" w:x="1530" w:y="228"/>
            </w:pPr>
            <w:r/>
            <w:bookmarkEnd w:id="59"/>
            <w:r/>
            <w:bookmarkEnd w:id="60"/>
            <w:r/>
            <w:bookmarkEnd w:id="61"/>
            <w:r>
              <w:rPr>
                <w:rFonts w:hint="eastAsia" w:ascii="Times New Roman" w:hAnsi="Times New Roman" w:cs="仿宋"/>
                <w:sz w:val="24"/>
                <w:szCs w:val="24"/>
                <w:highlight w:val="none"/>
              </w:rPr>
              <w:t xml:space="preserve">10</w:t>
            </w:r>
            <w:r>
              <w:rPr>
                <w:rFonts w:ascii="Times New Roman" w:hAnsi="Times New Roman" w:cs="仿宋"/>
                <w:sz w:val="24"/>
                <w:szCs w:val="24"/>
                <w:highlight w:val="none"/>
              </w:rPr>
            </w:r>
            <w:r/>
          </w:p>
        </w:tc>
        <w:tc>
          <w:tcPr>
            <w:tcW w:w="1772" w:type="dxa"/>
            <w:vAlign w:val="center"/>
            <w:textDirection w:val="lrTb"/>
            <w:noWrap w:val="false"/>
          </w:tcPr>
          <w:p>
            <w:pPr>
              <w:pStyle w:val="783"/>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其他</w:t>
            </w:r>
            <w:r>
              <w:rPr>
                <w:rFonts w:hint="eastAsia" w:ascii="Times New Roman" w:hAnsi="Times New Roman" w:cs="仿宋"/>
                <w:sz w:val="24"/>
                <w:szCs w:val="24"/>
                <w:highlight w:val="none"/>
              </w:rPr>
            </w:r>
            <w:r/>
          </w:p>
        </w:tc>
        <w:tc>
          <w:tcPr>
            <w:tcW w:w="6579" w:type="dxa"/>
            <w:vAlign w:val="center"/>
            <w:textDirection w:val="lrTb"/>
            <w:noWrap w:val="false"/>
          </w:tcPr>
          <w:p>
            <w:pPr>
              <w:pStyle w:val="783"/>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信用信息查询截止时间：资格审查结束前。由采购人在资格审查现场查询信用信息，网页截屏打印，查询结果留存并归档</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83"/>
              <w:jc w:val="center"/>
              <w:spacing w:line="400" w:lineRule="exact"/>
              <w:rPr>
                <w:rFonts w:ascii="Times New Roman" w:hAnsi="Times New Roman" w:eastAsia="宋体" w:cs="仿宋"/>
                <w:sz w:val="24"/>
                <w:szCs w:val="24"/>
                <w:highlight w:val="none"/>
                <w:lang w:val="en-US" w:eastAsia="zh-CN"/>
              </w:rPr>
              <w:framePr w:vAnchor="text" w:hAnchor="page" w:x="1530" w:y="228"/>
            </w:pPr>
            <w:r>
              <w:rPr>
                <w:rFonts w:hint="eastAsia" w:ascii="Times New Roman" w:hAnsi="Times New Roman" w:cs="仿宋"/>
                <w:sz w:val="24"/>
                <w:szCs w:val="24"/>
                <w:highlight w:val="none"/>
                <w:lang w:val="en-US" w:eastAsia="zh-CN"/>
              </w:rPr>
              <w:t xml:space="preserve">11</w:t>
            </w:r>
            <w:r>
              <w:rPr>
                <w:rFonts w:ascii="Times New Roman" w:hAnsi="Times New Roman" w:eastAsia="宋体" w:cs="仿宋"/>
                <w:sz w:val="24"/>
                <w:szCs w:val="24"/>
                <w:highlight w:val="none"/>
                <w:lang w:val="en-US" w:eastAsia="zh-CN"/>
              </w:rPr>
            </w:r>
            <w:r/>
          </w:p>
        </w:tc>
        <w:tc>
          <w:tcPr>
            <w:tcW w:w="1772" w:type="dxa"/>
            <w:vAlign w:val="center"/>
            <w:textDirection w:val="lrTb"/>
            <w:noWrap w:val="false"/>
          </w:tcPr>
          <w:p>
            <w:pPr>
              <w:pStyle w:val="783"/>
              <w:jc w:val="center"/>
              <w:spacing w:line="400" w:lineRule="exact"/>
              <w:rPr>
                <w:rFonts w:hint="eastAsia" w:ascii="Times New Roman" w:hAnsi="Times New Roman" w:eastAsia="宋体" w:cs="仿宋"/>
                <w:sz w:val="24"/>
                <w:szCs w:val="24"/>
                <w:highlight w:val="none"/>
                <w:lang w:val="en-US" w:eastAsia="zh-CN"/>
              </w:rPr>
              <w:framePr w:vAnchor="text" w:hAnchor="page" w:x="1530" w:y="228"/>
            </w:pPr>
            <w:r>
              <w:rPr>
                <w:rFonts w:hint="eastAsia" w:ascii="Times New Roman" w:hAnsi="Times New Roman" w:eastAsia="宋体" w:cs="仿宋"/>
                <w:sz w:val="24"/>
                <w:szCs w:val="24"/>
                <w:highlight w:val="none"/>
                <w:lang w:val="en-US" w:eastAsia="zh-CN"/>
              </w:rPr>
              <w:t xml:space="preserve">开标</w:t>
            </w:r>
            <w:r>
              <w:rPr>
                <w:rFonts w:hint="eastAsia" w:ascii="Times New Roman" w:hAnsi="Times New Roman" w:eastAsia="宋体" w:cs="仿宋"/>
                <w:sz w:val="24"/>
                <w:szCs w:val="24"/>
                <w:highlight w:val="none"/>
              </w:rPr>
              <w:t xml:space="preserve">时须携带资料</w:t>
            </w:r>
            <w:r>
              <w:rPr>
                <w:rFonts w:hint="eastAsia" w:ascii="Times New Roman" w:hAnsi="Times New Roman" w:eastAsia="宋体" w:cs="仿宋"/>
                <w:sz w:val="24"/>
                <w:szCs w:val="24"/>
                <w:highlight w:val="none"/>
                <w:lang w:val="en-US" w:eastAsia="zh-CN"/>
              </w:rPr>
            </w:r>
            <w:r/>
          </w:p>
        </w:tc>
        <w:tc>
          <w:tcPr>
            <w:tcW w:w="6579" w:type="dxa"/>
            <w:vAlign w:val="center"/>
            <w:textDirection w:val="lrTb"/>
            <w:noWrap w:val="false"/>
          </w:tcPr>
          <w:p>
            <w:pPr>
              <w:pStyle w:val="783"/>
              <w:jc w:val="left"/>
              <w:spacing w:line="400" w:lineRule="exact"/>
              <w:rPr>
                <w:rFonts w:hint="eastAsia" w:ascii="Times New Roman" w:hAnsi="Times New Roman" w:eastAsia="宋体" w:cs="仿宋"/>
                <w:sz w:val="24"/>
                <w:szCs w:val="24"/>
                <w:highlight w:val="none"/>
              </w:rPr>
              <w:framePr w:vAnchor="text" w:hAnchor="page" w:x="1530" w:y="228"/>
            </w:pPr>
            <w:r>
              <w:rPr>
                <w:rFonts w:hint="eastAsia" w:ascii="Times New Roman" w:hAnsi="Times New Roman" w:eastAsia="宋体" w:cs="仿宋"/>
                <w:sz w:val="24"/>
                <w:szCs w:val="24"/>
                <w:highlight w:val="none"/>
                <w:lang w:eastAsia="zh-CN"/>
              </w:rPr>
              <w:t xml:space="preserve">（</w:t>
            </w:r>
            <w:r>
              <w:rPr>
                <w:rFonts w:hint="eastAsia" w:ascii="Times New Roman" w:hAnsi="Times New Roman" w:eastAsia="宋体" w:cs="仿宋"/>
                <w:sz w:val="24"/>
                <w:szCs w:val="24"/>
                <w:highlight w:val="none"/>
                <w:lang w:val="en-US" w:eastAsia="zh-CN"/>
              </w:rPr>
              <w:t xml:space="preserve">1</w:t>
            </w:r>
            <w:r>
              <w:rPr>
                <w:rFonts w:hint="eastAsia" w:ascii="Times New Roman" w:hAnsi="Times New Roman" w:eastAsia="宋体" w:cs="仿宋"/>
                <w:sz w:val="24"/>
                <w:szCs w:val="24"/>
                <w:highlight w:val="none"/>
                <w:lang w:eastAsia="zh-CN"/>
              </w:rPr>
              <w:t xml:space="preserve">）</w:t>
            </w:r>
            <w:r>
              <w:rPr>
                <w:rFonts w:hint="eastAsia" w:ascii="Times New Roman" w:hAnsi="Times New Roman" w:eastAsia="宋体" w:cs="仿宋"/>
                <w:sz w:val="24"/>
                <w:szCs w:val="24"/>
                <w:highlight w:val="none"/>
              </w:rPr>
              <w:t xml:space="preserve">响应文件；</w:t>
            </w:r>
            <w:r>
              <w:rPr>
                <w:rFonts w:hint="eastAsia" w:ascii="Times New Roman" w:hAnsi="Times New Roman" w:eastAsia="宋体" w:cs="仿宋"/>
                <w:sz w:val="24"/>
                <w:szCs w:val="24"/>
                <w:highlight w:val="none"/>
              </w:rPr>
            </w:r>
            <w:r/>
          </w:p>
          <w:p>
            <w:pPr>
              <w:pStyle w:val="783"/>
              <w:jc w:val="left"/>
              <w:spacing w:line="400" w:lineRule="exact"/>
              <w:rPr>
                <w:rFonts w:hint="eastAsia" w:ascii="Times New Roman" w:hAnsi="Times New Roman" w:eastAsia="宋体" w:cs="仿宋"/>
                <w:sz w:val="24"/>
                <w:szCs w:val="24"/>
                <w:highlight w:val="none"/>
              </w:rPr>
              <w:framePr w:vAnchor="text" w:hAnchor="page" w:x="1530" w:y="228"/>
            </w:pPr>
            <w:r>
              <w:rPr>
                <w:rFonts w:hint="eastAsia" w:ascii="Times New Roman" w:hAnsi="Times New Roman" w:eastAsia="宋体" w:cs="仿宋"/>
                <w:sz w:val="24"/>
                <w:szCs w:val="24"/>
                <w:highlight w:val="none"/>
                <w:lang w:eastAsia="zh-CN"/>
              </w:rPr>
              <w:t xml:space="preserve">（</w:t>
            </w:r>
            <w:r>
              <w:rPr>
                <w:rFonts w:hint="eastAsia" w:ascii="Times New Roman" w:hAnsi="Times New Roman" w:eastAsia="宋体" w:cs="仿宋"/>
                <w:sz w:val="24"/>
                <w:szCs w:val="24"/>
                <w:highlight w:val="none"/>
                <w:lang w:val="en-US" w:eastAsia="zh-CN"/>
              </w:rPr>
              <w:t xml:space="preserve">2</w:t>
            </w:r>
            <w:r>
              <w:rPr>
                <w:rFonts w:hint="eastAsia" w:ascii="Times New Roman" w:hAnsi="Times New Roman" w:eastAsia="宋体" w:cs="仿宋"/>
                <w:sz w:val="24"/>
                <w:szCs w:val="24"/>
                <w:highlight w:val="none"/>
                <w:lang w:eastAsia="zh-CN"/>
              </w:rPr>
              <w:t xml:space="preserve">）</w:t>
            </w:r>
            <w:r>
              <w:rPr>
                <w:rFonts w:hint="eastAsia" w:ascii="Times New Roman" w:hAnsi="Times New Roman" w:eastAsia="宋体" w:cs="仿宋"/>
                <w:sz w:val="24"/>
                <w:szCs w:val="24"/>
                <w:highlight w:val="none"/>
              </w:rPr>
              <w:t xml:space="preserve">法人代表（或被授权人）身份证原件；</w:t>
            </w:r>
            <w:r>
              <w:rPr>
                <w:rFonts w:hint="eastAsia" w:ascii="Times New Roman" w:hAnsi="Times New Roman" w:eastAsia="宋体" w:cs="仿宋"/>
                <w:sz w:val="24"/>
                <w:szCs w:val="24"/>
                <w:highlight w:val="none"/>
              </w:rPr>
            </w:r>
            <w:r/>
          </w:p>
          <w:p>
            <w:pPr>
              <w:pStyle w:val="783"/>
              <w:jc w:val="left"/>
              <w:spacing w:line="400" w:lineRule="exact"/>
              <w:rPr>
                <w:rFonts w:hint="eastAsia" w:ascii="Times New Roman" w:hAnsi="Times New Roman" w:eastAsia="宋体" w:cs="仿宋"/>
                <w:sz w:val="24"/>
                <w:szCs w:val="24"/>
                <w:highlight w:val="none"/>
              </w:rPr>
              <w:framePr w:vAnchor="text" w:hAnchor="page" w:x="1530" w:y="228"/>
            </w:pPr>
            <w:r>
              <w:rPr>
                <w:rFonts w:hint="eastAsia" w:ascii="Times New Roman" w:hAnsi="Times New Roman" w:eastAsia="宋体" w:cs="仿宋"/>
                <w:sz w:val="24"/>
                <w:szCs w:val="24"/>
                <w:highlight w:val="none"/>
                <w:lang w:eastAsia="zh-CN"/>
              </w:rPr>
              <w:t xml:space="preserve">（</w:t>
            </w:r>
            <w:r>
              <w:rPr>
                <w:rFonts w:hint="eastAsia" w:ascii="Times New Roman" w:hAnsi="Times New Roman" w:eastAsia="宋体" w:cs="仿宋"/>
                <w:sz w:val="24"/>
                <w:szCs w:val="24"/>
                <w:highlight w:val="none"/>
                <w:lang w:val="en-US" w:eastAsia="zh-CN"/>
              </w:rPr>
              <w:t xml:space="preserve">3</w:t>
            </w:r>
            <w:r>
              <w:rPr>
                <w:rFonts w:hint="eastAsia" w:ascii="Times New Roman" w:hAnsi="Times New Roman" w:eastAsia="宋体" w:cs="仿宋"/>
                <w:sz w:val="24"/>
                <w:szCs w:val="24"/>
                <w:highlight w:val="none"/>
                <w:lang w:eastAsia="zh-CN"/>
              </w:rPr>
              <w:t xml:space="preserve">）</w:t>
            </w:r>
            <w:r>
              <w:rPr>
                <w:rFonts w:hint="eastAsia" w:ascii="Times New Roman" w:hAnsi="Times New Roman" w:eastAsia="宋体" w:cs="仿宋"/>
                <w:sz w:val="24"/>
                <w:szCs w:val="24"/>
                <w:highlight w:val="none"/>
              </w:rPr>
              <w:t xml:space="preserve">法人代表证明或法定代表人授权委托书原件；</w:t>
            </w:r>
            <w:r>
              <w:rPr>
                <w:rFonts w:hint="eastAsia" w:ascii="Times New Roman" w:hAnsi="Times New Roman" w:eastAsia="宋体" w:cs="仿宋"/>
                <w:sz w:val="24"/>
                <w:szCs w:val="24"/>
                <w:highlight w:val="none"/>
              </w:rPr>
            </w:r>
            <w:r/>
          </w:p>
          <w:p>
            <w:pPr>
              <w:pStyle w:val="783"/>
              <w:jc w:val="left"/>
              <w:spacing w:line="400" w:lineRule="exact"/>
              <w:rPr>
                <w:rFonts w:hint="eastAsia" w:ascii="Times New Roman" w:hAnsi="Times New Roman" w:eastAsia="宋体" w:cs="仿宋"/>
                <w:sz w:val="24"/>
                <w:szCs w:val="24"/>
                <w:highlight w:val="none"/>
                <w:lang w:eastAsia="zh-CN"/>
              </w:rPr>
              <w:framePr w:vAnchor="text" w:hAnchor="page" w:x="1530" w:y="228"/>
            </w:pPr>
            <w:r>
              <w:rPr>
                <w:rFonts w:hint="eastAsia" w:ascii="Times New Roman" w:hAnsi="Times New Roman" w:eastAsia="宋体" w:cs="仿宋"/>
                <w:sz w:val="24"/>
                <w:szCs w:val="24"/>
                <w:highlight w:val="none"/>
                <w:lang w:eastAsia="zh-CN"/>
              </w:rPr>
              <w:t xml:space="preserve">（</w:t>
            </w:r>
            <w:r>
              <w:rPr>
                <w:rFonts w:hint="eastAsia" w:ascii="Times New Roman" w:hAnsi="Times New Roman" w:eastAsia="宋体" w:cs="仿宋"/>
                <w:sz w:val="24"/>
                <w:szCs w:val="24"/>
                <w:highlight w:val="none"/>
                <w:lang w:val="en-US" w:eastAsia="zh-CN"/>
              </w:rPr>
              <w:t xml:space="preserve">4</w:t>
            </w:r>
            <w:r>
              <w:rPr>
                <w:rFonts w:hint="eastAsia" w:ascii="Times New Roman" w:hAnsi="Times New Roman" w:eastAsia="宋体" w:cs="仿宋"/>
                <w:sz w:val="24"/>
                <w:szCs w:val="24"/>
                <w:highlight w:val="none"/>
                <w:lang w:eastAsia="zh-CN"/>
              </w:rPr>
              <w:t xml:space="preserve">）演示资料（U盘）；</w:t>
            </w:r>
            <w:r>
              <w:rPr>
                <w:rFonts w:hint="eastAsia" w:ascii="Times New Roman" w:hAnsi="Times New Roman" w:eastAsia="宋体" w:cs="仿宋"/>
                <w:sz w:val="24"/>
                <w:szCs w:val="24"/>
                <w:highlight w:val="none"/>
                <w:lang w:eastAsia="zh-CN"/>
              </w:rPr>
            </w:r>
            <w:r/>
          </w:p>
          <w:p>
            <w:pPr>
              <w:pStyle w:val="783"/>
              <w:jc w:val="left"/>
              <w:spacing w:line="400" w:lineRule="exact"/>
              <w:rPr>
                <w:rFonts w:hint="eastAsia" w:ascii="Times New Roman" w:hAnsi="Times New Roman" w:eastAsia="宋体" w:cs="仿宋"/>
                <w:sz w:val="24"/>
                <w:szCs w:val="24"/>
                <w:highlight w:val="none"/>
                <w:lang w:val="en-US" w:eastAsia="zh-CN"/>
              </w:rPr>
              <w:framePr w:vAnchor="text" w:hAnchor="page" w:x="1530" w:y="228"/>
            </w:pPr>
            <w:r>
              <w:rPr>
                <w:rFonts w:hint="eastAsia" w:ascii="Times New Roman" w:hAnsi="Times New Roman" w:eastAsia="宋体" w:cs="仿宋"/>
                <w:sz w:val="24"/>
                <w:szCs w:val="24"/>
                <w:highlight w:val="none"/>
                <w:lang w:eastAsia="zh-CN"/>
              </w:rPr>
              <w:t xml:space="preserve">（</w:t>
            </w:r>
            <w:r>
              <w:rPr>
                <w:rFonts w:hint="eastAsia" w:ascii="Times New Roman" w:hAnsi="Times New Roman" w:eastAsia="宋体" w:cs="仿宋"/>
                <w:sz w:val="24"/>
                <w:szCs w:val="24"/>
                <w:highlight w:val="none"/>
                <w:lang w:val="en-US" w:eastAsia="zh-CN"/>
              </w:rPr>
              <w:t xml:space="preserve">5</w:t>
            </w:r>
            <w:r>
              <w:rPr>
                <w:rFonts w:hint="eastAsia" w:ascii="Times New Roman" w:hAnsi="Times New Roman" w:eastAsia="宋体" w:cs="仿宋"/>
                <w:sz w:val="24"/>
                <w:szCs w:val="24"/>
                <w:highlight w:val="none"/>
                <w:lang w:eastAsia="zh-CN"/>
              </w:rPr>
              <w:t xml:space="preserve">）</w:t>
            </w:r>
            <w:r>
              <w:rPr>
                <w:rFonts w:hint="eastAsia" w:ascii="Times New Roman" w:hAnsi="Times New Roman" w:eastAsia="宋体" w:cs="仿宋"/>
                <w:sz w:val="24"/>
                <w:szCs w:val="24"/>
                <w:highlight w:val="none"/>
              </w:rPr>
              <w:t xml:space="preserve">供应商认为有必要提供的其它材料。</w:t>
            </w:r>
            <w:r>
              <w:rPr>
                <w:rFonts w:hint="eastAsia" w:ascii="Times New Roman" w:hAnsi="Times New Roman" w:eastAsia="宋体" w:cs="仿宋"/>
                <w:sz w:val="24"/>
                <w:szCs w:val="24"/>
                <w:highlight w:val="none"/>
                <w:lang w:val="en-US" w:eastAsia="zh-CN"/>
              </w:rPr>
            </w:r>
            <w:r/>
          </w:p>
        </w:tc>
      </w:tr>
    </w:tbl>
    <w:p>
      <w:pPr>
        <w:pStyle w:val="783"/>
        <w:rPr>
          <w:sz w:val="20"/>
          <w:highlight w:val="none"/>
        </w:rPr>
      </w:pPr>
      <w:r>
        <w:rPr>
          <w:sz w:val="20"/>
          <w:highlight w:val="none"/>
        </w:rPr>
      </w:r>
      <w:r/>
    </w:p>
    <w:p>
      <w:pPr>
        <w:pStyle w:val="874"/>
        <w:ind w:firstLine="420"/>
        <w:rPr>
          <w:highlight w:val="none"/>
        </w:rPr>
      </w:pPr>
      <w:r>
        <w:rPr>
          <w:highlight w:val="none"/>
        </w:rPr>
      </w:r>
      <w:r/>
    </w:p>
    <w:p>
      <w:pPr>
        <w:pStyle w:val="874"/>
        <w:ind w:firstLine="420"/>
        <w:rPr>
          <w:highlight w:val="none"/>
        </w:rPr>
      </w:pPr>
      <w:r>
        <w:rPr>
          <w:highlight w:val="none"/>
        </w:rPr>
      </w:r>
      <w:r/>
    </w:p>
    <w:p>
      <w:pPr>
        <w:pStyle w:val="785"/>
        <w:ind w:firstLine="321"/>
        <w:spacing w:before="0" w:after="0" w:line="480" w:lineRule="exact"/>
        <w:rPr>
          <w:rFonts w:hint="eastAsia" w:eastAsia="宋体" w:cs="Arial"/>
          <w:bCs/>
          <w:szCs w:val="22"/>
          <w:highlight w:val="none"/>
        </w:rPr>
      </w:pPr>
      <w:r/>
      <w:bookmarkStart w:id="69" w:name="EB6eaaf474639940df900ef4965d71f450"/>
      <w:r/>
      <w:bookmarkEnd w:id="69"/>
      <w:r/>
      <w:bookmarkStart w:id="70" w:name="_Toc81575192"/>
      <w:r/>
      <w:bookmarkStart w:id="71" w:name="_Toc8239"/>
      <w:r/>
      <w:bookmarkStart w:id="72" w:name="_Toc81575155"/>
      <w:r/>
      <w:bookmarkStart w:id="73" w:name="_Toc30953"/>
      <w:r>
        <w:rPr>
          <w:rFonts w:hint="eastAsia" w:eastAsia="宋体" w:cs="Arial"/>
          <w:bCs/>
          <w:szCs w:val="22"/>
          <w:highlight w:val="none"/>
        </w:rPr>
        <w:br w:type="page" w:clear="all"/>
      </w:r>
      <w:r>
        <w:rPr>
          <w:rFonts w:hint="eastAsia" w:eastAsia="宋体" w:cs="Arial"/>
          <w:bCs/>
          <w:szCs w:val="22"/>
          <w:highlight w:val="none"/>
        </w:rPr>
        <w:t xml:space="preserve">一、总 则</w:t>
      </w:r>
      <w:bookmarkEnd w:id="70"/>
      <w:r/>
      <w:bookmarkEnd w:id="71"/>
      <w:r/>
      <w:bookmarkEnd w:id="72"/>
      <w:r/>
      <w:bookmarkEnd w:id="73"/>
      <w:r>
        <w:rPr>
          <w:rFonts w:hint="eastAsia" w:eastAsia="宋体" w:cs="Arial"/>
          <w:bCs/>
          <w:szCs w:val="22"/>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1、招标方式</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本次采购采取公开招标方式。</w:t>
      </w:r>
      <w:r>
        <w:rPr>
          <w:rFonts w:hint="eastAsia" w:ascii="Times New Roman" w:hAnsi="Times New Roman" w:cs="仿宋"/>
          <w:sz w:val="24"/>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2、合格的投标人</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2.1合格的投标人必须符合招标文件第一章《投标邀请》第二条及投标人须知前附表相关规定，且具备完成本项目的能力，中标后不允许转包。</w:t>
      </w:r>
      <w:r>
        <w:rPr>
          <w:rFonts w:hint="eastAsia" w:ascii="Times New Roman" w:hAnsi="Times New Roman" w:cs="仿宋"/>
          <w:sz w:val="24"/>
          <w:highlight w:val="none"/>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2.2满足本文件实质性要求的规定。</w:t>
      </w:r>
      <w:r>
        <w:rPr>
          <w:rFonts w:ascii="Times New Roman" w:hAnsi="Times New Roman" w:cs="仿宋"/>
          <w:sz w:val="24"/>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3、适用法律</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本次招标及由招标产生的合同受中华人民共和国的相关法律、法规制约和保护。</w:t>
      </w:r>
      <w:r>
        <w:rPr>
          <w:rFonts w:hint="eastAsia" w:ascii="Times New Roman" w:hAnsi="Times New Roman" w:cs="仿宋"/>
          <w:sz w:val="24"/>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4、投标费用</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投标人应自行承担所有参加投标有关的费用。</w:t>
      </w:r>
      <w:r>
        <w:rPr>
          <w:rFonts w:hint="eastAsia" w:ascii="Times New Roman" w:hAnsi="Times New Roman" w:cs="仿宋"/>
          <w:sz w:val="24"/>
          <w:highlight w:val="none"/>
        </w:rPr>
      </w:r>
      <w:r/>
    </w:p>
    <w:p>
      <w:pPr>
        <w:pStyle w:val="785"/>
        <w:ind w:firstLine="321"/>
        <w:spacing w:before="0" w:after="0" w:line="480" w:lineRule="exact"/>
        <w:rPr>
          <w:rFonts w:hint="eastAsia" w:eastAsia="宋体" w:cs="Arial"/>
          <w:bCs/>
          <w:szCs w:val="22"/>
          <w:highlight w:val="none"/>
        </w:rPr>
      </w:pPr>
      <w:r/>
      <w:bookmarkStart w:id="74" w:name="_Toc81575193"/>
      <w:r/>
      <w:bookmarkStart w:id="75" w:name="_Toc29306"/>
      <w:r/>
      <w:bookmarkStart w:id="76" w:name="_Toc15995"/>
      <w:r/>
      <w:bookmarkStart w:id="77" w:name="_Toc81575156"/>
      <w:r>
        <w:rPr>
          <w:rFonts w:hint="eastAsia" w:eastAsia="宋体" w:cs="Arial"/>
          <w:bCs/>
          <w:szCs w:val="22"/>
          <w:highlight w:val="none"/>
        </w:rPr>
        <w:t xml:space="preserve">二、招标文件</w:t>
      </w:r>
      <w:bookmarkEnd w:id="74"/>
      <w:r/>
      <w:bookmarkEnd w:id="75"/>
      <w:r/>
      <w:bookmarkEnd w:id="76"/>
      <w:r/>
      <w:bookmarkEnd w:id="77"/>
      <w:r>
        <w:rPr>
          <w:rFonts w:hint="eastAsia" w:eastAsia="宋体" w:cs="Arial"/>
          <w:bCs/>
          <w:szCs w:val="22"/>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5、招标文件构成</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5.1招标文件由以下部分组成：</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第一章：投标邀请；</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第二章：投标人须知；</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第三章：资格审查及评标办法；</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第四章：采购需求；</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第五章：合同文本；</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第六章：投标文件格式。</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请仔细检查招标文件是否齐全，如有缺漏请立即与代理机构联系解决。</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rPr>
          <w:rFonts w:hint="eastAsia" w:ascii="Times New Roman" w:hAnsi="Times New Roman" w:cs="仿宋"/>
          <w:sz w:val="24"/>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6、政府采购政策功能落实</w:t>
      </w:r>
      <w:r>
        <w:rPr>
          <w:rFonts w:hint="eastAsia" w:ascii="Times New Roman" w:hAnsi="Times New Roman" w:cs="仿宋"/>
          <w:b/>
          <w:sz w:val="24"/>
          <w:highlight w:val="none"/>
        </w:rPr>
      </w:r>
      <w:r/>
    </w:p>
    <w:p>
      <w:pPr>
        <w:pStyle w:val="783"/>
        <w:ind w:firstLine="482"/>
        <w:spacing w:line="480" w:lineRule="exact"/>
        <w:rPr>
          <w:rFonts w:ascii="Times New Roman" w:hAnsi="Times New Roman" w:cs="仿宋"/>
          <w:b/>
          <w:bCs/>
          <w:sz w:val="24"/>
          <w:highlight w:val="none"/>
          <w:u w:val="single"/>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6.1、6.3</w:t>
      </w:r>
      <w:r>
        <w:rPr>
          <w:rFonts w:ascii="Times New Roman" w:hAnsi="Times New Roman" w:cs="仿宋"/>
          <w:b/>
          <w:bCs/>
          <w:sz w:val="24"/>
          <w:highlight w:val="none"/>
          <w:u w:val="singl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6.1中小企业政策</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本项目按第</w:t>
      </w:r>
      <w:r>
        <w:rPr>
          <w:rFonts w:hint="eastAsia" w:ascii="Times New Roman" w:hAnsi="Times New Roman" w:cs="仿宋"/>
          <w:sz w:val="24"/>
          <w:highlight w:val="none"/>
          <w:u w:val="single"/>
        </w:rPr>
        <w:t xml:space="preserve">（2）</w:t>
      </w:r>
      <w:r>
        <w:rPr>
          <w:rFonts w:hint="eastAsia" w:ascii="Times New Roman" w:hAnsi="Times New Roman" w:cs="仿宋"/>
          <w:sz w:val="24"/>
          <w:highlight w:val="none"/>
        </w:rPr>
        <w:t xml:space="preserve">种政策落实：</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rPr>
          <w:rFonts w:hint="eastAsia" w:ascii="Times New Roman" w:hAnsi="Times New Roman" w:cs="仿宋"/>
          <w:sz w:val="24"/>
          <w:highlight w:val="none"/>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10%</w:t>
      </w:r>
      <w:r>
        <w:rPr>
          <w:rFonts w:hint="eastAsia" w:ascii="Times New Roman" w:hAnsi="Times New Roman" w:cs="仿宋"/>
          <w:sz w:val="24"/>
          <w:highlight w:val="none"/>
        </w:rPr>
        <w:t xml:space="preserve">扣除，用扣除后的价格参加评审。</w:t>
      </w:r>
      <w:r>
        <w:rPr>
          <w:rFonts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在服务采购项目中，服务由中小企业承接，即提供服务的人员为中小企业依照《中华人民共和国劳动合同法》订立劳动合同的从业人员。</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_GB2312"/>
          <w:sz w:val="24"/>
          <w:highlight w:val="none"/>
        </w:rPr>
        <w:t xml:space="preserve">在货物采购项目中，货物由中小企业制造，即货物由中小企业生产且使用该中小企业商号或者注册商标。</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highlight w:val="none"/>
          <w:u w:val="single"/>
        </w:rPr>
        <w:t xml:space="preserve">5</w:t>
      </w:r>
      <w:r>
        <w:rPr>
          <w:rFonts w:hint="eastAsia" w:ascii="Times New Roman" w:hAnsi="Times New Roman" w:cs="仿宋"/>
          <w:sz w:val="24"/>
          <w:highlight w:val="none"/>
        </w:rPr>
        <w:t xml:space="preserve">%（工程项目为</w:t>
      </w:r>
      <w:r>
        <w:rPr>
          <w:rFonts w:hint="eastAsia" w:ascii="Times New Roman" w:hAnsi="Times New Roman" w:cs="仿宋"/>
          <w:sz w:val="24"/>
          <w:highlight w:val="none"/>
          <w:u w:val="single"/>
        </w:rPr>
        <w:t xml:space="preserve">2</w:t>
      </w:r>
      <w:r>
        <w:rPr>
          <w:rFonts w:hint="eastAsia" w:ascii="Times New Roman" w:hAnsi="Times New Roman" w:cs="仿宋"/>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⑤联合体各方均为小型、微型企业（残疾人福利单位、监狱企业）的，联合体享受15%价格扣除，用扣除后的价格参与评审。</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6.2节能产品、环境标志产品</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6.2.2采购人拟采购的产品属于优先采购的节能环保品目清单范围的，按以下条件优先采购：</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采用综合评分法的项目，对提供有效节能环保证书的投标人加分。</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采用最低评标价法的项目，同等条件下优先推荐提供有效节能环保证书多的投标人为中标人。</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6.3政府采购需求标准</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6.3.1商品包装、快递包装政府采购需求标准（试行）</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按照财政部印发的《商品包装政府采购需求标准（试行）》《快递包装政府采购需求标准（试行）》要求执行，本项目商品包装和快递包装的具体需求详见第四章采购需求。</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6.3.2绿色数据中心政府采购需求标准（试行）</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按照财政部 生态环境部 工业和信息化部关于印发《绿色数据中心政府采购需求标准（试行）》的通知）要求执行，本项目绿色数据中心的具体需求详见第四章采购需求。</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6.3.3绿色建材政府采购需求标准</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6.4采购产品中涉及涂料、胶黏剂、油墨、清洗剂等挥发性有机物产品的，属于强制性标准的，投标人应当提供符合国家和江苏省相关VOCs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hint="eastAsia" w:ascii="Times New Roman" w:hAnsi="Times New Roman" w:cs="仿宋"/>
          <w:sz w:val="24"/>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7、招标文件的澄清或修改</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7.2招标文件的澄清、修改将在原公告媒体上发布更正公告，澄清、修改文件均作为招标文件的组成部分，并对投标人具有约束力。</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7.3投标人应及时获取澄清答疑文件（修改后的招标文件），如投标人未能及时下载澄清答疑文件，造成的相关责任由投标人承担。</w:t>
      </w:r>
      <w:r>
        <w:rPr>
          <w:rFonts w:hint="eastAsia" w:ascii="Times New Roman" w:hAnsi="Times New Roman" w:cs="仿宋"/>
          <w:sz w:val="24"/>
          <w:highlight w:val="none"/>
        </w:rPr>
      </w:r>
      <w:r/>
    </w:p>
    <w:p>
      <w:pPr>
        <w:pStyle w:val="785"/>
        <w:ind w:firstLine="321"/>
        <w:spacing w:before="0" w:after="0" w:line="480" w:lineRule="exact"/>
        <w:rPr>
          <w:rFonts w:hint="eastAsia" w:eastAsia="宋体" w:cs="Arial"/>
          <w:bCs/>
          <w:szCs w:val="22"/>
          <w:highlight w:val="none"/>
        </w:rPr>
      </w:pPr>
      <w:r/>
      <w:bookmarkStart w:id="78" w:name="_Toc5574"/>
      <w:r/>
      <w:bookmarkStart w:id="79" w:name="_Toc81575157"/>
      <w:r/>
      <w:bookmarkStart w:id="80" w:name="_Toc11461"/>
      <w:r/>
      <w:bookmarkStart w:id="81" w:name="_Toc81575194"/>
      <w:r>
        <w:rPr>
          <w:rFonts w:hint="eastAsia" w:eastAsia="宋体" w:cs="Arial"/>
          <w:bCs/>
          <w:szCs w:val="22"/>
          <w:highlight w:val="none"/>
        </w:rPr>
        <w:t xml:space="preserve">三、投标文件的编制</w:t>
      </w:r>
      <w:bookmarkEnd w:id="78"/>
      <w:r/>
      <w:bookmarkEnd w:id="79"/>
      <w:r/>
      <w:bookmarkEnd w:id="80"/>
      <w:r/>
      <w:bookmarkEnd w:id="81"/>
      <w:r>
        <w:rPr>
          <w:rFonts w:hint="eastAsia" w:eastAsia="宋体" w:cs="Arial"/>
          <w:bCs/>
          <w:szCs w:val="22"/>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8、投标文件的编制要求</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8.1投标人应仔细阅读“招标文件”的所有内容，保证所提供的全部资料的真实性、完整性及有效性，以使其投标对“招标文件”作出实质性响应。</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8.2投标文件要求盖章签字之处，应按要求盖章签字。</w:t>
      </w:r>
      <w:r>
        <w:rPr>
          <w:rFonts w:hint="eastAsia" w:ascii="Times New Roman" w:hAnsi="Times New Roman" w:cs="仿宋"/>
          <w:sz w:val="24"/>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9、投标文件构成</w:t>
      </w:r>
      <w:r>
        <w:rPr>
          <w:rFonts w:hint="eastAsia" w:ascii="Times New Roman" w:hAnsi="Times New Roman" w:cs="仿宋"/>
          <w:b/>
          <w:sz w:val="24"/>
          <w:highlight w:val="none"/>
        </w:rPr>
      </w:r>
      <w:r/>
    </w:p>
    <w:p>
      <w:pPr>
        <w:pStyle w:val="783"/>
        <w:ind w:firstLine="480"/>
        <w:spacing w:line="480" w:lineRule="exact"/>
        <w:rPr>
          <w:rFonts w:ascii="Times New Roman" w:hAnsi="Times New Roman" w:cs="仿宋"/>
          <w:bCs/>
          <w:sz w:val="24"/>
          <w:highlight w:val="none"/>
        </w:rPr>
      </w:pPr>
      <w:r>
        <w:rPr>
          <w:rFonts w:hint="eastAsia" w:ascii="Times New Roman" w:hAnsi="Times New Roman" w:cs="仿宋"/>
          <w:sz w:val="24"/>
          <w:highlight w:val="none"/>
        </w:rPr>
        <w:t xml:space="preserve">9.1投标文件包括资格证明文件、开标一览表、分项报价表、响应及偏离表、投标函、其他证明文件等部分。</w:t>
      </w:r>
      <w:r>
        <w:rPr>
          <w:rFonts w:hint="eastAsia" w:ascii="Times New Roman" w:hAnsi="Times New Roman" w:cs="仿宋"/>
          <w:bCs/>
          <w:sz w:val="24"/>
          <w:highlight w:val="none"/>
        </w:rPr>
        <w:t xml:space="preserve">投标文件构成资料为非中文时应提供中文译版。</w:t>
      </w:r>
      <w:bookmarkStart w:id="82" w:name="EBc50e2bb832bb43068403b10c1cce6141"/>
      <w:r>
        <w:rPr>
          <w:rFonts w:ascii="Times New Roman" w:hAnsi="Times New Roman" w:cs="仿宋"/>
          <w:bCs/>
          <w:sz w:val="24"/>
          <w:highlight w:val="none"/>
        </w:rPr>
      </w:r>
      <w:r/>
    </w:p>
    <w:p>
      <w:pPr>
        <w:pStyle w:val="783"/>
        <w:ind w:firstLine="482"/>
        <w:spacing w:line="480" w:lineRule="exact"/>
        <w:rPr>
          <w:rFonts w:ascii="Times New Roman" w:hAnsi="Times New Roman" w:cs="仿宋"/>
          <w:bCs/>
          <w:sz w:val="24"/>
          <w:highlight w:val="none"/>
        </w:rPr>
      </w:pPr>
      <w:r>
        <w:rPr>
          <w:rFonts w:hint="eastAsia" w:ascii="Times New Roman" w:hAnsi="Times New Roman" w:cs="仿宋"/>
          <w:b/>
          <w:sz w:val="24"/>
          <w:highlight w:val="none"/>
        </w:rPr>
        <w:t xml:space="preserve">9.2招标文件要求提供证书证件等证明材料的，投标人在投标文件中应提供。无论何种原因，即使投标人开标时携带了证书证明资料的原件，但投标文件中未包含相关资料的，评标委员会可以视同其未提供。</w:t>
      </w:r>
      <w:bookmarkEnd w:id="82"/>
      <w:r>
        <w:rPr>
          <w:rFonts w:ascii="Times New Roman" w:hAnsi="Times New Roman" w:cs="仿宋"/>
          <w:bCs/>
          <w:sz w:val="24"/>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10、投标报价</w:t>
      </w:r>
      <w:r>
        <w:rPr>
          <w:rFonts w:hint="eastAsia" w:ascii="Times New Roman" w:hAnsi="Times New Roman" w:cs="仿宋"/>
          <w:b/>
          <w:sz w:val="24"/>
          <w:highlight w:val="none"/>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10.1报价为一次报价，本项目不接受备选的投标方案或有选择的报价，只允许有一个报价。</w:t>
      </w:r>
      <w:r>
        <w:rPr>
          <w:rFonts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10.2报价注意事项：投标价格一律以人民币计算，以元为单位标注，最多保留至小数点后两位，招标文件有规定的按招标文件执行。</w:t>
      </w:r>
      <w:r>
        <w:rPr>
          <w:rFonts w:hint="eastAsia" w:ascii="Times New Roman" w:hAnsi="Times New Roman" w:cs="仿宋"/>
          <w:sz w:val="24"/>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11、投标保证金</w:t>
      </w:r>
      <w:bookmarkStart w:id="83" w:name="EB183a0bf075204c54a4ff090f1aecaaa7"/>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bookmarkEnd w:id="83"/>
      <w:r>
        <w:rPr>
          <w:rFonts w:hint="eastAsia" w:ascii="Times New Roman" w:hAnsi="Times New Roman" w:cs="仿宋"/>
          <w:sz w:val="24"/>
          <w:highlight w:val="none"/>
        </w:rPr>
        <w:t xml:space="preserve">本项目不收取投标保证金。</w:t>
      </w:r>
      <w:r>
        <w:rPr>
          <w:rFonts w:hint="eastAsia" w:ascii="Times New Roman" w:hAnsi="Times New Roman" w:cs="仿宋"/>
          <w:sz w:val="24"/>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12、投标有效期</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12.1在投标人须知前附表规定的投标有效期内，投标有效期从提交投标文件的截止之日起算。投标有效期比规定短的将被视为未实质性响应招标文件。</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rPr>
          <w:rFonts w:hint="eastAsia" w:ascii="Times New Roman" w:hAnsi="Times New Roman" w:cs="仿宋"/>
          <w:sz w:val="24"/>
          <w:highlight w:val="none"/>
        </w:rPr>
      </w:r>
      <w:r/>
    </w:p>
    <w:p>
      <w:pPr>
        <w:pStyle w:val="785"/>
        <w:ind w:firstLine="321"/>
        <w:spacing w:before="0" w:after="0" w:line="480" w:lineRule="exact"/>
        <w:rPr>
          <w:rFonts w:hint="eastAsia" w:eastAsia="宋体" w:cs="Arial"/>
          <w:bCs/>
          <w:szCs w:val="22"/>
          <w:highlight w:val="none"/>
        </w:rPr>
      </w:pPr>
      <w:r/>
      <w:bookmarkStart w:id="84" w:name="_Toc23443"/>
      <w:r/>
      <w:bookmarkStart w:id="85" w:name="_Toc81575195"/>
      <w:r/>
      <w:bookmarkStart w:id="86" w:name="_Toc2773"/>
      <w:r/>
      <w:bookmarkStart w:id="87" w:name="_Toc81575158"/>
      <w:r>
        <w:rPr>
          <w:rFonts w:hint="eastAsia" w:eastAsia="宋体" w:cs="Arial"/>
          <w:bCs/>
          <w:szCs w:val="22"/>
          <w:highlight w:val="none"/>
        </w:rPr>
        <w:t xml:space="preserve">四、投标文件的提交</w:t>
      </w:r>
      <w:bookmarkEnd w:id="84"/>
      <w:r/>
      <w:bookmarkEnd w:id="85"/>
      <w:r/>
      <w:bookmarkEnd w:id="86"/>
      <w:r/>
      <w:bookmarkEnd w:id="87"/>
      <w:r>
        <w:rPr>
          <w:rFonts w:hint="eastAsia" w:eastAsia="宋体" w:cs="Arial"/>
          <w:bCs/>
          <w:szCs w:val="22"/>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13、投标文件的提交</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13.1投标人应在招标文件规定的投标截止时间前提交投标文件。</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13.2投标文件的修改和撤回：在投标截止时间前，投标人可以撤回或重新提交投标文件。投标文件以最终完成提交的为准。</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rPr>
          <w:rFonts w:hint="eastAsia" w:ascii="Times New Roman" w:hAnsi="Times New Roman" w:cs="仿宋"/>
          <w:sz w:val="24"/>
          <w:highlight w:val="none"/>
        </w:rPr>
      </w:r>
      <w:r/>
    </w:p>
    <w:p>
      <w:pPr>
        <w:pStyle w:val="783"/>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14、投标文件被拒绝接收的情形</w:t>
      </w:r>
      <w:r>
        <w:rPr>
          <w:rFonts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在招标文件规定的投标截止时间后上传的投标文件或对投标报价或其他实质性内容修正的文件。</w:t>
      </w:r>
      <w:r>
        <w:rPr>
          <w:rFonts w:hint="eastAsia" w:ascii="Times New Roman" w:hAnsi="Times New Roman" w:cs="仿宋"/>
          <w:sz w:val="24"/>
          <w:highlight w:val="none"/>
        </w:rPr>
      </w:r>
      <w:r/>
    </w:p>
    <w:p>
      <w:pPr>
        <w:pStyle w:val="785"/>
        <w:ind w:firstLine="321"/>
        <w:spacing w:before="0" w:after="0" w:line="520" w:lineRule="exact"/>
        <w:rPr>
          <w:rFonts w:hint="eastAsia" w:eastAsia="宋体" w:cs="Arial"/>
          <w:bCs/>
          <w:szCs w:val="22"/>
          <w:highlight w:val="none"/>
        </w:rPr>
      </w:pPr>
      <w:r/>
      <w:bookmarkStart w:id="88" w:name="_Toc81575197"/>
      <w:r/>
      <w:bookmarkStart w:id="89" w:name="_Toc959"/>
      <w:r/>
      <w:bookmarkStart w:id="90" w:name="_Toc20026"/>
      <w:r/>
      <w:bookmarkStart w:id="91" w:name="_Toc81575160"/>
      <w:r>
        <w:rPr>
          <w:rFonts w:hint="eastAsia" w:eastAsia="宋体" w:cs="Arial"/>
          <w:bCs/>
          <w:szCs w:val="22"/>
          <w:highlight w:val="none"/>
        </w:rPr>
        <w:t xml:space="preserve">五、开标、评标程序</w:t>
      </w:r>
      <w:bookmarkEnd w:id="88"/>
      <w:r/>
      <w:bookmarkEnd w:id="89"/>
      <w:r/>
      <w:bookmarkEnd w:id="90"/>
      <w:r/>
      <w:bookmarkEnd w:id="91"/>
      <w:r>
        <w:rPr>
          <w:rFonts w:hint="eastAsia" w:eastAsia="宋体" w:cs="Arial"/>
          <w:bCs/>
          <w:szCs w:val="22"/>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15、开标</w:t>
      </w:r>
      <w:r>
        <w:rPr>
          <w:rFonts w:hint="eastAsia" w:ascii="Times New Roman" w:hAnsi="Times New Roman" w:cs="仿宋"/>
          <w:b/>
          <w:sz w:val="24"/>
          <w:highlight w:val="none"/>
        </w:rPr>
      </w:r>
      <w:r/>
    </w:p>
    <w:p>
      <w:pPr>
        <w:pStyle w:val="783"/>
        <w:ind w:firstLine="480"/>
        <w:spacing w:line="500" w:lineRule="exact"/>
        <w:rPr>
          <w:rFonts w:hint="eastAsia" w:ascii="宋体" w:hAnsi="宋体" w:cs="宋体"/>
          <w:sz w:val="24"/>
          <w:highlight w:val="none"/>
        </w:rPr>
      </w:pPr>
      <w:r>
        <w:rPr>
          <w:rFonts w:hint="eastAsia" w:ascii="Times New Roman" w:hAnsi="Times New Roman" w:cs="仿宋"/>
          <w:sz w:val="24"/>
          <w:highlight w:val="none"/>
        </w:rPr>
        <w:t xml:space="preserve">15.1</w:t>
      </w:r>
      <w:r>
        <w:rPr>
          <w:rFonts w:hint="eastAsia" w:ascii="宋体" w:hAnsi="宋体" w:cs="宋体"/>
          <w:sz w:val="24"/>
          <w:highlight w:val="none"/>
        </w:rPr>
        <w:t xml:space="preserve">采购代理机构将在招标公告中规定的时间和地点组织公开开标。邀请所有投标人参加开标活动。采购人代表及有关工作人员参加，采购监管部门代表视情况参与监管。</w:t>
      </w:r>
      <w:r>
        <w:rPr>
          <w:rFonts w:hint="eastAsia" w:ascii="宋体" w:hAnsi="宋体" w:cs="宋体"/>
          <w:sz w:val="24"/>
          <w:highlight w:val="none"/>
        </w:rPr>
      </w:r>
      <w:r/>
    </w:p>
    <w:p>
      <w:pPr>
        <w:pStyle w:val="783"/>
        <w:ind w:firstLine="480"/>
        <w:spacing w:line="500" w:lineRule="exact"/>
        <w:rPr>
          <w:rFonts w:hint="eastAsia" w:ascii="Times New Roman" w:hAnsi="Times New Roman" w:cs="仿宋"/>
          <w:sz w:val="24"/>
          <w:highlight w:val="none"/>
        </w:rPr>
      </w:pPr>
      <w:r>
        <w:rPr>
          <w:rFonts w:hint="eastAsia" w:ascii="Times New Roman" w:hAnsi="Times New Roman" w:cs="仿宋"/>
          <w:sz w:val="24"/>
          <w:highlight w:val="none"/>
        </w:rPr>
        <w:t xml:space="preserve">15.2开标时，由投标人或其推选的代表检查招标文件的密封情况，由采购代理机构宣布投标人名称、投标价格和招标文件规定的需要宣布的其他内容。应书面记录《开标记录表》。投标人确认投标价格并签字。</w:t>
      </w:r>
      <w:r>
        <w:rPr>
          <w:rFonts w:hint="eastAsia" w:ascii="Times New Roman" w:hAnsi="Times New Roman" w:cs="仿宋"/>
          <w:sz w:val="24"/>
          <w:highlight w:val="none"/>
        </w:rPr>
      </w:r>
      <w:r/>
    </w:p>
    <w:p>
      <w:pPr>
        <w:pStyle w:val="783"/>
        <w:ind w:firstLine="480"/>
        <w:spacing w:line="500" w:lineRule="exact"/>
        <w:rPr>
          <w:rFonts w:hint="eastAsia" w:ascii="Times New Roman" w:hAnsi="Times New Roman" w:cs="仿宋"/>
          <w:sz w:val="24"/>
          <w:highlight w:val="none"/>
        </w:rPr>
      </w:pPr>
      <w:r>
        <w:rPr>
          <w:rFonts w:hint="eastAsia" w:ascii="Times New Roman" w:hAnsi="Times New Roman" w:cs="仿宋"/>
          <w:sz w:val="24"/>
          <w:highlight w:val="none"/>
        </w:rPr>
        <w:t xml:space="preserve">15.3投标人如果对开标过程和开标记录有疑义，应当在开标现场提出，</w:t>
      </w:r>
      <w:r>
        <w:rPr>
          <w:rFonts w:hint="eastAsia" w:ascii="宋体" w:hAnsi="宋体" w:cs="宋体"/>
          <w:sz w:val="24"/>
          <w:highlight w:val="none"/>
        </w:rPr>
        <w:t xml:space="preserve">采购代理机构当场作出解答并记录《开标记录表》。</w:t>
      </w:r>
      <w:r>
        <w:rPr>
          <w:rFonts w:hint="eastAsia" w:ascii="Times New Roman" w:hAnsi="Times New Roman" w:cs="仿宋"/>
          <w:sz w:val="24"/>
          <w:highlight w:val="none"/>
        </w:rPr>
        <w:t xml:space="preserve">开标现场未提出的，视同认可开标结果。</w:t>
      </w:r>
      <w:r>
        <w:rPr>
          <w:rFonts w:hint="eastAsia" w:ascii="Times New Roman" w:hAnsi="Times New Roman" w:cs="仿宋"/>
          <w:sz w:val="24"/>
          <w:highlight w:val="none"/>
        </w:rPr>
      </w:r>
      <w:r/>
    </w:p>
    <w:p>
      <w:pPr>
        <w:pStyle w:val="783"/>
        <w:ind w:firstLine="480"/>
        <w:spacing w:line="500" w:lineRule="exact"/>
        <w:rPr>
          <w:rFonts w:hint="eastAsia" w:ascii="宋体" w:hAnsi="宋体" w:cs="宋体"/>
          <w:sz w:val="24"/>
          <w:highlight w:val="none"/>
        </w:rPr>
      </w:pPr>
      <w:r>
        <w:rPr>
          <w:rFonts w:hint="eastAsia" w:ascii="宋体" w:hAnsi="宋体" w:cs="宋体"/>
          <w:sz w:val="24"/>
          <w:highlight w:val="none"/>
        </w:rPr>
        <w:t xml:space="preserve">投标人未参加开标的，视同认可开标结果。</w:t>
      </w:r>
      <w:r>
        <w:rPr>
          <w:rFonts w:hint="eastAsia" w:ascii="宋体" w:hAnsi="宋体" w:cs="宋体"/>
          <w:sz w:val="24"/>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16、评标委员会</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rPr>
          <w:rFonts w:hint="eastAsia" w:ascii="Times New Roman" w:hAnsi="Times New Roman" w:cs="仿宋"/>
          <w:sz w:val="24"/>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17、评标程序</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17.1资格审查</w:t>
      </w:r>
      <w:bookmarkStart w:id="92" w:name="EBa9c0a2c9e523494487594c65b2a92370"/>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开标结束后，采购人依法根据招标文件的规定对投标人的资格证明文件等进行审查。</w:t>
      </w:r>
      <w:bookmarkEnd w:id="92"/>
      <w:r>
        <w:rPr>
          <w:rFonts w:hint="eastAsia" w:ascii="Times New Roman" w:hAnsi="Times New Roman" w:cs="仿宋"/>
          <w:sz w:val="24"/>
          <w:highlight w:val="none"/>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17.2符合性检查</w:t>
      </w:r>
      <w:r>
        <w:rPr>
          <w:rFonts w:ascii="Times New Roman" w:hAnsi="Times New Roman" w:cs="仿宋"/>
          <w:sz w:val="24"/>
          <w:highlight w:val="none"/>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17.2.1依据招标文件的规定，由评标委员会从投标文件的有效性、完整性和对招标文件的响应程度进行审查，以确定是否对招标文件的实质性要求作出响应。</w:t>
      </w:r>
      <w:r>
        <w:rPr>
          <w:rFonts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3" w:name="EB1499356fad43416eb16398733accabf7"/>
      <w:r>
        <w:rPr>
          <w:rFonts w:hint="eastAsia" w:ascii="Times New Roman" w:hAnsi="Times New Roman" w:cs="仿宋"/>
          <w:sz w:val="24"/>
          <w:highlight w:val="none"/>
        </w:rPr>
        <w:t xml:space="preserve">所谓重大偏离是指投标人投标文件中所述设备质量、技术规格、数量、交货期、服务等明显不能满足招标文件要求。</w:t>
      </w:r>
      <w:bookmarkEnd w:id="93"/>
      <w:r>
        <w:rPr>
          <w:rFonts w:hint="eastAsia" w:ascii="Times New Roman" w:hAnsi="Times New Roman" w:cs="仿宋"/>
          <w:sz w:val="24"/>
          <w:highlight w:val="none"/>
        </w:rPr>
        <w:t xml:space="preserve">重大偏离的认定需经过评标委员会以少数服从多数的原则作出结论。</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17.3未通过资格审查或符合性审查的投标人，采购代理机构将书面告知未通过资格审查或符合性审查的原因，评标结束后，采购代理机构将不再告知未通过资格审查或符合性审查的原因。</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17.4评标委员会判断投标文件的响应性，仅基于投标文件本身而不靠外部证据。对非实质性响应的投标文件，投标人不能通过修正或撤销不符之处，而使其成为实质性响应。</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17.5相同品牌产品投标</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17.5.3非单一产品采购项目，采购人确定核心产品，并在招标文件中载明。多家投标人提供的核心产品品牌相同的，按前两款规定处理。</w:t>
      </w:r>
      <w:r>
        <w:rPr>
          <w:rFonts w:hint="eastAsia" w:ascii="Times New Roman" w:hAnsi="Times New Roman" w:cs="仿宋"/>
          <w:sz w:val="24"/>
          <w:highlight w:val="none"/>
        </w:rPr>
      </w:r>
      <w:r/>
    </w:p>
    <w:p>
      <w:pPr>
        <w:pStyle w:val="783"/>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17.6有关问题的澄清</w:t>
      </w:r>
      <w:r>
        <w:rPr>
          <w:rFonts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17.6.1对投标文件中含义不明确、同类问题表述不一致或者有明显文字和计算错误的内容，评标委员会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17.6.2投标文件报价出现前后不一致的，除招标文件另有规定外，按照下列规定修正：</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①投标文件中开标一览表（报价表）内容与投标文件中相应内容不一致的，以开标一览表（报价表）为准；</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②大写金额和小写金额不一致的，以大写金额为准；</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③单价金额小数点或者百分比有明显错位的，以开标一览表的总价为准，并修改单价；</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④总价金额与按单价汇总金额不一致的，以单价金额计算结果为准。</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同时出现两种以上不一致的，按照前款规定的顺序修正。</w:t>
      </w:r>
      <w:r>
        <w:rPr>
          <w:rFonts w:hint="eastAsia" w:ascii="Times New Roman" w:hAnsi="Times New Roman" w:cs="仿宋"/>
          <w:sz w:val="24"/>
          <w:highlight w:val="none"/>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17.6.3评标委员会将按上述修正错误的方法调整投标文件中的投标报价，并书面告知投标人，调整后的价格应对投标人具有约束力。投标人不接受修正后的价格，其投标将被拒绝。</w:t>
      </w:r>
      <w:r>
        <w:rPr>
          <w:rFonts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评标过程中，不得去掉报价中的最高报价和最低报价。</w:t>
      </w:r>
      <w:r>
        <w:rPr>
          <w:rFonts w:hint="eastAsia" w:ascii="Times New Roman" w:hAnsi="Times New Roman" w:cs="仿宋"/>
          <w:sz w:val="24"/>
          <w:highlight w:val="none"/>
        </w:rPr>
      </w:r>
      <w:r/>
    </w:p>
    <w:p>
      <w:pPr>
        <w:pStyle w:val="783"/>
        <w:ind w:firstLine="477"/>
        <w:spacing w:line="560" w:lineRule="exact"/>
        <w:tabs>
          <w:tab w:val="left" w:pos="900" w:leader="none"/>
        </w:tabs>
        <w:rPr>
          <w:rFonts w:hint="eastAsia" w:ascii="Times New Roman" w:hAnsi="Times New Roman" w:cs="仿宋"/>
          <w:sz w:val="24"/>
          <w:highlight w:val="none"/>
        </w:rPr>
      </w:pPr>
      <w:r>
        <w:rPr>
          <w:rFonts w:hint="eastAsia" w:ascii="Times New Roman" w:hAnsi="Times New Roman" w:cs="仿宋"/>
          <w:sz w:val="24"/>
          <w:highlight w:val="none"/>
        </w:rPr>
        <w:t xml:space="preserve">17.7异常低价投标审查</w:t>
      </w:r>
      <w:r>
        <w:rPr>
          <w:rFonts w:hint="eastAsia" w:ascii="Times New Roman" w:hAnsi="Times New Roman" w:cs="仿宋"/>
          <w:sz w:val="24"/>
          <w:highlight w:val="none"/>
        </w:rPr>
      </w:r>
      <w:r/>
    </w:p>
    <w:p>
      <w:pPr>
        <w:pStyle w:val="783"/>
        <w:ind w:firstLine="477"/>
        <w:spacing w:line="560" w:lineRule="exact"/>
        <w:tabs>
          <w:tab w:val="left" w:pos="900" w:leader="none"/>
        </w:tabs>
        <w:rPr>
          <w:rFonts w:hint="eastAsia" w:ascii="宋体" w:hAnsi="宋体" w:cs="宋体"/>
          <w:sz w:val="24"/>
          <w:szCs w:val="24"/>
          <w:highlight w:val="none"/>
        </w:rPr>
      </w:pPr>
      <w:r>
        <w:rPr>
          <w:rFonts w:hint="eastAsia" w:ascii="Times New Roman" w:hAnsi="Times New Roman" w:cs="仿宋"/>
          <w:sz w:val="24"/>
          <w:highlight w:val="none"/>
        </w:rPr>
        <w:t xml:space="preserve">17.7.1</w:t>
      </w:r>
      <w:r>
        <w:rPr>
          <w:rFonts w:hint="eastAsia" w:ascii="宋体" w:hAnsi="宋体" w:cs="宋体"/>
          <w:sz w:val="24"/>
          <w:szCs w:val="24"/>
          <w:highlight w:val="none"/>
        </w:rPr>
        <w:t xml:space="preserve">评审过程中出现下列情形之一的，磋商小组应当启动异常低价响应审查程序：</w:t>
      </w:r>
      <w:r>
        <w:rPr>
          <w:rFonts w:hint="eastAsia" w:ascii="宋体" w:hAnsi="宋体" w:cs="宋体"/>
          <w:sz w:val="24"/>
          <w:szCs w:val="24"/>
          <w:highlight w:val="none"/>
        </w:rPr>
      </w:r>
      <w:r/>
    </w:p>
    <w:p>
      <w:pPr>
        <w:pStyle w:val="783"/>
        <w:ind w:firstLine="477"/>
        <w:spacing w:line="56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（1）投标（响应）报价低于全部通过符合性审查供应商投标（响应）报价平均值的50%的，即投标（响应）报价＜全部通过符合性审查供应商投标（响应）报价平均值×50%；</w:t>
      </w:r>
      <w:r>
        <w:rPr>
          <w:rFonts w:hint="eastAsia" w:ascii="宋体" w:hAnsi="宋体" w:cs="宋体"/>
          <w:sz w:val="24"/>
          <w:szCs w:val="24"/>
          <w:highlight w:val="none"/>
        </w:rPr>
      </w:r>
      <w:r/>
    </w:p>
    <w:p>
      <w:pPr>
        <w:pStyle w:val="783"/>
        <w:ind w:firstLine="477"/>
        <w:spacing w:line="56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s="宋体"/>
          <w:sz w:val="24"/>
          <w:szCs w:val="24"/>
          <w:highlight w:val="none"/>
        </w:rPr>
      </w:r>
      <w:r/>
    </w:p>
    <w:p>
      <w:pPr>
        <w:pStyle w:val="783"/>
        <w:ind w:firstLine="477"/>
        <w:spacing w:line="56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（3）投标（响应）报价低于采购项目最高限价45%的，即投标（响应）报价＜采购项目最高限价×45%；</w:t>
      </w:r>
      <w:r>
        <w:rPr>
          <w:rFonts w:hint="eastAsia" w:ascii="宋体" w:hAnsi="宋体" w:cs="宋体"/>
          <w:sz w:val="24"/>
          <w:szCs w:val="24"/>
          <w:highlight w:val="none"/>
        </w:rPr>
      </w:r>
      <w:r/>
    </w:p>
    <w:p>
      <w:pPr>
        <w:pStyle w:val="783"/>
        <w:ind w:firstLine="477"/>
        <w:spacing w:line="56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（4）评审委员会基于专业判断，认为供应商报价过低，有可能影响产品质量或者不能诚信履约的其他情形。</w:t>
      </w:r>
      <w:r>
        <w:rPr>
          <w:rFonts w:hint="eastAsia" w:ascii="宋体" w:hAnsi="宋体" w:cs="宋体"/>
          <w:sz w:val="24"/>
          <w:szCs w:val="24"/>
          <w:highlight w:val="none"/>
        </w:rPr>
      </w:r>
      <w:r/>
    </w:p>
    <w:p>
      <w:pPr>
        <w:pStyle w:val="783"/>
        <w:ind w:firstLine="477"/>
        <w:spacing w:line="560" w:lineRule="exact"/>
        <w:tabs>
          <w:tab w:val="left" w:pos="900" w:leader="none"/>
        </w:tabs>
        <w:rPr>
          <w:rFonts w:hint="eastAsia" w:ascii="宋体" w:hAnsi="宋体" w:cs="宋体"/>
          <w:sz w:val="24"/>
          <w:szCs w:val="24"/>
          <w:highlight w:val="none"/>
        </w:rPr>
      </w:pPr>
      <w:r>
        <w:rPr>
          <w:rFonts w:hint="eastAsia" w:ascii="Times New Roman" w:hAnsi="Times New Roman" w:cs="仿宋"/>
          <w:sz w:val="24"/>
          <w:highlight w:val="none"/>
        </w:rPr>
        <w:t xml:space="preserve">17.7.2</w:t>
      </w:r>
      <w:r>
        <w:rPr>
          <w:rFonts w:hint="eastAsia" w:ascii="宋体" w:hAnsi="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 w:val="24"/>
          <w:szCs w:val="24"/>
          <w:highlight w:val="none"/>
        </w:rPr>
      </w:r>
      <w:r/>
    </w:p>
    <w:p>
      <w:pPr>
        <w:pStyle w:val="783"/>
        <w:ind w:firstLine="477"/>
        <w:spacing w:line="560" w:lineRule="exact"/>
        <w:tabs>
          <w:tab w:val="left" w:pos="900" w:leader="none"/>
        </w:tabs>
        <w:rPr>
          <w:rFonts w:hint="eastAsia" w:ascii="宋体" w:hAnsi="宋体" w:cs="宋体"/>
          <w:sz w:val="24"/>
          <w:szCs w:val="24"/>
          <w:highlight w:val="none"/>
        </w:rPr>
      </w:pPr>
      <w:r>
        <w:rPr>
          <w:rFonts w:hint="eastAsia" w:ascii="Times New Roman" w:hAnsi="Times New Roman" w:cs="仿宋"/>
          <w:sz w:val="24"/>
          <w:highlight w:val="none"/>
        </w:rPr>
        <w:t xml:space="preserve">17.7.3</w:t>
      </w:r>
      <w:r>
        <w:rPr>
          <w:rFonts w:hint="eastAsia" w:ascii="宋体" w:hAnsi="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 w:val="24"/>
          <w:szCs w:val="24"/>
          <w:highlight w:val="none"/>
        </w:rPr>
      </w:r>
      <w:r/>
    </w:p>
    <w:p>
      <w:pPr>
        <w:pStyle w:val="783"/>
        <w:ind w:firstLine="477"/>
        <w:spacing w:line="560" w:lineRule="exact"/>
        <w:tabs>
          <w:tab w:val="left" w:pos="900" w:leader="none"/>
        </w:tabs>
        <w:rPr>
          <w:rFonts w:hint="eastAsia" w:ascii="宋体" w:hAnsi="宋体" w:cs="宋体"/>
          <w:sz w:val="24"/>
          <w:szCs w:val="24"/>
          <w:highlight w:val="none"/>
        </w:rPr>
      </w:pPr>
      <w:r>
        <w:rPr>
          <w:rFonts w:hint="eastAsia" w:ascii="Times New Roman" w:hAnsi="Times New Roman" w:cs="仿宋"/>
          <w:sz w:val="24"/>
          <w:highlight w:val="none"/>
        </w:rPr>
        <w:t xml:space="preserve">17.7.4</w:t>
      </w:r>
      <w:r>
        <w:rPr>
          <w:rFonts w:hint="eastAsia" w:ascii="宋体" w:hAnsi="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 w:val="24"/>
          <w:szCs w:val="24"/>
          <w:highlight w:val="none"/>
        </w:rPr>
      </w:r>
      <w:r/>
    </w:p>
    <w:p>
      <w:pPr>
        <w:pStyle w:val="783"/>
        <w:ind w:firstLine="477"/>
        <w:spacing w:line="560" w:lineRule="exact"/>
        <w:tabs>
          <w:tab w:val="left" w:pos="900" w:leader="none"/>
        </w:tabs>
        <w:rPr>
          <w:rFonts w:hint="eastAsia" w:ascii="宋体" w:hAnsi="宋体" w:cs="宋体"/>
          <w:sz w:val="24"/>
          <w:szCs w:val="24"/>
          <w:highlight w:val="none"/>
        </w:rPr>
      </w:pPr>
      <w:r>
        <w:rPr>
          <w:rFonts w:hint="eastAsia" w:ascii="Times New Roman" w:hAnsi="Times New Roman" w:cs="仿宋"/>
          <w:sz w:val="24"/>
          <w:highlight w:val="none"/>
        </w:rPr>
        <w:t xml:space="preserve">17.7.5</w:t>
      </w:r>
      <w:r>
        <w:rPr>
          <w:rFonts w:hint="eastAsia" w:ascii="宋体" w:hAnsi="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4"/>
          <w:szCs w:val="24"/>
          <w:highlight w:val="none"/>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17.8比较</w:t>
      </w:r>
      <w:r>
        <w:rPr>
          <w:rFonts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评标委员会将按招标文件中规定的评标方法和标准，对符合性检查合格的投标文件进行商务和技术评比。</w:t>
      </w:r>
      <w:r>
        <w:rPr>
          <w:rFonts w:hint="eastAsia" w:ascii="Times New Roman" w:hAnsi="Times New Roman" w:cs="仿宋"/>
          <w:sz w:val="24"/>
          <w:highlight w:val="none"/>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17.9推荐中标候选人</w:t>
      </w:r>
      <w:r>
        <w:rPr>
          <w:rFonts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评标委员会按照招标文件中规定的评标方法和标准推荐中标候选人。</w:t>
      </w:r>
      <w:r>
        <w:rPr>
          <w:rFonts w:hint="eastAsia" w:ascii="Times New Roman" w:hAnsi="Times New Roman" w:cs="仿宋"/>
          <w:sz w:val="24"/>
          <w:highlight w:val="none"/>
        </w:rPr>
      </w:r>
      <w:r/>
    </w:p>
    <w:p>
      <w:pPr>
        <w:pStyle w:val="785"/>
        <w:ind w:firstLine="321"/>
        <w:spacing w:before="0" w:after="0" w:line="480" w:lineRule="exact"/>
        <w:rPr>
          <w:rFonts w:hint="eastAsia" w:eastAsia="宋体" w:cs="Arial"/>
          <w:bCs/>
          <w:szCs w:val="22"/>
          <w:highlight w:val="none"/>
        </w:rPr>
      </w:pPr>
      <w:r/>
      <w:bookmarkStart w:id="94" w:name="_Toc8841"/>
      <w:r/>
      <w:bookmarkStart w:id="95" w:name="_Toc8712"/>
      <w:r/>
      <w:bookmarkStart w:id="96" w:name="_Toc81575196"/>
      <w:r/>
      <w:bookmarkStart w:id="97" w:name="_Toc81575159"/>
      <w:r>
        <w:rPr>
          <w:rFonts w:hint="eastAsia" w:eastAsia="宋体" w:cs="Arial"/>
          <w:bCs/>
          <w:szCs w:val="22"/>
          <w:highlight w:val="none"/>
        </w:rPr>
        <w:t xml:space="preserve">六、无效投标、废标、串通投标</w:t>
      </w:r>
      <w:bookmarkEnd w:id="94"/>
      <w:r/>
      <w:bookmarkEnd w:id="95"/>
      <w:r/>
      <w:bookmarkEnd w:id="96"/>
      <w:r/>
      <w:bookmarkEnd w:id="97"/>
      <w:r>
        <w:rPr>
          <w:rFonts w:hint="eastAsia" w:eastAsia="宋体" w:cs="Arial"/>
          <w:bCs/>
          <w:szCs w:val="22"/>
          <w:highlight w:val="none"/>
        </w:rPr>
        <w:t xml:space="preserve">及取消中标候选人资格情形</w:t>
      </w:r>
      <w:r>
        <w:rPr>
          <w:rFonts w:hint="eastAsia" w:eastAsia="宋体" w:cs="Arial"/>
          <w:bCs/>
          <w:szCs w:val="22"/>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18、无效投标情形</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trike/>
          <w:sz w:val="24"/>
          <w:highlight w:val="none"/>
        </w:rPr>
      </w:pPr>
      <w:r>
        <w:rPr>
          <w:rFonts w:hint="eastAsia" w:ascii="Times New Roman" w:hAnsi="Times New Roman" w:cs="仿宋"/>
          <w:sz w:val="24"/>
          <w:highlight w:val="none"/>
        </w:rPr>
        <w:t xml:space="preserve">18.1投标人同一采购包提交两个（含两个）以上不同的投标报价的。</w:t>
      </w:r>
      <w:r>
        <w:rPr>
          <w:rFonts w:hint="eastAsia" w:ascii="Times New Roman" w:hAnsi="Times New Roman" w:cs="仿宋"/>
          <w:strike/>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18.2投标人不符合招标文件规定资格要求的或未按规定提交资质证件的。</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18.3投标人的报价超过了采购预算或最高限价的。</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18.4投标文件未通过符合性审查的。</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18.5投标文件出现重大偏离，不符合招标文件中规定的实质性要求的（★部分为实质性要求）。</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18.7投标文件未按照招标文件要求加盖章签字的。</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18.8投标人有本招标文件规定的恶意串通投标情形的。</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18.9投标文件含有采购人不能接受的附加条件的。</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18.10其他法律、法规及本招标文件规定的属无效投标的情形。</w:t>
      </w:r>
      <w:r>
        <w:rPr>
          <w:rFonts w:hint="eastAsia" w:ascii="Times New Roman" w:hAnsi="Times New Roman" w:cs="仿宋"/>
          <w:sz w:val="24"/>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19、废标情形</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19.1符合专业条件的投标人或者对招标文件作实质响应的投标人不足三家的。</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19.2出现影响采购公正的违法、违规行为的。</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19.3因重大变故，采购任务取消的。</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19.4评标委员会认定招标文件存在歧义、重大缺陷导致评审工作无法进行的。</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19.5在规定时间内获取招标文件的投标人不足3家的。</w:t>
      </w:r>
      <w:r>
        <w:rPr>
          <w:rFonts w:hint="eastAsia" w:ascii="Times New Roman" w:hAnsi="Times New Roman" w:cs="仿宋"/>
          <w:sz w:val="24"/>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20、投标人不足三家情形处理</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投标截止后投标人不足3家或者通过资格审查或符合性审查的投标人不足3家的，除采购任务取消情形外，按财政部令第87号第四十三条条款进行处理。</w:t>
      </w:r>
      <w:r>
        <w:rPr>
          <w:rFonts w:hint="eastAsia" w:ascii="Times New Roman" w:hAnsi="Times New Roman" w:cs="仿宋"/>
          <w:sz w:val="24"/>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21、串通投标情形</w:t>
      </w:r>
      <w:r>
        <w:rPr>
          <w:rFonts w:hint="eastAsia" w:ascii="Times New Roman" w:hAnsi="Times New Roman" w:cs="仿宋"/>
          <w:b/>
          <w:sz w:val="24"/>
          <w:highlight w:val="none"/>
        </w:rPr>
      </w:r>
      <w:r/>
    </w:p>
    <w:p>
      <w:pPr>
        <w:pStyle w:val="783"/>
        <w:ind w:firstLine="480"/>
        <w:spacing w:line="500" w:lineRule="exact"/>
        <w:rPr>
          <w:rFonts w:ascii="黑体" w:hAnsi="黑体" w:eastAsia="黑体"/>
          <w:sz w:val="24"/>
          <w:highlight w:val="none"/>
        </w:rPr>
      </w:pPr>
      <w:r>
        <w:rPr>
          <w:rFonts w:hint="eastAsia" w:ascii="黑体" w:hAnsi="黑体" w:eastAsia="黑体"/>
          <w:sz w:val="24"/>
          <w:highlight w:val="none"/>
        </w:rPr>
        <w:t xml:space="preserve">有下列情形之一的，属于恶意串通投标：</w:t>
      </w:r>
      <w:r>
        <w:rPr>
          <w:rFonts w:ascii="黑体" w:hAnsi="黑体" w:eastAsia="黑体"/>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21.1投标人直接或间接从采购人或采购代理机构处获得其他投标人的投标情况，并修改其投标文件；</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21.2评审活动开始前投标人直接或间接从采购人或采购代理机构处获得评标委员会组成人员情况；</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21.3投标人接受采购人或采购代理机构授意撤换、修改投标文件；</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21.4投标人之间协商投标报价、技术方案等投标文件实质性内容；</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21.5属于同一集团、协会、商会等组织成员的投标人按照该组织要求协同投标；</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21.6投标人之间事先约定由某一特定投标人中标、成交；</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21.7投标人之间商定部分投标人放弃投标或者放弃中标、成交；</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21.8投标人与采购人或采购代理机构之间、投标人相互之间为谋求特定投标人中标成交或者排斥其他投标人的其他串通行为；</w:t>
      </w:r>
      <w:r>
        <w:rPr>
          <w:rFonts w:hint="eastAsia" w:ascii="Times New Roman" w:hAnsi="Times New Roman" w:cs="仿宋"/>
          <w:sz w:val="24"/>
          <w:highlight w:val="none"/>
        </w:rPr>
      </w:r>
      <w:r/>
    </w:p>
    <w:p>
      <w:pPr>
        <w:pStyle w:val="783"/>
        <w:ind w:firstLine="482"/>
        <w:spacing w:line="500" w:lineRule="exact"/>
        <w:rPr>
          <w:rFonts w:ascii="黑体" w:hAnsi="黑体" w:eastAsia="黑体"/>
          <w:sz w:val="24"/>
          <w:highlight w:val="none"/>
        </w:rPr>
      </w:pPr>
      <w:r>
        <w:rPr>
          <w:rFonts w:hint="eastAsia" w:ascii="黑体" w:hAnsi="黑体" w:eastAsia="黑体"/>
          <w:sz w:val="24"/>
          <w:highlight w:val="none"/>
        </w:rPr>
        <w:t xml:space="preserve">有下列情形之一的，视为投标人串通投标，其投标无效：</w:t>
      </w:r>
      <w:r>
        <w:rPr>
          <w:rFonts w:ascii="黑体" w:hAnsi="黑体" w:eastAsia="黑体"/>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21.9不同投标人的投标文件由同一单位或者个人编制；</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21.10不同投标人委托同一单位或者个人办理投标事宜；</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21.11不同投标人的投标文件载明的项目管理成员或者联系人员为同一人；</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21.12不同投标人的投标文件异常一致或者投标报价呈规律性差异；</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21.13不同投标人的投标文件相互混装；</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21.14不同投标人的投标保证金从同一单位或者个人的账户转出。</w:t>
      </w:r>
      <w:r>
        <w:rPr>
          <w:rFonts w:hint="eastAsia" w:ascii="Times New Roman" w:hAnsi="Times New Roman" w:cs="仿宋"/>
          <w:sz w:val="24"/>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22、</w:t>
      </w:r>
      <w:bookmarkStart w:id="98" w:name="OLE_LINK4"/>
      <w:r>
        <w:rPr>
          <w:rFonts w:hint="eastAsia" w:ascii="Times New Roman" w:hAnsi="Times New Roman" w:cs="仿宋"/>
          <w:b/>
          <w:sz w:val="24"/>
          <w:highlight w:val="none"/>
        </w:rPr>
        <w:t xml:space="preserve">取消中标候选人资格情形</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bookmarkEnd w:id="98"/>
      <w:r>
        <w:rPr>
          <w:rFonts w:hint="eastAsia" w:ascii="Times New Roman" w:hAnsi="Times New Roman" w:cs="仿宋"/>
          <w:sz w:val="24"/>
          <w:highlight w:val="none"/>
        </w:rPr>
        <w:t xml:space="preserve">22.1提供虚假材料谋取中标的；</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22.2采取不正当手段诋毁、排挤其他投标人的；</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22.3与采购人、其他投标人或者采购代理机构恶意串通的；</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22.4向采购人、采购代理机构行贿或者提供其他不正当利益的；</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22.5未在规定时间内与采购人签订采购合同的；</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22.6法律、法规规定的其它情况。</w:t>
      </w:r>
      <w:bookmarkStart w:id="99" w:name="_Toc6494"/>
      <w:r/>
      <w:bookmarkStart w:id="100" w:name="_Toc81575198"/>
      <w:r/>
      <w:bookmarkStart w:id="101" w:name="_Toc2391"/>
      <w:r/>
      <w:bookmarkStart w:id="102" w:name="_Toc81575161"/>
      <w:r>
        <w:rPr>
          <w:rFonts w:hint="eastAsia" w:ascii="Times New Roman" w:hAnsi="Times New Roman" w:cs="仿宋"/>
          <w:sz w:val="24"/>
          <w:highlight w:val="none"/>
        </w:rPr>
      </w:r>
      <w:r/>
    </w:p>
    <w:p>
      <w:pPr>
        <w:pStyle w:val="783"/>
        <w:ind w:firstLine="321"/>
        <w:spacing w:line="480" w:lineRule="exact"/>
        <w:rPr>
          <w:rFonts w:hint="eastAsia" w:ascii="Arial" w:hAnsi="Arial" w:cs="Arial"/>
          <w:b/>
          <w:bCs/>
          <w:sz w:val="32"/>
          <w:highlight w:val="none"/>
        </w:rPr>
        <w:outlineLvl w:val="1"/>
      </w:pPr>
      <w:r>
        <w:rPr>
          <w:rFonts w:hint="eastAsia" w:ascii="Arial" w:hAnsi="Arial" w:cs="Arial"/>
          <w:b/>
          <w:bCs/>
          <w:sz w:val="32"/>
          <w:highlight w:val="none"/>
        </w:rPr>
        <w:t xml:space="preserve">七、中标及合同签订</w:t>
      </w:r>
      <w:bookmarkEnd w:id="99"/>
      <w:r/>
      <w:bookmarkEnd w:id="100"/>
      <w:r/>
      <w:bookmarkEnd w:id="101"/>
      <w:r/>
      <w:bookmarkEnd w:id="102"/>
      <w:r>
        <w:rPr>
          <w:rFonts w:hint="eastAsia" w:ascii="Arial" w:hAnsi="Arial" w:cs="Arial"/>
          <w:b/>
          <w:bCs/>
          <w:sz w:val="32"/>
          <w:highlight w:val="none"/>
        </w:rPr>
      </w:r>
      <w:r/>
    </w:p>
    <w:p>
      <w:pPr>
        <w:pStyle w:val="783"/>
        <w:ind w:firstLine="482"/>
        <w:spacing w:line="50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23、确定中标人</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23.1采购人应当自收到评审报告之日起5个工作日内在评审报告推荐的中标候选人中按顺序确定中标人。</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23.2中标人确定之日起2个工作日内，采购人、采购代理机构将发布中标结果，中标公告的公告期限为1个工作日。</w:t>
      </w:r>
      <w:r>
        <w:rPr>
          <w:rFonts w:hint="eastAsia" w:ascii="Times New Roman" w:hAnsi="Times New Roman" w:cs="仿宋"/>
          <w:sz w:val="24"/>
          <w:highlight w:val="none"/>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23.3采购人确定正被列为失信被执行人的投标人为中标人的，中标结果无效。</w:t>
      </w:r>
      <w:r>
        <w:rPr>
          <w:rFonts w:ascii="Times New Roman" w:hAnsi="Times New Roman" w:cs="仿宋"/>
          <w:sz w:val="24"/>
          <w:highlight w:val="none"/>
        </w:rPr>
      </w:r>
      <w:r/>
    </w:p>
    <w:p>
      <w:pPr>
        <w:pStyle w:val="783"/>
        <w:ind w:firstLine="482"/>
        <w:spacing w:line="50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24、中标通知书</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24.1在公告中标结果的同时，采购代理机构将向中标人发出中标通知书。</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24.2中标通知书发出后，采购人改变中标结果的，或者中标人放弃中标项目的，应当依法承担法律责任。</w:t>
      </w:r>
      <w:bookmarkStart w:id="103" w:name="OLE_LINK5"/>
      <w:r>
        <w:rPr>
          <w:rFonts w:hint="eastAsia" w:ascii="Times New Roman" w:hAnsi="Times New Roman" w:cs="仿宋"/>
          <w:sz w:val="24"/>
          <w:highlight w:val="none"/>
        </w:rPr>
      </w:r>
      <w:r/>
    </w:p>
    <w:p>
      <w:pPr>
        <w:pStyle w:val="783"/>
        <w:ind w:firstLine="482"/>
        <w:spacing w:line="500" w:lineRule="exact"/>
        <w:rPr>
          <w:rFonts w:hint="eastAsia" w:ascii="Times New Roman" w:hAnsi="Times New Roman" w:cs="仿宋"/>
          <w:b/>
          <w:sz w:val="24"/>
          <w:highlight w:val="none"/>
        </w:rPr>
      </w:pPr>
      <w:r/>
      <w:bookmarkEnd w:id="103"/>
      <w:r>
        <w:rPr>
          <w:rFonts w:hint="eastAsia" w:ascii="Times New Roman" w:hAnsi="Times New Roman" w:cs="仿宋"/>
          <w:b/>
          <w:sz w:val="24"/>
          <w:highlight w:val="none"/>
        </w:rPr>
        <w:t xml:space="preserve">25、授予合同</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25.1采购人与中标人应当在中标通知书发出之日起15日内签订政府采购合同。招标文件、中标人的投标文件以及评标过程中有关澄清文件均作为合同附件。</w:t>
      </w:r>
      <w:r>
        <w:rPr>
          <w:rFonts w:hint="eastAsia" w:ascii="Times New Roman" w:hAnsi="Times New Roman" w:cs="仿宋"/>
          <w:sz w:val="24"/>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26、履约保证金</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lang w:val="zh-CN"/>
        </w:rPr>
      </w:pPr>
      <w:r>
        <w:rPr>
          <w:rFonts w:hint="eastAsia" w:ascii="Times New Roman" w:hAnsi="Times New Roman" w:cs="仿宋"/>
          <w:sz w:val="24"/>
          <w:highlight w:val="none"/>
          <w:lang w:val="zh-CN"/>
        </w:rPr>
        <w:t xml:space="preserve">按照以下第</w:t>
      </w:r>
      <w:r>
        <w:rPr>
          <w:rFonts w:hint="eastAsia" w:ascii="Times New Roman" w:hAnsi="Times New Roman" w:cs="仿宋"/>
          <w:sz w:val="24"/>
          <w:highlight w:val="none"/>
          <w:u w:val="single"/>
        </w:rPr>
        <w:t xml:space="preserve">（1）</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rPr>
          <w:rFonts w:hint="eastAsia" w:ascii="Times New Roman" w:hAnsi="Times New Roman" w:cs="仿宋"/>
          <w:sz w:val="24"/>
          <w:highlight w:val="none"/>
          <w:lang w:val="zh-CN"/>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（1）本项目不收取履约保证金。</w:t>
      </w:r>
      <w:r>
        <w:rPr>
          <w:rFonts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（2）本项目收取履约保证金。</w:t>
      </w:r>
      <w:r>
        <w:rPr>
          <w:rFonts w:hint="eastAsia" w:ascii="Times New Roman" w:hAnsi="Times New Roman" w:cs="仿宋"/>
          <w:sz w:val="24"/>
          <w:highlight w:val="none"/>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26.1履约保证金提交形式</w:t>
      </w:r>
      <w:r>
        <w:rPr>
          <w:rFonts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rPr>
          <w:rFonts w:hint="eastAsia" w:ascii="Times New Roman" w:hAnsi="Times New Roman" w:cs="仿宋"/>
          <w:sz w:val="24"/>
          <w:highlight w:val="none"/>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26.2履约保证金提交金额</w:t>
      </w:r>
      <w:r>
        <w:rPr>
          <w:rFonts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按采购合同总价的</w:t>
      </w:r>
      <w:r>
        <w:rPr>
          <w:rFonts w:hint="eastAsia" w:ascii="Times New Roman" w:hAnsi="Times New Roman" w:cs="仿宋"/>
          <w:sz w:val="24"/>
          <w:highlight w:val="none"/>
          <w:u w:val="single"/>
        </w:rPr>
        <w:t xml:space="preserve"> / </w:t>
      </w:r>
      <w:r>
        <w:rPr>
          <w:rFonts w:hint="eastAsia" w:ascii="Times New Roman" w:hAnsi="Times New Roman" w:cs="仿宋"/>
          <w:sz w:val="24"/>
          <w:highlight w:val="none"/>
        </w:rPr>
        <w:t xml:space="preserve">%提交。</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rPr>
        <w:t xml:space="preserve"> %（履约保证金原提交金额的6折）提交。办理流程、偿付等内容见江苏政府采购网“保险保函”模块。</w:t>
      </w:r>
      <w:r>
        <w:rPr>
          <w:rFonts w:hint="eastAsia" w:ascii="Times New Roman" w:hAnsi="Times New Roman" w:cs="仿宋"/>
          <w:sz w:val="24"/>
          <w:highlight w:val="none"/>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26.3履约保证金退还方式</w:t>
      </w:r>
      <w:r>
        <w:rPr>
          <w:rFonts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Times New Roman" w:hAnsi="Times New Roman" w:cs="仿宋"/>
          <w:sz w:val="24"/>
          <w:highlight w:val="none"/>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26.4履约保证金退还条件</w:t>
      </w:r>
      <w:r>
        <w:rPr>
          <w:rFonts w:ascii="Times New Roman" w:hAnsi="Times New Roman" w:cs="仿宋"/>
          <w:sz w:val="24"/>
          <w:highlight w:val="none"/>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具有验收合格相关证明材料。</w:t>
      </w:r>
      <w:r>
        <w:rPr>
          <w:rFonts w:ascii="Times New Roman" w:hAnsi="Times New Roman" w:cs="仿宋"/>
          <w:sz w:val="24"/>
          <w:highlight w:val="none"/>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26.5履约保证金退还时间</w:t>
      </w:r>
      <w:r>
        <w:rPr>
          <w:rFonts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采购人收到投标人退付申请后5个工作日内退还。</w:t>
      </w:r>
      <w:r>
        <w:rPr>
          <w:rFonts w:hint="eastAsia" w:ascii="Times New Roman" w:hAnsi="Times New Roman" w:cs="仿宋"/>
          <w:sz w:val="24"/>
          <w:highlight w:val="none"/>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26.6履约保证金不予退还情形</w:t>
      </w:r>
      <w:r>
        <w:rPr>
          <w:rFonts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除不可抗力外，中标人不履行与采购人订立的采购合同的，履约保证金不予退还，给采购人造成的损失超过履约保证金数额的，还应对超过部分予以赔偿。</w:t>
      </w:r>
      <w:r>
        <w:rPr>
          <w:rFonts w:hint="eastAsia" w:ascii="Times New Roman" w:hAnsi="Times New Roman" w:cs="仿宋"/>
          <w:sz w:val="24"/>
          <w:highlight w:val="none"/>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26.7逾期退还履约保证金违约责任</w:t>
      </w:r>
      <w:r>
        <w:rPr>
          <w:rFonts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rPr>
          <w:rFonts w:hint="eastAsia" w:ascii="Times New Roman" w:hAnsi="Times New Roman" w:cs="仿宋"/>
          <w:sz w:val="24"/>
          <w:highlight w:val="none"/>
        </w:rPr>
      </w:r>
      <w:r/>
    </w:p>
    <w:p>
      <w:pPr>
        <w:pStyle w:val="783"/>
        <w:ind w:firstLine="482"/>
        <w:spacing w:line="480" w:lineRule="exact"/>
        <w:rPr>
          <w:rFonts w:hint="eastAsia" w:ascii="Times New Roman" w:hAnsi="Times New Roman" w:cs="仿宋"/>
          <w:sz w:val="24"/>
          <w:highlight w:val="none"/>
        </w:rPr>
      </w:pPr>
      <w:r>
        <w:rPr>
          <w:rFonts w:hint="eastAsia" w:ascii="Times New Roman" w:hAnsi="Times New Roman" w:cs="仿宋"/>
          <w:b/>
          <w:sz w:val="24"/>
          <w:highlight w:val="none"/>
        </w:rPr>
        <w:t xml:space="preserve">27、合同履行</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27.1政府采购合同订立后，合同各方不得擅自变更、中止或者终止合同。</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27.2政府采购合同履行中，采购人需追加与合同标的相同的货物、工程或者服务的，在不改变合同其他条款的前提下，可以与中标人签订补充合同，但所补充合同的采购金额不得超过原采购金额的10%。</w:t>
      </w:r>
      <w:r>
        <w:rPr>
          <w:rFonts w:hint="eastAsia" w:ascii="Times New Roman" w:hAnsi="Times New Roman" w:cs="仿宋"/>
          <w:sz w:val="24"/>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28、线上融资</w:t>
      </w:r>
      <w:r>
        <w:rPr>
          <w:rFonts w:hint="eastAsia" w:ascii="Times New Roman" w:hAnsi="Times New Roman" w:cs="仿宋"/>
          <w:b/>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中标人可凭政府采购合同办理融资贷款，详情见江苏政府采购网“政采贷”专栏。</w:t>
      </w:r>
      <w:r>
        <w:rPr>
          <w:rFonts w:hint="eastAsia" w:ascii="Times New Roman" w:hAnsi="Times New Roman" w:cs="仿宋"/>
          <w:sz w:val="24"/>
          <w:highlight w:val="none"/>
        </w:rPr>
      </w:r>
      <w:r/>
    </w:p>
    <w:p>
      <w:pPr>
        <w:pStyle w:val="874"/>
        <w:ind w:firstLine="0"/>
        <w:rPr>
          <w:rFonts w:ascii="Times New Roman" w:cs="仿宋"/>
          <w:sz w:val="24"/>
          <w:szCs w:val="22"/>
          <w:highlight w:val="none"/>
        </w:rPr>
      </w:pPr>
      <w:r>
        <w:rPr>
          <w:rFonts w:ascii="Times New Roman" w:cs="仿宋"/>
          <w:sz w:val="24"/>
          <w:szCs w:val="22"/>
          <w:highlight w:val="none"/>
        </w:rPr>
      </w:r>
      <w:r/>
    </w:p>
    <w:p>
      <w:pPr>
        <w:pStyle w:val="785"/>
        <w:spacing w:before="0" w:after="0" w:line="520" w:lineRule="exact"/>
        <w:rPr>
          <w:rFonts w:hint="eastAsia" w:eastAsia="宋体" w:cs="Arial"/>
          <w:bCs/>
          <w:szCs w:val="22"/>
          <w:highlight w:val="none"/>
        </w:rPr>
      </w:pPr>
      <w:r/>
      <w:bookmarkStart w:id="104" w:name="_Toc81575162"/>
      <w:r/>
      <w:bookmarkStart w:id="105" w:name="_Toc22084"/>
      <w:r/>
      <w:bookmarkStart w:id="106" w:name="_Toc7550"/>
      <w:r/>
      <w:bookmarkStart w:id="107" w:name="_Toc81575199"/>
      <w:r>
        <w:rPr>
          <w:rFonts w:hint="eastAsia" w:eastAsia="宋体" w:cs="Arial"/>
          <w:bCs/>
          <w:szCs w:val="22"/>
          <w:highlight w:val="none"/>
        </w:rPr>
        <w:t xml:space="preserve">八、</w:t>
      </w:r>
      <w:bookmarkEnd w:id="104"/>
      <w:r/>
      <w:bookmarkEnd w:id="105"/>
      <w:r/>
      <w:bookmarkEnd w:id="106"/>
      <w:r/>
      <w:bookmarkEnd w:id="107"/>
      <w:r/>
      <w:bookmarkStart w:id="108" w:name="_Toc81575200"/>
      <w:r/>
      <w:bookmarkStart w:id="109" w:name="_Toc81575163"/>
      <w:r/>
      <w:bookmarkStart w:id="110" w:name="_Toc12263"/>
      <w:r/>
      <w:bookmarkStart w:id="111" w:name="_Toc31888"/>
      <w:r>
        <w:rPr>
          <w:rFonts w:hint="eastAsia" w:eastAsia="宋体" w:cs="Arial"/>
          <w:bCs/>
          <w:szCs w:val="22"/>
          <w:highlight w:val="none"/>
        </w:rPr>
        <w:t xml:space="preserve">质疑与投诉</w:t>
      </w:r>
      <w:bookmarkEnd w:id="108"/>
      <w:r/>
      <w:bookmarkEnd w:id="109"/>
      <w:r/>
      <w:bookmarkEnd w:id="110"/>
      <w:r/>
      <w:bookmarkEnd w:id="111"/>
      <w:r>
        <w:rPr>
          <w:rFonts w:hint="eastAsia" w:eastAsia="宋体" w:cs="Arial"/>
          <w:bCs/>
          <w:szCs w:val="22"/>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29、质疑</w:t>
      </w:r>
      <w:r>
        <w:rPr>
          <w:rFonts w:hint="eastAsia" w:ascii="Times New Roman" w:hAnsi="Times New Roman" w:cs="仿宋"/>
          <w:b/>
          <w:sz w:val="24"/>
          <w:highlight w:val="none"/>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29.1投标人认为采购文件、采购过程和中标结果使自己的权益受到损害的，可以在知道或者应知其权益受到损害之日起七个工作日内，</w:t>
      </w:r>
      <w:bookmarkStart w:id="112" w:name="OLE_LINK2"/>
      <w:r>
        <w:rPr>
          <w:rFonts w:hint="eastAsia" w:ascii="Times New Roman" w:hAnsi="Times New Roman" w:cs="仿宋"/>
          <w:sz w:val="24"/>
          <w:highlight w:val="none"/>
        </w:rPr>
        <w:t xml:space="preserve">向采购人提出质疑</w:t>
      </w:r>
      <w:bookmarkEnd w:id="112"/>
      <w:r>
        <w:rPr>
          <w:rFonts w:hint="eastAsia" w:ascii="Times New Roman" w:hAnsi="Times New Roman" w:cs="仿宋"/>
          <w:sz w:val="24"/>
          <w:highlight w:val="none"/>
        </w:rPr>
        <w:t xml:space="preserve">。</w:t>
      </w:r>
      <w:bookmarkStart w:id="113" w:name="OLE_LINK1"/>
      <w:r>
        <w:rPr>
          <w:rFonts w:hint="eastAsia" w:ascii="Times New Roman" w:hAnsi="Times New Roman" w:cs="仿宋"/>
          <w:sz w:val="24"/>
          <w:highlight w:val="none"/>
        </w:rPr>
        <w:t xml:space="preserve">质疑联系部门、联系电话、通讯地址详见采购公告。</w:t>
      </w:r>
      <w:bookmarkEnd w:id="113"/>
      <w:r>
        <w:rPr>
          <w:rFonts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29.2投标人应知其权益受到损害之日，是指：</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（1）对本项目采购文件提出质疑的，为获取采购文件之日或者采购文件公告期限届满之日；</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（2）对本项目采购过程提出质疑的，为各采购程序环节结束之日；</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（3）对本项目中标结果提出质疑的，为中标结果公告期限届满之日。</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29.4投标人提出质疑应当提交质疑函和必要的证明材料。质疑函的必备内容：</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（1）投标人的姓名或者名称、地址、邮编、联系人及联系电话；</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（2）质疑项目的名称、编号；</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（3）获取采购文件的时间；</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（4）具体、明确的质疑事项和质疑事项相关的请求；</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（5）事实依据；</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（6）必要的法律依据；</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（7）提出质疑的日期；</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（8）投标人为自然人的，由本人签字；投标人为法人或者其他组织的，应当由法定代表人、主要负责人，或者其授权代表签字或者盖章，并加盖公章；</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rPr>
          <w:rFonts w:hint="eastAsia" w:ascii="Times New Roman" w:hAnsi="Times New Roman" w:cs="仿宋"/>
          <w:sz w:val="24"/>
          <w:highlight w:val="none"/>
        </w:rPr>
      </w:r>
      <w:r/>
    </w:p>
    <w:p>
      <w:pPr>
        <w:pStyle w:val="783"/>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29.5采购人在收到质疑函后7个工作日内作出答复，并以书面形式通知质疑投标人和其他有关投标人，但质疑答复的内容不涉及商业秘密。</w:t>
      </w:r>
      <w:r>
        <w:rPr>
          <w:rFonts w:hint="eastAsia" w:ascii="Times New Roman" w:hAnsi="Times New Roman" w:cs="仿宋"/>
          <w:sz w:val="24"/>
          <w:highlight w:val="none"/>
        </w:rPr>
      </w:r>
      <w:r/>
    </w:p>
    <w:p>
      <w:pPr>
        <w:pStyle w:val="783"/>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30、投诉</w:t>
      </w:r>
      <w:r>
        <w:rPr>
          <w:rFonts w:hint="eastAsia" w:ascii="Times New Roman" w:hAnsi="Times New Roman" w:cs="仿宋"/>
          <w:b/>
          <w:sz w:val="24"/>
          <w:highlight w:val="none"/>
        </w:rPr>
      </w:r>
      <w:r/>
    </w:p>
    <w:p>
      <w:pPr>
        <w:pStyle w:val="783"/>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质疑投标人对答复不满意或采购人、采购代理机构未在规定时间内作出答复的，可在答复期满后15个工作日内向同级财政部门提起投诉。</w:t>
      </w:r>
      <w:r>
        <w:rPr>
          <w:rFonts w:ascii="Times New Roman" w:hAnsi="Times New Roman" w:cs="仿宋"/>
          <w:sz w:val="24"/>
          <w:highlight w:val="none"/>
        </w:rPr>
      </w:r>
      <w:r/>
    </w:p>
    <w:p>
      <w:pPr>
        <w:pStyle w:val="784"/>
        <w:jc w:val="center"/>
        <w:spacing w:before="200"/>
        <w:rPr>
          <w:highlight w:val="none"/>
        </w:rPr>
      </w:pPr>
      <w:r>
        <w:rPr>
          <w:rFonts w:hint="eastAsia"/>
          <w:highlight w:val="none"/>
        </w:rPr>
        <w:br w:type="page" w:clear="all"/>
      </w:r>
      <w:bookmarkStart w:id="114" w:name="_Toc17996"/>
      <w:r>
        <w:rPr>
          <w:rFonts w:hint="eastAsia" w:ascii="Calibri" w:hAnsi="Calibri" w:eastAsia="宋体" w:cs="Times New Roman"/>
          <w:b/>
          <w:sz w:val="44"/>
          <w:szCs w:val="44"/>
          <w:highlight w:val="none"/>
        </w:rPr>
        <w:t xml:space="preserve">第三章  资格审查及评标</w:t>
      </w:r>
      <w:bookmarkEnd w:id="114"/>
      <w:r>
        <w:rPr>
          <w:rFonts w:hint="eastAsia" w:ascii="Calibri" w:hAnsi="Calibri" w:eastAsia="宋体" w:cs="Times New Roman"/>
          <w:b/>
          <w:sz w:val="44"/>
          <w:szCs w:val="44"/>
          <w:highlight w:val="none"/>
        </w:rPr>
        <w:t xml:space="preserve">方法</w:t>
      </w:r>
      <w:r>
        <w:rPr>
          <w:highlight w:val="none"/>
        </w:rPr>
      </w:r>
      <w:r/>
    </w:p>
    <w:p>
      <w:pPr>
        <w:pStyle w:val="783"/>
        <w:ind w:firstLine="482"/>
        <w:jc w:val="left"/>
        <w:spacing w:line="480" w:lineRule="exact"/>
        <w:rPr>
          <w:rFonts w:ascii="Times New Roman" w:hAnsi="Times New Roman" w:cs="仿宋"/>
          <w:b/>
          <w:bCs/>
          <w:sz w:val="24"/>
          <w:highlight w:val="none"/>
        </w:rPr>
      </w:pPr>
      <w:r>
        <w:rPr>
          <w:rFonts w:hint="eastAsia" w:ascii="Times New Roman" w:hAnsi="Times New Roman" w:cs="仿宋"/>
          <w:b/>
          <w:bCs/>
          <w:sz w:val="24"/>
          <w:highlight w:val="none"/>
        </w:rPr>
        <w:t xml:space="preserve">一、资格审查</w:t>
      </w:r>
      <w:r>
        <w:rPr>
          <w:rFonts w:ascii="Times New Roman" w:hAnsi="Times New Roman" w:cs="仿宋"/>
          <w:b/>
          <w:bCs/>
          <w:sz w:val="24"/>
          <w:highlight w:val="none"/>
        </w:rPr>
      </w:r>
      <w:r/>
    </w:p>
    <w:p>
      <w:pPr>
        <w:pStyle w:val="783"/>
        <w:ind w:firstLine="480"/>
        <w:jc w:val="left"/>
        <w:spacing w:line="480" w:lineRule="exact"/>
        <w:rPr>
          <w:rFonts w:hint="eastAsia" w:ascii="Times New Roman" w:hAnsi="Times New Roman" w:cs="仿宋"/>
          <w:sz w:val="24"/>
          <w:highlight w:val="none"/>
        </w:rPr>
      </w:pPr>
      <w:r>
        <w:rPr>
          <w:rFonts w:hint="eastAsia"/>
          <w:sz w:val="24"/>
          <w:szCs w:val="28"/>
          <w:highlight w:val="none"/>
        </w:rPr>
        <w:t xml:space="preserve">资格审查人员按照下列指标对各投标人的资格进行审查，未通过审查的为无效标，不参与评标。</w:t>
      </w:r>
      <w:r>
        <w:rPr>
          <w:rFonts w:hint="eastAsia" w:ascii="Times New Roman" w:hAnsi="Times New Roman" w:cs="仿宋"/>
          <w:sz w:val="24"/>
          <w:highlight w:val="none"/>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783"/>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资格审查因素</w:t>
            </w:r>
            <w:r>
              <w:rPr>
                <w:rFonts w:hint="eastAsia" w:ascii="Times New Roman" w:hAnsi="Times New Roman" w:cs="仿宋"/>
                <w:highlight w:val="none"/>
              </w:rPr>
            </w:r>
            <w:r/>
          </w:p>
        </w:tc>
        <w:tc>
          <w:tcPr>
            <w:tcW w:w="4246" w:type="dxa"/>
            <w:vAlign w:val="center"/>
            <w:textDirection w:val="lrTb"/>
            <w:noWrap w:val="false"/>
          </w:tcPr>
          <w:p>
            <w:pPr>
              <w:pStyle w:val="783"/>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审查标准</w:t>
            </w:r>
            <w:r>
              <w:rPr>
                <w:rFonts w:hint="eastAsia" w:ascii="Times New Roman" w:hAnsi="Times New Roman" w:cs="仿宋"/>
                <w:highlight w:val="none"/>
              </w:rPr>
            </w:r>
            <w:r/>
          </w:p>
        </w:tc>
      </w:tr>
      <w:tr>
        <w:trPr/>
        <w:tc>
          <w:tcPr>
            <w:tcW w:w="4422" w:type="dxa"/>
            <w:vAlign w:val="center"/>
            <w:textDirection w:val="lrTb"/>
            <w:noWrap w:val="false"/>
          </w:tcPr>
          <w:p>
            <w:pPr>
              <w:pStyle w:val="783"/>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投标声明及承诺函</w:t>
            </w:r>
            <w:r>
              <w:rPr>
                <w:rFonts w:hint="eastAsia" w:ascii="Times New Roman" w:hAnsi="Times New Roman" w:cs="仿宋"/>
                <w:highlight w:val="none"/>
              </w:rPr>
            </w:r>
            <w:r/>
          </w:p>
        </w:tc>
        <w:tc>
          <w:tcPr>
            <w:tcW w:w="4246" w:type="dxa"/>
            <w:vAlign w:val="center"/>
            <w:textDirection w:val="lrTb"/>
            <w:noWrap w:val="false"/>
          </w:tcPr>
          <w:p>
            <w:pPr>
              <w:pStyle w:val="783"/>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422" w:type="dxa"/>
            <w:vAlign w:val="center"/>
            <w:textDirection w:val="lrTb"/>
            <w:noWrap w:val="false"/>
          </w:tcPr>
          <w:p>
            <w:pPr>
              <w:pStyle w:val="783"/>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信用信息</w:t>
            </w:r>
            <w:r>
              <w:rPr>
                <w:rFonts w:hint="eastAsia" w:ascii="Times New Roman" w:hAnsi="Times New Roman" w:cs="仿宋"/>
                <w:highlight w:val="none"/>
              </w:rPr>
            </w:r>
            <w:r/>
          </w:p>
        </w:tc>
        <w:tc>
          <w:tcPr>
            <w:tcW w:w="4246" w:type="dxa"/>
            <w:vAlign w:val="center"/>
            <w:textDirection w:val="lrTb"/>
            <w:noWrap w:val="false"/>
          </w:tcPr>
          <w:p>
            <w:pPr>
              <w:pStyle w:val="783"/>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bl>
    <w:p>
      <w:pPr>
        <w:pStyle w:val="783"/>
        <w:ind w:firstLine="482"/>
        <w:jc w:val="left"/>
        <w:spacing w:line="480" w:lineRule="exact"/>
        <w:rPr>
          <w:rFonts w:ascii="Times New Roman" w:hAnsi="Times New Roman" w:cs="仿宋"/>
          <w:b/>
          <w:bCs/>
          <w:sz w:val="24"/>
          <w:highlight w:val="none"/>
        </w:rPr>
      </w:pPr>
      <w:r>
        <w:rPr>
          <w:rFonts w:hint="eastAsia" w:ascii="Times New Roman" w:hAnsi="Times New Roman" w:cs="仿宋"/>
          <w:b/>
          <w:bCs/>
          <w:sz w:val="24"/>
          <w:highlight w:val="none"/>
        </w:rPr>
        <w:t xml:space="preserve">二、符合性审查</w:t>
      </w:r>
      <w:r>
        <w:rPr>
          <w:rFonts w:ascii="Times New Roman" w:hAnsi="Times New Roman" w:cs="仿宋"/>
          <w:b/>
          <w:bCs/>
          <w:sz w:val="24"/>
          <w:highlight w:val="none"/>
        </w:rPr>
      </w:r>
      <w:r/>
    </w:p>
    <w:p>
      <w:pPr>
        <w:pStyle w:val="783"/>
        <w:ind w:firstLine="480"/>
        <w:jc w:val="left"/>
        <w:spacing w:line="480" w:lineRule="exact"/>
        <w:rPr>
          <w:rFonts w:ascii="方正仿宋_GBK" w:eastAsia="方正仿宋_GBK"/>
          <w:sz w:val="24"/>
          <w:highlight w:val="none"/>
        </w:rPr>
      </w:pPr>
      <w:r>
        <w:rPr>
          <w:rFonts w:hint="eastAsia"/>
          <w:sz w:val="24"/>
          <w:szCs w:val="28"/>
          <w:highlight w:val="none"/>
        </w:rPr>
        <w:t xml:space="preserve">评标委员会对符合资格的投标人的投标文件进行符合性审查，未通过审查的为无效标，不再参与评审。</w:t>
      </w:r>
      <w:r>
        <w:rPr>
          <w:rFonts w:ascii="方正仿宋_GBK" w:eastAsia="方正仿宋_GBK"/>
          <w:sz w:val="24"/>
          <w:highlight w:val="none"/>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783"/>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符合性审查因素</w:t>
            </w:r>
            <w:r>
              <w:rPr>
                <w:rFonts w:hint="eastAsia" w:ascii="Times New Roman" w:hAnsi="Times New Roman" w:cs="仿宋"/>
                <w:highlight w:val="none"/>
              </w:rPr>
            </w:r>
            <w:r/>
          </w:p>
        </w:tc>
        <w:tc>
          <w:tcPr>
            <w:tcW w:w="4304" w:type="dxa"/>
            <w:vAlign w:val="center"/>
            <w:textDirection w:val="lrTb"/>
            <w:noWrap w:val="false"/>
          </w:tcPr>
          <w:p>
            <w:pPr>
              <w:pStyle w:val="783"/>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审查标准</w:t>
            </w:r>
            <w:r>
              <w:rPr>
                <w:rFonts w:hint="eastAsia" w:ascii="Times New Roman" w:hAnsi="Times New Roman" w:cs="仿宋"/>
                <w:highlight w:val="none"/>
              </w:rPr>
            </w:r>
            <w:r/>
          </w:p>
        </w:tc>
      </w:tr>
      <w:tr>
        <w:trPr/>
        <w:tc>
          <w:tcPr>
            <w:tcW w:w="4364" w:type="dxa"/>
            <w:vAlign w:val="center"/>
            <w:textDirection w:val="lrTb"/>
            <w:noWrap w:val="false"/>
          </w:tcPr>
          <w:p>
            <w:pPr>
              <w:pStyle w:val="783"/>
              <w:jc w:val="center"/>
              <w:spacing w:line="480" w:lineRule="exact"/>
              <w:rPr>
                <w:rFonts w:ascii="Times New Roman" w:hAnsi="Times New Roman" w:cs="仿宋"/>
                <w:highlight w:val="none"/>
              </w:rPr>
            </w:pPr>
            <w:r>
              <w:rPr>
                <w:rFonts w:hint="eastAsia" w:ascii="Times New Roman" w:hAnsi="Times New Roman" w:cs="仿宋"/>
                <w:highlight w:val="none"/>
              </w:rPr>
              <w:t xml:space="preserve">法人授权书</w:t>
            </w:r>
            <w:r>
              <w:rPr>
                <w:rFonts w:ascii="Times New Roman" w:hAnsi="Times New Roman" w:cs="仿宋"/>
                <w:highlight w:val="none"/>
              </w:rPr>
            </w:r>
            <w:r/>
          </w:p>
        </w:tc>
        <w:tc>
          <w:tcPr>
            <w:tcW w:w="4304" w:type="dxa"/>
            <w:vAlign w:val="center"/>
            <w:textDirection w:val="lrTb"/>
            <w:noWrap w:val="false"/>
          </w:tcPr>
          <w:p>
            <w:pPr>
              <w:pStyle w:val="783"/>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364" w:type="dxa"/>
            <w:vAlign w:val="center"/>
            <w:textDirection w:val="lrTb"/>
            <w:noWrap w:val="false"/>
          </w:tcPr>
          <w:p>
            <w:pPr>
              <w:pStyle w:val="783"/>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其他</w:t>
            </w:r>
            <w:r>
              <w:rPr>
                <w:rFonts w:hint="eastAsia" w:ascii="Times New Roman" w:hAnsi="Times New Roman" w:cs="仿宋"/>
                <w:highlight w:val="none"/>
              </w:rPr>
            </w:r>
            <w:r/>
          </w:p>
        </w:tc>
        <w:tc>
          <w:tcPr>
            <w:tcW w:w="4304" w:type="dxa"/>
            <w:vAlign w:val="center"/>
            <w:textDirection w:val="lrTb"/>
            <w:noWrap w:val="false"/>
          </w:tcPr>
          <w:p>
            <w:pPr>
              <w:pStyle w:val="783"/>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bl>
    <w:p>
      <w:pPr>
        <w:pStyle w:val="783"/>
        <w:ind w:firstLine="482"/>
        <w:jc w:val="left"/>
        <w:spacing w:line="480" w:lineRule="exact"/>
        <w:rPr>
          <w:rFonts w:ascii="Times New Roman" w:hAnsi="Times New Roman" w:cs="仿宋"/>
          <w:b/>
          <w:bCs/>
          <w:sz w:val="24"/>
          <w:highlight w:val="none"/>
        </w:rPr>
      </w:pPr>
      <w:r>
        <w:rPr>
          <w:rFonts w:hint="eastAsia" w:ascii="Times New Roman" w:hAnsi="Times New Roman" w:cs="仿宋"/>
          <w:b/>
          <w:bCs/>
          <w:sz w:val="24"/>
          <w:highlight w:val="none"/>
        </w:rPr>
        <w:t xml:space="preserve">三、评标方法</w:t>
      </w:r>
      <w:r>
        <w:rPr>
          <w:rFonts w:ascii="Times New Roman" w:hAnsi="Times New Roman" w:cs="仿宋"/>
          <w:b/>
          <w:bCs/>
          <w:sz w:val="24"/>
          <w:highlight w:val="none"/>
        </w:rPr>
      </w:r>
      <w:r/>
    </w:p>
    <w:p>
      <w:pPr>
        <w:pStyle w:val="783"/>
        <w:ind w:firstLine="480"/>
        <w:jc w:val="left"/>
        <w:spacing w:line="480" w:lineRule="exact"/>
        <w:rPr>
          <w:rFonts w:ascii="Times New Roman" w:hAnsi="Times New Roman" w:cs="仿宋"/>
          <w:sz w:val="24"/>
          <w:highlight w:val="none"/>
        </w:rPr>
      </w:pPr>
      <w:r>
        <w:rPr>
          <w:rFonts w:hint="eastAsia"/>
          <w:sz w:val="24"/>
          <w:szCs w:val="28"/>
          <w:highlight w:val="none"/>
        </w:rPr>
        <w:t xml:space="preserve">本项目采用综合评分法，评标结果按评审后得分由高到低顺序排列。得分相同的，按投标报价由低到高顺序排序。得分且投标报价相同的并列。</w:t>
      </w:r>
      <w:r>
        <w:rPr>
          <w:rFonts w:ascii="Times New Roman" w:hAnsi="Times New Roman" w:cs="仿宋"/>
          <w:sz w:val="24"/>
          <w:highlight w:val="none"/>
        </w:rPr>
      </w:r>
      <w:r/>
    </w:p>
    <w:p>
      <w:pPr>
        <w:pStyle w:val="783"/>
        <w:ind w:firstLine="480"/>
        <w:jc w:val="left"/>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综合评分保留至小数点后两位。</w:t>
      </w:r>
      <w:r>
        <w:rPr>
          <w:rFonts w:ascii="Times New Roman" w:hAnsi="Times New Roman" w:cs="仿宋"/>
          <w:sz w:val="24"/>
          <w:highlight w:val="none"/>
        </w:rPr>
      </w:r>
      <w:r/>
    </w:p>
    <w:p>
      <w:pPr>
        <w:pStyle w:val="783"/>
        <w:ind w:firstLine="480"/>
        <w:jc w:val="left"/>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评标委员会根据评标后投标人排序推荐中标候选人，并形成评标报告。</w:t>
      </w:r>
      <w:r>
        <w:rPr>
          <w:rFonts w:hint="eastAsia" w:ascii="Times New Roman" w:hAnsi="Times New Roman" w:cs="仿宋"/>
          <w:sz w:val="24"/>
          <w:highlight w:val="none"/>
        </w:rPr>
      </w:r>
      <w:r/>
    </w:p>
    <w:p>
      <w:pPr>
        <w:pStyle w:val="783"/>
        <w:ind w:firstLine="482"/>
        <w:jc w:val="left"/>
        <w:spacing w:line="480" w:lineRule="exact"/>
        <w:rPr>
          <w:rFonts w:ascii="Times New Roman" w:hAnsi="Times New Roman" w:cs="仿宋"/>
          <w:b/>
          <w:bCs/>
          <w:sz w:val="24"/>
          <w:highlight w:val="none"/>
        </w:rPr>
      </w:pPr>
      <w:r>
        <w:rPr>
          <w:rFonts w:hint="eastAsia" w:ascii="Times New Roman" w:hAnsi="Times New Roman" w:cs="仿宋"/>
          <w:b/>
          <w:bCs/>
          <w:sz w:val="24"/>
          <w:highlight w:val="none"/>
        </w:rPr>
        <w:t xml:space="preserve">四、评标标准</w:t>
      </w:r>
      <w:r>
        <w:rPr>
          <w:rFonts w:ascii="Times New Roman" w:hAnsi="Times New Roman" w:cs="仿宋"/>
          <w:b/>
          <w:bCs/>
          <w:sz w:val="24"/>
          <w:highlight w:val="none"/>
        </w:rPr>
      </w:r>
      <w:r/>
    </w:p>
    <w:tbl>
      <w:tblPr>
        <w:tblW w:w="5106" w:type="pct"/>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93"/>
        <w:gridCol w:w="1407"/>
        <w:gridCol w:w="1097"/>
        <w:gridCol w:w="5392"/>
      </w:tblGrid>
      <w:tr>
        <w:trPr>
          <w:trHeight w:val="207"/>
        </w:trPr>
        <w:tc>
          <w:tcPr>
            <w:gridSpan w:val="2"/>
            <w:tcW w:w="2900" w:type="dxa"/>
            <w:vAlign w:val="center"/>
            <w:textDirection w:val="lrTb"/>
            <w:noWrap w:val="false"/>
          </w:tcPr>
          <w:p>
            <w:pPr>
              <w:pStyle w:val="783"/>
              <w:jc w:val="center"/>
              <w:rPr>
                <w:rFonts w:hint="eastAsia" w:ascii="宋体" w:hAnsi="宋体" w:cs="宋体"/>
                <w:szCs w:val="21"/>
                <w:highlight w:val="none"/>
              </w:rPr>
            </w:pPr>
            <w:r>
              <w:rPr>
                <w:rFonts w:hint="eastAsia" w:ascii="宋体" w:hAnsi="宋体" w:cs="宋体"/>
                <w:szCs w:val="21"/>
                <w:highlight w:val="none"/>
              </w:rPr>
              <w:t xml:space="preserve">评审因素</w:t>
            </w:r>
            <w:r>
              <w:rPr>
                <w:rFonts w:hint="eastAsia" w:ascii="宋体" w:hAnsi="宋体" w:cs="宋体"/>
                <w:szCs w:val="21"/>
                <w:highlight w:val="none"/>
              </w:rPr>
            </w:r>
            <w:r/>
          </w:p>
        </w:tc>
        <w:tc>
          <w:tcPr>
            <w:tcW w:w="584" w:type="dxa"/>
            <w:vAlign w:val="center"/>
            <w:textDirection w:val="lrTb"/>
            <w:noWrap w:val="false"/>
          </w:tcPr>
          <w:p>
            <w:pPr>
              <w:pStyle w:val="783"/>
              <w:jc w:val="center"/>
              <w:rPr>
                <w:rFonts w:hint="eastAsia" w:ascii="宋体" w:hAnsi="宋体" w:cs="宋体"/>
                <w:szCs w:val="21"/>
                <w:highlight w:val="none"/>
              </w:rPr>
            </w:pPr>
            <w:r>
              <w:rPr>
                <w:rFonts w:hint="eastAsia" w:ascii="宋体" w:hAnsi="宋体" w:cs="宋体"/>
                <w:szCs w:val="21"/>
                <w:highlight w:val="none"/>
              </w:rPr>
              <w:t xml:space="preserve">分数</w:t>
            </w:r>
            <w:r>
              <w:rPr>
                <w:rFonts w:hint="eastAsia" w:ascii="宋体" w:hAnsi="宋体" w:cs="宋体"/>
                <w:szCs w:val="21"/>
                <w:highlight w:val="none"/>
              </w:rPr>
            </w:r>
            <w:r/>
          </w:p>
        </w:tc>
        <w:tc>
          <w:tcPr>
            <w:tcW w:w="2871" w:type="dxa"/>
            <w:vAlign w:val="center"/>
            <w:textDirection w:val="lrTb"/>
            <w:noWrap w:val="false"/>
          </w:tcPr>
          <w:p>
            <w:pPr>
              <w:pStyle w:val="783"/>
              <w:jc w:val="center"/>
              <w:rPr>
                <w:rFonts w:hint="eastAsia" w:ascii="宋体" w:hAnsi="宋体" w:cs="宋体"/>
                <w:szCs w:val="21"/>
                <w:highlight w:val="none"/>
              </w:rPr>
            </w:pPr>
            <w:r>
              <w:rPr>
                <w:rFonts w:hint="eastAsia" w:ascii="宋体" w:hAnsi="宋体" w:cs="宋体"/>
                <w:szCs w:val="21"/>
                <w:highlight w:val="none"/>
              </w:rPr>
              <w:t xml:space="preserve">评审标准</w:t>
            </w:r>
            <w:r>
              <w:rPr>
                <w:rFonts w:hint="eastAsia" w:ascii="宋体" w:hAnsi="宋体" w:cs="宋体"/>
                <w:szCs w:val="21"/>
                <w:highlight w:val="none"/>
              </w:rPr>
            </w:r>
            <w:r/>
          </w:p>
        </w:tc>
      </w:tr>
      <w:tr>
        <w:trPr>
          <w:trHeight w:val="90"/>
        </w:trPr>
        <w:tc>
          <w:tcPr>
            <w:tcW w:w="795" w:type="dxa"/>
            <w:vAlign w:val="center"/>
            <w:textDirection w:val="lrTb"/>
            <w:noWrap w:val="false"/>
          </w:tcPr>
          <w:p>
            <w:pPr>
              <w:pStyle w:val="783"/>
              <w:jc w:val="center"/>
              <w:rPr>
                <w:rFonts w:hint="eastAsia" w:ascii="宋体" w:hAnsi="宋体" w:cs="宋体"/>
                <w:color w:val="000000"/>
                <w:szCs w:val="21"/>
                <w:highlight w:val="none"/>
              </w:rPr>
            </w:pPr>
            <w:r>
              <w:rPr>
                <w:rFonts w:hint="eastAsia" w:ascii="宋体" w:hAnsi="宋体" w:cs="宋体"/>
                <w:color w:val="000000"/>
                <w:highlight w:val="none"/>
              </w:rPr>
              <w:t xml:space="preserve">报价分</w:t>
            </w:r>
            <w:r>
              <w:rPr>
                <w:rFonts w:hint="eastAsia" w:ascii="宋体" w:hAnsi="宋体" w:cs="宋体"/>
                <w:color w:val="000000"/>
                <w:szCs w:val="21"/>
                <w:highlight w:val="none"/>
              </w:rPr>
            </w:r>
            <w:r/>
          </w:p>
        </w:tc>
        <w:tc>
          <w:tcPr>
            <w:tcW w:w="748" w:type="dxa"/>
            <w:vAlign w:val="center"/>
            <w:textDirection w:val="lrTb"/>
            <w:noWrap w:val="false"/>
          </w:tcPr>
          <w:p>
            <w:pPr>
              <w:pStyle w:val="783"/>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584" w:type="dxa"/>
            <w:vAlign w:val="center"/>
            <w:textDirection w:val="lrTb"/>
            <w:noWrap w:val="false"/>
          </w:tcPr>
          <w:p>
            <w:pPr>
              <w:pStyle w:val="783"/>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30.00分</w:t>
            </w:r>
            <w:r>
              <w:rPr>
                <w:rFonts w:hint="eastAsia" w:ascii="宋体" w:hAnsi="宋体" w:cs="宋体"/>
                <w:color w:val="000000"/>
                <w:szCs w:val="21"/>
                <w:highlight w:val="none"/>
              </w:rPr>
            </w:r>
            <w:r/>
          </w:p>
        </w:tc>
        <w:tc>
          <w:tcPr>
            <w:tcW w:w="2871" w:type="dxa"/>
            <w:vAlign w:val="center"/>
            <w:textDirection w:val="lrTb"/>
            <w:noWrap w:val="false"/>
          </w:tcPr>
          <w:p>
            <w:pPr>
              <w:pStyle w:val="783"/>
              <w:jc w:val="left"/>
              <w:rPr>
                <w:rFonts w:hint="eastAsia" w:ascii="宋体" w:hAnsi="宋体" w:cs="宋体"/>
                <w:color w:val="000000"/>
                <w:highlight w:val="none"/>
              </w:rPr>
            </w:pPr>
            <w:r>
              <w:rPr>
                <w:rFonts w:hint="eastAsia" w:ascii="宋体" w:hAnsi="宋体" w:cs="宋体"/>
                <w:color w:val="000000"/>
                <w:highlight w:val="none"/>
              </w:rPr>
              <w:t xml:space="preserve">采用低价优先法计算，即满足招标文件要求且投标价格最低的报价为评标基准价，其价格分为满分。其他投标人投标报价得分＝（评标基准价/投标报价）*30。</w:t>
            </w:r>
            <w:r>
              <w:rPr>
                <w:rFonts w:hint="eastAsia" w:ascii="Times New Roman" w:hAnsi="Times New Roman" w:cs="仿宋"/>
                <w:sz w:val="24"/>
                <w:highlight w:val="none"/>
              </w:rPr>
              <w:t xml:space="preserve">对符合规定情形的小微企业报</w:t>
            </w:r>
            <w:r>
              <w:rPr>
                <w:rFonts w:hint="eastAsia" w:ascii="Times New Roman" w:hAnsi="Times New Roman" w:cs="仿宋"/>
                <w:sz w:val="24"/>
                <w:highlight w:val="none"/>
                <w:u w:val="none"/>
              </w:rPr>
              <w:t xml:space="preserve">价给予10%扣除，用扣除后的价格参加评审。</w:t>
            </w:r>
            <w:r>
              <w:rPr>
                <w:rFonts w:hint="eastAsia" w:ascii="宋体" w:hAnsi="宋体" w:cs="宋体"/>
                <w:color w:val="000000"/>
                <w:highlight w:val="none"/>
              </w:rPr>
            </w:r>
            <w:r/>
          </w:p>
        </w:tc>
      </w:tr>
      <w:tr>
        <w:trPr>
          <w:trHeight w:val="90"/>
        </w:trPr>
        <w:tc>
          <w:tcPr>
            <w:tcW w:w="795" w:type="dxa"/>
            <w:vAlign w:val="center"/>
            <w:textDirection w:val="lrTb"/>
            <w:noWrap w:val="false"/>
          </w:tcPr>
          <w:p>
            <w:pPr>
              <w:pStyle w:val="783"/>
              <w:jc w:val="center"/>
              <w:rPr>
                <w:rFonts w:hint="eastAsia" w:ascii="宋体" w:hAnsi="宋体" w:cs="宋体"/>
                <w:color w:val="000000"/>
                <w:highlight w:val="none"/>
              </w:rPr>
            </w:pPr>
            <w:r>
              <w:rPr>
                <w:rFonts w:hint="eastAsia" w:ascii="宋体" w:hAnsi="宋体" w:cs="宋体"/>
                <w:color w:val="000000"/>
                <w:highlight w:val="none"/>
              </w:rPr>
              <w:t xml:space="preserve">企业经营业绩、信誉</w:t>
            </w:r>
            <w:r>
              <w:rPr>
                <w:rFonts w:hint="eastAsia" w:ascii="宋体" w:hAnsi="宋体" w:cs="宋体"/>
                <w:color w:val="000000"/>
                <w:highlight w:val="none"/>
              </w:rPr>
            </w:r>
            <w:r/>
          </w:p>
        </w:tc>
        <w:tc>
          <w:tcPr>
            <w:tcW w:w="748" w:type="dxa"/>
            <w:vAlign w:val="center"/>
            <w:textDirection w:val="lrTb"/>
            <w:noWrap w:val="false"/>
          </w:tcPr>
          <w:p>
            <w:pPr>
              <w:pStyle w:val="783"/>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企业业绩</w:t>
            </w:r>
            <w:r>
              <w:rPr>
                <w:rFonts w:hint="eastAsia" w:ascii="宋体" w:hAnsi="宋体" w:cs="宋体"/>
                <w:color w:val="000000"/>
                <w:szCs w:val="21"/>
                <w:highlight w:val="none"/>
              </w:rPr>
            </w:r>
            <w:r/>
          </w:p>
        </w:tc>
        <w:tc>
          <w:tcPr>
            <w:tcW w:w="584" w:type="dxa"/>
            <w:vAlign w:val="center"/>
            <w:textDirection w:val="lrTb"/>
            <w:noWrap w:val="false"/>
          </w:tcPr>
          <w:p>
            <w:pPr>
              <w:pStyle w:val="783"/>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3.00分</w:t>
            </w:r>
            <w:r>
              <w:rPr>
                <w:rFonts w:hint="eastAsia" w:ascii="宋体" w:hAnsi="宋体" w:cs="宋体"/>
                <w:color w:val="000000"/>
                <w:szCs w:val="21"/>
                <w:highlight w:val="none"/>
              </w:rPr>
            </w:r>
            <w:r/>
          </w:p>
        </w:tc>
        <w:tc>
          <w:tcPr>
            <w:tcW w:w="2871" w:type="dxa"/>
            <w:vAlign w:val="center"/>
            <w:textDirection w:val="lrTb"/>
            <w:noWrap w:val="false"/>
          </w:tcPr>
          <w:p>
            <w:pPr>
              <w:pStyle w:val="78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投标人自2023年1月1日以来（以合同签订日期为准），承接过类似项目业绩的，每有一个得1分，本项目最高得3分。</w:t>
            </w:r>
            <w:r>
              <w:rPr>
                <w:rFonts w:hint="eastAsia" w:ascii="宋体" w:hAnsi="宋体" w:cs="宋体"/>
                <w:color w:val="000000"/>
                <w:szCs w:val="21"/>
                <w:highlight w:val="none"/>
              </w:rPr>
            </w:r>
            <w:r/>
          </w:p>
          <w:p>
            <w:pPr>
              <w:pStyle w:val="78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注：提供合同证明材料，业绩合同中主要内容、标的、金额等清晰可见，否则该业绩不得分。</w:t>
            </w:r>
            <w:r>
              <w:rPr>
                <w:rFonts w:hint="eastAsia" w:ascii="宋体" w:hAnsi="宋体" w:cs="宋体"/>
                <w:color w:val="000000"/>
                <w:szCs w:val="21"/>
                <w:highlight w:val="none"/>
              </w:rPr>
            </w:r>
            <w:r/>
          </w:p>
        </w:tc>
      </w:tr>
      <w:tr>
        <w:trPr>
          <w:trHeight w:val="90"/>
        </w:trPr>
        <w:tc>
          <w:tcPr>
            <w:tcW w:w="795" w:type="dxa"/>
            <w:vAlign w:val="center"/>
            <w:textDirection w:val="lrTb"/>
            <w:noWrap w:val="false"/>
          </w:tcPr>
          <w:p>
            <w:pPr>
              <w:pStyle w:val="783"/>
              <w:jc w:val="center"/>
              <w:rPr>
                <w:rFonts w:hint="eastAsia" w:ascii="宋体" w:hAnsi="宋体" w:cs="宋体"/>
                <w:color w:val="000000"/>
                <w:highlight w:val="none"/>
              </w:rPr>
            </w:pPr>
            <w:r>
              <w:rPr>
                <w:rFonts w:hint="eastAsia" w:ascii="宋体" w:hAnsi="宋体" w:cs="宋体"/>
                <w:color w:val="000000"/>
                <w:highlight w:val="none"/>
              </w:rPr>
              <w:t xml:space="preserve">技术部分</w:t>
            </w:r>
            <w:r>
              <w:rPr>
                <w:rFonts w:hint="eastAsia" w:ascii="宋体" w:hAnsi="宋体" w:cs="宋体"/>
                <w:color w:val="000000"/>
                <w:highlight w:val="none"/>
              </w:rPr>
            </w:r>
            <w:r/>
          </w:p>
        </w:tc>
        <w:tc>
          <w:tcPr>
            <w:tcW w:w="748" w:type="dxa"/>
            <w:vAlign w:val="center"/>
            <w:textDirection w:val="lrTb"/>
            <w:noWrap w:val="false"/>
          </w:tcPr>
          <w:p>
            <w:pPr>
              <w:pStyle w:val="783"/>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技术指标</w:t>
            </w:r>
            <w:r>
              <w:rPr>
                <w:rFonts w:hint="eastAsia" w:ascii="宋体" w:hAnsi="宋体" w:cs="宋体"/>
                <w:color w:val="000000"/>
                <w:szCs w:val="21"/>
                <w:highlight w:val="none"/>
              </w:rPr>
            </w:r>
            <w:r/>
          </w:p>
        </w:tc>
        <w:tc>
          <w:tcPr>
            <w:tcW w:w="584" w:type="dxa"/>
            <w:vAlign w:val="center"/>
            <w:textDirection w:val="lrTb"/>
            <w:noWrap w:val="false"/>
          </w:tcPr>
          <w:p>
            <w:pPr>
              <w:pStyle w:val="783"/>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44.00分</w:t>
            </w:r>
            <w:r>
              <w:rPr>
                <w:rFonts w:hint="eastAsia" w:ascii="宋体" w:hAnsi="宋体" w:cs="宋体"/>
                <w:color w:val="000000"/>
                <w:szCs w:val="21"/>
                <w:highlight w:val="none"/>
              </w:rPr>
            </w:r>
            <w:r/>
          </w:p>
        </w:tc>
        <w:tc>
          <w:tcPr>
            <w:tcW w:w="2871" w:type="dxa"/>
            <w:vAlign w:val="center"/>
            <w:textDirection w:val="lrTb"/>
            <w:noWrap w:val="false"/>
          </w:tcPr>
          <w:p>
            <w:pPr>
              <w:pStyle w:val="78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针对招标文件“第四部分、采购需求”中的“采购清单及技术参数”所列内容进行评分，所投产品技术参数完全满足或优于招标文件技术参数要求的得44分。标注“</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”项不允许负偏离，否则作无效标处理。标注“▲”项每有一项负偏离</w:t>
            </w:r>
            <w:r>
              <w:rPr>
                <w:rFonts w:hint="eastAsia" w:ascii="宋体" w:hAnsi="宋体" w:cs="宋体"/>
                <w:color w:val="000000"/>
                <w:szCs w:val="21"/>
                <w:highlight w:val="none"/>
              </w:rPr>
              <w:t xml:space="preserve">扣</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t xml:space="preserve">，其他技术指标每有一项不满足扣</w:t>
            </w:r>
            <w:r>
              <w:rPr>
                <w:rFonts w:hint="eastAsia" w:ascii="宋体" w:hAnsi="宋体" w:cs="宋体"/>
                <w:color w:val="000000"/>
                <w:szCs w:val="21"/>
                <w:highlight w:val="none"/>
                <w:lang w:val="en-US" w:eastAsia="zh-CN"/>
              </w:rPr>
              <w:t xml:space="preserve">0.1</w:t>
            </w:r>
            <w:r>
              <w:rPr>
                <w:rFonts w:hint="eastAsia" w:ascii="宋体" w:hAnsi="宋体" w:cs="宋体"/>
                <w:color w:val="000000"/>
                <w:szCs w:val="21"/>
                <w:highlight w:val="none"/>
              </w:rPr>
              <w:t xml:space="preserve">分，扣完为止。</w:t>
            </w:r>
            <w:r>
              <w:rPr>
                <w:rFonts w:hint="eastAsia" w:ascii="宋体" w:hAnsi="宋体" w:cs="宋体"/>
                <w:color w:val="000000"/>
                <w:szCs w:val="21"/>
                <w:highlight w:val="none"/>
              </w:rPr>
            </w:r>
            <w:r/>
          </w:p>
          <w:p>
            <w:pPr>
              <w:pStyle w:val="78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 注：供应商针对本项评标内容在投标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rPr>
                <w:rFonts w:hint="eastAsia" w:ascii="宋体" w:hAnsi="宋体" w:cs="宋体"/>
                <w:color w:val="000000"/>
                <w:szCs w:val="21"/>
                <w:highlight w:val="none"/>
              </w:rPr>
            </w:r>
            <w:r/>
          </w:p>
          <w:p>
            <w:pPr>
              <w:pStyle w:val="78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演示文件要求：</w:t>
            </w:r>
            <w:r>
              <w:rPr>
                <w:rFonts w:hint="eastAsia" w:ascii="宋体" w:hAnsi="宋体" w:cs="宋体"/>
                <w:color w:val="000000"/>
                <w:szCs w:val="21"/>
                <w:highlight w:val="none"/>
              </w:rPr>
            </w:r>
            <w:r/>
          </w:p>
          <w:p>
            <w:pPr>
              <w:pStyle w:val="78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1.本项目所有功能演示均采用播放视频形式进行演示。投标人自行录制演示视频并拷贝U盘，演示时间不超过15分钟。</w:t>
            </w:r>
            <w:r>
              <w:rPr>
                <w:rFonts w:hint="eastAsia" w:ascii="宋体" w:hAnsi="宋体" w:cs="宋体"/>
                <w:color w:val="000000"/>
                <w:szCs w:val="21"/>
                <w:highlight w:val="none"/>
              </w:rPr>
            </w:r>
            <w:r/>
          </w:p>
          <w:p>
            <w:pPr>
              <w:pStyle w:val="78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2.演示资料（U盘）密封后规定时间内送至</w:t>
            </w:r>
            <w:r>
              <w:rPr>
                <w:rFonts w:hint="eastAsia" w:ascii="宋体" w:hAnsi="宋体" w:cs="宋体"/>
                <w:color w:val="000000"/>
                <w:szCs w:val="21"/>
                <w:highlight w:val="none"/>
                <w:lang w:val="en-US" w:eastAsia="zh-CN"/>
              </w:rPr>
              <w:t xml:space="preserve">招标代理处</w:t>
            </w:r>
            <w:r>
              <w:rPr>
                <w:rFonts w:hint="eastAsia" w:ascii="宋体" w:hAnsi="宋体" w:cs="宋体"/>
                <w:color w:val="000000"/>
                <w:szCs w:val="21"/>
                <w:highlight w:val="none"/>
              </w:rPr>
              <w:t xml:space="preserve">，最外层包装须注明：“宿迁学院新能源汽车构造实验室建设项目演示材料”并加盖投标人公章。评审现场由评标委员会检查资料密封性后拆封。</w:t>
            </w:r>
            <w:r>
              <w:rPr>
                <w:rFonts w:hint="eastAsia" w:ascii="宋体" w:hAnsi="宋体" w:cs="宋体"/>
                <w:color w:val="000000"/>
                <w:szCs w:val="21"/>
                <w:highlight w:val="none"/>
              </w:rPr>
            </w:r>
            <w:r/>
          </w:p>
          <w:p>
            <w:pPr>
              <w:pStyle w:val="783"/>
              <w:jc w:val="left"/>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3.自备笔记本电脑演示，未提供演示</w:t>
            </w:r>
            <w:r>
              <w:rPr>
                <w:rFonts w:hint="eastAsia" w:ascii="宋体" w:hAnsi="宋体" w:cs="宋体"/>
                <w:color w:val="000000"/>
                <w:szCs w:val="21"/>
                <w:highlight w:val="none"/>
                <w:lang w:val="en-US" w:eastAsia="zh-CN"/>
              </w:rPr>
              <w:t xml:space="preserve">或演示内容不满足参数要求的，每有一项扣1分。</w:t>
            </w:r>
            <w:r>
              <w:rPr>
                <w:rFonts w:ascii="宋体" w:hAnsi="宋体" w:eastAsia="宋体" w:cs="宋体"/>
                <w:color w:val="000000"/>
                <w:szCs w:val="21"/>
                <w:highlight w:val="none"/>
                <w:lang w:val="en-US" w:eastAsia="zh-CN"/>
              </w:rPr>
            </w:r>
            <w:r/>
          </w:p>
        </w:tc>
      </w:tr>
      <w:tr>
        <w:trPr/>
        <w:tc>
          <w:tcPr>
            <w:tcW w:w="795" w:type="dxa"/>
            <w:vAlign w:val="center"/>
            <w:vMerge w:val="restart"/>
            <w:textDirection w:val="lrTb"/>
            <w:noWrap w:val="false"/>
          </w:tcPr>
          <w:p>
            <w:pPr>
              <w:pStyle w:val="783"/>
              <w:jc w:val="center"/>
              <w:rPr>
                <w:rFonts w:hint="eastAsia" w:ascii="宋体" w:hAnsi="宋体" w:cs="宋体"/>
                <w:color w:val="000000"/>
                <w:highlight w:val="none"/>
              </w:rPr>
            </w:pPr>
            <w:r>
              <w:rPr>
                <w:rFonts w:hint="eastAsia" w:ascii="宋体" w:hAnsi="宋体" w:cs="宋体"/>
                <w:color w:val="000000"/>
                <w:highlight w:val="none"/>
              </w:rPr>
              <w:t xml:space="preserve">其他</w:t>
            </w:r>
            <w:r>
              <w:rPr>
                <w:rFonts w:hint="eastAsia" w:ascii="宋体" w:hAnsi="宋体" w:cs="宋体"/>
                <w:color w:val="000000"/>
                <w:highlight w:val="none"/>
              </w:rPr>
            </w:r>
            <w:r/>
          </w:p>
        </w:tc>
        <w:tc>
          <w:tcPr>
            <w:tcW w:w="748" w:type="dxa"/>
            <w:vAlign w:val="center"/>
            <w:textDirection w:val="lrTb"/>
            <w:noWrap w:val="false"/>
          </w:tcPr>
          <w:p>
            <w:pPr>
              <w:pStyle w:val="783"/>
              <w:rPr>
                <w:rFonts w:hint="eastAsia"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hint="eastAsia" w:ascii="宋体" w:hAnsi="宋体" w:cs="宋体"/>
                <w:color w:val="000000"/>
                <w:szCs w:val="21"/>
                <w:highlight w:val="none"/>
              </w:rPr>
            </w:r>
            <w:r/>
          </w:p>
        </w:tc>
        <w:tc>
          <w:tcPr>
            <w:tcW w:w="584" w:type="dxa"/>
            <w:vAlign w:val="center"/>
            <w:textDirection w:val="lrTb"/>
            <w:noWrap w:val="false"/>
          </w:tcPr>
          <w:p>
            <w:pPr>
              <w:pStyle w:val="78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7.00分</w:t>
            </w:r>
            <w:r>
              <w:rPr>
                <w:rFonts w:hint="eastAsia" w:ascii="宋体" w:hAnsi="宋体" w:cs="宋体"/>
                <w:color w:val="000000"/>
                <w:szCs w:val="21"/>
                <w:highlight w:val="none"/>
              </w:rPr>
            </w:r>
            <w:r/>
          </w:p>
        </w:tc>
        <w:tc>
          <w:tcPr>
            <w:tcW w:w="2871" w:type="dxa"/>
            <w:vAlign w:val="center"/>
            <w:textDirection w:val="lrTb"/>
            <w:noWrap w:val="false"/>
          </w:tcPr>
          <w:p>
            <w:pPr>
              <w:pStyle w:val="78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评标委员会根据提供的项目实施方案（内容包括但不限于项目实施方案、实施进度安排、项目管理及系统测试方案等）进行综合打分：方案全面、科学合理、完全符合项目需求要求实际的得7分；方案较为全面、合理、基本贴近项目需求实际的得5分；方案较全面但略有瑕疵、基本满足采购需求的得4分；方案不全面或不符合项目实际的得2分；不提供不得分。</w:t>
            </w:r>
            <w:r>
              <w:rPr>
                <w:rFonts w:hint="eastAsia" w:ascii="宋体" w:hAnsi="宋体" w:cs="宋体"/>
                <w:color w:val="000000"/>
                <w:szCs w:val="21"/>
                <w:highlight w:val="none"/>
              </w:rPr>
            </w:r>
            <w:r/>
          </w:p>
        </w:tc>
      </w:tr>
      <w:tr>
        <w:trPr/>
        <w:tc>
          <w:tcPr>
            <w:tcW w:w="795" w:type="dxa"/>
            <w:vAlign w:val="center"/>
            <w:vMerge w:val="continue"/>
            <w:textDirection w:val="lrTb"/>
            <w:noWrap w:val="false"/>
          </w:tcPr>
          <w:p>
            <w:pPr>
              <w:pStyle w:val="783"/>
              <w:jc w:val="center"/>
              <w:rPr>
                <w:rFonts w:hint="eastAsia" w:ascii="宋体" w:hAnsi="宋体" w:cs="宋体"/>
                <w:color w:val="000000"/>
                <w:highlight w:val="none"/>
              </w:rPr>
            </w:pPr>
            <w:r>
              <w:rPr>
                <w:rFonts w:hint="eastAsia" w:ascii="宋体" w:hAnsi="宋体" w:cs="宋体"/>
                <w:color w:val="000000"/>
                <w:highlight w:val="none"/>
              </w:rPr>
            </w:r>
            <w:r/>
          </w:p>
        </w:tc>
        <w:tc>
          <w:tcPr>
            <w:tcW w:w="748" w:type="dxa"/>
            <w:vAlign w:val="center"/>
            <w:textDirection w:val="lrTb"/>
            <w:noWrap w:val="false"/>
          </w:tcPr>
          <w:p>
            <w:pPr>
              <w:pStyle w:val="783"/>
              <w:rPr>
                <w:rFonts w:hint="eastAsia" w:ascii="宋体" w:hAnsi="宋体" w:cs="宋体"/>
                <w:color w:val="000000"/>
                <w:szCs w:val="21"/>
                <w:highlight w:val="none"/>
              </w:rPr>
            </w:pPr>
            <w:r>
              <w:rPr>
                <w:rFonts w:hint="eastAsia" w:ascii="宋体" w:hAnsi="宋体" w:cs="宋体"/>
                <w:color w:val="000000"/>
                <w:szCs w:val="21"/>
                <w:highlight w:val="none"/>
              </w:rPr>
              <w:t xml:space="preserve">售后服务方案</w:t>
            </w:r>
            <w:r>
              <w:rPr>
                <w:rFonts w:hint="eastAsia" w:ascii="宋体" w:hAnsi="宋体" w:cs="宋体"/>
                <w:color w:val="000000"/>
                <w:szCs w:val="21"/>
                <w:highlight w:val="none"/>
              </w:rPr>
            </w:r>
            <w:r/>
          </w:p>
        </w:tc>
        <w:tc>
          <w:tcPr>
            <w:tcW w:w="584" w:type="dxa"/>
            <w:vAlign w:val="center"/>
            <w:textDirection w:val="lrTb"/>
            <w:noWrap w:val="false"/>
          </w:tcPr>
          <w:p>
            <w:pPr>
              <w:pStyle w:val="78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8.00分</w:t>
            </w:r>
            <w:r>
              <w:rPr>
                <w:rFonts w:hint="eastAsia" w:ascii="宋体" w:hAnsi="宋体" w:cs="宋体"/>
                <w:color w:val="000000"/>
                <w:szCs w:val="21"/>
                <w:highlight w:val="none"/>
              </w:rPr>
            </w:r>
            <w:r/>
          </w:p>
        </w:tc>
        <w:tc>
          <w:tcPr>
            <w:tcW w:w="2871" w:type="dxa"/>
            <w:vAlign w:val="center"/>
            <w:textDirection w:val="lrTb"/>
            <w:noWrap w:val="false"/>
          </w:tcPr>
          <w:p>
            <w:pPr>
              <w:pStyle w:val="78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评标委员会根据提供的售后服务方案（内容包括但不限于服务响应时间、专业技术人员保障、定期巡检、技术咨询、故障支持措施、免费维保期的范围和方式等方面）进行综合打分：由评委对方案综合评分，方案详细完整、可操作性强的得8分；方案较为全面合理、可操作性较强的得6分；方案基本全面、合理性、可行性一般的得4分；方案不全面或不符合项目实际得2分；不提供不得分。</w:t>
            </w:r>
            <w:r>
              <w:rPr>
                <w:rFonts w:hint="eastAsia" w:ascii="宋体" w:hAnsi="宋体" w:cs="宋体"/>
                <w:color w:val="000000"/>
                <w:szCs w:val="21"/>
                <w:highlight w:val="none"/>
              </w:rPr>
            </w:r>
            <w:r/>
          </w:p>
        </w:tc>
      </w:tr>
      <w:tr>
        <w:trPr/>
        <w:tc>
          <w:tcPr>
            <w:tcW w:w="795" w:type="dxa"/>
            <w:vAlign w:val="center"/>
            <w:vMerge w:val="continue"/>
            <w:textDirection w:val="lrTb"/>
            <w:noWrap w:val="false"/>
          </w:tcPr>
          <w:p>
            <w:pPr>
              <w:pStyle w:val="783"/>
              <w:jc w:val="center"/>
              <w:rPr>
                <w:rFonts w:hint="eastAsia" w:ascii="宋体" w:hAnsi="宋体" w:cs="宋体"/>
                <w:highlight w:val="none"/>
              </w:rPr>
            </w:pPr>
            <w:r>
              <w:rPr>
                <w:rFonts w:hint="eastAsia" w:ascii="宋体" w:hAnsi="宋体" w:cs="宋体"/>
                <w:highlight w:val="none"/>
              </w:rPr>
            </w:r>
            <w:r/>
          </w:p>
        </w:tc>
        <w:tc>
          <w:tcPr>
            <w:tcW w:w="748" w:type="dxa"/>
            <w:vAlign w:val="center"/>
            <w:textDirection w:val="lrTb"/>
            <w:noWrap w:val="false"/>
          </w:tcPr>
          <w:p>
            <w:pPr>
              <w:pStyle w:val="783"/>
              <w:rPr>
                <w:rFonts w:hint="eastAsia" w:ascii="宋体" w:hAnsi="宋体" w:cs="宋体"/>
                <w:szCs w:val="21"/>
                <w:highlight w:val="none"/>
              </w:rPr>
            </w:pPr>
            <w:r>
              <w:rPr>
                <w:rFonts w:hint="eastAsia" w:ascii="宋体" w:hAnsi="宋体" w:cs="宋体"/>
                <w:szCs w:val="21"/>
                <w:highlight w:val="none"/>
              </w:rPr>
              <w:t xml:space="preserve">培训方案</w:t>
            </w:r>
            <w:r>
              <w:rPr>
                <w:rFonts w:hint="eastAsia" w:ascii="宋体" w:hAnsi="宋体" w:cs="宋体"/>
                <w:szCs w:val="21"/>
                <w:highlight w:val="none"/>
              </w:rPr>
            </w:r>
            <w:r/>
          </w:p>
        </w:tc>
        <w:tc>
          <w:tcPr>
            <w:tcW w:w="584" w:type="dxa"/>
            <w:vAlign w:val="center"/>
            <w:textDirection w:val="lrTb"/>
            <w:noWrap w:val="false"/>
          </w:tcPr>
          <w:p>
            <w:pPr>
              <w:pStyle w:val="783"/>
              <w:jc w:val="center"/>
              <w:rPr>
                <w:rFonts w:hint="eastAsia" w:ascii="宋体" w:hAnsi="宋体" w:cs="宋体"/>
                <w:szCs w:val="21"/>
                <w:highlight w:val="none"/>
              </w:rPr>
            </w:pPr>
            <w:r>
              <w:rPr>
                <w:rFonts w:hint="eastAsia" w:ascii="宋体" w:hAnsi="宋体" w:cs="宋体"/>
                <w:szCs w:val="21"/>
                <w:highlight w:val="none"/>
              </w:rPr>
              <w:t xml:space="preserve">6.00分</w:t>
            </w:r>
            <w:r>
              <w:rPr>
                <w:rFonts w:hint="eastAsia" w:ascii="宋体" w:hAnsi="宋体" w:cs="宋体"/>
                <w:szCs w:val="21"/>
                <w:highlight w:val="none"/>
              </w:rPr>
            </w:r>
            <w:r/>
          </w:p>
        </w:tc>
        <w:tc>
          <w:tcPr>
            <w:tcW w:w="2871" w:type="dxa"/>
            <w:vAlign w:val="center"/>
            <w:textDirection w:val="lrTb"/>
            <w:noWrap w:val="false"/>
          </w:tcPr>
          <w:p>
            <w:pPr>
              <w:pStyle w:val="783"/>
              <w:jc w:val="left"/>
              <w:rPr>
                <w:rFonts w:hint="eastAsia" w:ascii="宋体" w:hAnsi="宋体" w:cs="宋体"/>
                <w:szCs w:val="21"/>
                <w:highlight w:val="none"/>
              </w:rPr>
            </w:pPr>
            <w:r>
              <w:rPr>
                <w:rFonts w:hint="eastAsia" w:ascii="宋体" w:hAnsi="宋体" w:cs="宋体"/>
                <w:szCs w:val="21"/>
                <w:highlight w:val="none"/>
              </w:rPr>
              <w:t xml:space="preserve">评标委员会根据提供的培训方案（内容包括但不限于培训内容、培训安排、培训流程等方面）进行综合打分：方案全面、科学合理、贴近培训要求实际的得6分；方案较为全面、合理、基本贴近培训要求实际的得4分；方案较全面但略有瑕疵、基本满足培训要求的得3分；方案不全面或不符合项目实际的得2分；不提供不得分。</w:t>
            </w:r>
            <w:r>
              <w:rPr>
                <w:rFonts w:hint="eastAsia" w:ascii="宋体" w:hAnsi="宋体" w:cs="宋体"/>
                <w:szCs w:val="21"/>
                <w:highlight w:val="none"/>
              </w:rPr>
            </w:r>
            <w:r/>
          </w:p>
        </w:tc>
      </w:tr>
      <w:tr>
        <w:trPr/>
        <w:tc>
          <w:tcPr>
            <w:tcW w:w="795" w:type="dxa"/>
            <w:vAlign w:val="center"/>
            <w:vMerge w:val="continue"/>
            <w:textDirection w:val="lrTb"/>
            <w:noWrap w:val="false"/>
          </w:tcPr>
          <w:p>
            <w:pPr>
              <w:pStyle w:val="783"/>
              <w:jc w:val="center"/>
              <w:rPr>
                <w:rFonts w:hint="eastAsia" w:ascii="宋体" w:hAnsi="宋体" w:cs="宋体"/>
                <w:highlight w:val="none"/>
              </w:rPr>
            </w:pPr>
            <w:r>
              <w:rPr>
                <w:rFonts w:hint="eastAsia" w:ascii="宋体" w:hAnsi="宋体" w:cs="宋体"/>
                <w:highlight w:val="none"/>
              </w:rPr>
            </w:r>
            <w:r/>
          </w:p>
        </w:tc>
        <w:tc>
          <w:tcPr>
            <w:tcW w:w="748" w:type="dxa"/>
            <w:vAlign w:val="center"/>
            <w:textDirection w:val="lrTb"/>
            <w:noWrap w:val="false"/>
          </w:tcPr>
          <w:p>
            <w:pPr>
              <w:pStyle w:val="783"/>
              <w:rPr>
                <w:rFonts w:hint="eastAsia" w:ascii="宋体" w:hAnsi="宋体" w:cs="宋体"/>
                <w:szCs w:val="21"/>
                <w:highlight w:val="none"/>
              </w:rPr>
            </w:pPr>
            <w:r>
              <w:rPr>
                <w:rFonts w:hint="eastAsia" w:ascii="宋体" w:hAnsi="宋体" w:cs="宋体"/>
                <w:szCs w:val="21"/>
                <w:highlight w:val="none"/>
              </w:rPr>
              <w:t xml:space="preserve">质保期承诺</w:t>
            </w:r>
            <w:r>
              <w:rPr>
                <w:rFonts w:hint="eastAsia" w:ascii="宋体" w:hAnsi="宋体" w:cs="宋体"/>
                <w:szCs w:val="21"/>
                <w:highlight w:val="none"/>
              </w:rPr>
            </w:r>
            <w:r/>
          </w:p>
        </w:tc>
        <w:tc>
          <w:tcPr>
            <w:tcW w:w="584" w:type="dxa"/>
            <w:vAlign w:val="center"/>
            <w:textDirection w:val="lrTb"/>
            <w:noWrap w:val="false"/>
          </w:tcPr>
          <w:p>
            <w:pPr>
              <w:pStyle w:val="783"/>
              <w:jc w:val="center"/>
              <w:rPr>
                <w:rFonts w:hint="eastAsia" w:ascii="宋体" w:hAnsi="宋体" w:cs="宋体"/>
                <w:szCs w:val="21"/>
                <w:highlight w:val="none"/>
              </w:rPr>
            </w:pPr>
            <w:r>
              <w:rPr>
                <w:rFonts w:hint="eastAsia" w:ascii="宋体" w:hAnsi="宋体" w:cs="宋体"/>
                <w:szCs w:val="21"/>
                <w:highlight w:val="none"/>
              </w:rPr>
              <w:t xml:space="preserve">2.00分</w:t>
            </w:r>
            <w:r>
              <w:rPr>
                <w:rFonts w:hint="eastAsia" w:ascii="宋体" w:hAnsi="宋体" w:cs="宋体"/>
                <w:szCs w:val="21"/>
                <w:highlight w:val="none"/>
              </w:rPr>
            </w:r>
            <w:r/>
          </w:p>
        </w:tc>
        <w:tc>
          <w:tcPr>
            <w:tcW w:w="2871" w:type="dxa"/>
            <w:vAlign w:val="center"/>
            <w:textDirection w:val="lrTb"/>
            <w:noWrap w:val="false"/>
          </w:tcPr>
          <w:p>
            <w:pPr>
              <w:pStyle w:val="783"/>
              <w:rPr>
                <w:rFonts w:hint="eastAsia" w:ascii="宋体" w:hAnsi="宋体" w:cs="宋体"/>
                <w:szCs w:val="21"/>
                <w:highlight w:val="none"/>
              </w:rPr>
            </w:pPr>
            <w:r>
              <w:rPr>
                <w:rFonts w:hint="eastAsia" w:ascii="宋体" w:hAnsi="宋体" w:cs="宋体"/>
                <w:szCs w:val="21"/>
                <w:highlight w:val="none"/>
              </w:rPr>
              <w:t xml:space="preserve">满足质保期要求，每延长一年质保期服务得1分，最高得2分。提供承诺函，格式自拟（承诺内容需满足评审要求，否则不得分）</w:t>
            </w:r>
            <w:r>
              <w:rPr>
                <w:rFonts w:hint="eastAsia" w:ascii="宋体" w:hAnsi="宋体" w:cs="宋体"/>
                <w:szCs w:val="21"/>
                <w:highlight w:val="none"/>
              </w:rPr>
            </w:r>
            <w:r/>
          </w:p>
        </w:tc>
      </w:tr>
    </w:tbl>
    <w:p>
      <w:pPr>
        <w:pStyle w:val="783"/>
        <w:ind w:firstLine="482"/>
        <w:jc w:val="left"/>
        <w:spacing w:line="480" w:lineRule="exact"/>
        <w:rPr>
          <w:rFonts w:hint="eastAsia" w:ascii="Times New Roman" w:hAnsi="Times New Roman" w:cs="仿宋"/>
          <w:b/>
          <w:bCs/>
          <w:sz w:val="24"/>
          <w:highlight w:val="none"/>
        </w:rPr>
      </w:pPr>
      <w:r>
        <w:rPr>
          <w:rFonts w:hint="eastAsia" w:ascii="Times New Roman" w:hAnsi="Times New Roman" w:cs="仿宋"/>
          <w:b/>
          <w:bCs/>
          <w:sz w:val="24"/>
          <w:highlight w:val="none"/>
        </w:rPr>
      </w:r>
      <w:r/>
    </w:p>
    <w:p>
      <w:pPr>
        <w:pStyle w:val="783"/>
        <w:jc w:val="center"/>
        <w:keepLines/>
        <w:keepNext/>
        <w:pageBreakBefore/>
        <w:rPr>
          <w:rFonts w:hint="eastAsia"/>
          <w:b/>
          <w:sz w:val="44"/>
          <w:szCs w:val="44"/>
          <w:highlight w:val="none"/>
        </w:rPr>
        <w:outlineLvl w:val="0"/>
      </w:pPr>
      <w:r/>
      <w:bookmarkStart w:id="115" w:name="_Toc81575168"/>
      <w:r/>
      <w:bookmarkStart w:id="116" w:name="_Toc12255"/>
      <w:r/>
      <w:bookmarkStart w:id="117" w:name="_Toc2916"/>
      <w:r/>
      <w:bookmarkStart w:id="118" w:name="_Toc22314"/>
      <w:r/>
      <w:bookmarkStart w:id="119" w:name="_Toc81575205"/>
      <w:r>
        <w:rPr>
          <w:rFonts w:hint="eastAsia"/>
          <w:b/>
          <w:sz w:val="44"/>
          <w:szCs w:val="44"/>
          <w:highlight w:val="none"/>
        </w:rPr>
        <w:t xml:space="preserve">第四章</w:t>
      </w:r>
      <w:r>
        <w:rPr>
          <w:b/>
          <w:sz w:val="44"/>
          <w:szCs w:val="44"/>
          <w:highlight w:val="none"/>
        </w:rPr>
        <w:t xml:space="preserve">  </w:t>
      </w:r>
      <w:r>
        <w:rPr>
          <w:rFonts w:hint="eastAsia"/>
          <w:b/>
          <w:sz w:val="44"/>
          <w:szCs w:val="44"/>
          <w:highlight w:val="none"/>
        </w:rPr>
        <w:t xml:space="preserve">采购需求</w:t>
      </w:r>
      <w:bookmarkEnd w:id="115"/>
      <w:r/>
      <w:bookmarkEnd w:id="116"/>
      <w:r/>
      <w:bookmarkEnd w:id="117"/>
      <w:r/>
      <w:bookmarkEnd w:id="118"/>
      <w:r/>
      <w:bookmarkEnd w:id="119"/>
      <w:r>
        <w:rPr>
          <w:rFonts w:hint="eastAsia"/>
          <w:b/>
          <w:sz w:val="44"/>
          <w:szCs w:val="44"/>
          <w:highlight w:val="none"/>
        </w:rPr>
      </w:r>
      <w:r/>
    </w:p>
    <w:p>
      <w:pPr>
        <w:pStyle w:val="783"/>
        <w:ind w:firstLine="482"/>
        <w:spacing w:line="480" w:lineRule="exact"/>
        <w:rPr>
          <w:rFonts w:ascii="宋体" w:hAnsi="宋体"/>
          <w:b/>
          <w:sz w:val="24"/>
          <w:szCs w:val="24"/>
          <w:highlight w:val="none"/>
        </w:rPr>
      </w:pPr>
      <w:r>
        <w:rPr>
          <w:rFonts w:hint="eastAsia" w:ascii="宋体" w:hAnsi="宋体"/>
          <w:b/>
          <w:sz w:val="24"/>
          <w:szCs w:val="24"/>
          <w:highlight w:val="none"/>
        </w:rPr>
        <w:t xml:space="preserve">一</w:t>
      </w:r>
      <w:r>
        <w:rPr>
          <w:rFonts w:ascii="宋体" w:hAnsi="宋体"/>
          <w:b/>
          <w:sz w:val="24"/>
          <w:szCs w:val="24"/>
          <w:highlight w:val="none"/>
        </w:rPr>
        <w:t xml:space="preserve">、</w:t>
      </w:r>
      <w:r>
        <w:rPr>
          <w:rFonts w:hint="eastAsia" w:ascii="宋体" w:hAnsi="宋体"/>
          <w:b/>
          <w:sz w:val="24"/>
          <w:szCs w:val="24"/>
          <w:highlight w:val="none"/>
        </w:rPr>
        <w:t xml:space="preserve">采购</w:t>
      </w:r>
      <w:r>
        <w:rPr>
          <w:rFonts w:ascii="宋体" w:hAnsi="宋体"/>
          <w:b/>
          <w:sz w:val="24"/>
          <w:szCs w:val="24"/>
          <w:highlight w:val="none"/>
        </w:rPr>
        <w:t xml:space="preserve">标的清单</w:t>
      </w:r>
      <w:r>
        <w:rPr>
          <w:rFonts w:ascii="宋体" w:hAnsi="宋体"/>
          <w:b/>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3820"/>
        <w:gridCol w:w="3586"/>
      </w:tblGrid>
      <w:tr>
        <w:trPr>
          <w:cantSplit/>
          <w:trHeight w:val="639"/>
        </w:trPr>
        <w:tc>
          <w:tcPr>
            <w:tcW w:w="735" w:type="dxa"/>
            <w:vAlign w:val="center"/>
            <w:textDirection w:val="lrTb"/>
            <w:noWrap w:val="false"/>
          </w:tcPr>
          <w:p>
            <w:pPr>
              <w:pStyle w:val="783"/>
              <w:jc w:val="center"/>
              <w:spacing w:line="360" w:lineRule="exact"/>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p>
        </w:tc>
        <w:tc>
          <w:tcPr>
            <w:tcW w:w="3820" w:type="dxa"/>
            <w:vAlign w:val="center"/>
            <w:textDirection w:val="lrTb"/>
            <w:noWrap w:val="false"/>
          </w:tcPr>
          <w:p>
            <w:pPr>
              <w:pStyle w:val="783"/>
              <w:jc w:val="center"/>
              <w:spacing w:line="360" w:lineRule="exact"/>
              <w:rPr>
                <w:rFonts w:ascii="宋体" w:hAnsi="宋体"/>
                <w:sz w:val="24"/>
                <w:szCs w:val="24"/>
                <w:highlight w:val="none"/>
              </w:rPr>
            </w:pPr>
            <w:r>
              <w:rPr>
                <w:rFonts w:hint="eastAsia" w:ascii="宋体" w:hAnsi="宋体"/>
                <w:sz w:val="24"/>
                <w:szCs w:val="24"/>
                <w:highlight w:val="none"/>
              </w:rPr>
              <w:t xml:space="preserve">采购标的</w:t>
            </w:r>
            <w:r>
              <w:rPr>
                <w:rFonts w:ascii="宋体" w:hAnsi="宋体"/>
                <w:sz w:val="24"/>
                <w:szCs w:val="24"/>
                <w:highlight w:val="none"/>
              </w:rPr>
            </w:r>
            <w:r/>
          </w:p>
        </w:tc>
        <w:tc>
          <w:tcPr>
            <w:tcW w:w="3586" w:type="dxa"/>
            <w:vAlign w:val="center"/>
            <w:textDirection w:val="lrTb"/>
            <w:noWrap w:val="false"/>
          </w:tcPr>
          <w:p>
            <w:pPr>
              <w:pStyle w:val="783"/>
              <w:jc w:val="center"/>
              <w:spacing w:line="360" w:lineRule="exact"/>
              <w:rPr>
                <w:rFonts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rPr>
                <w:rFonts w:ascii="宋体" w:hAnsi="宋体"/>
                <w:sz w:val="24"/>
                <w:szCs w:val="24"/>
                <w:highlight w:val="none"/>
              </w:rPr>
            </w:r>
            <w:r/>
          </w:p>
        </w:tc>
      </w:tr>
      <w:tr>
        <w:trPr>
          <w:cantSplit/>
          <w:trHeight w:val="643"/>
        </w:trPr>
        <w:tc>
          <w:tcPr>
            <w:tcW w:w="735" w:type="dxa"/>
            <w:vAlign w:val="center"/>
            <w:textDirection w:val="lrTb"/>
            <w:noWrap w:val="false"/>
          </w:tcPr>
          <w:p>
            <w:pPr>
              <w:pStyle w:val="783"/>
              <w:jc w:val="center"/>
              <w:rPr>
                <w:rFonts w:hint="eastAsia" w:ascii="Times New Roman" w:hAnsi="Times New Roman"/>
                <w:sz w:val="24"/>
                <w:highlight w:val="none"/>
              </w:rPr>
            </w:pPr>
            <w:r>
              <w:rPr>
                <w:rFonts w:hint="eastAsia" w:ascii="Times New Roman" w:hAnsi="Times New Roman"/>
                <w:sz w:val="24"/>
                <w:highlight w:val="none"/>
              </w:rPr>
              <w:t xml:space="preserve">1</w:t>
            </w:r>
            <w:r>
              <w:rPr>
                <w:rFonts w:hint="eastAsia" w:ascii="Times New Roman" w:hAnsi="Times New Roman"/>
                <w:sz w:val="24"/>
                <w:highlight w:val="none"/>
              </w:rPr>
            </w:r>
            <w:r/>
          </w:p>
        </w:tc>
        <w:tc>
          <w:tcPr>
            <w:tcW w:w="3820" w:type="dxa"/>
            <w:vAlign w:val="center"/>
            <w:textDirection w:val="lrTb"/>
            <w:noWrap w:val="false"/>
          </w:tcPr>
          <w:p>
            <w:pPr>
              <w:pStyle w:val="783"/>
              <w:jc w:val="center"/>
              <w:rPr>
                <w:rFonts w:hint="eastAsia" w:ascii="Times New Roman" w:hAnsi="Times New Roman"/>
                <w:sz w:val="24"/>
                <w:highlight w:val="none"/>
              </w:rPr>
            </w:pPr>
            <w:r>
              <w:rPr>
                <w:rFonts w:hint="eastAsia" w:ascii="Times New Roman" w:hAnsi="Times New Roman"/>
                <w:sz w:val="24"/>
                <w:highlight w:val="none"/>
              </w:rPr>
              <w:t xml:space="preserve">宿迁学院新能源汽车构造实验室建设项目</w:t>
            </w:r>
            <w:r>
              <w:rPr>
                <w:rFonts w:hint="eastAsia" w:ascii="Times New Roman" w:hAnsi="Times New Roman"/>
                <w:sz w:val="24"/>
                <w:highlight w:val="none"/>
              </w:rPr>
            </w:r>
            <w:r/>
          </w:p>
        </w:tc>
        <w:tc>
          <w:tcPr>
            <w:tcW w:w="3586" w:type="dxa"/>
            <w:vAlign w:val="center"/>
            <w:textDirection w:val="lrTb"/>
            <w:noWrap w:val="false"/>
          </w:tcPr>
          <w:p>
            <w:pPr>
              <w:pStyle w:val="783"/>
              <w:jc w:val="center"/>
              <w:spacing w:line="480" w:lineRule="exact"/>
              <w:rPr>
                <w:rFonts w:hint="eastAsia" w:ascii="宋体" w:hAnsi="宋体"/>
                <w:sz w:val="24"/>
                <w:szCs w:val="24"/>
                <w:highlight w:val="none"/>
              </w:rPr>
            </w:pPr>
            <w:r>
              <w:rPr>
                <w:rFonts w:hint="eastAsia" w:ascii="宋体" w:hAnsi="宋体"/>
                <w:sz w:val="24"/>
                <w:szCs w:val="24"/>
                <w:highlight w:val="none"/>
              </w:rPr>
              <w:t xml:space="preserve">工业</w:t>
            </w:r>
            <w:r>
              <w:rPr>
                <w:rFonts w:hint="eastAsia" w:ascii="宋体" w:hAnsi="宋体"/>
                <w:sz w:val="24"/>
                <w:szCs w:val="24"/>
                <w:highlight w:val="none"/>
              </w:rPr>
            </w:r>
            <w:r/>
          </w:p>
        </w:tc>
      </w:tr>
    </w:tbl>
    <w:p>
      <w:pPr>
        <w:pStyle w:val="783"/>
        <w:ind w:firstLine="482"/>
        <w:spacing w:line="480" w:lineRule="exact"/>
        <w:rPr>
          <w:rFonts w:ascii="宋体" w:hAnsi="宋体"/>
          <w:b/>
          <w:sz w:val="24"/>
          <w:szCs w:val="24"/>
          <w:highlight w:val="none"/>
        </w:rPr>
      </w:pPr>
      <w:r>
        <w:rPr>
          <w:rFonts w:hint="eastAsia" w:ascii="宋体" w:hAnsi="宋体"/>
          <w:b/>
          <w:sz w:val="24"/>
          <w:szCs w:val="24"/>
          <w:highlight w:val="none"/>
        </w:rPr>
        <w:t xml:space="preserve">二、采购清单及技术参数</w:t>
      </w:r>
      <w:r>
        <w:rPr>
          <w:rFonts w:ascii="宋体" w:hAnsi="宋体"/>
          <w:b/>
          <w:sz w:val="24"/>
          <w:szCs w:val="24"/>
          <w:highlight w:val="none"/>
        </w:rPr>
      </w:r>
      <w:r/>
    </w:p>
    <w:tbl>
      <w:tblPr>
        <w:tblW w:w="103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087"/>
        <w:gridCol w:w="6300"/>
        <w:gridCol w:w="763"/>
        <w:gridCol w:w="737"/>
        <w:gridCol w:w="700"/>
      </w:tblGrid>
      <w:tr>
        <w:trPr/>
        <w:tc>
          <w:tcPr>
            <w:tcW w:w="738" w:type="dxa"/>
            <w:vAlign w:val="top"/>
            <w:textDirection w:val="lrTb"/>
            <w:noWrap w:val="false"/>
          </w:tcPr>
          <w:p>
            <w:pPr>
              <w:pStyle w:val="783"/>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tcW w:w="1087" w:type="dxa"/>
            <w:vAlign w:val="top"/>
            <w:textDirection w:val="lrTb"/>
            <w:noWrap w:val="false"/>
          </w:tcPr>
          <w:p>
            <w:pPr>
              <w:pStyle w:val="783"/>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设备名称</w:t>
            </w:r>
            <w:r>
              <w:rPr>
                <w:rFonts w:ascii="Times New Roman" w:hAnsi="Times New Roman" w:cs="Times New Roman"/>
                <w:color w:val="000000"/>
                <w:szCs w:val="21"/>
                <w:highlight w:val="none"/>
              </w:rPr>
            </w:r>
            <w:r/>
          </w:p>
        </w:tc>
        <w:tc>
          <w:tcPr>
            <w:tcW w:w="6300" w:type="dxa"/>
            <w:vAlign w:val="top"/>
            <w:textDirection w:val="lrTb"/>
            <w:noWrap w:val="false"/>
          </w:tcPr>
          <w:p>
            <w:pPr>
              <w:pStyle w:val="783"/>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技术参数</w:t>
            </w:r>
            <w:r>
              <w:rPr>
                <w:rFonts w:ascii="Times New Roman" w:hAnsi="Times New Roman" w:cs="Times New Roman"/>
                <w:color w:val="000000"/>
                <w:szCs w:val="21"/>
                <w:highlight w:val="none"/>
              </w:rPr>
            </w:r>
            <w:r/>
          </w:p>
        </w:tc>
        <w:tc>
          <w:tcPr>
            <w:tcW w:w="763" w:type="dxa"/>
            <w:vAlign w:val="top"/>
            <w:textDirection w:val="lrTb"/>
            <w:noWrap w:val="false"/>
          </w:tcPr>
          <w:p>
            <w:pPr>
              <w:pStyle w:val="783"/>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数量</w:t>
            </w:r>
            <w:r>
              <w:rPr>
                <w:rFonts w:ascii="Times New Roman" w:hAnsi="Times New Roman" w:cs="Times New Roman"/>
                <w:color w:val="000000"/>
                <w:szCs w:val="21"/>
                <w:highlight w:val="none"/>
              </w:rPr>
            </w:r>
            <w:r/>
          </w:p>
        </w:tc>
        <w:tc>
          <w:tcPr>
            <w:tcW w:w="737" w:type="dxa"/>
            <w:vAlign w:val="top"/>
            <w:textDirection w:val="lrTb"/>
            <w:noWrap w:val="false"/>
          </w:tcPr>
          <w:p>
            <w:pPr>
              <w:pStyle w:val="783"/>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w:t>
            </w:r>
            <w:r>
              <w:rPr>
                <w:rFonts w:ascii="Times New Roman" w:hAnsi="Times New Roman" w:cs="Times New Roman"/>
                <w:color w:val="000000"/>
                <w:szCs w:val="21"/>
                <w:highlight w:val="none"/>
              </w:rPr>
            </w:r>
            <w:r/>
          </w:p>
        </w:tc>
        <w:tc>
          <w:tcPr>
            <w:tcW w:w="700" w:type="dxa"/>
            <w:vAlign w:val="top"/>
            <w:textDirection w:val="lrTb"/>
            <w:noWrap w:val="false"/>
          </w:tcPr>
          <w:p>
            <w:pPr>
              <w:pStyle w:val="783"/>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备注</w:t>
            </w:r>
            <w:r>
              <w:rPr>
                <w:rFonts w:ascii="Times New Roman" w:hAnsi="Times New Roman" w:cs="Times New Roman"/>
                <w:color w:val="000000"/>
                <w:szCs w:val="21"/>
                <w:highlight w:val="none"/>
              </w:rPr>
            </w:r>
            <w:r/>
          </w:p>
        </w:tc>
      </w:tr>
      <w:tr>
        <w:trPr/>
        <w:tc>
          <w:tcPr>
            <w:tcW w:w="738"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1087"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悬架系统装调模块</w:t>
            </w:r>
            <w:r>
              <w:rPr>
                <w:rFonts w:ascii="Times New Roman" w:hAnsi="Times New Roman" w:cs="Times New Roman"/>
                <w:color w:val="000000"/>
                <w:szCs w:val="21"/>
                <w:highlight w:val="none"/>
              </w:rPr>
            </w:r>
            <w:r/>
          </w:p>
        </w:tc>
        <w:tc>
          <w:tcPr>
            <w:tcW w:w="6300" w:type="dxa"/>
            <w:vAlign w:val="top"/>
            <w:textDirection w:val="lrTb"/>
            <w:noWrap w:val="false"/>
          </w:tcPr>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（一）系统介绍</w:t>
            </w:r>
            <w:r>
              <w:rPr>
                <w:rFonts w:ascii="Times New Roman" w:hAnsi="Times New Roman" w:cs="Times New Roman"/>
                <w:b/>
                <w:bCs/>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悬架系统装调模块总计3套包含悬架模块硬件设备2套，混动汽车悬架系统1套</w:t>
            </w:r>
            <w:r>
              <w:rPr>
                <w:rFonts w:ascii="Times New Roman" w:hAnsi="Times New Roman" w:cs="Times New Roman"/>
                <w:color w:val="000000"/>
                <w:szCs w:val="21"/>
                <w:highlight w:val="none"/>
              </w:rPr>
            </w:r>
            <w:r/>
          </w:p>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（二）技术要求</w:t>
            </w:r>
            <w:r>
              <w:rPr>
                <w:rFonts w:ascii="Times New Roman" w:hAnsi="Times New Roman" w:cs="Times New Roman"/>
                <w:b/>
                <w:bCs/>
                <w:color w:val="000000"/>
                <w:szCs w:val="21"/>
                <w:highlight w:val="none"/>
              </w:rPr>
            </w:r>
            <w:r/>
          </w:p>
          <w:p>
            <w:pPr>
              <w:pStyle w:val="783"/>
              <w:numPr>
                <w:ilvl w:val="0"/>
                <w:numId w:val="3"/>
              </w:numPr>
              <w:ind w:firstLine="422"/>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悬架模块硬件设备</w:t>
            </w:r>
            <w:r>
              <w:rPr>
                <w:rFonts w:ascii="Times New Roman" w:hAnsi="Times New Roman" w:cs="Times New Roman"/>
                <w:b/>
                <w:bCs/>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（1）驱动后桥：后桥传动轴≥1套；2000W永磁同步电机/减速器/差速器总成≥1套。</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（2）液压制动系统：制动分泵卡钳总成≥2个；刹车盘≥2个；液压制动管路≥1套。</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（3）后悬架装置:后悬架下支臂≥2个；后悬架弹簧减震器≥2个。</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（4）转向机构：方向机≥1个；方向机拉杆球头≥3个；方向机横拉杆≥1根；万向节传动杆≥1根。</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（5）前悬架机构：前悬架下支臂≥1套；前悬减震器≥2个；车轮转向羊角总成≥1对。</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（6）车轮机构：前轮轮胎/轮毂≥2个；后轮轮胎/轮毂≥2个；轮毂固定专用螺母≥16个。</w:t>
            </w:r>
            <w:r>
              <w:rPr>
                <w:rFonts w:ascii="Times New Roman" w:hAnsi="Times New Roman" w:cs="Times New Roman"/>
                <w:color w:val="000000"/>
                <w:szCs w:val="21"/>
                <w:highlight w:val="none"/>
              </w:rPr>
            </w:r>
            <w:r/>
          </w:p>
          <w:p>
            <w:pPr>
              <w:pStyle w:val="783"/>
              <w:ind w:firstLine="422"/>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2.混动汽车悬架系统</w:t>
            </w:r>
            <w:r>
              <w:rPr>
                <w:rFonts w:ascii="Times New Roman" w:hAnsi="Times New Roman" w:cs="Times New Roman"/>
                <w:b/>
                <w:bCs/>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（1）前悬架系统：前麦弗逊式独立悬架，</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（2）前下控制臂≥2个；</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（3）前稳定杆≥1根；</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（4）前稳定杆连杆≥2个；</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（5）前副车架≥1个；</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（6）前转向节（羊角）≥2个。</w:t>
            </w:r>
            <w:r>
              <w:rPr>
                <w:rFonts w:ascii="Times New Roman" w:hAnsi="Times New Roman" w:cs="Times New Roman"/>
                <w:color w:val="000000"/>
                <w:szCs w:val="21"/>
                <w:highlight w:val="none"/>
              </w:rPr>
            </w:r>
            <w:r/>
          </w:p>
          <w:p>
            <w:pPr>
              <w:pStyle w:val="783"/>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（二）配套资料</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（1）与设备相匹配的工艺卡及工艺流程确认卡；</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工艺指导文件：数量≥1套，包含驱动后桥装调、液压制动系统装调、后悬架装调、转向机构装调、前悬架机构装调、车轮机构装调工艺指导文件。（工艺指导文件所包含内容需与设备相匹配，投标时提供设备组装过程中所需的具体工艺步骤和工艺参数的佐证材料） </w:t>
            </w:r>
            <w:r>
              <w:rPr>
                <w:rFonts w:ascii="Times New Roman" w:hAnsi="Times New Roman" w:cs="Times New Roman"/>
                <w:color w:val="000000"/>
                <w:szCs w:val="21"/>
                <w:highlight w:val="none"/>
              </w:rPr>
            </w:r>
            <w:r/>
          </w:p>
          <w:p>
            <w:pPr>
              <w:pStyle w:val="783"/>
              <w:numPr>
                <w:ilvl w:val="0"/>
                <w:numId w:val="4"/>
              </w:numPr>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操作指导视频：数量≥1套，包含驱动后桥装调、液压制动系统装调、后悬架装调、转向机构装调、前悬架机构装调、车轮机构的指导视频。（视频内容必须包含上述每个部分的装调过程与步骤且与上述工艺文件内容相匹配，视频画面要求清晰顺畅）</w:t>
            </w:r>
            <w:r>
              <w:rPr>
                <w:rFonts w:ascii="Times New Roman" w:hAnsi="Times New Roman" w:cs="Times New Roman"/>
                <w:color w:val="000000"/>
                <w:szCs w:val="21"/>
                <w:highlight w:val="none"/>
              </w:rPr>
            </w:r>
            <w:r/>
          </w:p>
        </w:tc>
        <w:tc>
          <w:tcPr>
            <w:tcW w:w="763"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737"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套</w:t>
            </w:r>
            <w:r>
              <w:rPr>
                <w:rFonts w:ascii="Times New Roman" w:hAnsi="Times New Roman" w:cs="Times New Roman"/>
                <w:color w:val="000000"/>
                <w:szCs w:val="21"/>
                <w:highlight w:val="none"/>
              </w:rPr>
            </w:r>
            <w:r/>
          </w:p>
        </w:tc>
        <w:tc>
          <w:tcPr>
            <w:tcW w:w="700"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738"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rPr>
            </w:r>
            <w:r/>
          </w:p>
        </w:tc>
        <w:tc>
          <w:tcPr>
            <w:tcW w:w="1087"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减震器</w:t>
            </w:r>
            <w:r>
              <w:rPr>
                <w:rFonts w:ascii="Times New Roman" w:hAnsi="Times New Roman" w:cs="Times New Roman"/>
                <w:color w:val="000000"/>
                <w:szCs w:val="21"/>
                <w:highlight w:val="none"/>
              </w:rPr>
            </w:r>
            <w:r/>
          </w:p>
        </w:tc>
        <w:tc>
          <w:tcPr>
            <w:tcW w:w="6300" w:type="dxa"/>
            <w:vAlign w:val="top"/>
            <w:textDirection w:val="lrTb"/>
            <w:noWrap w:val="false"/>
          </w:tcPr>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（一）系统介绍</w:t>
            </w:r>
            <w:r>
              <w:rPr>
                <w:rFonts w:ascii="Times New Roman" w:hAnsi="Times New Roman" w:cs="Times New Roman"/>
                <w:b/>
                <w:bCs/>
                <w:color w:val="000000"/>
                <w:szCs w:val="21"/>
                <w:highlight w:val="none"/>
              </w:rPr>
            </w:r>
            <w:r/>
          </w:p>
          <w:p>
            <w:pPr>
              <w:pStyle w:val="783"/>
              <w:ind w:firstLine="42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该减震器套件总计8套包含方程式减震器4套，混动汽车减震器4套</w:t>
            </w:r>
            <w:r>
              <w:rPr>
                <w:rFonts w:ascii="Times New Roman" w:hAnsi="Times New Roman" w:cs="Times New Roman"/>
                <w:color w:val="000000"/>
                <w:szCs w:val="21"/>
                <w:highlight w:val="none"/>
              </w:rPr>
            </w:r>
            <w:r/>
          </w:p>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（二）技术要求</w:t>
            </w:r>
            <w:r>
              <w:rPr>
                <w:rFonts w:ascii="Times New Roman" w:hAnsi="Times New Roman" w:cs="Times New Roman"/>
                <w:b/>
                <w:bCs/>
                <w:color w:val="000000"/>
                <w:szCs w:val="21"/>
                <w:highlight w:val="none"/>
              </w:rPr>
            </w:r>
            <w:r/>
          </w:p>
          <w:p>
            <w:pPr>
              <w:pStyle w:val="783"/>
              <w:ind w:firstLine="211"/>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1. 减震器</w:t>
            </w:r>
            <w:r>
              <w:rPr>
                <w:rFonts w:ascii="Times New Roman" w:hAnsi="Times New Roman" w:cs="Times New Roman"/>
                <w:b/>
                <w:bCs/>
                <w:color w:val="000000"/>
                <w:szCs w:val="21"/>
                <w:highlight w:val="none"/>
              </w:rPr>
            </w:r>
            <w:r/>
          </w:p>
          <w:p>
            <w:pPr>
              <w:pStyle w:val="783"/>
              <w:ind w:firstLine="42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（1）方程式减震器要求</w:t>
            </w:r>
            <w:r>
              <w:rPr>
                <w:rFonts w:ascii="Times New Roman" w:hAnsi="Times New Roman" w:cs="Times New Roman"/>
                <w:color w:val="000000"/>
                <w:szCs w:val="21"/>
                <w:highlight w:val="none"/>
              </w:rPr>
            </w:r>
            <w:r/>
          </w:p>
          <w:p>
            <w:pPr>
              <w:pStyle w:val="783"/>
              <w:ind w:firstLine="63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1）减震器为四通道减震器，油压减震器，具有高、低速可调节功能，调节档位数不少于14段位，阻尼值范围为0-1000N</w:t>
            </w:r>
            <w:r>
              <w:rPr>
                <w:rFonts w:ascii="Times New Roman" w:hAnsi="Times New Roman" w:cs="Times New Roman"/>
                <w:color w:val="000000"/>
                <w:szCs w:val="21"/>
                <w:highlight w:val="none"/>
              </w:rPr>
            </w:r>
            <w:r/>
          </w:p>
          <w:p>
            <w:pPr>
              <w:pStyle w:val="783"/>
              <w:ind w:firstLine="21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 混动汽车减震器要求</w:t>
            </w:r>
            <w:r>
              <w:rPr>
                <w:rFonts w:ascii="Times New Roman" w:hAnsi="Times New Roman" w:cs="Times New Roman"/>
                <w:color w:val="000000"/>
                <w:szCs w:val="21"/>
                <w:highlight w:val="none"/>
              </w:rPr>
            </w:r>
            <w:r/>
          </w:p>
          <w:p>
            <w:pPr>
              <w:pStyle w:val="783"/>
              <w:ind w:firstLine="42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（1）减震器总成：四通道油压减震器≥2支；具有高、低速可调节功能，调节档位数≥14段；阻尼值调节范围0-1000N；含减震器安装附件≥1套。</w:t>
            </w:r>
            <w:r>
              <w:rPr>
                <w:rFonts w:ascii="Times New Roman" w:hAnsi="Times New Roman" w:cs="Times New Roman"/>
                <w:color w:val="000000"/>
                <w:szCs w:val="21"/>
                <w:highlight w:val="none"/>
              </w:rPr>
            </w:r>
            <w:r/>
          </w:p>
          <w:p>
            <w:pPr>
              <w:pStyle w:val="783"/>
              <w:ind w:firstLine="42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（2）悬架轴承：杆端轴承M6≥2个；向心轴承≥2个；轴承安装座≥1套。</w:t>
            </w:r>
            <w:r>
              <w:rPr>
                <w:rFonts w:ascii="Times New Roman" w:hAnsi="Times New Roman" w:cs="Times New Roman"/>
                <w:color w:val="000000"/>
                <w:szCs w:val="21"/>
                <w:highlight w:val="none"/>
              </w:rPr>
            </w:r>
            <w:r/>
          </w:p>
          <w:p>
            <w:pPr>
              <w:pStyle w:val="783"/>
              <w:ind w:firstLine="420"/>
              <w:tabs>
                <w:tab w:val="left" w:pos="0" w:leader="none"/>
              </w:tabs>
              <w:rPr>
                <w:rFonts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（3）悬架加工件：后主销≥2个；后上叉臂≥2个；后上叉臂集成块≥2个；后下叉臂≥2个；后下叉臂集成块≥2个；后摇臂≥2个</w:t>
            </w:r>
            <w:r>
              <w:rPr>
                <w:rFonts w:ascii="Times New Roman" w:hAnsi="Times New Roman" w:cs="Times New Roman"/>
                <w:color w:val="000000"/>
                <w:szCs w:val="21"/>
                <w:highlight w:val="none"/>
                <w:lang w:eastAsia="zh-CN"/>
              </w:rPr>
              <w:t xml:space="preserve">。</w:t>
            </w:r>
            <w:r>
              <w:rPr>
                <w:rFonts w:ascii="Times New Roman" w:hAnsi="Times New Roman" w:eastAsia="宋体" w:cs="Times New Roman"/>
                <w:color w:val="000000"/>
                <w:szCs w:val="21"/>
                <w:highlight w:val="none"/>
                <w:lang w:eastAsia="zh-CN"/>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（4）辅助弹性元件：第三弹簧≥2个；弹簧安装座及附件≥1套。</w:t>
            </w:r>
            <w:r>
              <w:rPr>
                <w:rFonts w:ascii="Times New Roman" w:hAnsi="Times New Roman" w:cs="Times New Roman"/>
                <w:color w:val="000000"/>
                <w:szCs w:val="21"/>
                <w:highlight w:val="none"/>
              </w:rPr>
            </w:r>
            <w:r/>
          </w:p>
        </w:tc>
        <w:tc>
          <w:tcPr>
            <w:tcW w:w="763"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w:t>
            </w:r>
            <w:r>
              <w:rPr>
                <w:rFonts w:ascii="Times New Roman" w:hAnsi="Times New Roman" w:cs="Times New Roman"/>
                <w:color w:val="000000"/>
                <w:szCs w:val="21"/>
                <w:highlight w:val="none"/>
              </w:rPr>
            </w:r>
            <w:r/>
          </w:p>
        </w:tc>
        <w:tc>
          <w:tcPr>
            <w:tcW w:w="737"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套</w:t>
            </w:r>
            <w:r>
              <w:rPr>
                <w:rFonts w:ascii="Times New Roman" w:hAnsi="Times New Roman" w:cs="Times New Roman"/>
                <w:color w:val="000000"/>
                <w:szCs w:val="21"/>
                <w:highlight w:val="none"/>
              </w:rPr>
            </w:r>
            <w:r/>
          </w:p>
        </w:tc>
        <w:tc>
          <w:tcPr>
            <w:tcW w:w="700"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738"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1087"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线控转向系统与动力电池装调模块</w:t>
            </w:r>
            <w:r>
              <w:rPr>
                <w:rFonts w:ascii="Times New Roman" w:hAnsi="Times New Roman" w:cs="Times New Roman"/>
                <w:color w:val="000000"/>
                <w:szCs w:val="21"/>
                <w:highlight w:val="none"/>
              </w:rPr>
            </w:r>
            <w:r/>
          </w:p>
        </w:tc>
        <w:tc>
          <w:tcPr>
            <w:tcW w:w="6300" w:type="dxa"/>
            <w:vAlign w:val="top"/>
            <w:textDirection w:val="lrTb"/>
            <w:noWrap w:val="false"/>
          </w:tcPr>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（一）系统介绍</w:t>
            </w:r>
            <w:r>
              <w:rPr>
                <w:rFonts w:ascii="Times New Roman" w:hAnsi="Times New Roman" w:cs="Times New Roman"/>
                <w:b/>
                <w:bCs/>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线控转向系统与动力电池装调模块总计3套包含线控转向系统与动力电池装调硬件设备2套，混合动力助力转向系统模块1套</w:t>
            </w:r>
            <w:r>
              <w:rPr>
                <w:rFonts w:ascii="Times New Roman" w:hAnsi="Times New Roman" w:cs="Times New Roman"/>
                <w:color w:val="000000"/>
                <w:szCs w:val="21"/>
                <w:highlight w:val="none"/>
              </w:rPr>
            </w:r>
            <w:r/>
          </w:p>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（二）技术要求</w:t>
            </w:r>
            <w:r>
              <w:rPr>
                <w:rFonts w:ascii="Times New Roman" w:hAnsi="Times New Roman" w:cs="Times New Roman"/>
                <w:b/>
                <w:bCs/>
                <w:color w:val="000000"/>
                <w:szCs w:val="21"/>
                <w:highlight w:val="none"/>
              </w:rPr>
            </w:r>
            <w:r/>
          </w:p>
          <w:p>
            <w:pPr>
              <w:pStyle w:val="783"/>
              <w:numPr>
                <w:ilvl w:val="0"/>
                <w:numId w:val="5"/>
              </w:numPr>
              <w:ind w:firstLine="422"/>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线控转向系统与动力电池装调硬件设备</w:t>
            </w:r>
            <w:r>
              <w:rPr>
                <w:rFonts w:ascii="Times New Roman" w:hAnsi="Times New Roman" w:cs="Times New Roman"/>
                <w:b/>
                <w:bCs/>
                <w:color w:val="000000"/>
                <w:szCs w:val="21"/>
                <w:highlight w:val="none"/>
              </w:rPr>
            </w:r>
            <w:r/>
          </w:p>
          <w:p>
            <w:pPr>
              <w:pStyle w:val="783"/>
              <w:ind w:firstLine="422"/>
              <w:jc w:val="left"/>
              <w:tabs>
                <w:tab w:val="left" w:pos="0" w:leader="none"/>
              </w:tabs>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硬件设备</w:t>
            </w:r>
            <w:r>
              <w:rPr>
                <w:rFonts w:ascii="Times New Roman" w:hAnsi="Times New Roman" w:cs="Times New Roman"/>
                <w:b/>
                <w:bCs/>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（1）线控转向系统：转向电机≥1个；转向蜗轮蜗杆传动机构≥1套；线转向角度传感器≥1个；线转电机固定钣金≥1套。</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（2）动力电池模块：动力电池包≥1（储能≥2.5kWh；16串磷酸铁锂电池，容量≥50Ah）；电池管理系统≥1套（具备显示屏、电源开关、短路保护功能，动力电池输出线缆≥2条）。</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（3）车身模块：车身底盘钣金≥1个；车身装饰和灯光固定、超声波探头固定钣金≥1套；传感器支架模组≥1个。</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（4）与该设备装调过程相匹配的工艺卡及工艺流程卡。</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（5）工艺指导文件：数量≥1套，包括线控转向系统装调、动力电池模块装调、车身模块装调工序的工艺指导文件。</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操作指导视频：数量≥1套，包括线控转向系统装调、动力电池模块装调、车身模块装调工序的指导视频（视频内容必须包含上述每个部分的装调过程与步骤且与上述工艺文件内容相匹配，视频画面要求清晰顺畅）。</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为支撑线控底盘控制系统的调试、测试实验教学，满足学校对前端测试、研发辅助等人才的培养需求，供应商需提供厂家针对“线控转向系统类”的原创设计证明，以确定在C语言程序开发、测试、调试等教学上的支撑能力。</w:t>
            </w:r>
            <w:r>
              <w:rPr>
                <w:rFonts w:ascii="Times New Roman" w:hAnsi="Times New Roman" w:cs="Times New Roman"/>
                <w:color w:val="000000"/>
                <w:szCs w:val="21"/>
                <w:highlight w:val="none"/>
              </w:rPr>
            </w:r>
            <w:r/>
          </w:p>
          <w:p>
            <w:pPr>
              <w:pStyle w:val="783"/>
              <w:numPr>
                <w:ilvl w:val="0"/>
                <w:numId w:val="5"/>
              </w:numPr>
              <w:ind w:firstLine="422"/>
              <w:jc w:val="left"/>
              <w:tabs>
                <w:tab w:val="left" w:pos="0" w:leader="none"/>
              </w:tabs>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混合动力助力转向系统模块</w:t>
            </w:r>
            <w:r>
              <w:rPr>
                <w:rFonts w:ascii="Times New Roman" w:hAnsi="Times New Roman" w:cs="Times New Roman"/>
                <w:b/>
                <w:bCs/>
                <w:color w:val="000000"/>
                <w:szCs w:val="21"/>
                <w:highlight w:val="none"/>
              </w:rPr>
            </w:r>
            <w:r/>
          </w:p>
          <w:p>
            <w:pPr>
              <w:pStyle w:val="783"/>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（1）</w:t>
            </w:r>
            <w:r>
              <w:rPr>
                <w:rFonts w:ascii="Times New Roman" w:hAnsi="Times New Roman" w:cs="Times New Roman"/>
                <w:b/>
                <w:bCs/>
                <w:color w:val="000000"/>
                <w:szCs w:val="21"/>
                <w:highlight w:val="none"/>
              </w:rPr>
              <w:t xml:space="preserve">结构特点</w:t>
            </w:r>
            <w:r>
              <w:rPr>
                <w:rFonts w:ascii="Times New Roman" w:hAnsi="Times New Roman" w:cs="Times New Roman"/>
                <w:b/>
                <w:bCs/>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t xml:space="preserve">实验台整体包含：方向机、转向电控系统、电动助力电机、控制电路、前悬架、方向盘、转向柱、轮胎。</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rPr>
              <w:t xml:space="preserve">台体结构：采用专用T型螺栓内部链接方式拼接，安装静音万向脚轮方便设备移动，并有锁止功能。</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t xml:space="preserve">检测面板：面板内嵌式安装，采用高密度铝塑板，采用UV彩喷。面板喷绘电路原理图，并安装检测端子，安装数字显示电压表。</w:t>
            </w:r>
            <w:r>
              <w:rPr>
                <w:rFonts w:ascii="Times New Roman" w:hAnsi="Times New Roman" w:cs="Times New Roman"/>
                <w:color w:val="000000"/>
                <w:szCs w:val="21"/>
                <w:highlight w:val="none"/>
              </w:rPr>
            </w:r>
            <w:r/>
          </w:p>
          <w:p>
            <w:pPr>
              <w:pStyle w:val="783"/>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（2）</w:t>
            </w:r>
            <w:r>
              <w:rPr>
                <w:rFonts w:ascii="Times New Roman" w:hAnsi="Times New Roman" w:cs="Times New Roman"/>
                <w:b/>
                <w:bCs/>
                <w:color w:val="000000"/>
                <w:szCs w:val="21"/>
                <w:highlight w:val="none"/>
              </w:rPr>
              <w:t xml:space="preserve">功能特点</w:t>
            </w:r>
            <w:r>
              <w:rPr>
                <w:rFonts w:ascii="Times New Roman" w:hAnsi="Times New Roman" w:cs="Times New Roman"/>
                <w:b/>
                <w:bCs/>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t xml:space="preserve">实训台配置电控电子动力转向能够正常运行，用于学生掌握电控电子动力转向的工作原理、结构认知、数据分析，以满足汽车电控电子动力转向器检测维修的教学需求。</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rPr>
              <w:t xml:space="preserve">结构展示：安装原车电控电子动力转向系统实物，电控电子动力转向电控系统、悬架机械系统部件齐全均可正常运行。</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t xml:space="preserve">数据检测：实训面板安装检测端口可使用示波器、万用表等工具对电控电子动力转向电控系统的数据进行电压、电阻、波形的检测。</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w:t>
            </w:r>
            <w:r>
              <w:rPr>
                <w:rFonts w:ascii="Times New Roman" w:hAnsi="Times New Roman" w:cs="Times New Roman"/>
                <w:color w:val="000000"/>
                <w:szCs w:val="21"/>
                <w:highlight w:val="none"/>
              </w:rPr>
              <w:t xml:space="preserve">实验实训：实训台安装原车转向系统完整可进行车轮定位调整的实训，通过调节油门踏板改变电机转速进行助力大小的体验实训。</w:t>
            </w:r>
            <w:r>
              <w:rPr>
                <w:rFonts w:ascii="Times New Roman" w:hAnsi="Times New Roman" w:cs="Times New Roman"/>
                <w:color w:val="000000"/>
                <w:szCs w:val="21"/>
                <w:highlight w:val="none"/>
              </w:rPr>
            </w:r>
            <w:r/>
          </w:p>
        </w:tc>
        <w:tc>
          <w:tcPr>
            <w:tcW w:w="763"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737"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套</w:t>
            </w:r>
            <w:r>
              <w:rPr>
                <w:rFonts w:ascii="Times New Roman" w:hAnsi="Times New Roman" w:cs="Times New Roman"/>
                <w:color w:val="000000"/>
                <w:szCs w:val="21"/>
                <w:highlight w:val="none"/>
              </w:rPr>
            </w:r>
            <w:r/>
          </w:p>
        </w:tc>
        <w:tc>
          <w:tcPr>
            <w:tcW w:w="700"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738"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w:t>
            </w:r>
            <w:r>
              <w:rPr>
                <w:rFonts w:ascii="Times New Roman" w:hAnsi="Times New Roman" w:cs="Times New Roman"/>
                <w:color w:val="000000"/>
                <w:szCs w:val="21"/>
                <w:highlight w:val="none"/>
              </w:rPr>
            </w:r>
            <w:r/>
          </w:p>
        </w:tc>
        <w:tc>
          <w:tcPr>
            <w:tcW w:w="1087"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线控制动系统与高性能计算机装调模块</w:t>
            </w:r>
            <w:r>
              <w:rPr>
                <w:rFonts w:ascii="Times New Roman" w:hAnsi="Times New Roman" w:cs="Times New Roman"/>
                <w:color w:val="000000"/>
                <w:szCs w:val="21"/>
                <w:highlight w:val="none"/>
              </w:rPr>
            </w:r>
            <w:r/>
          </w:p>
        </w:tc>
        <w:tc>
          <w:tcPr>
            <w:tcW w:w="6300" w:type="dxa"/>
            <w:vAlign w:val="top"/>
            <w:textDirection w:val="lrTb"/>
            <w:noWrap w:val="false"/>
          </w:tcPr>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（一）系统介绍</w:t>
            </w:r>
            <w:r>
              <w:rPr>
                <w:rFonts w:ascii="Times New Roman" w:hAnsi="Times New Roman" w:cs="Times New Roman"/>
                <w:b/>
                <w:bCs/>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线控制动系统与高性能计算机装调模块包含线控制动系统与高性能计算机装调设备2套，制动系统及负载试验系统模块1套</w:t>
            </w:r>
            <w:r>
              <w:rPr>
                <w:rFonts w:ascii="Times New Roman" w:hAnsi="Times New Roman" w:cs="Times New Roman"/>
                <w:color w:val="000000"/>
                <w:szCs w:val="21"/>
                <w:highlight w:val="none"/>
              </w:rPr>
            </w:r>
            <w:r/>
          </w:p>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（二）技术要求</w:t>
            </w:r>
            <w:r>
              <w:rPr>
                <w:rFonts w:ascii="Times New Roman" w:hAnsi="Times New Roman" w:cs="Times New Roman"/>
                <w:b/>
                <w:bCs/>
                <w:color w:val="000000"/>
                <w:szCs w:val="21"/>
                <w:highlight w:val="none"/>
              </w:rPr>
            </w:r>
            <w:r/>
          </w:p>
          <w:p>
            <w:pPr>
              <w:pStyle w:val="783"/>
              <w:numPr>
                <w:ilvl w:val="0"/>
                <w:numId w:val="6"/>
              </w:numPr>
              <w:ind w:firstLine="422"/>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线控制动系统与高性能计算机装调设备</w:t>
            </w:r>
            <w:r>
              <w:rPr>
                <w:rFonts w:ascii="Times New Roman" w:hAnsi="Times New Roman" w:cs="Times New Roman"/>
                <w:b/>
                <w:bCs/>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（1）线控制动系统：双通道制动主泵≥1个；制动三相电机≥1套；10MP制动压力传感器≥1个；</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（2）线控灯光控制系统：前车灯≥1套（含转向灯、示宽灯、近光灯）；后车灯≥1套（含转向灯、示宽灯、制动灯）。</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（3）专用控制终端</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1）8核16线程X86构架处理器及配套主板≥1套；</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2）16GB内存条≥2条（不低于DDR4 3200MHz）；</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3）固态硬盘≥1个（容量≥480GB，接口类型M.2）；</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4）显卡≥GTX 1660 6GB,数量≥1张；</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5）双路CAN适配器≥1个；</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6）电源≥1个；</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7）工控机机箱≥1个；</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8）USB3.0接口U盘≥1个（容量≥32GB）</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（4）专用控制终端软件：Linux系统软件1套，Ubuntu操作系统1套，Apollo-kernel系统1套，docker工具软件1套，定位测试软件1套，视觉测试软件1套，激光雷达测试软件1套。</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（5）与该设备装调过程相匹配的工艺卡及工艺流程卡。</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工艺指导文件：数量≥1套，包含线控制动系统装调、线控灯光控制系统装调、专用控制终端系统装调、专用控制终端软件工具装调工序的工艺指导文件。（工艺指导文件所包含内容需与设备相匹配，投标时提供设备组装过程中所需的具体工艺步骤和工艺参数的佐证材料）</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操作指导视频：数量≥1套，含线控制动系统装调、线控灯光控制系统装调、专用控制终端系统装调、专用控制终端软件工具装调工序的操作指导视频（视频内容必须包含上述每个部分的装调过程与步骤且与上述工艺文件内容相匹配，视频画面要求清晰顺畅）。</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为支撑线控底盘控制系统的调试、测试实验教学，满足学校对前端测试、研发辅助等人才的培养需求，供应商需提供厂家针对“线控制动系统类”的原创设计证明，以确定在C语言程序开发、测试、调试等教学上的支撑能力。</w:t>
            </w:r>
            <w:r>
              <w:rPr>
                <w:rFonts w:ascii="Times New Roman" w:hAnsi="Times New Roman" w:cs="Times New Roman"/>
                <w:color w:val="000000"/>
                <w:szCs w:val="21"/>
                <w:highlight w:val="none"/>
              </w:rPr>
            </w:r>
            <w:r/>
          </w:p>
          <w:p>
            <w:pPr>
              <w:pStyle w:val="783"/>
              <w:numPr>
                <w:ilvl w:val="0"/>
                <w:numId w:val="6"/>
              </w:numPr>
              <w:ind w:firstLine="422"/>
              <w:jc w:val="left"/>
              <w:tabs>
                <w:tab w:val="left" w:pos="0" w:leader="none"/>
              </w:tabs>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制动系统及负载试验系统模块</w:t>
            </w:r>
            <w:r>
              <w:rPr>
                <w:rFonts w:ascii="Times New Roman" w:hAnsi="Times New Roman" w:cs="Times New Roman"/>
                <w:b/>
                <w:bCs/>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（1）原车制动踏板总成：包含原厂制动踏板机构及踏板位置传感器≥1套；配套制动总泵及真空助力器≥1套；制动储液罐及液位传感器≥1套。</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（2）原车制动控制单元：包含原厂ABS/ESC液压控制单元≥1个；制动压力调节模块≥1套；集成式制动控制系统线束及接口≥1套；具备与整车CAN总线通讯功能。</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（3）液压制动执行系统：前/后制动卡钳总成≥4个；前/后刹车盘≥4个；高性能刹车片≥4套；制动硬管及高压软管总成≥1套；制动液≥1套。</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（4）磁力加载器总成：磁力加载器≥1台；最大加载能力≥160Nm；加载精度≤±1%FS；配备手动调节旋钮≥1个，可实现0-100%连续可调；含加载器安装支架及联轴器≥1套。</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（5）负载测试控制系统：手动负载调节模块≥1套；含加载控制仪表≥1个；实时显示加载电流/扭矩/功率参数；配备紧急停止开关≥1个；系统过载保护装置≥1套；试验台架安装底座及紧固件≥1套。</w:t>
            </w:r>
            <w:r>
              <w:rPr>
                <w:rFonts w:ascii="Times New Roman" w:hAnsi="Times New Roman" w:cs="Times New Roman"/>
                <w:color w:val="000000"/>
                <w:szCs w:val="21"/>
                <w:highlight w:val="none"/>
              </w:rPr>
            </w:r>
            <w:r/>
          </w:p>
        </w:tc>
        <w:tc>
          <w:tcPr>
            <w:tcW w:w="763"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737" w:type="dxa"/>
            <w:vAlign w:val="center"/>
            <w:textDirection w:val="lrTb"/>
            <w:noWrap w:val="false"/>
          </w:tcPr>
          <w:p>
            <w:pPr>
              <w:pStyle w:val="783"/>
              <w:jc w:val="center"/>
              <w:rPr>
                <w:rFonts w:ascii="Times New Roman" w:hAnsi="Times New Roman" w:cs="Times New Roman"/>
                <w:b/>
                <w:bCs/>
                <w:color w:val="000000"/>
                <w:szCs w:val="21"/>
                <w:highlight w:val="none"/>
              </w:rPr>
              <w:outlineLvl w:val="0"/>
            </w:pPr>
            <w:r>
              <w:rPr>
                <w:rFonts w:ascii="Times New Roman" w:hAnsi="Times New Roman" w:cs="Times New Roman"/>
                <w:b/>
                <w:bCs/>
                <w:color w:val="000000"/>
                <w:szCs w:val="21"/>
                <w:highlight w:val="none"/>
              </w:rPr>
              <w:t xml:space="preserve">套</w:t>
            </w:r>
            <w:r>
              <w:rPr>
                <w:rFonts w:ascii="Times New Roman" w:hAnsi="Times New Roman" w:cs="Times New Roman"/>
                <w:b/>
                <w:bCs/>
                <w:color w:val="000000"/>
                <w:szCs w:val="21"/>
                <w:highlight w:val="none"/>
              </w:rPr>
            </w:r>
            <w:r/>
          </w:p>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700"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738"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w:t>
            </w:r>
            <w:r>
              <w:rPr>
                <w:rFonts w:ascii="Times New Roman" w:hAnsi="Times New Roman" w:cs="Times New Roman"/>
                <w:color w:val="000000"/>
                <w:szCs w:val="21"/>
                <w:highlight w:val="none"/>
              </w:rPr>
            </w:r>
            <w:r/>
          </w:p>
        </w:tc>
        <w:tc>
          <w:tcPr>
            <w:tcW w:w="1087"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制动测试仪</w:t>
            </w:r>
            <w:r>
              <w:rPr>
                <w:rFonts w:ascii="Times New Roman" w:hAnsi="Times New Roman" w:cs="Times New Roman"/>
                <w:color w:val="000000"/>
                <w:szCs w:val="21"/>
                <w:highlight w:val="none"/>
              </w:rPr>
            </w:r>
            <w:r/>
          </w:p>
        </w:tc>
        <w:tc>
          <w:tcPr>
            <w:tcW w:w="6300" w:type="dxa"/>
            <w:vAlign w:val="top"/>
            <w:textDirection w:val="lrTb"/>
            <w:noWrap w:val="false"/>
          </w:tcPr>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（一）系统介绍</w:t>
            </w:r>
            <w:r>
              <w:rPr>
                <w:rFonts w:ascii="Times New Roman" w:hAnsi="Times New Roman" w:cs="Times New Roman"/>
                <w:b/>
                <w:bCs/>
                <w:color w:val="000000"/>
                <w:szCs w:val="21"/>
                <w:highlight w:val="none"/>
              </w:rPr>
            </w:r>
            <w:r/>
          </w:p>
          <w:p>
            <w:pPr>
              <w:pStyle w:val="783"/>
              <w:ind w:firstLine="42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该制动测试仪套件总计3套，包含制动主缸制动卡钳含摩擦片制动油管（包含制动压力传感器和三通）制动踏板总成，制动测试仪3套</w:t>
            </w:r>
            <w:r>
              <w:rPr>
                <w:rFonts w:ascii="Times New Roman" w:hAnsi="Times New Roman" w:cs="Times New Roman"/>
                <w:color w:val="000000"/>
                <w:szCs w:val="21"/>
                <w:highlight w:val="none"/>
              </w:rPr>
            </w:r>
            <w:r/>
          </w:p>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（二）技术要求</w:t>
            </w:r>
            <w:r>
              <w:rPr>
                <w:rFonts w:ascii="Times New Roman" w:hAnsi="Times New Roman" w:cs="Times New Roman"/>
                <w:b/>
                <w:bCs/>
                <w:color w:val="000000"/>
                <w:szCs w:val="21"/>
                <w:highlight w:val="none"/>
              </w:rPr>
            </w:r>
            <w:r/>
          </w:p>
          <w:p>
            <w:pPr>
              <w:pStyle w:val="783"/>
              <w:ind w:firstLine="42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1.制动主缸：缸径误差小于0.1%，防水防泥性能优异；使用寿命必须保证赛道行驶</w:t>
            </w:r>
            <w:r>
              <w:rPr>
                <w:rFonts w:ascii="Times New Roman" w:hAnsi="Times New Roman" w:cs="Times New Roman"/>
                <w:color w:val="000000"/>
                <w:szCs w:val="21"/>
                <w:highlight w:val="none"/>
                <w:lang w:val="en-US" w:eastAsia="zh-CN"/>
              </w:rPr>
              <w:t xml:space="preserve">不少于</w:t>
            </w:r>
            <w:r>
              <w:rPr>
                <w:rFonts w:ascii="Times New Roman" w:hAnsi="Times New Roman" w:cs="Times New Roman"/>
                <w:color w:val="000000"/>
                <w:szCs w:val="21"/>
                <w:highlight w:val="none"/>
              </w:rPr>
              <w:t xml:space="preserve">200公里，材料：6061航空铝合金；颜色：氧化黑色；卧式主缸；必须为一体式主缸，单个主缸控制两个分泵，不允许一拖四类型主缸。主缸必须包含油壶两个，其中一个油壶可以通过油管外接，另外一个可以直接连接在主缸体上。左右各一条。</w:t>
            </w:r>
            <w:r>
              <w:rPr>
                <w:rFonts w:ascii="Times New Roman" w:hAnsi="Times New Roman" w:cs="Times New Roman"/>
                <w:color w:val="000000"/>
                <w:szCs w:val="21"/>
                <w:highlight w:val="none"/>
              </w:rPr>
            </w:r>
            <w:r/>
          </w:p>
          <w:p>
            <w:pPr>
              <w:pStyle w:val="783"/>
              <w:ind w:firstLine="42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2.制动卡钳含摩擦片：对向双活塞卡钳；缸径误差小于0.1%；</w:t>
            </w:r>
            <w:r>
              <w:rPr>
                <w:rFonts w:ascii="Times New Roman" w:hAnsi="Times New Roman" w:cs="Times New Roman"/>
                <w:color w:val="000000"/>
                <w:szCs w:val="21"/>
                <w:highlight w:val="none"/>
              </w:rPr>
            </w:r>
            <w:r/>
          </w:p>
          <w:p>
            <w:pPr>
              <w:pStyle w:val="783"/>
              <w:ind w:firstLine="42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3.制动油管（包含制动压力传感器和三通）、制动踏板总成。</w:t>
            </w:r>
            <w:r>
              <w:rPr>
                <w:rFonts w:ascii="Times New Roman" w:hAnsi="Times New Roman" w:cs="Times New Roman"/>
                <w:color w:val="000000"/>
                <w:szCs w:val="21"/>
                <w:highlight w:val="none"/>
              </w:rPr>
            </w:r>
            <w:r/>
          </w:p>
          <w:p>
            <w:pPr>
              <w:pStyle w:val="783"/>
              <w:ind w:firstLine="42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4.测量范围:0~±9.81m/s2</w:t>
            </w:r>
            <w:r>
              <w:rPr>
                <w:rFonts w:ascii="Times New Roman" w:hAnsi="Times New Roman" w:cs="Times New Roman"/>
                <w:color w:val="000000"/>
                <w:szCs w:val="21"/>
                <w:highlight w:val="none"/>
              </w:rPr>
            </w:r>
            <w:r/>
          </w:p>
          <w:p>
            <w:pPr>
              <w:pStyle w:val="783"/>
              <w:ind w:firstLine="42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5.定时速度:0~99km/h</w:t>
            </w:r>
            <w:r>
              <w:rPr>
                <w:rFonts w:ascii="Times New Roman" w:hAnsi="Times New Roman" w:cs="Times New Roman"/>
                <w:color w:val="000000"/>
                <w:szCs w:val="21"/>
                <w:highlight w:val="none"/>
              </w:rPr>
            </w:r>
            <w:r/>
          </w:p>
          <w:p>
            <w:pPr>
              <w:pStyle w:val="783"/>
              <w:ind w:firstLine="42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6.制动距离:0~99.99m</w:t>
            </w:r>
            <w:r>
              <w:rPr>
                <w:rFonts w:ascii="Times New Roman" w:hAnsi="Times New Roman" w:cs="Times New Roman"/>
                <w:color w:val="000000"/>
                <w:szCs w:val="21"/>
                <w:highlight w:val="none"/>
              </w:rPr>
            </w:r>
            <w:r/>
          </w:p>
          <w:p>
            <w:pPr>
              <w:pStyle w:val="783"/>
              <w:ind w:firstLine="42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7.制动时间:0~10.00s</w:t>
            </w:r>
            <w:r>
              <w:rPr>
                <w:rFonts w:ascii="Times New Roman" w:hAnsi="Times New Roman" w:cs="Times New Roman"/>
                <w:color w:val="000000"/>
                <w:szCs w:val="21"/>
                <w:highlight w:val="none"/>
              </w:rPr>
            </w:r>
            <w:r/>
          </w:p>
        </w:tc>
        <w:tc>
          <w:tcPr>
            <w:tcW w:w="763"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737"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700"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738"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color w:val="000000"/>
                <w:szCs w:val="21"/>
                <w:highlight w:val="none"/>
              </w:rPr>
            </w:r>
            <w:r/>
          </w:p>
        </w:tc>
        <w:tc>
          <w:tcPr>
            <w:tcW w:w="1087"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驱动电机</w:t>
            </w:r>
            <w:r>
              <w:rPr>
                <w:rFonts w:ascii="Times New Roman" w:hAnsi="Times New Roman" w:cs="Times New Roman"/>
                <w:color w:val="000000"/>
                <w:szCs w:val="21"/>
                <w:highlight w:val="none"/>
              </w:rPr>
            </w:r>
            <w:r/>
          </w:p>
        </w:tc>
        <w:tc>
          <w:tcPr>
            <w:tcW w:w="6300" w:type="dxa"/>
            <w:vAlign w:val="top"/>
            <w:textDirection w:val="lrTb"/>
            <w:noWrap w:val="false"/>
          </w:tcPr>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（一）系统介绍</w:t>
            </w:r>
            <w:r>
              <w:rPr>
                <w:rFonts w:ascii="Times New Roman" w:hAnsi="Times New Roman" w:cs="Times New Roman"/>
                <w:b/>
                <w:bCs/>
                <w:color w:val="000000"/>
                <w:szCs w:val="21"/>
                <w:highlight w:val="none"/>
              </w:rPr>
            </w:r>
            <w:r/>
          </w:p>
          <w:p>
            <w:pPr>
              <w:pStyle w:val="783"/>
              <w:ind w:firstLine="42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该驱动电机套件总计8套，包含方程式赛车专用电机1套、电机实践项目6套、混合动力汽车动力系统1套。</w:t>
            </w:r>
            <w:r>
              <w:rPr>
                <w:rFonts w:ascii="Times New Roman" w:hAnsi="Times New Roman" w:cs="Times New Roman"/>
                <w:color w:val="000000"/>
                <w:szCs w:val="21"/>
                <w:highlight w:val="none"/>
              </w:rPr>
            </w:r>
            <w:r/>
          </w:p>
          <w:p>
            <w:pPr>
              <w:pStyle w:val="783"/>
              <w:numPr>
                <w:ilvl w:val="0"/>
                <w:numId w:val="7"/>
              </w:numPr>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技术要求</w:t>
            </w:r>
            <w:r>
              <w:rPr>
                <w:rFonts w:ascii="Times New Roman" w:hAnsi="Times New Roman" w:cs="Times New Roman"/>
                <w:b/>
                <w:bCs/>
                <w:color w:val="000000"/>
                <w:szCs w:val="21"/>
                <w:highlight w:val="none"/>
              </w:rPr>
            </w:r>
            <w:r/>
          </w:p>
          <w:p>
            <w:pPr>
              <w:pStyle w:val="783"/>
              <w:ind w:firstLine="422"/>
              <w:tabs>
                <w:tab w:val="left" w:pos="0" w:leader="none"/>
              </w:tabs>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1．方程式赛车专用电机</w:t>
            </w:r>
            <w:r>
              <w:rPr>
                <w:rFonts w:ascii="Times New Roman" w:hAnsi="Times New Roman" w:cs="Times New Roman"/>
                <w:b/>
                <w:bCs/>
                <w:color w:val="000000"/>
                <w:szCs w:val="21"/>
                <w:highlight w:val="none"/>
              </w:rPr>
            </w:r>
            <w:r/>
          </w:p>
          <w:p>
            <w:pPr>
              <w:pStyle w:val="783"/>
              <w:numPr>
                <w:ilvl w:val="0"/>
                <w:numId w:val="8"/>
              </w:numPr>
              <w:ind w:firstLine="42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驱动电机型号：类型：轴向磁通电机；功率密度：10KW/kg；电机效率：</w:t>
            </w:r>
            <w:r>
              <w:rPr>
                <w:rFonts w:ascii="Times New Roman" w:hAnsi="Times New Roman" w:cs="Times New Roman"/>
                <w:color w:val="000000"/>
                <w:szCs w:val="21"/>
                <w:highlight w:val="none"/>
                <w:lang w:val="en-US" w:eastAsia="zh-CN"/>
              </w:rPr>
              <w:t xml:space="preserve">≥</w:t>
            </w:r>
            <w:r>
              <w:rPr>
                <w:rFonts w:ascii="Times New Roman" w:hAnsi="Times New Roman" w:cs="Times New Roman"/>
                <w:color w:val="000000"/>
                <w:szCs w:val="21"/>
                <w:highlight w:val="none"/>
              </w:rPr>
              <w:t xml:space="preserve">98%；峰值功率：</w:t>
            </w:r>
            <w:r>
              <w:rPr>
                <w:rFonts w:ascii="Times New Roman" w:hAnsi="Times New Roman" w:cs="Times New Roman"/>
                <w:color w:val="000000"/>
                <w:szCs w:val="21"/>
                <w:highlight w:val="none"/>
                <w:lang w:val="en-US" w:eastAsia="zh-CN"/>
              </w:rPr>
              <w:t xml:space="preserve">≥</w:t>
            </w:r>
            <w:r>
              <w:rPr>
                <w:rFonts w:ascii="Times New Roman" w:hAnsi="Times New Roman" w:cs="Times New Roman"/>
                <w:color w:val="000000"/>
                <w:szCs w:val="21"/>
                <w:highlight w:val="none"/>
              </w:rPr>
              <w:t xml:space="preserve">109KW；峰值扭矩：</w:t>
            </w:r>
            <w:r>
              <w:rPr>
                <w:rFonts w:ascii="Times New Roman" w:hAnsi="Times New Roman" w:cs="Times New Roman"/>
                <w:color w:val="000000"/>
                <w:szCs w:val="21"/>
                <w:highlight w:val="none"/>
                <w:lang w:val="en-US" w:eastAsia="zh-CN"/>
              </w:rPr>
              <w:t xml:space="preserve">≥</w:t>
            </w:r>
            <w:r>
              <w:rPr>
                <w:rFonts w:ascii="Times New Roman" w:hAnsi="Times New Roman" w:cs="Times New Roman"/>
                <w:color w:val="000000"/>
                <w:szCs w:val="21"/>
                <w:highlight w:val="none"/>
              </w:rPr>
              <w:t xml:space="preserve">230Nm；冷却方式：液冷；防水等级：IP65；核心扩展：可堆叠；电机控制器：防水等级：IP65及以上；耐压范围：12-700Vdc；冷却形式：液冷；辅助输出接口：12V及24Vdc；信号接口：支持RS232\CAN Bus且支持上位机软件编程；差速器：要求：差速器为摩擦片式限滑差速器，铝合金外壳，内置</w:t>
            </w:r>
            <w:r>
              <w:rPr>
                <w:rFonts w:ascii="Times New Roman" w:hAnsi="Times New Roman" w:cs="Times New Roman"/>
                <w:color w:val="000000"/>
                <w:szCs w:val="21"/>
                <w:highlight w:val="none"/>
              </w:rPr>
              <w:t xml:space="preserve">4对限滑摩擦片和一对止推环结构，且带有外置可调节差速器锁止预紧力，单个减震器重量不超过2.5kg，限滑锁止调节范围0—90%，最少需要三个机械可调节档位，内部包含十字轴式结构以方便调节，预紧力调节必须包含调节 扳手和相应辅助工具。必须包含对应7075铝合金胚料，胚料要求为：直径大于等于200mm，厚度大于等于40mm，必须有和差速器配套的内花键；定制球笼：40Cr材质，且符合参赛规则半轴：钛合金材质，符合参赛规则大链轮：40Cr材质，且符合参赛规则小链轮：40Cr材质，且符合参赛规则链条：按照设计定制化加工</w:t>
            </w: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r>
            <w:r/>
          </w:p>
          <w:p>
            <w:pPr>
              <w:pStyle w:val="783"/>
              <w:ind w:firstLine="422"/>
              <w:tabs>
                <w:tab w:val="left" w:pos="0" w:leader="none"/>
              </w:tabs>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2．电机实践项目</w:t>
            </w:r>
            <w:r>
              <w:rPr>
                <w:rFonts w:ascii="Times New Roman" w:hAnsi="Times New Roman" w:cs="Times New Roman"/>
                <w:b/>
                <w:bCs/>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★(1)核心板：板载LED指示灯；6路</w:t>
            </w:r>
            <w:r>
              <w:rPr>
                <w:rFonts w:ascii="Times New Roman" w:hAnsi="Times New Roman" w:cs="Times New Roman"/>
                <w:color w:val="000000"/>
                <w:szCs w:val="21"/>
                <w:highlight w:val="none"/>
              </w:rPr>
              <w:t xml:space="preserve">模拟量输入端口支持电压值读取；4路温度传感器输入端口支持电压值读取；2个位置传感器输入端口支持电压值读取；2个输入电压端口支持电压值读取；4个数字输入端口支持高低电平读取；低速CAN控制器接口1路；高速CAN控制路；1个计数器端口支持旋转编码器计数读取、凸轮轴计数、曲轴计数；1路加速踏板/正弦波发生器；1个汽车H桥电机控制；高边、低边控制支持PWM输出控制；4路输出支持MOS低边驱动；4路输出支持MOS高边驱动；2路输出支持继电器开/继电器关控制；2路输出支持对外电源开/关控制；1路对外串口支持发送/接收。</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(2)电机制作材料：电机转子：4层圆筒状叠加亚克力板；定子：6层圆筒状叠加亚克力板；PCB加强板3张；霍尔位置传感器芯片3颗；转子用强磁8颗；电机轴承2个；电机轴1根；1根1.2米长度Type-C数据线；2mm直径圆形测试线3条，长度20cm，颜色分别为黄色、绿色、蓝色；霍尔线束：5P排线。（投标时需提供功能截图证明材料）</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(3)控制底板材料：透明物料盒1pcs；底PCB，10*15*8 1pcs；底板电子元件包10*15*8 1pcs；漆包线1卷；霍尔线束（5P排线） 1pcs；2mm测试线（黄绿蓝）3pcs；热缩管直径2mm，长度10cm 4pcs；配件盒（装电机物料）1pcs。</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(4)配套资源：电子版实验指导书，PPT≥16个，视频资源≥25个，实验程序例程≥9个，开放电机驱动控制系统电路原理图。</w:t>
            </w:r>
            <w:r>
              <w:rPr>
                <w:rFonts w:ascii="Times New Roman" w:hAnsi="Times New Roman" w:cs="Times New Roman"/>
                <w:color w:val="000000"/>
                <w:szCs w:val="21"/>
                <w:highlight w:val="none"/>
              </w:rPr>
            </w:r>
            <w:r/>
          </w:p>
          <w:p>
            <w:pPr>
              <w:pStyle w:val="783"/>
              <w:ind w:left="420"/>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3.</w:t>
            </w:r>
            <w:r>
              <w:rPr>
                <w:rFonts w:ascii="Times New Roman" w:hAnsi="Times New Roman" w:cs="Times New Roman"/>
                <w:color w:val="000000"/>
                <w:szCs w:val="21"/>
                <w:highlight w:val="none"/>
              </w:rPr>
              <w:t xml:space="preserve">混合动力汽车动力系统</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(1)结构特点</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实物台架：实物台架上安装有高效混动专用发动机、电动驱动桥、电机电源模块、驱动电机控制器与DC总成、高压分配盒、车载充电机、低压蓄电池、高压线束、控制线束、专用跨线接口等按原车布局布置，安装一键启动按钮、制动踏板、油门踏板、档位开关等，满足教学操作需求。</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2)动力系统描述：采用原车永磁同步电机，前置前驱的驱动方式；燃料形式：插电式混合动力。</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3)检测面板：面板内嵌式安装，采用高密度铝塑板。数控微雕加工部件安装精准，采用UV彩喷，面板喷绘电路原理图，并安装检测端子，安装数字显示电压表。</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(2)功能特点</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实训台配置发动机、电动驱动桥、电机电源模块、低压蓄电池部件均为原车部件。</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1)结构展示：安装原车实物布局布置，可直接观察连接结构，能够清晰的展示发动机、电动驱动桥、电机电源模块、低压蓄电池及控制系统的结构组成。</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2)信息显示：在实训面板上安装数字电压表，可实时显示发动机、电驱动桥及各个控制系统不同工况的主要数据变化，以便学员对发动机、电机、充电、电源控制、电源、转换等系统的动态数据的分析。</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数据检测：实训面板安装检测端口可使用示波器、万用表等工具对发动机控制单元、变速箱电机电源模块、车载充电机控制形式、控制器的信号给进类型、高压电源控制逻辑的分析、高低压之间的电源转换及动力分配。</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实验实训：实训台安装原车一键启动按钮、油门踏板、制动踏板、供电系统、散热系统，能够满足发动机及电驱动桥的各工况运行实训，发动机及电驱动桥为原车实物，可进行常规保养实训，电控系统部件齐全有效，可进行电控系统检测实训，带有慢充电接口，可进行充电过程实训，安装有原车专用诊断接口可连接专用或通用解码器进行故障码读取、数据流读取等原车功能实训。</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5)配有可移动平板设置故障，通过无线连接检测平台内故障设置装置，在平板上有原厂电路图，点击电路图上的故障设置按钮可实现远程故障设置，实现实训考核。</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在检测平台安装有专门的手动故障设置区，检测口针脚完全按照原车模块线束插头端子针脚排列，将原机线束按标准双向接引到故障设置区，故障设置装置采用手动模式通过电流大对原车信号造成影响小，设置故障多样性能力强可设置断路、虚接、对地短路、对正极短路、对其它信号短路。（投标文件中提供实物图片，要求对应故障设置端子针脚号，针脚数字排列规律清晰可见）</w:t>
            </w:r>
            <w:r>
              <w:rPr>
                <w:rFonts w:ascii="Times New Roman" w:hAnsi="Times New Roman" w:cs="Times New Roman"/>
                <w:color w:val="000000"/>
                <w:szCs w:val="21"/>
                <w:highlight w:val="none"/>
              </w:rPr>
            </w:r>
            <w:r/>
          </w:p>
        </w:tc>
        <w:tc>
          <w:tcPr>
            <w:tcW w:w="763"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w:t>
            </w:r>
            <w:r>
              <w:rPr>
                <w:rFonts w:ascii="Times New Roman" w:hAnsi="Times New Roman" w:cs="Times New Roman"/>
                <w:color w:val="000000"/>
                <w:szCs w:val="21"/>
                <w:highlight w:val="none"/>
              </w:rPr>
            </w:r>
            <w:r/>
          </w:p>
        </w:tc>
        <w:tc>
          <w:tcPr>
            <w:tcW w:w="737"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700"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738"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w:t>
            </w:r>
            <w:r>
              <w:rPr>
                <w:rFonts w:ascii="Times New Roman" w:hAnsi="Times New Roman" w:cs="Times New Roman"/>
                <w:color w:val="000000"/>
                <w:szCs w:val="21"/>
                <w:highlight w:val="none"/>
              </w:rPr>
            </w:r>
            <w:r/>
          </w:p>
        </w:tc>
        <w:tc>
          <w:tcPr>
            <w:tcW w:w="1087"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动力电池</w:t>
            </w:r>
            <w:r>
              <w:rPr>
                <w:rFonts w:ascii="Times New Roman" w:hAnsi="Times New Roman" w:cs="Times New Roman"/>
                <w:color w:val="000000"/>
                <w:szCs w:val="21"/>
                <w:highlight w:val="none"/>
              </w:rPr>
            </w:r>
            <w:r/>
          </w:p>
        </w:tc>
        <w:tc>
          <w:tcPr>
            <w:tcW w:w="6300" w:type="dxa"/>
            <w:vAlign w:val="top"/>
            <w:textDirection w:val="lrTb"/>
            <w:noWrap w:val="false"/>
          </w:tcPr>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（一）系统介绍</w:t>
            </w:r>
            <w:r>
              <w:rPr>
                <w:rFonts w:ascii="Times New Roman" w:hAnsi="Times New Roman" w:cs="Times New Roman"/>
                <w:b/>
                <w:bCs/>
                <w:color w:val="000000"/>
                <w:szCs w:val="21"/>
                <w:highlight w:val="none"/>
              </w:rPr>
            </w:r>
            <w:r/>
          </w:p>
          <w:p>
            <w:pPr>
              <w:pStyle w:val="783"/>
              <w:numPr>
                <w:ilvl w:val="0"/>
                <w:numId w:val="9"/>
              </w:numPr>
              <w:ind w:firstLine="420"/>
              <w:tabs>
                <w:tab w:val="left" w:pos="0" w:leader="none"/>
              </w:tabs>
              <w:rPr>
                <w:rFonts w:ascii="Times New Roman" w:hAnsi="Times New Roman" w:cs="Times New Roman"/>
                <w:color w:val="000000"/>
                <w:szCs w:val="21"/>
                <w:highlight w:val="none"/>
              </w:rPr>
              <w:outlineLvl w:val="2"/>
            </w:pPr>
            <w:r>
              <w:rPr>
                <w:rFonts w:ascii="Times New Roman" w:hAnsi="Times New Roman" w:cs="Times New Roman"/>
                <w:color w:val="000000"/>
                <w:szCs w:val="21"/>
                <w:highlight w:val="none"/>
              </w:rPr>
              <w:t xml:space="preserve">该动力电池套件总计4套包含动力电池1套、≥144V以上动力电池2套、</w:t>
            </w:r>
            <w:r>
              <w:rPr>
                <w:rFonts w:ascii="Times New Roman" w:hAnsi="Times New Roman" w:cs="Times New Roman"/>
                <w:b/>
                <w:bCs/>
                <w:color w:val="000000"/>
                <w:szCs w:val="21"/>
                <w:highlight w:val="none"/>
              </w:rPr>
              <w:t xml:space="preserve">混合动力汽车电池系统1套</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783"/>
              <w:numPr>
                <w:ilvl w:val="0"/>
                <w:numId w:val="10"/>
              </w:numPr>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技术要求</w:t>
            </w:r>
            <w:r>
              <w:rPr>
                <w:rFonts w:ascii="Times New Roman" w:hAnsi="Times New Roman" w:cs="Times New Roman"/>
                <w:b/>
                <w:bCs/>
                <w:color w:val="000000"/>
                <w:szCs w:val="21"/>
                <w:highlight w:val="none"/>
              </w:rPr>
            </w:r>
            <w:r/>
          </w:p>
          <w:p>
            <w:pPr>
              <w:pStyle w:val="783"/>
              <w:ind w:left="420"/>
              <w:tabs>
                <w:tab w:val="left" w:pos="0" w:leader="none"/>
              </w:tabs>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1.动力电池</w:t>
            </w:r>
            <w:r>
              <w:rPr>
                <w:rFonts w:ascii="Times New Roman" w:hAnsi="Times New Roman" w:cs="Times New Roman"/>
                <w:b/>
                <w:bCs/>
                <w:color w:val="000000"/>
                <w:szCs w:val="21"/>
                <w:highlight w:val="none"/>
              </w:rPr>
            </w:r>
            <w:r/>
          </w:p>
          <w:p>
            <w:pPr>
              <w:pStyle w:val="783"/>
              <w:ind w:firstLine="420"/>
              <w:tabs>
                <w:tab w:val="left" w:pos="0" w:leader="none"/>
              </w:tabs>
              <w:rPr>
                <w:rFonts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（1）动力电池：防水等级：IP65及以上、电池单体类型：钴酸锂电芯、电量：8kWh、冷却方式：风冷、信号接口：支持RS232\CAN 且支持显示屏配置参数、激活电压：12V、最大充电电流：5A、最大放电电流：200A、电池管理系统BMS峰值电压：400V、额定电压360V</w:t>
            </w:r>
            <w:r>
              <w:rPr>
                <w:rFonts w:ascii="Times New Roman" w:hAnsi="Times New Roman" w:cs="Times New Roman"/>
                <w:color w:val="000000"/>
                <w:szCs w:val="21"/>
                <w:highlight w:val="none"/>
                <w:lang w:eastAsia="zh-CN"/>
              </w:rPr>
              <w:t xml:space="preserve">。</w:t>
            </w:r>
            <w:r>
              <w:rPr>
                <w:rFonts w:ascii="Times New Roman" w:hAnsi="Times New Roman" w:eastAsia="宋体" w:cs="Times New Roman"/>
                <w:color w:val="000000"/>
                <w:szCs w:val="21"/>
                <w:highlight w:val="none"/>
                <w:lang w:eastAsia="zh-CN"/>
              </w:rPr>
            </w:r>
            <w:r/>
          </w:p>
          <w:p>
            <w:pPr>
              <w:pStyle w:val="783"/>
              <w:ind w:left="420"/>
              <w:tabs>
                <w:tab w:val="left" w:pos="0" w:leader="none"/>
              </w:tabs>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2.144V动力电池</w:t>
            </w:r>
            <w:r>
              <w:rPr>
                <w:rFonts w:ascii="Times New Roman" w:hAnsi="Times New Roman" w:cs="Times New Roman"/>
                <w:b/>
                <w:bCs/>
                <w:color w:val="000000"/>
                <w:szCs w:val="21"/>
                <w:highlight w:val="none"/>
              </w:rPr>
            </w:r>
            <w:r/>
          </w:p>
          <w:p>
            <w:pPr>
              <w:pStyle w:val="783"/>
              <w:numPr>
                <w:ilvl w:val="0"/>
                <w:numId w:val="11"/>
              </w:numPr>
              <w:ind w:firstLine="42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采用4并40串的组合设计方案；</w:t>
            </w:r>
            <w:r>
              <w:rPr>
                <w:rFonts w:ascii="Times New Roman" w:hAnsi="Times New Roman" w:cs="Times New Roman"/>
                <w:color w:val="000000"/>
                <w:szCs w:val="21"/>
                <w:highlight w:val="none"/>
              </w:rPr>
            </w:r>
            <w:r/>
          </w:p>
          <w:p>
            <w:pPr>
              <w:pStyle w:val="783"/>
              <w:numPr>
                <w:ilvl w:val="0"/>
                <w:numId w:val="11"/>
              </w:numPr>
              <w:ind w:firstLine="42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设计参数电池额定电压：144V；</w:t>
            </w:r>
            <w:r>
              <w:rPr>
                <w:rFonts w:ascii="Times New Roman" w:hAnsi="Times New Roman" w:cs="Times New Roman"/>
                <w:color w:val="000000"/>
                <w:szCs w:val="21"/>
                <w:highlight w:val="none"/>
              </w:rPr>
            </w:r>
            <w:r/>
          </w:p>
          <w:p>
            <w:pPr>
              <w:pStyle w:val="783"/>
              <w:numPr>
                <w:ilvl w:val="0"/>
                <w:numId w:val="11"/>
              </w:numPr>
              <w:ind w:firstLine="42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最大放电电流：200A；</w:t>
            </w:r>
            <w:r>
              <w:rPr>
                <w:rFonts w:ascii="Times New Roman" w:hAnsi="Times New Roman" w:cs="Times New Roman"/>
                <w:color w:val="000000"/>
                <w:szCs w:val="21"/>
                <w:highlight w:val="none"/>
              </w:rPr>
            </w:r>
            <w:r/>
          </w:p>
          <w:p>
            <w:pPr>
              <w:pStyle w:val="783"/>
              <w:numPr>
                <w:ilvl w:val="0"/>
                <w:numId w:val="11"/>
              </w:numPr>
              <w:ind w:firstLine="42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电池额定容量为：54Ah</w:t>
            </w: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r>
            <w:r/>
          </w:p>
          <w:p>
            <w:pPr>
              <w:pStyle w:val="783"/>
              <w:ind w:left="420"/>
              <w:tabs>
                <w:tab w:val="left" w:pos="0" w:leader="none"/>
              </w:tabs>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3.混合动力汽车电池系统</w:t>
            </w:r>
            <w:r>
              <w:rPr>
                <w:rFonts w:ascii="Times New Roman" w:hAnsi="Times New Roman" w:cs="Times New Roman"/>
                <w:b/>
                <w:bCs/>
                <w:color w:val="000000"/>
                <w:szCs w:val="21"/>
                <w:highlight w:val="none"/>
              </w:rPr>
            </w:r>
            <w:r/>
          </w:p>
          <w:p>
            <w:pPr>
              <w:pStyle w:val="783"/>
              <w:ind w:firstLine="422"/>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（1）结构特点</w:t>
            </w:r>
            <w:r>
              <w:rPr>
                <w:rFonts w:ascii="Times New Roman" w:hAnsi="Times New Roman" w:cs="Times New Roman"/>
                <w:b/>
                <w:bCs/>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1）实物台架：实物台架上安装BMS电池管理系统、慢充充电座、磷酸铁锂高压电池包、高压线束、控制线束、专用跨线接口等按原车布局布置，满足教学操作需求。</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2）检测面板：面板内嵌式安装，采用高密度铝塑板，数控微雕加工部件安装精准，采用UV彩喷字，面板喷绘电路原理图，并安装检测端子，安装数字显示电压表。</w:t>
            </w:r>
            <w:r>
              <w:rPr>
                <w:rFonts w:ascii="Times New Roman" w:hAnsi="Times New Roman" w:cs="Times New Roman"/>
                <w:b/>
                <w:color w:val="000000"/>
                <w:szCs w:val="21"/>
                <w:highlight w:val="none"/>
              </w:rPr>
              <w:t xml:space="preserve">（投标文件中提供实物图片，要求对应电压表至少包含：蓄电池电压、动力电池交流充电插座CC电压表、动力电池交流充电插座 CP电压表、CAN-H电压表、CAN-L电压表，排列规律名称清晰可见）</w:t>
            </w:r>
            <w:r>
              <w:rPr>
                <w:rFonts w:ascii="Times New Roman" w:hAnsi="Times New Roman" w:cs="Times New Roman"/>
                <w:color w:val="000000"/>
                <w:szCs w:val="21"/>
                <w:highlight w:val="none"/>
              </w:rPr>
            </w:r>
            <w:r/>
          </w:p>
          <w:p>
            <w:pPr>
              <w:pStyle w:val="783"/>
              <w:ind w:firstLine="422"/>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（2）功能特点</w:t>
            </w:r>
            <w:r>
              <w:rPr>
                <w:rFonts w:ascii="Times New Roman" w:hAnsi="Times New Roman" w:cs="Times New Roman"/>
                <w:b/>
                <w:bCs/>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实训台配置高压电池包部件均为原车部件，性能完整与原车一致，可实现原车一致的实训操作。</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1）结构展示：安装原车实物布局布置，高压分配盒护盖采用透明亚克力制作盖板，可直接观察内部结构，能够清晰的展示高压分配盒、车载充电机、慢充充电座、高压电池包及控制系统。</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2）信息显示：在实训面板上安装数字电压表，可实时显示高压电池包、及各个控制系统不同工况的主要数据变化，以便学员对电池、充电、电源控制、电源分配等系统的动态数据的分析。</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数据检测：实训面板安装检测端口，可使用示波器、万用表等工具，对BMS控制单元、高压分配盒、车载充电机控制形式、控制器的信号给进类型、高压电源控制逻辑的分析、高低压之间的电源转换及动力分配。</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4）实验实训：实训台安装原车动力电池组、高压分配盒、充电接口等系统，带有慢充电接口，可连接专用或通用解码器进行故障码读取、数据流读取、基本设定等。</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5）配有可移动平板设置故障，通过无线连接检测平台内故障设置装置，在平板上有原厂电路图，点击电路图上的故障设置按钮可实现远程故障设置，实现实训考核。</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bCs/>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color w:val="000000"/>
                <w:szCs w:val="21"/>
                <w:highlight w:val="none"/>
              </w:rPr>
              <w:t xml:space="preserve">手动故障设置，</w:t>
            </w:r>
            <w:r>
              <w:rPr>
                <w:rFonts w:ascii="Times New Roman" w:hAnsi="Times New Roman" w:cs="Times New Roman"/>
                <w:bCs/>
                <w:color w:val="000000"/>
                <w:szCs w:val="21"/>
                <w:highlight w:val="none"/>
              </w:rPr>
              <w:t xml:space="preserve">在检测平台安装有专门的手动故障设置区，</w:t>
            </w:r>
            <w:r>
              <w:rPr>
                <w:rFonts w:ascii="Times New Roman" w:hAnsi="Times New Roman" w:cs="Times New Roman"/>
                <w:bCs/>
                <w:color w:val="000000"/>
                <w:szCs w:val="21"/>
                <w:highlight w:val="none"/>
              </w:rPr>
              <w:t xml:space="preserve">检测口针脚完全按照原车模块线束插头端子针脚排列，</w:t>
            </w:r>
            <w:r>
              <w:rPr>
                <w:rFonts w:ascii="Times New Roman" w:hAnsi="Times New Roman" w:cs="Times New Roman"/>
                <w:bCs/>
                <w:color w:val="000000"/>
                <w:szCs w:val="21"/>
                <w:highlight w:val="none"/>
              </w:rPr>
              <w:t xml:space="preserve">将原机线束按标准双向接引到故障设置区，故障设置装置采用手动模式通过电流大对原车信号造成影响小，设置故障多样性能力强可设置断路、虚接、对地短路、对正极短路、对其它信号短路。</w:t>
            </w:r>
            <w:r>
              <w:rPr>
                <w:rFonts w:ascii="Times New Roman" w:hAnsi="Times New Roman" w:cs="Times New Roman"/>
                <w:bCs/>
                <w:color w:val="000000"/>
                <w:szCs w:val="21"/>
                <w:highlight w:val="none"/>
              </w:rPr>
            </w:r>
            <w:r/>
          </w:p>
          <w:p>
            <w:pPr>
              <w:pStyle w:val="783"/>
              <w:jc w:val="left"/>
              <w:tabs>
                <w:tab w:val="left" w:pos="0" w:leader="none"/>
              </w:tabs>
              <w:rPr>
                <w:rFonts w:ascii="Times New Roman" w:hAnsi="Times New Roman" w:cs="Times New Roman"/>
                <w:bCs/>
                <w:color w:val="000000"/>
                <w:szCs w:val="21"/>
                <w:highlight w:val="none"/>
              </w:rPr>
            </w:pPr>
            <w:r>
              <w:rPr>
                <w:rFonts w:ascii="Times New Roman" w:hAnsi="Times New Roman" w:cs="Times New Roman"/>
                <w:color w:val="000000"/>
                <w:szCs w:val="21"/>
                <w:highlight w:val="none"/>
              </w:rPr>
              <w:t xml:space="preserve">（三）配套资源</w:t>
            </w:r>
            <w:r>
              <w:rPr>
                <w:rFonts w:ascii="Times New Roman" w:hAnsi="Times New Roman" w:cs="Times New Roman"/>
                <w:bCs/>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《新能源汽车高压安全与防护》汽车专业教学资源平台（远程在线端点≥10个）</w:t>
            </w:r>
            <w:r>
              <w:rPr>
                <w:rFonts w:ascii="Times New Roman" w:hAnsi="Times New Roman" w:cs="Times New Roman"/>
                <w:color w:val="000000"/>
                <w:szCs w:val="21"/>
                <w:highlight w:val="none"/>
              </w:rPr>
            </w:r>
            <w:r/>
          </w:p>
          <w:p>
            <w:pPr>
              <w:pStyle w:val="783"/>
              <w:ind w:left="420"/>
              <w:jc w:val="left"/>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1.资源主要包含：</w:t>
            </w:r>
            <w:r>
              <w:rPr>
                <w:rFonts w:ascii="Times New Roman" w:hAnsi="Times New Roman" w:cs="Times New Roman"/>
                <w:bCs/>
                <w:color w:val="000000"/>
                <w:szCs w:val="21"/>
                <w:highlight w:val="none"/>
              </w:rPr>
            </w:r>
            <w:r/>
          </w:p>
          <w:p>
            <w:pPr>
              <w:pStyle w:val="783"/>
              <w:ind w:firstLine="210"/>
              <w:jc w:val="left"/>
              <w:widowControl/>
              <w:rPr>
                <w:rFonts w:ascii="Times New Roman" w:hAnsi="Times New Roman" w:cs="Times New Roman"/>
                <w:bCs/>
                <w:color w:val="000000"/>
                <w:szCs w:val="21"/>
                <w:highlight w:val="none"/>
              </w:rPr>
            </w:pPr>
            <w:r>
              <w:rPr>
                <w:rFonts w:ascii="Times New Roman" w:hAnsi="Times New Roman" w:cs="Times New Roman"/>
                <w:color w:val="000000"/>
                <w:szCs w:val="21"/>
                <w:highlight w:val="none"/>
              </w:rPr>
              <w:t xml:space="preserve">▲</w:t>
            </w:r>
            <w:r>
              <w:rPr>
                <w:rFonts w:ascii="Times New Roman" w:hAnsi="Times New Roman" w:cs="Times New Roman"/>
                <w:bCs/>
                <w:color w:val="000000"/>
                <w:szCs w:val="21"/>
                <w:highlight w:val="none"/>
              </w:rPr>
              <w:t xml:space="preserve">资源概述:资源模块包含a.课程标准，b.教学设计，c.智慧课堂，d.云素材库，e.在线考核 </w:t>
            </w:r>
            <w:r>
              <w:rPr>
                <w:rFonts w:ascii="Times New Roman" w:hAnsi="Times New Roman" w:cs="Times New Roman"/>
                <w:b/>
                <w:bCs/>
                <w:color w:val="000000"/>
                <w:szCs w:val="21"/>
                <w:highlight w:val="none"/>
              </w:rPr>
              <w:t xml:space="preserve">（投标文件中提供产品截图或产品彩页，须能体现以上模块）</w:t>
            </w:r>
            <w:r>
              <w:rPr>
                <w:rFonts w:ascii="Times New Roman" w:hAnsi="Times New Roman" w:cs="Times New Roman"/>
                <w:bCs/>
                <w:color w:val="000000"/>
                <w:szCs w:val="21"/>
                <w:highlight w:val="none"/>
              </w:rPr>
            </w:r>
            <w:r/>
          </w:p>
          <w:p>
            <w:pPr>
              <w:pStyle w:val="783"/>
              <w:ind w:firstLine="420"/>
              <w:rPr>
                <w:rFonts w:ascii="Times New Roman" w:hAnsi="Times New Roman" w:cs="Times New Roman"/>
                <w:bCs/>
                <w:color w:val="000000"/>
                <w:szCs w:val="21"/>
                <w:highlight w:val="none"/>
              </w:rPr>
            </w:pPr>
            <w:r>
              <w:rPr>
                <w:rFonts w:ascii="Times New Roman" w:hAnsi="Times New Roman" w:cs="Times New Roman"/>
                <w:color w:val="000000"/>
                <w:szCs w:val="21"/>
                <w:highlight w:val="none"/>
              </w:rPr>
              <w:t xml:space="preserve">其中 教学设计、智慧课堂、云素材库，</w:t>
            </w:r>
            <w:r>
              <w:rPr>
                <w:rFonts w:ascii="Times New Roman" w:hAnsi="Times New Roman" w:cs="Times New Roman"/>
                <w:bCs/>
                <w:color w:val="000000"/>
                <w:szCs w:val="21"/>
                <w:highlight w:val="none"/>
                <w:lang w:val="en-US" w:eastAsia="zh-CN"/>
              </w:rPr>
              <w:t xml:space="preserve">教学资料</w:t>
            </w:r>
            <w:r>
              <w:rPr>
                <w:rFonts w:ascii="Times New Roman" w:hAnsi="Times New Roman" w:cs="Times New Roman"/>
                <w:bCs/>
                <w:color w:val="000000"/>
                <w:szCs w:val="21"/>
                <w:highlight w:val="none"/>
                <w:lang w:val="en-US" w:eastAsia="zh-CN"/>
              </w:rPr>
              <w:t xml:space="preserve">内容不少于</w:t>
            </w:r>
            <w:r>
              <w:rPr>
                <w:rFonts w:ascii="Times New Roman" w:hAnsi="Times New Roman" w:cs="Times New Roman"/>
                <w:bCs/>
                <w:color w:val="000000"/>
                <w:szCs w:val="21"/>
                <w:highlight w:val="none"/>
              </w:rPr>
              <w:t xml:space="preserve">5个项目和12个任务。</w:t>
            </w:r>
            <w:r>
              <w:rPr>
                <w:rFonts w:ascii="Times New Roman" w:hAnsi="Times New Roman" w:cs="Times New Roman"/>
                <w:bCs/>
                <w:color w:val="000000"/>
                <w:szCs w:val="21"/>
                <w:highlight w:val="none"/>
              </w:rPr>
            </w:r>
            <w:r/>
          </w:p>
          <w:p>
            <w:pPr>
              <w:pStyle w:val="783"/>
              <w:numPr>
                <w:ilvl w:val="0"/>
                <w:numId w:val="12"/>
              </w:numPr>
              <w:jc w:val="left"/>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课程标准</w:t>
            </w:r>
            <w:r>
              <w:rPr>
                <w:rFonts w:ascii="Times New Roman" w:hAnsi="Times New Roman" w:cs="Times New Roman"/>
                <w:bCs/>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内容包括：</w:t>
            </w:r>
            <w:r>
              <w:rPr>
                <w:rFonts w:ascii="Times New Roman" w:hAnsi="Times New Roman" w:cs="Times New Roman"/>
                <w:color w:val="000000"/>
                <w:szCs w:val="21"/>
                <w:highlight w:val="none"/>
              </w:rPr>
            </w:r>
            <w:r/>
          </w:p>
          <w:p>
            <w:pPr>
              <w:pStyle w:val="783"/>
              <w:numPr>
                <w:ilvl w:val="0"/>
                <w:numId w:val="13"/>
              </w:numPr>
              <w:ind w:left="0"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课程性质与设计思路：课程性质、设计思路；</w:t>
            </w:r>
            <w:r>
              <w:rPr>
                <w:rFonts w:ascii="Times New Roman" w:hAnsi="Times New Roman" w:cs="Times New Roman"/>
                <w:color w:val="000000"/>
                <w:szCs w:val="21"/>
                <w:highlight w:val="none"/>
              </w:rPr>
            </w:r>
            <w:r/>
          </w:p>
          <w:p>
            <w:pPr>
              <w:pStyle w:val="783"/>
              <w:numPr>
                <w:ilvl w:val="0"/>
                <w:numId w:val="13"/>
              </w:numPr>
              <w:ind w:left="0"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课程目标：专业能力、方法能力、社会能力；</w:t>
            </w:r>
            <w:r>
              <w:rPr>
                <w:rFonts w:ascii="Times New Roman" w:hAnsi="Times New Roman" w:cs="Times New Roman"/>
                <w:color w:val="000000"/>
                <w:szCs w:val="21"/>
                <w:highlight w:val="none"/>
              </w:rPr>
            </w:r>
            <w:r/>
          </w:p>
          <w:p>
            <w:pPr>
              <w:pStyle w:val="783"/>
              <w:numPr>
                <w:ilvl w:val="0"/>
                <w:numId w:val="13"/>
              </w:numPr>
              <w:ind w:left="0"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课程内容和要求：知识要求、能力要求、参考课时；</w:t>
            </w:r>
            <w:r>
              <w:rPr>
                <w:rFonts w:ascii="Times New Roman" w:hAnsi="Times New Roman" w:cs="Times New Roman"/>
                <w:color w:val="000000"/>
                <w:szCs w:val="21"/>
                <w:highlight w:val="none"/>
              </w:rPr>
            </w:r>
            <w:r/>
          </w:p>
          <w:p>
            <w:pPr>
              <w:pStyle w:val="783"/>
              <w:numPr>
                <w:ilvl w:val="0"/>
                <w:numId w:val="13"/>
              </w:numPr>
              <w:ind w:left="0"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教学评价：过程评价、学生互评、最终考核；</w:t>
            </w:r>
            <w:r>
              <w:rPr>
                <w:rFonts w:ascii="Times New Roman" w:hAnsi="Times New Roman" w:cs="Times New Roman"/>
                <w:color w:val="000000"/>
                <w:szCs w:val="21"/>
                <w:highlight w:val="none"/>
              </w:rPr>
            </w:r>
            <w:r/>
          </w:p>
          <w:p>
            <w:pPr>
              <w:pStyle w:val="783"/>
              <w:numPr>
                <w:ilvl w:val="0"/>
                <w:numId w:val="0"/>
              </w:numPr>
              <w:jc w:val="left"/>
              <w:widowControl/>
              <w:rPr>
                <w:rFonts w:ascii="Times New Roman" w:hAnsi="Times New Roman" w:cs="Times New Roman"/>
                <w:color w:val="000000"/>
                <w:szCs w:val="21"/>
                <w:highlight w:val="none"/>
              </w:rPr>
            </w:pPr>
            <w:r>
              <w:rPr>
                <w:rFonts w:ascii="Times New Roman" w:hAnsi="Times New Roman" w:eastAsia="宋体" w:cs="Times New Roman"/>
                <w:bCs/>
                <w:color w:val="000000"/>
                <w:szCs w:val="21"/>
                <w:highlight w:val="none"/>
              </w:rPr>
              <w:t xml:space="preserve">▲</w:t>
            </w:r>
            <w:r>
              <w:rPr>
                <w:rFonts w:hint="eastAsia" w:ascii="Times New Roman" w:hAnsi="Times New Roman" w:eastAsia="宋体" w:cs="Times New Roman"/>
                <w:bCs/>
                <w:color w:val="000000"/>
                <w:szCs w:val="21"/>
                <w:highlight w:val="none"/>
                <w:lang w:val="en-US" w:eastAsia="zh-CN"/>
              </w:rPr>
              <w:t xml:space="preserve">e.</w:t>
            </w:r>
            <w:r>
              <w:rPr>
                <w:rFonts w:ascii="Times New Roman" w:hAnsi="Times New Roman" w:eastAsia="宋体" w:cs="Times New Roman"/>
                <w:bCs/>
                <w:color w:val="000000"/>
                <w:szCs w:val="21"/>
                <w:highlight w:val="none"/>
              </w:rPr>
              <w:t xml:space="preserve">教学保障：对学生的要求，对教师的要求、教学资源、实践条件。</w:t>
            </w:r>
            <w:r>
              <w:rPr>
                <w:rFonts w:ascii="Times New Roman" w:hAnsi="Times New Roman" w:cs="Times New Roman"/>
                <w:b/>
                <w:bCs/>
                <w:color w:val="000000"/>
                <w:szCs w:val="21"/>
                <w:highlight w:val="none"/>
              </w:rPr>
              <w:t xml:space="preserve">（投标文件中提供产品截图或产品彩页，须能体现以下模块：课程性质与设计思路、课程目标、课程内容和要求、教学评价、教学保障）</w:t>
            </w:r>
            <w:r>
              <w:rPr>
                <w:rFonts w:ascii="Times New Roman" w:hAnsi="Times New Roman" w:cs="Times New Roman"/>
                <w:color w:val="000000"/>
                <w:szCs w:val="21"/>
                <w:highlight w:val="none"/>
              </w:rPr>
            </w:r>
            <w:r/>
          </w:p>
          <w:p>
            <w:pPr>
              <w:pStyle w:val="783"/>
              <w:numPr>
                <w:ilvl w:val="0"/>
                <w:numId w:val="12"/>
              </w:numPr>
              <w:jc w:val="left"/>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教学设计</w:t>
            </w:r>
            <w:r>
              <w:rPr>
                <w:rFonts w:ascii="Times New Roman" w:hAnsi="Times New Roman" w:cs="Times New Roman"/>
                <w:bCs/>
                <w:color w:val="000000"/>
                <w:szCs w:val="21"/>
                <w:highlight w:val="none"/>
              </w:rPr>
            </w:r>
            <w:r/>
          </w:p>
          <w:p>
            <w:pPr>
              <w:pStyle w:val="783"/>
              <w:ind w:firstLine="420"/>
              <w:jc w:val="left"/>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教学设计</w:t>
            </w:r>
            <w:r>
              <w:rPr>
                <w:rFonts w:ascii="Times New Roman" w:hAnsi="Times New Roman" w:cs="Times New Roman"/>
                <w:bCs/>
                <w:color w:val="000000"/>
                <w:szCs w:val="21"/>
                <w:highlight w:val="none"/>
              </w:rPr>
              <w:t xml:space="preserve">含有</w:t>
            </w:r>
            <w:r>
              <w:rPr>
                <w:rFonts w:ascii="Times New Roman" w:hAnsi="Times New Roman" w:cs="Times New Roman"/>
                <w:bCs/>
                <w:color w:val="000000"/>
                <w:szCs w:val="21"/>
                <w:highlight w:val="none"/>
                <w:lang w:val="en-US" w:eastAsia="zh-CN"/>
              </w:rPr>
              <w:t xml:space="preserve">不少于</w:t>
            </w:r>
            <w:r>
              <w:rPr>
                <w:rFonts w:ascii="Times New Roman" w:hAnsi="Times New Roman" w:cs="Times New Roman"/>
                <w:bCs/>
                <w:color w:val="000000"/>
                <w:szCs w:val="21"/>
                <w:highlight w:val="none"/>
              </w:rPr>
              <w:t xml:space="preserve">5个项目和12个任务。</w:t>
            </w:r>
            <w:r>
              <w:rPr>
                <w:rFonts w:ascii="Times New Roman" w:hAnsi="Times New Roman" w:cs="Times New Roman"/>
                <w:bCs/>
                <w:color w:val="000000"/>
                <w:szCs w:val="21"/>
                <w:highlight w:val="none"/>
              </w:rPr>
            </w:r>
            <w:r/>
          </w:p>
          <w:p>
            <w:pPr>
              <w:pStyle w:val="783"/>
              <w:ind w:firstLine="420"/>
              <w:jc w:val="left"/>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每个教学设计应包含：教学方法、教学目的、教学重点、情景导入、工具资料、教学过程（资讯、计划、决策、实施、检查、评估）、教学内容和自主学习等模块。</w:t>
            </w:r>
            <w:r>
              <w:rPr>
                <w:rFonts w:ascii="Times New Roman" w:hAnsi="Times New Roman" w:cs="Times New Roman"/>
                <w:bCs/>
                <w:color w:val="000000"/>
                <w:szCs w:val="21"/>
                <w:highlight w:val="none"/>
              </w:rPr>
            </w:r>
            <w:r/>
          </w:p>
          <w:p>
            <w:pPr>
              <w:pStyle w:val="783"/>
              <w:numPr>
                <w:ilvl w:val="0"/>
                <w:numId w:val="12"/>
              </w:numPr>
              <w:jc w:val="left"/>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智慧课程</w:t>
            </w:r>
            <w:r>
              <w:rPr>
                <w:rFonts w:ascii="Times New Roman" w:hAnsi="Times New Roman" w:cs="Times New Roman"/>
                <w:bCs/>
                <w:color w:val="000000"/>
                <w:szCs w:val="21"/>
                <w:highlight w:val="none"/>
              </w:rPr>
            </w:r>
            <w:r/>
          </w:p>
          <w:p>
            <w:pPr>
              <w:pStyle w:val="783"/>
              <w:ind w:firstLine="420"/>
              <w:jc w:val="left"/>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智慧课程</w:t>
            </w:r>
            <w:r>
              <w:rPr>
                <w:rFonts w:ascii="Times New Roman" w:hAnsi="Times New Roman" w:cs="Times New Roman"/>
                <w:bCs/>
                <w:color w:val="000000"/>
                <w:szCs w:val="21"/>
                <w:highlight w:val="none"/>
              </w:rPr>
              <w:t xml:space="preserve">含有</w:t>
            </w:r>
            <w:r>
              <w:rPr>
                <w:rFonts w:ascii="Times New Roman" w:hAnsi="Times New Roman" w:cs="Times New Roman"/>
                <w:bCs/>
                <w:color w:val="000000"/>
                <w:szCs w:val="21"/>
                <w:highlight w:val="none"/>
                <w:lang w:val="en-US" w:eastAsia="zh-CN"/>
              </w:rPr>
              <w:t xml:space="preserve">不少于</w:t>
            </w:r>
            <w:r>
              <w:rPr>
                <w:rFonts w:ascii="Times New Roman" w:hAnsi="Times New Roman" w:cs="Times New Roman"/>
                <w:bCs/>
                <w:color w:val="000000"/>
                <w:szCs w:val="21"/>
                <w:highlight w:val="none"/>
              </w:rPr>
              <w:t xml:space="preserve">5个项目和12个任务。</w:t>
            </w:r>
            <w:r>
              <w:rPr>
                <w:rFonts w:ascii="Times New Roman" w:hAnsi="Times New Roman" w:cs="Times New Roman"/>
                <w:bCs/>
                <w:color w:val="000000"/>
                <w:szCs w:val="21"/>
                <w:highlight w:val="none"/>
              </w:rPr>
            </w:r>
            <w:r/>
          </w:p>
          <w:p>
            <w:pPr>
              <w:pStyle w:val="783"/>
              <w:ind w:firstLine="420"/>
              <w:jc w:val="left"/>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每个任务包含：提出任务、任务要求（知识要求、能力要求）、相关知识（基础知识、基本技能、自我评估）、咨询、计划与决策、实施与检查、自我评估。</w:t>
            </w:r>
            <w:r>
              <w:rPr>
                <w:rFonts w:ascii="Times New Roman" w:hAnsi="Times New Roman" w:cs="Times New Roman"/>
                <w:bCs/>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①提出任务：任务描述等；</w:t>
            </w:r>
            <w:r>
              <w:rPr>
                <w:rFonts w:ascii="Times New Roman" w:hAnsi="Times New Roman" w:cs="Times New Roman"/>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②任务要求：知识要求、能力要求；</w:t>
            </w:r>
            <w:r>
              <w:rPr>
                <w:rFonts w:ascii="Times New Roman" w:hAnsi="Times New Roman" w:cs="Times New Roman"/>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③相关知识：该任务系统化原理，图文并茂：要大量使用实物图片，给人以真实感，易调动学生的学习兴趣，配套了相关多媒体动画；</w:t>
            </w:r>
            <w:r>
              <w:rPr>
                <w:rFonts w:ascii="Times New Roman" w:hAnsi="Times New Roman" w:cs="Times New Roman"/>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④基本知识及基本技能：讲述相关知识，内容上包含图文并茂，配套了相关视频；</w:t>
            </w:r>
            <w:r>
              <w:rPr>
                <w:rFonts w:ascii="Times New Roman" w:hAnsi="Times New Roman" w:cs="Times New Roman"/>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⑤自我评估：学生可以通过自我评估进行自我测试，试题包括：选择题、单选题题、多选题、填空题等；</w:t>
            </w:r>
            <w:r>
              <w:rPr>
                <w:rFonts w:ascii="Times New Roman" w:hAnsi="Times New Roman" w:cs="Times New Roman"/>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⑥资讯：学生通过学习“提出任务”、“任务要求”、“相关知识”等内容，完成实训前的内容，并作详细的记录；</w:t>
            </w:r>
            <w:r>
              <w:rPr>
                <w:rFonts w:ascii="Times New Roman" w:hAnsi="Times New Roman" w:cs="Times New Roman"/>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⑦计划和决策：学生根据任务要求，制定人员分工、准备场地及物品、制动工作方案等；</w:t>
            </w:r>
            <w:r>
              <w:rPr>
                <w:rFonts w:ascii="Times New Roman" w:hAnsi="Times New Roman" w:cs="Times New Roman"/>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⑧实施核检查：根据制定计划和实施，完成任务并记录；</w:t>
            </w:r>
            <w:r>
              <w:rPr>
                <w:rFonts w:ascii="Times New Roman" w:hAnsi="Times New Roman" w:cs="Times New Roman"/>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⑨评估：根据任务完成情况，学生自我评分，教师或组长过程巡视/验收检查时，发现问题时直接扣分。</w:t>
            </w:r>
            <w:r>
              <w:rPr>
                <w:rFonts w:ascii="Times New Roman" w:hAnsi="Times New Roman" w:cs="Times New Roman"/>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⑩教师授课模式，</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▲a.支持全屏授课模式。</w:t>
            </w:r>
            <w:r>
              <w:rPr>
                <w:rFonts w:ascii="Times New Roman" w:hAnsi="Times New Roman" w:cs="Times New Roman"/>
                <w:b/>
                <w:bCs/>
                <w:color w:val="000000"/>
                <w:szCs w:val="21"/>
                <w:highlight w:val="none"/>
              </w:rPr>
              <w:t xml:space="preserve">（投标人须提供功能演示，演示内容须满足上述平台功能要求，演示要求详见第三章“四、评标标准-技术部分-演示文件要求”）</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▲b.自由放大教学内容，使用电子笔进行书写标注。</w:t>
            </w:r>
            <w:r>
              <w:rPr>
                <w:rFonts w:ascii="Times New Roman" w:hAnsi="Times New Roman" w:cs="Times New Roman"/>
                <w:b/>
                <w:bCs/>
                <w:color w:val="000000"/>
                <w:szCs w:val="21"/>
                <w:highlight w:val="none"/>
              </w:rPr>
              <w:t xml:space="preserve">（投标人须提供功能演示，演示内容须满足上述平台功能要求，演示要求详见第三章“四、评标标准-技术部分-演示文件要求”）</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b/>
                <w:bCs/>
                <w:color w:val="000000"/>
                <w:szCs w:val="21"/>
                <w:highlight w:val="none"/>
              </w:rPr>
            </w:pPr>
            <w:r>
              <w:rPr>
                <w:rFonts w:ascii="Times New Roman" w:hAnsi="Times New Roman" w:cs="Times New Roman"/>
                <w:color w:val="000000"/>
                <w:szCs w:val="21"/>
                <w:highlight w:val="none"/>
              </w:rPr>
              <w:t xml:space="preserve">▲c.可以更改电子笔迹颜色和粗细和笔记功能。</w:t>
            </w:r>
            <w:r>
              <w:rPr>
                <w:rFonts w:ascii="Times New Roman" w:hAnsi="Times New Roman" w:cs="Times New Roman"/>
                <w:b/>
                <w:bCs/>
                <w:color w:val="000000"/>
                <w:szCs w:val="21"/>
                <w:highlight w:val="none"/>
              </w:rPr>
              <w:t xml:space="preserve">（投标人须提供功能演示，演示内容须满足上述平台功能要求，演示要求详见第三章“四、评标标准-技术部分-演示文件要求”）</w:t>
            </w:r>
            <w:r>
              <w:rPr>
                <w:rFonts w:ascii="Times New Roman" w:hAnsi="Times New Roman" w:cs="Times New Roman"/>
                <w:b/>
                <w:bCs/>
                <w:color w:val="000000"/>
                <w:szCs w:val="21"/>
                <w:highlight w:val="none"/>
              </w:rPr>
            </w:r>
            <w:r/>
          </w:p>
          <w:p>
            <w:pPr>
              <w:pStyle w:val="783"/>
              <w:numPr>
                <w:ilvl w:val="0"/>
                <w:numId w:val="12"/>
              </w:numPr>
              <w:jc w:val="left"/>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云素材库</w:t>
            </w:r>
            <w:r>
              <w:rPr>
                <w:rFonts w:ascii="Times New Roman" w:hAnsi="Times New Roman" w:cs="Times New Roman"/>
                <w:bCs/>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云素材库</w:t>
            </w:r>
            <w:r>
              <w:rPr>
                <w:rFonts w:ascii="Times New Roman" w:hAnsi="Times New Roman" w:cs="Times New Roman"/>
                <w:color w:val="000000"/>
                <w:szCs w:val="21"/>
                <w:highlight w:val="none"/>
              </w:rPr>
              <w:t xml:space="preserve">含有</w:t>
            </w:r>
            <w:r>
              <w:rPr>
                <w:rFonts w:ascii="Times New Roman" w:hAnsi="Times New Roman" w:cs="Times New Roman"/>
                <w:bCs/>
                <w:color w:val="000000"/>
                <w:szCs w:val="21"/>
                <w:highlight w:val="none"/>
                <w:lang w:val="en-US" w:eastAsia="zh-CN"/>
              </w:rPr>
              <w:t xml:space="preserve">不少于</w:t>
            </w:r>
            <w:r>
              <w:rPr>
                <w:rFonts w:ascii="Times New Roman" w:hAnsi="Times New Roman" w:cs="Times New Roman"/>
                <w:color w:val="000000"/>
                <w:szCs w:val="21"/>
                <w:highlight w:val="none"/>
              </w:rPr>
              <w:t xml:space="preserve">5个项目和12个任务。</w:t>
            </w:r>
            <w:r>
              <w:rPr>
                <w:rFonts w:ascii="Times New Roman" w:hAnsi="Times New Roman" w:cs="Times New Roman"/>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项目任务中的课程标准、教学设计、教学课件、多媒体动画、实训视频、图片等。 </w:t>
            </w:r>
            <w:r>
              <w:rPr>
                <w:rFonts w:ascii="Times New Roman" w:hAnsi="Times New Roman" w:cs="Times New Roman"/>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①教学课件：教学课件含有项目任务表中描述的5个项目和12个任务，课件标题要体现课件所表现的内容，文字要醒目，画面简洁清晰，界面友好，操作简单,根据教学内容的需求，设计较强的交互功能且交互要合理设计。</w:t>
            </w:r>
            <w:r>
              <w:rPr>
                <w:rFonts w:ascii="Times New Roman" w:hAnsi="Times New Roman" w:cs="Times New Roman"/>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②</w:t>
            </w:r>
            <w:r>
              <w:rPr>
                <w:rFonts w:ascii="Times New Roman" w:hAnsi="Times New Roman" w:cs="Times New Roman"/>
                <w:color w:val="000000"/>
                <w:szCs w:val="21"/>
                <w:highlight w:val="none"/>
              </w:rPr>
              <w:t xml:space="preserve">实训视频（≥45个）：实训视频包含汽车检测、工作原理、拆装实训等视频。充分表达实操过程中的工作场景，提供规范的工艺、流程、安全等作业标准。</w:t>
            </w:r>
            <w:r>
              <w:rPr>
                <w:rFonts w:ascii="Times New Roman" w:hAnsi="Times New Roman" w:cs="Times New Roman"/>
                <w:color w:val="000000"/>
                <w:szCs w:val="21"/>
                <w:highlight w:val="none"/>
              </w:rPr>
              <w:br w:type="textWrapping" w:clear="all"/>
            </w:r>
            <w:r>
              <w:rPr>
                <w:rFonts w:ascii="Times New Roman" w:hAnsi="Times New Roman" w:cs="Times New Roman"/>
                <w:color w:val="000000"/>
                <w:szCs w:val="21"/>
                <w:highlight w:val="none"/>
              </w:rPr>
              <w:t xml:space="preserve">实操演示视频必须采用高清格式，高清视频提供同步语音讲解，配音要求普通话发音，清晰，语速适中。</w:t>
            </w:r>
            <w:r>
              <w:rPr>
                <w:rFonts w:ascii="Times New Roman" w:hAnsi="Times New Roman" w:cs="Times New Roman"/>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③</w:t>
            </w:r>
            <w:r>
              <w:rPr>
                <w:rFonts w:ascii="Times New Roman" w:hAnsi="Times New Roman" w:cs="Times New Roman"/>
                <w:color w:val="000000"/>
                <w:szCs w:val="21"/>
                <w:highlight w:val="none"/>
              </w:rPr>
              <w:t xml:space="preserve">多媒体动画（≥68个）：动画制定统一的背景，情景动画加控制按钮进行操作、加进度条控制播放进度。据动画内容的不同、分为情景动画、原理动画、交互动画。采用图、文、影、3D 等多媒体形式对零件的功用、类型、结构、原理等知识进行生动展示、深入解析，并提供交互式操作，帮助学生对抽象、难懂的知识点理解、记忆。</w:t>
            </w:r>
            <w:r>
              <w:rPr>
                <w:rFonts w:ascii="Times New Roman" w:hAnsi="Times New Roman" w:cs="Times New Roman"/>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多媒体动画功能要求：</w:t>
            </w:r>
            <w:r>
              <w:rPr>
                <w:rFonts w:ascii="Times New Roman" w:hAnsi="Times New Roman" w:cs="Times New Roman"/>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▲a.</w:t>
            </w:r>
            <w:r>
              <w:rPr>
                <w:rFonts w:ascii="Times New Roman" w:hAnsi="Times New Roman" w:cs="Times New Roman"/>
                <w:color w:val="000000"/>
                <w:szCs w:val="21"/>
                <w:highlight w:val="none"/>
              </w:rPr>
              <w:t xml:space="preserve">动画内自带画笔工具，可以在动画上任意涂写，画笔可以调节笔迹的粗细和颜色；（投标人须提供功能演示，演示内容须满足上述功能要求，演示要求详见第三章“四、评标标准-技术部分-演示文件要求”）</w:t>
            </w:r>
            <w:r>
              <w:rPr>
                <w:rFonts w:ascii="Times New Roman" w:hAnsi="Times New Roman" w:cs="Times New Roman"/>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▲b.</w:t>
            </w:r>
            <w:r>
              <w:rPr>
                <w:rFonts w:ascii="Times New Roman" w:hAnsi="Times New Roman" w:cs="Times New Roman"/>
                <w:color w:val="000000"/>
                <w:szCs w:val="21"/>
                <w:highlight w:val="none"/>
              </w:rPr>
              <w:t xml:space="preserve">具备橡皮擦功能，可以擦除画过的笔迹；具备标记文字功能，可以直接在动画上输入文字，标记内容。（投标人须提供功能演示，演示内容须满足上述功能要求，演示要求详见第三章“四、评标标准-技术部分-演示文件要求”）</w:t>
            </w:r>
            <w:r>
              <w:rPr>
                <w:rFonts w:ascii="Times New Roman" w:hAnsi="Times New Roman" w:cs="Times New Roman"/>
                <w:color w:val="000000"/>
                <w:szCs w:val="21"/>
                <w:highlight w:val="none"/>
              </w:rPr>
            </w:r>
            <w:r/>
          </w:p>
          <w:p>
            <w:pPr>
              <w:pStyle w:val="783"/>
              <w:numPr>
                <w:ilvl w:val="0"/>
                <w:numId w:val="12"/>
              </w:numPr>
              <w:jc w:val="left"/>
              <w:widowControl/>
              <w:rPr>
                <w:rFonts w:ascii="Times New Roman" w:hAnsi="Times New Roman" w:cs="Times New Roman"/>
                <w:bCs/>
                <w:color w:val="000000"/>
                <w:szCs w:val="21"/>
                <w:highlight w:val="none"/>
                <w:lang w:val="zh-CN"/>
              </w:rPr>
            </w:pPr>
            <w:r>
              <w:rPr>
                <w:rFonts w:ascii="Times New Roman" w:hAnsi="Times New Roman" w:cs="Times New Roman"/>
                <w:bCs/>
                <w:color w:val="000000"/>
                <w:szCs w:val="21"/>
                <w:highlight w:val="none"/>
              </w:rPr>
              <w:t xml:space="preserve">新能源汽车全景视频示范课程（数量：不少于12个）</w:t>
            </w:r>
            <w:r>
              <w:rPr>
                <w:rFonts w:ascii="Times New Roman" w:hAnsi="Times New Roman" w:cs="Times New Roman"/>
                <w:bCs/>
                <w:color w:val="000000"/>
                <w:szCs w:val="21"/>
                <w:highlight w:val="none"/>
                <w:lang w:val="zh-CN"/>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▲提供12课时新能源汽车全景视频示范课程</w:t>
            </w:r>
            <w:r>
              <w:rPr>
                <w:rFonts w:ascii="Times New Roman" w:hAnsi="Times New Roman" w:cs="Times New Roman"/>
                <w:color w:val="000000"/>
                <w:szCs w:val="21"/>
                <w:highlight w:val="none"/>
              </w:rPr>
              <w:t xml:space="preserve">（投标人须提供功能演示，演示内容须满足</w:t>
            </w:r>
            <w:r>
              <w:rPr>
                <w:rFonts w:ascii="Times New Roman" w:hAnsi="Times New Roman" w:cs="Times New Roman"/>
                <w:color w:val="000000"/>
                <w:szCs w:val="21"/>
                <w:highlight w:val="none"/>
              </w:rPr>
              <w:t xml:space="preserve">须能体现满足下述课程内容要求</w:t>
            </w:r>
            <w:r>
              <w:rPr>
                <w:rFonts w:ascii="Times New Roman" w:hAnsi="Times New Roman" w:cs="Times New Roman"/>
                <w:color w:val="000000"/>
                <w:szCs w:val="21"/>
                <w:highlight w:val="none"/>
              </w:rPr>
              <w:t xml:space="preserve">，演示要求详见第三章“四、评标标准-技术部分-演示文件要求”）</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新能源汽车全景视频示范课程知识点内容满足以下要求：</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①新能源汽车车辆功能操作;</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②纯电动汽车的日常维护保养;</w:t>
            </w:r>
            <w:r>
              <w:rPr>
                <w:rFonts w:ascii="Times New Roman" w:hAnsi="Times New Roman" w:cs="Times New Roman"/>
                <w:color w:val="000000"/>
                <w:szCs w:val="21"/>
                <w:highlight w:val="none"/>
              </w:rPr>
            </w:r>
            <w:r/>
          </w:p>
          <w:p>
            <w:pPr>
              <w:pStyle w:val="783"/>
              <w:ind w:firstLine="422"/>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③</w:t>
            </w:r>
            <w:r>
              <w:rPr>
                <w:rFonts w:ascii="Times New Roman" w:hAnsi="Times New Roman" w:cs="Times New Roman"/>
                <w:color w:val="000000"/>
                <w:szCs w:val="21"/>
                <w:highlight w:val="none"/>
              </w:rPr>
              <w:t xml:space="preserve">纯电动汽车组成部件介绍;</w:t>
            </w:r>
            <w:r>
              <w:rPr>
                <w:rFonts w:ascii="Times New Roman" w:hAnsi="Times New Roman" w:cs="Times New Roman"/>
                <w:b/>
                <w:bCs/>
                <w:color w:val="000000"/>
                <w:szCs w:val="21"/>
                <w:highlight w:val="none"/>
              </w:rPr>
            </w:r>
            <w:r/>
          </w:p>
          <w:p>
            <w:pPr>
              <w:pStyle w:val="783"/>
              <w:ind w:firstLine="422"/>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④</w:t>
            </w:r>
            <w:r>
              <w:rPr>
                <w:rFonts w:ascii="Times New Roman" w:hAnsi="Times New Roman" w:cs="Times New Roman"/>
                <w:color w:val="000000"/>
                <w:szCs w:val="21"/>
                <w:highlight w:val="none"/>
              </w:rPr>
              <w:t xml:space="preserve">高压电池组拆卸及维护;</w:t>
            </w:r>
            <w:r>
              <w:rPr>
                <w:rFonts w:ascii="Times New Roman" w:hAnsi="Times New Roman" w:cs="Times New Roman"/>
                <w:b/>
                <w:bCs/>
                <w:color w:val="000000"/>
                <w:szCs w:val="21"/>
                <w:highlight w:val="none"/>
              </w:rPr>
            </w:r>
            <w:r/>
          </w:p>
          <w:p>
            <w:pPr>
              <w:pStyle w:val="783"/>
              <w:ind w:firstLine="422"/>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⑤</w:t>
            </w:r>
            <w:r>
              <w:rPr>
                <w:rFonts w:ascii="Times New Roman" w:hAnsi="Times New Roman" w:cs="Times New Roman"/>
                <w:color w:val="000000"/>
                <w:szCs w:val="21"/>
                <w:highlight w:val="none"/>
              </w:rPr>
              <w:t xml:space="preserve">高压电池组组件及功能;</w:t>
            </w:r>
            <w:r>
              <w:rPr>
                <w:rFonts w:ascii="Times New Roman" w:hAnsi="Times New Roman" w:cs="Times New Roman"/>
                <w:b/>
                <w:bCs/>
                <w:color w:val="000000"/>
                <w:szCs w:val="21"/>
                <w:highlight w:val="none"/>
              </w:rPr>
            </w:r>
            <w:r/>
          </w:p>
          <w:p>
            <w:pPr>
              <w:pStyle w:val="783"/>
              <w:ind w:firstLine="422"/>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⑥</w:t>
            </w:r>
            <w:r>
              <w:rPr>
                <w:rFonts w:ascii="Times New Roman" w:hAnsi="Times New Roman" w:cs="Times New Roman"/>
                <w:color w:val="000000"/>
                <w:szCs w:val="21"/>
                <w:highlight w:val="none"/>
              </w:rPr>
              <w:t xml:space="preserve">高压电池组工作原理;</w:t>
            </w:r>
            <w:r>
              <w:rPr>
                <w:rFonts w:ascii="Times New Roman" w:hAnsi="Times New Roman" w:cs="Times New Roman"/>
                <w:b/>
                <w:bCs/>
                <w:color w:val="000000"/>
                <w:szCs w:val="21"/>
                <w:highlight w:val="none"/>
              </w:rPr>
            </w:r>
            <w:r/>
          </w:p>
          <w:p>
            <w:pPr>
              <w:pStyle w:val="783"/>
              <w:ind w:firstLine="422"/>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⑦</w:t>
            </w:r>
            <w:r>
              <w:rPr>
                <w:rFonts w:ascii="Times New Roman" w:hAnsi="Times New Roman" w:cs="Times New Roman"/>
                <w:color w:val="000000"/>
                <w:szCs w:val="21"/>
                <w:highlight w:val="none"/>
              </w:rPr>
              <w:t xml:space="preserve">电池组及管理系统的检测;</w:t>
            </w:r>
            <w:r>
              <w:rPr>
                <w:rFonts w:ascii="Times New Roman" w:hAnsi="Times New Roman" w:cs="Times New Roman"/>
                <w:b/>
                <w:bCs/>
                <w:color w:val="000000"/>
                <w:szCs w:val="21"/>
                <w:highlight w:val="none"/>
              </w:rPr>
            </w:r>
            <w:r/>
          </w:p>
          <w:p>
            <w:pPr>
              <w:pStyle w:val="783"/>
              <w:ind w:firstLine="422"/>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⑧</w:t>
            </w:r>
            <w:r>
              <w:rPr>
                <w:rFonts w:ascii="Times New Roman" w:hAnsi="Times New Roman" w:cs="Times New Roman"/>
                <w:color w:val="000000"/>
                <w:szCs w:val="21"/>
                <w:highlight w:val="none"/>
              </w:rPr>
              <w:t xml:space="preserve">高压电池组管理系统检查及维护;</w:t>
            </w:r>
            <w:r>
              <w:rPr>
                <w:rFonts w:ascii="Times New Roman" w:hAnsi="Times New Roman" w:cs="Times New Roman"/>
                <w:b/>
                <w:bCs/>
                <w:color w:val="000000"/>
                <w:szCs w:val="21"/>
                <w:highlight w:val="none"/>
              </w:rPr>
            </w:r>
            <w:r/>
          </w:p>
          <w:p>
            <w:pPr>
              <w:pStyle w:val="783"/>
              <w:ind w:firstLine="422"/>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⑨</w:t>
            </w:r>
            <w:r>
              <w:rPr>
                <w:rFonts w:ascii="Times New Roman" w:hAnsi="Times New Roman" w:cs="Times New Roman"/>
                <w:color w:val="000000"/>
                <w:szCs w:val="21"/>
                <w:highlight w:val="none"/>
              </w:rPr>
              <w:t xml:space="preserve">驱动电机分类与电机结构驱动原理及维护;</w:t>
            </w:r>
            <w:r>
              <w:rPr>
                <w:rFonts w:ascii="Times New Roman" w:hAnsi="Times New Roman" w:cs="Times New Roman"/>
                <w:b/>
                <w:bCs/>
                <w:color w:val="000000"/>
                <w:szCs w:val="21"/>
                <w:highlight w:val="none"/>
              </w:rPr>
            </w:r>
            <w:r/>
          </w:p>
          <w:p>
            <w:pPr>
              <w:pStyle w:val="783"/>
              <w:ind w:firstLine="422"/>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⑩</w:t>
            </w:r>
            <w:r>
              <w:rPr>
                <w:rFonts w:ascii="Times New Roman" w:hAnsi="Times New Roman" w:cs="Times New Roman"/>
                <w:color w:val="000000"/>
                <w:szCs w:val="21"/>
                <w:highlight w:val="none"/>
              </w:rPr>
              <w:t xml:space="preserve">电机结构驱动与转换器工作原理及维护;</w:t>
            </w:r>
            <w:r>
              <w:rPr>
                <w:rFonts w:ascii="Times New Roman" w:hAnsi="Times New Roman" w:cs="Times New Roman"/>
                <w:b/>
                <w:bCs/>
                <w:color w:val="000000"/>
                <w:szCs w:val="21"/>
                <w:highlight w:val="none"/>
              </w:rPr>
            </w:r>
            <w:r/>
          </w:p>
          <w:p>
            <w:pPr>
              <w:pStyle w:val="783"/>
              <w:ind w:firstLine="420"/>
              <w:rPr>
                <w:rFonts w:ascii="Times New Roman" w:hAnsi="Times New Roman" w:cs="Times New Roman"/>
                <w:b/>
                <w:bCs/>
                <w:color w:val="000000"/>
                <w:szCs w:val="21"/>
                <w:highlight w:val="none"/>
              </w:rPr>
            </w:pPr>
            <w:r>
              <w:rPr>
                <w:rFonts w:ascii="Times New Roman" w:hAnsi="Times New Roman" w:cs="Times New Roman"/>
                <w:color w:val="000000"/>
                <w:szCs w:val="21"/>
                <w:highlight w:val="none"/>
              </w:rPr>
              <w:t xml:space="preserve">⑪插电式混动车辆高压组件热管理系统原理与维护;</w:t>
            </w:r>
            <w:r>
              <w:rPr>
                <w:rFonts w:ascii="Times New Roman" w:hAnsi="Times New Roman" w:cs="Times New Roman"/>
                <w:b/>
                <w:bCs/>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⑫PHEV车辆暖风与空调系统原理与维护。</w:t>
            </w:r>
            <w:r>
              <w:rPr>
                <w:rFonts w:ascii="Times New Roman" w:hAnsi="Times New Roman" w:cs="Times New Roman"/>
                <w:color w:val="000000"/>
                <w:szCs w:val="21"/>
                <w:highlight w:val="none"/>
              </w:rPr>
            </w:r>
            <w:r/>
          </w:p>
          <w:p>
            <w:pPr>
              <w:pStyle w:val="783"/>
              <w:numPr>
                <w:ilvl w:val="0"/>
                <w:numId w:val="12"/>
              </w:numPr>
              <w:jc w:val="left"/>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新能源汽车全景视频示范课程功能满足以下要求</w:t>
            </w:r>
            <w:r>
              <w:rPr>
                <w:rFonts w:ascii="Times New Roman" w:hAnsi="Times New Roman" w:cs="Times New Roman"/>
                <w:bCs/>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▲1）主讲老师音频或视频，PPT课件动态视频，在同一对话框界面，同步学习。</w:t>
            </w:r>
            <w:r>
              <w:rPr>
                <w:rFonts w:ascii="Times New Roman" w:hAnsi="Times New Roman" w:cs="Times New Roman"/>
                <w:color w:val="000000"/>
                <w:szCs w:val="21"/>
                <w:highlight w:val="none"/>
              </w:rPr>
              <w:t xml:space="preserve">（投标人须提供功能演示，演示内容须满足上述课程功能要求，演示要求详见第三章“四、评标标准-技术部分-演示文件要求”）</w:t>
            </w:r>
            <w:r>
              <w:rPr>
                <w:rFonts w:ascii="Times New Roman" w:hAnsi="Times New Roman" w:cs="Times New Roman"/>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▲2）新能源汽车全景视频示范课程可随意点击目录，跳转到对应的内容观看。可暂停、重播；可单击全屏展示。</w:t>
            </w:r>
            <w:r>
              <w:rPr>
                <w:rFonts w:ascii="Times New Roman" w:hAnsi="Times New Roman" w:cs="Times New Roman"/>
                <w:color w:val="000000"/>
                <w:szCs w:val="21"/>
                <w:highlight w:val="none"/>
              </w:rPr>
              <w:t xml:space="preserve">（投标人须提供功能演示，演示内容须满足上述课程功能要求，演示要求详见第三章“四、评标标准-技术部分-演示文件要求”）</w:t>
            </w:r>
            <w:r>
              <w:rPr>
                <w:rFonts w:ascii="Times New Roman" w:hAnsi="Times New Roman" w:cs="Times New Roman"/>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▲3）全景视频课程系统内视频和课件位置可以互相切换，满足对视频或者课件不同位置放大收看的需要。</w:t>
            </w:r>
            <w:r>
              <w:rPr>
                <w:rFonts w:ascii="Times New Roman" w:hAnsi="Times New Roman" w:cs="Times New Roman"/>
                <w:color w:val="000000"/>
                <w:szCs w:val="21"/>
                <w:highlight w:val="none"/>
              </w:rPr>
              <w:t xml:space="preserve">（投标人须提供功能演示，演示内容须满足上述课程功能要求，演示要求详见第三章“四、评标标准-技术部分-演示文件要求”）</w:t>
            </w:r>
            <w:r>
              <w:rPr>
                <w:rFonts w:ascii="Times New Roman" w:hAnsi="Times New Roman" w:cs="Times New Roman"/>
                <w:color w:val="000000"/>
                <w:szCs w:val="21"/>
                <w:highlight w:val="none"/>
              </w:rPr>
            </w:r>
            <w:r/>
          </w:p>
          <w:p>
            <w:pPr>
              <w:pStyle w:val="783"/>
              <w:ind w:firstLine="420"/>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▲4）每个新能源汽车全景视频示范课程时长不低于15分钟。</w:t>
            </w:r>
            <w:r>
              <w:rPr>
                <w:rFonts w:ascii="Times New Roman" w:hAnsi="Times New Roman" w:cs="Times New Roman"/>
                <w:color w:val="000000"/>
                <w:szCs w:val="21"/>
                <w:highlight w:val="none"/>
              </w:rPr>
              <w:t xml:space="preserve">（投标人须提供功能演示，演示内容须满足上述课程功能要求，演示要求详见第三章“四、评标标准-技术部分-演示文件要求”）</w:t>
            </w:r>
            <w:r>
              <w:rPr>
                <w:rFonts w:ascii="Times New Roman" w:hAnsi="Times New Roman" w:cs="Times New Roman"/>
                <w:color w:val="000000"/>
                <w:szCs w:val="21"/>
                <w:highlight w:val="none"/>
              </w:rPr>
            </w:r>
            <w:r/>
          </w:p>
          <w:p>
            <w:pPr>
              <w:pStyle w:val="783"/>
              <w:rPr>
                <w:rFonts w:ascii="Times New Roman" w:hAnsi="Times New Roman" w:cs="Times New Roman"/>
                <w:color w:val="000000"/>
                <w:szCs w:val="21"/>
                <w:highlight w:val="none"/>
              </w:rPr>
            </w:pPr>
            <w:r>
              <w:rPr>
                <w:rFonts w:ascii="Times New Roman" w:hAnsi="Times New Roman" w:cs="Times New Roman"/>
                <w:bCs/>
                <w:color w:val="000000"/>
                <w:szCs w:val="21"/>
                <w:highlight w:val="none"/>
              </w:rPr>
              <w:t xml:space="preserve">7）考核</w:t>
            </w:r>
            <w:r>
              <w:rPr>
                <w:rFonts w:ascii="Times New Roman" w:hAnsi="Times New Roman" w:cs="Times New Roman"/>
                <w:color w:val="000000"/>
                <w:szCs w:val="21"/>
                <w:highlight w:val="none"/>
              </w:rPr>
              <w:br w:type="textWrapping" w:clear="all"/>
            </w:r>
            <w:r>
              <w:rPr>
                <w:rFonts w:ascii="Times New Roman" w:hAnsi="Times New Roman" w:cs="Times New Roman"/>
                <w:color w:val="000000"/>
                <w:szCs w:val="21"/>
                <w:highlight w:val="none"/>
              </w:rPr>
              <w:t xml:space="preserve">    ①手动组卷：可以设置题型和难易程度，选择项目和任务的选题范围进行人工选取试题并生成试卷。</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②智能组卷：可以设置题型道数和难易程度比例，通过选取项目和任务的选题范围进行智能抽取试题并生成试卷。</w:t>
            </w:r>
            <w:r>
              <w:rPr>
                <w:rFonts w:ascii="Times New Roman" w:hAnsi="Times New Roman" w:cs="Times New Roman"/>
                <w:color w:val="000000"/>
                <w:szCs w:val="21"/>
                <w:highlight w:val="none"/>
              </w:rPr>
            </w:r>
            <w:r/>
          </w:p>
          <w:p>
            <w:pPr>
              <w:pStyle w:val="783"/>
              <w:ind w:left="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③试卷库：支持设置考试时间和考试班级进行考场设置，可以考试和试卷分析。</w:t>
            </w:r>
            <w:r>
              <w:rPr>
                <w:rFonts w:ascii="Times New Roman" w:hAnsi="Times New Roman" w:cs="Times New Roman"/>
                <w:color w:val="000000"/>
                <w:szCs w:val="21"/>
                <w:highlight w:val="none"/>
              </w:rPr>
              <w:br w:type="textWrapping" w:clear="all"/>
            </w:r>
            <w:r>
              <w:rPr>
                <w:rFonts w:ascii="Times New Roman" w:hAnsi="Times New Roman" w:cs="Times New Roman"/>
                <w:color w:val="000000"/>
                <w:szCs w:val="21"/>
                <w:highlight w:val="none"/>
              </w:rPr>
              <w:t xml:space="preserve">④支持从本地试题批量导入到云端。</w:t>
            </w:r>
            <w:r>
              <w:rPr>
                <w:rFonts w:ascii="Times New Roman" w:hAnsi="Times New Roman" w:cs="Times New Roman"/>
                <w:color w:val="000000"/>
                <w:szCs w:val="21"/>
                <w:highlight w:val="none"/>
              </w:rPr>
            </w:r>
            <w:r/>
          </w:p>
        </w:tc>
        <w:tc>
          <w:tcPr>
            <w:tcW w:w="763"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w:t>
            </w:r>
            <w:r>
              <w:rPr>
                <w:rFonts w:ascii="Times New Roman" w:hAnsi="Times New Roman" w:cs="Times New Roman"/>
                <w:color w:val="000000"/>
                <w:szCs w:val="21"/>
                <w:highlight w:val="none"/>
              </w:rPr>
            </w:r>
            <w:r/>
          </w:p>
        </w:tc>
        <w:tc>
          <w:tcPr>
            <w:tcW w:w="737"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套</w:t>
            </w:r>
            <w:r>
              <w:rPr>
                <w:rFonts w:ascii="Times New Roman" w:hAnsi="Times New Roman" w:cs="Times New Roman"/>
                <w:color w:val="000000"/>
                <w:szCs w:val="21"/>
                <w:highlight w:val="none"/>
              </w:rPr>
            </w:r>
            <w:r/>
          </w:p>
        </w:tc>
        <w:tc>
          <w:tcPr>
            <w:tcW w:w="700"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738"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w:t>
            </w:r>
            <w:r>
              <w:rPr>
                <w:rFonts w:ascii="Times New Roman" w:hAnsi="Times New Roman" w:cs="Times New Roman"/>
                <w:color w:val="000000"/>
                <w:szCs w:val="21"/>
                <w:highlight w:val="none"/>
              </w:rPr>
            </w:r>
            <w:r/>
          </w:p>
        </w:tc>
        <w:tc>
          <w:tcPr>
            <w:tcW w:w="1087"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底盘控制系统装调模块</w:t>
            </w:r>
            <w:r>
              <w:rPr>
                <w:rFonts w:ascii="Times New Roman" w:hAnsi="Times New Roman" w:cs="Times New Roman"/>
                <w:color w:val="000000"/>
                <w:szCs w:val="21"/>
                <w:highlight w:val="none"/>
              </w:rPr>
            </w:r>
            <w:r/>
          </w:p>
        </w:tc>
        <w:tc>
          <w:tcPr>
            <w:tcW w:w="6300" w:type="dxa"/>
            <w:vAlign w:val="top"/>
            <w:textDirection w:val="lrTb"/>
            <w:noWrap w:val="false"/>
          </w:tcPr>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（一）系统介绍</w:t>
            </w:r>
            <w:r>
              <w:rPr>
                <w:rFonts w:ascii="Times New Roman" w:hAnsi="Times New Roman" w:cs="Times New Roman"/>
                <w:b/>
                <w:bCs/>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底盘控制系统装调模块总计3套包含底盘控制系统装调设备2套，混动底盘车架装调系统1套。</w:t>
            </w:r>
            <w:r>
              <w:rPr>
                <w:rFonts w:ascii="Times New Roman" w:hAnsi="Times New Roman" w:cs="Times New Roman"/>
                <w:color w:val="000000"/>
                <w:szCs w:val="21"/>
                <w:highlight w:val="none"/>
              </w:rPr>
            </w:r>
            <w:r/>
          </w:p>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（二）技术要求</w:t>
            </w:r>
            <w:r>
              <w:rPr>
                <w:rFonts w:ascii="Times New Roman" w:hAnsi="Times New Roman" w:cs="Times New Roman"/>
                <w:b/>
                <w:bCs/>
                <w:color w:val="000000"/>
                <w:szCs w:val="21"/>
                <w:highlight w:val="none"/>
              </w:rPr>
            </w:r>
            <w:r/>
          </w:p>
          <w:p>
            <w:pPr>
              <w:pStyle w:val="783"/>
              <w:numPr>
                <w:ilvl w:val="0"/>
                <w:numId w:val="14"/>
              </w:numPr>
              <w:ind w:firstLine="422"/>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底盘控制系统装调设备</w:t>
            </w:r>
            <w:r>
              <w:rPr>
                <w:rFonts w:ascii="Times New Roman" w:hAnsi="Times New Roman" w:cs="Times New Roman"/>
                <w:b/>
                <w:bCs/>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（1）供电系统：底盘保险盒≥1个；传感器保险盒≥1个；12V铅酸蓄电池≥1个；容量≥20AH；配套线束≥1套。</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（2）底盘线控系统</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1）VCU（整车控制器）≥1个；内置无线遥控接收器；提供线控驱动、线控制动、线控转向程序C语言源代码供调试使用；</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2）驱动电机控制器≥1个；</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3）制动电机驱动器≥1个；</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4）转向电机驱动器≥1个；</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5）线控灯光控制器≥1个；</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6）DC-DC设备数量≥1个；输入≥48V DC，输出≥13.8V DC，输出电流≥30A；</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7）DC-AC设备数量≥1个；输入≥48V DC，输出≥220V AC，持续输出功率≥500W，正弦波输出；</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（3）显示器≥13寸，数量≥1个，分辨率≥1920×1080（像素），配USB供电、HDMI接口、配套线束。</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（4）路由器套件：4G以上全网通路由器≥1个（支持电信、联通、移动，支持4个千兆网口）；专用供电线≥1条；配套上网卡≥1张；千兆网线≥1条（长度≥1米）。</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（5）整车线束装配与检验套件：紧急开关≥1个；启动开关≥1个；总电源开关≥1个；专用线束≥1套。</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线控底盘调试装置：CAN-USB总线协议适配器≥1个；CAN总线仿真测试软件1套；计算机接口类型：USB；具备高速CAN总线接口、低速CAN总线接口、CAN总线隔离收发器、固定ID位置显示功能、ID名称备注功能、自定义报文发送功能、多帧报文发送功能、总线统计功能、线控底盘控制数据收发功能、线控底盘驱动、制动、转向协议仿真功能。</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支持VCU线控转向程序源代码内容、程序下载、VCU复位；复位后电脑通过CAN总线适配器，通过CAN总线发送指令线控转向功能，遥控转向功能；同时演示通过计算机发送CAN总线指令，控制车辆的转向灯、制动灯；提供线控制动程序代码展示、下载和调试过程操作。</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（8）与该设备装调过程相匹配的工艺卡及工艺流程卡</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工艺指导文件：数量≥1套，包括供电系统装调、底盘线控系统装调、路由器套件装调、整车线束装配与检验工序的工艺指导文件。（工艺指导文件所包含内容需与设备相匹配，投标时提供设备组装过程中所需的具体工艺步骤和工艺参数的佐证材料）</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操作指导视频：数量≥1套，包括供电系统装调、底盘线控系统装调、路由器套件装调、整车线束装配与检验工序的操作指导视频（视频内容必须包含上述每个部分的装调过程与步骤且与上述工艺文件内容相匹配，视频画面要求清晰顺畅）。</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为支撑线控底盘控制系统的调试、测试实验教学，满足学校对前端测试、研发辅助等人才的培养需求，供应商需提供厂家针对“自动驾驶汽车整车控制器类软件”的原创设计证明，以确定在C语言程序开发、测试、调试等教学上的支撑能力。</w:t>
            </w:r>
            <w:r>
              <w:rPr>
                <w:rFonts w:ascii="Times New Roman" w:hAnsi="Times New Roman" w:cs="Times New Roman"/>
                <w:color w:val="000000"/>
                <w:szCs w:val="21"/>
                <w:highlight w:val="none"/>
              </w:rPr>
            </w:r>
            <w:r/>
          </w:p>
          <w:p>
            <w:pPr>
              <w:pStyle w:val="783"/>
              <w:numPr>
                <w:ilvl w:val="0"/>
                <w:numId w:val="14"/>
              </w:numPr>
              <w:ind w:firstLine="422"/>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混动底盘车架装调系统</w:t>
            </w:r>
            <w:r>
              <w:rPr>
                <w:rFonts w:ascii="Times New Roman" w:hAnsi="Times New Roman" w:cs="Times New Roman"/>
                <w:b/>
                <w:bCs/>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（1）混合动力专用车架总成：包含原车底盘车架主体≥1套，由前纵梁、后纵梁、多根横梁及加强结构组成；采用高强度钢材料，关键连接点经强化设计；车架表面防锈处理；含车架识别代号标牌及VIN码。</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前部悬架及动力总成安装支架：前悬架上安装点≥2个；前悬架下控制臂安装支架≥2个；前稳定杆安装支架≥2个；发动机/电机悬置支架≥3个（左、右、后悬置）；前副车架安装点≥4个；含所有安装螺栓及衬套。</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（3）后部悬架及驱动电机安装支架：后悬架安装支架≥1套，包括后上控制臂、后下控制臂、后纵臂安装点；后驱动电机悬置支架≥2个；后副车架安装点≥4个；后稳定杆安装支架≥2个；含安装附件。</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（4）动力电池包安装框架：集成式电池包固定框架≥1套，包含电池包安装横梁与纵梁；电池包固定吊耳≥8个；高压线束固定支架≥4个；电池包底部防护板安装点≥1套；电池包冷却管路固定卡座≥4个。</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（5）底盘附属件及管线固定系统：制动硬管/软管固定卡扣≥20个；燃油/冷却管路支架≥10个；底盘线束固定支架≥15个；底盘护板安装支架≥1套；拖车钩及安装座≥2个（前、后）；底盘装甲喷涂覆盖区域≥80%。</w:t>
            </w:r>
            <w:r>
              <w:rPr>
                <w:rFonts w:ascii="Times New Roman" w:hAnsi="Times New Roman" w:cs="Times New Roman"/>
                <w:color w:val="000000"/>
                <w:szCs w:val="21"/>
                <w:highlight w:val="none"/>
              </w:rPr>
            </w:r>
            <w:r/>
          </w:p>
        </w:tc>
        <w:tc>
          <w:tcPr>
            <w:tcW w:w="763"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737" w:type="dxa"/>
            <w:vAlign w:val="center"/>
            <w:textDirection w:val="lrTb"/>
            <w:noWrap w:val="false"/>
          </w:tcPr>
          <w:p>
            <w:pPr>
              <w:pStyle w:val="783"/>
              <w:jc w:val="center"/>
              <w:rPr>
                <w:rFonts w:ascii="Times New Roman" w:hAnsi="Times New Roman" w:cs="Times New Roman"/>
                <w:b/>
                <w:bCs/>
                <w:color w:val="000000"/>
                <w:szCs w:val="21"/>
                <w:highlight w:val="none"/>
              </w:rPr>
              <w:outlineLvl w:val="0"/>
            </w:pPr>
            <w:r>
              <w:rPr>
                <w:rFonts w:ascii="Times New Roman" w:hAnsi="Times New Roman" w:cs="Times New Roman"/>
                <w:b/>
                <w:bCs/>
                <w:color w:val="000000"/>
                <w:szCs w:val="21"/>
                <w:highlight w:val="none"/>
              </w:rPr>
              <w:t xml:space="preserve">套</w:t>
            </w:r>
            <w:r>
              <w:rPr>
                <w:rFonts w:ascii="Times New Roman" w:hAnsi="Times New Roman" w:cs="Times New Roman"/>
                <w:b/>
                <w:bCs/>
                <w:color w:val="000000"/>
                <w:szCs w:val="21"/>
                <w:highlight w:val="none"/>
              </w:rPr>
            </w:r>
            <w:r/>
          </w:p>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700"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738"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w:t>
            </w:r>
            <w:r>
              <w:rPr>
                <w:rFonts w:ascii="Times New Roman" w:hAnsi="Times New Roman" w:cs="Times New Roman"/>
                <w:color w:val="000000"/>
                <w:szCs w:val="21"/>
                <w:highlight w:val="none"/>
              </w:rPr>
            </w:r>
            <w:r/>
          </w:p>
        </w:tc>
        <w:tc>
          <w:tcPr>
            <w:tcW w:w="1087"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整车控制器</w:t>
            </w:r>
            <w:r>
              <w:rPr>
                <w:rFonts w:ascii="Times New Roman" w:hAnsi="Times New Roman" w:cs="Times New Roman"/>
                <w:color w:val="000000"/>
                <w:szCs w:val="21"/>
                <w:highlight w:val="none"/>
              </w:rPr>
            </w:r>
            <w:r/>
          </w:p>
        </w:tc>
        <w:tc>
          <w:tcPr>
            <w:tcW w:w="6300" w:type="dxa"/>
            <w:vAlign w:val="top"/>
            <w:textDirection w:val="lrTb"/>
            <w:noWrap w:val="false"/>
          </w:tcPr>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（一）系统介绍</w:t>
            </w:r>
            <w:r>
              <w:rPr>
                <w:rFonts w:ascii="Times New Roman" w:hAnsi="Times New Roman" w:cs="Times New Roman"/>
                <w:b/>
                <w:bCs/>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该整车控制器套件总计2套包含整车控制器及线路总成1套、混动汽车车身控制器及电气系统1套。</w:t>
            </w:r>
            <w:r>
              <w:rPr>
                <w:rFonts w:ascii="Times New Roman" w:hAnsi="Times New Roman" w:cs="Times New Roman"/>
                <w:color w:val="000000"/>
                <w:szCs w:val="21"/>
                <w:highlight w:val="none"/>
              </w:rPr>
            </w:r>
            <w:r/>
          </w:p>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（二）技术要求</w:t>
            </w:r>
            <w:r>
              <w:rPr>
                <w:rFonts w:ascii="Times New Roman" w:hAnsi="Times New Roman" w:cs="Times New Roman"/>
                <w:b/>
                <w:bCs/>
                <w:color w:val="000000"/>
                <w:szCs w:val="21"/>
                <w:highlight w:val="none"/>
              </w:rPr>
            </w:r>
            <w:r/>
          </w:p>
          <w:p>
            <w:pPr>
              <w:pStyle w:val="783"/>
              <w:numPr>
                <w:ilvl w:val="0"/>
                <w:numId w:val="15"/>
              </w:numPr>
              <w:ind w:firstLine="422"/>
              <w:tabs>
                <w:tab w:val="left" w:pos="0" w:leader="none"/>
              </w:tabs>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整车控制器及线路总成</w:t>
            </w:r>
            <w:r>
              <w:rPr>
                <w:rFonts w:ascii="Times New Roman" w:hAnsi="Times New Roman" w:cs="Times New Roman"/>
                <w:b/>
                <w:bCs/>
                <w:color w:val="000000"/>
                <w:szCs w:val="21"/>
                <w:highlight w:val="none"/>
              </w:rPr>
            </w:r>
            <w:r/>
          </w:p>
          <w:p>
            <w:pPr>
              <w:pStyle w:val="783"/>
              <w:ind w:firstLine="420"/>
              <w:jc w:val="left"/>
              <w:tabs>
                <w:tab w:val="left" w:pos="0" w:leader="none"/>
              </w:tabs>
              <w:rPr>
                <w:rFonts w:ascii="Times New Roman" w:hAnsi="Times New Roman" w:eastAsia="宋体" w:cs="Times New Roman"/>
                <w:b/>
                <w:bCs/>
                <w:color w:val="000000"/>
                <w:szCs w:val="21"/>
                <w:highlight w:val="none"/>
                <w:lang w:eastAsia="zh-CN"/>
              </w:rPr>
            </w:pPr>
            <w:r>
              <w:rPr>
                <w:rFonts w:ascii="Times New Roman" w:hAnsi="Times New Roman" w:eastAsia="宋体" w:cs="Times New Roman"/>
                <w:color w:val="000000"/>
                <w:szCs w:val="21"/>
                <w:highlight w:val="none"/>
              </w:rPr>
              <w:t xml:space="preserve">（1）整车控制器:供电电压:9-32V;主处理器:</w:t>
            </w:r>
            <w:r>
              <w:rPr>
                <w:rFonts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rPr>
              <w:t xml:space="preserve">32位，</w:t>
            </w:r>
            <w:r>
              <w:rPr>
                <w:rFonts w:ascii="Times New Roman" w:hAnsi="Times New Roman" w:eastAsia="宋体" w:cs="Times New Roman"/>
                <w:color w:val="000000"/>
                <w:szCs w:val="21"/>
                <w:highlight w:val="none"/>
                <w:lang w:val="en-US" w:eastAsia="zh-CN"/>
              </w:rPr>
              <w:t xml:space="preserve">主</w:t>
            </w:r>
            <w:r>
              <w:rPr>
                <w:rFonts w:ascii="Times New Roman" w:hAnsi="Times New Roman" w:eastAsia="宋体" w:cs="Times New Roman"/>
                <w:color w:val="000000"/>
                <w:szCs w:val="21"/>
                <w:highlight w:val="none"/>
              </w:rPr>
              <w:t xml:space="preserve">频</w:t>
            </w:r>
            <w:r>
              <w:rPr>
                <w:rFonts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rPr>
              <w:t xml:space="preserve">80MHz，必须是汽车专用处理器，不得使用常规单片机，例</w:t>
            </w:r>
            <w:r>
              <w:rPr>
                <w:rFonts w:ascii="Times New Roman" w:hAnsi="Times New Roman" w:eastAsia="宋体" w:cs="Times New Roman"/>
                <w:color w:val="000000"/>
                <w:szCs w:val="21"/>
                <w:highlight w:val="none"/>
                <w:lang w:val="en-US" w:eastAsia="zh-CN"/>
              </w:rPr>
              <w:t xml:space="preserve">如</w:t>
            </w:r>
            <w:r>
              <w:rPr>
                <w:rFonts w:ascii="Times New Roman" w:hAnsi="Times New Roman" w:eastAsia="宋体" w:cs="Times New Roman"/>
                <w:color w:val="000000"/>
                <w:szCs w:val="21"/>
                <w:highlight w:val="none"/>
              </w:rPr>
              <w:t xml:space="preserve">STM32、52系列单片机或者PLC等作为处理器:整车线路总成</w:t>
            </w:r>
            <w:r>
              <w:rPr>
                <w:rFonts w:ascii="Times New Roman" w:hAnsi="Times New Roman" w:eastAsia="宋体" w:cs="Times New Roman"/>
                <w:color w:val="000000"/>
                <w:szCs w:val="21"/>
                <w:highlight w:val="none"/>
                <w:lang w:val="en-US" w:eastAsia="zh-CN"/>
              </w:rPr>
              <w:t xml:space="preserve">低</w:t>
            </w:r>
            <w:r>
              <w:rPr>
                <w:rFonts w:ascii="Times New Roman" w:hAnsi="Times New Roman" w:eastAsia="宋体" w:cs="Times New Roman"/>
                <w:color w:val="000000"/>
                <w:szCs w:val="21"/>
                <w:highlight w:val="none"/>
              </w:rPr>
              <w:t xml:space="preserve">压线束及各个元器件;小电池:12V 24V(锂电)</w:t>
            </w:r>
            <w:r>
              <w:rPr>
                <w:rFonts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rPr>
              <w:t xml:space="preserve">HVD(整车总开关)</w:t>
            </w:r>
            <w:r>
              <w:rPr>
                <w:rFonts w:ascii="Times New Roman" w:hAnsi="Times New Roman" w:eastAsia="宋体" w:cs="Times New Roman"/>
                <w:color w:val="000000"/>
                <w:szCs w:val="21"/>
                <w:highlight w:val="none"/>
                <w:lang w:eastAsia="zh-CN"/>
              </w:rPr>
              <w:t xml:space="preserve">。</w:t>
            </w:r>
            <w:r>
              <w:rPr>
                <w:rFonts w:ascii="Times New Roman" w:hAnsi="Times New Roman" w:eastAsia="宋体" w:cs="Times New Roman"/>
                <w:b/>
                <w:bCs/>
                <w:color w:val="000000"/>
                <w:szCs w:val="21"/>
                <w:highlight w:val="none"/>
                <w:lang w:eastAsia="zh-CN"/>
              </w:rPr>
            </w:r>
            <w:r/>
          </w:p>
          <w:p>
            <w:pPr>
              <w:pStyle w:val="783"/>
              <w:numPr>
                <w:ilvl w:val="0"/>
                <w:numId w:val="15"/>
              </w:numPr>
              <w:ind w:firstLine="422"/>
              <w:tabs>
                <w:tab w:val="left" w:pos="0" w:leader="none"/>
              </w:tabs>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混动汽车车身控制器及电气系统</w:t>
            </w:r>
            <w:r>
              <w:rPr>
                <w:rFonts w:ascii="Times New Roman" w:hAnsi="Times New Roman" w:cs="Times New Roman"/>
                <w:b/>
                <w:bCs/>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（1）结构特点</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实验台整体包含：车身控制单元、全车灯光、灯光开关、雨刮电机、雨刮开关、音响系统、门控系统测量面板。</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1）台体结构：表面氧化处理，抗腐蚀性强。采用专用T型螺栓内部链接方式拼接，机械强度高坚固耐用外形美观。安装静音万向脚轮方便设备移动，并有锁止功能。</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2）实训面板：内嵌式安装，采用高密度铝塑板，数控微雕加工部件安装精准，采用UV彩喷字迹。面板喷绘整车电器系统电路图，并安装检测端子。</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（2）功能特点</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实训台配置汽车电器系统能够正常运行，满足灯光、音响、雨刮、门控系统演示运行。</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1）结构展示：安装汽车全车电器系统实物，汽车电器系统部件可正常运行，能够清晰的展示汽车全车电器系统的结构组成。</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数据检测：实训面板安装检测端口可使用示波器、万用表等工具对汽车全车电器系统的数据进行电压、电阻、波形的检测，有助于学员观察汽车灯光、雨刮、音响系统开关信号输出类型、执行器的控制形式，帮助学员理解开关执行器的工作原理。</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3）实验实训：实训台安装原车电器系统实物，可进行电器系统的操作实训，可连接专用或通用解码器进行故障码读取、数据流读取、基本设定等原车功能实训。</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配有可移动平板设置故障，通过无线连接检测平台内故障设置装置，在平板上有原厂电路图，点击电路图上的故障设置按钮可实现远程故障设置，实现实训考核。（投标文件中提供故障设置软件截图，要求对应模块端子针脚号，针脚数字排列规律清晰可见）</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手动故障设置：在检测平台安装有专门的手动故障设置区，将原机线束按标准双向接引到故障设置区，故障设置装置采用手动模式通过电流大对原车信号造成影响小，设置故障多样性能力强可设置断路、虚接、对地短路、对正极短路、对其它信号短路。</w:t>
            </w:r>
            <w:r>
              <w:rPr>
                <w:rFonts w:ascii="Times New Roman" w:hAnsi="Times New Roman" w:cs="Times New Roman"/>
                <w:color w:val="000000"/>
                <w:szCs w:val="21"/>
                <w:highlight w:val="none"/>
              </w:rPr>
            </w:r>
            <w:r/>
          </w:p>
        </w:tc>
        <w:tc>
          <w:tcPr>
            <w:tcW w:w="763"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rPr>
            </w:r>
            <w:r/>
          </w:p>
        </w:tc>
        <w:tc>
          <w:tcPr>
            <w:tcW w:w="737"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700"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738"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w:t>
            </w:r>
            <w:r>
              <w:rPr>
                <w:rFonts w:ascii="Times New Roman" w:hAnsi="Times New Roman" w:cs="Times New Roman"/>
                <w:color w:val="000000"/>
                <w:szCs w:val="21"/>
                <w:highlight w:val="none"/>
              </w:rPr>
            </w:r>
            <w:r/>
          </w:p>
        </w:tc>
        <w:tc>
          <w:tcPr>
            <w:tcW w:w="1087"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自动驾驶无人驾驶传感器装调模块</w:t>
            </w:r>
            <w:r>
              <w:rPr>
                <w:rFonts w:ascii="Times New Roman" w:hAnsi="Times New Roman" w:cs="Times New Roman"/>
                <w:color w:val="000000"/>
                <w:szCs w:val="21"/>
                <w:highlight w:val="none"/>
              </w:rPr>
            </w:r>
            <w:r/>
          </w:p>
        </w:tc>
        <w:tc>
          <w:tcPr>
            <w:tcW w:w="6300" w:type="dxa"/>
            <w:vAlign w:val="top"/>
            <w:textDirection w:val="lrTb"/>
            <w:noWrap w:val="false"/>
          </w:tcPr>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（一）系统介绍</w:t>
            </w:r>
            <w:r>
              <w:rPr>
                <w:rFonts w:ascii="Times New Roman" w:hAnsi="Times New Roman" w:cs="Times New Roman"/>
                <w:b/>
                <w:bCs/>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自动驾驶无人驾驶传感器装调模块包含自动驾驶无人驾驶传感器装调硬件设备2套，辅助驾驶系统模块1套。</w:t>
            </w:r>
            <w:r>
              <w:rPr>
                <w:rFonts w:ascii="Times New Roman" w:hAnsi="Times New Roman" w:cs="Times New Roman"/>
                <w:color w:val="000000"/>
                <w:szCs w:val="21"/>
                <w:highlight w:val="none"/>
              </w:rPr>
            </w:r>
            <w:r/>
          </w:p>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（二）技术要求</w:t>
            </w:r>
            <w:r>
              <w:rPr>
                <w:rFonts w:ascii="Times New Roman" w:hAnsi="Times New Roman" w:cs="Times New Roman"/>
                <w:b/>
                <w:bCs/>
                <w:color w:val="000000"/>
                <w:szCs w:val="21"/>
                <w:highlight w:val="none"/>
              </w:rPr>
            </w:r>
            <w:r/>
          </w:p>
          <w:p>
            <w:pPr>
              <w:pStyle w:val="783"/>
              <w:numPr>
                <w:ilvl w:val="0"/>
                <w:numId w:val="16"/>
              </w:numPr>
              <w:ind w:firstLine="422"/>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自动驾驶无人驾驶传感器装调硬件设备</w:t>
            </w:r>
            <w:r>
              <w:rPr>
                <w:rFonts w:ascii="Times New Roman" w:hAnsi="Times New Roman" w:cs="Times New Roman"/>
                <w:b/>
                <w:bCs/>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（1）组合导航设备</w:t>
            </w:r>
            <w:r>
              <w:rPr>
                <w:rFonts w:ascii="Times New Roman" w:hAnsi="Times New Roman" w:cs="Times New Roman"/>
                <w:color w:val="000000"/>
                <w:szCs w:val="21"/>
                <w:highlight w:val="none"/>
              </w:rPr>
            </w:r>
            <w:r/>
          </w:p>
          <w:p>
            <w:pPr>
              <w:pStyle w:val="783"/>
              <w:ind w:firstLine="63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1）组合导航系统主机：≥1个；航向：单点≤0.3°（GNSS/BD信号良好，基线长度≥2m），RTK ≤0.3°，后处理≤0.1°；组合导航位置：单点≤1.5m（CEP）（GNSS/BD信号良好），RTK≤2cm+1ppm (CEP)（GNSS/BD信号良好），后处理≤1cm+1ppm(CEP，；RTK刷新率≥1Hz，IMU刷新率≥100Hz；</w:t>
            </w:r>
            <w:r>
              <w:rPr>
                <w:rFonts w:ascii="Times New Roman" w:hAnsi="Times New Roman" w:cs="Times New Roman"/>
                <w:color w:val="000000"/>
                <w:szCs w:val="21"/>
                <w:highlight w:val="none"/>
              </w:rPr>
            </w:r>
            <w:r/>
          </w:p>
          <w:p>
            <w:pPr>
              <w:pStyle w:val="783"/>
              <w:ind w:firstLine="63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2）七频蘑菇头天线≥2个，含强磁底座；</w:t>
            </w:r>
            <w:r>
              <w:rPr>
                <w:rFonts w:ascii="Times New Roman" w:hAnsi="Times New Roman" w:cs="Times New Roman"/>
                <w:color w:val="000000"/>
                <w:szCs w:val="21"/>
                <w:highlight w:val="none"/>
              </w:rPr>
            </w:r>
            <w:r/>
          </w:p>
          <w:p>
            <w:pPr>
              <w:pStyle w:val="783"/>
              <w:ind w:firstLine="63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3）天线延长线≥2条，每条≥1.5米，组合导航线束≥1套；</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（2）视觉传感器装置</w:t>
            </w:r>
            <w:r>
              <w:rPr>
                <w:rFonts w:ascii="Times New Roman" w:hAnsi="Times New Roman" w:cs="Times New Roman"/>
                <w:color w:val="000000"/>
                <w:szCs w:val="21"/>
                <w:highlight w:val="none"/>
              </w:rPr>
            </w:r>
            <w:r/>
          </w:p>
          <w:p>
            <w:pPr>
              <w:pStyle w:val="783"/>
              <w:ind w:firstLine="63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1）双目视觉传感器≥1个；焦距摄像头≥2个（焦距≤4mm），分辨率≥1280×720（像素）；刷新率≥12Hz；数据接口：以太网、CAN；数据内容：图像、点云、车道识别、障碍物信息；动态范围≥120dB；工作温度-20℃ ~ 70℃；自带线束。</w:t>
            </w:r>
            <w:r>
              <w:rPr>
                <w:rFonts w:ascii="Times New Roman" w:hAnsi="Times New Roman" w:cs="Times New Roman"/>
                <w:color w:val="000000"/>
                <w:szCs w:val="21"/>
                <w:highlight w:val="none"/>
              </w:rPr>
            </w:r>
            <w:r/>
          </w:p>
          <w:p>
            <w:pPr>
              <w:pStyle w:val="783"/>
              <w:ind w:firstLine="63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2）专用网线≥1条。</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（3）激光雷达装置</w:t>
            </w:r>
            <w:r>
              <w:rPr>
                <w:rFonts w:ascii="Times New Roman" w:hAnsi="Times New Roman" w:cs="Times New Roman"/>
                <w:color w:val="000000"/>
                <w:szCs w:val="21"/>
                <w:highlight w:val="none"/>
              </w:rPr>
            </w:r>
            <w:r/>
          </w:p>
          <w:p>
            <w:pPr>
              <w:pStyle w:val="783"/>
              <w:ind w:firstLine="63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1）16线激光雷达主机≥1个；最大探测距离≥150m（80m@10% NIST）；精度±2cm，盲区≤0.4m；水平视场角360°；垂直视场角≥30°；刷新率可调范围5/10/20Hz；接口≥100Mbps以太网，供电电压12V；功率：≥9W；工作温度：-30℃~60℃；防护等级≥IP67；供货时提供上位机demo软件。</w:t>
            </w:r>
            <w:r>
              <w:rPr>
                <w:rFonts w:ascii="Times New Roman" w:hAnsi="Times New Roman" w:cs="Times New Roman"/>
                <w:color w:val="000000"/>
                <w:szCs w:val="21"/>
                <w:highlight w:val="none"/>
              </w:rPr>
            </w:r>
            <w:r/>
          </w:p>
          <w:p>
            <w:pPr>
              <w:pStyle w:val="783"/>
              <w:ind w:firstLine="63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2）专用协议适配器及线束≥1套；12V电源适配器≥1个。</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（4）毫米波雷达装置：数量≥1个，盲区雷达对车辆最大探测距离≥50米，角度分辨率≤10度，速度分辨率≤1km/h，速度精度最高≤0.2km/h。</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5）毫米波雷达装置具有上位机软件：能显示原始数据波形、显示运动目标速度-距离二维热度图/能量图；能观测任意空间区域目标的运动或静止波形，具备环境噪声采集，自动生产判断阈值；支持人员存在检测:能检测静止人员，能检测运动速度、距离、方向。</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★（6）超声波雷达装置</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控制单元数量≥1个；雷达数量≥4个探头，最大探测距离≥2.5米；具备高速CAN总线接口。具备高速CAN总线接口。支持DOW开门预警功能的图形化编程，并支持图形化软硬件仿真；</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（7）与该设备装调过程相匹配的工艺卡及工艺流程卡。</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（8）工艺指导文件：数量≥1本，包括组合导航系统装调、视觉传感器系统装调、激光雷达系统、毫米波雷达系统、超声波雷达系统装调工序的工艺指导文件。</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操作指导视频：数量≥1套，包括组合导航系统装调、视觉传感器系统装调、激光雷达系统、毫米波雷达系统、超声波雷达系统装调工序的操作指导视频（视频内容必须包含上述每个部分的装调过程与步骤且与上述工艺文件内容相匹配，视频画面要求清晰顺畅）。</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为支撑自动驾驶的调试、测试实验教学，满足学校对前端测试、研发辅助等人才的培养需求，供应商需提供厂家针对“自动驾驶惯性定位类软件”的原创设计证明，以确定在C语言程序开发、测试、调试等教学上的支撑能力。</w:t>
            </w:r>
            <w:r>
              <w:rPr>
                <w:rFonts w:ascii="Times New Roman" w:hAnsi="Times New Roman" w:cs="Times New Roman"/>
                <w:color w:val="000000"/>
                <w:szCs w:val="21"/>
                <w:highlight w:val="none"/>
              </w:rPr>
            </w:r>
            <w:r/>
          </w:p>
          <w:p>
            <w:pPr>
              <w:pStyle w:val="783"/>
              <w:numPr>
                <w:ilvl w:val="0"/>
                <w:numId w:val="16"/>
              </w:numPr>
              <w:ind w:firstLine="422"/>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辅助驾驶系统模块</w:t>
            </w:r>
            <w:r>
              <w:rPr>
                <w:rFonts w:ascii="Times New Roman" w:hAnsi="Times New Roman" w:cs="Times New Roman"/>
                <w:b/>
                <w:bCs/>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（1）包含混合动力汽车原车辅助驾驶控制系统模块1块。</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（2）完成前向碰撞预警：监测前方潜在碰撞风险并发出预警。</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（3）完成交通标识智能识别：自动识别路边的交通标志并显示在仪表盘上。</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（4）完成智能盲区监测：监测车辆侧后方盲区范围内的来车或障碍物。</w:t>
            </w:r>
            <w:r>
              <w:rPr>
                <w:rFonts w:ascii="Times New Roman" w:hAnsi="Times New Roman" w:cs="Times New Roman"/>
                <w:color w:val="000000"/>
                <w:szCs w:val="21"/>
                <w:highlight w:val="none"/>
              </w:rPr>
            </w:r>
            <w:r/>
          </w:p>
        </w:tc>
        <w:tc>
          <w:tcPr>
            <w:tcW w:w="763"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737"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700"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738"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w:t>
            </w:r>
            <w:r>
              <w:rPr>
                <w:rFonts w:ascii="Times New Roman" w:hAnsi="Times New Roman" w:cs="Times New Roman"/>
                <w:color w:val="000000"/>
                <w:szCs w:val="21"/>
                <w:highlight w:val="none"/>
              </w:rPr>
            </w:r>
            <w:r/>
          </w:p>
        </w:tc>
        <w:tc>
          <w:tcPr>
            <w:tcW w:w="1087"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汽车仪表系统</w:t>
            </w:r>
            <w:r>
              <w:rPr>
                <w:rFonts w:ascii="Times New Roman" w:hAnsi="Times New Roman" w:cs="Times New Roman"/>
                <w:color w:val="000000"/>
                <w:szCs w:val="21"/>
                <w:highlight w:val="none"/>
              </w:rPr>
            </w:r>
            <w:r/>
          </w:p>
        </w:tc>
        <w:tc>
          <w:tcPr>
            <w:tcW w:w="6300" w:type="dxa"/>
            <w:vAlign w:val="top"/>
            <w:textDirection w:val="lrTb"/>
            <w:noWrap w:val="false"/>
          </w:tcPr>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（一）系统介绍</w:t>
            </w:r>
            <w:r>
              <w:rPr>
                <w:rFonts w:ascii="Times New Roman" w:hAnsi="Times New Roman" w:cs="Times New Roman"/>
                <w:b/>
                <w:bCs/>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该汽车仪表系统套件总计3套，包含仪表系统1套、混合动力智能空调仪表系统1套、CAN总线分析仪1套。</w:t>
            </w:r>
            <w:r>
              <w:rPr>
                <w:rFonts w:ascii="Times New Roman" w:hAnsi="Times New Roman" w:cs="Times New Roman"/>
                <w:color w:val="000000"/>
                <w:szCs w:val="21"/>
                <w:highlight w:val="none"/>
              </w:rPr>
            </w:r>
            <w:r/>
          </w:p>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（二）技术要求</w:t>
            </w:r>
            <w:r>
              <w:rPr>
                <w:rFonts w:ascii="Times New Roman" w:hAnsi="Times New Roman" w:cs="Times New Roman"/>
                <w:b/>
                <w:bCs/>
                <w:color w:val="000000"/>
                <w:szCs w:val="21"/>
                <w:highlight w:val="none"/>
              </w:rPr>
            </w:r>
            <w:r/>
          </w:p>
          <w:p>
            <w:pPr>
              <w:pStyle w:val="783"/>
              <w:numPr>
                <w:ilvl w:val="0"/>
                <w:numId w:val="17"/>
              </w:numPr>
              <w:ind w:firstLine="422"/>
              <w:tabs>
                <w:tab w:val="left" w:pos="0" w:leader="none"/>
              </w:tabs>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仪表系统</w:t>
            </w:r>
            <w:r>
              <w:rPr>
                <w:rFonts w:ascii="Times New Roman" w:hAnsi="Times New Roman" w:cs="Times New Roman"/>
                <w:b/>
                <w:bCs/>
                <w:color w:val="000000"/>
                <w:szCs w:val="21"/>
                <w:highlight w:val="none"/>
              </w:rPr>
            </w:r>
            <w:r/>
          </w:p>
          <w:p>
            <w:pPr>
              <w:pStyle w:val="783"/>
              <w:ind w:firstLine="420"/>
              <w:jc w:val="left"/>
              <w:tabs>
                <w:tab w:val="left" w:pos="0" w:leader="none"/>
              </w:tabs>
              <w:rPr>
                <w:rFonts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lang w:val="en-US" w:eastAsia="zh-CN"/>
              </w:rPr>
              <w:t xml:space="preserve">不低于</w:t>
            </w:r>
            <w:r>
              <w:rPr>
                <w:rFonts w:ascii="Times New Roman" w:hAnsi="Times New Roman" w:cs="Times New Roman"/>
                <w:color w:val="000000"/>
                <w:szCs w:val="21"/>
                <w:highlight w:val="none"/>
              </w:rPr>
              <w:t xml:space="preserve">4.3英寸工控一体机、触摸屏、嵌入式IP65</w:t>
            </w:r>
            <w:r>
              <w:rPr>
                <w:rFonts w:ascii="Times New Roman" w:hAnsi="Times New Roman" w:cs="Times New Roman"/>
                <w:color w:val="000000"/>
                <w:szCs w:val="21"/>
                <w:highlight w:val="none"/>
                <w:lang w:eastAsia="zh-CN"/>
              </w:rPr>
              <w:t xml:space="preserve">。</w:t>
            </w:r>
            <w:r>
              <w:rPr>
                <w:rFonts w:ascii="Times New Roman" w:hAnsi="Times New Roman" w:eastAsia="宋体" w:cs="Times New Roman"/>
                <w:color w:val="000000"/>
                <w:szCs w:val="21"/>
                <w:highlight w:val="none"/>
                <w:lang w:eastAsia="zh-CN"/>
              </w:rPr>
            </w:r>
            <w:r/>
          </w:p>
          <w:p>
            <w:pPr>
              <w:pStyle w:val="783"/>
              <w:ind w:firstLine="422"/>
              <w:tabs>
                <w:tab w:val="left" w:pos="0" w:leader="none"/>
              </w:tabs>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2．CAN总线分析仪</w:t>
            </w:r>
            <w:r>
              <w:rPr>
                <w:rFonts w:ascii="Times New Roman" w:hAnsi="Times New Roman" w:cs="Times New Roman"/>
                <w:b/>
                <w:bCs/>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用于ECU对车载CAN-BUS网络开发、测试和分析的工具，可提高ECU及车载网络的开发效率。软件平台主要包括：1）测量功能；2）仿真功能。</w:t>
            </w:r>
            <w:r>
              <w:rPr>
                <w:rFonts w:ascii="Times New Roman" w:hAnsi="Times New Roman" w:cs="Times New Roman"/>
                <w:color w:val="000000"/>
                <w:szCs w:val="21"/>
                <w:highlight w:val="none"/>
              </w:rPr>
            </w:r>
            <w:r/>
          </w:p>
          <w:p>
            <w:pPr>
              <w:pStyle w:val="783"/>
              <w:ind w:left="420"/>
              <w:tabs>
                <w:tab w:val="left" w:pos="0" w:leader="none"/>
              </w:tabs>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3.混合动力智能空调仪表系统</w:t>
            </w:r>
            <w:r>
              <w:rPr>
                <w:rFonts w:ascii="Times New Roman" w:hAnsi="Times New Roman" w:cs="Times New Roman"/>
                <w:b/>
                <w:bCs/>
                <w:color w:val="000000"/>
                <w:szCs w:val="21"/>
                <w:highlight w:val="none"/>
              </w:rPr>
            </w:r>
            <w:r/>
          </w:p>
          <w:p>
            <w:pPr>
              <w:pStyle w:val="783"/>
              <w:ind w:firstLine="420"/>
              <w:widowControl/>
              <w:rPr>
                <w:rFonts w:ascii="Times New Roman" w:hAnsi="Times New Roman" w:cs="Times New Roman"/>
                <w:b/>
                <w:bCs/>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b/>
                <w:bCs/>
                <w:color w:val="000000"/>
                <w:szCs w:val="21"/>
                <w:highlight w:val="none"/>
              </w:rPr>
              <w:t xml:space="preserve">结构特点</w:t>
            </w:r>
            <w:r>
              <w:rPr>
                <w:rFonts w:ascii="Times New Roman" w:hAnsi="Times New Roman" w:cs="Times New Roman"/>
                <w:b/>
                <w:bCs/>
                <w:color w:val="000000"/>
                <w:szCs w:val="21"/>
                <w:highlight w:val="none"/>
              </w:rPr>
            </w:r>
            <w:r/>
          </w:p>
          <w:p>
            <w:pPr>
              <w:pStyle w:val="783"/>
              <w:ind w:firstLine="63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t xml:space="preserve">主体台架：主台架上安装有电动压缩机、PTC加热系统、空调箱总成、冷凝器总成、散热风扇、空调控制面板、控制线束、高压电缆、专用跨线接口等按原车布局布置。</w:t>
            </w:r>
            <w:r>
              <w:rPr>
                <w:rFonts w:ascii="Times New Roman" w:hAnsi="Times New Roman" w:cs="Times New Roman"/>
                <w:color w:val="000000"/>
                <w:szCs w:val="21"/>
                <w:highlight w:val="none"/>
              </w:rPr>
            </w:r>
            <w:r/>
          </w:p>
          <w:p>
            <w:pPr>
              <w:pStyle w:val="783"/>
              <w:ind w:firstLine="630"/>
              <w:widowControl/>
              <w:rPr>
                <w:rFonts w:ascii="Times New Roman" w:hAnsi="Times New Roman" w:cs="Times New Roman"/>
                <w:b/>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rPr>
              <w:t xml:space="preserve">检测面板：面板内嵌式安装，采用高密度铝塑板，数控微雕加工部件安装精准，采用UV彩喷。面板喷绘电路原理图，并安装检测端子，安装数字显示电压表。</w:t>
            </w:r>
            <w:r>
              <w:rPr>
                <w:rFonts w:ascii="Times New Roman" w:hAnsi="Times New Roman" w:cs="Times New Roman"/>
                <w:b/>
                <w:color w:val="000000"/>
                <w:szCs w:val="21"/>
                <w:highlight w:val="none"/>
              </w:rPr>
            </w:r>
            <w:r/>
          </w:p>
          <w:p>
            <w:pPr>
              <w:pStyle w:val="783"/>
              <w:ind w:firstLine="422"/>
              <w:widowControl/>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（2）</w:t>
            </w:r>
            <w:r>
              <w:rPr>
                <w:rFonts w:ascii="Times New Roman" w:hAnsi="Times New Roman" w:cs="Times New Roman"/>
                <w:b/>
                <w:bCs/>
                <w:color w:val="000000"/>
                <w:szCs w:val="21"/>
                <w:highlight w:val="none"/>
              </w:rPr>
              <w:t xml:space="preserve">功能特点</w:t>
            </w:r>
            <w:r>
              <w:rPr>
                <w:rFonts w:ascii="Times New Roman" w:hAnsi="Times New Roman" w:cs="Times New Roman"/>
                <w:color w:val="000000"/>
                <w:szCs w:val="21"/>
                <w:highlight w:val="none"/>
              </w:rPr>
            </w:r>
            <w:r/>
          </w:p>
          <w:p>
            <w:pPr>
              <w:pStyle w:val="783"/>
              <w:ind w:firstLine="63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t xml:space="preserve">结构展示：安装原车实物布局布置，可直接观察部件结构，能够清晰的展示电动压缩机、电动控制器、空调箱、冷却器、加热系统等的布置与结构。</w:t>
            </w:r>
            <w:r>
              <w:rPr>
                <w:rFonts w:ascii="Times New Roman" w:hAnsi="Times New Roman" w:cs="Times New Roman"/>
                <w:color w:val="000000"/>
                <w:szCs w:val="21"/>
                <w:highlight w:val="none"/>
              </w:rPr>
            </w:r>
            <w:r/>
          </w:p>
          <w:p>
            <w:pPr>
              <w:pStyle w:val="783"/>
              <w:ind w:firstLine="63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rPr>
              <w:t xml:space="preserve">信息显示：在实训面板上安装数字电压表，可实时显示空调系统不同状态的主要数据变化。</w:t>
            </w:r>
            <w:r>
              <w:rPr>
                <w:rFonts w:ascii="Times New Roman" w:hAnsi="Times New Roman" w:cs="Times New Roman"/>
                <w:color w:val="000000"/>
                <w:szCs w:val="21"/>
                <w:highlight w:val="none"/>
              </w:rPr>
            </w:r>
            <w:r/>
          </w:p>
          <w:p>
            <w:pPr>
              <w:pStyle w:val="783"/>
              <w:ind w:firstLine="63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t xml:space="preserve">数据检测：实训面板安装检测端口可使用示波器、万用表等工具对动力空调系统的数据检测进行电动空调控制逻辑的分析、高压转换低压控制系统的关系。</w:t>
            </w:r>
            <w:r>
              <w:rPr>
                <w:rFonts w:ascii="Times New Roman" w:hAnsi="Times New Roman" w:cs="Times New Roman"/>
                <w:color w:val="000000"/>
                <w:szCs w:val="21"/>
                <w:highlight w:val="none"/>
              </w:rPr>
            </w:r>
            <w:r/>
          </w:p>
          <w:p>
            <w:pPr>
              <w:pStyle w:val="783"/>
              <w:ind w:firstLine="63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w:t>
            </w:r>
            <w:r>
              <w:rPr>
                <w:rFonts w:ascii="Times New Roman" w:hAnsi="Times New Roman" w:cs="Times New Roman"/>
                <w:color w:val="000000"/>
                <w:szCs w:val="21"/>
                <w:highlight w:val="none"/>
              </w:rPr>
              <w:t xml:space="preserve">实验实训：实训台安装原车自动空调系统实物，可进行自动空调系统的操作实训，安装电压缩机可实现系统制冷满足制冷剂加注实训，安装有故障设置装置，可进行故障检测排除实训，安装有原车专用诊断接口，可连接专用或通用解码器进行故障码读取、数据流读取等原车功能实训。</w:t>
            </w:r>
            <w:r>
              <w:rPr>
                <w:rFonts w:ascii="Times New Roman" w:hAnsi="Times New Roman" w:cs="Times New Roman"/>
                <w:color w:val="000000"/>
                <w:szCs w:val="21"/>
                <w:highlight w:val="none"/>
              </w:rPr>
            </w:r>
            <w:r/>
          </w:p>
          <w:p>
            <w:pPr>
              <w:pStyle w:val="783"/>
              <w:ind w:firstLine="63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w:t>
            </w:r>
            <w:r>
              <w:rPr>
                <w:rFonts w:ascii="Times New Roman" w:hAnsi="Times New Roman" w:cs="Times New Roman"/>
                <w:color w:val="000000"/>
                <w:szCs w:val="21"/>
                <w:highlight w:val="none"/>
              </w:rPr>
              <w:t xml:space="preserve">配有可移动平板设置故障，通过无线连接检测平台内故障设置装置，在平板上有原厂电路图，点击电路图上的故障设置按钮可实现远程故障设置，实现实训考核。</w:t>
            </w:r>
            <w:r>
              <w:rPr>
                <w:rFonts w:ascii="Times New Roman" w:hAnsi="Times New Roman" w:cs="Times New Roman"/>
                <w:color w:val="000000"/>
                <w:szCs w:val="21"/>
                <w:highlight w:val="none"/>
              </w:rPr>
            </w:r>
            <w:r/>
          </w:p>
          <w:p>
            <w:pPr>
              <w:pStyle w:val="783"/>
              <w:ind w:firstLine="63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color w:val="000000"/>
                <w:szCs w:val="21"/>
                <w:highlight w:val="none"/>
              </w:rPr>
              <w:t xml:space="preserve">手动故障设置：</w:t>
            </w:r>
            <w:r>
              <w:rPr>
                <w:rFonts w:ascii="Times New Roman" w:hAnsi="Times New Roman" w:cs="Times New Roman"/>
                <w:bCs/>
                <w:color w:val="000000"/>
                <w:szCs w:val="21"/>
                <w:highlight w:val="none"/>
              </w:rPr>
              <w:t xml:space="preserve">在检测平台安装有专门的手动故障设置区，将原机线束按标准双向接引到故障设置区，故障设置装置采用手动模式通过电流大对原车信号造成影响小，设置故障多样性能力强可设置断路、虚接、对地短路、对正极短路、对其它信号短路。</w:t>
            </w:r>
            <w:r>
              <w:rPr>
                <w:rFonts w:ascii="Times New Roman" w:hAnsi="Times New Roman" w:cs="Times New Roman"/>
                <w:color w:val="000000"/>
                <w:szCs w:val="21"/>
                <w:highlight w:val="none"/>
              </w:rPr>
            </w:r>
            <w:r/>
          </w:p>
        </w:tc>
        <w:tc>
          <w:tcPr>
            <w:tcW w:w="763"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737"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700"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738"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w:t>
            </w:r>
            <w:r>
              <w:rPr>
                <w:rFonts w:ascii="Times New Roman" w:hAnsi="Times New Roman" w:cs="Times New Roman"/>
                <w:color w:val="000000"/>
                <w:szCs w:val="21"/>
                <w:highlight w:val="none"/>
              </w:rPr>
            </w:r>
            <w:r/>
          </w:p>
        </w:tc>
        <w:tc>
          <w:tcPr>
            <w:tcW w:w="1087"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数据采集分析系统</w:t>
            </w:r>
            <w:r>
              <w:rPr>
                <w:rFonts w:ascii="Times New Roman" w:hAnsi="Times New Roman" w:cs="Times New Roman"/>
                <w:color w:val="000000"/>
                <w:szCs w:val="21"/>
                <w:highlight w:val="none"/>
              </w:rPr>
            </w:r>
            <w:r/>
          </w:p>
        </w:tc>
        <w:tc>
          <w:tcPr>
            <w:tcW w:w="6300" w:type="dxa"/>
            <w:vAlign w:val="top"/>
            <w:textDirection w:val="lrTb"/>
            <w:noWrap w:val="false"/>
          </w:tcPr>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（一）系统介绍</w:t>
            </w:r>
            <w:r>
              <w:rPr>
                <w:rFonts w:ascii="Times New Roman" w:hAnsi="Times New Roman" w:cs="Times New Roman"/>
                <w:b/>
                <w:bCs/>
                <w:color w:val="000000"/>
                <w:szCs w:val="21"/>
                <w:highlight w:val="none"/>
              </w:rPr>
            </w:r>
            <w:r/>
          </w:p>
          <w:p>
            <w:pPr>
              <w:pStyle w:val="783"/>
              <w:jc w:val="left"/>
              <w:rPr>
                <w:rFonts w:ascii="Times New Roman" w:hAnsi="Times New Roman" w:cs="Times New Roman"/>
                <w:color w:val="000000"/>
                <w:szCs w:val="21"/>
                <w:highlight w:val="none"/>
              </w:rPr>
              <w:outlineLvl w:val="0"/>
            </w:pPr>
            <w:r>
              <w:rPr>
                <w:rFonts w:ascii="Times New Roman" w:hAnsi="Times New Roman" w:cs="Times New Roman"/>
                <w:color w:val="000000"/>
                <w:szCs w:val="21"/>
                <w:highlight w:val="none"/>
              </w:rPr>
              <w:t xml:space="preserve">数据采集分析系统1</w:t>
            </w:r>
            <w:r>
              <w:rPr>
                <w:rFonts w:ascii="Times New Roman" w:hAnsi="Times New Roman" w:cs="Times New Roman"/>
                <w:b/>
                <w:bCs/>
                <w:color w:val="000000"/>
                <w:szCs w:val="21"/>
                <w:highlight w:val="none"/>
              </w:rPr>
              <w:t xml:space="preserve">套</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783"/>
              <w:jc w:val="left"/>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（二）技术要求</w:t>
            </w:r>
            <w:r>
              <w:rPr>
                <w:rFonts w:ascii="Times New Roman" w:hAnsi="Times New Roman" w:cs="Times New Roman"/>
                <w:b/>
                <w:bCs/>
                <w:color w:val="000000"/>
                <w:szCs w:val="21"/>
                <w:highlight w:val="none"/>
              </w:rPr>
            </w:r>
            <w:r/>
          </w:p>
          <w:p>
            <w:pPr>
              <w:pStyle w:val="783"/>
              <w:ind w:firstLine="420"/>
              <w:jc w:val="left"/>
              <w:keepLines w:val="0"/>
              <w:keepNext w:val="0"/>
              <w:pageBreakBefore w:val="0"/>
              <w:widowControl w:val="off"/>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1.内置低功耗高性能的嵌入式处理器，高可靠全网通模块，完全解决虚假连接问题，让您不再担心设备无法连接服务器;多重软硬件可靠设计，复合式看门狗技术，使设备安全运行;</w:t>
            </w:r>
            <w:r>
              <w:rPr>
                <w:rFonts w:ascii="Times New Roman" w:hAnsi="Times New Roman" w:cs="Times New Roman"/>
                <w:color w:val="000000"/>
                <w:szCs w:val="21"/>
                <w:highlight w:val="none"/>
              </w:rPr>
            </w:r>
            <w:r/>
          </w:p>
          <w:p>
            <w:pPr>
              <w:pStyle w:val="783"/>
              <w:ind w:firstLine="420"/>
              <w:jc w:val="left"/>
              <w:keepLines w:val="0"/>
              <w:keepNext w:val="0"/>
              <w:pageBreakBefore w:val="0"/>
              <w:widowControl w:val="off"/>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2.支持主备中心地址，保证全网通连接的可靠性;</w:t>
            </w:r>
            <w:r>
              <w:rPr>
                <w:rFonts w:ascii="Times New Roman" w:hAnsi="Times New Roman" w:cs="Times New Roman"/>
                <w:color w:val="000000"/>
                <w:szCs w:val="21"/>
                <w:highlight w:val="none"/>
              </w:rPr>
            </w:r>
            <w:r/>
          </w:p>
          <w:p>
            <w:pPr>
              <w:pStyle w:val="783"/>
              <w:ind w:firstLine="420"/>
              <w:jc w:val="left"/>
              <w:keepLines w:val="0"/>
              <w:keepNext w:val="0"/>
              <w:pageBreakBefore w:val="0"/>
              <w:widowControl w:val="off"/>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3.支持域名和 IP两种连接服务器方式;</w:t>
            </w:r>
            <w:r>
              <w:rPr>
                <w:rFonts w:ascii="Times New Roman" w:hAnsi="Times New Roman" w:cs="Times New Roman"/>
                <w:color w:val="000000"/>
                <w:szCs w:val="21"/>
                <w:highlight w:val="none"/>
              </w:rPr>
            </w:r>
            <w:r/>
          </w:p>
          <w:p>
            <w:pPr>
              <w:pStyle w:val="783"/>
              <w:ind w:firstLine="420"/>
              <w:jc w:val="left"/>
              <w:keepLines w:val="0"/>
              <w:keepNext w:val="0"/>
              <w:pageBreakBefore w:val="0"/>
              <w:widowControl w:val="off"/>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4.支持心跳包功能，可保证终端永远在线;支持注册包功能，全网通连上则首先发送制定数据包，方便服务器对终端的识别;支持AT命令、配置工具、远程等对DTU进行参数配置和查询;</w:t>
            </w:r>
            <w:r>
              <w:rPr>
                <w:rFonts w:ascii="Times New Roman" w:hAnsi="Times New Roman" w:cs="Times New Roman"/>
                <w:color w:val="000000"/>
                <w:szCs w:val="21"/>
                <w:highlight w:val="none"/>
              </w:rPr>
            </w:r>
            <w:r/>
          </w:p>
          <w:p>
            <w:pPr>
              <w:pStyle w:val="783"/>
              <w:ind w:firstLine="420"/>
              <w:jc w:val="left"/>
              <w:keepLines w:val="0"/>
              <w:keepNext w:val="0"/>
              <w:pageBreakBefore w:val="0"/>
              <w:widowControl w:val="off"/>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5.支持配置参数掉电保存;</w:t>
            </w:r>
            <w:r>
              <w:rPr>
                <w:rFonts w:ascii="Times New Roman" w:hAnsi="Times New Roman" w:cs="Times New Roman"/>
                <w:color w:val="000000"/>
                <w:szCs w:val="21"/>
                <w:highlight w:val="none"/>
              </w:rPr>
            </w:r>
            <w:r/>
          </w:p>
          <w:p>
            <w:pPr>
              <w:pStyle w:val="783"/>
              <w:ind w:firstLine="420"/>
              <w:jc w:val="left"/>
              <w:keepLines w:val="0"/>
              <w:keepNext w:val="0"/>
              <w:pageBreakBefore w:val="0"/>
              <w:widowControl w:val="off"/>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6.高达7kB收发缓存，采用动态划分技术，提高缓存区使用效率;</w:t>
            </w:r>
            <w:r>
              <w:rPr>
                <w:rFonts w:ascii="Times New Roman" w:hAnsi="Times New Roman" w:cs="Times New Roman"/>
                <w:color w:val="000000"/>
                <w:szCs w:val="21"/>
                <w:highlight w:val="none"/>
              </w:rPr>
            </w:r>
            <w:r/>
          </w:p>
          <w:p>
            <w:pPr>
              <w:pStyle w:val="783"/>
              <w:ind w:firstLine="420"/>
              <w:jc w:val="left"/>
              <w:keepLines w:val="0"/>
              <w:keepNext w:val="0"/>
              <w:pageBreakBefore w:val="0"/>
              <w:widowControl w:val="off"/>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7.内置DC/DC模块磁藕隔离，隔离电压2500V;</w:t>
            </w:r>
            <w:r>
              <w:rPr>
                <w:rFonts w:ascii="Times New Roman" w:hAnsi="Times New Roman" w:cs="Times New Roman"/>
                <w:color w:val="000000"/>
                <w:szCs w:val="21"/>
                <w:highlight w:val="none"/>
              </w:rPr>
            </w:r>
            <w:r/>
          </w:p>
          <w:p>
            <w:pPr>
              <w:pStyle w:val="783"/>
              <w:ind w:firstLine="420"/>
              <w:jc w:val="left"/>
              <w:keepLines w:val="0"/>
              <w:keepNext w:val="0"/>
              <w:pageBreakBefore w:val="0"/>
              <w:widowControl w:val="off"/>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8.支持CAN2.OA、CAN2.OB 协议;</w:t>
            </w:r>
            <w:r>
              <w:rPr>
                <w:rFonts w:ascii="Times New Roman" w:hAnsi="Times New Roman" w:cs="Times New Roman"/>
                <w:color w:val="000000"/>
                <w:szCs w:val="21"/>
                <w:highlight w:val="none"/>
              </w:rPr>
            </w:r>
            <w:r/>
          </w:p>
          <w:p>
            <w:pPr>
              <w:pStyle w:val="783"/>
              <w:ind w:firstLine="420"/>
              <w:jc w:val="left"/>
              <w:keepLines w:val="0"/>
              <w:keepNext w:val="0"/>
              <w:pageBreakBefore w:val="0"/>
              <w:widowControl w:val="off"/>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9.支持三种工作模式:双向透明转换、透明带标识符转换、自定义协议转换;</w:t>
            </w:r>
            <w:r>
              <w:rPr>
                <w:rFonts w:ascii="Times New Roman" w:hAnsi="Times New Roman" w:cs="Times New Roman"/>
                <w:color w:val="000000"/>
                <w:szCs w:val="21"/>
                <w:highlight w:val="none"/>
              </w:rPr>
            </w:r>
            <w:r/>
          </w:p>
          <w:p>
            <w:pPr>
              <w:pStyle w:val="783"/>
              <w:ind w:firstLine="420"/>
              <w:keepLines w:val="0"/>
              <w:keepNext w:val="0"/>
              <w:pageBreakBefore w:val="0"/>
              <w:widowControl w:val="off"/>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10.工业级温度范围-40C~+70C.</w:t>
            </w:r>
            <w:r>
              <w:rPr>
                <w:rFonts w:ascii="Times New Roman" w:hAnsi="Times New Roman" w:cs="Times New Roman"/>
                <w:color w:val="000000"/>
                <w:szCs w:val="21"/>
                <w:highlight w:val="none"/>
              </w:rPr>
            </w:r>
            <w:r/>
          </w:p>
        </w:tc>
        <w:tc>
          <w:tcPr>
            <w:tcW w:w="763"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737"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700"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738"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13</w:t>
            </w:r>
            <w:r>
              <w:rPr>
                <w:rFonts w:ascii="Times New Roman" w:hAnsi="Times New Roman" w:cs="Times New Roman"/>
                <w:color w:val="000000"/>
                <w:szCs w:val="21"/>
                <w:highlight w:val="none"/>
              </w:rPr>
            </w:r>
            <w:r/>
          </w:p>
        </w:tc>
        <w:tc>
          <w:tcPr>
            <w:tcW w:w="1087"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汽车综合测试仪</w:t>
            </w:r>
            <w:r>
              <w:rPr>
                <w:rFonts w:ascii="Times New Roman" w:hAnsi="Times New Roman" w:cs="Times New Roman"/>
                <w:color w:val="000000"/>
                <w:szCs w:val="21"/>
                <w:highlight w:val="none"/>
              </w:rPr>
            </w:r>
            <w:r/>
          </w:p>
        </w:tc>
        <w:tc>
          <w:tcPr>
            <w:tcW w:w="6300" w:type="dxa"/>
            <w:vAlign w:val="top"/>
            <w:textDirection w:val="lrTb"/>
            <w:noWrap w:val="false"/>
          </w:tcPr>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（一）系统介绍</w:t>
            </w:r>
            <w:r>
              <w:rPr>
                <w:rFonts w:ascii="Times New Roman" w:hAnsi="Times New Roman" w:cs="Times New Roman"/>
                <w:b/>
                <w:bCs/>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该汽车综合测试仪套件包含专业诊断仪1套。</w:t>
            </w:r>
            <w:r>
              <w:rPr>
                <w:rFonts w:ascii="Times New Roman" w:hAnsi="Times New Roman" w:cs="Times New Roman"/>
                <w:color w:val="000000"/>
                <w:szCs w:val="21"/>
                <w:highlight w:val="none"/>
              </w:rPr>
            </w:r>
            <w:r/>
          </w:p>
          <w:p>
            <w:pPr>
              <w:pStyle w:val="783"/>
              <w:rPr>
                <w:rFonts w:ascii="Times New Roman" w:hAnsi="Times New Roman" w:cs="Times New Roman"/>
                <w:color w:val="000000"/>
                <w:szCs w:val="21"/>
                <w:highlight w:val="none"/>
              </w:rPr>
              <w:outlineLvl w:val="1"/>
            </w:pPr>
            <w:r>
              <w:rPr>
                <w:rFonts w:ascii="Times New Roman" w:hAnsi="Times New Roman" w:cs="Times New Roman"/>
                <w:b/>
                <w:bCs/>
                <w:color w:val="000000"/>
                <w:szCs w:val="21"/>
                <w:highlight w:val="none"/>
              </w:rPr>
              <w:t xml:space="preserve">（二）技术要求</w:t>
            </w:r>
            <w:r>
              <w:rPr>
                <w:rFonts w:ascii="Times New Roman" w:hAnsi="Times New Roman" w:cs="Times New Roman"/>
                <w:color w:val="000000"/>
                <w:szCs w:val="21"/>
                <w:highlight w:val="none"/>
              </w:rPr>
            </w:r>
            <w:r/>
          </w:p>
          <w:p>
            <w:pPr>
              <w:pStyle w:val="783"/>
              <w:ind w:firstLine="422"/>
              <w:tabs>
                <w:tab w:val="left" w:pos="0" w:leader="none"/>
              </w:tabs>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1.专业诊断仪</w:t>
            </w:r>
            <w:r>
              <w:rPr>
                <w:rFonts w:ascii="Times New Roman" w:hAnsi="Times New Roman" w:cs="Times New Roman"/>
                <w:color w:val="000000"/>
                <w:szCs w:val="21"/>
                <w:highlight w:val="none"/>
              </w:rPr>
              <w:t xml:space="preserve">：包含诊断主机、一体式转换头、测试主线，电源适配器、合格证、保修卡、说明书等。能够诊断排除故障，储存、分析有关车辆的历史记录、修改参数、车辆电子编程等,用于PC和电控模块之间的通讯。提供较强的数据处理能力，确保诊断操作的流畅性。支持多任务并行处理，保障设备在复杂诊断场景下的稳定性，配套专用诊断车。</w:t>
            </w:r>
            <w:r>
              <w:rPr>
                <w:rFonts w:ascii="Times New Roman" w:hAnsi="Times New Roman" w:cs="Times New Roman"/>
                <w:color w:val="000000"/>
                <w:szCs w:val="21"/>
                <w:highlight w:val="none"/>
              </w:rPr>
            </w:r>
            <w:r/>
          </w:p>
        </w:tc>
        <w:tc>
          <w:tcPr>
            <w:tcW w:w="763"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737"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700"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738"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14</w:t>
            </w:r>
            <w:r>
              <w:rPr>
                <w:rFonts w:ascii="Times New Roman" w:hAnsi="Times New Roman" w:cs="Times New Roman"/>
                <w:color w:val="000000"/>
                <w:szCs w:val="21"/>
                <w:highlight w:val="none"/>
              </w:rPr>
            </w:r>
            <w:r/>
          </w:p>
        </w:tc>
        <w:tc>
          <w:tcPr>
            <w:tcW w:w="1087"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自动驾驶动力学与传感器标定装调模块</w:t>
            </w:r>
            <w:r>
              <w:rPr>
                <w:rFonts w:ascii="Times New Roman" w:hAnsi="Times New Roman" w:cs="Times New Roman"/>
                <w:color w:val="000000"/>
                <w:szCs w:val="21"/>
                <w:highlight w:val="none"/>
              </w:rPr>
            </w:r>
            <w:r/>
          </w:p>
        </w:tc>
        <w:tc>
          <w:tcPr>
            <w:tcW w:w="6300" w:type="dxa"/>
            <w:vAlign w:val="top"/>
            <w:textDirection w:val="lrTb"/>
            <w:noWrap w:val="false"/>
          </w:tcPr>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（一）系统介绍</w:t>
            </w:r>
            <w:r>
              <w:rPr>
                <w:rFonts w:ascii="Times New Roman" w:hAnsi="Times New Roman" w:cs="Times New Roman"/>
                <w:b/>
                <w:bCs/>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自动驾驶动力学与传感器标定装调模块总计3套包含自动驾驶动力学与传感器标定装调硬件设备2套</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辅助驾驶传感器模块1套</w:t>
            </w:r>
            <w:r>
              <w:rPr>
                <w:rFonts w:ascii="Times New Roman" w:hAnsi="Times New Roman" w:cs="Times New Roman"/>
                <w:color w:val="000000"/>
                <w:szCs w:val="21"/>
                <w:highlight w:val="none"/>
              </w:rPr>
            </w:r>
            <w:r/>
          </w:p>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（二）技术要求</w:t>
            </w:r>
            <w:r>
              <w:rPr>
                <w:rFonts w:ascii="Times New Roman" w:hAnsi="Times New Roman" w:cs="Times New Roman"/>
                <w:b/>
                <w:bCs/>
                <w:color w:val="000000"/>
                <w:szCs w:val="21"/>
                <w:highlight w:val="none"/>
              </w:rPr>
            </w:r>
            <w:r/>
          </w:p>
          <w:p>
            <w:pPr>
              <w:pStyle w:val="783"/>
              <w:numPr>
                <w:ilvl w:val="0"/>
                <w:numId w:val="18"/>
              </w:numPr>
              <w:ind w:firstLine="422"/>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自动驾驶动力学与传感器标定装调硬件设备</w:t>
            </w:r>
            <w:r>
              <w:rPr>
                <w:rFonts w:ascii="Times New Roman" w:hAnsi="Times New Roman" w:cs="Times New Roman"/>
                <w:b/>
                <w:bCs/>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（1）动力学标定模块</w:t>
            </w:r>
            <w:r>
              <w:rPr>
                <w:rFonts w:ascii="Times New Roman" w:hAnsi="Times New Roman" w:cs="Times New Roman"/>
                <w:color w:val="000000"/>
                <w:szCs w:val="21"/>
                <w:highlight w:val="none"/>
              </w:rPr>
            </w:r>
            <w:r/>
          </w:p>
          <w:p>
            <w:pPr>
              <w:pStyle w:val="783"/>
              <w:ind w:firstLine="63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1）无线键盘鼠标≥1套；</w:t>
            </w:r>
            <w:r>
              <w:rPr>
                <w:rFonts w:ascii="Times New Roman" w:hAnsi="Times New Roman" w:cs="Times New Roman"/>
                <w:color w:val="000000"/>
                <w:szCs w:val="21"/>
                <w:highlight w:val="none"/>
              </w:rPr>
            </w:r>
            <w:r/>
          </w:p>
          <w:p>
            <w:pPr>
              <w:pStyle w:val="783"/>
              <w:ind w:firstLine="63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2）无线遥控器≥1个（已与VCU内接收器配对）；</w:t>
            </w:r>
            <w:r>
              <w:rPr>
                <w:rFonts w:ascii="Times New Roman" w:hAnsi="Times New Roman" w:cs="Times New Roman"/>
                <w:color w:val="000000"/>
                <w:szCs w:val="21"/>
                <w:highlight w:val="none"/>
              </w:rPr>
            </w:r>
            <w:r/>
          </w:p>
          <w:p>
            <w:pPr>
              <w:pStyle w:val="783"/>
              <w:ind w:firstLine="63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3）充电电池及充电器≥1套；每套含≥8节1.2V充电电池。</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（2）循迹测试模块</w:t>
            </w:r>
            <w:r>
              <w:rPr>
                <w:rFonts w:ascii="Times New Roman" w:hAnsi="Times New Roman" w:cs="Times New Roman"/>
                <w:color w:val="000000"/>
                <w:szCs w:val="21"/>
                <w:highlight w:val="none"/>
              </w:rPr>
            </w:r>
            <w:r/>
          </w:p>
          <w:p>
            <w:pPr>
              <w:pStyle w:val="783"/>
              <w:ind w:firstLine="63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1）5米卷尺≥1个；</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（3）视觉传感器标定模块</w:t>
            </w:r>
            <w:r>
              <w:rPr>
                <w:rFonts w:ascii="Times New Roman" w:hAnsi="Times New Roman" w:cs="Times New Roman"/>
                <w:color w:val="000000"/>
                <w:szCs w:val="21"/>
                <w:highlight w:val="none"/>
              </w:rPr>
            </w:r>
            <w:r/>
          </w:p>
          <w:p>
            <w:pPr>
              <w:pStyle w:val="783"/>
              <w:ind w:firstLine="63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1）视觉传感器标定用图形板≥1张；</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（4）自动驾驶测试（用已建成地图）模块；</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（5）激光雷达标定软件1套；视觉传感器标定软件1套；激光雷达测试软件1套；视觉传感器测试软件1套；组合导航系统配置调试软件1套；自动驾驶地图处理工具1套。</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（6）与该设备装调过程相匹配的工艺卡及工艺流程卡；</w:t>
            </w:r>
            <w:r>
              <w:rPr>
                <w:rFonts w:ascii="Times New Roman" w:hAnsi="Times New Roman" w:cs="Times New Roman"/>
                <w:color w:val="000000"/>
                <w:szCs w:val="21"/>
                <w:highlight w:val="none"/>
              </w:rPr>
            </w:r>
            <w:r/>
          </w:p>
          <w:p>
            <w:pPr>
              <w:pStyle w:val="783"/>
              <w:ind w:firstLine="21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工艺指导文件：数量≥1本，包括动力学标定、循迹测试、激光雷达标定、视觉传感器标定、自动驾驶测试工序的工艺指导文件。（工艺指导文件所包含内容需与设备相匹配，投标时提供设备组装过程中所需的具体工艺步骤和工艺参数的佐证材料）</w:t>
            </w:r>
            <w:r>
              <w:rPr>
                <w:rFonts w:ascii="Times New Roman" w:hAnsi="Times New Roman" w:cs="Times New Roman"/>
                <w:color w:val="000000"/>
                <w:szCs w:val="21"/>
                <w:highlight w:val="none"/>
              </w:rPr>
            </w:r>
            <w:r/>
          </w:p>
          <w:p>
            <w:pPr>
              <w:pStyle w:val="783"/>
              <w:ind w:firstLine="21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操作指导视频：数量≥1套，包含包括动力学标定、循迹测试、激光雷达标定、视觉传感器标定、自动驾驶测试的操作指导视频（视频内容必须包含上述每个部分的装调过程与步骤且与上述工艺文件内容相匹配，视频画面要求清晰顺畅）。</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（9）随货提供开源的C语言线控驱动、线控转向、线控制动测试程序源代码，以及VCU电路原理图，能进行整车控制器的二次开发；</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（10）完全适配主流自动驾驶平台；安装、调试好所有自动驾驶软硬件；</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（11）开放线控通信CAN总线协议word文件、DBC文件。</w:t>
            </w:r>
            <w:r>
              <w:rPr>
                <w:rFonts w:ascii="Times New Roman" w:hAnsi="Times New Roman" w:cs="Times New Roman"/>
                <w:color w:val="000000"/>
                <w:szCs w:val="21"/>
                <w:highlight w:val="none"/>
              </w:rPr>
            </w:r>
            <w:r/>
          </w:p>
          <w:p>
            <w:pPr>
              <w:pStyle w:val="783"/>
              <w:numPr>
                <w:ilvl w:val="0"/>
                <w:numId w:val="18"/>
              </w:numPr>
              <w:ind w:firstLine="422"/>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辅助驾驶传感器模块</w:t>
            </w:r>
            <w:r>
              <w:rPr>
                <w:rFonts w:ascii="Times New Roman" w:hAnsi="Times New Roman" w:cs="Times New Roman"/>
                <w:b/>
                <w:bCs/>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包含混合动力汽车原车摄像头≥2，雷达传感器≥2个及附件。</w:t>
            </w:r>
            <w:r>
              <w:rPr>
                <w:rFonts w:ascii="Times New Roman" w:hAnsi="Times New Roman" w:cs="Times New Roman"/>
                <w:color w:val="000000"/>
                <w:szCs w:val="21"/>
                <w:highlight w:val="none"/>
              </w:rPr>
            </w:r>
            <w:r/>
          </w:p>
        </w:tc>
        <w:tc>
          <w:tcPr>
            <w:tcW w:w="763"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r>
            <w:r/>
          </w:p>
        </w:tc>
        <w:tc>
          <w:tcPr>
            <w:tcW w:w="737"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700"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738"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15</w:t>
            </w:r>
            <w:r>
              <w:rPr>
                <w:rFonts w:ascii="Times New Roman" w:hAnsi="Times New Roman" w:cs="Times New Roman"/>
                <w:color w:val="000000"/>
                <w:szCs w:val="21"/>
                <w:highlight w:val="none"/>
              </w:rPr>
            </w:r>
            <w:r/>
          </w:p>
        </w:tc>
        <w:tc>
          <w:tcPr>
            <w:tcW w:w="1087"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电动汽车拆装模块</w:t>
            </w:r>
            <w:r>
              <w:rPr>
                <w:rFonts w:ascii="Times New Roman" w:hAnsi="Times New Roman" w:cs="Times New Roman"/>
                <w:color w:val="000000"/>
                <w:szCs w:val="21"/>
                <w:highlight w:val="none"/>
              </w:rPr>
            </w:r>
            <w:r/>
          </w:p>
        </w:tc>
        <w:tc>
          <w:tcPr>
            <w:tcW w:w="6300" w:type="dxa"/>
            <w:vAlign w:val="top"/>
            <w:textDirection w:val="lrTb"/>
            <w:noWrap w:val="false"/>
          </w:tcPr>
          <w:p>
            <w:pPr>
              <w:pStyle w:val="783"/>
              <w:tabs>
                <w:tab w:val="left" w:pos="0" w:leader="none"/>
              </w:tabs>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（一）系统介绍</w:t>
            </w:r>
            <w:r>
              <w:rPr>
                <w:rFonts w:ascii="Times New Roman" w:hAnsi="Times New Roman" w:cs="Times New Roman"/>
                <w:b/>
                <w:bCs/>
                <w:color w:val="000000"/>
                <w:szCs w:val="21"/>
                <w:highlight w:val="none"/>
              </w:rPr>
            </w:r>
            <w:r/>
          </w:p>
          <w:p>
            <w:pPr>
              <w:pStyle w:val="783"/>
              <w:ind w:firstLine="420"/>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该电动汽车拆装模块套件总计10套包含：电池模组充放电测试系统1套；电池模组均衡仪1套；新能源测试套装8套；</w:t>
            </w:r>
            <w:r>
              <w:rPr>
                <w:rFonts w:ascii="Times New Roman" w:hAnsi="Times New Roman" w:cs="Times New Roman"/>
                <w:color w:val="000000"/>
                <w:szCs w:val="21"/>
                <w:highlight w:val="none"/>
              </w:rPr>
            </w:r>
            <w:r/>
          </w:p>
          <w:p>
            <w:pPr>
              <w:pStyle w:val="783"/>
              <w:tabs>
                <w:tab w:val="left" w:pos="0" w:leader="none"/>
              </w:tabs>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（二）技术要求</w:t>
            </w:r>
            <w:r>
              <w:rPr>
                <w:rFonts w:ascii="Times New Roman" w:hAnsi="Times New Roman" w:cs="Times New Roman"/>
                <w:b/>
                <w:bCs/>
                <w:color w:val="000000"/>
                <w:szCs w:val="21"/>
                <w:highlight w:val="none"/>
              </w:rPr>
            </w:r>
            <w:r/>
          </w:p>
          <w:p>
            <w:pPr>
              <w:pStyle w:val="783"/>
              <w:numPr>
                <w:ilvl w:val="0"/>
                <w:numId w:val="19"/>
              </w:numPr>
              <w:ind w:firstLine="420"/>
              <w:rPr>
                <w:rFonts w:ascii="Times New Roman" w:hAnsi="Times New Roman" w:cs="Times New Roman"/>
                <w:b/>
                <w:bCs/>
                <w:color w:val="000000"/>
                <w:szCs w:val="21"/>
                <w:highlight w:val="none"/>
              </w:rPr>
              <w:outlineLvl w:val="2"/>
            </w:pPr>
            <w:r>
              <w:rPr>
                <w:rFonts w:ascii="Times New Roman" w:hAnsi="Times New Roman" w:cs="Times New Roman"/>
                <w:color w:val="000000"/>
                <w:szCs w:val="21"/>
                <w:highlight w:val="none"/>
              </w:rPr>
              <w:t xml:space="preserve">电池模组充放电测试系统</w:t>
            </w:r>
            <w:r>
              <w:rPr>
                <w:rFonts w:ascii="Times New Roman" w:hAnsi="Times New Roman" w:cs="Times New Roman"/>
                <w:b/>
                <w:bCs/>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（1）全程精准恒流放电。</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（2）精准记录充放电容量及充放电终止电压，更直观判断电池的容量及品质。</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（3）充放电管理：通过对电池进行充放电管理，显示、记录充放电电流、电压、时间、容量等，</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（4）电池输入反接保护，过温保护。</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（5）采用双滚轴高速散热风扇，风量大、寿命长、噪音小。</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（6）32位ARM CPU为设备提供高速稳定的计算处理能力。</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（7）5.7寸液晶显示屏，数据显示一目了然。</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（8）简单易懂的人机操作界面。</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（9）电压输入范围： 2VDC~110VDC。</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（10）放电电流 ：1~20A可调，步进1A。</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（11）电压检测精度： ±0.5%FS。</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（12）电流检测精度 ：±0.5%FS。</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（13）充电电压范围 ：10VDC~110VDC。</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（14）充电电流 ：10VDC~90VDC:1A~20A可调， 90VDC~110VDC:1A~15A,步进1A。</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（15）充电接入方式：内置可调充电模块。</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（16）放电模式 ：恒流放电。</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（17）放电模块 耐高温金属发热阻件。</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（18）放电终止条件 到达设置终点电压、到达设定的容量值、放电电流小于0.3A。</w:t>
            </w:r>
            <w:r>
              <w:rPr>
                <w:rFonts w:ascii="Times New Roman" w:hAnsi="Times New Roman" w:cs="Times New Roman"/>
                <w:color w:val="000000"/>
                <w:szCs w:val="21"/>
                <w:highlight w:val="none"/>
              </w:rPr>
            </w:r>
            <w:r/>
          </w:p>
          <w:p>
            <w:pPr>
              <w:pStyle w:val="783"/>
              <w:numPr>
                <w:ilvl w:val="0"/>
                <w:numId w:val="19"/>
              </w:numPr>
              <w:ind w:firstLine="422"/>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电池模组均衡仪</w:t>
            </w:r>
            <w:r>
              <w:rPr>
                <w:rFonts w:ascii="Times New Roman" w:hAnsi="Times New Roman" w:cs="Times New Roman"/>
                <w:b/>
                <w:bCs/>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(1)支持2-24串锂电池均衡。</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(2)均衡电流：1-20A可调。</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(3)精准采集电池电压。</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(4)内部集成充电器管理单元，独特的软件算法支持，优化均衡效果。</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(5)支持充电均衡、放电均衡两种模式可选。</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(6)通过算法，自适应调整充电及放电电流，提高均衡精度及效率。</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(7)隔离高精度独立电压采集模块。</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(8)采用双滚轴高速散热风扇，风量大、寿命长、噪音小。</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(9)32位ARM CPU为设备提供高速稳定的计算处理能力。</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w:t>
            </w:r>
            <w:r>
              <w:rPr>
                <w:rFonts w:ascii="Times New Roman" w:hAnsi="Times New Roman" w:cs="Times New Roman"/>
                <w:color w:val="000000"/>
                <w:szCs w:val="21"/>
                <w:highlight w:val="none"/>
                <w:lang w:val="en-US" w:eastAsia="zh-CN"/>
              </w:rPr>
              <w:t xml:space="preserve">不低于</w:t>
            </w:r>
            <w:r>
              <w:rPr>
                <w:rFonts w:ascii="Times New Roman" w:hAnsi="Times New Roman" w:cs="Times New Roman"/>
                <w:color w:val="000000"/>
                <w:szCs w:val="21"/>
                <w:highlight w:val="none"/>
              </w:rPr>
              <w:t xml:space="preserve">5.7寸液晶显示屏，数据显示一目了然。</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(11)简单易懂的人机操作界面。</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(12)采用高功率的铝壳金属壳电阻，使用寿命长、工作稳定。</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(13)均衡电压 2V~4.2V可调。</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(14)放电均衡电流 最大20A/每串。</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(15)电压检测精度 5V @±0.1%FS。</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(16)均衡精度(各串最小压差) 1mV。</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(17)放电均衡最大整机功耗 2000W。</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(18)充电均衡电流调整范围 1A~15A自适应调整。</w:t>
            </w:r>
            <w:r>
              <w:rPr>
                <w:rFonts w:ascii="Times New Roman" w:hAnsi="Times New Roman" w:cs="Times New Roman"/>
                <w:color w:val="000000"/>
                <w:szCs w:val="21"/>
                <w:highlight w:val="none"/>
              </w:rPr>
            </w:r>
            <w:r/>
          </w:p>
          <w:p>
            <w:pPr>
              <w:pStyle w:val="783"/>
              <w:ind w:firstLine="420"/>
              <w:jc w:val="left"/>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(19)最大允许充电电流 15A。</w:t>
            </w:r>
            <w:r>
              <w:rPr>
                <w:rFonts w:ascii="Times New Roman" w:hAnsi="Times New Roman" w:cs="Times New Roman"/>
                <w:color w:val="000000"/>
                <w:szCs w:val="21"/>
                <w:highlight w:val="none"/>
              </w:rPr>
            </w:r>
            <w:r/>
          </w:p>
          <w:p>
            <w:pPr>
              <w:pStyle w:val="783"/>
              <w:numPr>
                <w:ilvl w:val="0"/>
                <w:numId w:val="19"/>
              </w:numPr>
              <w:ind w:firstLine="422"/>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新能源测试套装</w:t>
            </w:r>
            <w:r>
              <w:rPr>
                <w:rFonts w:ascii="Times New Roman" w:hAnsi="Times New Roman" w:cs="Times New Roman"/>
                <w:b/>
                <w:bCs/>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t xml:space="preserve">万用表：可用于汽车制造和汽车维修检验的测量。</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直流电压 (V) 4V/40V/400V/1000V ±(0.5%+3)；交流电压 (</w:t>
            </w:r>
            <w:r>
              <w:rPr>
                <w:rFonts w:ascii="Times New Roman" w:hAnsi="Times New Roman" w:cs="Times New Roman"/>
                <w:color w:val="000000"/>
                <w:szCs w:val="21"/>
                <w:highlight w:val="none"/>
              </w:rPr>
              <w:t xml:space="preserve">V) 40mV/400mV/4V/40V/400V/1000V ±(1%+3)；直流电流 (A) 400μA/4000μA/40mA/400mA/4A/10A ±(1%+2)；交流电流 (A) 400μA/4000μA/40mA/400mA/4A/10A ±(1.2%+5)；电阻 (Ω) 400Ω/4KΩ/40KΩ/400KΩ/4MΩ/40MΩ ±(1%+5)；电容 (F) 10nF/100nF/1000nF/10μF/100μF ±(3%+5)；频率 (Hz) 10Hz ～ 1MHz ±(0.1%+4)。</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rPr>
              <w:t xml:space="preserve">绝缘测试仪：</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能够进行200GΩ绝缘电阻测试（1KV输出电压时）；50V，100V，250V，500，1000V的基本绝缘输出电压，每个功能档位50%~120%的步进绝缘输出电压，自动计算极化指数或吸收比，CATIV 600V测量安全等级，测量交/直流电压：0.1V至600V具备自动关闭功能，具有锁定测量功能电阻：0.01Ω至20.00KΩ</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rPr>
              <w:t xml:space="preserve">电流钳：</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交流电压：1mV~600V；直流电压：0.1mV-600V；交流电流：1mA~100A；直流电流：1mA~100A；电容测量：1pF~20mF；电阻测量：0.1Ω~20MΩ；频率测量：10Hz~60KHz；钳口开口：17mm。 </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w:t>
            </w:r>
            <w:r>
              <w:rPr>
                <w:rFonts w:ascii="Times New Roman" w:hAnsi="Times New Roman" w:cs="Times New Roman"/>
                <w:color w:val="000000"/>
                <w:szCs w:val="21"/>
                <w:highlight w:val="none"/>
              </w:rPr>
              <w:t xml:space="preserve">示波器：</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双通道示波器；带宽：25Mhz,采样率：250MS/s；上升时间≤14ns；存储深度12kpts；垂直灵敏度：5mV/div ~20V/div；接口：Mini USB。</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hint="eastAsia" w:ascii="Times New Roman" w:hAnsi="Times New Roman" w:cs="Times New Roman"/>
                <w:color w:val="000000"/>
                <w:szCs w:val="21"/>
                <w:highlight w:val="none"/>
                <w:lang w:val="en-US" w:eastAsia="zh-CN"/>
              </w:rPr>
              <w:t xml:space="preserve">(5)</w:t>
            </w:r>
            <w:r>
              <w:rPr>
                <w:rFonts w:ascii="Times New Roman" w:hAnsi="Times New Roman" w:cs="Times New Roman"/>
                <w:color w:val="000000"/>
                <w:szCs w:val="21"/>
                <w:highlight w:val="none"/>
              </w:rPr>
              <w:t xml:space="preserve">毫欧表</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电阻测量量程为：0.001mΩ~300KΩ，可测量在量程范围内的常规电阻，最大测试电流1A；四线法精密测量,499组数据存储,具有USB通信功能,采样速率2~3次/秒,自动/手动量程,线阻校准功能。可充锂电池组，USB通信功能。</w:t>
            </w:r>
            <w:r>
              <w:rPr>
                <w:rFonts w:ascii="Times New Roman" w:hAnsi="Times New Roman" w:cs="Times New Roman"/>
                <w:color w:val="000000"/>
                <w:szCs w:val="21"/>
                <w:highlight w:val="none"/>
              </w:rPr>
            </w:r>
            <w:r/>
          </w:p>
        </w:tc>
        <w:tc>
          <w:tcPr>
            <w:tcW w:w="763"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w:t>
            </w:r>
            <w:r>
              <w:rPr>
                <w:rFonts w:ascii="Times New Roman" w:hAnsi="Times New Roman" w:cs="Times New Roman"/>
                <w:color w:val="000000"/>
                <w:szCs w:val="21"/>
                <w:highlight w:val="none"/>
              </w:rPr>
            </w:r>
            <w:r/>
          </w:p>
        </w:tc>
        <w:tc>
          <w:tcPr>
            <w:tcW w:w="737"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700"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738"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16</w:t>
            </w:r>
            <w:r>
              <w:rPr>
                <w:rFonts w:ascii="Times New Roman" w:hAnsi="Times New Roman" w:cs="Times New Roman"/>
                <w:color w:val="000000"/>
                <w:szCs w:val="21"/>
                <w:highlight w:val="none"/>
              </w:rPr>
            </w:r>
            <w:r/>
          </w:p>
        </w:tc>
        <w:tc>
          <w:tcPr>
            <w:tcW w:w="1087"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电动汽车拆装工具</w:t>
            </w:r>
            <w:r>
              <w:rPr>
                <w:rFonts w:ascii="Times New Roman" w:hAnsi="Times New Roman" w:cs="Times New Roman"/>
                <w:color w:val="000000"/>
                <w:szCs w:val="21"/>
                <w:highlight w:val="none"/>
              </w:rPr>
            </w:r>
            <w:r/>
          </w:p>
        </w:tc>
        <w:tc>
          <w:tcPr>
            <w:tcW w:w="6300" w:type="dxa"/>
            <w:vAlign w:val="top"/>
            <w:textDirection w:val="lrTb"/>
            <w:noWrap w:val="false"/>
          </w:tcPr>
          <w:p>
            <w:pPr>
              <w:pStyle w:val="783"/>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（一）系统介绍</w:t>
            </w:r>
            <w:r>
              <w:rPr>
                <w:rFonts w:ascii="Times New Roman" w:hAnsi="Times New Roman" w:cs="Times New Roman"/>
                <w:b/>
                <w:bCs/>
                <w:color w:val="000000"/>
                <w:szCs w:val="21"/>
                <w:highlight w:val="none"/>
              </w:rPr>
            </w:r>
            <w:r/>
          </w:p>
          <w:p>
            <w:pPr>
              <w:pStyle w:val="783"/>
              <w:ind w:firstLine="420"/>
              <w:rPr>
                <w:rFonts w:ascii="Times New Roman" w:hAnsi="Times New Roman" w:cs="Times New Roman"/>
                <w:b/>
                <w:bCs/>
                <w:color w:val="000000"/>
                <w:szCs w:val="21"/>
                <w:highlight w:val="none"/>
              </w:rPr>
            </w:pPr>
            <w:r>
              <w:rPr>
                <w:rFonts w:ascii="Times New Roman" w:hAnsi="Times New Roman" w:cs="Times New Roman"/>
                <w:color w:val="000000"/>
                <w:szCs w:val="21"/>
                <w:highlight w:val="none"/>
              </w:rPr>
              <w:t xml:space="preserve">该电动汽车拆装工具套件总计15套包含：绝缘工具组合套装5套；新能源安全套装10套。</w:t>
            </w:r>
            <w:r>
              <w:rPr>
                <w:rFonts w:ascii="Times New Roman" w:hAnsi="Times New Roman" w:cs="Times New Roman"/>
                <w:b/>
                <w:bCs/>
                <w:color w:val="000000"/>
                <w:szCs w:val="21"/>
                <w:highlight w:val="none"/>
              </w:rPr>
            </w:r>
            <w:r/>
          </w:p>
          <w:p>
            <w:pPr>
              <w:pStyle w:val="783"/>
              <w:numPr>
                <w:ilvl w:val="0"/>
                <w:numId w:val="20"/>
              </w:numPr>
              <w:rPr>
                <w:rFonts w:ascii="Times New Roman" w:hAnsi="Times New Roman" w:cs="Times New Roman"/>
                <w:b/>
                <w:bCs/>
                <w:color w:val="000000"/>
                <w:szCs w:val="21"/>
                <w:highlight w:val="none"/>
              </w:rPr>
              <w:outlineLvl w:val="1"/>
            </w:pPr>
            <w:r>
              <w:rPr>
                <w:rFonts w:ascii="Times New Roman" w:hAnsi="Times New Roman" w:cs="Times New Roman"/>
                <w:b/>
                <w:bCs/>
                <w:color w:val="000000"/>
                <w:szCs w:val="21"/>
                <w:highlight w:val="none"/>
              </w:rPr>
              <w:t xml:space="preserve">技术要求</w:t>
            </w:r>
            <w:r>
              <w:rPr>
                <w:rFonts w:ascii="Times New Roman" w:hAnsi="Times New Roman" w:cs="Times New Roman"/>
                <w:b/>
                <w:bCs/>
                <w:color w:val="000000"/>
                <w:szCs w:val="21"/>
                <w:highlight w:val="none"/>
              </w:rPr>
            </w:r>
            <w:r/>
          </w:p>
          <w:p>
            <w:pPr>
              <w:pStyle w:val="783"/>
              <w:numPr>
                <w:ilvl w:val="0"/>
                <w:numId w:val="21"/>
              </w:numPr>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绝缘工具组合套装</w:t>
            </w:r>
            <w:r>
              <w:rPr>
                <w:rFonts w:ascii="Times New Roman" w:hAnsi="Times New Roman" w:cs="Times New Roman"/>
                <w:b/>
                <w:bCs/>
                <w:color w:val="000000"/>
                <w:szCs w:val="21"/>
                <w:highlight w:val="none"/>
              </w:rPr>
            </w:r>
            <w:r/>
          </w:p>
          <w:p>
            <w:pPr>
              <w:pStyle w:val="783"/>
              <w:numPr>
                <w:ilvl w:val="0"/>
                <w:numId w:val="22"/>
              </w:numPr>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配套工具车：10件12.5mm系列绝缘六角套筒：10-24mm；5件12.5mm系列绝缘六角旋具套筒：4-10mm；3件12.5mm绝缘套筒附件：棘轮扳手、绝缘长接杆、短接杆；8件10mm系列绝缘六角套筒：8-18mm；3件10mm系列绝缘套筒附件：棘轮扳手、绝缘长接杆、短接杆；13件双色绝缘梅花扳手:8mm-24mm；4件绝缘尖嘴钳8″、斜嘴钳6″、钢丝钳8″、剥线刀；13件双色绝缘开口扳手:8mm-24mm；6件绝缘螺丝刀：一字、十字；2件活动扳手、T型接杆。</w:t>
            </w:r>
            <w:r>
              <w:rPr>
                <w:rFonts w:ascii="Times New Roman" w:hAnsi="Times New Roman" w:cs="Times New Roman"/>
                <w:color w:val="000000"/>
                <w:szCs w:val="21"/>
                <w:highlight w:val="none"/>
              </w:rPr>
            </w:r>
            <w:r/>
          </w:p>
          <w:p>
            <w:pPr>
              <w:pStyle w:val="783"/>
              <w:numPr>
                <w:ilvl w:val="0"/>
                <w:numId w:val="21"/>
              </w:numPr>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t xml:space="preserve">新能源安全套装</w:t>
            </w:r>
            <w:r>
              <w:rPr>
                <w:rFonts w:ascii="Times New Roman" w:hAnsi="Times New Roman" w:cs="Times New Roman"/>
                <w:b/>
                <w:bCs/>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（1）绝缘鞋：执行标准GB12011-20200《电绝缘鞋通用技术条件》设计生产；撕裂强力≧120N；双密度PU大底，耐磨、防油、防滑；黑色，有钢头；绝缘等级≥1000V。</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（2）护目镜：抗冲击、无死角全封闭、99%透光率；180 度全景很大视野护目镜，不会产生视觉变形。</w:t>
            </w:r>
            <w:r>
              <w:rPr>
                <w:rFonts w:ascii="Times New Roman" w:hAnsi="Times New Roman" w:cs="Times New Roman"/>
                <w:color w:val="000000"/>
                <w:szCs w:val="21"/>
                <w:highlight w:val="none"/>
              </w:rPr>
            </w:r>
            <w:r/>
          </w:p>
          <w:p>
            <w:pPr>
              <w:pStyle w:val="783"/>
              <w:ind w:firstLine="420"/>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（3）安全帽：执行标准：IEC60903-2002，符合GB/17622-2008标准；绝缘等级≥1000V。采用高密度复合聚酯材料。</w:t>
            </w:r>
            <w:r>
              <w:rPr>
                <w:rFonts w:ascii="Times New Roman" w:hAnsi="Times New Roman" w:cs="Times New Roman"/>
                <w:color w:val="000000"/>
                <w:szCs w:val="21"/>
                <w:highlight w:val="none"/>
              </w:rPr>
            </w:r>
            <w:r/>
          </w:p>
          <w:p>
            <w:pPr>
              <w:pStyle w:val="783"/>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（4）绝缘手套：绝缘等级≥1000V；泄露电流：≤12mA；符合GB/17622-2008标准；天然乳胶绝缘手套必须与相应的外用皮手套配合使用，以提供良好的机械抗力。</w:t>
            </w:r>
            <w:r>
              <w:rPr>
                <w:rFonts w:ascii="Times New Roman" w:hAnsi="Times New Roman" w:cs="Times New Roman"/>
                <w:color w:val="000000"/>
                <w:szCs w:val="21"/>
                <w:highlight w:val="none"/>
              </w:rPr>
            </w:r>
            <w:r/>
          </w:p>
        </w:tc>
        <w:tc>
          <w:tcPr>
            <w:tcW w:w="763" w:type="dxa"/>
            <w:vAlign w:val="center"/>
            <w:textDirection w:val="lrTb"/>
            <w:noWrap w:val="false"/>
          </w:tcPr>
          <w:p>
            <w:pPr>
              <w:pStyle w:val="783"/>
              <w:jc w:val="center"/>
              <w:tabs>
                <w:tab w:val="left" w:pos="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15</w:t>
            </w:r>
            <w:r>
              <w:rPr>
                <w:rFonts w:ascii="Times New Roman" w:hAnsi="Times New Roman" w:cs="Times New Roman"/>
                <w:color w:val="000000"/>
                <w:szCs w:val="21"/>
                <w:highlight w:val="none"/>
              </w:rPr>
            </w:r>
            <w:r/>
          </w:p>
        </w:tc>
        <w:tc>
          <w:tcPr>
            <w:tcW w:w="737"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套</w:t>
            </w:r>
            <w:r>
              <w:rPr>
                <w:rFonts w:ascii="Times New Roman" w:hAnsi="Times New Roman" w:cs="Times New Roman"/>
                <w:color w:val="000000"/>
                <w:szCs w:val="21"/>
                <w:highlight w:val="none"/>
              </w:rPr>
            </w:r>
            <w:r/>
          </w:p>
        </w:tc>
        <w:tc>
          <w:tcPr>
            <w:tcW w:w="700" w:type="dxa"/>
            <w:vAlign w:val="center"/>
            <w:textDirection w:val="lrTb"/>
            <w:noWrap w:val="false"/>
          </w:tcPr>
          <w:p>
            <w:pPr>
              <w:pStyle w:val="783"/>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783"/>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三</w:t>
      </w:r>
      <w:r>
        <w:rPr>
          <w:rFonts w:ascii="宋体" w:hAnsi="宋体"/>
          <w:b/>
          <w:sz w:val="24"/>
          <w:szCs w:val="24"/>
          <w:highlight w:val="none"/>
        </w:rPr>
        <w:t xml:space="preserve">、</w:t>
      </w:r>
      <w:r>
        <w:rPr>
          <w:rFonts w:hint="eastAsia" w:ascii="宋体" w:hAnsi="宋体"/>
          <w:b/>
          <w:sz w:val="24"/>
          <w:szCs w:val="24"/>
          <w:highlight w:val="none"/>
        </w:rPr>
        <w:t xml:space="preserve">合同履行期限及地点</w:t>
      </w:r>
      <w:r>
        <w:rPr>
          <w:rFonts w:hint="eastAsia" w:ascii="宋体" w:hAnsi="宋体"/>
          <w:b/>
          <w:sz w:val="24"/>
          <w:szCs w:val="24"/>
          <w:highlight w:val="none"/>
        </w:rPr>
      </w:r>
      <w:r/>
    </w:p>
    <w:p>
      <w:pPr>
        <w:pStyle w:val="783"/>
        <w:ind w:firstLine="480"/>
        <w:jc w:val="left"/>
        <w:spacing w:line="480" w:lineRule="exact"/>
        <w:tabs>
          <w:tab w:val="left" w:pos="2020" w:leader="none"/>
        </w:tabs>
        <w:rPr>
          <w:rFonts w:hint="eastAsia" w:ascii="宋体" w:hAnsi="宋体"/>
          <w:sz w:val="24"/>
          <w:szCs w:val="24"/>
          <w:highlight w:val="none"/>
        </w:rPr>
      </w:pPr>
      <w:r>
        <w:rPr>
          <w:rFonts w:hint="eastAsia" w:ascii="宋体" w:hAnsi="宋体"/>
          <w:sz w:val="24"/>
          <w:szCs w:val="24"/>
          <w:highlight w:val="none"/>
        </w:rPr>
        <w:t xml:space="preserve">合同履行期限：60日历天</w:t>
      </w:r>
      <w:r>
        <w:rPr>
          <w:rFonts w:hint="eastAsia" w:ascii="宋体" w:hAnsi="宋体"/>
          <w:sz w:val="24"/>
          <w:szCs w:val="24"/>
          <w:highlight w:val="none"/>
        </w:rPr>
      </w:r>
      <w:r/>
    </w:p>
    <w:p>
      <w:pPr>
        <w:pStyle w:val="783"/>
        <w:ind w:firstLine="480"/>
        <w:jc w:val="left"/>
        <w:spacing w:line="480" w:lineRule="exact"/>
        <w:tabs>
          <w:tab w:val="left" w:pos="2020" w:leader="none"/>
        </w:tabs>
        <w:rPr>
          <w:rFonts w:hint="eastAsia" w:ascii="宋体" w:hAnsi="宋体"/>
          <w:sz w:val="24"/>
          <w:szCs w:val="24"/>
          <w:highlight w:val="none"/>
        </w:rPr>
      </w:pPr>
      <w:r>
        <w:rPr>
          <w:rFonts w:hint="eastAsia" w:ascii="宋体" w:hAnsi="宋体"/>
          <w:sz w:val="24"/>
          <w:szCs w:val="24"/>
          <w:highlight w:val="none"/>
        </w:rPr>
        <w:t xml:space="preserve">地点：采购人指定。</w:t>
      </w:r>
      <w:r>
        <w:rPr>
          <w:rFonts w:hint="eastAsia" w:ascii="宋体" w:hAnsi="宋体"/>
          <w:sz w:val="24"/>
          <w:szCs w:val="24"/>
          <w:highlight w:val="none"/>
        </w:rPr>
      </w:r>
      <w:r/>
    </w:p>
    <w:p>
      <w:pPr>
        <w:pStyle w:val="783"/>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四、付款方式</w:t>
      </w:r>
      <w:r>
        <w:rPr>
          <w:rFonts w:hint="eastAsia" w:ascii="宋体" w:hAnsi="宋体"/>
          <w:b/>
          <w:sz w:val="24"/>
          <w:szCs w:val="24"/>
          <w:highlight w:val="none"/>
        </w:rPr>
      </w:r>
      <w:r/>
    </w:p>
    <w:p>
      <w:pPr>
        <w:pStyle w:val="783"/>
        <w:ind w:firstLine="480"/>
        <w:jc w:val="left"/>
        <w:spacing w:line="480" w:lineRule="exact"/>
        <w:tabs>
          <w:tab w:val="left" w:pos="2020" w:leader="none"/>
        </w:tabs>
        <w:rPr>
          <w:rFonts w:hint="eastAsia" w:ascii="宋体" w:hAnsi="宋体" w:eastAsia="宋体"/>
          <w:sz w:val="24"/>
          <w:szCs w:val="24"/>
          <w:highlight w:val="none"/>
          <w:lang w:eastAsia="zh-CN"/>
        </w:rPr>
      </w:pPr>
      <w:r>
        <w:rPr>
          <w:rFonts w:hint="eastAsia" w:ascii="宋体" w:hAnsi="宋体" w:cs="宋体"/>
          <w:sz w:val="24"/>
          <w:highlight w:val="none"/>
        </w:rPr>
        <w:t xml:space="preserve">合同签订后10个工作日内支付合同价款的30%作为预付款，</w:t>
      </w:r>
      <w:r>
        <w:rPr>
          <w:rFonts w:hint="eastAsia" w:ascii="宋体" w:hAnsi="宋体" w:cs="宋体"/>
          <w:sz w:val="24"/>
          <w:highlight w:val="none"/>
          <w:lang w:eastAsia="zh-CN"/>
        </w:rPr>
        <w:t xml:space="preserve">货物安装调试完成并经验收合格后付至合同价款的100%。</w:t>
      </w:r>
      <w:r>
        <w:rPr>
          <w:rFonts w:hint="eastAsia" w:ascii="宋体" w:hAnsi="宋体" w:eastAsia="宋体"/>
          <w:sz w:val="24"/>
          <w:szCs w:val="24"/>
          <w:highlight w:val="none"/>
          <w:lang w:eastAsia="zh-CN"/>
        </w:rPr>
      </w:r>
      <w:r/>
    </w:p>
    <w:p>
      <w:pPr>
        <w:pStyle w:val="783"/>
        <w:ind w:firstLine="480"/>
        <w:spacing w:line="560" w:lineRule="exact"/>
        <w:rPr>
          <w:rFonts w:ascii="宋体" w:hAnsi="宋体" w:eastAsia="宋体"/>
          <w:b w:val="0"/>
          <w:bCs/>
          <w:sz w:val="24"/>
          <w:szCs w:val="24"/>
          <w:highlight w:val="none"/>
          <w:lang w:val="en-US" w:eastAsia="zh-CN"/>
        </w:rPr>
      </w:pPr>
      <w:r>
        <w:rPr>
          <w:rFonts w:hint="eastAsia" w:ascii="宋体" w:hAnsi="宋体"/>
          <w:b w:val="0"/>
          <w:bCs/>
          <w:sz w:val="24"/>
          <w:szCs w:val="24"/>
          <w:highlight w:val="none"/>
          <w:lang w:val="en-US" w:eastAsia="zh-CN"/>
        </w:rPr>
        <w:t xml:space="preserve">注：在签订合同时，中标人明确表示无需预付款或者主动要求降低预付款比例的，采购人可不适用前述规定。</w:t>
      </w:r>
      <w:r>
        <w:rPr>
          <w:rFonts w:ascii="宋体" w:hAnsi="宋体" w:eastAsia="宋体"/>
          <w:b w:val="0"/>
          <w:bCs/>
          <w:sz w:val="24"/>
          <w:szCs w:val="24"/>
          <w:highlight w:val="none"/>
          <w:lang w:val="en-US" w:eastAsia="zh-CN"/>
        </w:rPr>
      </w:r>
      <w:r/>
    </w:p>
    <w:p>
      <w:pPr>
        <w:pStyle w:val="783"/>
        <w:ind w:firstLine="482"/>
        <w:spacing w:line="560" w:lineRule="exact"/>
        <w:rPr>
          <w:rFonts w:hint="eastAsia" w:ascii="宋体" w:hAnsi="宋体" w:cs="宋体"/>
          <w:sz w:val="24"/>
          <w:highlight w:val="none"/>
        </w:rPr>
      </w:pPr>
      <w:r>
        <w:rPr>
          <w:rFonts w:hint="eastAsia" w:ascii="宋体" w:hAnsi="宋体"/>
          <w:b/>
          <w:sz w:val="24"/>
          <w:szCs w:val="24"/>
          <w:highlight w:val="none"/>
        </w:rPr>
        <w:t xml:space="preserve">五、质量要求：</w:t>
      </w:r>
      <w:r>
        <w:rPr>
          <w:rFonts w:hint="eastAsia" w:ascii="宋体" w:hAnsi="宋体" w:cs="宋体"/>
          <w:sz w:val="24"/>
          <w:highlight w:val="none"/>
        </w:rPr>
        <w:t xml:space="preserve">投标人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采购人有权拒收货物。投标人在交货时提供主要产品生产厂家供货证明书。投标人货物若与标书上列明的货物型号、技术指标等不相符，有造假现象的，一经查出，将报经财政监管部门，要求终止合同，并承担由此给采购人带来的损失。</w:t>
      </w:r>
      <w:r>
        <w:rPr>
          <w:rFonts w:hint="eastAsia" w:ascii="宋体" w:hAnsi="宋体" w:cs="宋体"/>
          <w:sz w:val="24"/>
          <w:highlight w:val="none"/>
        </w:rPr>
      </w:r>
      <w:r/>
    </w:p>
    <w:p>
      <w:pPr>
        <w:pStyle w:val="783"/>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六、检验</w:t>
      </w:r>
      <w:r>
        <w:rPr>
          <w:rFonts w:hint="eastAsia" w:ascii="宋体" w:hAnsi="宋体"/>
          <w:b/>
          <w:sz w:val="24"/>
          <w:szCs w:val="24"/>
          <w:highlight w:val="none"/>
        </w:rPr>
      </w:r>
      <w:r/>
    </w:p>
    <w:p>
      <w:pPr>
        <w:pStyle w:val="783"/>
        <w:ind w:firstLine="480"/>
        <w:spacing w:line="560" w:lineRule="exact"/>
        <w:rPr>
          <w:rFonts w:hint="eastAsia" w:ascii="宋体" w:hAnsi="宋体" w:cs="宋体"/>
          <w:sz w:val="24"/>
          <w:highlight w:val="none"/>
        </w:rPr>
      </w:pPr>
      <w:r>
        <w:rPr>
          <w:rFonts w:hint="eastAsia" w:ascii="宋体" w:hAnsi="宋体" w:cs="宋体"/>
          <w:sz w:val="24"/>
          <w:highlight w:val="none"/>
        </w:rPr>
        <w:t xml:space="preserve">1、在发货前，乙方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rPr>
          <w:rFonts w:hint="eastAsia" w:ascii="宋体" w:hAnsi="宋体" w:cs="宋体"/>
          <w:sz w:val="24"/>
          <w:highlight w:val="none"/>
        </w:rPr>
      </w:r>
      <w:r/>
    </w:p>
    <w:p>
      <w:pPr>
        <w:pStyle w:val="783"/>
        <w:ind w:firstLine="480"/>
        <w:spacing w:line="560" w:lineRule="exact"/>
        <w:rPr>
          <w:rFonts w:hint="eastAsia" w:ascii="宋体" w:hAnsi="宋体" w:cs="宋体"/>
          <w:sz w:val="24"/>
          <w:highlight w:val="none"/>
        </w:rPr>
      </w:pPr>
      <w:r>
        <w:rPr>
          <w:rFonts w:hint="eastAsia" w:ascii="宋体" w:hAnsi="宋体" w:cs="宋体"/>
          <w:sz w:val="24"/>
          <w:highlight w:val="none"/>
        </w:rPr>
        <w:t xml:space="preserve">2、货物交付后，在安装前应仔细检查货物自身无缺陷后方可安装，如果存在货物破损、自身材质、规格等质量缺陷，甲方有权要求将货物退场，由此引起的一切后果由乙方承担。</w:t>
      </w:r>
      <w:r>
        <w:rPr>
          <w:rFonts w:hint="eastAsia" w:ascii="宋体" w:hAnsi="宋体" w:cs="宋体"/>
          <w:sz w:val="24"/>
          <w:highlight w:val="none"/>
        </w:rPr>
      </w:r>
      <w:r/>
    </w:p>
    <w:p>
      <w:pPr>
        <w:pStyle w:val="783"/>
        <w:ind w:firstLine="480"/>
        <w:spacing w:line="560" w:lineRule="exact"/>
        <w:rPr>
          <w:rFonts w:hint="eastAsia" w:ascii="宋体" w:hAnsi="宋体" w:cs="宋体"/>
          <w:sz w:val="24"/>
          <w:highlight w:val="none"/>
        </w:rPr>
      </w:pPr>
      <w:r>
        <w:rPr>
          <w:rFonts w:hint="eastAsia" w:ascii="宋体" w:hAnsi="宋体" w:cs="宋体"/>
          <w:sz w:val="24"/>
          <w:highlight w:val="none"/>
        </w:rPr>
        <w:t xml:space="preserve">3、货物进场后乙方继续负责看管工作，如因看管不善所造成的一切损失均由乙方承担；设备进场后乙方应准备好相关初步验收资料，验收内容包括：产地、货号、规格、数量、外观质量、及设备是否完好。甲方应按签订采购合同约定时间组织验收，并出具书面初步验收报告。</w:t>
      </w:r>
      <w:r>
        <w:rPr>
          <w:rFonts w:hint="eastAsia" w:ascii="宋体" w:hAnsi="宋体" w:cs="宋体"/>
          <w:sz w:val="24"/>
          <w:highlight w:val="none"/>
        </w:rPr>
      </w:r>
      <w:r/>
    </w:p>
    <w:p>
      <w:pPr>
        <w:pStyle w:val="783"/>
        <w:ind w:firstLine="480"/>
        <w:spacing w:line="560" w:lineRule="exact"/>
        <w:rPr>
          <w:rFonts w:hint="eastAsia" w:ascii="宋体" w:hAnsi="宋体" w:cs="宋体"/>
          <w:sz w:val="24"/>
          <w:highlight w:val="none"/>
        </w:rPr>
      </w:pPr>
      <w:r>
        <w:rPr>
          <w:rFonts w:hint="eastAsia" w:ascii="宋体" w:hAnsi="宋体" w:cs="宋体"/>
          <w:sz w:val="24"/>
          <w:highlight w:val="none"/>
        </w:rPr>
        <w:t xml:space="preserve">4、乙方货物全部进场，并向甲方提供相关初步验收资料。甲方3个工作日内组织验收并出具验收报告。如果设备的质量、规格与合同规定不符，或在质量保证期内发现货物是有缺陷的（包括潜在缺陷或使用不符合要求的材料），甲方应报请法定检验机构进行检测（检测费由乙方承担），有权凭其出具的检验报告向乙方提出索赔。</w:t>
      </w:r>
      <w:r>
        <w:rPr>
          <w:rFonts w:hint="eastAsia" w:ascii="宋体" w:hAnsi="宋体" w:cs="宋体"/>
          <w:sz w:val="24"/>
          <w:highlight w:val="none"/>
        </w:rPr>
      </w:r>
      <w:r/>
    </w:p>
    <w:p>
      <w:pPr>
        <w:pStyle w:val="783"/>
        <w:ind w:firstLine="480"/>
        <w:spacing w:line="560" w:lineRule="exact"/>
        <w:rPr>
          <w:rFonts w:hint="eastAsia" w:ascii="宋体" w:hAnsi="宋体"/>
          <w:b/>
          <w:sz w:val="24"/>
          <w:szCs w:val="24"/>
          <w:highlight w:val="none"/>
        </w:rPr>
      </w:pPr>
      <w:r>
        <w:rPr>
          <w:rFonts w:hint="eastAsia" w:ascii="宋体" w:hAnsi="宋体" w:cs="宋体"/>
          <w:sz w:val="24"/>
          <w:highlight w:val="none"/>
        </w:rPr>
        <w:t xml:space="preserve">5、采购人有权请检测机构相关专家和采购人单位代表在生产前随时到生产现场，查看所有制作材料的型号和进货清单等书面材料及原始凭证，中标投标人承担有可能产生的材料品牌检测费。</w:t>
      </w:r>
      <w:r>
        <w:rPr>
          <w:rFonts w:hint="eastAsia" w:ascii="宋体" w:hAnsi="宋体"/>
          <w:b/>
          <w:sz w:val="24"/>
          <w:szCs w:val="24"/>
          <w:highlight w:val="none"/>
        </w:rPr>
      </w:r>
      <w:r/>
    </w:p>
    <w:p>
      <w:pPr>
        <w:pStyle w:val="783"/>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七、验收要求</w:t>
      </w:r>
      <w:r>
        <w:rPr>
          <w:rFonts w:hint="eastAsia" w:ascii="宋体" w:hAnsi="宋体"/>
          <w:b/>
          <w:sz w:val="24"/>
          <w:szCs w:val="24"/>
          <w:highlight w:val="none"/>
        </w:rPr>
      </w:r>
      <w:r/>
    </w:p>
    <w:p>
      <w:pPr>
        <w:pStyle w:val="783"/>
        <w:ind w:firstLine="480"/>
        <w:spacing w:line="560" w:lineRule="exact"/>
        <w:rPr>
          <w:rFonts w:hint="eastAsia" w:ascii="宋体" w:hAnsi="宋体" w:cs="宋体"/>
          <w:sz w:val="24"/>
          <w:highlight w:val="none"/>
        </w:rPr>
      </w:pPr>
      <w:r>
        <w:rPr>
          <w:rFonts w:hint="eastAsia" w:ascii="宋体" w:hAnsi="宋体" w:cs="宋体"/>
          <w:sz w:val="24"/>
          <w:highlight w:val="none"/>
        </w:rPr>
        <w:t xml:space="preserve">（一）在项目完成后3工作日内，甲方根据技术要求组织验收。</w:t>
      </w:r>
      <w:r>
        <w:rPr>
          <w:rFonts w:hint="eastAsia" w:ascii="宋体" w:hAnsi="宋体" w:cs="宋体"/>
          <w:sz w:val="24"/>
          <w:highlight w:val="none"/>
        </w:rPr>
      </w:r>
      <w:r/>
    </w:p>
    <w:p>
      <w:pPr>
        <w:pStyle w:val="783"/>
        <w:ind w:firstLine="480"/>
        <w:spacing w:line="560" w:lineRule="exact"/>
        <w:rPr>
          <w:rFonts w:hint="eastAsia" w:ascii="宋体" w:hAnsi="宋体" w:cs="宋体"/>
          <w:sz w:val="24"/>
          <w:highlight w:val="none"/>
        </w:rPr>
      </w:pPr>
      <w:r>
        <w:rPr>
          <w:rFonts w:hint="eastAsia" w:ascii="宋体" w:hAnsi="宋体" w:cs="宋体"/>
          <w:sz w:val="24"/>
          <w:highlight w:val="none"/>
        </w:rPr>
        <w:t xml:space="preserve">（二）甲方在验收中，如发现有与合同规定不符的，应在1天内向乙方提出书面意见，不签发验收单。乙方在接到甲方书面意见后，应在1天内予以处理。整改完毕后向甲方申请重新组织验收。</w:t>
      </w:r>
      <w:r>
        <w:rPr>
          <w:rFonts w:hint="eastAsia" w:ascii="宋体" w:hAnsi="宋体" w:cs="宋体"/>
          <w:sz w:val="24"/>
          <w:highlight w:val="none"/>
        </w:rPr>
      </w:r>
      <w:r/>
    </w:p>
    <w:p>
      <w:pPr>
        <w:pStyle w:val="783"/>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八、其他</w:t>
      </w:r>
      <w:r>
        <w:rPr>
          <w:rFonts w:hint="eastAsia" w:ascii="宋体" w:hAnsi="宋体"/>
          <w:b/>
          <w:sz w:val="24"/>
          <w:szCs w:val="24"/>
          <w:highlight w:val="none"/>
        </w:rPr>
      </w:r>
      <w:r/>
    </w:p>
    <w:p>
      <w:pPr>
        <w:pStyle w:val="1243"/>
        <w:ind w:firstLine="482"/>
        <w:jc w:val="both"/>
        <w:spacing w:before="0" w:beforeAutospacing="0" w:after="0" w:afterAutospacing="0" w:line="400" w:lineRule="exact"/>
        <w:widowControl w:val="off"/>
        <w:rPr>
          <w:rFonts w:hint="eastAsia" w:eastAsia="宋体"/>
          <w:b/>
          <w:highlight w:val="none"/>
        </w:rPr>
      </w:pPr>
      <w:r>
        <w:rPr>
          <w:rFonts w:hint="eastAsia" w:eastAsia="宋体"/>
          <w:b/>
          <w:highlight w:val="none"/>
        </w:rPr>
        <w:t xml:space="preserve">1、项目实施方案</w:t>
      </w:r>
      <w:r>
        <w:rPr>
          <w:rFonts w:hint="eastAsia" w:eastAsia="宋体"/>
          <w:b/>
          <w:highlight w:val="none"/>
        </w:rPr>
      </w:r>
      <w:r/>
    </w:p>
    <w:p>
      <w:pPr>
        <w:pStyle w:val="783"/>
        <w:ind w:firstLine="480"/>
        <w:spacing w:line="560" w:lineRule="exact"/>
        <w:rPr>
          <w:rFonts w:hint="eastAsia" w:ascii="宋体" w:hAnsi="宋体" w:cs="宋体"/>
          <w:sz w:val="24"/>
          <w:highlight w:val="none"/>
        </w:rPr>
      </w:pPr>
      <w:r>
        <w:rPr>
          <w:rFonts w:hint="eastAsia" w:ascii="宋体" w:hAnsi="宋体" w:cs="宋体"/>
          <w:sz w:val="24"/>
          <w:highlight w:val="none"/>
        </w:rPr>
        <w:t xml:space="preserve">（1）投标人针对本项目作出详细可行的项目实施方案。投标人应具备相应能力，保障项目质量并顺利交付。项目实施方案包括不限于项目实施进度、管理制度、项目计划等。</w:t>
      </w:r>
      <w:r>
        <w:rPr>
          <w:rFonts w:hint="eastAsia" w:ascii="宋体" w:hAnsi="宋体" w:cs="宋体"/>
          <w:sz w:val="24"/>
          <w:highlight w:val="none"/>
        </w:rPr>
      </w:r>
      <w:r/>
    </w:p>
    <w:p>
      <w:pPr>
        <w:pStyle w:val="783"/>
        <w:ind w:firstLine="480"/>
        <w:spacing w:line="560" w:lineRule="exact"/>
        <w:rPr>
          <w:rFonts w:hint="eastAsia" w:ascii="宋体" w:hAnsi="宋体" w:cs="宋体"/>
          <w:sz w:val="24"/>
          <w:highlight w:val="none"/>
        </w:rPr>
      </w:pPr>
      <w:r>
        <w:rPr>
          <w:rFonts w:hint="eastAsia" w:ascii="宋体" w:hAnsi="宋体" w:cs="宋体"/>
          <w:sz w:val="24"/>
          <w:highlight w:val="none"/>
        </w:rPr>
        <w:t xml:space="preserve">（2）投标人具有完整的项目实施组织机构，明确项目计划、有详细的项目分工，并且在响应文件中提供项目组成员名单、项目成员基本情况等信息。</w:t>
      </w:r>
      <w:r>
        <w:rPr>
          <w:rFonts w:hint="eastAsia" w:ascii="宋体" w:hAnsi="宋体" w:cs="宋体"/>
          <w:sz w:val="24"/>
          <w:highlight w:val="none"/>
        </w:rPr>
      </w:r>
      <w:r/>
    </w:p>
    <w:p>
      <w:pPr>
        <w:pStyle w:val="783"/>
        <w:ind w:firstLine="480"/>
        <w:spacing w:line="560" w:lineRule="exact"/>
        <w:rPr>
          <w:rFonts w:hint="eastAsia" w:ascii="宋体" w:hAnsi="宋体" w:cs="宋体"/>
          <w:sz w:val="24"/>
          <w:highlight w:val="none"/>
        </w:rPr>
      </w:pPr>
      <w:r>
        <w:rPr>
          <w:rFonts w:hint="eastAsia" w:ascii="宋体" w:hAnsi="宋体" w:cs="宋体"/>
          <w:sz w:val="24"/>
          <w:highlight w:val="none"/>
        </w:rPr>
        <w:t xml:space="preserve">（3）投标人应从项目质量保证方面阐述本项目实施的质量保证措施。</w:t>
      </w:r>
      <w:r>
        <w:rPr>
          <w:rFonts w:hint="eastAsia" w:ascii="宋体" w:hAnsi="宋体" w:cs="宋体"/>
          <w:sz w:val="24"/>
          <w:highlight w:val="none"/>
        </w:rPr>
      </w:r>
      <w:r/>
    </w:p>
    <w:p>
      <w:pPr>
        <w:pStyle w:val="783"/>
        <w:ind w:firstLine="480"/>
        <w:spacing w:line="560" w:lineRule="exact"/>
        <w:rPr>
          <w:rFonts w:hint="eastAsia" w:ascii="宋体" w:hAnsi="宋体" w:cs="宋体"/>
          <w:sz w:val="24"/>
          <w:highlight w:val="none"/>
        </w:rPr>
      </w:pPr>
      <w:r>
        <w:rPr>
          <w:rFonts w:hint="eastAsia" w:ascii="宋体" w:hAnsi="宋体" w:cs="宋体"/>
          <w:sz w:val="24"/>
          <w:highlight w:val="none"/>
        </w:rPr>
        <w:t xml:space="preserve">（4）投标人应分析项目存在的各种风险，阐述应对策略和措施。</w:t>
      </w:r>
      <w:r>
        <w:rPr>
          <w:rFonts w:hint="eastAsia" w:ascii="宋体" w:hAnsi="宋体" w:cs="宋体"/>
          <w:sz w:val="24"/>
          <w:highlight w:val="none"/>
        </w:rPr>
      </w:r>
      <w:r/>
    </w:p>
    <w:p>
      <w:pPr>
        <w:pStyle w:val="1243"/>
        <w:ind w:firstLine="482"/>
        <w:jc w:val="both"/>
        <w:spacing w:before="0" w:beforeAutospacing="0" w:after="0" w:afterAutospacing="0" w:line="400" w:lineRule="exact"/>
        <w:widowControl w:val="off"/>
        <w:rPr>
          <w:rFonts w:hint="eastAsia" w:eastAsia="宋体"/>
          <w:b/>
          <w:highlight w:val="none"/>
        </w:rPr>
      </w:pPr>
      <w:r>
        <w:rPr>
          <w:rFonts w:hint="eastAsia" w:eastAsia="宋体" w:cs="Times New Roman"/>
          <w:b/>
          <w:highlight w:val="none"/>
        </w:rPr>
        <w:t xml:space="preserve">2</w:t>
      </w:r>
      <w:r>
        <w:rPr>
          <w:rFonts w:hint="eastAsia" w:eastAsia="宋体"/>
          <w:b/>
          <w:highlight w:val="none"/>
        </w:rPr>
        <w:t xml:space="preserve">、售后服务</w:t>
      </w:r>
      <w:r>
        <w:rPr>
          <w:rFonts w:hint="eastAsia" w:eastAsia="宋体"/>
          <w:b/>
          <w:highlight w:val="none"/>
        </w:rPr>
      </w:r>
      <w:r/>
    </w:p>
    <w:p>
      <w:pPr>
        <w:pStyle w:val="783"/>
        <w:ind w:firstLine="480"/>
        <w:spacing w:line="560" w:lineRule="exact"/>
        <w:rPr>
          <w:rFonts w:hint="eastAsia" w:ascii="宋体" w:hAnsi="宋体" w:cs="宋体"/>
          <w:sz w:val="24"/>
          <w:highlight w:val="none"/>
        </w:rPr>
      </w:pPr>
      <w:r>
        <w:rPr>
          <w:rFonts w:hint="eastAsia" w:ascii="宋体" w:hAnsi="宋体" w:cs="宋体"/>
          <w:sz w:val="24"/>
          <w:highlight w:val="none"/>
        </w:rPr>
        <w:t xml:space="preserve">项目中包含的所有货物提供3年服务（费用包含在本次报价中），质保期自本项目验收合格之日起计算。质保期内，所有货物的维修均为免费（易耗品电池和人为损坏除外），所有的上门服务产生的费用均不再收取；投标人承诺在系统发生故障时及时响应，维修人员在半小时内响应，8小时内解决故障，不能解决故障用同等或同等以上备件替代。质保期内，软件升级、系统切换等免费（需增加硬件设备等另行约定）。</w:t>
      </w:r>
      <w:r>
        <w:rPr>
          <w:rFonts w:hint="eastAsia" w:ascii="宋体" w:hAnsi="宋体" w:cs="宋体"/>
          <w:sz w:val="24"/>
          <w:highlight w:val="none"/>
        </w:rPr>
      </w:r>
      <w:r/>
    </w:p>
    <w:p>
      <w:pPr>
        <w:pStyle w:val="783"/>
        <w:ind w:firstLine="482"/>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3、培训要求</w:t>
      </w:r>
      <w:r>
        <w:rPr>
          <w:rFonts w:hint="eastAsia" w:ascii="宋体" w:hAnsi="宋体"/>
          <w:b/>
          <w:bCs/>
          <w:sz w:val="24"/>
          <w:szCs w:val="24"/>
          <w:highlight w:val="none"/>
        </w:rPr>
      </w:r>
      <w:r/>
    </w:p>
    <w:p>
      <w:pPr>
        <w:pStyle w:val="783"/>
        <w:ind w:firstLine="480"/>
        <w:spacing w:line="560" w:lineRule="exact"/>
        <w:rPr>
          <w:rFonts w:hint="eastAsia" w:ascii="宋体" w:hAnsi="宋体" w:cs="宋体"/>
          <w:sz w:val="24"/>
          <w:highlight w:val="none"/>
        </w:rPr>
      </w:pPr>
      <w:r>
        <w:rPr>
          <w:rFonts w:hint="eastAsia" w:ascii="宋体" w:hAnsi="宋体" w:cs="宋体"/>
          <w:sz w:val="24"/>
          <w:highlight w:val="none"/>
        </w:rPr>
        <w:t xml:space="preserve">（1）中标人应为采购人的技术人员开设培训课程，使其能够掌握系统的运行、检查、维修、维护工作。中标人要详细作出培训计划，包括培训课程安排、对被培训人员要求等。响应文件中提供培训计划。</w:t>
      </w:r>
      <w:r>
        <w:rPr>
          <w:rFonts w:hint="eastAsia" w:ascii="宋体" w:hAnsi="宋体" w:cs="宋体"/>
          <w:sz w:val="24"/>
          <w:highlight w:val="none"/>
        </w:rPr>
      </w:r>
      <w:r/>
    </w:p>
    <w:p>
      <w:pPr>
        <w:pStyle w:val="783"/>
        <w:ind w:firstLine="480"/>
        <w:spacing w:line="560" w:lineRule="exact"/>
        <w:rPr>
          <w:rFonts w:hint="eastAsia" w:ascii="宋体" w:hAnsi="宋体" w:cs="宋体"/>
          <w:sz w:val="24"/>
          <w:highlight w:val="none"/>
        </w:rPr>
      </w:pPr>
      <w:r>
        <w:rPr>
          <w:rFonts w:hint="eastAsia" w:ascii="宋体" w:hAnsi="宋体" w:cs="宋体"/>
          <w:sz w:val="24"/>
          <w:highlight w:val="none"/>
        </w:rPr>
        <w:t xml:space="preserve">（2）中标人应向接受培训人员提供产品使用手册、技术资料等。</w:t>
      </w:r>
      <w:r>
        <w:rPr>
          <w:rFonts w:hint="eastAsia" w:ascii="宋体" w:hAnsi="宋体" w:cs="宋体"/>
          <w:sz w:val="24"/>
          <w:highlight w:val="none"/>
        </w:rPr>
      </w:r>
      <w:r/>
    </w:p>
    <w:p>
      <w:pPr>
        <w:pStyle w:val="783"/>
        <w:ind w:firstLine="480"/>
        <w:spacing w:line="560" w:lineRule="exact"/>
        <w:rPr>
          <w:rFonts w:hint="eastAsia" w:ascii="宋体" w:hAnsi="宋体" w:cs="宋体"/>
          <w:sz w:val="24"/>
          <w:highlight w:val="none"/>
        </w:rPr>
      </w:pPr>
      <w:r>
        <w:rPr>
          <w:rFonts w:hint="eastAsia" w:ascii="宋体" w:hAnsi="宋体" w:cs="宋体"/>
          <w:sz w:val="24"/>
          <w:highlight w:val="none"/>
        </w:rPr>
        <w:t xml:space="preserve">（3）中标人负责培训的一切费用。</w:t>
      </w:r>
      <w:r>
        <w:rPr>
          <w:rFonts w:hint="eastAsia" w:ascii="宋体" w:hAnsi="宋体" w:cs="宋体"/>
          <w:sz w:val="24"/>
          <w:highlight w:val="none"/>
        </w:rPr>
      </w:r>
      <w:r/>
    </w:p>
    <w:p>
      <w:pPr>
        <w:pStyle w:val="783"/>
        <w:ind w:firstLine="480"/>
        <w:spacing w:line="560" w:lineRule="exact"/>
        <w:rPr>
          <w:rFonts w:hint="eastAsia" w:ascii="宋体" w:hAnsi="宋体" w:cs="宋体"/>
          <w:sz w:val="24"/>
          <w:highlight w:val="none"/>
        </w:rPr>
      </w:pPr>
      <w:r>
        <w:rPr>
          <w:rFonts w:hint="eastAsia" w:ascii="宋体" w:hAnsi="宋体" w:cs="宋体"/>
          <w:sz w:val="24"/>
          <w:highlight w:val="none"/>
        </w:rPr>
      </w:r>
      <w:r/>
    </w:p>
    <w:p>
      <w:pPr>
        <w:pStyle w:val="783"/>
        <w:ind w:firstLine="480"/>
        <w:jc w:val="left"/>
        <w:spacing w:line="480" w:lineRule="exact"/>
        <w:tabs>
          <w:tab w:val="left" w:pos="2020" w:leader="none"/>
        </w:tabs>
        <w:rPr>
          <w:rFonts w:ascii="宋体" w:hAnsi="宋体"/>
          <w:sz w:val="24"/>
          <w:szCs w:val="24"/>
          <w:highlight w:val="none"/>
        </w:rPr>
      </w:pPr>
      <w:r>
        <w:rPr>
          <w:rFonts w:ascii="宋体" w:hAnsi="宋体"/>
          <w:sz w:val="24"/>
          <w:szCs w:val="24"/>
          <w:highlight w:val="none"/>
        </w:rPr>
      </w:r>
      <w:r/>
    </w:p>
    <w:p>
      <w:pPr>
        <w:pStyle w:val="783"/>
        <w:spacing w:line="480" w:lineRule="exact"/>
        <w:rPr>
          <w:rFonts w:ascii="宋体" w:hAnsi="宋体"/>
          <w:b/>
          <w:sz w:val="24"/>
          <w:szCs w:val="24"/>
          <w:highlight w:val="none"/>
        </w:rPr>
      </w:pPr>
      <w:r>
        <w:rPr>
          <w:rFonts w:ascii="宋体" w:hAnsi="宋体"/>
          <w:b/>
          <w:sz w:val="24"/>
          <w:szCs w:val="24"/>
          <w:highlight w:val="none"/>
        </w:rPr>
      </w:r>
      <w:r/>
    </w:p>
    <w:p>
      <w:pPr>
        <w:pStyle w:val="784"/>
        <w:jc w:val="center"/>
        <w:spacing w:before="200"/>
        <w:rPr>
          <w:rFonts w:hint="eastAsia" w:ascii="Calibri" w:hAnsi="Calibri" w:eastAsia="宋体" w:cs="Times New Roman"/>
          <w:b/>
          <w:sz w:val="44"/>
          <w:szCs w:val="44"/>
          <w:highlight w:val="none"/>
        </w:rPr>
      </w:pPr>
      <w:r/>
      <w:bookmarkStart w:id="120" w:name="_Toc2513"/>
      <w:r/>
      <w:bookmarkStart w:id="121" w:name="_Toc22098"/>
      <w:r/>
      <w:bookmarkStart w:id="122" w:name="_Toc81575206"/>
      <w:r/>
      <w:bookmarkStart w:id="123" w:name="_Toc81575169"/>
      <w:r/>
      <w:bookmarkStart w:id="124" w:name="_Toc31499"/>
      <w:r>
        <w:rPr>
          <w:rFonts w:hint="eastAsia" w:ascii="Calibri" w:hAnsi="Calibri" w:eastAsia="宋体" w:cs="Times New Roman"/>
          <w:b/>
          <w:sz w:val="44"/>
          <w:szCs w:val="44"/>
          <w:highlight w:val="none"/>
        </w:rPr>
        <w:br w:type="page" w:clear="all"/>
      </w:r>
      <w:r>
        <w:rPr>
          <w:rFonts w:hint="eastAsia" w:ascii="Calibri" w:hAnsi="Calibri" w:eastAsia="宋体" w:cs="Times New Roman"/>
          <w:b/>
          <w:sz w:val="44"/>
          <w:szCs w:val="44"/>
          <w:highlight w:val="none"/>
        </w:rPr>
        <w:t xml:space="preserve">第五章</w:t>
      </w:r>
      <w:r>
        <w:rPr>
          <w:rFonts w:ascii="Calibri" w:hAnsi="Calibri" w:eastAsia="宋体" w:cs="Times New Roman"/>
          <w:b/>
          <w:sz w:val="44"/>
          <w:szCs w:val="44"/>
          <w:highlight w:val="none"/>
        </w:rPr>
        <w:t xml:space="preserve">  </w:t>
      </w:r>
      <w:r>
        <w:rPr>
          <w:rFonts w:hint="eastAsia" w:ascii="Calibri" w:hAnsi="Calibri" w:eastAsia="宋体" w:cs="Times New Roman"/>
          <w:b/>
          <w:sz w:val="44"/>
          <w:szCs w:val="44"/>
          <w:highlight w:val="none"/>
        </w:rPr>
        <w:t xml:space="preserve">合同文本</w:t>
      </w:r>
      <w:bookmarkEnd w:id="120"/>
      <w:r/>
      <w:bookmarkEnd w:id="121"/>
      <w:r/>
      <w:bookmarkEnd w:id="122"/>
      <w:r/>
      <w:bookmarkEnd w:id="123"/>
      <w:r/>
      <w:bookmarkEnd w:id="124"/>
      <w:r/>
      <w:bookmarkStart w:id="125" w:name="_Toc20823315"/>
      <w:r/>
      <w:bookmarkStart w:id="126" w:name="_Toc16938559"/>
      <w:r/>
      <w:bookmarkStart w:id="127" w:name="_Toc513029243"/>
      <w:r>
        <w:rPr>
          <w:rFonts w:hint="eastAsia" w:ascii="Calibri" w:hAnsi="Calibri" w:eastAsia="宋体" w:cs="Times New Roman"/>
          <w:b/>
          <w:sz w:val="44"/>
          <w:szCs w:val="44"/>
          <w:highlight w:val="none"/>
        </w:rPr>
      </w:r>
      <w:r/>
    </w:p>
    <w:p>
      <w:pPr>
        <w:pStyle w:val="1250"/>
        <w:jc w:val="center"/>
        <w:spacing w:line="700" w:lineRule="exact"/>
        <w:rPr>
          <w:rFonts w:hint="eastAsia" w:ascii="宋体" w:hAnsi="宋体" w:cs="宋体"/>
          <w:b/>
          <w:bCs/>
          <w:sz w:val="36"/>
          <w:szCs w:val="36"/>
          <w:highlight w:val="none"/>
        </w:rPr>
      </w:pPr>
      <w:r/>
      <w:bookmarkEnd w:id="125"/>
      <w:r/>
      <w:bookmarkEnd w:id="126"/>
      <w:r/>
      <w:bookmarkEnd w:id="127"/>
      <w:r/>
      <w:bookmarkStart w:id="128" w:name="_Toc19649"/>
      <w:r/>
      <w:bookmarkStart w:id="129" w:name="_Toc81575207"/>
      <w:r/>
      <w:bookmarkStart w:id="130" w:name="_Toc22853"/>
      <w:r/>
      <w:bookmarkStart w:id="131" w:name="_Toc81575170"/>
      <w:r/>
      <w:bookmarkStart w:id="132" w:name="_Toc12937"/>
      <w:r/>
      <w:bookmarkStart w:id="133" w:name="_Toc9003"/>
      <w:r>
        <w:rPr>
          <w:rFonts w:hint="eastAsia" w:ascii="宋体" w:hAnsi="宋体" w:cs="宋体"/>
          <w:color w:val="000080"/>
          <w:sz w:val="20"/>
          <w:highlight w:val="none"/>
        </w:rPr>
        <w:t xml:space="preserve"> </w:t>
      </w:r>
      <w:r>
        <w:rPr>
          <w:rFonts w:hint="eastAsia" w:ascii="宋体" w:hAnsi="宋体" w:cs="宋体"/>
          <w:b/>
          <w:bCs/>
          <w:sz w:val="36"/>
          <w:szCs w:val="36"/>
          <w:highlight w:val="none"/>
        </w:rPr>
        <w:t xml:space="preserve">宿迁市</w:t>
      </w:r>
      <w:r>
        <w:rPr>
          <w:rFonts w:hint="eastAsia" w:ascii="宋体" w:hAnsi="宋体" w:cs="宋体"/>
          <w:b/>
          <w:bCs/>
          <w:sz w:val="36"/>
          <w:szCs w:val="36"/>
          <w:highlight w:val="none"/>
          <w:u w:val="single"/>
        </w:rPr>
        <w:t xml:space="preserve">     　　        </w:t>
      </w:r>
      <w:r>
        <w:rPr>
          <w:rFonts w:hint="eastAsia" w:ascii="宋体" w:hAnsi="宋体" w:cs="宋体"/>
          <w:b/>
          <w:bCs/>
          <w:sz w:val="36"/>
          <w:szCs w:val="36"/>
          <w:highlight w:val="none"/>
        </w:rPr>
        <w:t xml:space="preserve">项目</w:t>
      </w:r>
      <w:r>
        <w:rPr>
          <w:rFonts w:hint="eastAsia" w:ascii="宋体" w:hAnsi="宋体" w:cs="宋体"/>
          <w:b/>
          <w:bCs/>
          <w:sz w:val="36"/>
          <w:szCs w:val="36"/>
          <w:highlight w:val="none"/>
        </w:rPr>
      </w:r>
      <w:r/>
    </w:p>
    <w:p>
      <w:pPr>
        <w:pStyle w:val="1250"/>
        <w:jc w:val="center"/>
        <w:spacing w:line="70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政府采购合同（参考）</w:t>
      </w:r>
      <w:r>
        <w:rPr>
          <w:rFonts w:hint="eastAsia" w:ascii="宋体" w:hAnsi="宋体" w:cs="宋体"/>
          <w:b/>
          <w:bCs/>
          <w:sz w:val="32"/>
          <w:szCs w:val="32"/>
          <w:highlight w:val="none"/>
        </w:rPr>
      </w:r>
      <w:r/>
    </w:p>
    <w:p>
      <w:pPr>
        <w:pStyle w:val="1178"/>
        <w:ind w:left="0" w:firstLine="0"/>
        <w:jc w:val="center"/>
        <w:rPr>
          <w:rFonts w:hint="eastAsia" w:ascii="宋体" w:hAnsi="宋体" w:cs="宋体"/>
          <w:color w:val="000000"/>
          <w:sz w:val="24"/>
          <w:highlight w:val="none"/>
        </w:rPr>
      </w:pPr>
      <w:r>
        <w:rPr>
          <w:rFonts w:hint="eastAsia" w:ascii="宋体" w:hAnsi="宋体" w:cs="宋体"/>
          <w:b/>
          <w:bCs/>
          <w:color w:val="000000"/>
          <w:sz w:val="36"/>
          <w:szCs w:val="24"/>
          <w:highlight w:val="none"/>
        </w:rPr>
        <w:t xml:space="preserve">第一部分  专用条款</w:t>
      </w:r>
      <w:r>
        <w:rPr>
          <w:rFonts w:hint="eastAsia" w:ascii="宋体" w:hAnsi="宋体" w:cs="宋体"/>
          <w:color w:val="000000"/>
          <w:sz w:val="24"/>
          <w:highlight w:val="none"/>
        </w:rPr>
      </w:r>
      <w:r/>
    </w:p>
    <w:p>
      <w:pPr>
        <w:pStyle w:val="1178"/>
        <w:ind w:left="0"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（简称甲方）</w:t>
      </w:r>
      <w:r>
        <w:rPr>
          <w:rFonts w:hint="eastAsia" w:ascii="宋体" w:hAnsi="宋体" w:cs="宋体"/>
          <w:color w:val="000000"/>
          <w:sz w:val="24"/>
          <w:highlight w:val="none"/>
        </w:rPr>
      </w:r>
      <w:r/>
    </w:p>
    <w:p>
      <w:pPr>
        <w:pStyle w:val="1178"/>
        <w:ind w:left="0"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中标人（全称）：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（简称乙方）</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依照</w:t>
      </w:r>
      <w:r>
        <w:rPr>
          <w:rFonts w:hint="eastAsia" w:ascii="宋体" w:hAnsi="宋体" w:cs="宋体"/>
          <w:sz w:val="24"/>
          <w:highlight w:val="none"/>
        </w:rPr>
        <w:t xml:space="preserve">《中华人民共和国民法典（第三编合同）》</w:t>
      </w:r>
      <w:r>
        <w:rPr>
          <w:rFonts w:hint="eastAsia" w:ascii="宋体" w:hAnsi="宋体" w:cs="宋体"/>
          <w:color w:val="000000"/>
          <w:sz w:val="24"/>
          <w:highlight w:val="none"/>
        </w:rPr>
        <w:t xml:space="preserve">及其他有关法律、行政法规，遵循平等、自愿、公平和诚实信用的原则，双方就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项目</w:t>
      </w:r>
      <w:r>
        <w:rPr>
          <w:rFonts w:hint="eastAsia" w:ascii="宋体" w:hAnsi="宋体" w:cs="宋体"/>
          <w:bCs/>
          <w:color w:val="000000"/>
          <w:sz w:val="24"/>
          <w:highlight w:val="none"/>
        </w:rPr>
        <w:t xml:space="preserve">相关</w:t>
      </w:r>
      <w:r>
        <w:rPr>
          <w:rFonts w:hint="eastAsia" w:ascii="宋体" w:hAnsi="宋体" w:cs="宋体"/>
          <w:color w:val="000000"/>
          <w:sz w:val="24"/>
          <w:highlight w:val="none"/>
        </w:rPr>
        <w:t xml:space="preserve">事项协商一致，达成如下合同条款：</w:t>
      </w:r>
      <w:r>
        <w:rPr>
          <w:rFonts w:hint="eastAsia" w:ascii="宋体" w:hAnsi="宋体" w:cs="宋体"/>
          <w:color w:val="000000"/>
          <w:sz w:val="24"/>
          <w:highlight w:val="none"/>
        </w:rPr>
      </w:r>
      <w:r/>
    </w:p>
    <w:p>
      <w:pPr>
        <w:pStyle w:val="1178"/>
        <w:ind w:left="0" w:firstLine="482"/>
        <w:rPr>
          <w:rFonts w:hint="eastAsia" w:ascii="宋体" w:hAnsi="宋体" w:cs="宋体"/>
          <w:color w:val="000000"/>
          <w:sz w:val="24"/>
          <w:highlight w:val="none"/>
        </w:rPr>
      </w:pPr>
      <w:r>
        <w:rPr>
          <w:rFonts w:hint="eastAsia" w:ascii="宋体" w:hAnsi="宋体" w:cs="宋体"/>
          <w:b/>
          <w:color w:val="000000"/>
          <w:sz w:val="24"/>
          <w:highlight w:val="none"/>
        </w:rPr>
        <w:t xml:space="preserve">一、合同价格：</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78"/>
        <w:ind w:left="0" w:firstLine="482"/>
        <w:rPr>
          <w:rFonts w:ascii="宋体" w:hAnsi="宋体" w:cs="宋体"/>
          <w:b/>
          <w:color w:val="000000"/>
          <w:sz w:val="24"/>
          <w:highlight w:val="none"/>
        </w:rPr>
      </w:pPr>
      <w:r>
        <w:rPr>
          <w:rFonts w:hint="eastAsia" w:ascii="宋体" w:hAnsi="宋体" w:cs="宋体"/>
          <w:b/>
          <w:color w:val="000000"/>
          <w:sz w:val="24"/>
          <w:highlight w:val="none"/>
        </w:rPr>
        <w:t xml:space="preserve">投标报价表附后</w:t>
      </w:r>
      <w:r>
        <w:rPr>
          <w:rFonts w:ascii="宋体" w:hAnsi="宋体" w:cs="宋体"/>
          <w:b/>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二、合同履行期限、地点</w:t>
      </w:r>
      <w:r>
        <w:rPr>
          <w:rFonts w:hint="eastAsia" w:ascii="宋体" w:hAnsi="宋体" w:cs="宋体"/>
          <w:b/>
          <w:color w:val="000000"/>
          <w:sz w:val="24"/>
          <w:highlight w:val="none"/>
        </w:rPr>
      </w:r>
      <w:r/>
    </w:p>
    <w:p>
      <w:pPr>
        <w:pStyle w:val="783"/>
        <w:ind w:firstLine="480"/>
        <w:jc w:val="left"/>
        <w:spacing w:line="360" w:lineRule="auto"/>
        <w:tabs>
          <w:tab w:val="left" w:pos="2020" w:leader="none"/>
        </w:tabs>
        <w:rPr>
          <w:rFonts w:hint="eastAsia" w:ascii="宋体" w:hAnsi="宋体"/>
          <w:sz w:val="24"/>
          <w:szCs w:val="24"/>
          <w:highlight w:val="none"/>
        </w:rPr>
      </w:pPr>
      <w:r>
        <w:rPr>
          <w:rFonts w:hint="eastAsia" w:ascii="宋体" w:hAnsi="宋体"/>
          <w:sz w:val="24"/>
          <w:szCs w:val="24"/>
          <w:highlight w:val="none"/>
        </w:rPr>
        <w:t xml:space="preserve">合同履行期限：60日历天</w:t>
      </w:r>
      <w:r>
        <w:rPr>
          <w:rFonts w:hint="eastAsia" w:ascii="宋体" w:hAnsi="宋体"/>
          <w:sz w:val="24"/>
          <w:szCs w:val="24"/>
          <w:highlight w:val="none"/>
        </w:rPr>
      </w:r>
      <w:r/>
    </w:p>
    <w:p>
      <w:pPr>
        <w:pStyle w:val="783"/>
        <w:ind w:firstLine="480"/>
        <w:jc w:val="left"/>
        <w:spacing w:line="360" w:lineRule="auto"/>
        <w:tabs>
          <w:tab w:val="left" w:pos="2020" w:leader="none"/>
        </w:tabs>
        <w:rPr>
          <w:rFonts w:hint="eastAsia" w:ascii="宋体" w:hAnsi="宋体"/>
          <w:sz w:val="24"/>
          <w:szCs w:val="24"/>
          <w:highlight w:val="none"/>
        </w:rPr>
      </w:pPr>
      <w:r>
        <w:rPr>
          <w:rFonts w:hint="eastAsia" w:ascii="宋体" w:hAnsi="宋体"/>
          <w:sz w:val="24"/>
          <w:szCs w:val="24"/>
          <w:highlight w:val="none"/>
        </w:rPr>
        <w:t xml:space="preserve">地点：采购人指定。</w:t>
      </w:r>
      <w:r>
        <w:rPr>
          <w:rFonts w:hint="eastAsia" w:ascii="宋体" w:hAnsi="宋体"/>
          <w:sz w:val="24"/>
          <w:szCs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三、质量技术标准</w:t>
      </w:r>
      <w:r>
        <w:rPr>
          <w:rFonts w:hint="eastAsia" w:ascii="宋体" w:hAnsi="宋体" w:cs="宋体"/>
          <w:b/>
          <w:color w:val="000000"/>
          <w:sz w:val="24"/>
          <w:highlight w:val="none"/>
        </w:rPr>
      </w:r>
      <w:r/>
    </w:p>
    <w:p>
      <w:pPr>
        <w:pStyle w:val="783"/>
        <w:ind w:firstLine="482"/>
        <w:jc w:val="left"/>
        <w:spacing w:line="360" w:lineRule="auto"/>
        <w:rPr>
          <w:rFonts w:hint="eastAsia" w:ascii="宋体" w:hAnsi="宋体" w:cs="宋体"/>
          <w:sz w:val="24"/>
          <w:highlight w:val="none"/>
        </w:rPr>
      </w:pPr>
      <w:r>
        <w:rPr>
          <w:rFonts w:hint="eastAsia" w:ascii="宋体" w:hAnsi="宋体" w:cs="宋体"/>
          <w:b/>
          <w:color w:val="000000"/>
          <w:sz w:val="24"/>
          <w:szCs w:val="20"/>
          <w:highlight w:val="none"/>
        </w:rPr>
        <w:t xml:space="preserve">质量要求：</w:t>
      </w:r>
      <w:r>
        <w:rPr>
          <w:rFonts w:hint="eastAsia" w:ascii="宋体" w:hAnsi="宋体" w:cs="宋体"/>
          <w:sz w:val="24"/>
          <w:highlight w:val="none"/>
        </w:rPr>
        <w:t xml:space="preserve">投标人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采购人有权拒收货物。投标人在交货时提供主要产品生产厂家供货证明书。投标人货物若与标书上列明的货物型号、技术指标等不相符，有造假现象的，一经查出，将报经财政监管部门，要求终止合同，并承担由此给采购人带来的损失。</w:t>
      </w:r>
      <w:r>
        <w:rPr>
          <w:rFonts w:hint="eastAsia" w:ascii="宋体" w:hAnsi="宋体" w:cs="宋体"/>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四、实施方式及费用</w:t>
      </w:r>
      <w:r>
        <w:rPr>
          <w:rFonts w:hint="eastAsia" w:ascii="宋体" w:hAnsi="宋体" w:cs="宋体"/>
          <w:b/>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由乙方视情况自定实施方式，费用自负。</w:t>
      </w:r>
      <w:r>
        <w:rPr>
          <w:rFonts w:hint="eastAsia" w:ascii="宋体" w:hAnsi="宋体" w:cs="宋体"/>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五、验收</w:t>
      </w:r>
      <w:r>
        <w:rPr>
          <w:rFonts w:hint="eastAsia" w:ascii="宋体" w:hAnsi="宋体" w:cs="宋体"/>
          <w:b/>
          <w:color w:val="000000"/>
          <w:sz w:val="24"/>
          <w:highlight w:val="none"/>
        </w:rPr>
      </w:r>
      <w:r/>
    </w:p>
    <w:p>
      <w:pPr>
        <w:pStyle w:val="78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（一）在项目完成后3工作日内，甲方根据技术要求组织验收。</w:t>
      </w:r>
      <w:r>
        <w:rPr>
          <w:rFonts w:hint="eastAsia" w:ascii="宋体" w:hAnsi="宋体"/>
          <w:bCs/>
          <w:sz w:val="24"/>
          <w:szCs w:val="24"/>
          <w:highlight w:val="none"/>
        </w:rPr>
      </w:r>
      <w:r/>
    </w:p>
    <w:p>
      <w:pPr>
        <w:pStyle w:val="78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（二）甲方在验收中，如发现有与合同规定不符的，应在1天内向乙方提出书面意见，不签发验收单。乙方在接到甲方书面意见后，应在1天内予以处理。整改完毕后向甲方申请重新组织验收。</w:t>
      </w:r>
      <w:r>
        <w:rPr>
          <w:rFonts w:hint="eastAsia" w:ascii="宋体" w:hAnsi="宋体"/>
          <w:bCs/>
          <w:sz w:val="24"/>
          <w:szCs w:val="24"/>
          <w:highlight w:val="none"/>
        </w:rPr>
      </w:r>
      <w:r/>
    </w:p>
    <w:p>
      <w:pPr>
        <w:pStyle w:val="1251"/>
        <w:ind w:firstLine="482"/>
        <w:jc w:val="left"/>
        <w:spacing w:after="0"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六、付款方式</w:t>
      </w:r>
      <w:r>
        <w:rPr>
          <w:rFonts w:hint="eastAsia" w:ascii="宋体" w:hAnsi="宋体" w:cs="宋体"/>
          <w:b/>
          <w:color w:val="000000"/>
          <w:sz w:val="24"/>
          <w:highlight w:val="none"/>
        </w:rPr>
      </w:r>
      <w:r/>
    </w:p>
    <w:p>
      <w:pPr>
        <w:pStyle w:val="1251"/>
        <w:ind w:firstLine="480"/>
        <w:jc w:val="left"/>
        <w:spacing w:after="0" w:line="360" w:lineRule="auto"/>
        <w:rPr>
          <w:rFonts w:hint="eastAsia" w:ascii="宋体" w:hAnsi="宋体" w:eastAsia="宋体" w:cs="宋体"/>
          <w:bCs/>
          <w:color w:val="000000"/>
          <w:sz w:val="24"/>
          <w:szCs w:val="24"/>
          <w:highlight w:val="none"/>
          <w:lang w:eastAsia="zh-CN"/>
        </w:rPr>
      </w:pPr>
      <w:r>
        <w:rPr>
          <w:rFonts w:hint="eastAsia" w:ascii="宋体" w:hAnsi="宋体" w:cs="宋体"/>
          <w:sz w:val="24"/>
          <w:highlight w:val="none"/>
        </w:rPr>
        <w:t xml:space="preserve">合同签订后10个工作日内支付合同价款的30%作为预付款，</w:t>
      </w:r>
      <w:r>
        <w:rPr>
          <w:rFonts w:hint="eastAsia" w:ascii="宋体" w:hAnsi="宋体" w:cs="宋体"/>
          <w:sz w:val="24"/>
          <w:highlight w:val="none"/>
          <w:lang w:eastAsia="zh-CN"/>
        </w:rPr>
        <w:t xml:space="preserve">货物安装调试完成并经验收合格后付至合同价款的100%。</w:t>
      </w:r>
      <w:r>
        <w:rPr>
          <w:rFonts w:hint="eastAsia" w:ascii="宋体" w:hAnsi="宋体" w:eastAsia="宋体" w:cs="宋体"/>
          <w:bCs/>
          <w:color w:val="000000"/>
          <w:sz w:val="24"/>
          <w:szCs w:val="24"/>
          <w:highlight w:val="none"/>
          <w:lang w:eastAsia="zh-CN"/>
        </w:rPr>
      </w:r>
      <w:r/>
    </w:p>
    <w:p>
      <w:pPr>
        <w:pStyle w:val="783"/>
        <w:ind w:firstLine="480"/>
        <w:jc w:val="both"/>
        <w:spacing w:line="440" w:lineRule="exact"/>
        <w:widowControl w:val="off"/>
        <w:rPr>
          <w:rFonts w:hint="eastAsia" w:ascii="宋体" w:hAnsi="宋体" w:cs="宋体"/>
          <w:b/>
          <w:color w:val="000000"/>
          <w:sz w:val="24"/>
          <w:highlight w:val="none"/>
        </w:rPr>
      </w:pPr>
      <w:r>
        <w:rPr>
          <w:rFonts w:hint="eastAsia" w:ascii="宋体" w:hAnsi="宋体" w:eastAsia="宋体" w:cs="宋体"/>
          <w:sz w:val="24"/>
          <w:szCs w:val="24"/>
          <w:highlight w:val="none"/>
          <w:lang w:val="en-US" w:eastAsia="zh-CN" w:bidi="ar-SA"/>
        </w:rPr>
        <w:t xml:space="preserve">注：在签订合同时，中标人明确表示无需预付款或者主动要求降低预付款比例的，采购人可不适用前述规定。</w:t>
      </w:r>
      <w:r>
        <w:rPr>
          <w:rFonts w:hint="eastAsia" w:ascii="宋体" w:hAnsi="宋体" w:cs="宋体"/>
          <w:b/>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七、违约条款</w:t>
      </w:r>
      <w:r>
        <w:rPr>
          <w:rFonts w:hint="eastAsia" w:ascii="宋体" w:hAnsi="宋体" w:cs="宋体"/>
          <w:b/>
          <w:color w:val="000000"/>
          <w:sz w:val="24"/>
          <w:highlight w:val="none"/>
        </w:rPr>
      </w:r>
      <w:r/>
    </w:p>
    <w:p>
      <w:pPr>
        <w:pStyle w:val="1178"/>
        <w:ind w:left="0" w:firstLine="480"/>
        <w:rPr>
          <w:rFonts w:hint="eastAsia" w:ascii="宋体" w:hAnsi="宋体" w:cs="宋体"/>
          <w:b/>
          <w:color w:val="000000"/>
          <w:sz w:val="24"/>
          <w:highlight w:val="none"/>
        </w:rPr>
      </w:pPr>
      <w:r>
        <w:rPr>
          <w:rFonts w:hint="eastAsia" w:ascii="宋体" w:hAnsi="宋体" w:cs="宋体"/>
          <w:color w:val="000000"/>
          <w:sz w:val="24"/>
          <w:highlight w:val="none"/>
        </w:rPr>
        <w:t xml:space="preserve">（一）乙方不按期完成合同约定的内容，应向甲方支付违约金，除甲方或不可抗力造成原因外，每延迟交付一天，按合同总价款的</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rPr>
        <w:t xml:space="preserve">支付违约金; 延期超过</w:t>
      </w:r>
      <w:r>
        <w:rPr>
          <w:rFonts w:hint="eastAsia" w:ascii="宋体" w:hAnsi="宋体" w:cs="宋体"/>
          <w:color w:val="000000"/>
          <w:sz w:val="24"/>
          <w:highlight w:val="none"/>
          <w:u w:val="single"/>
        </w:rPr>
        <w:t xml:space="preserve">15</w:t>
      </w:r>
      <w:r>
        <w:rPr>
          <w:rFonts w:hint="eastAsia" w:ascii="宋体" w:hAnsi="宋体" w:cs="宋体"/>
          <w:color w:val="000000"/>
          <w:sz w:val="24"/>
          <w:highlight w:val="none"/>
        </w:rPr>
        <w:t xml:space="preserve">日，甲方有权强制解除合同。               </w:t>
      </w:r>
      <w:r>
        <w:rPr>
          <w:rFonts w:hint="eastAsia" w:ascii="宋体" w:hAnsi="宋体" w:cs="宋体"/>
          <w:b/>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（二）乙方所供产品品种、型号、规格、花色、质量不符合规定的，由其负责包换或包修，并承担修理、调换或退货而支付的实际费用。 </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（三）非因甲方原因，乙方不履行本合同规定的义务，致使工作延误，甲方有权要求其强制履行或解除合同，并要求乙方等额赔偿由此造成的一切损失。</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（四）本项目不得转让分包，如有发生，无条件清理退场，所造成的一切损失由乙方负责。</w:t>
      </w:r>
      <w:r>
        <w:rPr>
          <w:rFonts w:hint="eastAsia" w:ascii="宋体" w:hAnsi="宋体" w:cs="宋体"/>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八、知识产权</w:t>
      </w:r>
      <w:r>
        <w:rPr>
          <w:rFonts w:hint="eastAsia" w:ascii="宋体" w:hAnsi="宋体" w:cs="宋体"/>
          <w:b/>
          <w:color w:val="000000"/>
          <w:sz w:val="24"/>
          <w:highlight w:val="none"/>
        </w:rPr>
      </w:r>
      <w:r/>
    </w:p>
    <w:p>
      <w:pPr>
        <w:pStyle w:val="1252"/>
        <w:ind w:firstLine="48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rPr>
          <w:rFonts w:hint="eastAsia" w:ascii="宋体" w:hAnsi="宋体" w:eastAsia="宋体" w:cs="宋体"/>
          <w:b w:val="0"/>
          <w:bCs/>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九、合同生效</w:t>
      </w:r>
      <w:r>
        <w:rPr>
          <w:rFonts w:hint="eastAsia" w:ascii="宋体" w:hAnsi="宋体" w:cs="宋体"/>
          <w:b/>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本合同经甲方、乙方签字盖章后生效，合同签订的内容不能超出采购文件和响应文件的实质性内容。</w:t>
      </w:r>
      <w:r>
        <w:rPr>
          <w:rFonts w:hint="eastAsia" w:ascii="宋体" w:hAnsi="宋体" w:cs="宋体"/>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十、合同的组成部分</w:t>
      </w:r>
      <w:r>
        <w:rPr>
          <w:rFonts w:hint="eastAsia" w:ascii="宋体" w:hAnsi="宋体" w:cs="宋体"/>
          <w:b/>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本合同条款、成交通知书、采购文件、响应文件及投标人在报价时的书面承诺等构成合同的组成部分。 </w:t>
      </w:r>
      <w:r>
        <w:rPr>
          <w:rFonts w:hint="eastAsia" w:ascii="宋体" w:hAnsi="宋体" w:cs="宋体"/>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十一、合同份数</w:t>
      </w:r>
      <w:r>
        <w:rPr>
          <w:rFonts w:hint="eastAsia" w:ascii="宋体" w:hAnsi="宋体" w:cs="宋体"/>
          <w:b/>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本合同一式陆份，以中文书写，甲方执肆份、乙方各执贰份。</w:t>
      </w:r>
      <w:r>
        <w:rPr>
          <w:rFonts w:hint="eastAsia" w:ascii="宋体" w:hAnsi="宋体" w:cs="宋体"/>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十二、本合同一切未尽事宜，按合同法有关规定执行，无相关规定的，由甲乙双方协商解决。</w:t>
      </w:r>
      <w:r>
        <w:rPr>
          <w:rFonts w:hint="eastAsia" w:ascii="宋体" w:hAnsi="宋体" w:cs="宋体"/>
          <w:b/>
          <w:color w:val="000000"/>
          <w:sz w:val="24"/>
          <w:highlight w:val="none"/>
        </w:rPr>
      </w:r>
      <w:r/>
    </w:p>
    <w:p>
      <w:pPr>
        <w:pStyle w:val="1178"/>
        <w:ind w:left="0" w:firstLine="0"/>
        <w:jc w:val="center"/>
        <w:rPr>
          <w:rFonts w:hint="eastAsia" w:ascii="宋体" w:hAnsi="宋体" w:cs="宋体"/>
          <w:color w:val="000000"/>
          <w:sz w:val="24"/>
          <w:highlight w:val="none"/>
        </w:rPr>
      </w:pPr>
      <w:r>
        <w:rPr>
          <w:rFonts w:hint="eastAsia" w:ascii="宋体" w:hAnsi="宋体" w:cs="宋体"/>
          <w:b/>
          <w:bCs/>
          <w:color w:val="000000"/>
          <w:sz w:val="36"/>
          <w:szCs w:val="24"/>
          <w:highlight w:val="none"/>
        </w:rPr>
        <w:t xml:space="preserve">第二部分  通用条款</w:t>
      </w:r>
      <w:r>
        <w:rPr>
          <w:rFonts w:hint="eastAsia" w:ascii="宋体" w:hAnsi="宋体" w:cs="宋体"/>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十三、词语涵义</w:t>
      </w:r>
      <w:r>
        <w:rPr>
          <w:rFonts w:hint="eastAsia" w:ascii="宋体" w:hAnsi="宋体" w:cs="宋体"/>
          <w:b/>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（一）合同：甲乙双方签署的、合同格式中载明的甲方与乙方所达成的协议，包括所有的附件、附录和构成合同的所有文件。</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（二）合同价：根据合同规定，乙方在正确地完全履行合同义务后甲方应支付给卖方的价格。</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（三）货物：乙方根据合同规定须向买方提供的一切设备、机械、仪表、备件、工具、手册和其他技术资料及其他材料。</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（四）服务：根据合同规定甲方承担与供货有关的辅助服务，如运输、保险以及其它的伴随服务，比如安装、调试、提供技术援助、培训和其他类似的乙方应承担的义务。</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（五）甲方：采购单位，即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（六）乙方：提供货物和服务的公司或实体，即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（七）不可抗力：指</w:t>
      </w:r>
      <w:r>
        <w:rPr>
          <w:rFonts w:hint="eastAsia" w:ascii="宋体" w:hAnsi="宋体" w:cs="宋体"/>
          <w:color w:val="000000"/>
          <w:spacing w:val="8"/>
          <w:sz w:val="24"/>
          <w:highlight w:val="none"/>
        </w:rPr>
        <w:t xml:space="preserve">不能预见、不能避免和不能克服的客观情况，</w:t>
      </w:r>
      <w:r>
        <w:rPr>
          <w:rFonts w:hint="eastAsia" w:ascii="宋体" w:hAnsi="宋体" w:cs="宋体"/>
          <w:color w:val="000000"/>
          <w:sz w:val="24"/>
          <w:highlight w:val="none"/>
        </w:rPr>
        <w:t xml:space="preserve">如战争、动乱、空中飞行物体坠落或其它非甲乙方责任造成的爆炸、火灾，以及协议条款约定等级以上的风、雨、雪、地震等。</w:t>
      </w:r>
      <w:r>
        <w:rPr>
          <w:rFonts w:hint="eastAsia" w:ascii="宋体" w:hAnsi="宋体" w:cs="宋体"/>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十四、技术规格</w:t>
      </w:r>
      <w:r>
        <w:rPr>
          <w:rFonts w:hint="eastAsia" w:ascii="宋体" w:hAnsi="宋体" w:cs="宋体"/>
          <w:b/>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乙方所提供货物的技术规格应与采购文件规定的技术规格以及所附的技术规格响应表相一致。</w:t>
      </w:r>
      <w:r>
        <w:rPr>
          <w:rFonts w:hint="eastAsia" w:ascii="宋体" w:hAnsi="宋体" w:cs="宋体"/>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十五、专利权</w:t>
      </w:r>
      <w:r>
        <w:rPr>
          <w:rFonts w:hint="eastAsia" w:ascii="宋体" w:hAnsi="宋体" w:cs="宋体"/>
          <w:b/>
          <w:color w:val="000000"/>
          <w:sz w:val="24"/>
          <w:highlight w:val="none"/>
        </w:rPr>
      </w:r>
      <w:r/>
    </w:p>
    <w:p>
      <w:pPr>
        <w:pStyle w:val="1178"/>
        <w:ind w:left="0" w:firstLine="480"/>
        <w:rPr>
          <w:rFonts w:hint="eastAsia" w:ascii="宋体" w:hAnsi="宋体" w:cs="宋体"/>
          <w:b/>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乙方应保证甲方在使用该货物或其任何一部分时不受第三方提出侵犯其专利权、商标权和工业设计权的起诉。一旦出现专利侵权，乙方应负全部责任。</w:t>
      </w:r>
      <w:r>
        <w:rPr>
          <w:rFonts w:hint="eastAsia" w:ascii="宋体" w:hAnsi="宋体" w:cs="宋体"/>
          <w:b/>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十六、包装要求</w:t>
      </w:r>
      <w:r>
        <w:rPr>
          <w:rFonts w:hint="eastAsia" w:ascii="宋体" w:hAnsi="宋体" w:cs="宋体"/>
          <w:b/>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卖方承担。</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（二）每件包装箱内应附一份详细装箱单和质量合格标识。</w:t>
      </w:r>
      <w:r>
        <w:rPr>
          <w:rFonts w:hint="eastAsia" w:ascii="宋体" w:hAnsi="宋体" w:cs="宋体"/>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十七、装运条件</w:t>
      </w:r>
      <w:r>
        <w:rPr>
          <w:rFonts w:hint="eastAsia" w:ascii="宋体" w:hAnsi="宋体" w:cs="宋体"/>
          <w:b/>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根据采购人指定地点，乙方负责安排运输，并承担运费。</w:t>
      </w:r>
      <w:r>
        <w:rPr>
          <w:rFonts w:hint="eastAsia" w:ascii="宋体" w:hAnsi="宋体" w:cs="宋体"/>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十八、付款</w:t>
      </w:r>
      <w:r>
        <w:rPr>
          <w:rFonts w:hint="eastAsia" w:ascii="宋体" w:hAnsi="宋体" w:cs="宋体"/>
          <w:b/>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（一）本合同以人民币付款。</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（二）乙方应按照与甲方签订的合同规定交货。交货后乙方向甲方提供发票后付款。</w:t>
      </w:r>
      <w:r>
        <w:rPr>
          <w:rFonts w:hint="eastAsia" w:ascii="宋体" w:hAnsi="宋体" w:cs="宋体"/>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十九、伴随服务</w:t>
      </w:r>
      <w:r>
        <w:rPr>
          <w:rFonts w:hint="eastAsia" w:ascii="宋体" w:hAnsi="宋体" w:cs="宋体"/>
          <w:b/>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乙方应按照国家有关规定和合同中所附的服务承诺提供服务，主要包括：</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（一）货物的现场安装；</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（二）提供货物组装和维修所需的工具；</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（三）在合同中乙方承诺的期限内对所提供货物实施运行监督、维修，该服务并不能免除乙方在质量保证期内应承担的义务；</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（四）在项目交货现场就货物的安装、启动、运行、维护对使用方人员进行培训。</w:t>
      </w:r>
      <w:r>
        <w:rPr>
          <w:rFonts w:hint="eastAsia" w:ascii="宋体" w:hAnsi="宋体" w:cs="宋体"/>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二十、质量保证</w:t>
      </w:r>
      <w:r>
        <w:rPr>
          <w:rFonts w:hint="eastAsia" w:ascii="宋体" w:hAnsi="宋体" w:cs="宋体"/>
          <w:b/>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（一）乙方所提供的产品必须符合最新的国家标准和行业标准。</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rPr>
          <w:rFonts w:hint="eastAsia" w:ascii="宋体" w:hAnsi="宋体" w:cs="宋体"/>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二十一、索赔</w:t>
      </w:r>
      <w:r>
        <w:rPr>
          <w:rFonts w:hint="eastAsia" w:ascii="宋体" w:hAnsi="宋体" w:cs="宋体"/>
          <w:b/>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1、乙方同意退货，按合同中规定的货币将货款退还给甲方，并承担由此发生的一切损失和费用，包括利息、银行手续费、运费、保险费、检验费、仓储费、装卸费以及为保护退回货物所需的其它必要费用。</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2、根据货物的低劣程度、损坏程度以及买方所遭损失的数额，乙方须降低货物的价格。</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rPr>
          <w:rFonts w:hint="eastAsia" w:ascii="宋体" w:hAnsi="宋体" w:cs="宋体"/>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（二）在甲方发出索赔通知后20天内，如乙方未作答复，上述索赔应视为已被接受，按照本合同规定的任何一种方法解决索赔事宜，甲方将采用法律手段解决索赔事宜。</w:t>
      </w:r>
      <w:r>
        <w:rPr>
          <w:rFonts w:hint="eastAsia" w:ascii="宋体" w:hAnsi="宋体" w:cs="宋体"/>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二十二、误期赔偿</w:t>
      </w:r>
      <w:r>
        <w:rPr>
          <w:rFonts w:hint="eastAsia" w:ascii="宋体" w:hAnsi="宋体" w:cs="宋体"/>
          <w:b/>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除合同规定外，如果乙方没有按照合同规定的时间交货和提供服务，甲方将从货款中扣除误期赔偿费而不影响合同项目的其他补救方法，赔偿费按每周迟交货物交货价或未提供服务费用的0.5%计收，直至交货或提供服务为止，一周按7天计算，不足7天按一周计算。但误期赔偿费的最高限为误期货物或服务合同价的5%。一旦达到误期赔偿的最高限额，甲方可考虑终止合同。</w:t>
      </w:r>
      <w:r>
        <w:rPr>
          <w:rFonts w:hint="eastAsia" w:ascii="宋体" w:hAnsi="宋体" w:cs="宋体"/>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二十三、不可抗力</w:t>
      </w:r>
      <w:r>
        <w:rPr>
          <w:rFonts w:hint="eastAsia" w:ascii="宋体" w:hAnsi="宋体" w:cs="宋体"/>
          <w:b/>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rPr>
          <w:rFonts w:hint="eastAsia" w:ascii="宋体" w:hAnsi="宋体" w:cs="宋体"/>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二十四、税费</w:t>
      </w:r>
      <w:r>
        <w:rPr>
          <w:rFonts w:hint="eastAsia" w:ascii="宋体" w:hAnsi="宋体" w:cs="宋体"/>
          <w:b/>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中国政府根据现行税法规定对甲方征收的与本合同有关的一切税费由甲方负担；规定对乙方征收的与本合同有关的一切税费由乙方负担。</w:t>
      </w:r>
      <w:r>
        <w:rPr>
          <w:rFonts w:hint="eastAsia" w:ascii="宋体" w:hAnsi="宋体" w:cs="宋体"/>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二十五、合同争议</w:t>
      </w:r>
      <w:r>
        <w:rPr>
          <w:rFonts w:hint="eastAsia" w:ascii="宋体" w:hAnsi="宋体" w:cs="宋体"/>
          <w:b/>
          <w:color w:val="000000"/>
          <w:sz w:val="24"/>
          <w:highlight w:val="none"/>
        </w:rPr>
      </w:r>
      <w:r/>
    </w:p>
    <w:p>
      <w:pPr>
        <w:pStyle w:val="1178"/>
        <w:ind w:left="0" w:firstLine="480"/>
        <w:rPr>
          <w:rFonts w:hint="eastAsia" w:ascii="宋体" w:hAnsi="宋体" w:cs="宋体"/>
          <w:color w:val="000000"/>
          <w:sz w:val="24"/>
          <w:highlight w:val="none"/>
        </w:rPr>
      </w:pPr>
      <w:r>
        <w:rPr>
          <w:rFonts w:hint="eastAsia" w:ascii="宋体" w:hAnsi="宋体" w:cs="宋体"/>
          <w:color w:val="000000"/>
          <w:sz w:val="24"/>
          <w:highlight w:val="none"/>
        </w:rPr>
        <w:t xml:space="preserve">甲乙双方应通过友好协商，解决在执行本合同中所发生的或与本合同有关的一切争议。如果协商仍得不到解决，任何一方均可按“中华人民共和国合同法”规定提交调解和仲裁。   </w:t>
      </w:r>
      <w:r>
        <w:rPr>
          <w:rFonts w:hint="eastAsia" w:ascii="宋体" w:hAnsi="宋体" w:cs="宋体"/>
          <w:color w:val="000000"/>
          <w:sz w:val="24"/>
          <w:highlight w:val="none"/>
        </w:rPr>
      </w:r>
      <w:r/>
    </w:p>
    <w:p>
      <w:pPr>
        <w:pStyle w:val="1178"/>
        <w:ind w:left="0"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二十六、适用法律</w:t>
      </w:r>
      <w:r>
        <w:rPr>
          <w:rFonts w:hint="eastAsia" w:ascii="宋体" w:hAnsi="宋体" w:cs="宋体"/>
          <w:b/>
          <w:color w:val="000000"/>
          <w:sz w:val="24"/>
          <w:highlight w:val="none"/>
        </w:rPr>
      </w:r>
      <w:r/>
    </w:p>
    <w:p>
      <w:pPr>
        <w:pStyle w:val="1178"/>
        <w:ind w:left="0" w:firstLine="480"/>
        <w:rPr>
          <w:rFonts w:hint="eastAsia" w:ascii="宋体" w:hAnsi="宋体" w:cs="宋体"/>
          <w:b/>
          <w:bCs/>
          <w:color w:val="000000"/>
          <w:sz w:val="24"/>
          <w:highlight w:val="none"/>
        </w:rPr>
      </w:pPr>
      <w:r>
        <w:rPr>
          <w:rFonts w:hint="eastAsia" w:ascii="宋体" w:hAnsi="宋体" w:cs="宋体"/>
          <w:color w:val="000000"/>
          <w:sz w:val="24"/>
          <w:highlight w:val="none"/>
        </w:rPr>
        <w:t xml:space="preserve">本合同应按照中华人民共和国的现行法律进行解释。</w:t>
      </w:r>
      <w:r>
        <w:rPr>
          <w:rFonts w:hint="eastAsia" w:ascii="宋体" w:hAnsi="宋体" w:cs="宋体"/>
          <w:b/>
          <w:bCs/>
          <w:color w:val="000000"/>
          <w:sz w:val="24"/>
          <w:highlight w:val="none"/>
        </w:rPr>
      </w:r>
      <w:r/>
    </w:p>
    <w:p>
      <w:pPr>
        <w:pStyle w:val="783"/>
        <w:rPr>
          <w:rFonts w:hint="eastAsia" w:ascii="宋体" w:hAnsi="宋体" w:cs="宋体"/>
          <w:color w:val="000000"/>
          <w:highlight w:val="none"/>
        </w:rPr>
      </w:pPr>
      <w:r>
        <w:rPr>
          <w:rFonts w:hint="eastAsia" w:ascii="宋体" w:hAnsi="宋体" w:cs="宋体"/>
          <w:color w:val="000000"/>
          <w:highlight w:val="none"/>
        </w:rPr>
      </w:r>
      <w:r/>
    </w:p>
    <w:p>
      <w:pPr>
        <w:pStyle w:val="783"/>
        <w:rPr>
          <w:rFonts w:hint="eastAsia" w:ascii="宋体" w:hAnsi="宋体" w:cs="宋体"/>
          <w:color w:val="000000"/>
          <w:highlight w:val="none"/>
        </w:rPr>
      </w:pPr>
      <w:r>
        <w:rPr>
          <w:rFonts w:hint="eastAsia" w:ascii="宋体" w:hAnsi="宋体" w:cs="宋体"/>
          <w:color w:val="000000"/>
          <w:highlight w:val="none"/>
        </w:rPr>
      </w:r>
      <w:r/>
    </w:p>
    <w:p>
      <w:pPr>
        <w:pStyle w:val="783"/>
        <w:rPr>
          <w:rFonts w:hint="eastAsia" w:ascii="宋体" w:hAnsi="宋体" w:cs="宋体"/>
          <w:color w:val="000000"/>
          <w:highlight w:val="none"/>
        </w:rPr>
      </w:pPr>
      <w:r>
        <w:rPr>
          <w:rFonts w:hint="eastAsia" w:ascii="宋体" w:hAnsi="宋体" w:cs="宋体"/>
          <w:color w:val="000000"/>
          <w:highlight w:val="none"/>
        </w:rPr>
      </w:r>
      <w:r/>
    </w:p>
    <w:p>
      <w:pPr>
        <w:pStyle w:val="1250"/>
        <w:ind w:firstLine="720"/>
        <w:spacing w:line="420" w:lineRule="exact"/>
        <w:rPr>
          <w:rFonts w:hint="eastAsia" w:ascii="宋体" w:hAnsi="宋体" w:cs="宋体"/>
          <w:sz w:val="24"/>
          <w:highlight w:val="non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rPr>
          <w:rFonts w:hint="eastAsia" w:ascii="宋体" w:hAnsi="宋体" w:cs="宋体"/>
          <w:sz w:val="24"/>
          <w:highlight w:val="none"/>
        </w:rPr>
        <w:t xml:space="preserve">（盖章）    乙方：</w:t>
      </w:r>
      <w:r>
        <w:rPr>
          <w:rFonts w:hint="eastAsia" w:ascii="宋体" w:hAnsi="宋体" w:cs="宋体"/>
          <w:sz w:val="24"/>
          <w:highlight w:val="none"/>
          <w:u w:val="single"/>
        </w:rPr>
        <w:t xml:space="preserve">                  </w:t>
      </w:r>
      <w:r>
        <w:rPr>
          <w:rFonts w:hint="eastAsia" w:ascii="宋体" w:hAnsi="宋体" w:cs="宋体"/>
          <w:sz w:val="24"/>
          <w:highlight w:val="none"/>
        </w:rPr>
        <w:t xml:space="preserve">（盖章）          </w:t>
      </w:r>
      <w:r>
        <w:rPr>
          <w:rFonts w:hint="eastAsia" w:ascii="宋体" w:hAnsi="宋体" w:cs="宋体"/>
          <w:sz w:val="24"/>
          <w:highlight w:val="none"/>
        </w:rPr>
      </w:r>
      <w:r/>
    </w:p>
    <w:p>
      <w:pPr>
        <w:pStyle w:val="1250"/>
        <w:ind w:firstLine="720"/>
        <w:spacing w:line="420" w:lineRule="exact"/>
        <w:widowControl/>
        <w:rPr>
          <w:rFonts w:hint="eastAsia" w:ascii="宋体" w:hAnsi="宋体" w:cs="宋体"/>
          <w:sz w:val="24"/>
          <w:highlight w:val="none"/>
          <w:u w:val="single"/>
        </w:rPr>
      </w:pPr>
      <w:r>
        <w:rPr>
          <w:rFonts w:hint="eastAsia" w:ascii="宋体" w:hAnsi="宋体" w:cs="宋体"/>
          <w:sz w:val="24"/>
          <w:highlight w:val="none"/>
        </w:rPr>
        <w:t xml:space="preserve">地址：</w:t>
      </w:r>
      <w:r>
        <w:rPr>
          <w:rFonts w:hint="eastAsia" w:ascii="宋体" w:hAnsi="宋体" w:cs="宋体"/>
          <w:sz w:val="24"/>
          <w:highlight w:val="none"/>
          <w:u w:val="single"/>
        </w:rPr>
        <w:t xml:space="preserve">                      </w:t>
      </w:r>
      <w:r>
        <w:rPr>
          <w:rFonts w:hint="eastAsia" w:ascii="宋体" w:hAnsi="宋体" w:cs="宋体"/>
          <w:sz w:val="24"/>
          <w:highlight w:val="none"/>
        </w:rPr>
        <w:t xml:space="preserve">        地址：</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u w:val="single"/>
        </w:rPr>
      </w:r>
      <w:r/>
    </w:p>
    <w:p>
      <w:pPr>
        <w:pStyle w:val="1250"/>
        <w:ind w:firstLine="720"/>
        <w:spacing w:line="420" w:lineRule="exact"/>
        <w:widowControl/>
        <w:rPr>
          <w:rFonts w:hint="eastAsia" w:ascii="宋体" w:hAnsi="宋体" w:cs="宋体"/>
          <w:sz w:val="24"/>
          <w:highlight w:val="none"/>
        </w:rPr>
      </w:pPr>
      <w:r>
        <w:rPr>
          <w:rFonts w:hint="eastAsia" w:ascii="宋体" w:hAnsi="宋体" w:cs="宋体"/>
          <w:sz w:val="24"/>
          <w:highlight w:val="none"/>
        </w:rPr>
        <w:t xml:space="preserve">法定（授权）代表人：</w:t>
      </w:r>
      <w:r>
        <w:rPr>
          <w:rFonts w:hint="eastAsia" w:ascii="宋体" w:hAnsi="宋体" w:cs="宋体"/>
          <w:sz w:val="24"/>
          <w:highlight w:val="none"/>
          <w:u w:val="single"/>
        </w:rPr>
        <w:t xml:space="preserve">         </w:t>
      </w:r>
      <w:r>
        <w:rPr>
          <w:rFonts w:hint="eastAsia" w:ascii="宋体" w:hAnsi="宋体" w:cs="宋体"/>
          <w:sz w:val="24"/>
          <w:highlight w:val="none"/>
        </w:rPr>
        <w:t xml:space="preserve">       法定（授权）代表人：</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rPr>
      </w:r>
      <w:r/>
    </w:p>
    <w:p>
      <w:pPr>
        <w:pStyle w:val="1250"/>
        <w:spacing w:line="420" w:lineRule="exact"/>
        <w:widowControl/>
        <w:rPr>
          <w:rFonts w:hint="eastAsia" w:ascii="宋体" w:hAnsi="宋体" w:cs="宋体"/>
          <w:sz w:val="24"/>
          <w:highlight w:val="none"/>
        </w:rPr>
      </w:pPr>
      <w:r>
        <w:rPr>
          <w:rFonts w:hint="eastAsia" w:ascii="宋体" w:hAnsi="宋体" w:cs="宋体"/>
          <w:sz w:val="24"/>
          <w:highlight w:val="none"/>
        </w:rPr>
        <w:t xml:space="preserve">      联系人：</w:t>
      </w:r>
      <w:r>
        <w:rPr>
          <w:rFonts w:hint="eastAsia" w:ascii="宋体" w:hAnsi="宋体" w:cs="宋体"/>
          <w:sz w:val="24"/>
          <w:highlight w:val="none"/>
          <w:u w:val="single"/>
        </w:rPr>
        <w:t xml:space="preserve">              </w:t>
      </w:r>
      <w:r>
        <w:rPr>
          <w:rFonts w:hint="eastAsia" w:ascii="宋体" w:hAnsi="宋体" w:cs="宋体"/>
          <w:sz w:val="24"/>
          <w:highlight w:val="none"/>
        </w:rPr>
        <w:t xml:space="preserve">              联系人：</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rPr>
      </w:r>
      <w:r/>
    </w:p>
    <w:p>
      <w:pPr>
        <w:pStyle w:val="1250"/>
        <w:ind w:firstLine="720"/>
        <w:spacing w:line="420" w:lineRule="exact"/>
        <w:widowControl/>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rPr>
          <w:rFonts w:hint="eastAsia" w:ascii="宋体" w:hAnsi="宋体" w:cs="宋体"/>
          <w:sz w:val="24"/>
          <w:highlight w:val="none"/>
        </w:rPr>
        <w:t xml:space="preserve">            联系电话：</w:t>
      </w:r>
      <w:r>
        <w:rPr>
          <w:rFonts w:hint="eastAsia" w:ascii="宋体" w:hAnsi="宋体" w:cs="宋体"/>
          <w:sz w:val="24"/>
          <w:highlight w:val="none"/>
          <w:u w:val="single"/>
        </w:rPr>
        <w:t xml:space="preserve">              </w:t>
      </w:r>
      <w:r>
        <w:rPr>
          <w:rFonts w:hint="eastAsia" w:ascii="宋体" w:hAnsi="宋体" w:cs="宋体"/>
          <w:sz w:val="24"/>
          <w:highlight w:val="none"/>
        </w:rPr>
      </w:r>
      <w:r/>
    </w:p>
    <w:p>
      <w:pPr>
        <w:pStyle w:val="783"/>
        <w:jc w:val="center"/>
        <w:rPr>
          <w:rFonts w:hint="eastAsia" w:ascii="宋体" w:hAnsi="宋体" w:cs="宋体"/>
          <w:sz w:val="32"/>
          <w:szCs w:val="32"/>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                    </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rPr>
          <w:rFonts w:hint="eastAsia" w:ascii="宋体" w:hAnsi="宋体" w:cs="宋体"/>
          <w:sz w:val="32"/>
          <w:szCs w:val="32"/>
          <w:highlight w:val="none"/>
        </w:rPr>
      </w:r>
      <w:r/>
    </w:p>
    <w:p>
      <w:pPr>
        <w:pStyle w:val="825"/>
        <w:jc w:val="center"/>
        <w:spacing w:before="120" w:after="120" w:line="0" w:lineRule="atLeast"/>
        <w:rPr>
          <w:b/>
          <w:sz w:val="44"/>
          <w:szCs w:val="44"/>
          <w:highlight w:val="none"/>
        </w:rPr>
      </w:pPr>
      <w:r>
        <w:rPr>
          <w:rFonts w:hint="eastAsia"/>
          <w:b/>
          <w:sz w:val="44"/>
          <w:szCs w:val="44"/>
          <w:highlight w:val="none"/>
        </w:rPr>
        <w:br w:type="page" w:clear="all"/>
      </w:r>
      <w:r>
        <w:rPr>
          <w:rFonts w:hint="eastAsia"/>
          <w:b/>
          <w:sz w:val="44"/>
          <w:szCs w:val="44"/>
          <w:highlight w:val="none"/>
        </w:rPr>
        <w:t xml:space="preserve">第六章  投标文件格式</w:t>
      </w:r>
      <w:bookmarkEnd w:id="128"/>
      <w:r/>
      <w:bookmarkEnd w:id="129"/>
      <w:r/>
      <w:bookmarkEnd w:id="130"/>
      <w:r/>
      <w:bookmarkEnd w:id="131"/>
      <w:r/>
      <w:bookmarkEnd w:id="132"/>
      <w:r/>
      <w:bookmarkEnd w:id="133"/>
      <w:r>
        <w:rPr>
          <w:b/>
          <w:sz w:val="44"/>
          <w:szCs w:val="44"/>
          <w:highlight w:val="none"/>
        </w:rPr>
      </w:r>
      <w:r/>
    </w:p>
    <w:p>
      <w:pPr>
        <w:pStyle w:val="783"/>
        <w:rPr>
          <w:highlight w:val="none"/>
        </w:rPr>
      </w:pPr>
      <w:r/>
      <w:bookmarkStart w:id="134" w:name="EB819316f773b24a75aef829f9b72900c0"/>
      <w:r>
        <w:rPr>
          <w:highlight w:val="none"/>
        </w:rPr>
      </w:r>
      <w:r/>
    </w:p>
    <w:p>
      <w:pPr>
        <w:pStyle w:val="783"/>
        <w:rPr>
          <w:rFonts w:ascii="Times New Roman" w:hAnsi="Times New Roman"/>
          <w:b/>
          <w:sz w:val="72"/>
          <w:highlight w:val="none"/>
        </w:rPr>
      </w:pPr>
      <w:r/>
      <w:bookmarkStart w:id="135" w:name="_Toc15716"/>
      <w:r>
        <w:rPr>
          <w:rFonts w:ascii="Times New Roman" w:hAnsi="Times New Roman"/>
          <w:b/>
          <w:sz w:val="72"/>
          <w:highlight w:val="none"/>
        </w:rPr>
      </w:r>
      <w:r/>
    </w:p>
    <w:p>
      <w:pPr>
        <w:pStyle w:val="783"/>
        <w:rPr>
          <w:rFonts w:ascii="Times New Roman" w:hAnsi="Times New Roman"/>
          <w:b/>
          <w:sz w:val="72"/>
          <w:highlight w:val="none"/>
        </w:rPr>
      </w:pPr>
      <w:r>
        <w:rPr>
          <w:rFonts w:ascii="Times New Roman" w:hAnsi="Times New Roman"/>
          <w:b/>
          <w:sz w:val="72"/>
          <w:highlight w:val="none"/>
        </w:rPr>
      </w:r>
      <w:r/>
    </w:p>
    <w:p>
      <w:pPr>
        <w:pStyle w:val="783"/>
        <w:rPr>
          <w:rFonts w:ascii="Times New Roman" w:hAnsi="Times New Roman"/>
          <w:b/>
          <w:sz w:val="72"/>
          <w:highlight w:val="none"/>
        </w:rPr>
      </w:pPr>
      <w:r>
        <w:rPr>
          <w:rFonts w:ascii="Times New Roman" w:hAnsi="Times New Roman"/>
          <w:b/>
          <w:sz w:val="72"/>
          <w:highlight w:val="none"/>
        </w:rPr>
      </w:r>
      <w:r/>
    </w:p>
    <w:p>
      <w:pPr>
        <w:pStyle w:val="783"/>
        <w:jc w:val="center"/>
        <w:rPr>
          <w:rFonts w:ascii="Times New Roman" w:hAnsi="Times New Roman"/>
          <w:b/>
          <w:sz w:val="72"/>
          <w:highlight w:val="none"/>
        </w:rPr>
      </w:pPr>
      <w:r>
        <w:rPr>
          <w:rFonts w:hint="eastAsia" w:ascii="Times New Roman" w:hAnsi="Times New Roman"/>
          <w:b/>
          <w:sz w:val="72"/>
          <w:highlight w:val="none"/>
        </w:rPr>
        <w:t xml:space="preserve">投  标  文  件</w:t>
      </w:r>
      <w:r>
        <w:rPr>
          <w:rFonts w:ascii="Times New Roman" w:hAnsi="Times New Roman"/>
          <w:b/>
          <w:sz w:val="72"/>
          <w:highlight w:val="none"/>
        </w:rPr>
      </w:r>
      <w:r/>
    </w:p>
    <w:p>
      <w:pPr>
        <w:pStyle w:val="783"/>
        <w:jc w:val="center"/>
        <w:rPr>
          <w:rFonts w:ascii="Times New Roman" w:hAnsi="Times New Roman"/>
          <w:b/>
          <w:sz w:val="72"/>
          <w:highlight w:val="none"/>
        </w:rPr>
      </w:pPr>
      <w:r>
        <w:rPr>
          <w:rFonts w:ascii="Times New Roman" w:hAnsi="Times New Roman"/>
          <w:b/>
          <w:sz w:val="72"/>
          <w:highlight w:val="none"/>
        </w:rPr>
      </w:r>
      <w:r/>
    </w:p>
    <w:p>
      <w:pPr>
        <w:pStyle w:val="783"/>
        <w:jc w:val="center"/>
        <w:rPr>
          <w:rFonts w:ascii="Times New Roman" w:hAnsi="Times New Roman"/>
          <w:b/>
          <w:sz w:val="72"/>
          <w:highlight w:val="none"/>
        </w:rPr>
      </w:pPr>
      <w:r>
        <w:rPr>
          <w:rFonts w:ascii="Times New Roman" w:hAnsi="Times New Roman"/>
          <w:b/>
          <w:sz w:val="72"/>
          <w:highlight w:val="none"/>
        </w:rPr>
      </w:r>
      <w:r/>
    </w:p>
    <w:p>
      <w:pPr>
        <w:pStyle w:val="783"/>
        <w:jc w:val="center"/>
        <w:rPr>
          <w:rFonts w:ascii="Times New Roman" w:hAnsi="Times New Roman"/>
          <w:b/>
          <w:sz w:val="72"/>
          <w:highlight w:val="none"/>
        </w:rPr>
      </w:pPr>
      <w:r>
        <w:rPr>
          <w:rFonts w:ascii="Times New Roman" w:hAnsi="Times New Roman"/>
          <w:b/>
          <w:sz w:val="72"/>
          <w:highlight w:val="none"/>
        </w:rPr>
      </w:r>
      <w:r/>
    </w:p>
    <w:p>
      <w:pPr>
        <w:pStyle w:val="783"/>
        <w:jc w:val="center"/>
        <w:rPr>
          <w:rFonts w:ascii="Times New Roman" w:hAnsi="Times New Roman"/>
          <w:b/>
          <w:sz w:val="72"/>
          <w:highlight w:val="none"/>
        </w:rPr>
      </w:pPr>
      <w:r>
        <w:rPr>
          <w:rFonts w:ascii="Times New Roman" w:hAnsi="Times New Roman"/>
          <w:b/>
          <w:sz w:val="72"/>
          <w:highlight w:val="none"/>
        </w:rPr>
      </w:r>
      <w:r/>
    </w:p>
    <w:p>
      <w:pPr>
        <w:pStyle w:val="783"/>
        <w:jc w:val="center"/>
        <w:rPr>
          <w:rFonts w:ascii="Times New Roman" w:hAnsi="Times New Roman"/>
          <w:b/>
          <w:sz w:val="72"/>
          <w:highlight w:val="none"/>
        </w:rPr>
      </w:pPr>
      <w:r>
        <w:rPr>
          <w:rFonts w:ascii="Times New Roman" w:hAnsi="Times New Roman"/>
          <w:b/>
          <w:sz w:val="72"/>
          <w:highlight w:val="none"/>
        </w:rPr>
      </w:r>
      <w:r/>
    </w:p>
    <w:p>
      <w:pPr>
        <w:pStyle w:val="783"/>
        <w:jc w:val="center"/>
        <w:rPr>
          <w:rFonts w:ascii="Times New Roman" w:hAnsi="Times New Roman"/>
          <w:b/>
          <w:sz w:val="36"/>
          <w:highlight w:val="none"/>
        </w:rPr>
      </w:pPr>
      <w:r>
        <w:rPr>
          <w:rFonts w:ascii="Times New Roman" w:hAnsi="Times New Roman"/>
          <w:b/>
          <w:sz w:val="36"/>
          <w:highlight w:val="none"/>
        </w:rPr>
      </w:r>
      <w:r/>
    </w:p>
    <w:p>
      <w:pPr>
        <w:pStyle w:val="783"/>
        <w:jc w:val="center"/>
        <w:rPr>
          <w:rFonts w:ascii="Times New Roman" w:hAnsi="Times New Roman"/>
          <w:b/>
          <w:sz w:val="36"/>
          <w:highlight w:val="none"/>
        </w:rPr>
      </w:pPr>
      <w:r>
        <w:rPr>
          <w:rFonts w:ascii="Times New Roman" w:hAnsi="Times New Roman"/>
          <w:b/>
          <w:sz w:val="36"/>
          <w:highlight w:val="none"/>
        </w:rPr>
      </w:r>
      <w:r/>
    </w:p>
    <w:p>
      <w:pPr>
        <w:pStyle w:val="783"/>
        <w:jc w:val="center"/>
        <w:rPr>
          <w:rFonts w:ascii="Times New Roman" w:hAnsi="Times New Roman"/>
          <w:b/>
          <w:sz w:val="36"/>
          <w:highlight w:val="none"/>
        </w:rPr>
      </w:pPr>
      <w:r>
        <w:rPr>
          <w:rFonts w:ascii="Times New Roman" w:hAnsi="Times New Roman"/>
          <w:b/>
          <w:sz w:val="36"/>
          <w:highlight w:val="none"/>
        </w:rPr>
      </w:r>
      <w:r/>
    </w:p>
    <w:p>
      <w:pPr>
        <w:pStyle w:val="783"/>
        <w:ind w:firstLine="1084"/>
        <w:rPr>
          <w:rFonts w:ascii="Times New Roman" w:hAnsi="Times New Roman"/>
          <w:b/>
          <w:sz w:val="36"/>
          <w:highlight w:val="none"/>
        </w:rPr>
      </w:pPr>
      <w:r>
        <w:rPr>
          <w:rFonts w:hint="eastAsia" w:ascii="Times New Roman" w:hAnsi="Times New Roman"/>
          <w:b/>
          <w:sz w:val="36"/>
          <w:highlight w:val="none"/>
        </w:rPr>
        <w:t xml:space="preserve">项 目 名 称：</w:t>
      </w:r>
      <w:r>
        <w:rPr>
          <w:rFonts w:hint="eastAsia" w:ascii="Times New Roman" w:hAnsi="Times New Roman"/>
          <w:b/>
          <w:sz w:val="36"/>
          <w:highlight w:val="none"/>
          <w:u w:val="single"/>
        </w:rPr>
        <w:t xml:space="preserve">               </w:t>
      </w:r>
      <w:r>
        <w:rPr>
          <w:rFonts w:ascii="Times New Roman" w:hAnsi="Times New Roman"/>
          <w:b/>
          <w:sz w:val="36"/>
          <w:highlight w:val="none"/>
        </w:rPr>
      </w:r>
      <w:r/>
    </w:p>
    <w:p>
      <w:pPr>
        <w:pStyle w:val="783"/>
        <w:ind w:firstLine="1084"/>
        <w:rPr>
          <w:rFonts w:ascii="Times New Roman" w:hAnsi="Times New Roman"/>
          <w:b/>
          <w:sz w:val="36"/>
          <w:highlight w:val="none"/>
          <w:u w:val="single"/>
        </w:rPr>
      </w:pPr>
      <w:r>
        <w:rPr>
          <w:rFonts w:hint="eastAsia" w:ascii="Times New Roman" w:hAnsi="Times New Roman"/>
          <w:b/>
          <w:sz w:val="36"/>
          <w:highlight w:val="none"/>
        </w:rPr>
        <w:t xml:space="preserve">项 目 编 号：</w:t>
      </w:r>
      <w:r>
        <w:rPr>
          <w:rFonts w:hint="eastAsia" w:ascii="Times New Roman" w:hAnsi="Times New Roman"/>
          <w:b/>
          <w:sz w:val="36"/>
          <w:highlight w:val="none"/>
          <w:u w:val="single"/>
        </w:rPr>
        <w:t xml:space="preserve">               </w:t>
      </w:r>
      <w:r>
        <w:rPr>
          <w:rFonts w:ascii="Times New Roman" w:hAnsi="Times New Roman"/>
          <w:b/>
          <w:sz w:val="36"/>
          <w:highlight w:val="none"/>
          <w:u w:val="single"/>
        </w:rPr>
      </w:r>
      <w:r/>
    </w:p>
    <w:p>
      <w:pPr>
        <w:pStyle w:val="783"/>
        <w:rPr>
          <w:rFonts w:ascii="Times New Roman" w:hAnsi="Times New Roman"/>
          <w:b/>
          <w:sz w:val="36"/>
          <w:highlight w:val="none"/>
          <w:u w:val="single"/>
        </w:rPr>
      </w:pPr>
      <w:r>
        <w:rPr>
          <w:rFonts w:hint="eastAsia" w:ascii="Times New Roman" w:hAnsi="Times New Roman"/>
          <w:b/>
          <w:sz w:val="36"/>
          <w:highlight w:val="none"/>
        </w:rPr>
        <w:t xml:space="preserve">      投标人名称 ：</w:t>
      </w:r>
      <w:r>
        <w:rPr>
          <w:rFonts w:hint="eastAsia" w:ascii="Times New Roman" w:hAnsi="Times New Roman"/>
          <w:b/>
          <w:sz w:val="36"/>
          <w:highlight w:val="none"/>
          <w:u w:val="single"/>
        </w:rPr>
        <w:t xml:space="preserve">（盖公司公章）</w:t>
      </w:r>
      <w:r>
        <w:rPr>
          <w:rFonts w:ascii="Times New Roman" w:hAnsi="Times New Roman"/>
          <w:b/>
          <w:sz w:val="36"/>
          <w:highlight w:val="none"/>
          <w:u w:val="single"/>
        </w:rPr>
      </w:r>
      <w:r/>
    </w:p>
    <w:p>
      <w:pPr>
        <w:pStyle w:val="783"/>
        <w:rPr>
          <w:rFonts w:ascii="Times New Roman" w:hAnsi="Times New Roman"/>
          <w:b/>
          <w:sz w:val="36"/>
          <w:highlight w:val="none"/>
          <w:u w:val="single"/>
        </w:rPr>
      </w:pPr>
      <w:r>
        <w:rPr>
          <w:rFonts w:hint="eastAsia" w:ascii="Times New Roman" w:hAnsi="Times New Roman"/>
          <w:b/>
          <w:sz w:val="36"/>
          <w:highlight w:val="none"/>
        </w:rPr>
        <w:t xml:space="preserve">      日      期 ：</w:t>
      </w:r>
      <w:r>
        <w:rPr>
          <w:rFonts w:hint="eastAsia" w:ascii="Times New Roman" w:hAnsi="Times New Roman"/>
          <w:b/>
          <w:sz w:val="36"/>
          <w:highlight w:val="none"/>
          <w:u w:val="single"/>
        </w:rPr>
        <w:t xml:space="preserve">               </w:t>
      </w:r>
      <w:bookmarkEnd w:id="135"/>
      <w:r>
        <w:rPr>
          <w:rFonts w:ascii="Times New Roman" w:hAnsi="Times New Roman"/>
          <w:b/>
          <w:sz w:val="36"/>
          <w:highlight w:val="none"/>
          <w:u w:val="single"/>
        </w:rPr>
      </w:r>
      <w:r/>
    </w:p>
    <w:p>
      <w:pPr>
        <w:pStyle w:val="1068"/>
        <w:rPr>
          <w:rFonts w:ascii="宋体" w:hAnsi="宋体" w:eastAsia="宋体" w:cs="宋体"/>
          <w:highlight w:val="none"/>
        </w:rPr>
      </w:pPr>
      <w:r>
        <w:rPr>
          <w:rFonts w:ascii="宋体" w:hAnsi="宋体" w:eastAsia="宋体" w:cs="宋体"/>
          <w:highlight w:val="none"/>
        </w:rPr>
      </w:r>
      <w:r/>
    </w:p>
    <w:p>
      <w:pPr>
        <w:pStyle w:val="1068"/>
        <w:rPr>
          <w:rFonts w:ascii="宋体" w:hAnsi="宋体" w:eastAsia="宋体" w:cs="宋体"/>
          <w:highlight w:val="none"/>
        </w:rPr>
      </w:pPr>
      <w:r>
        <w:rPr>
          <w:rFonts w:ascii="宋体" w:hAnsi="宋体" w:eastAsia="宋体" w:cs="宋体"/>
          <w:highlight w:val="none"/>
        </w:rPr>
      </w:r>
      <w:r/>
    </w:p>
    <w:p>
      <w:pPr>
        <w:pStyle w:val="1068"/>
        <w:rPr>
          <w:rFonts w:ascii="宋体" w:hAnsi="宋体" w:eastAsia="宋体" w:cs="宋体"/>
          <w:highlight w:val="none"/>
        </w:rPr>
      </w:pPr>
      <w:r>
        <w:rPr>
          <w:rFonts w:ascii="宋体" w:hAnsi="宋体" w:eastAsia="宋体" w:cs="宋体"/>
          <w:highlight w:val="none"/>
        </w:rPr>
      </w:r>
      <w:r/>
    </w:p>
    <w:p>
      <w:pPr>
        <w:pStyle w:val="1068"/>
        <w:rPr>
          <w:rFonts w:ascii="宋体" w:hAnsi="宋体" w:eastAsia="宋体" w:cs="宋体"/>
          <w:highlight w:val="none"/>
        </w:rPr>
      </w:pPr>
      <w:r>
        <w:rPr>
          <w:rFonts w:ascii="宋体" w:hAnsi="宋体" w:eastAsia="宋体" w:cs="宋体"/>
          <w:highlight w:val="none"/>
        </w:rPr>
      </w:r>
      <w:r/>
    </w:p>
    <w:p>
      <w:pPr>
        <w:pStyle w:val="1068"/>
        <w:rPr>
          <w:rFonts w:ascii="宋体" w:hAnsi="宋体" w:eastAsia="宋体" w:cs="宋体"/>
          <w:highlight w:val="none"/>
        </w:rPr>
      </w:pPr>
      <w:r>
        <w:rPr>
          <w:rFonts w:ascii="宋体" w:hAnsi="宋体" w:eastAsia="宋体" w:cs="宋体"/>
          <w:highlight w:val="none"/>
        </w:rPr>
      </w:r>
      <w:r/>
    </w:p>
    <w:p>
      <w:pPr>
        <w:pStyle w:val="1068"/>
        <w:rPr>
          <w:rFonts w:ascii="宋体" w:hAnsi="宋体" w:eastAsia="宋体" w:cs="宋体"/>
          <w:highlight w:val="none"/>
        </w:rPr>
      </w:pPr>
      <w:r>
        <w:rPr>
          <w:rFonts w:ascii="宋体" w:hAnsi="宋体" w:eastAsia="宋体" w:cs="宋体"/>
          <w:highlight w:val="none"/>
        </w:rPr>
      </w:r>
      <w:r/>
    </w:p>
    <w:p>
      <w:pPr>
        <w:pStyle w:val="1068"/>
        <w:rPr>
          <w:rFonts w:ascii="宋体" w:hAnsi="宋体" w:eastAsia="宋体" w:cs="宋体"/>
          <w:highlight w:val="none"/>
        </w:rPr>
      </w:pPr>
      <w:r/>
      <w:bookmarkEnd w:id="134"/>
      <w:r>
        <w:rPr>
          <w:rFonts w:ascii="宋体" w:hAnsi="宋体" w:eastAsia="宋体" w:cs="宋体"/>
          <w:highlight w:val="none"/>
        </w:rPr>
      </w:r>
      <w:r/>
    </w:p>
    <w:p>
      <w:pPr>
        <w:pStyle w:val="1068"/>
        <w:jc w:val="center"/>
        <w:spacing w:line="36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pStyle w:val="1068"/>
        <w:jc w:val="center"/>
        <w:spacing w:line="360" w:lineRule="auto"/>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投标文件目录</w:t>
      </w:r>
      <w:r>
        <w:rPr>
          <w:rFonts w:ascii="宋体" w:hAnsi="宋体" w:eastAsia="宋体" w:cs="宋体"/>
          <w:b/>
          <w:bCs/>
          <w:sz w:val="32"/>
          <w:szCs w:val="32"/>
          <w:highlight w:val="none"/>
        </w:rPr>
      </w:r>
      <w:r/>
    </w:p>
    <w:p>
      <w:pPr>
        <w:pStyle w:val="1068"/>
        <w:spacing w:line="360" w:lineRule="auto"/>
        <w:rPr>
          <w:rFonts w:ascii="宋体" w:hAnsi="宋体" w:eastAsia="宋体" w:cs="宋体"/>
          <w:sz w:val="28"/>
          <w:szCs w:val="28"/>
          <w:highlight w:val="none"/>
        </w:rPr>
      </w:pPr>
      <w:r>
        <w:rPr>
          <w:rFonts w:ascii="宋体" w:hAnsi="宋体" w:eastAsia="宋体" w:cs="宋体"/>
          <w:sz w:val="28"/>
          <w:szCs w:val="28"/>
          <w:highlight w:val="none"/>
        </w:rPr>
      </w:r>
      <w:r/>
    </w:p>
    <w:p>
      <w:pPr>
        <w:pStyle w:val="783"/>
        <w:spacing w:line="360" w:lineRule="auto"/>
        <w:rPr>
          <w:rFonts w:hint="eastAsia" w:ascii="Times New Roman" w:hAnsi="Times New Roman"/>
          <w:sz w:val="28"/>
          <w:szCs w:val="28"/>
          <w:highlight w:val="none"/>
        </w:rPr>
      </w:pPr>
      <w:r>
        <w:rPr>
          <w:rFonts w:hint="eastAsia" w:ascii="Times New Roman" w:hAnsi="Times New Roman"/>
          <w:sz w:val="28"/>
          <w:szCs w:val="28"/>
          <w:highlight w:val="none"/>
        </w:rPr>
        <w:t xml:space="preserve">一、投标函</w:t>
      </w:r>
      <w:r>
        <w:rPr>
          <w:rFonts w:hint="eastAsia" w:ascii="Times New Roman" w:hAnsi="Times New Roman"/>
          <w:sz w:val="28"/>
          <w:szCs w:val="28"/>
          <w:highlight w:val="none"/>
        </w:rPr>
      </w:r>
      <w:r/>
    </w:p>
    <w:p>
      <w:pPr>
        <w:pStyle w:val="783"/>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二、投标人资质</w:t>
      </w:r>
      <w:r>
        <w:rPr>
          <w:rFonts w:ascii="Times New Roman" w:hAnsi="Times New Roman"/>
          <w:sz w:val="28"/>
          <w:szCs w:val="28"/>
          <w:highlight w:val="none"/>
        </w:rPr>
      </w:r>
      <w:r/>
    </w:p>
    <w:p>
      <w:pPr>
        <w:pStyle w:val="783"/>
        <w:spacing w:line="360" w:lineRule="auto"/>
        <w:rPr>
          <w:rFonts w:hint="eastAsia" w:ascii="Times New Roman" w:hAnsi="Times New Roman"/>
          <w:sz w:val="28"/>
          <w:szCs w:val="28"/>
          <w:highlight w:val="none"/>
        </w:rPr>
      </w:pPr>
      <w:r>
        <w:rPr>
          <w:rFonts w:hint="eastAsia" w:ascii="Times New Roman" w:hAnsi="Times New Roman"/>
          <w:sz w:val="28"/>
          <w:szCs w:val="28"/>
          <w:highlight w:val="none"/>
        </w:rPr>
        <w:t xml:space="preserve">三、法人授权书</w:t>
      </w:r>
      <w:r>
        <w:rPr>
          <w:rFonts w:hint="eastAsia" w:ascii="Times New Roman" w:hAnsi="Times New Roman"/>
          <w:sz w:val="28"/>
          <w:szCs w:val="28"/>
          <w:highlight w:val="none"/>
        </w:rPr>
      </w:r>
      <w:r/>
    </w:p>
    <w:p>
      <w:pPr>
        <w:pStyle w:val="783"/>
        <w:spacing w:line="360" w:lineRule="auto"/>
        <w:rPr>
          <w:rFonts w:hint="eastAsia" w:ascii="Times New Roman" w:hAnsi="Times New Roman"/>
          <w:sz w:val="28"/>
          <w:szCs w:val="28"/>
          <w:highlight w:val="none"/>
        </w:rPr>
      </w:pPr>
      <w:r>
        <w:rPr>
          <w:rFonts w:hint="eastAsia" w:ascii="Times New Roman" w:hAnsi="Times New Roman"/>
          <w:sz w:val="28"/>
          <w:szCs w:val="28"/>
          <w:highlight w:val="none"/>
        </w:rPr>
        <w:t xml:space="preserve">四、开标一览表</w:t>
      </w:r>
      <w:r>
        <w:rPr>
          <w:rFonts w:hint="eastAsia" w:ascii="Times New Roman" w:hAnsi="Times New Roman"/>
          <w:sz w:val="28"/>
          <w:szCs w:val="28"/>
          <w:highlight w:val="none"/>
        </w:rPr>
      </w:r>
      <w:r/>
    </w:p>
    <w:p>
      <w:pPr>
        <w:pStyle w:val="783"/>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五、分项报价表</w:t>
      </w:r>
      <w:r>
        <w:rPr>
          <w:rFonts w:ascii="Times New Roman" w:hAnsi="Times New Roman"/>
          <w:sz w:val="28"/>
          <w:szCs w:val="28"/>
          <w:highlight w:val="none"/>
        </w:rPr>
      </w:r>
      <w:r/>
    </w:p>
    <w:p>
      <w:pPr>
        <w:pStyle w:val="783"/>
        <w:spacing w:line="360" w:lineRule="auto"/>
        <w:rPr>
          <w:rFonts w:hint="eastAsia" w:ascii="Times New Roman" w:hAnsi="Times New Roman"/>
          <w:sz w:val="28"/>
          <w:szCs w:val="28"/>
          <w:highlight w:val="none"/>
        </w:rPr>
      </w:pPr>
      <w:r>
        <w:rPr>
          <w:rFonts w:hint="eastAsia" w:ascii="Times New Roman" w:hAnsi="Times New Roman"/>
          <w:sz w:val="28"/>
          <w:szCs w:val="28"/>
          <w:highlight w:val="none"/>
        </w:rPr>
        <w:t xml:space="preserve">六、中小企业或残疾人福利性单位声明函</w:t>
      </w:r>
      <w:r>
        <w:rPr>
          <w:rFonts w:hint="eastAsia" w:ascii="Times New Roman" w:hAnsi="Times New Roman"/>
          <w:sz w:val="28"/>
          <w:szCs w:val="28"/>
          <w:highlight w:val="none"/>
        </w:rPr>
      </w:r>
      <w:r/>
    </w:p>
    <w:p>
      <w:pPr>
        <w:pStyle w:val="783"/>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七、技术响应偏离表</w:t>
      </w:r>
      <w:r>
        <w:rPr>
          <w:rFonts w:ascii="Times New Roman" w:hAnsi="Times New Roman"/>
          <w:sz w:val="28"/>
          <w:szCs w:val="28"/>
          <w:highlight w:val="none"/>
        </w:rPr>
      </w:r>
      <w:r/>
    </w:p>
    <w:p>
      <w:pPr>
        <w:pStyle w:val="783"/>
        <w:spacing w:line="360" w:lineRule="auto"/>
        <w:rPr>
          <w:rFonts w:hint="eastAsia" w:ascii="Times New Roman" w:hAnsi="Times New Roman"/>
          <w:sz w:val="28"/>
          <w:szCs w:val="28"/>
          <w:highlight w:val="none"/>
        </w:rPr>
      </w:pPr>
      <w:r>
        <w:rPr>
          <w:rFonts w:hint="eastAsia" w:ascii="Times New Roman" w:hAnsi="Times New Roman"/>
          <w:sz w:val="28"/>
          <w:szCs w:val="28"/>
          <w:highlight w:val="none"/>
        </w:rPr>
        <w:t xml:space="preserve">八、项目组人员</w:t>
      </w:r>
      <w:r>
        <w:rPr>
          <w:rFonts w:hint="eastAsia" w:ascii="Times New Roman" w:hAnsi="Times New Roman"/>
          <w:sz w:val="28"/>
          <w:szCs w:val="28"/>
          <w:highlight w:val="none"/>
        </w:rPr>
      </w:r>
      <w:r/>
    </w:p>
    <w:p>
      <w:pPr>
        <w:pStyle w:val="783"/>
        <w:spacing w:line="360" w:lineRule="auto"/>
        <w:rPr>
          <w:rFonts w:hint="eastAsia" w:ascii="Times New Roman" w:hAnsi="Times New Roman"/>
          <w:sz w:val="28"/>
          <w:szCs w:val="28"/>
          <w:highlight w:val="none"/>
        </w:rPr>
      </w:pPr>
      <w:r>
        <w:rPr>
          <w:rFonts w:hint="eastAsia" w:ascii="Times New Roman" w:hAnsi="Times New Roman"/>
          <w:sz w:val="28"/>
          <w:szCs w:val="28"/>
          <w:highlight w:val="none"/>
        </w:rPr>
        <w:t xml:space="preserve">九、企业业绩</w:t>
      </w:r>
      <w:r>
        <w:rPr>
          <w:rFonts w:hint="eastAsia" w:ascii="Times New Roman" w:hAnsi="Times New Roman"/>
          <w:sz w:val="28"/>
          <w:szCs w:val="28"/>
          <w:highlight w:val="none"/>
        </w:rPr>
      </w:r>
      <w:r/>
    </w:p>
    <w:p>
      <w:pPr>
        <w:pStyle w:val="783"/>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十、方案</w:t>
      </w:r>
      <w:r>
        <w:rPr>
          <w:rFonts w:ascii="Times New Roman" w:hAnsi="Times New Roman"/>
          <w:sz w:val="28"/>
          <w:szCs w:val="28"/>
          <w:highlight w:val="none"/>
        </w:rPr>
      </w:r>
      <w:r/>
    </w:p>
    <w:p>
      <w:pPr>
        <w:pStyle w:val="783"/>
        <w:spacing w:line="360" w:lineRule="auto"/>
        <w:rPr>
          <w:rFonts w:ascii="宋体" w:hAnsi="宋体" w:cs="宋体"/>
          <w:sz w:val="28"/>
          <w:szCs w:val="28"/>
          <w:highlight w:val="none"/>
        </w:rPr>
      </w:pPr>
      <w:r>
        <w:rPr>
          <w:rFonts w:hint="eastAsia" w:ascii="Times New Roman" w:hAnsi="Times New Roman"/>
          <w:sz w:val="28"/>
          <w:szCs w:val="28"/>
          <w:highlight w:val="none"/>
        </w:rPr>
        <w:t xml:space="preserve">十一、投标所需其他材料</w:t>
      </w:r>
      <w:r>
        <w:rPr>
          <w:rFonts w:ascii="宋体" w:hAnsi="宋体" w:cs="宋体"/>
          <w:sz w:val="28"/>
          <w:szCs w:val="28"/>
          <w:highlight w:val="none"/>
        </w:rPr>
      </w:r>
      <w:r/>
    </w:p>
    <w:p>
      <w:pPr>
        <w:pStyle w:val="783"/>
        <w:rPr>
          <w:highlight w:val="none"/>
        </w:rPr>
      </w:pPr>
      <w:r/>
      <w:bookmarkStart w:id="136" w:name="_Toc26005"/>
      <w:r/>
      <w:bookmarkStart w:id="137" w:name="_Toc20577"/>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1078"/>
        <w:rPr>
          <w:b w:val="0"/>
          <w:bCs/>
          <w:highlight w:val="none"/>
        </w:rPr>
        <w:outlineLvl w:val="1"/>
      </w:pPr>
      <w:r/>
      <w:bookmarkStart w:id="138" w:name="_Toc8978"/>
      <w:r>
        <w:rPr>
          <w:rFonts w:hint="eastAsia"/>
          <w:b w:val="0"/>
          <w:bCs/>
          <w:highlight w:val="none"/>
        </w:rPr>
        <w:t xml:space="preserve">一</w:t>
      </w:r>
      <w:r>
        <w:rPr>
          <w:b w:val="0"/>
          <w:bCs/>
          <w:highlight w:val="none"/>
        </w:rPr>
        <w:t xml:space="preserve">、投标函</w:t>
      </w:r>
      <w:bookmarkEnd w:id="136"/>
      <w:r/>
      <w:bookmarkEnd w:id="137"/>
      <w:r/>
      <w:bookmarkEnd w:id="138"/>
      <w:r>
        <w:rPr>
          <w:b w:val="0"/>
          <w:bCs/>
          <w:highlight w:val="none"/>
        </w:rPr>
      </w:r>
      <w:r/>
    </w:p>
    <w:p>
      <w:pPr>
        <w:pStyle w:val="1079"/>
        <w:jc w:val="center"/>
        <w:rPr>
          <w:rFonts w:ascii="方正小标宋_GBK" w:eastAsia="方正小标宋_GBK"/>
          <w:bCs/>
          <w:sz w:val="32"/>
          <w:szCs w:val="32"/>
          <w:highlight w:val="none"/>
        </w:rPr>
      </w:pPr>
      <w:r>
        <w:rPr>
          <w:rFonts w:ascii="方正小标宋_GBK" w:eastAsia="方正小标宋_GBK"/>
          <w:bCs/>
          <w:sz w:val="32"/>
          <w:szCs w:val="32"/>
          <w:highlight w:val="none"/>
        </w:rPr>
      </w:r>
      <w:r/>
    </w:p>
    <w:p>
      <w:pPr>
        <w:pStyle w:val="1079"/>
        <w:jc w:val="center"/>
        <w:rPr>
          <w:rFonts w:hint="eastAsia" w:ascii="方正小标宋_GBK" w:eastAsia="方正小标宋_GBK"/>
          <w:bCs/>
          <w:sz w:val="32"/>
          <w:szCs w:val="32"/>
          <w:highlight w:val="none"/>
        </w:rPr>
      </w:pPr>
      <w:r>
        <w:rPr>
          <w:rFonts w:hint="eastAsia" w:ascii="方正小标宋_GBK" w:eastAsia="方正小标宋_GBK"/>
          <w:bCs/>
          <w:sz w:val="32"/>
          <w:szCs w:val="32"/>
          <w:highlight w:val="none"/>
        </w:rPr>
        <w:t xml:space="preserve">投标函</w:t>
      </w:r>
      <w:r>
        <w:rPr>
          <w:rFonts w:hint="eastAsia" w:ascii="方正小标宋_GBK" w:eastAsia="方正小标宋_GBK"/>
          <w:bCs/>
          <w:sz w:val="32"/>
          <w:szCs w:val="32"/>
          <w:highlight w:val="none"/>
        </w:rPr>
      </w:r>
      <w:r/>
    </w:p>
    <w:p>
      <w:pPr>
        <w:pStyle w:val="1079"/>
        <w:jc w:val="left"/>
        <w:spacing w:line="500" w:lineRule="exact"/>
        <w:rPr>
          <w:rFonts w:ascii="宋体" w:hAnsi="宋体"/>
          <w:sz w:val="24"/>
          <w:szCs w:val="24"/>
          <w:highlight w:val="none"/>
          <w:u w:val="single"/>
        </w:rPr>
      </w:pPr>
      <w:r>
        <w:rPr>
          <w:rFonts w:hint="eastAsia" w:ascii="宋体" w:hAnsi="宋体"/>
          <w:sz w:val="24"/>
          <w:szCs w:val="24"/>
          <w:highlight w:val="none"/>
          <w:u w:val="single"/>
        </w:rPr>
        <w:t xml:space="preserve">（采购单位名称）：</w:t>
      </w:r>
      <w:r>
        <w:rPr>
          <w:rFonts w:ascii="宋体" w:hAnsi="宋体"/>
          <w:sz w:val="24"/>
          <w:szCs w:val="24"/>
          <w:highlight w:val="none"/>
          <w:u w:val="single"/>
        </w:rPr>
      </w:r>
      <w:r/>
    </w:p>
    <w:p>
      <w:pPr>
        <w:pStyle w:val="1079"/>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根据已收到的项目编号为</w:t>
      </w:r>
      <w:r>
        <w:rPr>
          <w:rFonts w:hint="eastAsia" w:ascii="宋体" w:hAnsi="宋体"/>
          <w:sz w:val="24"/>
          <w:szCs w:val="24"/>
          <w:highlight w:val="none"/>
          <w:u w:val="single"/>
        </w:rPr>
        <w:t xml:space="preserve">（项目编号）</w:t>
      </w:r>
      <w:r>
        <w:rPr>
          <w:rFonts w:hint="eastAsia" w:ascii="宋体" w:hAnsi="宋体"/>
          <w:sz w:val="24"/>
          <w:szCs w:val="24"/>
          <w:highlight w:val="none"/>
        </w:rPr>
        <w:t xml:space="preserve">的</w:t>
      </w:r>
      <w:r>
        <w:rPr>
          <w:rFonts w:hint="eastAsia" w:ascii="宋体" w:hAnsi="宋体"/>
          <w:sz w:val="24"/>
          <w:szCs w:val="24"/>
          <w:highlight w:val="none"/>
          <w:u w:val="single"/>
        </w:rPr>
        <w:t xml:space="preserve">（项目名称）</w:t>
      </w:r>
      <w:r>
        <w:rPr>
          <w:rFonts w:hint="eastAsia" w:ascii="宋体" w:hAnsi="宋体"/>
          <w:sz w:val="24"/>
          <w:szCs w:val="24"/>
          <w:highlight w:val="none"/>
        </w:rPr>
        <w:t xml:space="preserve">的招标文件，我方在参加本项目招投标活动中，特作出如下承诺：</w:t>
      </w:r>
      <w:r>
        <w:rPr>
          <w:rFonts w:ascii="宋体" w:hAnsi="宋体"/>
          <w:sz w:val="24"/>
          <w:szCs w:val="24"/>
          <w:highlight w:val="none"/>
        </w:rPr>
      </w:r>
      <w:r/>
    </w:p>
    <w:p>
      <w:pPr>
        <w:pStyle w:val="1079"/>
        <w:ind w:firstLine="480"/>
        <w:jc w:val="left"/>
        <w:spacing w:line="500" w:lineRule="exact"/>
        <w:rPr>
          <w:rFonts w:ascii="宋体" w:hAnsi="宋体"/>
          <w:sz w:val="24"/>
          <w:highlight w:val="none"/>
        </w:rPr>
      </w:pPr>
      <w:r>
        <w:rPr>
          <w:rFonts w:hint="eastAsia" w:ascii="宋体" w:hAnsi="宋体"/>
          <w:sz w:val="24"/>
          <w:szCs w:val="24"/>
          <w:highlight w:val="none"/>
        </w:rPr>
        <w:t xml:space="preserve">一、我方</w:t>
      </w:r>
      <w:r>
        <w:rPr>
          <w:rFonts w:ascii="宋体" w:hAnsi="宋体"/>
          <w:sz w:val="24"/>
          <w:highlight w:val="none"/>
        </w:rPr>
        <w:t xml:space="preserve">具备《中华人民共和国政府采购法》第二十二条第一款规定的6项条件；</w:t>
      </w:r>
      <w:r>
        <w:rPr>
          <w:rFonts w:ascii="宋体" w:hAnsi="宋体"/>
          <w:sz w:val="24"/>
          <w:highlight w:val="none"/>
        </w:rPr>
      </w:r>
      <w:r/>
    </w:p>
    <w:p>
      <w:pPr>
        <w:pStyle w:val="1079"/>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sz w:val="24"/>
          <w:szCs w:val="24"/>
          <w:highlight w:val="none"/>
        </w:rPr>
      </w:r>
      <w:r/>
    </w:p>
    <w:p>
      <w:pPr>
        <w:pStyle w:val="1079"/>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三、我方按招标文件要求提交投标文件，响应招标文件规定的投标有效期；</w:t>
      </w:r>
      <w:r>
        <w:rPr>
          <w:rFonts w:ascii="宋体" w:hAnsi="宋体"/>
          <w:sz w:val="24"/>
          <w:szCs w:val="24"/>
          <w:highlight w:val="none"/>
        </w:rPr>
      </w:r>
      <w:r/>
    </w:p>
    <w:p>
      <w:pPr>
        <w:pStyle w:val="1079"/>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宋体" w:hAnsi="宋体"/>
          <w:sz w:val="24"/>
          <w:szCs w:val="24"/>
          <w:highlight w:val="none"/>
        </w:rPr>
      </w:r>
      <w:r/>
    </w:p>
    <w:p>
      <w:pPr>
        <w:pStyle w:val="1079"/>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五、我方若违背本声明及承诺约定，经查实，自愿接受采购人及相关主管部门相应的规定处理，并依法承担相应的法律责任。</w:t>
      </w:r>
      <w:r>
        <w:rPr>
          <w:rFonts w:ascii="宋体" w:hAnsi="宋体"/>
          <w:sz w:val="24"/>
          <w:szCs w:val="24"/>
          <w:highlight w:val="none"/>
        </w:rPr>
      </w:r>
      <w:r/>
    </w:p>
    <w:p>
      <w:pPr>
        <w:pStyle w:val="1079"/>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六、我方同意采购人、采购代理机构将本函上网公开。</w:t>
      </w:r>
      <w:r>
        <w:rPr>
          <w:rFonts w:ascii="宋体" w:hAnsi="宋体"/>
          <w:sz w:val="24"/>
          <w:szCs w:val="24"/>
          <w:highlight w:val="none"/>
        </w:rPr>
      </w:r>
      <w:r/>
    </w:p>
    <w:p>
      <w:pPr>
        <w:pStyle w:val="1079"/>
        <w:ind w:firstLine="480"/>
        <w:jc w:val="left"/>
        <w:spacing w:line="500" w:lineRule="exact"/>
        <w:rPr>
          <w:rFonts w:ascii="方正仿宋_GBK" w:eastAsia="方正仿宋_GBK"/>
          <w:sz w:val="24"/>
          <w:szCs w:val="24"/>
          <w:highlight w:val="none"/>
        </w:rPr>
      </w:pPr>
      <w:r>
        <w:rPr>
          <w:rFonts w:ascii="方正仿宋_GBK" w:eastAsia="方正仿宋_GBK"/>
          <w:sz w:val="24"/>
          <w:szCs w:val="24"/>
          <w:highlight w:val="none"/>
        </w:rPr>
      </w:r>
      <w:r/>
    </w:p>
    <w:p>
      <w:pPr>
        <w:pStyle w:val="1079"/>
        <w:jc w:val="left"/>
        <w:spacing w:line="500" w:lineRule="exact"/>
        <w:rPr>
          <w:rFonts w:ascii="宋体" w:hAnsi="宋体"/>
          <w:sz w:val="24"/>
          <w:szCs w:val="24"/>
          <w:highlight w:val="none"/>
        </w:rPr>
      </w:pPr>
      <w:r>
        <w:rPr>
          <w:rFonts w:ascii="宋体" w:hAnsi="宋体"/>
          <w:sz w:val="24"/>
          <w:szCs w:val="24"/>
          <w:highlight w:val="none"/>
        </w:rPr>
      </w:r>
      <w:r/>
    </w:p>
    <w:p>
      <w:pPr>
        <w:pStyle w:val="1079"/>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投标人名称： </w:t>
      </w:r>
      <w:r>
        <w:rPr>
          <w:rFonts w:hint="eastAsia" w:ascii="宋体" w:hAnsi="宋体"/>
          <w:sz w:val="24"/>
          <w:szCs w:val="24"/>
          <w:highlight w:val="none"/>
          <w:u w:val="single"/>
        </w:rPr>
        <w:t xml:space="preserve">          </w:t>
      </w:r>
      <w:r>
        <w:rPr>
          <w:rFonts w:hint="eastAsia" w:ascii="宋体" w:hAnsi="宋体"/>
          <w:sz w:val="24"/>
          <w:szCs w:val="24"/>
          <w:highlight w:val="none"/>
        </w:rPr>
        <w:t xml:space="preserve">（盖公章）</w:t>
      </w:r>
      <w:r>
        <w:rPr>
          <w:rFonts w:ascii="宋体" w:hAnsi="宋体"/>
          <w:sz w:val="24"/>
          <w:szCs w:val="24"/>
          <w:highlight w:val="none"/>
        </w:rPr>
      </w:r>
      <w:r/>
    </w:p>
    <w:p>
      <w:pPr>
        <w:pStyle w:val="1079"/>
        <w:ind w:firstLine="480"/>
        <w:rPr>
          <w:rFonts w:ascii="宋体" w:hAnsi="宋体"/>
          <w:sz w:val="24"/>
          <w:szCs w:val="24"/>
          <w:highlight w:val="none"/>
        </w:rPr>
      </w:pPr>
      <w:r>
        <w:rPr>
          <w:rFonts w:ascii="宋体" w:hAnsi="宋体"/>
          <w:sz w:val="24"/>
          <w:szCs w:val="24"/>
          <w:highlight w:val="none"/>
        </w:rPr>
      </w:r>
      <w:r/>
    </w:p>
    <w:p>
      <w:pPr>
        <w:pStyle w:val="1079"/>
        <w:ind w:firstLine="480"/>
        <w:rPr>
          <w:rFonts w:ascii="宋体" w:hAnsi="宋体"/>
          <w:highlight w:val="none"/>
        </w:rPr>
      </w:pPr>
      <w:r>
        <w:rPr>
          <w:rFonts w:hint="eastAsia" w:ascii="宋体" w:hAnsi="宋体"/>
          <w:sz w:val="24"/>
          <w:szCs w:val="24"/>
          <w:highlight w:val="none"/>
        </w:rPr>
        <w:t xml:space="preserve">日期：    年    月   日</w:t>
      </w:r>
      <w:r>
        <w:rPr>
          <w:rFonts w:ascii="宋体" w:hAnsi="宋体"/>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highlight w:val="none"/>
        </w:rPr>
      </w:pPr>
      <w:r>
        <w:rPr>
          <w:highlight w:val="none"/>
        </w:rPr>
      </w:r>
      <w:r/>
    </w:p>
    <w:p>
      <w:pPr>
        <w:pStyle w:val="783"/>
        <w:rPr>
          <w:rFonts w:hint="eastAsia"/>
          <w:highlight w:val="none"/>
        </w:rPr>
      </w:pPr>
      <w:r>
        <w:rPr>
          <w:rFonts w:hint="eastAsia"/>
          <w:highlight w:val="none"/>
        </w:rPr>
      </w:r>
      <w:r/>
    </w:p>
    <w:p>
      <w:pPr>
        <w:pStyle w:val="783"/>
        <w:rPr>
          <w:rFonts w:hint="eastAsia"/>
          <w:highlight w:val="none"/>
        </w:rPr>
      </w:pPr>
      <w:r>
        <w:rPr>
          <w:rFonts w:hint="eastAsia"/>
          <w:highlight w:val="none"/>
        </w:rPr>
      </w:r>
      <w:r/>
    </w:p>
    <w:p>
      <w:pPr>
        <w:pStyle w:val="1078"/>
        <w:rPr>
          <w:rFonts w:hint="eastAsia"/>
          <w:b w:val="0"/>
          <w:bCs/>
          <w:highlight w:val="none"/>
        </w:rPr>
        <w:outlineLvl w:val="1"/>
      </w:pPr>
      <w:r/>
      <w:bookmarkStart w:id="139" w:name="_Toc15099"/>
      <w:r>
        <w:rPr>
          <w:rFonts w:hint="eastAsia"/>
          <w:b w:val="0"/>
          <w:bCs/>
          <w:highlight w:val="none"/>
        </w:rPr>
        <w:t xml:space="preserve">二、投标人资质</w:t>
      </w:r>
      <w:bookmarkEnd w:id="139"/>
      <w:r>
        <w:rPr>
          <w:rFonts w:hint="eastAsia"/>
          <w:b w:val="0"/>
          <w:bCs/>
          <w:highlight w:val="none"/>
        </w:rPr>
      </w:r>
      <w:r/>
    </w:p>
    <w:p>
      <w:pPr>
        <w:pStyle w:val="783"/>
        <w:rPr>
          <w:rFonts w:hint="eastAsia"/>
          <w:highlight w:val="none"/>
        </w:rPr>
      </w:pPr>
      <w:r>
        <w:rPr>
          <w:rFonts w:hint="eastAsia"/>
          <w:highlight w:val="none"/>
        </w:rPr>
        <w:t xml:space="preserve">按招标文件要求提供相应资质证书（如有）</w:t>
      </w:r>
      <w:r>
        <w:rPr>
          <w:rFonts w:hint="eastAsia"/>
          <w:highlight w:val="none"/>
        </w:rPr>
      </w:r>
      <w:r/>
    </w:p>
    <w:p>
      <w:pPr>
        <w:pStyle w:val="783"/>
        <w:rPr>
          <w:highlight w:val="none"/>
        </w:rPr>
        <w:outlineLvl w:val="1"/>
      </w:pPr>
      <w:r>
        <w:rPr>
          <w:rFonts w:hint="eastAsia"/>
          <w:highlight w:val="none"/>
        </w:rPr>
        <w:br w:type="page" w:clear="all"/>
      </w:r>
      <w:bookmarkStart w:id="140" w:name="_Toc29506"/>
      <w:r/>
      <w:bookmarkStart w:id="141" w:name="_Toc3680"/>
      <w:r/>
      <w:bookmarkStart w:id="142" w:name="_Toc27409"/>
      <w:r>
        <w:rPr>
          <w:rFonts w:hint="eastAsia" w:ascii="黑体" w:hAnsi="黑体" w:eastAsia="黑体" w:cs="黑体"/>
          <w:bCs/>
          <w:sz w:val="32"/>
          <w:szCs w:val="24"/>
          <w:highlight w:val="none"/>
        </w:rPr>
        <w:t xml:space="preserve">三、</w:t>
      </w:r>
      <w:bookmarkEnd w:id="140"/>
      <w:r/>
      <w:bookmarkEnd w:id="141"/>
      <w:r>
        <w:rPr>
          <w:rFonts w:hint="eastAsia" w:ascii="黑体" w:hAnsi="黑体" w:eastAsia="黑体" w:cs="黑体"/>
          <w:bCs/>
          <w:sz w:val="32"/>
          <w:szCs w:val="24"/>
          <w:highlight w:val="none"/>
        </w:rPr>
        <w:t xml:space="preserve">法人授权书</w:t>
      </w:r>
      <w:bookmarkEnd w:id="142"/>
      <w:r>
        <w:rPr>
          <w:highlight w:val="none"/>
        </w:rPr>
      </w:r>
      <w:r/>
    </w:p>
    <w:p>
      <w:pPr>
        <w:pStyle w:val="1079"/>
        <w:jc w:val="center"/>
        <w:rPr>
          <w:rFonts w:ascii="方正小标宋_GBK" w:eastAsia="方正小标宋_GBK"/>
          <w:bCs/>
          <w:sz w:val="32"/>
          <w:szCs w:val="32"/>
          <w:highlight w:val="none"/>
        </w:rPr>
      </w:pPr>
      <w:r/>
      <w:bookmarkStart w:id="143" w:name="OLE_LINK6"/>
      <w:r>
        <w:rPr>
          <w:rFonts w:hint="eastAsia" w:ascii="方正小标宋_GBK" w:eastAsia="方正小标宋_GBK"/>
          <w:bCs/>
          <w:sz w:val="32"/>
          <w:szCs w:val="32"/>
          <w:highlight w:val="none"/>
        </w:rPr>
        <w:t xml:space="preserve">法人授权书</w:t>
      </w:r>
      <w:r>
        <w:rPr>
          <w:rFonts w:ascii="方正小标宋_GBK" w:eastAsia="方正小标宋_GBK"/>
          <w:bCs/>
          <w:sz w:val="32"/>
          <w:szCs w:val="32"/>
          <w:highlight w:val="none"/>
        </w:rPr>
      </w:r>
      <w:r/>
    </w:p>
    <w:p>
      <w:pPr>
        <w:pStyle w:val="1199"/>
        <w:ind w:firstLine="482"/>
        <w:spacing w:line="480" w:lineRule="exact"/>
        <w:tabs>
          <w:tab w:val="left" w:pos="360" w:leader="none"/>
        </w:tabs>
        <w:rPr>
          <w:rFonts w:hint="eastAsia" w:ascii="宋体" w:hAnsi="宋体"/>
          <w:sz w:val="24"/>
          <w:szCs w:val="24"/>
          <w:highlight w:val="none"/>
        </w:rPr>
      </w:pPr>
      <w:r/>
      <w:bookmarkEnd w:id="143"/>
      <w:r>
        <w:rPr>
          <w:rFonts w:hint="eastAsia" w:ascii="宋体" w:hAnsi="宋体"/>
          <w:sz w:val="24"/>
          <w:szCs w:val="24"/>
          <w:highlight w:val="none"/>
        </w:rPr>
        <w:t xml:space="preserve">本授权书声明：____________（投标人名称）授权________________（被授权人的姓名）为我方就</w:t>
      </w:r>
      <w:r>
        <w:rPr>
          <w:rFonts w:hint="eastAsia" w:ascii="宋体" w:hAnsi="宋体"/>
          <w:sz w:val="24"/>
          <w:szCs w:val="24"/>
          <w:highlight w:val="none"/>
          <w:u w:val="single"/>
        </w:rPr>
        <w:t xml:space="preserve">（项目编号）</w:t>
      </w:r>
      <w:r>
        <w:rPr>
          <w:rFonts w:hint="eastAsia" w:ascii="宋体" w:hAnsi="宋体"/>
          <w:sz w:val="24"/>
          <w:szCs w:val="24"/>
          <w:highlight w:val="none"/>
        </w:rPr>
        <w:t xml:space="preserve">号</w:t>
      </w:r>
      <w:r>
        <w:rPr>
          <w:rFonts w:hint="eastAsia" w:ascii="宋体" w:hAnsi="宋体"/>
          <w:sz w:val="24"/>
          <w:szCs w:val="24"/>
          <w:highlight w:val="none"/>
          <w:u w:val="single"/>
        </w:rPr>
        <w:t xml:space="preserve">          （项目名称）           项目</w:t>
      </w:r>
      <w:r>
        <w:rPr>
          <w:rFonts w:hint="eastAsia" w:ascii="宋体" w:hAnsi="宋体"/>
          <w:sz w:val="24"/>
          <w:szCs w:val="24"/>
          <w:highlight w:val="none"/>
        </w:rPr>
        <w:t xml:space="preserve">采购活动的合法代理人，以本单位名义全权处理一切与该项目采购有关的事务。</w:t>
      </w:r>
      <w:r>
        <w:rPr>
          <w:rFonts w:hint="eastAsia" w:ascii="宋体" w:hAnsi="宋体"/>
          <w:sz w:val="24"/>
          <w:szCs w:val="24"/>
          <w:highlight w:val="none"/>
        </w:rPr>
      </w:r>
      <w:r/>
    </w:p>
    <w:p>
      <w:pPr>
        <w:pStyle w:val="1199"/>
        <w:ind w:firstLine="482"/>
        <w:spacing w:line="480" w:lineRule="exact"/>
        <w:tabs>
          <w:tab w:val="left" w:pos="360" w:leader="none"/>
        </w:tabs>
        <w:rPr>
          <w:rFonts w:ascii="宋体" w:hAnsi="宋体"/>
          <w:sz w:val="24"/>
          <w:szCs w:val="24"/>
          <w:highlight w:val="none"/>
        </w:rPr>
      </w:pPr>
      <w:r>
        <w:rPr>
          <w:rFonts w:hint="eastAsia" w:ascii="宋体" w:hAnsi="宋体"/>
          <w:sz w:val="24"/>
          <w:szCs w:val="24"/>
          <w:highlight w:val="none"/>
        </w:rPr>
        <w:t xml:space="preserve">本授权书于______年____月____日起生效，特此声明。</w:t>
      </w:r>
      <w:r>
        <w:rPr>
          <w:rFonts w:ascii="宋体" w:hAnsi="宋体"/>
          <w:sz w:val="24"/>
          <w:szCs w:val="24"/>
          <w:highlight w:val="none"/>
        </w:rPr>
      </w:r>
      <w:r/>
    </w:p>
    <w:p>
      <w:pPr>
        <w:pStyle w:val="1199"/>
        <w:ind w:firstLine="482"/>
        <w:spacing w:line="480" w:lineRule="exact"/>
        <w:tabs>
          <w:tab w:val="left" w:pos="360" w:leader="none"/>
        </w:tabs>
        <w:rPr>
          <w:sz w:val="24"/>
          <w:szCs w:val="24"/>
          <w:highlight w:val="none"/>
          <w:u w:val="single"/>
        </w:rPr>
      </w:pPr>
      <w:r>
        <w:rPr>
          <w:rFonts w:hint="eastAsia"/>
          <w:sz w:val="24"/>
          <w:szCs w:val="24"/>
          <w:highlight w:val="none"/>
        </w:rPr>
        <w:t xml:space="preserve">被授权人身份证号码：</w:t>
      </w:r>
      <w:r>
        <w:rPr>
          <w:rFonts w:hint="eastAsia"/>
          <w:sz w:val="24"/>
          <w:szCs w:val="24"/>
          <w:highlight w:val="none"/>
          <w:u w:val="single"/>
        </w:rPr>
        <w:t xml:space="preserve">                             </w:t>
      </w:r>
      <w:r>
        <w:rPr>
          <w:sz w:val="24"/>
          <w:szCs w:val="24"/>
          <w:highlight w:val="none"/>
          <w:u w:val="single"/>
        </w:rPr>
      </w:r>
      <w:r/>
    </w:p>
    <w:p>
      <w:pPr>
        <w:pStyle w:val="1199"/>
        <w:ind w:firstLine="482"/>
        <w:spacing w:line="480" w:lineRule="exact"/>
        <w:tabs>
          <w:tab w:val="left" w:pos="360" w:leader="none"/>
        </w:tabs>
        <w:rPr>
          <w:rFonts w:ascii="宋体" w:hAnsi="宋体"/>
          <w:sz w:val="24"/>
          <w:szCs w:val="24"/>
          <w:highlight w:val="none"/>
        </w:rPr>
      </w:pPr>
      <w:r>
        <w:rPr>
          <w:rFonts w:hint="eastAsia"/>
          <w:sz w:val="24"/>
          <w:szCs w:val="24"/>
          <w:highlight w:val="none"/>
        </w:rPr>
        <w:t xml:space="preserve">被授权人联系电话：（手机）</w:t>
      </w:r>
      <w:r>
        <w:rPr>
          <w:rFonts w:hint="eastAsia"/>
          <w:sz w:val="24"/>
          <w:szCs w:val="24"/>
          <w:highlight w:val="none"/>
          <w:u w:val="single"/>
        </w:rPr>
        <w:t xml:space="preserve">                          </w:t>
      </w:r>
      <w:r>
        <w:rPr>
          <w:rFonts w:ascii="宋体" w:hAnsi="宋体"/>
          <w:sz w:val="24"/>
          <w:szCs w:val="24"/>
          <w:highlight w:val="none"/>
        </w:rPr>
      </w:r>
      <w:r/>
    </w:p>
    <w:p>
      <w:pPr>
        <w:pStyle w:val="1199"/>
        <w:ind w:firstLine="482"/>
        <w:spacing w:line="480" w:lineRule="exact"/>
        <w:tabs>
          <w:tab w:val="left" w:pos="360" w:leader="none"/>
        </w:tabs>
        <w:rPr>
          <w:rFonts w:ascii="宋体" w:hAnsi="宋体"/>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（盖公章）</w:t>
      </w:r>
      <w:r>
        <w:rPr>
          <w:rFonts w:ascii="宋体" w:hAnsi="宋体"/>
          <w:sz w:val="24"/>
          <w:szCs w:val="24"/>
          <w:highlight w:val="none"/>
        </w:rPr>
      </w:r>
      <w:r/>
    </w:p>
    <w:p>
      <w:pPr>
        <w:pStyle w:val="1199"/>
        <w:ind w:firstLine="482"/>
        <w:spacing w:line="480" w:lineRule="exact"/>
        <w:tabs>
          <w:tab w:val="left" w:pos="360" w:leader="none"/>
        </w:tabs>
        <w:rPr>
          <w:rFonts w:ascii="宋体" w:hAnsi="宋体"/>
          <w:sz w:val="24"/>
          <w:szCs w:val="24"/>
          <w:highlight w:val="none"/>
        </w:rPr>
      </w:pPr>
      <w:r>
        <w:rPr>
          <w:rFonts w:hint="eastAsia"/>
          <w:sz w:val="24"/>
          <w:szCs w:val="24"/>
          <w:highlight w:val="none"/>
        </w:rPr>
        <w:t xml:space="preserve">单位地址：</w:t>
      </w:r>
      <w:r>
        <w:rPr>
          <w:rFonts w:hint="eastAsia"/>
          <w:sz w:val="24"/>
          <w:szCs w:val="24"/>
          <w:highlight w:val="none"/>
          <w:u w:val="single"/>
        </w:rPr>
        <w:t xml:space="preserve">                                         </w:t>
      </w:r>
      <w:r>
        <w:rPr>
          <w:rFonts w:ascii="宋体" w:hAnsi="宋体"/>
          <w:sz w:val="24"/>
          <w:szCs w:val="24"/>
          <w:highlight w:val="none"/>
        </w:rPr>
      </w:r>
      <w:r/>
    </w:p>
    <w:p>
      <w:pPr>
        <w:pStyle w:val="1199"/>
        <w:ind w:firstLine="482"/>
        <w:spacing w:line="480" w:lineRule="exact"/>
        <w:tabs>
          <w:tab w:val="left" w:pos="360" w:leader="none"/>
        </w:tabs>
        <w:rPr>
          <w:rFonts w:hint="eastAsia" w:ascii="宋体" w:hAnsi="宋体"/>
          <w:sz w:val="24"/>
          <w:szCs w:val="24"/>
          <w:highlight w:val="none"/>
        </w:rPr>
      </w:pPr>
      <w:r>
        <w:rPr>
          <w:rFonts w:hint="eastAsia"/>
          <w:sz w:val="24"/>
          <w:szCs w:val="24"/>
          <w:highlight w:val="none"/>
        </w:rPr>
        <w:t xml:space="preserve">日期：</w:t>
      </w:r>
      <w:bookmarkStart w:id="144" w:name="_Hlt26955070"/>
      <w:r/>
      <w:bookmarkEnd w:id="144"/>
      <w:r/>
      <w:bookmarkStart w:id="145" w:name="_格式3__银行出具的资信证明"/>
      <w:r/>
      <w:bookmarkEnd w:id="145"/>
      <w:r/>
      <w:bookmarkStart w:id="146" w:name="_Hlt26671380"/>
      <w:r/>
      <w:bookmarkEnd w:id="146"/>
      <w:r>
        <w:rPr>
          <w:rFonts w:hint="eastAsia"/>
          <w:sz w:val="24"/>
          <w:szCs w:val="24"/>
          <w:highlight w:val="none"/>
          <w:u w:val="single"/>
        </w:rPr>
        <w:t xml:space="preserve">                                         </w:t>
      </w:r>
      <w:r>
        <w:rPr>
          <w:rFonts w:hint="eastAsia" w:ascii="宋体" w:hAnsi="宋体"/>
          <w:sz w:val="24"/>
          <w:szCs w:val="24"/>
          <w:highlight w:val="none"/>
        </w:rPr>
      </w:r>
      <w:r/>
    </w:p>
    <w:p>
      <w:pPr>
        <w:pStyle w:val="1081"/>
        <w:ind w:firstLine="629"/>
        <w:spacing w:line="700" w:lineRule="exact"/>
        <w:rPr>
          <w:rFonts w:ascii="方正仿宋_GBK" w:eastAsia="方正仿宋_GBK"/>
          <w:sz w:val="24"/>
          <w:highlight w:val="none"/>
        </w:rPr>
      </w:pPr>
      <w:r>
        <w:rPr>
          <w:rFonts w:ascii="方正仿宋_GBK" w:eastAsia="方正仿宋_GBK"/>
          <w:sz w:val="24"/>
          <w:highlight w:val="none"/>
        </w:rPr>
      </w:r>
      <w:r/>
    </w:p>
    <w:p>
      <w:pPr>
        <w:pStyle w:val="1084"/>
        <w:rPr>
          <w:highlight w:val="none"/>
        </w:rPr>
        <w:outlineLvl w:val="1"/>
      </w:pPr>
      <w:r>
        <w:rPr>
          <w:highlight w:val="none"/>
        </w:rPr>
        <w:br w:type="page" w:clear="all"/>
      </w:r>
      <w:bookmarkStart w:id="147" w:name="_Toc27199"/>
      <w:r/>
      <w:bookmarkStart w:id="148" w:name="_Toc30543"/>
      <w:r/>
      <w:bookmarkStart w:id="149" w:name="_Toc13550"/>
      <w:r>
        <w:rPr>
          <w:rFonts w:hint="eastAsia"/>
          <w:b w:val="0"/>
          <w:bCs/>
          <w:highlight w:val="none"/>
        </w:rPr>
        <w:t xml:space="preserve">四</w:t>
      </w:r>
      <w:r>
        <w:rPr>
          <w:b w:val="0"/>
          <w:bCs/>
          <w:highlight w:val="none"/>
        </w:rPr>
        <w:t xml:space="preserve">、开标一览表</w:t>
      </w:r>
      <w:bookmarkEnd w:id="147"/>
      <w:r/>
      <w:bookmarkEnd w:id="148"/>
      <w:r/>
      <w:bookmarkEnd w:id="149"/>
      <w:r>
        <w:rPr>
          <w:highlight w:val="none"/>
        </w:rPr>
      </w:r>
      <w:r/>
    </w:p>
    <w:p>
      <w:pPr>
        <w:pStyle w:val="1085"/>
        <w:rPr>
          <w:rFonts w:hint="eastAsia" w:ascii="宋体" w:hAnsi="宋体" w:eastAsia="宋体" w:cs="宋体"/>
          <w:highlight w:val="none"/>
        </w:rPr>
      </w:pPr>
      <w:r>
        <w:rPr>
          <w:rFonts w:hint="eastAsia" w:ascii="宋体" w:hAnsi="宋体" w:eastAsia="宋体" w:cs="宋体"/>
          <w:highlight w:val="none"/>
        </w:rPr>
      </w:r>
      <w:r/>
    </w:p>
    <w:p>
      <w:pPr>
        <w:pStyle w:val="1085"/>
        <w:rPr>
          <w:highlight w:val="none"/>
        </w:rPr>
      </w:pPr>
      <w:r>
        <w:rPr>
          <w:rFonts w:hint="eastAsia" w:ascii="宋体" w:hAnsi="宋体" w:eastAsia="宋体" w:cs="宋体"/>
          <w:highlight w:val="none"/>
        </w:rPr>
        <w:t xml:space="preserve">投标人全称</w:t>
      </w:r>
      <w:r>
        <w:rPr>
          <w:rFonts w:hint="eastAsia"/>
          <w:highlight w:val="none"/>
        </w:rPr>
        <w:t xml:space="preserve">(</w:t>
      </w:r>
      <w:r>
        <w:rPr>
          <w:rFonts w:hint="eastAsia" w:ascii="宋体" w:hAnsi="宋体" w:eastAsia="宋体" w:cs="宋体"/>
          <w:highlight w:val="none"/>
        </w:rPr>
        <w:t xml:space="preserve">公章</w:t>
      </w:r>
      <w:r>
        <w:rPr>
          <w:rFonts w:hint="eastAsia"/>
          <w:highlight w:val="none"/>
        </w:rPr>
        <w:t xml:space="preserve">) </w:t>
      </w:r>
      <w:r>
        <w:rPr>
          <w:rFonts w:hint="eastAsia" w:eastAsia="宋体"/>
          <w:highlight w:val="none"/>
        </w:rPr>
        <w:t xml:space="preserve">：</w:t>
      </w:r>
      <w:r>
        <w:rPr>
          <w:rFonts w:hint="eastAsia" w:ascii="宋体" w:hAnsi="宋体" w:eastAsia="宋体" w:cs="宋体"/>
          <w:highlight w:val="none"/>
        </w:rPr>
        <w:t xml:space="preserve">投标人名称</w:t>
      </w:r>
      <w:r>
        <w:rPr>
          <w:highlight w:val="none"/>
        </w:rPr>
      </w:r>
      <w:r/>
    </w:p>
    <w:p>
      <w:pPr>
        <w:pStyle w:val="783"/>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采购项目名称：</w:t>
      </w:r>
      <w:r>
        <w:rPr>
          <w:rFonts w:hint="eastAsia" w:ascii="宋体" w:hAnsi="宋体" w:cs="宋体"/>
          <w:sz w:val="24"/>
          <w:szCs w:val="24"/>
          <w:highlight w:val="none"/>
        </w:rPr>
      </w:r>
      <w:r/>
    </w:p>
    <w:p>
      <w:pPr>
        <w:pStyle w:val="783"/>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采购项目编号： </w:t>
      </w:r>
      <w:r>
        <w:rPr>
          <w:rFonts w:hint="eastAsia" w:ascii="宋体" w:hAnsi="宋体" w:cs="宋体"/>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pStyle w:val="783"/>
              <w:jc w:val="center"/>
              <w:spacing w:line="500" w:lineRule="exact"/>
              <w:rPr>
                <w:rFonts w:ascii="宋体" w:hAnsi="宋体" w:cs="宋体"/>
                <w:sz w:val="24"/>
                <w:szCs w:val="24"/>
                <w:highlight w:val="none"/>
              </w:rPr>
            </w:pPr>
            <w:r>
              <w:rPr>
                <w:rFonts w:hint="eastAsia" w:ascii="宋体" w:hAnsi="宋体" w:cs="宋体"/>
                <w:sz w:val="24"/>
                <w:szCs w:val="24"/>
                <w:highlight w:val="none"/>
              </w:rPr>
              <w:t xml:space="preserve">投标总报价</w:t>
            </w:r>
            <w:r>
              <w:rPr>
                <w:rFonts w:ascii="宋体" w:hAnsi="宋体" w:cs="宋体"/>
                <w:sz w:val="24"/>
                <w:szCs w:val="24"/>
                <w:highlight w:val="none"/>
              </w:rPr>
            </w:r>
            <w:r/>
          </w:p>
        </w:tc>
      </w:tr>
      <w:tr>
        <w:trPr/>
        <w:tc>
          <w:tcPr>
            <w:tcW w:w="9400" w:type="dxa"/>
            <w:vAlign w:val="top"/>
            <w:textDirection w:val="lrTb"/>
            <w:noWrap w:val="false"/>
          </w:tcPr>
          <w:p>
            <w:pPr>
              <w:pStyle w:val="783"/>
              <w:spacing w:line="500" w:lineRule="exact"/>
              <w:rPr>
                <w:rFonts w:ascii="宋体" w:hAnsi="宋体" w:cs="宋体"/>
                <w:sz w:val="24"/>
                <w:szCs w:val="24"/>
                <w:highlight w:val="none"/>
              </w:rPr>
            </w:pPr>
            <w:r>
              <w:rPr>
                <w:rFonts w:hint="eastAsia" w:ascii="宋体" w:hAnsi="宋体" w:cs="宋体"/>
                <w:sz w:val="24"/>
                <w:szCs w:val="24"/>
                <w:highlight w:val="none"/>
              </w:rPr>
              <w:t xml:space="preserve">总价（小写）：          </w:t>
            </w:r>
            <w:r>
              <w:rPr>
                <w:rFonts w:ascii="宋体" w:hAnsi="宋体" w:cs="宋体"/>
                <w:sz w:val="24"/>
                <w:szCs w:val="24"/>
                <w:highlight w:val="none"/>
              </w:rPr>
              <w:t xml:space="preserve">（人民币：元）</w:t>
            </w:r>
            <w:r>
              <w:rPr>
                <w:rFonts w:ascii="宋体" w:hAnsi="宋体" w:cs="宋体"/>
                <w:sz w:val="24"/>
                <w:szCs w:val="24"/>
                <w:highlight w:val="none"/>
              </w:rPr>
            </w:r>
            <w:r/>
          </w:p>
        </w:tc>
      </w:tr>
      <w:tr>
        <w:trPr/>
        <w:tc>
          <w:tcPr>
            <w:tcW w:w="9400" w:type="dxa"/>
            <w:vAlign w:val="top"/>
            <w:textDirection w:val="lrTb"/>
            <w:noWrap w:val="false"/>
          </w:tcPr>
          <w:p>
            <w:pPr>
              <w:pStyle w:val="783"/>
              <w:spacing w:line="500" w:lineRule="exact"/>
              <w:rPr>
                <w:rFonts w:hint="eastAsia" w:ascii="宋体" w:hAnsi="宋体" w:cs="宋体"/>
                <w:sz w:val="24"/>
                <w:szCs w:val="24"/>
                <w:highlight w:val="none"/>
              </w:rPr>
            </w:pPr>
            <w:r>
              <w:rPr>
                <w:rFonts w:ascii="宋体" w:hAnsi="宋体" w:cs="宋体"/>
                <w:sz w:val="24"/>
                <w:szCs w:val="24"/>
                <w:highlight w:val="none"/>
              </w:rPr>
              <w:t xml:space="preserve">总价（大写）：</w:t>
            </w:r>
            <w:r>
              <w:rPr>
                <w:rStyle w:val="1149"/>
                <w:rFonts w:ascii="宋体" w:hAnsi="宋体" w:cs="宋体"/>
                <w:sz w:val="24"/>
                <w:szCs w:val="24"/>
                <w:highlight w:val="none"/>
              </w:rPr>
              <w:t xml:space="preserve">金额大写</w:t>
            </w:r>
            <w:r>
              <w:rPr>
                <w:rFonts w:ascii="宋体" w:hAnsi="宋体" w:cs="宋体"/>
                <w:sz w:val="24"/>
                <w:szCs w:val="24"/>
                <w:highlight w:val="none"/>
              </w:rPr>
              <w:t xml:space="preserve"> （人民币：元）</w:t>
            </w:r>
            <w:r>
              <w:rPr>
                <w:rFonts w:hint="eastAsia" w:ascii="宋体" w:hAnsi="宋体" w:cs="宋体"/>
                <w:sz w:val="24"/>
                <w:szCs w:val="24"/>
                <w:highlight w:val="none"/>
              </w:rPr>
            </w:r>
            <w:r/>
          </w:p>
        </w:tc>
      </w:tr>
    </w:tbl>
    <w:p>
      <w:pPr>
        <w:pStyle w:val="783"/>
        <w:spacing w:line="500" w:lineRule="exact"/>
        <w:rPr>
          <w:rFonts w:hint="eastAsia" w:ascii="宋体" w:hAnsi="宋体" w:cs="宋体"/>
          <w:sz w:val="24"/>
          <w:szCs w:val="24"/>
          <w:highlight w:val="none"/>
        </w:rPr>
      </w:pPr>
      <w:r>
        <w:rPr>
          <w:rFonts w:hint="eastAsia" w:ascii="宋体" w:hAnsi="宋体" w:cs="宋体"/>
          <w:sz w:val="24"/>
          <w:szCs w:val="24"/>
          <w:highlight w:val="none"/>
        </w:rPr>
      </w:r>
      <w:r/>
    </w:p>
    <w:p>
      <w:pPr>
        <w:pStyle w:val="783"/>
        <w:rPr>
          <w:rFonts w:hint="eastAsia"/>
          <w:highlight w:val="none"/>
        </w:rPr>
      </w:pPr>
      <w:r>
        <w:rPr>
          <w:rFonts w:hint="eastAsia"/>
          <w:highlight w:val="none"/>
        </w:rPr>
      </w:r>
      <w:r/>
    </w:p>
    <w:p>
      <w:pPr>
        <w:pStyle w:val="783"/>
        <w:rPr>
          <w:rFonts w:hint="eastAsia"/>
          <w:highlight w:val="none"/>
        </w:rPr>
      </w:pPr>
      <w:r>
        <w:rPr>
          <w:rFonts w:hint="eastAsia"/>
          <w:highlight w:val="none"/>
        </w:rPr>
      </w:r>
      <w:r/>
    </w:p>
    <w:p>
      <w:pPr>
        <w:pStyle w:val="783"/>
        <w:rPr>
          <w:rFonts w:hint="eastAsia"/>
          <w:highlight w:val="none"/>
        </w:rPr>
      </w:pPr>
      <w:r>
        <w:rPr>
          <w:rFonts w:hint="eastAsia"/>
          <w:highlight w:val="none"/>
        </w:rPr>
      </w:r>
      <w:r/>
    </w:p>
    <w:p>
      <w:pPr>
        <w:pStyle w:val="783"/>
        <w:rPr>
          <w:rFonts w:ascii="宋体" w:hAnsi="宋体" w:cs="宋体"/>
          <w:sz w:val="24"/>
          <w:highlight w:val="none"/>
        </w:rPr>
      </w:pPr>
      <w:r>
        <w:rPr>
          <w:rFonts w:hint="eastAsia"/>
          <w:highlight w:val="none"/>
        </w:rPr>
        <w:t xml:space="preserve"> </w:t>
      </w:r>
      <w:r>
        <w:rPr>
          <w:highlight w:val="none"/>
        </w:rPr>
        <w:t xml:space="preserve">                   </w:t>
      </w:r>
      <w:r>
        <w:rPr>
          <w:rFonts w:hint="eastAsia"/>
          <w:highlight w:val="none"/>
        </w:rPr>
        <w:t xml:space="preserve">                   </w:t>
      </w:r>
      <w:r>
        <w:rPr>
          <w:highlight w:val="none"/>
        </w:rPr>
        <w:t xml:space="preserve">     </w:t>
      </w:r>
      <w:bookmarkStart w:id="150" w:name="_Toc12113"/>
      <w:r>
        <w:rPr>
          <w:rFonts w:hint="eastAsia" w:ascii="宋体" w:hAnsi="宋体" w:cs="宋体"/>
          <w:sz w:val="24"/>
          <w:highlight w:val="none"/>
        </w:rPr>
        <w:t xml:space="preserve">日期： </w:t>
      </w:r>
      <w:r>
        <w:rPr>
          <w:rFonts w:ascii="宋体" w:hAnsi="宋体" w:cs="宋体"/>
          <w:sz w:val="24"/>
          <w:highlight w:val="none"/>
        </w:rPr>
        <w:t xml:space="preserve">    </w:t>
      </w:r>
      <w:r>
        <w:rPr>
          <w:rFonts w:hint="eastAsia" w:ascii="宋体" w:hAnsi="宋体" w:cs="宋体"/>
          <w:sz w:val="24"/>
          <w:highlight w:val="none"/>
        </w:rPr>
        <w:t xml:space="preserve">年 </w:t>
      </w:r>
      <w:r>
        <w:rPr>
          <w:rFonts w:ascii="宋体" w:hAnsi="宋体" w:cs="宋体"/>
          <w:sz w:val="24"/>
          <w:highlight w:val="none"/>
        </w:rPr>
        <w:t xml:space="preserve">    </w:t>
      </w:r>
      <w:r>
        <w:rPr>
          <w:rFonts w:hint="eastAsia" w:ascii="宋体" w:hAnsi="宋体" w:cs="宋体"/>
          <w:sz w:val="24"/>
          <w:highlight w:val="none"/>
        </w:rPr>
        <w:t xml:space="preserve">月 </w:t>
      </w:r>
      <w:r>
        <w:rPr>
          <w:rFonts w:ascii="宋体" w:hAnsi="宋体" w:cs="宋体"/>
          <w:sz w:val="24"/>
          <w:highlight w:val="none"/>
        </w:rPr>
        <w:t xml:space="preserve">    </w:t>
      </w:r>
      <w:r>
        <w:rPr>
          <w:rFonts w:hint="eastAsia" w:ascii="宋体" w:hAnsi="宋体" w:cs="宋体"/>
          <w:sz w:val="24"/>
          <w:highlight w:val="none"/>
        </w:rPr>
        <w:t xml:space="preserve">日</w:t>
      </w:r>
      <w:bookmarkEnd w:id="150"/>
      <w:r>
        <w:rPr>
          <w:rFonts w:ascii="宋体" w:hAnsi="宋体" w:cs="宋体"/>
          <w:sz w:val="24"/>
          <w:highlight w:val="none"/>
        </w:rPr>
      </w:r>
      <w:r/>
    </w:p>
    <w:p>
      <w:pPr>
        <w:pStyle w:val="1087"/>
        <w:rPr>
          <w:rFonts w:hint="eastAsia"/>
          <w:highlight w:val="none"/>
        </w:rPr>
        <w:outlineLvl w:val="1"/>
      </w:pPr>
      <w:r>
        <w:rPr>
          <w:highlight w:val="none"/>
        </w:rPr>
        <w:br w:type="page" w:clear="all"/>
      </w:r>
      <w:bookmarkStart w:id="151" w:name="_Toc26543"/>
      <w:r/>
      <w:bookmarkStart w:id="152" w:name="_Toc956"/>
      <w:r/>
      <w:bookmarkStart w:id="153" w:name="_Toc12614"/>
      <w:r>
        <w:rPr>
          <w:rFonts w:hint="eastAsia"/>
          <w:b w:val="0"/>
          <w:bCs/>
          <w:highlight w:val="none"/>
        </w:rPr>
        <w:t xml:space="preserve">五</w:t>
      </w:r>
      <w:r>
        <w:rPr>
          <w:b w:val="0"/>
          <w:bCs/>
          <w:highlight w:val="none"/>
        </w:rPr>
        <w:t xml:space="preserve">、</w:t>
      </w:r>
      <w:bookmarkEnd w:id="151"/>
      <w:r/>
      <w:bookmarkEnd w:id="152"/>
      <w:r>
        <w:rPr>
          <w:rFonts w:hint="eastAsia"/>
          <w:b w:val="0"/>
          <w:bCs/>
          <w:highlight w:val="none"/>
        </w:rPr>
        <w:t xml:space="preserve">分项报价表</w:t>
      </w:r>
      <w:bookmarkEnd w:id="153"/>
      <w:r>
        <w:rPr>
          <w:rFonts w:hint="eastAsia"/>
          <w:highlight w:val="none"/>
        </w:rPr>
      </w:r>
      <w:r/>
    </w:p>
    <w:p>
      <w:pPr>
        <w:pStyle w:val="1079"/>
        <w:jc w:val="center"/>
        <w:rPr>
          <w:rFonts w:ascii="方正小标宋_GBK" w:eastAsia="方正小标宋_GBK"/>
          <w:bCs/>
          <w:sz w:val="32"/>
          <w:szCs w:val="32"/>
          <w:highlight w:val="none"/>
        </w:rPr>
      </w:pPr>
      <w:r>
        <w:rPr>
          <w:rFonts w:hint="eastAsia" w:ascii="方正小标宋_GBK" w:eastAsia="方正小标宋_GBK"/>
          <w:bCs/>
          <w:sz w:val="32"/>
          <w:szCs w:val="32"/>
          <w:highlight w:val="none"/>
        </w:rPr>
        <w:t xml:space="preserve">分项报价表</w:t>
      </w:r>
      <w:r>
        <w:rPr>
          <w:rFonts w:ascii="方正小标宋_GBK" w:eastAsia="方正小标宋_GBK"/>
          <w:bCs/>
          <w:sz w:val="32"/>
          <w:szCs w:val="32"/>
          <w:highlight w:val="none"/>
        </w:rPr>
      </w:r>
      <w:r/>
    </w:p>
    <w:tbl>
      <w:tblPr>
        <w:tblW w:w="9300" w:type="dxa"/>
        <w:tblInd w:w="-8" w:type="dxa"/>
        <w:tblLayout w:type="fixed"/>
        <w:tblCellMar>
          <w:left w:w="108" w:type="dxa"/>
          <w:top w:w="0" w:type="dxa"/>
          <w:right w:w="108" w:type="dxa"/>
          <w:bottom w:w="0" w:type="dxa"/>
        </w:tblCellMar>
        <w:tblLook w:val="04A0" w:firstRow="1" w:lastRow="0" w:firstColumn="1" w:lastColumn="0" w:noHBand="0" w:noVBand="1"/>
      </w:tblPr>
      <w:tblGrid>
        <w:gridCol w:w="912"/>
        <w:gridCol w:w="1188"/>
        <w:gridCol w:w="2537"/>
        <w:gridCol w:w="1013"/>
        <w:gridCol w:w="1025"/>
        <w:gridCol w:w="987"/>
        <w:gridCol w:w="951"/>
        <w:gridCol w:w="687"/>
      </w:tblGrid>
      <w:tr>
        <w:trPr>
          <w:trHeight w:val="992"/>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83"/>
              <w:jc w:val="center"/>
              <w:widowControl/>
              <w:rPr>
                <w:rFonts w:hint="eastAsia" w:ascii="宋体" w:hAnsi="宋体" w:cs="宋体"/>
                <w:b/>
                <w:bCs/>
                <w:color w:val="000000"/>
                <w:sz w:val="22"/>
                <w:highlight w:val="none"/>
              </w:rPr>
            </w:pPr>
            <w:r/>
            <w:bookmarkStart w:id="154" w:name="_Toc17418"/>
            <w:r>
              <w:rPr>
                <w:rFonts w:hint="eastAsia" w:ascii="宋体" w:hAnsi="宋体" w:cs="宋体"/>
                <w:b/>
                <w:bCs/>
                <w:color w:val="000000"/>
                <w:sz w:val="22"/>
                <w:highlight w:val="none"/>
                <w:lang w:bidi="ar"/>
              </w:rPr>
              <w:t xml:space="preserve">序号</w:t>
            </w:r>
            <w:r>
              <w:rPr>
                <w:rFonts w:hint="eastAsia" w:ascii="宋体" w:hAnsi="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83"/>
              <w:jc w:val="center"/>
              <w:widowControl/>
              <w:rPr>
                <w:rFonts w:ascii="宋体" w:hAnsi="宋体" w:cs="宋体"/>
                <w:b/>
                <w:bCs/>
                <w:color w:val="000000"/>
                <w:sz w:val="22"/>
                <w:highlight w:val="none"/>
              </w:rPr>
            </w:pPr>
            <w:r>
              <w:rPr>
                <w:rFonts w:hint="eastAsia" w:ascii="宋体" w:hAnsi="宋体" w:cs="宋体"/>
                <w:b/>
                <w:bCs/>
                <w:color w:val="000000"/>
                <w:sz w:val="22"/>
                <w:highlight w:val="none"/>
                <w:lang w:bidi="ar"/>
              </w:rPr>
              <w:t xml:space="preserve">设备名称</w:t>
            </w:r>
            <w:r>
              <w:rPr>
                <w:rFonts w:ascii="宋体" w:hAnsi="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pStyle w:val="783"/>
              <w:jc w:val="left"/>
              <w:widowControl/>
              <w:rPr>
                <w:rFonts w:ascii="宋体" w:hAnsi="宋体" w:cs="宋体"/>
                <w:b/>
                <w:bCs/>
                <w:color w:val="000000"/>
                <w:sz w:val="22"/>
                <w:highlight w:val="none"/>
              </w:rPr>
            </w:pPr>
            <w:r>
              <w:rPr>
                <w:rFonts w:hint="eastAsia" w:ascii="宋体" w:hAnsi="宋体" w:cs="宋体"/>
                <w:b/>
                <w:bCs/>
                <w:color w:val="000000"/>
                <w:sz w:val="22"/>
                <w:highlight w:val="none"/>
                <w:lang w:bidi="ar"/>
              </w:rPr>
              <w:t xml:space="preserve">品牌、型号、产地</w:t>
            </w:r>
            <w:r>
              <w:rPr>
                <w:rFonts w:ascii="宋体" w:hAnsi="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83"/>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lang w:bidi="ar"/>
              </w:rPr>
              <w:t xml:space="preserve">单位</w:t>
            </w:r>
            <w:r>
              <w:rPr>
                <w:rFonts w:hint="eastAsia" w:ascii="宋体" w:hAnsi="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783"/>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lang w:bidi="ar"/>
              </w:rPr>
              <w:t xml:space="preserve">数量</w:t>
            </w:r>
            <w:r>
              <w:rPr>
                <w:rFonts w:hint="eastAsia" w:ascii="宋体" w:hAnsi="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783"/>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lang w:bidi="ar"/>
              </w:rPr>
              <w:t xml:space="preserve">单价(元)</w:t>
            </w:r>
            <w:r>
              <w:rPr>
                <w:rFonts w:hint="eastAsia" w:ascii="宋体" w:hAnsi="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83"/>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lang w:bidi="ar"/>
              </w:rPr>
              <w:t xml:space="preserve">合价(元)</w:t>
            </w:r>
            <w:r>
              <w:rPr>
                <w:rFonts w:hint="eastAsia" w:ascii="宋体" w:hAnsi="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pStyle w:val="783"/>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lang w:bidi="ar"/>
              </w:rPr>
              <w:t xml:space="preserve">备注</w:t>
            </w:r>
            <w:r>
              <w:rPr>
                <w:rFonts w:hint="eastAsia" w:ascii="宋体" w:hAnsi="宋体" w:cs="宋体"/>
                <w:b/>
                <w:bCs/>
                <w:color w:val="000000"/>
                <w:sz w:val="22"/>
                <w:highlight w:val="none"/>
              </w:rPr>
            </w:r>
            <w:r/>
          </w:p>
        </w:tc>
      </w:tr>
      <w:tr>
        <w:trPr>
          <w:trHeight w:val="888"/>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pStyle w:val="783"/>
              <w:jc w:val="left"/>
              <w:widowControl/>
              <w:rPr>
                <w:rFonts w:ascii="Arial" w:hAnsi="Arial" w:cs="Arial"/>
                <w:color w:val="000000"/>
                <w:sz w:val="18"/>
                <w:szCs w:val="18"/>
                <w:highlight w:val="none"/>
              </w:rPr>
            </w:pPr>
            <w:r>
              <w:rPr>
                <w:rFonts w:ascii="Arial" w:hAnsi="Arial" w:cs="Arial"/>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875"/>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2</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pStyle w:val="783"/>
              <w:jc w:val="left"/>
              <w:widowControl/>
              <w:rPr>
                <w:rFonts w:ascii="Arial" w:hAnsi="Arial" w:cs="Arial"/>
                <w:color w:val="000000"/>
                <w:sz w:val="18"/>
                <w:szCs w:val="18"/>
                <w:highlight w:val="none"/>
              </w:rPr>
            </w:pPr>
            <w:r>
              <w:rPr>
                <w:rFonts w:ascii="Arial" w:hAnsi="Arial" w:cs="Arial"/>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926"/>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3</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pStyle w:val="78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754"/>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4</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pStyle w:val="78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754"/>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5</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pStyle w:val="78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833"/>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6</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pStyle w:val="78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870"/>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7</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pStyle w:val="78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815"/>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8</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pStyle w:val="78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826"/>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9</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pStyle w:val="78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826"/>
        </w:trPr>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10</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pStyle w:val="78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841"/>
        </w:trPr>
        <w:tc>
          <w:tcPr>
            <w:tcBorders>
              <w:top w:val="single" w:color="000000" w:sz="4" w:space="0"/>
              <w:left w:val="single" w:color="000000" w:sz="4" w:space="0"/>
              <w:bottom w:val="none" w:color="000000" w:sz="4" w:space="0"/>
              <w:right w:val="single" w:color="000000" w:sz="4" w:space="0"/>
            </w:tcBorders>
            <w:tcW w:w="912"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11</w:t>
            </w:r>
            <w:r>
              <w:rPr>
                <w:rFonts w:hint="eastAsia"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1188" w:type="dxa"/>
            <w:vAlign w:val="center"/>
            <w:textDirection w:val="lrTb"/>
            <w:noWrap w:val="false"/>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2537" w:type="dxa"/>
            <w:vAlign w:val="center"/>
            <w:textDirection w:val="lrTb"/>
            <w:noWrap/>
          </w:tcPr>
          <w:p>
            <w:pPr>
              <w:pStyle w:val="783"/>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1013"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1025"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9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687" w:type="dxa"/>
            <w:vAlign w:val="center"/>
            <w:textDirection w:val="lrTb"/>
            <w:noWrap/>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r>
      <w:tr>
        <w:trPr>
          <w:trHeight w:val="327"/>
        </w:trPr>
        <w:tc>
          <w:tcPr>
            <w:gridSpan w:val="6"/>
            <w:tcBorders>
              <w:top w:val="single" w:color="000000" w:sz="4" w:space="0"/>
              <w:left w:val="single" w:color="000000" w:sz="4" w:space="0"/>
              <w:bottom w:val="single" w:color="000000" w:sz="4" w:space="0"/>
              <w:right w:val="single" w:color="000000" w:sz="4" w:space="0"/>
            </w:tcBorders>
            <w:tcW w:w="7662" w:type="dxa"/>
            <w:vAlign w:val="center"/>
            <w:textDirection w:val="lrTb"/>
            <w:noWrap/>
          </w:tcPr>
          <w:p>
            <w:pPr>
              <w:pStyle w:val="783"/>
              <w:jc w:val="center"/>
              <w:widowControl/>
              <w:rPr>
                <w:rFonts w:hint="eastAsia" w:ascii="宋体" w:hAnsi="宋体" w:cs="宋体"/>
                <w:color w:val="000000"/>
                <w:sz w:val="22"/>
                <w:highlight w:val="none"/>
              </w:rPr>
            </w:pPr>
            <w:r>
              <w:rPr>
                <w:rFonts w:hint="eastAsia" w:ascii="宋体" w:hAnsi="宋体" w:cs="宋体"/>
                <w:color w:val="000000"/>
                <w:sz w:val="22"/>
                <w:highlight w:val="none"/>
                <w:lang w:bidi="ar"/>
              </w:rPr>
              <w:t xml:space="preserve">合计</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83"/>
              <w:jc w:val="center"/>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pStyle w:val="783"/>
              <w:rPr>
                <w:rFonts w:hint="eastAsia" w:ascii="宋体" w:hAnsi="宋体" w:cs="宋体"/>
                <w:color w:val="000000"/>
                <w:sz w:val="22"/>
                <w:highlight w:val="none"/>
              </w:rPr>
            </w:pPr>
            <w:r>
              <w:rPr>
                <w:rFonts w:hint="eastAsia" w:ascii="宋体" w:hAnsi="宋体" w:cs="宋体"/>
                <w:color w:val="000000"/>
                <w:sz w:val="22"/>
                <w:highlight w:val="none"/>
              </w:rPr>
            </w:r>
            <w:r/>
          </w:p>
        </w:tc>
      </w:tr>
    </w:tbl>
    <w:p>
      <w:pPr>
        <w:pStyle w:val="1088"/>
        <w:rPr>
          <w:rFonts w:ascii="宋体" w:hAnsi="宋体"/>
          <w:sz w:val="24"/>
          <w:highlight w:val="none"/>
        </w:rPr>
      </w:pPr>
      <w:r>
        <w:rPr>
          <w:rFonts w:ascii="宋体" w:hAnsi="宋体"/>
          <w:sz w:val="24"/>
          <w:highlight w:val="none"/>
        </w:rPr>
      </w:r>
      <w:r/>
    </w:p>
    <w:p>
      <w:pPr>
        <w:pStyle w:val="783"/>
        <w:spacing w:line="0" w:lineRule="atLeast"/>
        <w:rPr>
          <w:rFonts w:ascii="宋体" w:hAnsi="宋体"/>
          <w:sz w:val="24"/>
          <w:szCs w:val="24"/>
          <w:highlight w:val="none"/>
        </w:rPr>
      </w:pPr>
      <w:r>
        <w:rPr>
          <w:rFonts w:hint="eastAsia" w:ascii="宋体" w:hAnsi="宋体"/>
          <w:sz w:val="24"/>
          <w:szCs w:val="24"/>
          <w:highlight w:val="none"/>
        </w:rPr>
        <w:t xml:space="preserve">备注：“投标总报价”数额应当与“开标一览表”中“投标总报价”数额一致。</w:t>
      </w:r>
      <w:r>
        <w:rPr>
          <w:rFonts w:ascii="宋体" w:hAnsi="宋体"/>
          <w:sz w:val="24"/>
          <w:szCs w:val="24"/>
          <w:highlight w:val="none"/>
        </w:rPr>
      </w:r>
      <w:r/>
    </w:p>
    <w:p>
      <w:pPr>
        <w:pStyle w:val="1079"/>
        <w:jc w:val="center"/>
        <w:rPr>
          <w:rFonts w:hint="eastAsia"/>
          <w:highlight w:val="none"/>
        </w:rPr>
      </w:pPr>
      <w:r>
        <w:rPr>
          <w:rFonts w:hint="eastAsia"/>
          <w:b/>
          <w:bCs/>
          <w:highlight w:val="none"/>
        </w:rPr>
        <w:br w:type="page" w:clear="all"/>
      </w:r>
      <w:r>
        <w:rPr>
          <w:rFonts w:hint="eastAsia"/>
          <w:highlight w:val="none"/>
        </w:rPr>
      </w:r>
      <w:r/>
    </w:p>
    <w:p>
      <w:pPr>
        <w:pStyle w:val="1113"/>
        <w:rPr>
          <w:rFonts w:hint="eastAsia"/>
          <w:b w:val="0"/>
          <w:bCs/>
          <w:highlight w:val="none"/>
        </w:rPr>
        <w:outlineLvl w:val="1"/>
      </w:pPr>
      <w:r/>
      <w:bookmarkStart w:id="155" w:name="_Toc21129"/>
      <w:r/>
      <w:bookmarkStart w:id="156" w:name="_Toc2747"/>
      <w:r>
        <w:rPr>
          <w:rFonts w:hint="eastAsia"/>
          <w:b w:val="0"/>
          <w:bCs/>
          <w:highlight w:val="none"/>
        </w:rPr>
        <w:t xml:space="preserve">六、中小企业或残疾人福利性单位声明函</w:t>
      </w:r>
      <w:bookmarkEnd w:id="154"/>
      <w:r/>
      <w:bookmarkEnd w:id="155"/>
      <w:r/>
      <w:bookmarkEnd w:id="156"/>
      <w:r>
        <w:rPr>
          <w:rFonts w:hint="eastAsia"/>
          <w:b w:val="0"/>
          <w:bCs/>
          <w:highlight w:val="none"/>
        </w:rPr>
      </w:r>
      <w:r/>
    </w:p>
    <w:p>
      <w:pPr>
        <w:pStyle w:val="1079"/>
        <w:jc w:val="center"/>
        <w:rPr>
          <w:rFonts w:ascii="方正小标宋_GBK" w:eastAsia="方正小标宋_GBK"/>
          <w:bCs/>
          <w:sz w:val="32"/>
          <w:szCs w:val="32"/>
          <w:highlight w:val="none"/>
        </w:rPr>
      </w:pPr>
      <w:r>
        <w:rPr>
          <w:rFonts w:ascii="方正小标宋_GBK" w:eastAsia="方正小标宋_GBK"/>
          <w:bCs/>
          <w:sz w:val="32"/>
          <w:szCs w:val="32"/>
          <w:highlight w:val="none"/>
        </w:rPr>
      </w:r>
      <w:r/>
    </w:p>
    <w:p>
      <w:pPr>
        <w:pStyle w:val="1095"/>
        <w:jc w:val="center"/>
        <w:rPr>
          <w:rFonts w:hint="eastAsia" w:ascii="宋体" w:hAnsi="宋体" w:cs="宋体"/>
          <w:b/>
          <w:sz w:val="36"/>
          <w:szCs w:val="36"/>
          <w:highlight w:val="none"/>
        </w:rPr>
      </w:pPr>
      <w:r>
        <w:rPr>
          <w:rFonts w:hint="eastAsia" w:ascii="宋体" w:hAnsi="宋体" w:cs="宋体"/>
          <w:b/>
          <w:sz w:val="36"/>
          <w:szCs w:val="36"/>
          <w:highlight w:val="none"/>
        </w:rPr>
        <w:t xml:space="preserve">中小企业声明函（货物）</w:t>
      </w:r>
      <w:r>
        <w:rPr>
          <w:rFonts w:hint="eastAsia" w:ascii="宋体" w:hAnsi="宋体" w:cs="宋体"/>
          <w:b/>
          <w:sz w:val="36"/>
          <w:szCs w:val="36"/>
          <w:highlight w:val="none"/>
        </w:rPr>
      </w:r>
      <w:r/>
    </w:p>
    <w:p>
      <w:pPr>
        <w:pStyle w:val="1095"/>
        <w:jc w:val="left"/>
        <w:rPr>
          <w:rFonts w:hint="eastAsia" w:ascii="宋体" w:hAnsi="宋体" w:cs="宋体"/>
          <w:b/>
          <w:sz w:val="32"/>
          <w:szCs w:val="32"/>
          <w:highlight w:val="none"/>
        </w:rPr>
      </w:pPr>
      <w:r>
        <w:rPr>
          <w:rFonts w:hint="eastAsia" w:ascii="宋体" w:hAnsi="宋体" w:cs="宋体"/>
          <w:b/>
          <w:sz w:val="32"/>
          <w:szCs w:val="32"/>
          <w:highlight w:val="none"/>
        </w:rPr>
      </w:r>
      <w:r/>
    </w:p>
    <w:p>
      <w:pPr>
        <w:pStyle w:val="783"/>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本公司（联合体）郑重声明，根据《政府采购促进中小企业发展管理办法》（财库〔2020〕46号）的规定，本公司（联合体）参加</w:t>
      </w:r>
      <w:r>
        <w:rPr>
          <w:rFonts w:hint="eastAsia" w:ascii="宋体" w:hAnsi="宋体" w:cs="宋体"/>
          <w:sz w:val="24"/>
          <w:szCs w:val="24"/>
          <w:highlight w:val="none"/>
          <w:u w:val="single"/>
        </w:rPr>
        <w:t xml:space="preserve"> </w:t>
      </w:r>
      <w:r>
        <w:rPr>
          <w:rFonts w:hint="eastAsia" w:ascii="宋体" w:hAnsi="宋体" w:cs="宋体"/>
          <w:b/>
          <w:bCs/>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 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s="宋体"/>
          <w:sz w:val="24"/>
          <w:szCs w:val="24"/>
          <w:highlight w:val="none"/>
        </w:rPr>
      </w:r>
      <w:r/>
    </w:p>
    <w:p>
      <w:pPr>
        <w:pStyle w:val="783"/>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（标的名称）</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行业；制造商为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 □小型企业 □微型企业）</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83"/>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（标的名称）</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行业；制造商为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 □小型企业 □微型企业）</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83"/>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83"/>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sz w:val="24"/>
          <w:szCs w:val="24"/>
          <w:highlight w:val="none"/>
        </w:rPr>
      </w:r>
      <w:r/>
    </w:p>
    <w:p>
      <w:pPr>
        <w:pStyle w:val="783"/>
        <w:ind w:firstLine="480"/>
        <w:spacing w:line="500" w:lineRule="exact"/>
        <w:rPr>
          <w:rFonts w:hint="eastAsia" w:ascii="宋体" w:hAnsi="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rPr>
          <w:rFonts w:hint="eastAsia" w:ascii="宋体" w:hAnsi="宋体"/>
          <w:sz w:val="24"/>
          <w:szCs w:val="24"/>
          <w:highlight w:val="none"/>
        </w:rPr>
      </w:r>
      <w:r/>
    </w:p>
    <w:p>
      <w:pPr>
        <w:pStyle w:val="783"/>
        <w:ind w:firstLine="480"/>
        <w:spacing w:line="500" w:lineRule="exact"/>
        <w:rPr>
          <w:rFonts w:hint="eastAsia" w:ascii="宋体" w:hAnsi="宋体"/>
          <w:sz w:val="24"/>
          <w:szCs w:val="24"/>
          <w:highlight w:val="none"/>
        </w:rPr>
      </w:pPr>
      <w:r>
        <w:rPr>
          <w:rFonts w:hint="eastAsia" w:ascii="宋体" w:hAnsi="宋体"/>
          <w:sz w:val="24"/>
          <w:szCs w:val="24"/>
          <w:highlight w:val="none"/>
        </w:rPr>
      </w:r>
      <w:r/>
    </w:p>
    <w:p>
      <w:pPr>
        <w:pStyle w:val="783"/>
        <w:ind w:firstLine="480"/>
        <w:jc w:val="right"/>
        <w:spacing w:line="500" w:lineRule="exact"/>
        <w:rPr>
          <w:rFonts w:hint="eastAsia" w:ascii="宋体" w:hAnsi="宋体"/>
          <w:sz w:val="24"/>
          <w:szCs w:val="24"/>
          <w:highlight w:val="none"/>
        </w:rPr>
      </w:pPr>
      <w:r>
        <w:rPr>
          <w:rFonts w:hint="eastAsia" w:ascii="宋体" w:hAnsi="宋体"/>
          <w:sz w:val="24"/>
          <w:szCs w:val="24"/>
          <w:highlight w:val="none"/>
        </w:rPr>
        <w:t xml:space="preserve">企业名称（加盖公章）：</w:t>
      </w:r>
      <w:r>
        <w:rPr>
          <w:rFonts w:hint="eastAsia" w:ascii="宋体" w:hAnsi="宋体"/>
          <w:sz w:val="24"/>
          <w:szCs w:val="24"/>
          <w:highlight w:val="none"/>
        </w:rPr>
      </w:r>
      <w:r/>
    </w:p>
    <w:p>
      <w:pPr>
        <w:pStyle w:val="783"/>
        <w:ind w:firstLine="6960"/>
        <w:spacing w:line="500" w:lineRule="exact"/>
        <w:rPr>
          <w:rFonts w:hint="eastAsia"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4"/>
          <w:highlight w:val="none"/>
        </w:rPr>
      </w:r>
      <w:r/>
    </w:p>
    <w:p>
      <w:pPr>
        <w:pStyle w:val="783"/>
        <w:ind w:firstLine="240"/>
        <w:spacing w:line="400" w:lineRule="exact"/>
        <w:rPr>
          <w:rFonts w:hint="eastAsia" w:ascii="宋体" w:hAnsi="宋体"/>
          <w:sz w:val="24"/>
          <w:szCs w:val="24"/>
          <w:highlight w:val="none"/>
        </w:rPr>
      </w:pPr>
      <w:r>
        <w:rPr>
          <w:rFonts w:hint="eastAsia" w:ascii="宋体" w:hAnsi="宋体"/>
          <w:sz w:val="24"/>
          <w:szCs w:val="24"/>
          <w:highlight w:val="none"/>
        </w:rPr>
      </w:r>
      <w:r/>
    </w:p>
    <w:p>
      <w:pPr>
        <w:pStyle w:val="783"/>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备注：1.从业人员、营业收入、资产总额填报上一年度数据，无上一年度数据的新成立企业可不填报。</w:t>
      </w:r>
      <w:r>
        <w:rPr>
          <w:rFonts w:ascii="Times New Roman" w:hAnsi="Times New Roman"/>
          <w:sz w:val="24"/>
          <w:szCs w:val="24"/>
          <w:highlight w:val="none"/>
        </w:rPr>
      </w:r>
      <w:r/>
    </w:p>
    <w:p>
      <w:pPr>
        <w:pStyle w:val="783"/>
        <w:ind w:firstLine="480"/>
        <w:spacing w:line="400" w:lineRule="exact"/>
        <w:rPr>
          <w:rFonts w:ascii="Times New Roman" w:hAnsi="Times New Roman"/>
          <w:sz w:val="22"/>
          <w:szCs w:val="21"/>
          <w:highlight w:val="none"/>
        </w:rPr>
      </w:pPr>
      <w:r>
        <w:rPr>
          <w:rFonts w:ascii="Times New Roman" w:hAnsi="Times New Roman"/>
          <w:sz w:val="24"/>
          <w:szCs w:val="24"/>
          <w:highlight w:val="none"/>
        </w:rPr>
        <w:t xml:space="preserve">2.对照《工业和信息化部、国家统计局、国家发展和改革委员会、财政部关于印发中小企业划型标准规定的通知》(工信部联企业[2011]300号)的规定，</w:t>
      </w:r>
      <w:r>
        <w:rPr>
          <w:rFonts w:hint="eastAsia" w:ascii="Times New Roman" w:hAnsi="Times New Roman"/>
          <w:sz w:val="24"/>
          <w:szCs w:val="24"/>
          <w:highlight w:val="none"/>
        </w:rPr>
        <w:t xml:space="preserve">投标人</w:t>
      </w:r>
      <w:r>
        <w:rPr>
          <w:rFonts w:ascii="Times New Roman" w:hAnsi="Times New Roman"/>
          <w:sz w:val="24"/>
          <w:szCs w:val="24"/>
          <w:highlight w:val="none"/>
        </w:rPr>
        <w:t xml:space="preserve">自行勾选承接企业的企业规模类型。</w:t>
      </w:r>
      <w:r>
        <w:rPr>
          <w:rFonts w:ascii="Times New Roman" w:hAnsi="Times New Roman"/>
          <w:sz w:val="22"/>
          <w:szCs w:val="21"/>
          <w:highlight w:val="none"/>
        </w:rPr>
      </w:r>
      <w:r/>
    </w:p>
    <w:p>
      <w:pPr>
        <w:pStyle w:val="1095"/>
        <w:spacing w:before="151" w:after="151" w:line="600" w:lineRule="exact"/>
        <w:rPr>
          <w:rFonts w:hint="eastAsia" w:ascii="宋体"/>
          <w:b/>
          <w:bCs/>
          <w:sz w:val="32"/>
          <w:szCs w:val="32"/>
          <w:highlight w:val="none"/>
        </w:rPr>
      </w:pPr>
      <w:r>
        <w:rPr>
          <w:rFonts w:hint="eastAsia" w:ascii="宋体"/>
          <w:b/>
          <w:bCs/>
          <w:sz w:val="32"/>
          <w:szCs w:val="32"/>
          <w:highlight w:val="none"/>
        </w:rPr>
      </w:r>
      <w:r/>
    </w:p>
    <w:p>
      <w:pPr>
        <w:pStyle w:val="1079"/>
        <w:jc w:val="center"/>
        <w:rPr>
          <w:rFonts w:ascii="方正小标宋_GBK" w:eastAsia="方正小标宋_GBK"/>
          <w:bCs/>
          <w:sz w:val="32"/>
          <w:szCs w:val="32"/>
          <w:highlight w:val="none"/>
        </w:rPr>
      </w:pPr>
      <w:r>
        <w:rPr>
          <w:rFonts w:hint="eastAsia" w:ascii="方正小标宋_GBK" w:eastAsia="方正小标宋_GBK"/>
          <w:bCs/>
          <w:sz w:val="32"/>
          <w:szCs w:val="32"/>
          <w:highlight w:val="none"/>
        </w:rPr>
        <w:br w:type="page" w:clear="all"/>
      </w:r>
      <w:r>
        <w:rPr>
          <w:rFonts w:hint="eastAsia" w:ascii="方正小标宋_GBK" w:eastAsia="方正小标宋_GBK"/>
          <w:bCs/>
          <w:sz w:val="32"/>
          <w:szCs w:val="32"/>
          <w:highlight w:val="none"/>
        </w:rPr>
        <w:t xml:space="preserve">残疾人福利性单位声明函</w:t>
      </w:r>
      <w:r>
        <w:rPr>
          <w:rFonts w:ascii="方正小标宋_GBK" w:eastAsia="方正小标宋_GBK"/>
          <w:bCs/>
          <w:sz w:val="32"/>
          <w:szCs w:val="32"/>
          <w:highlight w:val="none"/>
        </w:rPr>
      </w:r>
      <w:r/>
    </w:p>
    <w:p>
      <w:pPr>
        <w:pStyle w:val="1097"/>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pStyle w:val="1096"/>
        <w:ind w:firstLine="480"/>
        <w:spacing w:line="500" w:lineRule="exact"/>
        <w:rPr>
          <w:rFonts w:ascii="Times New Roman" w:hAnsi="Times New Roman"/>
          <w:sz w:val="24"/>
          <w:highlight w:val="none"/>
        </w:rPr>
      </w:pPr>
      <w:r>
        <w:rPr>
          <w:rFonts w:hint="eastAsia" w:ascii="Times New Roman" w:hAnsi="Times New Roman"/>
          <w:sz w:val="24"/>
          <w:highlight w:val="none"/>
        </w:rPr>
        <w:t xml:space="preserve">本单位郑重声明，根据《财政部 民政部 中国残疾人联合会关于促进残疾人就业政府采购政策的通知》（财库〔</w:t>
      </w:r>
      <w:r>
        <w:rPr>
          <w:rFonts w:ascii="Times New Roman" w:hAnsi="Times New Roman"/>
          <w:sz w:val="24"/>
          <w:highlight w:val="none"/>
        </w:rPr>
        <w:t xml:space="preserve">2017</w:t>
      </w:r>
      <w:r>
        <w:rPr>
          <w:rFonts w:hint="eastAsia" w:ascii="Times New Roman" w:hAnsi="Times New Roman"/>
          <w:sz w:val="24"/>
          <w:highlight w:val="none"/>
        </w:rPr>
        <w:t xml:space="preserve">〕</w:t>
      </w:r>
      <w:r>
        <w:rPr>
          <w:rFonts w:ascii="Times New Roman" w:hAnsi="Times New Roman"/>
          <w:sz w:val="24"/>
          <w:highlight w:val="none"/>
        </w:rPr>
        <w:t xml:space="preserve">141</w:t>
      </w:r>
      <w:r>
        <w:rPr>
          <w:rFonts w:hint="eastAsia" w:ascii="Times New Roman" w:hAnsi="Times New Roman"/>
          <w:sz w:val="24"/>
          <w:highlight w:val="none"/>
        </w:rPr>
        <w:t xml:space="preserve">号）的规定，本单位为符合条件的残疾人福利性单位，且本单位参加</w:t>
      </w:r>
      <w:r>
        <w:rPr>
          <w:rFonts w:hint="eastAsia" w:ascii="Times New Roman" w:hAnsi="Times New Roman"/>
          <w:sz w:val="24"/>
          <w:highlight w:val="none"/>
          <w:u w:val="single"/>
        </w:rPr>
        <w:t xml:space="preserve">（</w:t>
      </w:r>
      <w:r>
        <w:rPr>
          <w:rFonts w:hint="eastAsia" w:ascii="Times New Roman" w:hAnsi="Times New Roman"/>
          <w:sz w:val="24"/>
          <w:szCs w:val="24"/>
          <w:highlight w:val="none"/>
          <w:u w:val="single"/>
        </w:rPr>
        <w:t xml:space="preserve">单位名称）</w:t>
      </w:r>
      <w:r>
        <w:rPr>
          <w:rFonts w:hint="eastAsia" w:ascii="Times New Roman" w:hAnsi="Times New Roman"/>
          <w:sz w:val="24"/>
          <w:highlight w:val="none"/>
        </w:rPr>
        <w:t xml:space="preserve">的</w:t>
      </w:r>
      <w:r>
        <w:rPr>
          <w:rFonts w:hint="eastAsia" w:ascii="Times New Roman" w:hAnsi="Times New Roman"/>
          <w:sz w:val="24"/>
          <w:highlight w:val="none"/>
          <w:u w:val="single"/>
        </w:rPr>
        <w:t xml:space="preserve">（项目名称） </w:t>
      </w:r>
      <w:r>
        <w:rPr>
          <w:rFonts w:hint="eastAsia" w:ascii="Times New Roman" w:hAnsi="Times New Roman"/>
          <w:sz w:val="24"/>
          <w:highlight w:val="none"/>
        </w:rPr>
        <w:t xml:space="preserve">采购活动提供本单位制造的货物（由本单位承担工程/提供服务），或者提供其他残疾人福利性单位制造的货物（不包括使用非残疾人福利性单位注册商标的货物）。</w:t>
      </w:r>
      <w:r>
        <w:rPr>
          <w:rFonts w:ascii="Times New Roman" w:hAnsi="Times New Roman"/>
          <w:sz w:val="24"/>
          <w:highlight w:val="none"/>
        </w:rPr>
      </w:r>
      <w:r/>
    </w:p>
    <w:p>
      <w:pPr>
        <w:pStyle w:val="1096"/>
        <w:ind w:firstLine="480"/>
        <w:spacing w:line="500" w:lineRule="exact"/>
        <w:rPr>
          <w:rFonts w:ascii="Times New Roman" w:hAnsi="Times New Roman"/>
          <w:sz w:val="24"/>
          <w:highlight w:val="none"/>
        </w:rPr>
      </w:pPr>
      <w:r>
        <w:rPr>
          <w:rFonts w:hint="eastAsia" w:ascii="Times New Roman" w:hAnsi="Times New Roman"/>
          <w:sz w:val="24"/>
          <w:highlight w:val="none"/>
        </w:rPr>
        <w:t xml:space="preserve">本单位对上述声明的真实性负责。如有虚假，将依法承担相应责任。</w:t>
      </w:r>
      <w:r>
        <w:rPr>
          <w:rFonts w:ascii="Times New Roman" w:hAnsi="Times New Roman"/>
          <w:sz w:val="24"/>
          <w:highlight w:val="none"/>
        </w:rPr>
      </w:r>
      <w:r/>
    </w:p>
    <w:p>
      <w:pPr>
        <w:pStyle w:val="1098"/>
        <w:ind w:firstLine="3810"/>
        <w:spacing w:line="500" w:lineRule="exact"/>
        <w:rPr>
          <w:spacing w:val="6"/>
          <w:sz w:val="24"/>
          <w:szCs w:val="24"/>
          <w:highlight w:val="none"/>
        </w:rPr>
      </w:pPr>
      <w:r>
        <w:rPr>
          <w:spacing w:val="6"/>
          <w:sz w:val="24"/>
          <w:szCs w:val="24"/>
          <w:highlight w:val="none"/>
        </w:rPr>
      </w:r>
      <w:r/>
    </w:p>
    <w:p>
      <w:pPr>
        <w:pStyle w:val="1098"/>
        <w:ind w:firstLine="3629"/>
        <w:jc w:val="left"/>
        <w:spacing w:line="500" w:lineRule="exact"/>
        <w:rPr>
          <w:sz w:val="24"/>
          <w:highlight w:val="none"/>
        </w:rPr>
      </w:pPr>
      <w:r>
        <w:rPr>
          <w:sz w:val="24"/>
          <w:highlight w:val="none"/>
        </w:rPr>
      </w:r>
      <w:r/>
    </w:p>
    <w:p>
      <w:pPr>
        <w:pStyle w:val="1098"/>
        <w:ind w:firstLine="480"/>
        <w:jc w:val="left"/>
        <w:spacing w:line="500" w:lineRule="exact"/>
        <w:rPr>
          <w:sz w:val="24"/>
          <w:highlight w:val="none"/>
        </w:rPr>
      </w:pPr>
      <w:r>
        <w:rPr>
          <w:rFonts w:hint="eastAsia"/>
          <w:sz w:val="24"/>
          <w:highlight w:val="none"/>
        </w:rPr>
        <w:t xml:space="preserve">单位名称：</w:t>
      </w:r>
      <w:r>
        <w:rPr>
          <w:rFonts w:hint="eastAsia"/>
          <w:sz w:val="24"/>
          <w:highlight w:val="none"/>
          <w:u w:val="single"/>
        </w:rPr>
        <w:t xml:space="preserve">              </w:t>
      </w:r>
      <w:r>
        <w:rPr>
          <w:rFonts w:hint="eastAsia"/>
          <w:sz w:val="24"/>
          <w:highlight w:val="none"/>
        </w:rPr>
        <w:t xml:space="preserve">（</w:t>
      </w:r>
      <w:r>
        <w:rPr>
          <w:rFonts w:hint="eastAsia"/>
          <w:sz w:val="24"/>
          <w:szCs w:val="24"/>
          <w:highlight w:val="none"/>
        </w:rPr>
        <w:t xml:space="preserve">盖公章</w:t>
      </w:r>
      <w:r>
        <w:rPr>
          <w:rFonts w:hint="eastAsia"/>
          <w:sz w:val="24"/>
          <w:highlight w:val="none"/>
        </w:rPr>
        <w:t xml:space="preserve">）</w:t>
      </w:r>
      <w:r>
        <w:rPr>
          <w:sz w:val="24"/>
          <w:highlight w:val="none"/>
        </w:rPr>
      </w:r>
      <w:r/>
    </w:p>
    <w:p>
      <w:pPr>
        <w:pStyle w:val="1095"/>
        <w:ind w:firstLine="480"/>
        <w:jc w:val="left"/>
        <w:spacing w:line="500" w:lineRule="exact"/>
        <w:rPr>
          <w:rFonts w:ascii="Times New Roman" w:hAnsi="Times New Roman"/>
          <w:sz w:val="24"/>
          <w:szCs w:val="20"/>
          <w:highlight w:val="none"/>
        </w:rPr>
      </w:pPr>
      <w:r>
        <w:rPr>
          <w:rFonts w:hint="eastAsia" w:ascii="Times New Roman" w:hAnsi="Times New Roman"/>
          <w:sz w:val="24"/>
          <w:szCs w:val="20"/>
          <w:highlight w:val="none"/>
        </w:rPr>
        <w:t xml:space="preserve">日期：  年  月  日</w:t>
      </w:r>
      <w:r>
        <w:rPr>
          <w:rFonts w:ascii="Times New Roman" w:hAnsi="Times New Roman"/>
          <w:sz w:val="24"/>
          <w:szCs w:val="20"/>
          <w:highlight w:val="none"/>
        </w:rPr>
      </w:r>
      <w:r/>
    </w:p>
    <w:p>
      <w:pPr>
        <w:pStyle w:val="1097"/>
        <w:ind w:right="1560" w:firstLine="480"/>
        <w:jc w:val="center"/>
        <w:spacing w:line="588" w:lineRule="exact"/>
        <w:tabs>
          <w:tab w:val="left" w:pos="4860" w:leader="none"/>
        </w:tabs>
        <w:rPr>
          <w:rFonts w:ascii="Times New Roman" w:hAnsi="Times New Roman" w:cs="Arial"/>
          <w:sz w:val="24"/>
          <w:szCs w:val="24"/>
          <w:highlight w:val="none"/>
        </w:rPr>
      </w:pPr>
      <w:r>
        <w:rPr>
          <w:rFonts w:ascii="Times New Roman" w:hAnsi="Times New Roman" w:cs="Arial"/>
          <w:sz w:val="24"/>
          <w:szCs w:val="24"/>
          <w:highlight w:val="none"/>
        </w:rPr>
      </w:r>
      <w:r/>
    </w:p>
    <w:p>
      <w:pPr>
        <w:pStyle w:val="1099"/>
        <w:ind w:left="357" w:firstLine="0"/>
        <w:spacing w:line="500" w:lineRule="exact"/>
        <w:rPr>
          <w:rFonts w:ascii="Times New Roman" w:hAnsi="Times New Roman" w:cs="Arial"/>
          <w:sz w:val="24"/>
          <w:szCs w:val="24"/>
          <w:highlight w:val="none"/>
        </w:rPr>
      </w:pPr>
      <w:r>
        <w:rPr>
          <w:rFonts w:ascii="Times New Roman" w:hAnsi="Times New Roman" w:cs="Arial"/>
          <w:sz w:val="24"/>
          <w:szCs w:val="24"/>
          <w:highlight w:val="none"/>
        </w:rPr>
      </w:r>
      <w:r/>
    </w:p>
    <w:p>
      <w:pPr>
        <w:pStyle w:val="1096"/>
        <w:ind w:firstLine="442"/>
        <w:spacing w:line="480" w:lineRule="exact"/>
        <w:rPr>
          <w:rFonts w:ascii="Times New Roman" w:hAnsi="Times New Roman"/>
          <w:sz w:val="24"/>
          <w:szCs w:val="24"/>
          <w:highlight w:val="none"/>
        </w:rPr>
      </w:pPr>
      <w:r>
        <w:rPr>
          <w:rFonts w:hint="eastAsia" w:ascii="Times New Roman" w:hAnsi="Times New Roman"/>
          <w:sz w:val="24"/>
          <w:szCs w:val="24"/>
          <w:highlight w:val="none"/>
        </w:rPr>
        <w:t xml:space="preserve">备注：1.非残疾人福利性单位不需提供此函。</w:t>
      </w:r>
      <w:r>
        <w:rPr>
          <w:rFonts w:ascii="Times New Roman" w:hAnsi="Times New Roman"/>
          <w:sz w:val="24"/>
          <w:szCs w:val="24"/>
          <w:highlight w:val="none"/>
        </w:rPr>
      </w:r>
      <w:r/>
    </w:p>
    <w:p>
      <w:pPr>
        <w:pStyle w:val="1096"/>
        <w:ind w:firstLine="442"/>
        <w:spacing w:line="480" w:lineRule="exact"/>
        <w:rPr>
          <w:rFonts w:hint="eastAsia" w:ascii="Times New Roman" w:hAnsi="Times New Roman"/>
          <w:sz w:val="24"/>
          <w:szCs w:val="24"/>
          <w:highlight w:val="none"/>
        </w:rPr>
      </w:pPr>
      <w:r>
        <w:rPr>
          <w:rFonts w:hint="eastAsia" w:ascii="Times New Roman" w:hAnsi="Times New Roman"/>
          <w:sz w:val="24"/>
          <w:szCs w:val="24"/>
          <w:highlight w:val="none"/>
        </w:rPr>
      </w:r>
      <w:r/>
    </w:p>
    <w:p>
      <w:pPr>
        <w:pStyle w:val="1096"/>
        <w:ind w:firstLine="442"/>
        <w:spacing w:line="480" w:lineRule="exact"/>
        <w:rPr>
          <w:rFonts w:hint="eastAsia" w:ascii="Times New Roman" w:hAnsi="Times New Roman"/>
          <w:sz w:val="24"/>
          <w:szCs w:val="24"/>
          <w:highlight w:val="none"/>
        </w:rPr>
      </w:pPr>
      <w:r>
        <w:rPr>
          <w:rFonts w:hint="eastAsia" w:ascii="Times New Roman" w:hAnsi="Times New Roman"/>
          <w:sz w:val="24"/>
          <w:szCs w:val="24"/>
          <w:highlight w:val="none"/>
        </w:rPr>
      </w:r>
      <w:r/>
    </w:p>
    <w:p>
      <w:pPr>
        <w:pStyle w:val="1096"/>
        <w:ind w:firstLine="442"/>
        <w:spacing w:line="480" w:lineRule="exact"/>
        <w:rPr>
          <w:rFonts w:ascii="Times New Roman" w:hAnsi="Times New Roman"/>
          <w:sz w:val="24"/>
          <w:szCs w:val="24"/>
          <w:highlight w:val="none"/>
        </w:rPr>
      </w:pPr>
      <w:r>
        <w:rPr>
          <w:rFonts w:ascii="Times New Roman" w:hAnsi="Times New Roman"/>
          <w:sz w:val="24"/>
          <w:szCs w:val="24"/>
          <w:highlight w:val="none"/>
        </w:rPr>
      </w:r>
      <w:r/>
    </w:p>
    <w:p>
      <w:pPr>
        <w:pStyle w:val="1096"/>
        <w:ind w:firstLine="442"/>
        <w:spacing w:line="480" w:lineRule="exact"/>
        <w:rPr>
          <w:rFonts w:ascii="Times New Roman" w:hAnsi="Times New Roman"/>
          <w:sz w:val="24"/>
          <w:szCs w:val="24"/>
          <w:highlight w:val="none"/>
        </w:rPr>
      </w:pPr>
      <w:r>
        <w:rPr>
          <w:rFonts w:ascii="Times New Roman" w:hAnsi="Times New Roman"/>
          <w:sz w:val="24"/>
          <w:szCs w:val="24"/>
          <w:highlight w:val="none"/>
        </w:rPr>
      </w:r>
      <w:r/>
    </w:p>
    <w:p>
      <w:pPr>
        <w:pStyle w:val="1096"/>
        <w:ind w:firstLine="442"/>
        <w:spacing w:line="480" w:lineRule="exact"/>
        <w:rPr>
          <w:rFonts w:ascii="Times New Roman" w:hAnsi="Times New Roman"/>
          <w:sz w:val="24"/>
          <w:szCs w:val="24"/>
          <w:highlight w:val="none"/>
        </w:rPr>
      </w:pPr>
      <w:r>
        <w:rPr>
          <w:rFonts w:ascii="Times New Roman" w:hAnsi="Times New Roman"/>
          <w:sz w:val="24"/>
          <w:szCs w:val="24"/>
          <w:highlight w:val="none"/>
        </w:rPr>
      </w:r>
      <w:r/>
    </w:p>
    <w:p>
      <w:pPr>
        <w:pStyle w:val="1096"/>
        <w:ind w:firstLine="442"/>
        <w:spacing w:line="480" w:lineRule="exact"/>
        <w:rPr>
          <w:rFonts w:ascii="Times New Roman" w:hAnsi="Times New Roman"/>
          <w:sz w:val="24"/>
          <w:szCs w:val="24"/>
          <w:highlight w:val="none"/>
        </w:rPr>
      </w:pPr>
      <w:r>
        <w:rPr>
          <w:rFonts w:ascii="Times New Roman" w:hAnsi="Times New Roman"/>
          <w:sz w:val="24"/>
          <w:szCs w:val="24"/>
          <w:highlight w:val="none"/>
        </w:rPr>
      </w:r>
      <w:r/>
    </w:p>
    <w:p>
      <w:pPr>
        <w:pStyle w:val="1096"/>
        <w:spacing w:line="480" w:lineRule="exact"/>
        <w:rPr>
          <w:rFonts w:hint="eastAsia" w:ascii="Times New Roman" w:hAnsi="Times New Roman"/>
          <w:sz w:val="24"/>
          <w:szCs w:val="24"/>
          <w:highlight w:val="none"/>
        </w:rPr>
      </w:pPr>
      <w:r>
        <w:rPr>
          <w:rFonts w:hint="eastAsia" w:ascii="Times New Roman" w:hAnsi="Times New Roman"/>
          <w:sz w:val="24"/>
          <w:szCs w:val="24"/>
          <w:highlight w:val="none"/>
        </w:rPr>
      </w:r>
      <w:r/>
    </w:p>
    <w:p>
      <w:pPr>
        <w:pStyle w:val="1096"/>
        <w:ind w:firstLine="442"/>
        <w:spacing w:line="480" w:lineRule="exact"/>
        <w:rPr>
          <w:rFonts w:ascii="Times New Roman" w:hAnsi="Times New Roman"/>
          <w:sz w:val="24"/>
          <w:szCs w:val="24"/>
          <w:highlight w:val="none"/>
        </w:rPr>
      </w:pPr>
      <w:r>
        <w:rPr>
          <w:rFonts w:ascii="Times New Roman" w:hAnsi="Times New Roman"/>
          <w:sz w:val="24"/>
          <w:szCs w:val="24"/>
          <w:highlight w:val="none"/>
        </w:rPr>
      </w:r>
      <w:r/>
    </w:p>
    <w:p>
      <w:pPr>
        <w:pStyle w:val="1096"/>
        <w:ind w:firstLine="442"/>
        <w:spacing w:line="480" w:lineRule="exact"/>
        <w:rPr>
          <w:rFonts w:ascii="Times New Roman" w:hAnsi="Times New Roman"/>
          <w:sz w:val="24"/>
          <w:szCs w:val="24"/>
          <w:highlight w:val="none"/>
        </w:rPr>
      </w:pPr>
      <w:r>
        <w:rPr>
          <w:rFonts w:ascii="Times New Roman" w:hAnsi="Times New Roman"/>
          <w:sz w:val="24"/>
          <w:szCs w:val="24"/>
          <w:highlight w:val="none"/>
        </w:rPr>
      </w:r>
      <w:r/>
    </w:p>
    <w:p>
      <w:pPr>
        <w:pStyle w:val="1096"/>
        <w:ind w:firstLine="442"/>
        <w:spacing w:line="480" w:lineRule="exact"/>
        <w:rPr>
          <w:rFonts w:ascii="Times New Roman" w:hAnsi="Times New Roman"/>
          <w:sz w:val="24"/>
          <w:szCs w:val="24"/>
          <w:highlight w:val="none"/>
        </w:rPr>
      </w:pPr>
      <w:r>
        <w:rPr>
          <w:rFonts w:ascii="Times New Roman" w:hAnsi="Times New Roman"/>
          <w:sz w:val="24"/>
          <w:szCs w:val="24"/>
          <w:highlight w:val="none"/>
        </w:rPr>
      </w:r>
      <w:r/>
    </w:p>
    <w:p>
      <w:pPr>
        <w:pStyle w:val="1096"/>
        <w:spacing w:line="480" w:lineRule="exact"/>
        <w:rPr>
          <w:rFonts w:ascii="Times New Roman" w:hAnsi="Times New Roman"/>
          <w:sz w:val="24"/>
          <w:szCs w:val="24"/>
          <w:highlight w:val="none"/>
        </w:rPr>
      </w:pPr>
      <w:r>
        <w:rPr>
          <w:rFonts w:ascii="Times New Roman" w:hAnsi="Times New Roman"/>
          <w:sz w:val="24"/>
          <w:szCs w:val="24"/>
          <w:highlight w:val="none"/>
        </w:rPr>
      </w:r>
      <w:r/>
    </w:p>
    <w:p>
      <w:pPr>
        <w:pStyle w:val="1096"/>
        <w:spacing w:line="480" w:lineRule="exact"/>
        <w:rPr>
          <w:rFonts w:ascii="Times New Roman" w:hAnsi="Times New Roman"/>
          <w:sz w:val="24"/>
          <w:szCs w:val="24"/>
          <w:highlight w:val="none"/>
        </w:rPr>
      </w:pPr>
      <w:r>
        <w:rPr>
          <w:rFonts w:ascii="Times New Roman" w:hAnsi="Times New Roman"/>
          <w:sz w:val="24"/>
          <w:szCs w:val="24"/>
          <w:highlight w:val="none"/>
        </w:rPr>
      </w:r>
      <w:r/>
    </w:p>
    <w:p>
      <w:pPr>
        <w:pStyle w:val="1096"/>
        <w:spacing w:line="480" w:lineRule="exact"/>
        <w:rPr>
          <w:rFonts w:hint="eastAsia" w:ascii="Times New Roman" w:hAnsi="Times New Roman"/>
          <w:sz w:val="24"/>
          <w:szCs w:val="24"/>
          <w:highlight w:val="none"/>
        </w:rPr>
      </w:pPr>
      <w:r>
        <w:rPr>
          <w:rFonts w:hint="eastAsia" w:ascii="Times New Roman" w:hAnsi="Times New Roman"/>
          <w:sz w:val="24"/>
          <w:szCs w:val="24"/>
          <w:highlight w:val="none"/>
        </w:rPr>
      </w:r>
      <w:r/>
    </w:p>
    <w:p>
      <w:pPr>
        <w:pStyle w:val="785"/>
        <w:spacing w:before="0" w:after="0" w:line="520" w:lineRule="exact"/>
        <w:rPr>
          <w:rFonts w:hint="eastAsia" w:ascii="宋体" w:hAnsi="宋体" w:eastAsia="宋体" w:cs="宋体"/>
          <w:bCs/>
          <w:szCs w:val="32"/>
          <w:highlight w:val="none"/>
        </w:rPr>
      </w:pPr>
      <w:r>
        <w:rPr>
          <w:rFonts w:hint="eastAsia" w:ascii="宋体" w:hAnsi="宋体" w:eastAsia="宋体" w:cs="宋体"/>
          <w:bCs/>
          <w:szCs w:val="32"/>
          <w:highlight w:val="none"/>
        </w:rPr>
        <w:t xml:space="preserve">七、技术响应偏离表（技术参数响应）</w:t>
      </w:r>
      <w:r>
        <w:rPr>
          <w:rFonts w:hint="eastAsia" w:ascii="宋体" w:hAnsi="宋体" w:eastAsia="宋体" w:cs="宋体"/>
          <w:bCs/>
          <w:szCs w:val="32"/>
          <w:highlight w:val="none"/>
        </w:rPr>
      </w:r>
      <w:r/>
    </w:p>
    <w:tbl>
      <w:tblPr>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83"/>
              <w:jc w:val="center"/>
              <w:spacing w:before="100" w:line="559" w:lineRule="atLeast"/>
              <w:rPr>
                <w:rFonts w:ascii="宋体" w:hAnsi="宋体" w:cs="仿宋"/>
                <w:highlight w:val="none"/>
              </w:rPr>
            </w:pPr>
            <w:r>
              <w:rPr>
                <w:rFonts w:hint="eastAsia" w:ascii="宋体" w:hAnsi="宋体" w:cs="仿宋"/>
                <w:sz w:val="28"/>
                <w:highlight w:val="none"/>
              </w:rPr>
              <w:t xml:space="preserve">招标文件内容</w:t>
            </w:r>
            <w:r>
              <w:rPr>
                <w:rFonts w:ascii="宋体" w:hAnsi="宋体" w:cs="仿宋"/>
                <w:highlight w:val="none"/>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83"/>
              <w:jc w:val="center"/>
              <w:spacing w:before="100" w:line="559" w:lineRule="atLeast"/>
              <w:rPr>
                <w:rFonts w:ascii="宋体" w:hAnsi="宋体" w:cs="仿宋"/>
                <w:highlight w:val="none"/>
              </w:rPr>
            </w:pPr>
            <w:r>
              <w:rPr>
                <w:rFonts w:hint="eastAsia" w:ascii="宋体" w:hAnsi="宋体" w:cs="仿宋"/>
                <w:sz w:val="28"/>
                <w:highlight w:val="none"/>
              </w:rPr>
              <w:t xml:space="preserve">投标文件内容</w:t>
            </w:r>
            <w:r>
              <w:rPr>
                <w:rFonts w:ascii="宋体" w:hAnsi="宋体" w:cs="仿宋"/>
                <w:highlight w:val="none"/>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783"/>
              <w:jc w:val="center"/>
              <w:spacing w:before="100" w:line="400" w:lineRule="exact"/>
              <w:rPr>
                <w:rFonts w:ascii="宋体" w:hAnsi="宋体" w:cs="仿宋"/>
                <w:sz w:val="28"/>
                <w:highlight w:val="none"/>
              </w:rPr>
            </w:pPr>
            <w:r>
              <w:rPr>
                <w:rFonts w:hint="eastAsia" w:ascii="宋体" w:hAnsi="宋体" w:cs="仿宋"/>
                <w:sz w:val="28"/>
                <w:highlight w:val="none"/>
              </w:rPr>
              <w:t xml:space="preserve">偏离情况</w:t>
            </w:r>
            <w:r>
              <w:rPr>
                <w:rFonts w:ascii="宋体" w:hAnsi="宋体" w:cs="仿宋"/>
                <w:sz w:val="28"/>
                <w:highlight w:val="none"/>
              </w:rPr>
            </w:r>
            <w:r/>
          </w:p>
          <w:p>
            <w:pPr>
              <w:pStyle w:val="783"/>
              <w:jc w:val="center"/>
              <w:spacing w:before="100" w:line="400" w:lineRule="exact"/>
              <w:rPr>
                <w:rFonts w:hint="eastAsia" w:ascii="宋体" w:hAnsi="宋体" w:cs="仿宋"/>
                <w:sz w:val="28"/>
                <w:highlight w:val="none"/>
              </w:rPr>
            </w:pPr>
            <w:r>
              <w:rPr>
                <w:rFonts w:hint="eastAsia" w:ascii="宋体" w:hAnsi="宋体" w:cs="仿宋"/>
                <w:sz w:val="28"/>
                <w:highlight w:val="none"/>
              </w:rPr>
              <w:t xml:space="preserve">（</w:t>
            </w:r>
            <w:r>
              <w:rPr>
                <w:rFonts w:ascii="宋体" w:hAnsi="宋体" w:cs="仿宋"/>
                <w:b/>
                <w:sz w:val="24"/>
                <w:highlight w:val="none"/>
              </w:rPr>
              <w:t xml:space="preserve">正偏离、负偏离、无偏离</w:t>
            </w:r>
            <w:r>
              <w:rPr>
                <w:rFonts w:hint="eastAsia" w:ascii="宋体" w:hAnsi="宋体" w:cs="仿宋"/>
                <w:sz w:val="28"/>
                <w:highlight w:val="none"/>
              </w:rPr>
              <w:t xml:space="preserve">）</w:t>
            </w:r>
            <w:r>
              <w:rPr>
                <w:rFonts w:hint="eastAsia" w:ascii="宋体" w:hAnsi="宋体" w:cs="仿宋"/>
                <w:sz w:val="28"/>
                <w:highlight w:val="none"/>
              </w:rPr>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783"/>
              <w:jc w:val="center"/>
              <w:spacing w:before="100" w:line="559" w:lineRule="atLeast"/>
              <w:rPr>
                <w:rFonts w:hint="eastAsia" w:ascii="宋体" w:hAnsi="宋体" w:cs="仿宋"/>
                <w:sz w:val="28"/>
                <w:szCs w:val="28"/>
                <w:highlight w:val="none"/>
              </w:rPr>
            </w:pPr>
            <w:r>
              <w:rPr>
                <w:rFonts w:hint="eastAsia" w:ascii="宋体" w:hAnsi="宋体" w:cs="仿宋"/>
                <w:sz w:val="28"/>
                <w:highlight w:val="none"/>
              </w:rPr>
              <w:t xml:space="preserve">偏离内容及说明</w:t>
            </w:r>
            <w:r>
              <w:rPr>
                <w:rFonts w:hint="eastAsia" w:ascii="宋体" w:hAnsi="宋体" w:cs="仿宋"/>
                <w:sz w:val="28"/>
                <w:szCs w:val="28"/>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83"/>
              <w:jc w:val="center"/>
              <w:spacing w:line="559"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83"/>
              <w:jc w:val="center"/>
              <w:spacing w:line="559"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83"/>
              <w:jc w:val="center"/>
              <w:spacing w:line="559"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83"/>
              <w:jc w:val="center"/>
              <w:spacing w:line="559"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83"/>
              <w:jc w:val="center"/>
              <w:spacing w:line="559"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83"/>
              <w:jc w:val="center"/>
              <w:spacing w:line="559"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83"/>
              <w:jc w:val="center"/>
              <w:spacing w:line="559"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83"/>
              <w:jc w:val="center"/>
              <w:spacing w:line="559"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83"/>
              <w:jc w:val="center"/>
              <w:spacing w:line="559"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83"/>
              <w:jc w:val="center"/>
              <w:spacing w:line="559" w:lineRule="atLeast"/>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83"/>
              <w:jc w:val="center"/>
              <w:spacing w:line="559" w:lineRule="atLeast"/>
              <w:rPr>
                <w:rFonts w:ascii="仿宋" w:hAnsi="仿宋" w:eastAsia="仿宋" w:cs="仿宋"/>
                <w:highlight w:val="none"/>
              </w:rPr>
            </w:pPr>
            <w:r>
              <w:rPr>
                <w:rFonts w:hint="eastAsia" w:ascii="仿宋" w:hAnsi="仿宋" w:eastAsia="仿宋" w:cs="仿宋"/>
                <w:sz w:val="24"/>
                <w:highlight w:val="none"/>
              </w:rPr>
              <w:t xml:space="preserve"> </w:t>
            </w:r>
            <w:r>
              <w:rPr>
                <w:rFonts w:ascii="仿宋" w:hAnsi="仿宋" w:eastAsia="仿宋" w:cs="仿宋"/>
                <w:highlight w:val="none"/>
              </w:rPr>
            </w:r>
            <w:r/>
          </w:p>
        </w:tc>
      </w:tr>
    </w:tbl>
    <w:p>
      <w:pPr>
        <w:pStyle w:val="783"/>
        <w:jc w:val="right"/>
        <w:spacing w:line="559" w:lineRule="atLeast"/>
        <w:rPr>
          <w:rFonts w:ascii="宋体" w:hAnsi="宋体" w:cs="仿宋"/>
          <w:highlight w:val="none"/>
        </w:rPr>
      </w:pPr>
      <w:r>
        <w:rPr>
          <w:rFonts w:hint="eastAsia" w:ascii="宋体" w:hAnsi="宋体" w:cs="仿宋"/>
          <w:sz w:val="24"/>
          <w:highlight w:val="none"/>
        </w:rPr>
        <w:t xml:space="preserve">单位名称：</w:t>
      </w:r>
      <w:r>
        <w:rPr>
          <w:rFonts w:hint="eastAsia" w:ascii="宋体" w:hAnsi="宋体" w:cs="仿宋"/>
          <w:sz w:val="24"/>
          <w:highlight w:val="none"/>
          <w:u w:val="single"/>
        </w:rPr>
        <w:t xml:space="preserve">             </w:t>
      </w:r>
      <w:r>
        <w:rPr>
          <w:rFonts w:hint="eastAsia" w:ascii="宋体" w:hAnsi="宋体" w:cs="仿宋"/>
          <w:sz w:val="24"/>
          <w:highlight w:val="none"/>
        </w:rPr>
        <w:t xml:space="preserve">（</w:t>
      </w:r>
      <w:r>
        <w:rPr>
          <w:rFonts w:ascii="宋体" w:hAnsi="宋体" w:cs="仿宋"/>
          <w:sz w:val="24"/>
          <w:highlight w:val="none"/>
        </w:rPr>
        <w:t xml:space="preserve">盖公章）</w:t>
      </w:r>
      <w:r>
        <w:rPr>
          <w:rFonts w:ascii="宋体" w:hAnsi="宋体" w:cs="仿宋"/>
          <w:highlight w:val="none"/>
        </w:rPr>
      </w:r>
      <w:r/>
    </w:p>
    <w:p>
      <w:pPr>
        <w:pStyle w:val="857"/>
        <w:ind w:firstLine="482"/>
        <w:jc w:val="both"/>
        <w:spacing w:before="0" w:beforeAutospacing="0" w:after="0" w:afterAutospacing="0" w:line="400" w:lineRule="exact"/>
        <w:widowControl w:val="off"/>
        <w:rPr>
          <w:rFonts w:cs="仿宋"/>
          <w:b/>
          <w:bCs/>
          <w:szCs w:val="28"/>
          <w:highlight w:val="none"/>
        </w:rPr>
      </w:pPr>
      <w:r>
        <w:rPr>
          <w:rFonts w:cs="仿宋"/>
          <w:b/>
          <w:bCs/>
          <w:szCs w:val="28"/>
          <w:highlight w:val="none"/>
        </w:rPr>
      </w:r>
      <w:r/>
    </w:p>
    <w:p>
      <w:pPr>
        <w:pStyle w:val="857"/>
        <w:ind w:firstLine="482"/>
        <w:jc w:val="both"/>
        <w:spacing w:before="0" w:beforeAutospacing="0" w:after="0" w:afterAutospacing="0" w:line="400" w:lineRule="exact"/>
        <w:widowControl w:val="off"/>
        <w:rPr>
          <w:rFonts w:hint="eastAsia" w:ascii="Times New Roman" w:hAnsi="Times New Roman"/>
          <w:szCs w:val="20"/>
          <w:highlight w:val="none"/>
        </w:rPr>
      </w:pPr>
      <w:r>
        <w:rPr>
          <w:rFonts w:hint="eastAsia" w:ascii="Times New Roman" w:hAnsi="Times New Roman" w:cs="仿宋"/>
          <w:b/>
          <w:bCs/>
          <w:szCs w:val="28"/>
          <w:highlight w:val="none"/>
        </w:rPr>
        <w:t xml:space="preserve">备注：</w:t>
      </w:r>
      <w:r>
        <w:rPr>
          <w:rFonts w:hint="eastAsia" w:ascii="Times New Roman" w:hAnsi="Times New Roman" w:cs="仿宋"/>
          <w:szCs w:val="28"/>
          <w:highlight w:val="none"/>
        </w:rPr>
        <w:t xml:space="preserve">1</w:t>
      </w:r>
      <w:bookmarkStart w:id="157" w:name="_Hlk187934629"/>
      <w:r>
        <w:rPr>
          <w:rFonts w:hint="eastAsia" w:ascii="Times New Roman" w:hAnsi="Times New Roman" w:cs="仿宋"/>
          <w:szCs w:val="28"/>
          <w:highlight w:val="none"/>
        </w:rPr>
        <w:t xml:space="preserve">.投标人必须对技术要求和商务要求中的实质性要求（打“★”内容）做出明确响应，否则作无效响应处理</w:t>
      </w:r>
      <w:r>
        <w:rPr>
          <w:rFonts w:hint="eastAsia" w:ascii="Times New Roman" w:hAnsi="Times New Roman"/>
          <w:szCs w:val="20"/>
          <w:highlight w:val="none"/>
        </w:rPr>
        <w:t xml:space="preserve">。</w:t>
      </w:r>
      <w:r>
        <w:rPr>
          <w:rFonts w:hint="eastAsia" w:ascii="Times New Roman" w:hAnsi="Times New Roman"/>
          <w:szCs w:val="20"/>
          <w:highlight w:val="none"/>
        </w:rPr>
      </w:r>
      <w:r/>
    </w:p>
    <w:p>
      <w:pPr>
        <w:pStyle w:val="857"/>
        <w:ind w:firstLine="480"/>
        <w:jc w:val="both"/>
        <w:spacing w:before="0" w:beforeAutospacing="0" w:after="0" w:afterAutospacing="0" w:line="400" w:lineRule="exact"/>
        <w:widowControl w:val="off"/>
        <w:rPr>
          <w:rFonts w:ascii="Times New Roman" w:hAnsi="Times New Roman"/>
          <w:b/>
          <w:bCs/>
          <w:szCs w:val="20"/>
          <w:highlight w:val="none"/>
        </w:rPr>
      </w:pPr>
      <w:r>
        <w:rPr>
          <w:rFonts w:hint="eastAsia" w:ascii="Times New Roman" w:hAnsi="Times New Roman"/>
          <w:szCs w:val="20"/>
          <w:highlight w:val="none"/>
          <w:lang w:val="en-US" w:eastAsia="zh-CN"/>
        </w:rPr>
        <w:t xml:space="preserve">2.</w:t>
      </w:r>
      <w:r>
        <w:rPr>
          <w:rFonts w:hint="eastAsia" w:ascii="Times New Roman" w:hAnsi="Times New Roman"/>
          <w:szCs w:val="20"/>
          <w:highlight w:val="none"/>
        </w:rPr>
        <w:t xml:space="preserve">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cs="仿宋"/>
          <w:szCs w:val="28"/>
          <w:highlight w:val="none"/>
        </w:rPr>
        <w:t xml:space="preserve">视为未响应招标文件要求</w:t>
      </w:r>
      <w:r>
        <w:rPr>
          <w:rFonts w:hint="eastAsia" w:ascii="Times New Roman" w:hAnsi="Times New Roman"/>
          <w:b/>
          <w:bCs/>
          <w:szCs w:val="20"/>
          <w:highlight w:val="none"/>
        </w:rPr>
        <w:t xml:space="preserve">。</w:t>
      </w:r>
      <w:r>
        <w:rPr>
          <w:rFonts w:ascii="Times New Roman" w:hAnsi="Times New Roman"/>
          <w:b/>
          <w:bCs/>
          <w:szCs w:val="20"/>
          <w:highlight w:val="none"/>
        </w:rPr>
      </w:r>
      <w:r/>
    </w:p>
    <w:p>
      <w:pPr>
        <w:pStyle w:val="785"/>
        <w:rPr>
          <w:rFonts w:hint="eastAsia" w:ascii="宋体" w:hAnsi="宋体" w:eastAsia="宋体" w:cs="宋体"/>
          <w:bCs/>
          <w:highlight w:val="none"/>
        </w:rPr>
      </w:pPr>
      <w:r/>
      <w:bookmarkEnd w:id="157"/>
      <w:r/>
      <w:bookmarkStart w:id="158" w:name="_Toc15871"/>
      <w:r/>
      <w:bookmarkStart w:id="159" w:name="_Toc25337"/>
      <w:r>
        <w:rPr>
          <w:rFonts w:hint="eastAsia" w:ascii="宋体" w:hAnsi="宋体" w:eastAsia="宋体" w:cs="宋体"/>
          <w:bCs/>
          <w:highlight w:val="none"/>
        </w:rPr>
        <w:t xml:space="preserve">八、项目组人员</w:t>
      </w:r>
      <w:r>
        <w:rPr>
          <w:rFonts w:hint="eastAsia" w:ascii="宋体" w:hAnsi="宋体" w:eastAsia="宋体" w:cs="宋体"/>
          <w:bCs/>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85"/>
              <w:jc w:val="center"/>
              <w:spacing w:beforeAutospacing="1" w:line="560" w:lineRule="exact"/>
              <w:widowControl/>
              <w:rPr>
                <w:rFonts w:hint="eastAsia" w:ascii="宋体" w:hAnsi="宋体" w:cs="仿宋"/>
                <w:sz w:val="28"/>
                <w:szCs w:val="28"/>
                <w:highlight w:val="none"/>
              </w:rPr>
              <w:framePr w:vAnchor="page" w:hAnchor="page" w:xAlign="center" w:y="74"/>
            </w:pPr>
            <w:r>
              <w:rPr>
                <w:rFonts w:hint="eastAsia" w:ascii="宋体" w:hAnsi="宋体" w:cs="仿宋"/>
                <w:sz w:val="28"/>
                <w:szCs w:val="28"/>
                <w:highlight w:val="none"/>
              </w:rPr>
              <w:t xml:space="preserve">姓名</w:t>
            </w:r>
            <w:r>
              <w:rPr>
                <w:rFonts w:hint="eastAsia" w:ascii="宋体" w:hAnsi="宋体" w:cs="仿宋"/>
                <w:sz w:val="28"/>
                <w:szCs w:val="28"/>
                <w:highlight w:val="none"/>
              </w:rPr>
            </w:r>
            <w:r/>
          </w:p>
        </w:tc>
        <w:tc>
          <w:tcPr>
            <w:tcW w:w="1843" w:type="dxa"/>
            <w:vAlign w:val="center"/>
            <w:textDirection w:val="lrTb"/>
            <w:noWrap w:val="false"/>
          </w:tcPr>
          <w:p>
            <w:pPr>
              <w:pStyle w:val="1185"/>
              <w:jc w:val="center"/>
              <w:spacing w:beforeAutospacing="1" w:line="560" w:lineRule="exact"/>
              <w:widowControl/>
              <w:rPr>
                <w:rFonts w:hint="eastAsia" w:ascii="宋体" w:hAnsi="宋体" w:cs="仿宋"/>
                <w:sz w:val="28"/>
                <w:szCs w:val="28"/>
                <w:highlight w:val="none"/>
              </w:rPr>
              <w:framePr w:vAnchor="page" w:hAnchor="page" w:xAlign="center" w:y="74"/>
            </w:pPr>
            <w:r>
              <w:rPr>
                <w:rFonts w:hint="eastAsia" w:ascii="宋体" w:hAnsi="宋体" w:cs="仿宋"/>
                <w:sz w:val="28"/>
                <w:szCs w:val="28"/>
                <w:highlight w:val="none"/>
              </w:rPr>
              <w:t xml:space="preserve">职务</w:t>
            </w:r>
            <w:r>
              <w:rPr>
                <w:rFonts w:hint="eastAsia" w:ascii="宋体" w:hAnsi="宋体" w:cs="仿宋"/>
                <w:sz w:val="28"/>
                <w:szCs w:val="28"/>
                <w:highlight w:val="none"/>
              </w:rPr>
            </w:r>
            <w:r/>
          </w:p>
        </w:tc>
        <w:tc>
          <w:tcPr>
            <w:tcW w:w="992" w:type="dxa"/>
            <w:vAlign w:val="center"/>
            <w:textDirection w:val="lrTb"/>
            <w:noWrap w:val="false"/>
          </w:tcPr>
          <w:p>
            <w:pPr>
              <w:pStyle w:val="1185"/>
              <w:jc w:val="center"/>
              <w:spacing w:beforeAutospacing="1" w:line="560" w:lineRule="exact"/>
              <w:widowControl/>
              <w:rPr>
                <w:rFonts w:hint="eastAsia" w:ascii="宋体" w:hAnsi="宋体" w:cs="仿宋"/>
                <w:sz w:val="28"/>
                <w:szCs w:val="28"/>
                <w:highlight w:val="none"/>
              </w:rPr>
              <w:framePr w:vAnchor="page" w:hAnchor="page" w:xAlign="center" w:y="74"/>
            </w:pPr>
            <w:r>
              <w:rPr>
                <w:rFonts w:hint="eastAsia" w:ascii="宋体" w:hAnsi="宋体" w:cs="仿宋"/>
                <w:sz w:val="28"/>
                <w:szCs w:val="28"/>
                <w:highlight w:val="none"/>
              </w:rPr>
              <w:t xml:space="preserve">学历</w:t>
            </w:r>
            <w:r>
              <w:rPr>
                <w:rFonts w:hint="eastAsia" w:ascii="宋体" w:hAnsi="宋体" w:cs="仿宋"/>
                <w:sz w:val="28"/>
                <w:szCs w:val="28"/>
                <w:highlight w:val="none"/>
              </w:rPr>
            </w:r>
            <w:r/>
          </w:p>
        </w:tc>
        <w:tc>
          <w:tcPr>
            <w:tcW w:w="1984" w:type="dxa"/>
            <w:vAlign w:val="center"/>
            <w:textDirection w:val="lrTb"/>
            <w:noWrap w:val="false"/>
          </w:tcPr>
          <w:p>
            <w:pPr>
              <w:pStyle w:val="1185"/>
              <w:ind w:firstLine="280"/>
              <w:spacing w:beforeAutospacing="1" w:line="560" w:lineRule="exact"/>
              <w:widowControl/>
              <w:rPr>
                <w:rFonts w:hint="eastAsia" w:ascii="宋体" w:hAnsi="宋体" w:cs="仿宋"/>
                <w:sz w:val="28"/>
                <w:szCs w:val="28"/>
                <w:highlight w:val="none"/>
              </w:rPr>
              <w:framePr w:vAnchor="page" w:hAnchor="page" w:xAlign="center" w:y="74"/>
            </w:pPr>
            <w:r>
              <w:rPr>
                <w:rFonts w:hint="eastAsia" w:ascii="宋体" w:hAnsi="宋体" w:cs="仿宋"/>
                <w:sz w:val="28"/>
                <w:szCs w:val="28"/>
                <w:highlight w:val="none"/>
              </w:rPr>
              <w:t xml:space="preserve">身份证号</w:t>
            </w:r>
            <w:r>
              <w:rPr>
                <w:rFonts w:hint="eastAsia" w:ascii="宋体" w:hAnsi="宋体" w:cs="仿宋"/>
                <w:sz w:val="28"/>
                <w:szCs w:val="28"/>
                <w:highlight w:val="none"/>
              </w:rPr>
            </w:r>
            <w:r/>
          </w:p>
        </w:tc>
        <w:tc>
          <w:tcPr>
            <w:tcW w:w="1702" w:type="dxa"/>
            <w:vAlign w:val="center"/>
            <w:textDirection w:val="lrTb"/>
            <w:noWrap w:val="false"/>
          </w:tcPr>
          <w:p>
            <w:pPr>
              <w:pStyle w:val="1185"/>
              <w:jc w:val="center"/>
              <w:spacing w:beforeAutospacing="1" w:line="560" w:lineRule="exact"/>
              <w:widowControl/>
              <w:rPr>
                <w:rFonts w:hint="eastAsia" w:ascii="宋体" w:hAnsi="宋体" w:cs="仿宋"/>
                <w:sz w:val="28"/>
                <w:szCs w:val="28"/>
                <w:highlight w:val="none"/>
              </w:rPr>
              <w:framePr w:vAnchor="page" w:hAnchor="page" w:xAlign="center" w:y="74"/>
            </w:pPr>
            <w:r>
              <w:rPr>
                <w:rFonts w:hint="eastAsia" w:ascii="宋体" w:hAnsi="宋体" w:cs="仿宋"/>
                <w:sz w:val="28"/>
                <w:szCs w:val="28"/>
                <w:highlight w:val="none"/>
              </w:rPr>
              <w:t xml:space="preserve">相关证书</w:t>
            </w:r>
            <w:r>
              <w:rPr>
                <w:rFonts w:hint="eastAsia" w:ascii="宋体" w:hAnsi="宋体" w:cs="仿宋"/>
                <w:sz w:val="28"/>
                <w:szCs w:val="28"/>
                <w:highlight w:val="none"/>
              </w:rPr>
            </w:r>
            <w:r/>
          </w:p>
        </w:tc>
        <w:tc>
          <w:tcPr>
            <w:tcW w:w="962" w:type="dxa"/>
            <w:vAlign w:val="center"/>
            <w:textDirection w:val="lrTb"/>
            <w:noWrap w:val="false"/>
          </w:tcPr>
          <w:p>
            <w:pPr>
              <w:pStyle w:val="1185"/>
              <w:spacing w:beforeAutospacing="1" w:line="560" w:lineRule="exact"/>
              <w:widowControl/>
              <w:rPr>
                <w:rFonts w:hint="eastAsia" w:ascii="宋体" w:hAnsi="宋体" w:cs="仿宋"/>
                <w:sz w:val="28"/>
                <w:szCs w:val="28"/>
                <w:highlight w:val="none"/>
              </w:rPr>
              <w:framePr w:vAnchor="page" w:hAnchor="page" w:xAlign="center" w:y="74"/>
            </w:pPr>
            <w:r>
              <w:rPr>
                <w:rFonts w:hint="eastAsia" w:ascii="宋体" w:hAnsi="宋体" w:cs="仿宋"/>
                <w:sz w:val="28"/>
                <w:szCs w:val="28"/>
                <w:highlight w:val="none"/>
              </w:rPr>
              <w:t xml:space="preserve">备注</w:t>
            </w:r>
            <w:r>
              <w:rPr>
                <w:rFonts w:hint="eastAsia" w:ascii="宋体" w:hAnsi="宋体" w:cs="仿宋"/>
                <w:sz w:val="28"/>
                <w:szCs w:val="28"/>
                <w:highlight w:val="none"/>
              </w:rPr>
            </w:r>
            <w:r/>
          </w:p>
        </w:tc>
      </w:tr>
      <w:tr>
        <w:trPr>
          <w:trHeight w:val="729"/>
        </w:trPr>
        <w:tc>
          <w:tcPr>
            <w:tcW w:w="959"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843" w:type="dxa"/>
            <w:vAlign w:val="center"/>
            <w:textDirection w:val="lrTb"/>
            <w:noWrap w:val="false"/>
          </w:tcPr>
          <w:p>
            <w:pPr>
              <w:pStyle w:val="1245"/>
              <w:jc w:val="center"/>
              <w:rPr>
                <w:rFonts w:hint="eastAsia" w:ascii="仿宋" w:hAnsi="仿宋" w:eastAsia="仿宋" w:cs="仿宋"/>
                <w:sz w:val="20"/>
                <w:szCs w:val="20"/>
                <w:highlight w:val="none"/>
              </w:rPr>
              <w:framePr w:vAnchor="page" w:hAnchor="page" w:xAlign="center" w:y="74"/>
            </w:pPr>
            <w:r>
              <w:rPr>
                <w:rFonts w:hint="eastAsia" w:ascii="仿宋" w:hAnsi="仿宋" w:eastAsia="仿宋" w:cs="仿宋"/>
                <w:sz w:val="20"/>
                <w:szCs w:val="20"/>
                <w:highlight w:val="none"/>
              </w:rPr>
            </w:r>
            <w:r/>
          </w:p>
        </w:tc>
        <w:tc>
          <w:tcPr>
            <w:tcW w:w="99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984"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70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96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r>
      <w:tr>
        <w:trPr>
          <w:trHeight w:val="729"/>
        </w:trPr>
        <w:tc>
          <w:tcPr>
            <w:tcW w:w="959"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843" w:type="dxa"/>
            <w:vAlign w:val="center"/>
            <w:textDirection w:val="lrTb"/>
            <w:noWrap w:val="false"/>
          </w:tcPr>
          <w:p>
            <w:pPr>
              <w:pStyle w:val="1245"/>
              <w:jc w:val="center"/>
              <w:rPr>
                <w:rFonts w:hint="eastAsia" w:ascii="仿宋" w:hAnsi="仿宋" w:eastAsia="仿宋" w:cs="仿宋"/>
                <w:sz w:val="20"/>
                <w:szCs w:val="20"/>
                <w:highlight w:val="none"/>
              </w:rPr>
              <w:framePr w:vAnchor="page" w:hAnchor="page" w:xAlign="center" w:y="74"/>
            </w:pPr>
            <w:r>
              <w:rPr>
                <w:rFonts w:hint="eastAsia" w:ascii="仿宋" w:hAnsi="仿宋" w:eastAsia="仿宋" w:cs="仿宋"/>
                <w:sz w:val="20"/>
                <w:szCs w:val="20"/>
                <w:highlight w:val="none"/>
              </w:rPr>
            </w:r>
            <w:r/>
          </w:p>
        </w:tc>
        <w:tc>
          <w:tcPr>
            <w:tcW w:w="99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984"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70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96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r>
      <w:tr>
        <w:trPr>
          <w:trHeight w:val="729"/>
        </w:trPr>
        <w:tc>
          <w:tcPr>
            <w:tcW w:w="959"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843" w:type="dxa"/>
            <w:vAlign w:val="center"/>
            <w:textDirection w:val="lrTb"/>
            <w:noWrap w:val="false"/>
          </w:tcPr>
          <w:p>
            <w:pPr>
              <w:pStyle w:val="1245"/>
              <w:jc w:val="center"/>
              <w:rPr>
                <w:rFonts w:hint="eastAsia" w:ascii="仿宋" w:hAnsi="仿宋" w:eastAsia="仿宋" w:cs="仿宋"/>
                <w:sz w:val="20"/>
                <w:szCs w:val="20"/>
                <w:highlight w:val="none"/>
              </w:rPr>
              <w:framePr w:vAnchor="page" w:hAnchor="page" w:xAlign="center" w:y="74"/>
            </w:pPr>
            <w:r>
              <w:rPr>
                <w:rFonts w:hint="eastAsia" w:ascii="仿宋" w:hAnsi="仿宋" w:eastAsia="仿宋" w:cs="仿宋"/>
                <w:sz w:val="20"/>
                <w:szCs w:val="20"/>
                <w:highlight w:val="none"/>
              </w:rPr>
            </w:r>
            <w:r/>
          </w:p>
        </w:tc>
        <w:tc>
          <w:tcPr>
            <w:tcW w:w="99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984"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70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96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r>
      <w:tr>
        <w:trPr>
          <w:trHeight w:val="729"/>
        </w:trPr>
        <w:tc>
          <w:tcPr>
            <w:tcW w:w="959"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843" w:type="dxa"/>
            <w:vAlign w:val="center"/>
            <w:textDirection w:val="lrTb"/>
            <w:noWrap w:val="false"/>
          </w:tcPr>
          <w:p>
            <w:pPr>
              <w:pStyle w:val="1245"/>
              <w:jc w:val="center"/>
              <w:rPr>
                <w:rFonts w:hint="eastAsia" w:ascii="仿宋" w:hAnsi="仿宋" w:eastAsia="仿宋" w:cs="仿宋"/>
                <w:sz w:val="20"/>
                <w:szCs w:val="20"/>
                <w:highlight w:val="none"/>
              </w:rPr>
              <w:framePr w:vAnchor="page" w:hAnchor="page" w:xAlign="center" w:y="74"/>
            </w:pPr>
            <w:r>
              <w:rPr>
                <w:rFonts w:hint="eastAsia" w:ascii="仿宋" w:hAnsi="仿宋" w:eastAsia="仿宋" w:cs="仿宋"/>
                <w:sz w:val="20"/>
                <w:szCs w:val="20"/>
                <w:highlight w:val="none"/>
              </w:rPr>
            </w:r>
            <w:r/>
          </w:p>
        </w:tc>
        <w:tc>
          <w:tcPr>
            <w:tcW w:w="99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984"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70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96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r>
      <w:tr>
        <w:trPr>
          <w:trHeight w:val="729"/>
        </w:trPr>
        <w:tc>
          <w:tcPr>
            <w:tcW w:w="959"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843" w:type="dxa"/>
            <w:vAlign w:val="center"/>
            <w:textDirection w:val="lrTb"/>
            <w:noWrap w:val="false"/>
          </w:tcPr>
          <w:p>
            <w:pPr>
              <w:pStyle w:val="1245"/>
              <w:jc w:val="center"/>
              <w:rPr>
                <w:rFonts w:hint="eastAsia" w:ascii="仿宋" w:hAnsi="仿宋" w:eastAsia="仿宋" w:cs="仿宋"/>
                <w:sz w:val="20"/>
                <w:szCs w:val="20"/>
                <w:highlight w:val="none"/>
              </w:rPr>
              <w:framePr w:vAnchor="page" w:hAnchor="page" w:xAlign="center" w:y="74"/>
            </w:pPr>
            <w:r>
              <w:rPr>
                <w:rFonts w:hint="eastAsia" w:ascii="仿宋" w:hAnsi="仿宋" w:eastAsia="仿宋" w:cs="仿宋"/>
                <w:sz w:val="20"/>
                <w:szCs w:val="20"/>
                <w:highlight w:val="none"/>
              </w:rPr>
            </w:r>
            <w:r/>
          </w:p>
        </w:tc>
        <w:tc>
          <w:tcPr>
            <w:tcW w:w="99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984"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70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96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r>
      <w:tr>
        <w:trPr>
          <w:trHeight w:val="729"/>
        </w:trPr>
        <w:tc>
          <w:tcPr>
            <w:tcW w:w="959"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843" w:type="dxa"/>
            <w:vAlign w:val="center"/>
            <w:textDirection w:val="lrTb"/>
            <w:noWrap w:val="false"/>
          </w:tcPr>
          <w:p>
            <w:pPr>
              <w:pStyle w:val="1245"/>
              <w:jc w:val="center"/>
              <w:rPr>
                <w:rFonts w:hint="eastAsia" w:ascii="仿宋" w:hAnsi="仿宋" w:eastAsia="仿宋" w:cs="仿宋"/>
                <w:sz w:val="20"/>
                <w:szCs w:val="20"/>
                <w:highlight w:val="none"/>
              </w:rPr>
              <w:framePr w:vAnchor="page" w:hAnchor="page" w:xAlign="center" w:y="74"/>
            </w:pPr>
            <w:r>
              <w:rPr>
                <w:rFonts w:hint="eastAsia" w:ascii="仿宋" w:hAnsi="仿宋" w:eastAsia="仿宋" w:cs="仿宋"/>
                <w:sz w:val="20"/>
                <w:szCs w:val="20"/>
                <w:highlight w:val="none"/>
              </w:rPr>
            </w:r>
            <w:r/>
          </w:p>
        </w:tc>
        <w:tc>
          <w:tcPr>
            <w:tcW w:w="99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984"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70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96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r>
      <w:tr>
        <w:trPr>
          <w:trHeight w:val="729"/>
        </w:trPr>
        <w:tc>
          <w:tcPr>
            <w:tcW w:w="959"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843" w:type="dxa"/>
            <w:vAlign w:val="center"/>
            <w:textDirection w:val="lrTb"/>
            <w:noWrap w:val="false"/>
          </w:tcPr>
          <w:p>
            <w:pPr>
              <w:pStyle w:val="1245"/>
              <w:jc w:val="center"/>
              <w:rPr>
                <w:rFonts w:hint="eastAsia" w:ascii="仿宋" w:hAnsi="仿宋" w:eastAsia="仿宋" w:cs="仿宋"/>
                <w:sz w:val="20"/>
                <w:szCs w:val="20"/>
                <w:highlight w:val="none"/>
              </w:rPr>
              <w:framePr w:vAnchor="page" w:hAnchor="page" w:xAlign="center" w:y="74"/>
            </w:pPr>
            <w:r>
              <w:rPr>
                <w:rFonts w:hint="eastAsia" w:ascii="仿宋" w:hAnsi="仿宋" w:eastAsia="仿宋" w:cs="仿宋"/>
                <w:sz w:val="20"/>
                <w:szCs w:val="20"/>
                <w:highlight w:val="none"/>
              </w:rPr>
            </w:r>
            <w:r/>
          </w:p>
        </w:tc>
        <w:tc>
          <w:tcPr>
            <w:tcW w:w="99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984"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70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96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r>
      <w:tr>
        <w:trPr>
          <w:trHeight w:val="729"/>
        </w:trPr>
        <w:tc>
          <w:tcPr>
            <w:tcW w:w="959"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843" w:type="dxa"/>
            <w:vAlign w:val="center"/>
            <w:textDirection w:val="lrTb"/>
            <w:noWrap w:val="false"/>
          </w:tcPr>
          <w:p>
            <w:pPr>
              <w:pStyle w:val="1245"/>
              <w:jc w:val="center"/>
              <w:rPr>
                <w:rFonts w:hint="eastAsia" w:ascii="仿宋" w:hAnsi="仿宋" w:eastAsia="仿宋" w:cs="仿宋"/>
                <w:sz w:val="20"/>
                <w:szCs w:val="20"/>
                <w:highlight w:val="none"/>
              </w:rPr>
              <w:framePr w:vAnchor="page" w:hAnchor="page" w:xAlign="center" w:y="74"/>
            </w:pPr>
            <w:r>
              <w:rPr>
                <w:rFonts w:hint="eastAsia" w:ascii="仿宋" w:hAnsi="仿宋" w:eastAsia="仿宋" w:cs="仿宋"/>
                <w:sz w:val="20"/>
                <w:szCs w:val="20"/>
                <w:highlight w:val="none"/>
              </w:rPr>
            </w:r>
            <w:r/>
          </w:p>
        </w:tc>
        <w:tc>
          <w:tcPr>
            <w:tcW w:w="99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984"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170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c>
          <w:tcPr>
            <w:tcW w:w="962" w:type="dxa"/>
            <w:vAlign w:val="center"/>
            <w:textDirection w:val="lrTb"/>
            <w:noWrap w:val="false"/>
          </w:tcPr>
          <w:p>
            <w:pPr>
              <w:pStyle w:val="1185"/>
              <w:ind w:firstLine="560"/>
              <w:jc w:val="center"/>
              <w:spacing w:line="560" w:lineRule="exact"/>
              <w:widowControl/>
              <w:rPr>
                <w:rFonts w:hint="eastAsia" w:ascii="仿宋" w:hAnsi="仿宋" w:eastAsia="仿宋" w:cs="仿宋"/>
                <w:sz w:val="28"/>
                <w:szCs w:val="28"/>
                <w:highlight w:val="none"/>
              </w:rPr>
              <w:framePr w:vAnchor="page" w:hAnchor="page" w:xAlign="center" w:y="74"/>
            </w:pPr>
            <w:r>
              <w:rPr>
                <w:rFonts w:hint="eastAsia" w:ascii="仿宋" w:hAnsi="仿宋" w:eastAsia="仿宋" w:cs="仿宋"/>
                <w:sz w:val="28"/>
                <w:szCs w:val="28"/>
                <w:highlight w:val="none"/>
              </w:rPr>
            </w:r>
            <w:r/>
          </w:p>
        </w:tc>
      </w:tr>
    </w:tbl>
    <w:p>
      <w:pPr>
        <w:pStyle w:val="783"/>
        <w:ind w:firstLine="210"/>
        <w:spacing w:line="480" w:lineRule="exact"/>
        <w:rPr>
          <w:rFonts w:hint="eastAsia" w:ascii="Times New Roman" w:hAnsi="Times New Roman" w:cs="宋体"/>
          <w:sz w:val="24"/>
          <w:szCs w:val="20"/>
          <w:highlight w:val="none"/>
        </w:rPr>
      </w:pPr>
      <w:r>
        <w:rPr>
          <w:rFonts w:hint="eastAsia" w:ascii="Times New Roman" w:hAnsi="Times New Roman" w:cs="宋体"/>
          <w:sz w:val="24"/>
          <w:szCs w:val="20"/>
          <w:highlight w:val="none"/>
        </w:rPr>
        <w:t xml:space="preserve">注：如投标人中标，项目组成员按本表承诺人员操作，不得随意更换。按采购文件要求附相关人员证书。</w:t>
      </w:r>
      <w:bookmarkStart w:id="160" w:name="_格式2__法定代表人授权书"/>
      <w:r/>
      <w:bookmarkEnd w:id="160"/>
      <w:r>
        <w:rPr>
          <w:rFonts w:hint="eastAsia" w:ascii="Times New Roman" w:hAnsi="Times New Roman" w:cs="宋体"/>
          <w:sz w:val="24"/>
          <w:szCs w:val="20"/>
          <w:highlight w:val="none"/>
        </w:rPr>
      </w:r>
      <w:r/>
    </w:p>
    <w:p>
      <w:pPr>
        <w:pStyle w:val="783"/>
        <w:ind w:firstLine="210"/>
        <w:rPr>
          <w:rFonts w:hint="eastAsia" w:ascii="仿宋" w:hAnsi="仿宋" w:eastAsia="仿宋" w:cs="仿宋"/>
          <w:szCs w:val="21"/>
          <w:highlight w:val="none"/>
        </w:rPr>
      </w:pPr>
      <w:r>
        <w:rPr>
          <w:rFonts w:hint="eastAsia" w:ascii="仿宋" w:hAnsi="仿宋" w:eastAsia="仿宋" w:cs="仿宋"/>
          <w:szCs w:val="21"/>
          <w:highlight w:val="none"/>
        </w:rPr>
      </w:r>
      <w:r/>
    </w:p>
    <w:p>
      <w:pPr>
        <w:pStyle w:val="783"/>
        <w:ind w:firstLine="210"/>
        <w:rPr>
          <w:rFonts w:hint="eastAsia" w:ascii="仿宋" w:hAnsi="仿宋" w:eastAsia="仿宋" w:cs="仿宋"/>
          <w:szCs w:val="21"/>
          <w:highlight w:val="none"/>
        </w:rPr>
      </w:pPr>
      <w:r>
        <w:rPr>
          <w:rFonts w:hint="eastAsia" w:ascii="仿宋" w:hAnsi="仿宋" w:eastAsia="仿宋" w:cs="仿宋"/>
          <w:szCs w:val="21"/>
          <w:highlight w:val="none"/>
        </w:rPr>
      </w:r>
      <w:r/>
    </w:p>
    <w:p>
      <w:pPr>
        <w:pStyle w:val="1113"/>
        <w:ind w:left="210"/>
        <w:rPr>
          <w:rFonts w:hint="eastAsia" w:ascii="宋体"/>
          <w:b w:val="0"/>
          <w:szCs w:val="32"/>
          <w:highlight w:val="none"/>
        </w:rPr>
        <w:outlineLvl w:val="1"/>
      </w:pPr>
      <w:r>
        <w:rPr>
          <w:rFonts w:hint="eastAsia" w:ascii="宋体"/>
          <w:b w:val="0"/>
          <w:szCs w:val="32"/>
          <w:highlight w:val="none"/>
        </w:rPr>
        <w:br w:type="page" w:clear="all"/>
      </w:r>
      <w:r>
        <w:rPr>
          <w:rFonts w:hint="eastAsia" w:ascii="宋体"/>
          <w:b w:val="0"/>
          <w:szCs w:val="32"/>
          <w:highlight w:val="none"/>
        </w:rPr>
        <w:t xml:space="preserve">九、企业业绩</w:t>
      </w:r>
      <w:bookmarkEnd w:id="158"/>
      <w:r/>
      <w:bookmarkEnd w:id="159"/>
      <w:r>
        <w:rPr>
          <w:rFonts w:hint="eastAsia" w:ascii="宋体"/>
          <w:b w:val="0"/>
          <w:szCs w:val="32"/>
          <w:highlight w:val="none"/>
        </w:rPr>
      </w:r>
      <w:r/>
    </w:p>
    <w:p>
      <w:pPr>
        <w:pStyle w:val="1121"/>
        <w:jc w:val="center"/>
        <w:rPr>
          <w:rFonts w:ascii="方正小标宋_GBK" w:eastAsia="方正小标宋_GBK"/>
          <w:bCs/>
          <w:sz w:val="32"/>
          <w:szCs w:val="32"/>
          <w:highlight w:val="none"/>
        </w:rPr>
      </w:pPr>
      <w:r>
        <w:rPr>
          <w:rFonts w:hint="eastAsia" w:ascii="方正小标宋_GBK" w:eastAsia="方正小标宋_GBK"/>
          <w:bCs/>
          <w:sz w:val="32"/>
          <w:szCs w:val="32"/>
          <w:highlight w:val="none"/>
        </w:rPr>
        <w:t xml:space="preserve">投标人</w:t>
      </w:r>
      <w:bookmarkStart w:id="161" w:name="_Hlk187935031"/>
      <w:r>
        <w:rPr>
          <w:rFonts w:hint="eastAsia" w:ascii="方正小标宋_GBK" w:eastAsia="方正小标宋_GBK"/>
          <w:bCs/>
          <w:sz w:val="32"/>
          <w:szCs w:val="32"/>
          <w:highlight w:val="none"/>
        </w:rPr>
        <w:t xml:space="preserve">自</w:t>
      </w:r>
      <w:r>
        <w:rPr>
          <w:rFonts w:hint="eastAsia" w:ascii="方正小标宋_GBK" w:eastAsia="方正小标宋_GBK"/>
          <w:bCs/>
          <w:sz w:val="32"/>
          <w:szCs w:val="32"/>
          <w:highlight w:val="none"/>
          <w:u w:val="single"/>
        </w:rPr>
        <w:t xml:space="preserve">   </w:t>
      </w:r>
      <w:r>
        <w:rPr>
          <w:rFonts w:hint="eastAsia" w:ascii="方正小标宋_GBK" w:eastAsia="方正小标宋_GBK"/>
          <w:bCs/>
          <w:sz w:val="32"/>
          <w:szCs w:val="32"/>
          <w:highlight w:val="none"/>
        </w:rPr>
        <w:t xml:space="preserve">年</w:t>
      </w:r>
      <w:r>
        <w:rPr>
          <w:rFonts w:hint="eastAsia" w:ascii="方正小标宋_GBK" w:eastAsia="方正小标宋_GBK"/>
          <w:bCs/>
          <w:sz w:val="32"/>
          <w:szCs w:val="32"/>
          <w:highlight w:val="none"/>
          <w:u w:val="single"/>
        </w:rPr>
        <w:t xml:space="preserve">   </w:t>
      </w:r>
      <w:r>
        <w:rPr>
          <w:rFonts w:hint="eastAsia" w:ascii="方正小标宋_GBK" w:eastAsia="方正小标宋_GBK"/>
          <w:bCs/>
          <w:sz w:val="32"/>
          <w:szCs w:val="32"/>
          <w:highlight w:val="none"/>
        </w:rPr>
        <w:t xml:space="preserve">月</w:t>
      </w:r>
      <w:r>
        <w:rPr>
          <w:rFonts w:hint="eastAsia" w:ascii="方正小标宋_GBK" w:eastAsia="方正小标宋_GBK"/>
          <w:bCs/>
          <w:sz w:val="32"/>
          <w:szCs w:val="32"/>
          <w:highlight w:val="none"/>
          <w:u w:val="single"/>
        </w:rPr>
        <w:t xml:space="preserve">   </w:t>
      </w:r>
      <w:r>
        <w:rPr>
          <w:rFonts w:hint="eastAsia" w:ascii="方正小标宋_GBK" w:eastAsia="方正小标宋_GBK"/>
          <w:bCs/>
          <w:sz w:val="32"/>
          <w:szCs w:val="32"/>
          <w:highlight w:val="none"/>
        </w:rPr>
        <w:t xml:space="preserve">日以来承担</w:t>
      </w:r>
      <w:r>
        <w:rPr>
          <w:rFonts w:ascii="方正小标宋_GBK" w:eastAsia="方正小标宋_GBK"/>
          <w:bCs/>
          <w:sz w:val="32"/>
          <w:szCs w:val="32"/>
          <w:highlight w:val="none"/>
        </w:rPr>
      </w:r>
      <w:r/>
    </w:p>
    <w:p>
      <w:pPr>
        <w:pStyle w:val="1121"/>
        <w:jc w:val="center"/>
        <w:rPr>
          <w:rFonts w:hint="eastAsia" w:ascii="方正小标宋_GBK" w:eastAsia="方正小标宋_GBK"/>
          <w:bCs/>
          <w:sz w:val="32"/>
          <w:szCs w:val="32"/>
          <w:highlight w:val="none"/>
        </w:rPr>
      </w:pPr>
      <w:r>
        <w:rPr>
          <w:rFonts w:hint="eastAsia" w:ascii="方正小标宋_GBK" w:eastAsia="方正小标宋_GBK"/>
          <w:bCs/>
          <w:sz w:val="32"/>
          <w:szCs w:val="32"/>
          <w:highlight w:val="none"/>
        </w:rPr>
        <w:t xml:space="preserve">类似项目业绩一览表</w:t>
      </w:r>
      <w:r>
        <w:rPr>
          <w:rFonts w:hint="eastAsia" w:ascii="方正小标宋_GBK" w:eastAsia="方正小标宋_GBK"/>
          <w:bCs/>
          <w:sz w:val="32"/>
          <w:szCs w:val="32"/>
          <w:highlight w:val="none"/>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122"/>
              <w:jc w:val="center"/>
              <w:spacing w:line="560" w:lineRule="exact"/>
              <w:rPr>
                <w:rFonts w:ascii="仿宋_GB2312" w:eastAsia="仿宋_GB2312"/>
                <w:sz w:val="28"/>
                <w:szCs w:val="28"/>
                <w:highlight w:val="none"/>
              </w:rPr>
            </w:pPr>
            <w:r/>
            <w:bookmarkEnd w:id="161"/>
            <w:r>
              <w:rPr>
                <w:rFonts w:hint="eastAsia" w:ascii="仿宋_GB2312" w:eastAsia="仿宋_GB2312"/>
                <w:sz w:val="28"/>
                <w:szCs w:val="28"/>
                <w:highlight w:val="none"/>
              </w:rPr>
              <w:t xml:space="preserve">序号</w:t>
            </w:r>
            <w:r>
              <w:rPr>
                <w:rFonts w:ascii="仿宋_GB2312" w:eastAsia="仿宋_GB2312"/>
                <w:sz w:val="28"/>
                <w:szCs w:val="28"/>
                <w:highlight w:val="none"/>
              </w:rPr>
            </w:r>
            <w:r/>
          </w:p>
        </w:tc>
        <w:tc>
          <w:tcPr>
            <w:tcW w:w="3827" w:type="dxa"/>
            <w:vAlign w:val="center"/>
            <w:textDirection w:val="lrTb"/>
            <w:noWrap w:val="false"/>
          </w:tcPr>
          <w:p>
            <w:pPr>
              <w:pStyle w:val="1122"/>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项目名称</w:t>
            </w:r>
            <w:r>
              <w:rPr>
                <w:rFonts w:ascii="仿宋_GB2312" w:eastAsia="仿宋_GB2312"/>
                <w:sz w:val="28"/>
                <w:szCs w:val="28"/>
                <w:highlight w:val="none"/>
              </w:rPr>
            </w:r>
            <w:r/>
          </w:p>
        </w:tc>
        <w:tc>
          <w:tcPr>
            <w:tcW w:w="2433" w:type="dxa"/>
            <w:vAlign w:val="center"/>
            <w:textDirection w:val="lrTb"/>
            <w:noWrap w:val="false"/>
          </w:tcPr>
          <w:p>
            <w:pPr>
              <w:pStyle w:val="1122"/>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采购单位</w:t>
            </w:r>
            <w:r>
              <w:rPr>
                <w:rFonts w:ascii="仿宋_GB2312" w:eastAsia="仿宋_GB2312"/>
                <w:sz w:val="28"/>
                <w:szCs w:val="28"/>
                <w:highlight w:val="none"/>
              </w:rPr>
            </w:r>
            <w:r/>
          </w:p>
        </w:tc>
        <w:tc>
          <w:tcPr>
            <w:tcW w:w="1395" w:type="dxa"/>
            <w:vAlign w:val="center"/>
            <w:textDirection w:val="lrTb"/>
            <w:noWrap w:val="false"/>
          </w:tcPr>
          <w:p>
            <w:pPr>
              <w:pStyle w:val="1122"/>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服务主要内容</w:t>
            </w:r>
            <w:r>
              <w:rPr>
                <w:rFonts w:ascii="仿宋_GB2312" w:eastAsia="仿宋_GB2312"/>
                <w:sz w:val="28"/>
                <w:szCs w:val="28"/>
                <w:highlight w:val="none"/>
              </w:rPr>
            </w:r>
            <w:r/>
          </w:p>
        </w:tc>
      </w:tr>
      <w:tr>
        <w:trPr>
          <w:trHeight w:val="1510"/>
        </w:trPr>
        <w:tc>
          <w:tcPr>
            <w:tcW w:w="1229" w:type="dxa"/>
            <w:vAlign w:val="top"/>
            <w:textDirection w:val="lrTb"/>
            <w:noWrap w:val="false"/>
          </w:tcPr>
          <w:p>
            <w:pPr>
              <w:pStyle w:val="1122"/>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122"/>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122"/>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122"/>
              <w:jc w:val="center"/>
              <w:spacing w:line="560" w:lineRule="exact"/>
              <w:rPr>
                <w:rFonts w:ascii="仿宋_GB2312" w:eastAsia="仿宋_GB2312"/>
                <w:sz w:val="28"/>
                <w:highlight w:val="none"/>
              </w:rPr>
            </w:pPr>
            <w:r>
              <w:rPr>
                <w:rFonts w:ascii="仿宋_GB2312" w:eastAsia="仿宋_GB2312"/>
                <w:sz w:val="28"/>
                <w:highlight w:val="none"/>
              </w:rPr>
            </w:r>
            <w:r/>
          </w:p>
        </w:tc>
      </w:tr>
      <w:tr>
        <w:trPr>
          <w:trHeight w:val="1510"/>
        </w:trPr>
        <w:tc>
          <w:tcPr>
            <w:tcW w:w="1229" w:type="dxa"/>
            <w:vAlign w:val="top"/>
            <w:textDirection w:val="lrTb"/>
            <w:noWrap w:val="false"/>
          </w:tcPr>
          <w:p>
            <w:pPr>
              <w:pStyle w:val="1122"/>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122"/>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122"/>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122"/>
              <w:jc w:val="center"/>
              <w:spacing w:line="560" w:lineRule="exact"/>
              <w:rPr>
                <w:rFonts w:ascii="仿宋_GB2312" w:eastAsia="仿宋_GB2312"/>
                <w:sz w:val="28"/>
                <w:highlight w:val="none"/>
              </w:rPr>
            </w:pPr>
            <w:r>
              <w:rPr>
                <w:rFonts w:ascii="仿宋_GB2312" w:eastAsia="仿宋_GB2312"/>
                <w:sz w:val="28"/>
                <w:highlight w:val="none"/>
              </w:rPr>
            </w:r>
            <w:r/>
          </w:p>
        </w:tc>
      </w:tr>
      <w:tr>
        <w:trPr>
          <w:trHeight w:val="1510"/>
        </w:trPr>
        <w:tc>
          <w:tcPr>
            <w:tcW w:w="1229" w:type="dxa"/>
            <w:vAlign w:val="top"/>
            <w:textDirection w:val="lrTb"/>
            <w:noWrap w:val="false"/>
          </w:tcPr>
          <w:p>
            <w:pPr>
              <w:pStyle w:val="1122"/>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122"/>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122"/>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122"/>
              <w:jc w:val="center"/>
              <w:spacing w:line="560" w:lineRule="exact"/>
              <w:rPr>
                <w:rFonts w:ascii="仿宋_GB2312" w:eastAsia="仿宋_GB2312"/>
                <w:sz w:val="28"/>
                <w:highlight w:val="none"/>
              </w:rPr>
            </w:pPr>
            <w:r>
              <w:rPr>
                <w:rFonts w:ascii="仿宋_GB2312" w:eastAsia="仿宋_GB2312"/>
                <w:sz w:val="28"/>
                <w:highlight w:val="none"/>
              </w:rPr>
            </w:r>
            <w:r/>
          </w:p>
        </w:tc>
      </w:tr>
      <w:tr>
        <w:trPr>
          <w:trHeight w:val="1525"/>
        </w:trPr>
        <w:tc>
          <w:tcPr>
            <w:tcW w:w="1229" w:type="dxa"/>
            <w:vAlign w:val="top"/>
            <w:textDirection w:val="lrTb"/>
            <w:noWrap w:val="false"/>
          </w:tcPr>
          <w:p>
            <w:pPr>
              <w:pStyle w:val="1122"/>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122"/>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122"/>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122"/>
              <w:jc w:val="center"/>
              <w:spacing w:line="560" w:lineRule="exact"/>
              <w:rPr>
                <w:rFonts w:ascii="仿宋_GB2312" w:eastAsia="仿宋_GB2312"/>
                <w:sz w:val="28"/>
                <w:highlight w:val="none"/>
              </w:rPr>
            </w:pPr>
            <w:r>
              <w:rPr>
                <w:rFonts w:ascii="仿宋_GB2312" w:eastAsia="仿宋_GB2312"/>
                <w:sz w:val="28"/>
                <w:highlight w:val="none"/>
              </w:rPr>
            </w:r>
            <w:r/>
          </w:p>
        </w:tc>
      </w:tr>
    </w:tbl>
    <w:p>
      <w:pPr>
        <w:pStyle w:val="1121"/>
        <w:rPr>
          <w:rFonts w:ascii="宋体" w:hAnsi="宋体"/>
          <w:bCs/>
          <w:highlight w:val="none"/>
        </w:rPr>
      </w:pPr>
      <w:r>
        <w:rPr>
          <w:rFonts w:hint="eastAsia" w:ascii="宋体" w:hAnsi="宋体"/>
          <w:bCs/>
          <w:sz w:val="24"/>
          <w:highlight w:val="none"/>
        </w:rPr>
        <w:t xml:space="preserve">注：请填写此表，并按要求提交业绩资料。</w:t>
      </w:r>
      <w:r>
        <w:rPr>
          <w:rFonts w:ascii="宋体" w:hAnsi="宋体"/>
          <w:bCs/>
          <w:highlight w:val="none"/>
        </w:rPr>
      </w:r>
      <w:r/>
    </w:p>
    <w:p>
      <w:pPr>
        <w:pStyle w:val="783"/>
        <w:numPr>
          <w:ilvl w:val="0"/>
          <w:numId w:val="23"/>
        </w:numPr>
        <w:spacing w:line="480" w:lineRule="exact"/>
        <w:rPr>
          <w:rFonts w:hint="eastAsia" w:ascii="宋体" w:hAnsi="黑体" w:eastAsia="黑体" w:cs="黑体"/>
          <w:sz w:val="32"/>
          <w:szCs w:val="32"/>
          <w:highlight w:val="none"/>
        </w:rPr>
        <w:outlineLvl w:val="1"/>
      </w:pPr>
      <w:r>
        <w:rPr>
          <w:rFonts w:ascii="宋体" w:hAnsi="宋体"/>
          <w:bCs/>
          <w:highlight w:val="none"/>
        </w:rPr>
        <w:br w:type="page" w:clear="all"/>
      </w:r>
      <w:bookmarkStart w:id="162" w:name="_Toc26048"/>
      <w:r/>
      <w:bookmarkStart w:id="163" w:name="_Toc9275"/>
      <w:r>
        <w:rPr>
          <w:rFonts w:hint="eastAsia" w:ascii="宋体" w:hAnsi="黑体" w:eastAsia="黑体" w:cs="黑体"/>
          <w:sz w:val="32"/>
          <w:szCs w:val="32"/>
          <w:highlight w:val="none"/>
        </w:rPr>
        <w:t xml:space="preserve">方案</w:t>
      </w:r>
      <w:r>
        <w:rPr>
          <w:rFonts w:hint="eastAsia" w:ascii="宋体" w:hAnsi="黑体" w:eastAsia="黑体" w:cs="黑体"/>
          <w:sz w:val="32"/>
          <w:szCs w:val="32"/>
          <w:highlight w:val="none"/>
        </w:rPr>
      </w:r>
      <w:r/>
    </w:p>
    <w:p>
      <w:pPr>
        <w:pStyle w:val="1125"/>
        <w:ind w:firstLine="420"/>
        <w:spacing w:line="480" w:lineRule="exact"/>
        <w:rPr>
          <w:rFonts w:hint="eastAsia"/>
          <w:sz w:val="24"/>
          <w:szCs w:val="24"/>
          <w:highlight w:val="none"/>
        </w:rPr>
      </w:pPr>
      <w:r>
        <w:rPr>
          <w:rFonts w:hint="eastAsia"/>
          <w:sz w:val="24"/>
          <w:szCs w:val="24"/>
          <w:highlight w:val="none"/>
        </w:rPr>
        <w:t xml:space="preserve">格式自拟，包括但不限于以下方案：</w:t>
      </w:r>
      <w:r>
        <w:rPr>
          <w:rFonts w:hint="eastAsia"/>
          <w:sz w:val="24"/>
          <w:szCs w:val="24"/>
          <w:highlight w:val="none"/>
        </w:rPr>
      </w:r>
      <w:r/>
    </w:p>
    <w:p>
      <w:pPr>
        <w:pStyle w:val="1125"/>
        <w:ind w:firstLine="420"/>
        <w:spacing w:line="480" w:lineRule="exact"/>
        <w:rPr>
          <w:rFonts w:hint="eastAsia"/>
          <w:sz w:val="24"/>
          <w:szCs w:val="24"/>
          <w:highlight w:val="none"/>
        </w:rPr>
      </w:pPr>
      <w:r>
        <w:rPr>
          <w:rFonts w:hint="eastAsia"/>
          <w:sz w:val="24"/>
          <w:szCs w:val="24"/>
          <w:highlight w:val="none"/>
        </w:rPr>
        <w:t xml:space="preserve">1、项目实施方案</w:t>
      </w:r>
      <w:r>
        <w:rPr>
          <w:rFonts w:hint="eastAsia"/>
          <w:sz w:val="24"/>
          <w:szCs w:val="24"/>
          <w:highlight w:val="none"/>
        </w:rPr>
      </w:r>
      <w:r/>
    </w:p>
    <w:p>
      <w:pPr>
        <w:pStyle w:val="1125"/>
        <w:ind w:firstLine="420"/>
        <w:spacing w:line="480" w:lineRule="exact"/>
        <w:rPr>
          <w:rFonts w:hint="eastAsia"/>
          <w:sz w:val="24"/>
          <w:szCs w:val="24"/>
          <w:highlight w:val="none"/>
        </w:rPr>
      </w:pPr>
      <w:r>
        <w:rPr>
          <w:rFonts w:hint="eastAsia"/>
          <w:sz w:val="24"/>
          <w:szCs w:val="24"/>
          <w:highlight w:val="none"/>
        </w:rPr>
        <w:t xml:space="preserve">2、售后服务方案</w:t>
      </w:r>
      <w:r>
        <w:rPr>
          <w:rFonts w:hint="eastAsia"/>
          <w:sz w:val="24"/>
          <w:szCs w:val="24"/>
          <w:highlight w:val="none"/>
        </w:rPr>
      </w:r>
      <w:r/>
    </w:p>
    <w:p>
      <w:pPr>
        <w:pStyle w:val="1125"/>
        <w:ind w:firstLine="420"/>
        <w:spacing w:line="480" w:lineRule="exact"/>
        <w:rPr>
          <w:rFonts w:hint="eastAsia"/>
          <w:sz w:val="24"/>
          <w:szCs w:val="24"/>
          <w:highlight w:val="none"/>
        </w:rPr>
      </w:pPr>
      <w:r>
        <w:rPr>
          <w:rFonts w:hint="eastAsia"/>
          <w:sz w:val="24"/>
          <w:szCs w:val="24"/>
          <w:highlight w:val="none"/>
        </w:rPr>
        <w:t xml:space="preserve">3、培训方案</w:t>
      </w:r>
      <w:r>
        <w:rPr>
          <w:rFonts w:hint="eastAsia"/>
          <w:sz w:val="24"/>
          <w:szCs w:val="24"/>
          <w:highlight w:val="none"/>
        </w:rPr>
      </w:r>
      <w:r/>
    </w:p>
    <w:p>
      <w:pPr>
        <w:pStyle w:val="783"/>
        <w:rPr>
          <w:rFonts w:hint="eastAsia"/>
          <w:highlight w:val="none"/>
        </w:rPr>
      </w:pPr>
      <w:r>
        <w:rPr>
          <w:rFonts w:hint="eastAsia"/>
          <w:highlight w:val="none"/>
        </w:rPr>
        <w:br w:type="page" w:clear="all"/>
      </w:r>
      <w:r>
        <w:rPr>
          <w:rFonts w:hint="eastAsia"/>
          <w:highlight w:val="none"/>
        </w:rPr>
      </w:r>
      <w:r/>
    </w:p>
    <w:p>
      <w:pPr>
        <w:pStyle w:val="783"/>
        <w:numPr>
          <w:ilvl w:val="0"/>
          <w:numId w:val="23"/>
        </w:numPr>
        <w:spacing w:line="480" w:lineRule="exact"/>
        <w:rPr>
          <w:rFonts w:hint="eastAsia" w:ascii="宋体" w:hAnsi="黑体" w:eastAsia="黑体" w:cs="黑体"/>
          <w:sz w:val="32"/>
          <w:szCs w:val="32"/>
          <w:highlight w:val="none"/>
        </w:rPr>
        <w:outlineLvl w:val="1"/>
      </w:pPr>
      <w:r>
        <w:rPr>
          <w:rFonts w:hint="eastAsia" w:ascii="宋体" w:hAnsi="黑体" w:eastAsia="黑体" w:cs="黑体"/>
          <w:sz w:val="32"/>
          <w:szCs w:val="32"/>
          <w:highlight w:val="none"/>
        </w:rPr>
        <w:t xml:space="preserve">投标所需其他材料</w:t>
      </w:r>
      <w:bookmarkEnd w:id="162"/>
      <w:r/>
      <w:bookmarkEnd w:id="163"/>
      <w:r>
        <w:rPr>
          <w:rFonts w:hint="eastAsia" w:ascii="宋体" w:hAnsi="黑体" w:eastAsia="黑体" w:cs="黑体"/>
          <w:sz w:val="32"/>
          <w:szCs w:val="32"/>
          <w:highlight w:val="none"/>
        </w:rPr>
      </w:r>
      <w:r/>
    </w:p>
    <w:p>
      <w:pPr>
        <w:pStyle w:val="1125"/>
        <w:ind w:firstLine="420"/>
        <w:spacing w:line="480" w:lineRule="exact"/>
        <w:rPr>
          <w:sz w:val="24"/>
          <w:szCs w:val="24"/>
          <w:highlight w:val="none"/>
        </w:rPr>
      </w:pPr>
      <w:r>
        <w:rPr>
          <w:rFonts w:hint="eastAsia"/>
          <w:sz w:val="24"/>
          <w:szCs w:val="24"/>
          <w:highlight w:val="none"/>
        </w:rPr>
        <w:t xml:space="preserve">请在此文档中增加投标所需其他相关内容（包括评分办法、采购需求中涉及的证件证明及其它投标人认为有必要提供的资料），如没有请将此空文档上传。</w:t>
      </w:r>
      <w:r>
        <w:rPr>
          <w:sz w:val="24"/>
          <w:szCs w:val="24"/>
          <w:highlight w:val="none"/>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36"/>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783"/>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36"/>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783"/>
                    </w:pPr>
                    <w:r/>
                    <w:r/>
                  </w:p>
                </w:txbxContent>
              </v:textbox>
            </v:shape>
          </w:pict>
        </mc:Fallback>
      </mc:AlternateContent>
    </w:r>
    <w:r/>
  </w:p>
  <w:p>
    <w:pPr>
      <w:pStyle w:val="83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3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83"/>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3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83"/>
                    </w:pPr>
                    <w:r/>
                    <w:r/>
                  </w:p>
                </w:txbxContent>
              </v:textbox>
            </v:shape>
          </w:pict>
        </mc:Fallback>
      </mc:AlternateContent>
    </w:r>
    <w:r/>
  </w:p>
  <w:p>
    <w:pPr>
      <w:pStyle w:val="836"/>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83"/>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nothing"/>
      <w:lvlText w:val="%1."/>
      <w:lvlJc w:val="left"/>
      <w:pPr>
        <w:pStyle w:val="78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7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83"/>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7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83"/>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93"/>
      <w:isLgl w:val="false"/>
      <w:suff w:val="nothing"/>
      <w:lvlText w:val="%1、"/>
      <w:lvlJc w:val="left"/>
      <w:pPr>
        <w:pStyle w:val="783"/>
      </w:pPr>
    </w:lvl>
    <w:lvl w:ilvl="1">
      <w:start w:val="1"/>
      <w:numFmt w:val="bullet"/>
      <w:isLgl w:val="false"/>
      <w:suff w:val="tab"/>
      <w:lvlText w:val="o"/>
      <w:lvlJc w:val="left"/>
      <w:pPr>
        <w:pStyle w:val="783"/>
        <w:ind w:left="1440" w:hanging="360"/>
      </w:pPr>
      <w:rPr>
        <w:rFonts w:ascii="Courier New" w:hAnsi="Courier New" w:eastAsia="Courier New" w:cs="Courier New"/>
      </w:rPr>
    </w:lvl>
    <w:lvl w:ilvl="2">
      <w:start w:val="1"/>
      <w:numFmt w:val="bullet"/>
      <w:isLgl w:val="false"/>
      <w:suff w:val="tab"/>
      <w:lvlText w:val="§"/>
      <w:lvlJc w:val="left"/>
      <w:pPr>
        <w:pStyle w:val="783"/>
        <w:ind w:left="2160" w:hanging="360"/>
      </w:pPr>
      <w:rPr>
        <w:rFonts w:ascii="Wingdings" w:hAnsi="Wingdings" w:eastAsia="Wingdings" w:cs="Wingdings"/>
      </w:rPr>
    </w:lvl>
    <w:lvl w:ilvl="3">
      <w:start w:val="1"/>
      <w:numFmt w:val="bullet"/>
      <w:isLgl w:val="false"/>
      <w:suff w:val="tab"/>
      <w:lvlText w:val="·"/>
      <w:lvlJc w:val="left"/>
      <w:pPr>
        <w:pStyle w:val="783"/>
        <w:ind w:left="2880" w:hanging="360"/>
      </w:pPr>
      <w:rPr>
        <w:rFonts w:ascii="Symbol" w:hAnsi="Symbol" w:eastAsia="Symbol" w:cs="Symbol"/>
      </w:rPr>
    </w:lvl>
    <w:lvl w:ilvl="4">
      <w:start w:val="1"/>
      <w:numFmt w:val="bullet"/>
      <w:isLgl w:val="false"/>
      <w:suff w:val="tab"/>
      <w:lvlText w:val="o"/>
      <w:lvlJc w:val="left"/>
      <w:pPr>
        <w:pStyle w:val="783"/>
        <w:ind w:left="3600" w:hanging="360"/>
      </w:pPr>
      <w:rPr>
        <w:rFonts w:ascii="Courier New" w:hAnsi="Courier New" w:eastAsia="Courier New" w:cs="Courier New"/>
      </w:rPr>
    </w:lvl>
    <w:lvl w:ilvl="5">
      <w:start w:val="1"/>
      <w:numFmt w:val="bullet"/>
      <w:isLgl w:val="false"/>
      <w:suff w:val="tab"/>
      <w:lvlText w:val="§"/>
      <w:lvlJc w:val="left"/>
      <w:pPr>
        <w:pStyle w:val="783"/>
        <w:ind w:left="4320" w:hanging="360"/>
      </w:pPr>
      <w:rPr>
        <w:rFonts w:ascii="Wingdings" w:hAnsi="Wingdings" w:eastAsia="Wingdings" w:cs="Wingdings"/>
      </w:rPr>
    </w:lvl>
    <w:lvl w:ilvl="6">
      <w:start w:val="1"/>
      <w:numFmt w:val="bullet"/>
      <w:isLgl w:val="false"/>
      <w:suff w:val="tab"/>
      <w:lvlText w:val="·"/>
      <w:lvlJc w:val="left"/>
      <w:pPr>
        <w:pStyle w:val="783"/>
        <w:ind w:left="5040" w:hanging="360"/>
      </w:pPr>
      <w:rPr>
        <w:rFonts w:ascii="Symbol" w:hAnsi="Symbol" w:eastAsia="Symbol" w:cs="Symbol"/>
      </w:rPr>
    </w:lvl>
    <w:lvl w:ilvl="7">
      <w:start w:val="1"/>
      <w:numFmt w:val="bullet"/>
      <w:isLgl w:val="false"/>
      <w:suff w:val="tab"/>
      <w:lvlText w:val="o"/>
      <w:lvlJc w:val="left"/>
      <w:pPr>
        <w:pStyle w:val="783"/>
        <w:ind w:left="5760" w:hanging="360"/>
      </w:pPr>
      <w:rPr>
        <w:rFonts w:ascii="Courier New" w:hAnsi="Courier New" w:eastAsia="Courier New" w:cs="Courier New"/>
      </w:rPr>
    </w:lvl>
    <w:lvl w:ilvl="8">
      <w:start w:val="1"/>
      <w:numFmt w:val="bullet"/>
      <w:isLgl w:val="false"/>
      <w:suff w:val="tab"/>
      <w:lvlText w:val="§"/>
      <w:lvlJc w:val="left"/>
      <w:pPr>
        <w:pStyle w:val="783"/>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8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83"/>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japaneseCounting"/>
      <w:isLgl w:val="false"/>
      <w:suff w:val="tab"/>
      <w:lvlText w:val="（%1）"/>
      <w:lvlJc w:val="left"/>
      <w:pPr>
        <w:pStyle w:val="783"/>
        <w:ind w:left="720" w:hanging="720"/>
      </w:pPr>
    </w:lvl>
    <w:lvl w:ilvl="1">
      <w:start w:val="1"/>
      <w:numFmt w:val="lowerLetter"/>
      <w:isLgl w:val="false"/>
      <w:suff w:val="tab"/>
      <w:lvlText w:val="%2)"/>
      <w:lvlJc w:val="left"/>
      <w:pPr>
        <w:pStyle w:val="783"/>
        <w:ind w:left="880" w:hanging="440"/>
      </w:pPr>
    </w:lvl>
    <w:lvl w:ilvl="2">
      <w:start w:val="1"/>
      <w:numFmt w:val="lowerRoman"/>
      <w:isLgl w:val="false"/>
      <w:suff w:val="tab"/>
      <w:lvlText w:val="%3."/>
      <w:lvlJc w:val="right"/>
      <w:pPr>
        <w:pStyle w:val="783"/>
        <w:ind w:left="1320" w:hanging="440"/>
      </w:pPr>
    </w:lvl>
    <w:lvl w:ilvl="3">
      <w:start w:val="1"/>
      <w:numFmt w:val="decimal"/>
      <w:isLgl w:val="false"/>
      <w:suff w:val="tab"/>
      <w:lvlText w:val="%4."/>
      <w:lvlJc w:val="left"/>
      <w:pPr>
        <w:pStyle w:val="783"/>
        <w:ind w:left="1760" w:hanging="440"/>
      </w:pPr>
    </w:lvl>
    <w:lvl w:ilvl="4">
      <w:start w:val="1"/>
      <w:numFmt w:val="lowerLetter"/>
      <w:isLgl w:val="false"/>
      <w:suff w:val="tab"/>
      <w:lvlText w:val="%5)"/>
      <w:lvlJc w:val="left"/>
      <w:pPr>
        <w:pStyle w:val="783"/>
        <w:ind w:left="2200" w:hanging="440"/>
      </w:pPr>
    </w:lvl>
    <w:lvl w:ilvl="5">
      <w:start w:val="1"/>
      <w:numFmt w:val="lowerRoman"/>
      <w:isLgl w:val="false"/>
      <w:suff w:val="tab"/>
      <w:lvlText w:val="%6."/>
      <w:lvlJc w:val="right"/>
      <w:pPr>
        <w:pStyle w:val="783"/>
        <w:ind w:left="2640" w:hanging="440"/>
      </w:pPr>
    </w:lvl>
    <w:lvl w:ilvl="6">
      <w:start w:val="1"/>
      <w:numFmt w:val="decimal"/>
      <w:isLgl w:val="false"/>
      <w:suff w:val="tab"/>
      <w:lvlText w:val="%7."/>
      <w:lvlJc w:val="left"/>
      <w:pPr>
        <w:pStyle w:val="783"/>
        <w:ind w:left="3080" w:hanging="440"/>
      </w:pPr>
    </w:lvl>
    <w:lvl w:ilvl="7">
      <w:start w:val="1"/>
      <w:numFmt w:val="lowerLetter"/>
      <w:isLgl w:val="false"/>
      <w:suff w:val="tab"/>
      <w:lvlText w:val="%8)"/>
      <w:lvlJc w:val="left"/>
      <w:pPr>
        <w:pStyle w:val="783"/>
        <w:ind w:left="3520" w:hanging="440"/>
      </w:pPr>
    </w:lvl>
    <w:lvl w:ilvl="8">
      <w:start w:val="1"/>
      <w:numFmt w:val="lowerRoman"/>
      <w:isLgl w:val="false"/>
      <w:suff w:val="tab"/>
      <w:lvlText w:val="%9."/>
      <w:lvlJc w:val="right"/>
      <w:pPr>
        <w:pStyle w:val="783"/>
        <w:ind w:left="3960" w:hanging="440"/>
      </w:pPr>
    </w:lvl>
  </w:abstractNum>
  <w:abstractNum w:abstractNumId="12">
    <w:multiLevelType w:val="hybridMultilevel"/>
    <w:lvl w:ilvl="0">
      <w:start w:val="1"/>
      <w:numFmt w:val="chineseCounting"/>
      <w:pStyle w:val="1208"/>
      <w:isLgl w:val="false"/>
      <w:suff w:val="nothing"/>
      <w:lvlText w:val="%1、"/>
      <w:lvlJc w:val="left"/>
      <w:pPr>
        <w:pStyle w:val="783"/>
      </w:pPr>
      <w:rPr>
        <w:rFonts w:hint="eastAsia"/>
      </w:rPr>
    </w:lvl>
    <w:lvl w:ilvl="1">
      <w:start w:val="1"/>
      <w:numFmt w:val="bullet"/>
      <w:isLgl w:val="false"/>
      <w:suff w:val="tab"/>
      <w:lvlText w:val="o"/>
      <w:lvlJc w:val="left"/>
      <w:pPr>
        <w:pStyle w:val="783"/>
        <w:ind w:left="1440" w:hanging="360"/>
      </w:pPr>
      <w:rPr>
        <w:rFonts w:ascii="Courier New" w:hAnsi="Courier New" w:eastAsia="Courier New" w:cs="Courier New"/>
      </w:rPr>
    </w:lvl>
    <w:lvl w:ilvl="2">
      <w:start w:val="1"/>
      <w:numFmt w:val="bullet"/>
      <w:isLgl w:val="false"/>
      <w:suff w:val="tab"/>
      <w:lvlText w:val="§"/>
      <w:lvlJc w:val="left"/>
      <w:pPr>
        <w:pStyle w:val="783"/>
        <w:ind w:left="2160" w:hanging="360"/>
      </w:pPr>
      <w:rPr>
        <w:rFonts w:ascii="Wingdings" w:hAnsi="Wingdings" w:eastAsia="Wingdings" w:cs="Wingdings"/>
      </w:rPr>
    </w:lvl>
    <w:lvl w:ilvl="3">
      <w:start w:val="1"/>
      <w:numFmt w:val="bullet"/>
      <w:isLgl w:val="false"/>
      <w:suff w:val="tab"/>
      <w:lvlText w:val="·"/>
      <w:lvlJc w:val="left"/>
      <w:pPr>
        <w:pStyle w:val="783"/>
        <w:ind w:left="2880" w:hanging="360"/>
      </w:pPr>
      <w:rPr>
        <w:rFonts w:ascii="Symbol" w:hAnsi="Symbol" w:eastAsia="Symbol" w:cs="Symbol"/>
      </w:rPr>
    </w:lvl>
    <w:lvl w:ilvl="4">
      <w:start w:val="1"/>
      <w:numFmt w:val="bullet"/>
      <w:isLgl w:val="false"/>
      <w:suff w:val="tab"/>
      <w:lvlText w:val="o"/>
      <w:lvlJc w:val="left"/>
      <w:pPr>
        <w:pStyle w:val="783"/>
        <w:ind w:left="3600" w:hanging="360"/>
      </w:pPr>
      <w:rPr>
        <w:rFonts w:ascii="Courier New" w:hAnsi="Courier New" w:eastAsia="Courier New" w:cs="Courier New"/>
      </w:rPr>
    </w:lvl>
    <w:lvl w:ilvl="5">
      <w:start w:val="1"/>
      <w:numFmt w:val="bullet"/>
      <w:isLgl w:val="false"/>
      <w:suff w:val="tab"/>
      <w:lvlText w:val="§"/>
      <w:lvlJc w:val="left"/>
      <w:pPr>
        <w:pStyle w:val="783"/>
        <w:ind w:left="4320" w:hanging="360"/>
      </w:pPr>
      <w:rPr>
        <w:rFonts w:ascii="Wingdings" w:hAnsi="Wingdings" w:eastAsia="Wingdings" w:cs="Wingdings"/>
      </w:rPr>
    </w:lvl>
    <w:lvl w:ilvl="6">
      <w:start w:val="1"/>
      <w:numFmt w:val="bullet"/>
      <w:isLgl w:val="false"/>
      <w:suff w:val="tab"/>
      <w:lvlText w:val="·"/>
      <w:lvlJc w:val="left"/>
      <w:pPr>
        <w:pStyle w:val="783"/>
        <w:ind w:left="5040" w:hanging="360"/>
      </w:pPr>
      <w:rPr>
        <w:rFonts w:ascii="Symbol" w:hAnsi="Symbol" w:eastAsia="Symbol" w:cs="Symbol"/>
      </w:rPr>
    </w:lvl>
    <w:lvl w:ilvl="7">
      <w:start w:val="1"/>
      <w:numFmt w:val="bullet"/>
      <w:isLgl w:val="false"/>
      <w:suff w:val="tab"/>
      <w:lvlText w:val="o"/>
      <w:lvlJc w:val="left"/>
      <w:pPr>
        <w:pStyle w:val="783"/>
        <w:ind w:left="5760" w:hanging="360"/>
      </w:pPr>
      <w:rPr>
        <w:rFonts w:ascii="Courier New" w:hAnsi="Courier New" w:eastAsia="Courier New" w:cs="Courier New"/>
      </w:rPr>
    </w:lvl>
    <w:lvl w:ilvl="8">
      <w:start w:val="1"/>
      <w:numFmt w:val="bullet"/>
      <w:isLgl w:val="false"/>
      <w:suff w:val="tab"/>
      <w:lvlText w:val="§"/>
      <w:lvlJc w:val="left"/>
      <w:pPr>
        <w:pStyle w:val="783"/>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83"/>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83"/>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783"/>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0"/>
      <w:numFmt w:val="chineseCounting"/>
      <w:isLgl w:val="false"/>
      <w:suff w:val="nothing"/>
      <w:lvlText w:val="%1、"/>
      <w:lvlJc w:val="left"/>
      <w:pPr>
        <w:pStyle w:val="7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7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783"/>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783"/>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783"/>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chineseCounting"/>
      <w:isLgl w:val="false"/>
      <w:suff w:val="nothing"/>
      <w:lvlText w:val="（%1）"/>
      <w:lvlJc w:val="left"/>
      <w:pPr>
        <w:pStyle w:val="7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783"/>
        <w:ind w:left="782" w:hanging="360"/>
      </w:pPr>
      <w:rPr>
        <w:b w:val="0"/>
      </w:rPr>
    </w:lvl>
    <w:lvl w:ilvl="1">
      <w:start w:val="1"/>
      <w:numFmt w:val="lowerLetter"/>
      <w:isLgl w:val="false"/>
      <w:suff w:val="tab"/>
      <w:lvlText w:val="%2)"/>
      <w:lvlJc w:val="left"/>
      <w:pPr>
        <w:pStyle w:val="783"/>
        <w:ind w:left="1302" w:hanging="440"/>
      </w:pPr>
    </w:lvl>
    <w:lvl w:ilvl="2">
      <w:start w:val="1"/>
      <w:numFmt w:val="lowerRoman"/>
      <w:isLgl w:val="false"/>
      <w:suff w:val="tab"/>
      <w:lvlText w:val="%3."/>
      <w:lvlJc w:val="right"/>
      <w:pPr>
        <w:pStyle w:val="783"/>
        <w:ind w:left="1742" w:hanging="440"/>
      </w:pPr>
    </w:lvl>
    <w:lvl w:ilvl="3">
      <w:start w:val="1"/>
      <w:numFmt w:val="decimal"/>
      <w:isLgl w:val="false"/>
      <w:suff w:val="tab"/>
      <w:lvlText w:val="%4."/>
      <w:lvlJc w:val="left"/>
      <w:pPr>
        <w:pStyle w:val="783"/>
        <w:ind w:left="2182" w:hanging="440"/>
      </w:pPr>
    </w:lvl>
    <w:lvl w:ilvl="4">
      <w:start w:val="1"/>
      <w:numFmt w:val="lowerLetter"/>
      <w:isLgl w:val="false"/>
      <w:suff w:val="tab"/>
      <w:lvlText w:val="%5)"/>
      <w:lvlJc w:val="left"/>
      <w:pPr>
        <w:pStyle w:val="783"/>
        <w:ind w:left="2622" w:hanging="440"/>
      </w:pPr>
    </w:lvl>
    <w:lvl w:ilvl="5">
      <w:start w:val="1"/>
      <w:numFmt w:val="lowerRoman"/>
      <w:isLgl w:val="false"/>
      <w:suff w:val="tab"/>
      <w:lvlText w:val="%6."/>
      <w:lvlJc w:val="right"/>
      <w:pPr>
        <w:pStyle w:val="783"/>
        <w:ind w:left="3062" w:hanging="440"/>
      </w:pPr>
    </w:lvl>
    <w:lvl w:ilvl="6">
      <w:start w:val="1"/>
      <w:numFmt w:val="decimal"/>
      <w:isLgl w:val="false"/>
      <w:suff w:val="tab"/>
      <w:lvlText w:val="%7."/>
      <w:lvlJc w:val="left"/>
      <w:pPr>
        <w:pStyle w:val="783"/>
        <w:ind w:left="3502" w:hanging="440"/>
      </w:pPr>
    </w:lvl>
    <w:lvl w:ilvl="7">
      <w:start w:val="1"/>
      <w:numFmt w:val="lowerLetter"/>
      <w:isLgl w:val="false"/>
      <w:suff w:val="tab"/>
      <w:lvlText w:val="%8)"/>
      <w:lvlJc w:val="left"/>
      <w:pPr>
        <w:pStyle w:val="783"/>
        <w:ind w:left="3942" w:hanging="440"/>
      </w:pPr>
    </w:lvl>
    <w:lvl w:ilvl="8">
      <w:start w:val="1"/>
      <w:numFmt w:val="lowerRoman"/>
      <w:isLgl w:val="false"/>
      <w:suff w:val="tab"/>
      <w:lvlText w:val="%9."/>
      <w:lvlJc w:val="right"/>
      <w:pPr>
        <w:pStyle w:val="783"/>
        <w:ind w:left="4382" w:hanging="440"/>
      </w:pPr>
    </w:lvl>
  </w:abstractNum>
  <w:num w:numId="1">
    <w:abstractNumId w:val="7"/>
  </w:num>
  <w:num w:numId="2">
    <w:abstractNumId w:val="12"/>
  </w:num>
  <w:num w:numId="3">
    <w:abstractNumId w:val="3"/>
  </w:num>
  <w:num w:numId="4">
    <w:abstractNumId w:val="2"/>
  </w:num>
  <w:num w:numId="5">
    <w:abstractNumId w:val="18"/>
  </w:num>
  <w:num w:numId="6">
    <w:abstractNumId w:val="5"/>
  </w:num>
  <w:num w:numId="7">
    <w:abstractNumId w:val="21"/>
  </w:num>
  <w:num w:numId="8">
    <w:abstractNumId w:val="17"/>
  </w:num>
  <w:num w:numId="9">
    <w:abstractNumId w:val="20"/>
  </w:num>
  <w:num w:numId="10">
    <w:abstractNumId w:val="4"/>
  </w:num>
  <w:num w:numId="11">
    <w:abstractNumId w:val="6"/>
  </w:num>
  <w:num w:numId="12">
    <w:abstractNumId w:val="8"/>
  </w:num>
  <w:num w:numId="13">
    <w:abstractNumId w:val="1"/>
  </w:num>
  <w:num w:numId="14">
    <w:abstractNumId w:val="14"/>
  </w:num>
  <w:num w:numId="15">
    <w:abstractNumId w:val="13"/>
  </w:num>
  <w:num w:numId="16">
    <w:abstractNumId w:val="19"/>
  </w:num>
  <w:num w:numId="17">
    <w:abstractNumId w:val="9"/>
  </w:num>
  <w:num w:numId="18">
    <w:abstractNumId w:val="0"/>
  </w:num>
  <w:num w:numId="19">
    <w:abstractNumId w:val="15"/>
  </w:num>
  <w:num w:numId="20">
    <w:abstractNumId w:val="11"/>
  </w:num>
  <w:num w:numId="21">
    <w:abstractNumId w:val="22"/>
  </w:num>
  <w:num w:numId="22">
    <w:abstractNumId w:val="10"/>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3"/>
    <w:next w:val="783"/>
    <w:link w:val="929"/>
    <w:uiPriority w:val="9"/>
    <w:qFormat/>
    <w:pPr>
      <w:keepLines/>
      <w:keepNext/>
      <w:spacing w:before="480" w:after="200"/>
      <w:outlineLvl w:val="0"/>
    </w:pPr>
    <w:rPr>
      <w:rFonts w:ascii="Arial" w:hAnsi="Arial" w:eastAsia="Arial" w:cs="Arial"/>
      <w:sz w:val="40"/>
      <w:szCs w:val="40"/>
    </w:rPr>
  </w:style>
  <w:style w:type="paragraph" w:styleId="16">
    <w:name w:val="Heading 3"/>
    <w:basedOn w:val="783"/>
    <w:next w:val="783"/>
    <w:link w:val="93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83"/>
    <w:next w:val="783"/>
    <w:link w:val="93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83"/>
    <w:next w:val="783"/>
    <w:link w:val="93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83"/>
    <w:next w:val="783"/>
    <w:link w:val="93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83"/>
    <w:next w:val="783"/>
    <w:link w:val="93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83"/>
    <w:next w:val="783"/>
    <w:link w:val="93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83"/>
    <w:next w:val="783"/>
    <w:link w:val="937"/>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8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3"/>
    <w:next w:val="783"/>
    <w:link w:val="938"/>
    <w:uiPriority w:val="10"/>
    <w:qFormat/>
    <w:pPr>
      <w:contextualSpacing/>
      <w:spacing w:before="300" w:after="200"/>
    </w:pPr>
    <w:rPr>
      <w:sz w:val="48"/>
      <w:szCs w:val="48"/>
    </w:rPr>
  </w:style>
  <w:style w:type="paragraph" w:styleId="35">
    <w:name w:val="Subtitle"/>
    <w:basedOn w:val="783"/>
    <w:next w:val="783"/>
    <w:link w:val="939"/>
    <w:uiPriority w:val="11"/>
    <w:qFormat/>
    <w:pPr>
      <w:spacing w:before="200" w:after="200"/>
    </w:pPr>
    <w:rPr>
      <w:sz w:val="24"/>
      <w:szCs w:val="24"/>
    </w:rPr>
  </w:style>
  <w:style w:type="paragraph" w:styleId="37">
    <w:name w:val="Quote"/>
    <w:basedOn w:val="783"/>
    <w:next w:val="783"/>
    <w:link w:val="940"/>
    <w:uiPriority w:val="29"/>
    <w:qFormat/>
    <w:pPr>
      <w:ind w:left="720" w:right="720"/>
    </w:pPr>
    <w:rPr>
      <w:i/>
    </w:rPr>
  </w:style>
  <w:style w:type="paragraph" w:styleId="39">
    <w:name w:val="Intense Quote"/>
    <w:basedOn w:val="783"/>
    <w:next w:val="783"/>
    <w:link w:val="9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83"/>
    <w:link w:val="951"/>
    <w:uiPriority w:val="99"/>
    <w:unhideWhenUsed/>
    <w:pPr>
      <w:spacing w:after="0" w:line="240" w:lineRule="auto"/>
      <w:tabs>
        <w:tab w:val="center" w:pos="7143" w:leader="none"/>
        <w:tab w:val="right" w:pos="14287" w:leader="none"/>
      </w:tabs>
    </w:pPr>
  </w:style>
  <w:style w:type="paragraph" w:styleId="43">
    <w:name w:val="Footer"/>
    <w:basedOn w:val="783"/>
    <w:link w:val="942"/>
    <w:uiPriority w:val="99"/>
    <w:unhideWhenUsed/>
    <w:pPr>
      <w:spacing w:after="0" w:line="240" w:lineRule="auto"/>
      <w:tabs>
        <w:tab w:val="center" w:pos="7143" w:leader="none"/>
        <w:tab w:val="right" w:pos="14287" w:leader="none"/>
      </w:tabs>
    </w:pPr>
  </w:style>
  <w:style w:type="paragraph" w:styleId="45">
    <w:name w:val="Caption"/>
    <w:basedOn w:val="783"/>
    <w:next w:val="78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83"/>
    <w:link w:val="943"/>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83"/>
    <w:link w:val="944"/>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83"/>
    <w:next w:val="783"/>
    <w:uiPriority w:val="39"/>
    <w:unhideWhenUsed/>
    <w:pPr>
      <w:ind w:left="0" w:right="0" w:firstLine="0"/>
      <w:spacing w:after="57"/>
    </w:pPr>
  </w:style>
  <w:style w:type="paragraph" w:styleId="181">
    <w:name w:val="toc 2"/>
    <w:basedOn w:val="783"/>
    <w:next w:val="783"/>
    <w:uiPriority w:val="39"/>
    <w:unhideWhenUsed/>
    <w:pPr>
      <w:ind w:left="283" w:right="0" w:firstLine="0"/>
      <w:spacing w:after="57"/>
    </w:pPr>
  </w:style>
  <w:style w:type="paragraph" w:styleId="182">
    <w:name w:val="toc 3"/>
    <w:basedOn w:val="783"/>
    <w:next w:val="783"/>
    <w:uiPriority w:val="39"/>
    <w:unhideWhenUsed/>
    <w:pPr>
      <w:ind w:left="567" w:right="0" w:firstLine="0"/>
      <w:spacing w:after="57"/>
    </w:pPr>
  </w:style>
  <w:style w:type="paragraph" w:styleId="183">
    <w:name w:val="toc 4"/>
    <w:basedOn w:val="783"/>
    <w:next w:val="783"/>
    <w:uiPriority w:val="39"/>
    <w:unhideWhenUsed/>
    <w:pPr>
      <w:ind w:left="850" w:right="0" w:firstLine="0"/>
      <w:spacing w:after="57"/>
    </w:pPr>
  </w:style>
  <w:style w:type="paragraph" w:styleId="184">
    <w:name w:val="toc 5"/>
    <w:basedOn w:val="783"/>
    <w:next w:val="783"/>
    <w:uiPriority w:val="39"/>
    <w:unhideWhenUsed/>
    <w:pPr>
      <w:ind w:left="1134" w:right="0" w:firstLine="0"/>
      <w:spacing w:after="57"/>
    </w:pPr>
  </w:style>
  <w:style w:type="paragraph" w:styleId="185">
    <w:name w:val="toc 6"/>
    <w:basedOn w:val="783"/>
    <w:next w:val="783"/>
    <w:uiPriority w:val="39"/>
    <w:unhideWhenUsed/>
    <w:pPr>
      <w:ind w:left="1417" w:right="0" w:firstLine="0"/>
      <w:spacing w:after="57"/>
    </w:pPr>
  </w:style>
  <w:style w:type="paragraph" w:styleId="186">
    <w:name w:val="toc 7"/>
    <w:basedOn w:val="783"/>
    <w:next w:val="783"/>
    <w:uiPriority w:val="39"/>
    <w:unhideWhenUsed/>
    <w:pPr>
      <w:ind w:left="1701" w:right="0" w:firstLine="0"/>
      <w:spacing w:after="57"/>
    </w:pPr>
  </w:style>
  <w:style w:type="paragraph" w:styleId="187">
    <w:name w:val="toc 8"/>
    <w:basedOn w:val="783"/>
    <w:next w:val="783"/>
    <w:uiPriority w:val="39"/>
    <w:unhideWhenUsed/>
    <w:pPr>
      <w:ind w:left="1984" w:right="0" w:firstLine="0"/>
      <w:spacing w:after="57"/>
    </w:pPr>
  </w:style>
  <w:style w:type="paragraph" w:styleId="188">
    <w:name w:val="toc 9"/>
    <w:basedOn w:val="783"/>
    <w:next w:val="783"/>
    <w:uiPriority w:val="39"/>
    <w:unhideWhenUsed/>
    <w:pPr>
      <w:ind w:left="2268" w:right="0" w:firstLine="0"/>
      <w:spacing w:after="57"/>
    </w:pPr>
  </w:style>
  <w:style w:type="paragraph" w:styleId="190">
    <w:name w:val="table of figures"/>
    <w:basedOn w:val="783"/>
    <w:next w:val="783"/>
    <w:uiPriority w:val="99"/>
    <w:unhideWhenUsed/>
    <w:pPr>
      <w:spacing w:after="0" w:afterAutospacing="0"/>
    </w:pPr>
  </w:style>
  <w:style w:type="paragraph" w:styleId="783" w:default="1">
    <w:name w:val="Normal"/>
    <w:next w:val="795"/>
    <w:link w:val="783"/>
    <w:qFormat/>
    <w:pPr>
      <w:jc w:val="both"/>
      <w:widowControl w:val="off"/>
    </w:pPr>
    <w:rPr>
      <w:rFonts w:ascii="Calibri" w:hAnsi="Calibri"/>
      <w:sz w:val="21"/>
      <w:szCs w:val="22"/>
      <w:lang w:val="en-US" w:eastAsia="zh-CN" w:bidi="ar-SA"/>
    </w:rPr>
  </w:style>
  <w:style w:type="paragraph" w:styleId="784">
    <w:name w:val="标题 1"/>
    <w:basedOn w:val="783"/>
    <w:next w:val="783"/>
    <w:link w:val="798"/>
    <w:qFormat/>
    <w:pPr>
      <w:keepLines/>
      <w:keepNext/>
      <w:spacing w:before="480" w:after="200"/>
      <w:outlineLvl w:val="0"/>
    </w:pPr>
    <w:rPr>
      <w:rFonts w:ascii="Arial" w:hAnsi="Arial" w:eastAsia="Arial" w:cs="Arial"/>
      <w:sz w:val="40"/>
      <w:szCs w:val="40"/>
    </w:rPr>
  </w:style>
  <w:style w:type="paragraph" w:styleId="785">
    <w:name w:val="标题 2"/>
    <w:basedOn w:val="783"/>
    <w:next w:val="800"/>
    <w:link w:val="799"/>
    <w:qFormat/>
    <w:pPr>
      <w:keepLines/>
      <w:keepNext/>
      <w:spacing w:before="260" w:after="260" w:line="413" w:lineRule="auto"/>
      <w:outlineLvl w:val="1"/>
    </w:pPr>
    <w:rPr>
      <w:rFonts w:ascii="Arial" w:hAnsi="Arial" w:eastAsia="黑体"/>
      <w:b/>
      <w:sz w:val="32"/>
      <w:szCs w:val="20"/>
    </w:rPr>
  </w:style>
  <w:style w:type="paragraph" w:styleId="786">
    <w:name w:val="标题 3"/>
    <w:basedOn w:val="802"/>
    <w:next w:val="804"/>
    <w:link w:val="803"/>
    <w:qFormat/>
    <w:pPr>
      <w:keepLines/>
      <w:keepNext/>
      <w:spacing w:before="320" w:after="200"/>
      <w:outlineLvl w:val="2"/>
    </w:pPr>
    <w:rPr>
      <w:rFonts w:ascii="Arial" w:hAnsi="Arial" w:eastAsia="Arial" w:cs="Arial"/>
      <w:sz w:val="30"/>
      <w:szCs w:val="30"/>
    </w:rPr>
  </w:style>
  <w:style w:type="paragraph" w:styleId="787">
    <w:name w:val="标题 4"/>
    <w:basedOn w:val="783"/>
    <w:next w:val="783"/>
    <w:link w:val="806"/>
    <w:qFormat/>
    <w:pPr>
      <w:jc w:val="center"/>
      <w:keepNext/>
      <w:outlineLvl w:val="3"/>
    </w:pPr>
    <w:rPr>
      <w:rFonts w:eastAsia="新宋体"/>
      <w:sz w:val="30"/>
      <w:szCs w:val="21"/>
    </w:rPr>
  </w:style>
  <w:style w:type="paragraph" w:styleId="788">
    <w:name w:val="标题 5"/>
    <w:basedOn w:val="783"/>
    <w:next w:val="783"/>
    <w:link w:val="807"/>
    <w:qFormat/>
    <w:pPr>
      <w:keepLines/>
      <w:keepNext/>
      <w:spacing w:before="320" w:after="200"/>
      <w:outlineLvl w:val="4"/>
    </w:pPr>
    <w:rPr>
      <w:rFonts w:ascii="Arial" w:hAnsi="Arial" w:eastAsia="Arial" w:cs="Arial"/>
      <w:b/>
      <w:bCs/>
      <w:sz w:val="24"/>
      <w:szCs w:val="24"/>
    </w:rPr>
  </w:style>
  <w:style w:type="paragraph" w:styleId="789">
    <w:name w:val="标题 6"/>
    <w:basedOn w:val="783"/>
    <w:next w:val="783"/>
    <w:link w:val="808"/>
    <w:qFormat/>
    <w:pPr>
      <w:keepLines/>
      <w:keepNext/>
      <w:spacing w:before="320" w:after="200"/>
      <w:outlineLvl w:val="5"/>
    </w:pPr>
    <w:rPr>
      <w:rFonts w:ascii="Arial" w:hAnsi="Arial" w:eastAsia="Arial" w:cs="Arial"/>
      <w:b/>
      <w:bCs/>
      <w:sz w:val="22"/>
    </w:rPr>
  </w:style>
  <w:style w:type="paragraph" w:styleId="790">
    <w:name w:val="标题 7"/>
    <w:basedOn w:val="783"/>
    <w:next w:val="783"/>
    <w:link w:val="809"/>
    <w:qFormat/>
    <w:pPr>
      <w:keepLines/>
      <w:keepNext/>
      <w:spacing w:before="320" w:after="200"/>
      <w:outlineLvl w:val="6"/>
    </w:pPr>
    <w:rPr>
      <w:rFonts w:ascii="Arial" w:hAnsi="Arial" w:eastAsia="Arial" w:cs="Arial"/>
      <w:b/>
      <w:bCs/>
      <w:i/>
      <w:iCs/>
      <w:sz w:val="22"/>
    </w:rPr>
  </w:style>
  <w:style w:type="paragraph" w:styleId="791">
    <w:name w:val="标题 8"/>
    <w:basedOn w:val="783"/>
    <w:next w:val="783"/>
    <w:link w:val="810"/>
    <w:qFormat/>
    <w:pPr>
      <w:keepLines/>
      <w:keepNext/>
      <w:spacing w:before="320" w:after="200"/>
      <w:outlineLvl w:val="7"/>
    </w:pPr>
    <w:rPr>
      <w:rFonts w:ascii="Arial" w:hAnsi="Arial" w:eastAsia="Arial" w:cs="Arial"/>
      <w:i/>
      <w:iCs/>
      <w:sz w:val="22"/>
    </w:rPr>
  </w:style>
  <w:style w:type="paragraph" w:styleId="792">
    <w:name w:val="标题 9"/>
    <w:basedOn w:val="783"/>
    <w:next w:val="783"/>
    <w:link w:val="811"/>
    <w:qFormat/>
    <w:pPr>
      <w:keepLines/>
      <w:keepNext/>
      <w:spacing w:before="320" w:after="200"/>
      <w:outlineLvl w:val="8"/>
    </w:pPr>
    <w:rPr>
      <w:rFonts w:ascii="Arial" w:hAnsi="Arial" w:eastAsia="Arial" w:cs="Arial"/>
      <w:i/>
      <w:iCs/>
      <w:szCs w:val="21"/>
    </w:rPr>
  </w:style>
  <w:style w:type="character" w:styleId="793">
    <w:name w:val="默认段落字体"/>
    <w:next w:val="793"/>
    <w:link w:val="783"/>
    <w:uiPriority w:val="1"/>
    <w:unhideWhenUsed/>
    <w:qFormat/>
  </w:style>
  <w:style w:type="table" w:styleId="794">
    <w:name w:val="普通表格"/>
    <w:next w:val="794"/>
    <w:link w:val="783"/>
    <w:uiPriority w:val="99"/>
    <w:unhideWhenUsed/>
    <w:qFormat/>
    <w:tblPr/>
  </w:style>
  <w:style w:type="paragraph" w:styleId="795">
    <w:name w:val="正文文本缩进"/>
    <w:basedOn w:val="783"/>
    <w:next w:val="797"/>
    <w:link w:val="796"/>
    <w:qFormat/>
    <w:pPr>
      <w:ind w:firstLine="225"/>
    </w:pPr>
    <w:rPr>
      <w:rFonts w:ascii="仿宋_GB2312" w:eastAsia="仿宋_GB2312"/>
      <w:sz w:val="32"/>
    </w:rPr>
  </w:style>
  <w:style w:type="character" w:styleId="796">
    <w:name w:val="正文文本缩进 字符1"/>
    <w:next w:val="796"/>
    <w:link w:val="795"/>
    <w:qFormat/>
    <w:rPr>
      <w:rFonts w:ascii="仿宋_GB2312" w:hAnsi="Calibri" w:eastAsia="仿宋_GB2312"/>
      <w:sz w:val="32"/>
      <w:szCs w:val="22"/>
    </w:rPr>
  </w:style>
  <w:style w:type="paragraph" w:styleId="797">
    <w:name w:val="寄信人地址"/>
    <w:basedOn w:val="783"/>
    <w:next w:val="797"/>
    <w:link w:val="783"/>
    <w:qFormat/>
    <w:pPr>
      <w:ind w:left="1701"/>
      <w:jc w:val="left"/>
      <w:spacing w:before="160" w:after="160" w:line="240" w:lineRule="atLeast"/>
      <w:widowControl/>
    </w:pPr>
    <w:rPr>
      <w:rFonts w:ascii="Arial" w:hAnsi="Arial" w:eastAsia="宋体" w:cs="Arial"/>
      <w:sz w:val="21"/>
      <w:szCs w:val="21"/>
    </w:rPr>
  </w:style>
  <w:style w:type="character" w:styleId="798">
    <w:name w:val="标题 1 字符"/>
    <w:next w:val="798"/>
    <w:link w:val="784"/>
    <w:qFormat/>
    <w:rPr>
      <w:rFonts w:ascii="Arial" w:hAnsi="Arial" w:eastAsia="Arial" w:cs="Arial"/>
      <w:sz w:val="40"/>
      <w:szCs w:val="40"/>
    </w:rPr>
  </w:style>
  <w:style w:type="character" w:styleId="799">
    <w:name w:val="标题 2 字符"/>
    <w:next w:val="799"/>
    <w:link w:val="785"/>
    <w:qFormat/>
    <w:rPr>
      <w:rFonts w:ascii="Arial" w:hAnsi="Arial" w:eastAsia="Arial" w:cs="Arial"/>
      <w:sz w:val="34"/>
    </w:rPr>
  </w:style>
  <w:style w:type="paragraph" w:styleId="800">
    <w:name w:val="正文缩进"/>
    <w:basedOn w:val="783"/>
    <w:next w:val="800"/>
    <w:link w:val="801"/>
    <w:qFormat/>
    <w:pPr>
      <w:ind w:firstLine="420"/>
    </w:pPr>
    <w:rPr>
      <w:rFonts w:ascii="宋体"/>
      <w:color w:val="000000"/>
      <w:sz w:val="24"/>
      <w:szCs w:val="20"/>
    </w:rPr>
  </w:style>
  <w:style w:type="character" w:styleId="801">
    <w:name w:val="正文缩进 字符"/>
    <w:next w:val="801"/>
    <w:link w:val="800"/>
    <w:qFormat/>
    <w:rPr>
      <w:rFonts w:ascii="宋体" w:hAnsi="Calibri"/>
      <w:color w:val="000000"/>
      <w:sz w:val="24"/>
    </w:rPr>
  </w:style>
  <w:style w:type="paragraph" w:styleId="802">
    <w:name w:val="Normal1"/>
    <w:next w:val="786"/>
    <w:link w:val="783"/>
    <w:qFormat/>
    <w:pPr>
      <w:jc w:val="both"/>
      <w:widowControl w:val="off"/>
    </w:pPr>
    <w:rPr>
      <w:rFonts w:ascii="Calibri" w:hAnsi="Calibri"/>
      <w:sz w:val="21"/>
      <w:szCs w:val="22"/>
      <w:lang w:val="en-US" w:eastAsia="zh-CN" w:bidi="ar-SA"/>
    </w:rPr>
  </w:style>
  <w:style w:type="character" w:styleId="803">
    <w:name w:val="标题 3 字符"/>
    <w:next w:val="803"/>
    <w:link w:val="786"/>
    <w:qFormat/>
    <w:rPr>
      <w:rFonts w:ascii="Arial" w:hAnsi="Arial" w:eastAsia="Arial" w:cs="Arial"/>
      <w:sz w:val="30"/>
      <w:szCs w:val="30"/>
    </w:rPr>
  </w:style>
  <w:style w:type="paragraph" w:styleId="804">
    <w:name w:val="Normal_19"/>
    <w:next w:val="805"/>
    <w:link w:val="783"/>
    <w:qFormat/>
    <w:rPr>
      <w:rFonts w:ascii="黑体" w:hAnsi="黑体" w:eastAsia="黑体" w:cs="黑体"/>
      <w:b/>
      <w:sz w:val="32"/>
      <w:szCs w:val="24"/>
      <w:lang w:val="en-US" w:eastAsia="zh-CN" w:bidi="ar-SA"/>
    </w:rPr>
  </w:style>
  <w:style w:type="paragraph" w:styleId="805">
    <w:name w:val="Heading 2"/>
    <w:basedOn w:val="804"/>
    <w:next w:val="804"/>
    <w:link w:val="783"/>
    <w:qFormat/>
    <w:pPr>
      <w:keepLines/>
      <w:keepNext/>
      <w:spacing w:before="260" w:after="260" w:line="412" w:lineRule="auto"/>
      <w:widowControl w:val="off"/>
      <w:outlineLvl w:val="1"/>
    </w:pPr>
    <w:rPr>
      <w:rFonts w:ascii="Arial" w:hAnsi="Arial" w:eastAsia="黑体"/>
      <w:b/>
      <w:bCs/>
      <w:sz w:val="32"/>
      <w:szCs w:val="32"/>
    </w:rPr>
  </w:style>
  <w:style w:type="character" w:styleId="806">
    <w:name w:val="标题 4 字符"/>
    <w:next w:val="806"/>
    <w:link w:val="787"/>
    <w:qFormat/>
    <w:rPr>
      <w:rFonts w:ascii="Arial" w:hAnsi="Arial" w:eastAsia="Arial" w:cs="Arial"/>
      <w:b/>
      <w:bCs/>
      <w:sz w:val="26"/>
      <w:szCs w:val="26"/>
    </w:rPr>
  </w:style>
  <w:style w:type="character" w:styleId="807">
    <w:name w:val="标题 5 字符"/>
    <w:next w:val="807"/>
    <w:link w:val="788"/>
    <w:qFormat/>
    <w:rPr>
      <w:rFonts w:ascii="Arial" w:hAnsi="Arial" w:eastAsia="Arial" w:cs="Arial"/>
      <w:b/>
      <w:bCs/>
      <w:sz w:val="24"/>
      <w:szCs w:val="24"/>
    </w:rPr>
  </w:style>
  <w:style w:type="character" w:styleId="808">
    <w:name w:val="标题 6 字符"/>
    <w:next w:val="808"/>
    <w:link w:val="789"/>
    <w:qFormat/>
    <w:rPr>
      <w:rFonts w:ascii="Arial" w:hAnsi="Arial" w:eastAsia="Arial" w:cs="Arial"/>
      <w:b/>
      <w:bCs/>
      <w:sz w:val="22"/>
      <w:szCs w:val="22"/>
    </w:rPr>
  </w:style>
  <w:style w:type="character" w:styleId="809">
    <w:name w:val="标题 7 字符"/>
    <w:next w:val="809"/>
    <w:link w:val="790"/>
    <w:qFormat/>
    <w:rPr>
      <w:rFonts w:ascii="Arial" w:hAnsi="Arial" w:eastAsia="Arial" w:cs="Arial"/>
      <w:b/>
      <w:bCs/>
      <w:i/>
      <w:iCs/>
      <w:sz w:val="22"/>
      <w:szCs w:val="22"/>
    </w:rPr>
  </w:style>
  <w:style w:type="character" w:styleId="810">
    <w:name w:val="标题 8 字符"/>
    <w:next w:val="810"/>
    <w:link w:val="791"/>
    <w:qFormat/>
    <w:rPr>
      <w:rFonts w:ascii="Arial" w:hAnsi="Arial" w:eastAsia="Arial" w:cs="Arial"/>
      <w:i/>
      <w:iCs/>
      <w:sz w:val="22"/>
      <w:szCs w:val="22"/>
    </w:rPr>
  </w:style>
  <w:style w:type="character" w:styleId="811">
    <w:name w:val="标题 9 字符"/>
    <w:next w:val="811"/>
    <w:link w:val="792"/>
    <w:qFormat/>
    <w:rPr>
      <w:rFonts w:ascii="Arial" w:hAnsi="Arial" w:eastAsia="Arial" w:cs="Arial"/>
      <w:i/>
      <w:iCs/>
      <w:sz w:val="21"/>
      <w:szCs w:val="21"/>
    </w:rPr>
  </w:style>
  <w:style w:type="paragraph" w:styleId="812">
    <w:name w:val="列表 3"/>
    <w:basedOn w:val="783"/>
    <w:next w:val="812"/>
    <w:link w:val="783"/>
    <w:qFormat/>
    <w:pPr>
      <w:ind w:left="100" w:hanging="200"/>
    </w:pPr>
    <w:rPr>
      <w:rFonts w:ascii="Times New Roman" w:hAnsi="Times New Roman"/>
      <w:szCs w:val="21"/>
    </w:rPr>
  </w:style>
  <w:style w:type="paragraph" w:styleId="813">
    <w:name w:val="目录 7"/>
    <w:basedOn w:val="783"/>
    <w:next w:val="783"/>
    <w:link w:val="783"/>
    <w:unhideWhenUsed/>
    <w:qFormat/>
    <w:pPr>
      <w:ind w:left="1701"/>
      <w:spacing w:after="57"/>
    </w:pPr>
  </w:style>
  <w:style w:type="paragraph" w:styleId="814">
    <w:name w:val="题注"/>
    <w:basedOn w:val="783"/>
    <w:next w:val="783"/>
    <w:link w:val="783"/>
    <w:uiPriority w:val="35"/>
    <w:qFormat/>
    <w:pPr>
      <w:spacing w:line="276" w:lineRule="auto"/>
    </w:pPr>
    <w:rPr>
      <w:b/>
      <w:bCs/>
      <w:color w:val="5b9bd5"/>
      <w:sz w:val="18"/>
      <w:szCs w:val="18"/>
    </w:rPr>
  </w:style>
  <w:style w:type="paragraph" w:styleId="815">
    <w:name w:val="文档结构图"/>
    <w:basedOn w:val="783"/>
    <w:next w:val="815"/>
    <w:link w:val="816"/>
    <w:semiHidden/>
    <w:qFormat/>
    <w:pPr>
      <w:shd w:val="clear" w:color="auto" w:fill="000080"/>
    </w:pPr>
    <w:rPr>
      <w:rFonts w:ascii="Times New Roman" w:hAnsi="Times New Roman"/>
      <w:szCs w:val="21"/>
    </w:rPr>
  </w:style>
  <w:style w:type="character" w:styleId="816">
    <w:name w:val="文档结构图 字符"/>
    <w:next w:val="816"/>
    <w:link w:val="815"/>
    <w:semiHidden/>
    <w:qFormat/>
    <w:rPr>
      <w:sz w:val="21"/>
      <w:szCs w:val="21"/>
      <w:shd w:val="clear" w:color="auto" w:fill="000080"/>
    </w:rPr>
  </w:style>
  <w:style w:type="paragraph" w:styleId="817">
    <w:name w:val="批注文字"/>
    <w:basedOn w:val="783"/>
    <w:next w:val="817"/>
    <w:link w:val="818"/>
    <w:semiHidden/>
    <w:qFormat/>
    <w:pPr>
      <w:jc w:val="left"/>
    </w:pPr>
    <w:rPr>
      <w:rFonts w:ascii="Times New Roman" w:hAnsi="Times New Roman"/>
      <w:szCs w:val="21"/>
    </w:rPr>
  </w:style>
  <w:style w:type="character" w:styleId="818">
    <w:name w:val="批注文字 字符"/>
    <w:next w:val="818"/>
    <w:link w:val="817"/>
    <w:semiHidden/>
    <w:qFormat/>
    <w:rPr>
      <w:sz w:val="21"/>
      <w:szCs w:val="21"/>
    </w:rPr>
  </w:style>
  <w:style w:type="paragraph" w:styleId="819">
    <w:name w:val="正文文本 3"/>
    <w:basedOn w:val="783"/>
    <w:next w:val="819"/>
    <w:link w:val="820"/>
    <w:qFormat/>
    <w:rPr>
      <w:rFonts w:ascii="仿宋_GB2312" w:hAnsi="Arial" w:eastAsia="仿宋_GB2312"/>
      <w:sz w:val="32"/>
      <w:szCs w:val="32"/>
    </w:rPr>
  </w:style>
  <w:style w:type="character" w:styleId="820">
    <w:name w:val="正文文本 3 字符"/>
    <w:next w:val="820"/>
    <w:link w:val="819"/>
    <w:qFormat/>
    <w:rPr>
      <w:rFonts w:ascii="仿宋_GB2312" w:hAnsi="Arial" w:eastAsia="仿宋_GB2312"/>
      <w:sz w:val="32"/>
      <w:szCs w:val="32"/>
    </w:rPr>
  </w:style>
  <w:style w:type="paragraph" w:styleId="821">
    <w:name w:val="正文文本"/>
    <w:basedOn w:val="783"/>
    <w:next w:val="787"/>
    <w:link w:val="783"/>
    <w:semiHidden/>
    <w:qFormat/>
    <w:rPr>
      <w:rFonts w:ascii="仿宋" w:hAnsi="仿宋" w:eastAsia="仿宋" w:cs="仿宋"/>
      <w:sz w:val="32"/>
      <w:szCs w:val="32"/>
      <w:lang w:val="en-US" w:eastAsia="en-US" w:bidi="ar-SA"/>
    </w:rPr>
  </w:style>
  <w:style w:type="paragraph" w:styleId="822">
    <w:name w:val="列表 2"/>
    <w:basedOn w:val="783"/>
    <w:next w:val="822"/>
    <w:link w:val="783"/>
    <w:qFormat/>
    <w:pPr>
      <w:ind w:left="100" w:hanging="200"/>
    </w:pPr>
    <w:rPr>
      <w:rFonts w:ascii="Times New Roman" w:hAnsi="Times New Roman"/>
      <w:szCs w:val="21"/>
    </w:rPr>
  </w:style>
  <w:style w:type="paragraph" w:styleId="823">
    <w:name w:val="目录 5"/>
    <w:basedOn w:val="783"/>
    <w:next w:val="783"/>
    <w:link w:val="783"/>
    <w:unhideWhenUsed/>
    <w:qFormat/>
    <w:pPr>
      <w:ind w:left="1134"/>
      <w:spacing w:after="57"/>
    </w:pPr>
  </w:style>
  <w:style w:type="paragraph" w:styleId="824">
    <w:name w:val="目录 3"/>
    <w:basedOn w:val="783"/>
    <w:next w:val="783"/>
    <w:link w:val="783"/>
    <w:unhideWhenUsed/>
    <w:qFormat/>
    <w:pPr>
      <w:ind w:left="567"/>
      <w:spacing w:after="57"/>
    </w:pPr>
  </w:style>
  <w:style w:type="paragraph" w:styleId="825">
    <w:name w:val="纯文本"/>
    <w:basedOn w:val="783"/>
    <w:next w:val="825"/>
    <w:link w:val="826"/>
    <w:qFormat/>
    <w:rPr>
      <w:rFonts w:ascii="宋体" w:hAnsi="Courier New" w:cs="Courier New"/>
      <w:szCs w:val="21"/>
    </w:rPr>
  </w:style>
  <w:style w:type="character" w:styleId="826">
    <w:name w:val="纯文本 字符"/>
    <w:next w:val="826"/>
    <w:link w:val="825"/>
    <w:qFormat/>
    <w:rPr>
      <w:rFonts w:ascii="宋体" w:hAnsi="Courier New" w:cs="Courier New"/>
      <w:sz w:val="21"/>
      <w:szCs w:val="21"/>
    </w:rPr>
  </w:style>
  <w:style w:type="paragraph" w:styleId="827">
    <w:name w:val="目录 8"/>
    <w:basedOn w:val="783"/>
    <w:next w:val="783"/>
    <w:link w:val="783"/>
    <w:unhideWhenUsed/>
    <w:qFormat/>
    <w:pPr>
      <w:ind w:left="1984"/>
      <w:spacing w:after="57"/>
    </w:pPr>
  </w:style>
  <w:style w:type="paragraph" w:styleId="828">
    <w:name w:val="日期"/>
    <w:basedOn w:val="783"/>
    <w:next w:val="783"/>
    <w:link w:val="829"/>
    <w:qFormat/>
    <w:rPr>
      <w:rFonts w:ascii="Times New Roman" w:hAnsi="Times New Roman"/>
      <w:sz w:val="24"/>
      <w:szCs w:val="24"/>
    </w:rPr>
  </w:style>
  <w:style w:type="character" w:styleId="829">
    <w:name w:val="日期 字符"/>
    <w:next w:val="829"/>
    <w:link w:val="828"/>
    <w:qFormat/>
    <w:rPr>
      <w:sz w:val="24"/>
      <w:szCs w:val="24"/>
    </w:rPr>
  </w:style>
  <w:style w:type="paragraph" w:styleId="830">
    <w:name w:val="正文文本缩进 2"/>
    <w:basedOn w:val="783"/>
    <w:next w:val="830"/>
    <w:link w:val="831"/>
    <w:qFormat/>
    <w:pPr>
      <w:ind w:left="630" w:firstLine="645"/>
    </w:pPr>
    <w:rPr>
      <w:rFonts w:ascii="Arial" w:hAnsi="Arial" w:eastAsia="仿宋_GB2312" w:cs="Arial"/>
      <w:sz w:val="32"/>
      <w:szCs w:val="32"/>
    </w:rPr>
  </w:style>
  <w:style w:type="character" w:styleId="831">
    <w:name w:val="正文文本缩进 2 字符"/>
    <w:next w:val="831"/>
    <w:link w:val="830"/>
    <w:qFormat/>
    <w:rPr>
      <w:rFonts w:ascii="Arial" w:hAnsi="Arial" w:eastAsia="仿宋_GB2312" w:cs="Arial"/>
      <w:sz w:val="32"/>
      <w:szCs w:val="32"/>
    </w:rPr>
  </w:style>
  <w:style w:type="paragraph" w:styleId="832">
    <w:name w:val="尾注文本"/>
    <w:basedOn w:val="783"/>
    <w:next w:val="832"/>
    <w:link w:val="833"/>
    <w:uiPriority w:val="99"/>
    <w:unhideWhenUsed/>
    <w:qFormat/>
    <w:rPr>
      <w:sz w:val="20"/>
    </w:rPr>
  </w:style>
  <w:style w:type="character" w:styleId="833">
    <w:name w:val="尾注文本 字符"/>
    <w:next w:val="833"/>
    <w:link w:val="832"/>
    <w:uiPriority w:val="99"/>
    <w:qFormat/>
    <w:rPr>
      <w:sz w:val="20"/>
    </w:rPr>
  </w:style>
  <w:style w:type="paragraph" w:styleId="834">
    <w:name w:val="批注框文本"/>
    <w:basedOn w:val="783"/>
    <w:next w:val="834"/>
    <w:link w:val="835"/>
    <w:qFormat/>
    <w:rPr>
      <w:rFonts w:ascii="Times New Roman" w:hAnsi="Times New Roman"/>
      <w:sz w:val="18"/>
      <w:szCs w:val="18"/>
    </w:rPr>
  </w:style>
  <w:style w:type="character" w:styleId="835">
    <w:name w:val="批注框文本 字符"/>
    <w:next w:val="835"/>
    <w:link w:val="834"/>
    <w:qFormat/>
    <w:rPr>
      <w:sz w:val="18"/>
      <w:szCs w:val="18"/>
    </w:rPr>
  </w:style>
  <w:style w:type="paragraph" w:styleId="836">
    <w:name w:val="页脚"/>
    <w:basedOn w:val="783"/>
    <w:next w:val="836"/>
    <w:link w:val="837"/>
    <w:uiPriority w:val="99"/>
    <w:qFormat/>
    <w:pPr>
      <w:jc w:val="left"/>
      <w:tabs>
        <w:tab w:val="center" w:pos="4153" w:leader="none"/>
        <w:tab w:val="right" w:pos="8306" w:leader="none"/>
      </w:tabs>
    </w:pPr>
    <w:rPr>
      <w:sz w:val="18"/>
      <w:szCs w:val="18"/>
    </w:rPr>
  </w:style>
  <w:style w:type="character" w:styleId="837">
    <w:name w:val="页脚 字符"/>
    <w:next w:val="837"/>
    <w:link w:val="836"/>
    <w:uiPriority w:val="99"/>
    <w:qFormat/>
  </w:style>
  <w:style w:type="paragraph" w:styleId="838">
    <w:name w:val="页眉"/>
    <w:basedOn w:val="783"/>
    <w:next w:val="838"/>
    <w:link w:val="839"/>
    <w:qFormat/>
    <w:pPr>
      <w:jc w:val="center"/>
      <w:tabs>
        <w:tab w:val="center" w:pos="4153" w:leader="none"/>
        <w:tab w:val="right" w:pos="8306" w:leader="none"/>
      </w:tabs>
    </w:pPr>
    <w:rPr>
      <w:sz w:val="18"/>
      <w:szCs w:val="18"/>
    </w:rPr>
  </w:style>
  <w:style w:type="character" w:styleId="839">
    <w:name w:val="页眉 字符"/>
    <w:next w:val="839"/>
    <w:link w:val="838"/>
    <w:qFormat/>
    <w:rPr>
      <w:rFonts w:ascii="Calibri" w:hAnsi="Calibri"/>
      <w:sz w:val="18"/>
      <w:szCs w:val="18"/>
    </w:rPr>
  </w:style>
  <w:style w:type="paragraph" w:styleId="840">
    <w:name w:val="目录 1"/>
    <w:basedOn w:val="783"/>
    <w:next w:val="783"/>
    <w:link w:val="783"/>
    <w:qFormat/>
    <w:pPr>
      <w:jc w:val="left"/>
      <w:spacing w:before="120" w:after="120"/>
    </w:pPr>
    <w:rPr>
      <w:rFonts w:cs="Calibri"/>
      <w:b/>
      <w:bCs/>
      <w:caps/>
      <w:sz w:val="20"/>
      <w:szCs w:val="20"/>
    </w:rPr>
  </w:style>
  <w:style w:type="paragraph" w:styleId="841">
    <w:name w:val="目录 4"/>
    <w:basedOn w:val="783"/>
    <w:next w:val="783"/>
    <w:link w:val="783"/>
    <w:unhideWhenUsed/>
    <w:qFormat/>
    <w:pPr>
      <w:ind w:left="850"/>
      <w:spacing w:after="57"/>
    </w:pPr>
  </w:style>
  <w:style w:type="paragraph" w:styleId="842">
    <w:name w:val="副标题"/>
    <w:basedOn w:val="783"/>
    <w:next w:val="783"/>
    <w:link w:val="843"/>
    <w:uiPriority w:val="11"/>
    <w:qFormat/>
    <w:pPr>
      <w:spacing w:before="200" w:after="200"/>
    </w:pPr>
    <w:rPr>
      <w:sz w:val="24"/>
      <w:szCs w:val="24"/>
    </w:rPr>
  </w:style>
  <w:style w:type="character" w:styleId="843">
    <w:name w:val="副标题 字符"/>
    <w:next w:val="843"/>
    <w:link w:val="842"/>
    <w:uiPriority w:val="11"/>
    <w:qFormat/>
    <w:rPr>
      <w:sz w:val="24"/>
      <w:szCs w:val="24"/>
    </w:rPr>
  </w:style>
  <w:style w:type="paragraph" w:styleId="844">
    <w:name w:val="列表"/>
    <w:basedOn w:val="783"/>
    <w:next w:val="844"/>
    <w:link w:val="783"/>
    <w:qFormat/>
    <w:pPr>
      <w:ind w:left="200" w:hanging="200"/>
    </w:pPr>
    <w:rPr>
      <w:rFonts w:ascii="Times New Roman" w:hAnsi="Times New Roman"/>
      <w:szCs w:val="21"/>
    </w:rPr>
  </w:style>
  <w:style w:type="paragraph" w:styleId="845">
    <w:name w:val="脚注文本"/>
    <w:basedOn w:val="783"/>
    <w:next w:val="845"/>
    <w:link w:val="846"/>
    <w:uiPriority w:val="99"/>
    <w:unhideWhenUsed/>
    <w:qFormat/>
    <w:pPr>
      <w:spacing w:after="40"/>
    </w:pPr>
    <w:rPr>
      <w:sz w:val="18"/>
    </w:rPr>
  </w:style>
  <w:style w:type="character" w:styleId="846">
    <w:name w:val="脚注文本 字符"/>
    <w:next w:val="846"/>
    <w:link w:val="845"/>
    <w:uiPriority w:val="99"/>
    <w:qFormat/>
    <w:rPr>
      <w:sz w:val="18"/>
    </w:rPr>
  </w:style>
  <w:style w:type="paragraph" w:styleId="847">
    <w:name w:val="目录 6"/>
    <w:basedOn w:val="783"/>
    <w:next w:val="783"/>
    <w:link w:val="783"/>
    <w:unhideWhenUsed/>
    <w:qFormat/>
    <w:pPr>
      <w:ind w:left="1417"/>
      <w:spacing w:after="57"/>
    </w:pPr>
  </w:style>
  <w:style w:type="paragraph" w:styleId="848">
    <w:name w:val="正文文本缩进 3"/>
    <w:basedOn w:val="783"/>
    <w:next w:val="848"/>
    <w:link w:val="849"/>
    <w:qFormat/>
    <w:pPr>
      <w:ind w:left="645" w:firstLine="645"/>
    </w:pPr>
    <w:rPr>
      <w:rFonts w:ascii="Arial" w:hAnsi="Arial" w:eastAsia="仿宋_GB2312" w:cs="Arial"/>
      <w:color w:val="ffff00"/>
      <w:sz w:val="32"/>
      <w:szCs w:val="32"/>
    </w:rPr>
  </w:style>
  <w:style w:type="character" w:styleId="849">
    <w:name w:val="正文文本缩进 3 字符"/>
    <w:next w:val="849"/>
    <w:link w:val="848"/>
    <w:qFormat/>
    <w:rPr>
      <w:rFonts w:ascii="Arial" w:hAnsi="Arial" w:eastAsia="仿宋_GB2312" w:cs="Arial"/>
      <w:color w:val="ffff00"/>
      <w:sz w:val="32"/>
      <w:szCs w:val="32"/>
    </w:rPr>
  </w:style>
  <w:style w:type="paragraph" w:styleId="850">
    <w:name w:val="图表目录"/>
    <w:basedOn w:val="783"/>
    <w:next w:val="783"/>
    <w:link w:val="783"/>
    <w:unhideWhenUsed/>
    <w:qFormat/>
  </w:style>
  <w:style w:type="paragraph" w:styleId="851">
    <w:name w:val="目录 2"/>
    <w:basedOn w:val="783"/>
    <w:next w:val="783"/>
    <w:link w:val="783"/>
    <w:qFormat/>
    <w:pPr>
      <w:ind w:left="210"/>
      <w:jc w:val="left"/>
    </w:pPr>
    <w:rPr>
      <w:rFonts w:cs="Calibri"/>
      <w:smallCaps/>
      <w:sz w:val="20"/>
      <w:szCs w:val="20"/>
    </w:rPr>
  </w:style>
  <w:style w:type="paragraph" w:styleId="852">
    <w:name w:val="目录 9"/>
    <w:basedOn w:val="783"/>
    <w:next w:val="783"/>
    <w:link w:val="783"/>
    <w:unhideWhenUsed/>
    <w:qFormat/>
    <w:pPr>
      <w:ind w:left="2268"/>
      <w:spacing w:after="57"/>
    </w:pPr>
  </w:style>
  <w:style w:type="paragraph" w:styleId="853">
    <w:name w:val="正文文本 2"/>
    <w:basedOn w:val="783"/>
    <w:next w:val="853"/>
    <w:link w:val="854"/>
    <w:qFormat/>
    <w:pPr>
      <w:jc w:val="center"/>
      <w:widowControl/>
    </w:pPr>
    <w:rPr>
      <w:rFonts w:ascii="楷体_GB2312" w:hAnsi="Times New Roman" w:eastAsia="楷体_GB2312"/>
      <w:sz w:val="28"/>
      <w:szCs w:val="28"/>
    </w:rPr>
  </w:style>
  <w:style w:type="character" w:styleId="854">
    <w:name w:val="正文文本 2 字符"/>
    <w:next w:val="854"/>
    <w:link w:val="853"/>
    <w:qFormat/>
    <w:rPr>
      <w:rFonts w:ascii="楷体_GB2312" w:eastAsia="楷体_GB2312"/>
      <w:sz w:val="28"/>
      <w:szCs w:val="28"/>
    </w:rPr>
  </w:style>
  <w:style w:type="paragraph" w:styleId="855">
    <w:name w:val="HTML 预设格式"/>
    <w:basedOn w:val="783"/>
    <w:next w:val="855"/>
    <w:link w:val="85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56">
    <w:name w:val="HTML 预设格式 字符"/>
    <w:next w:val="856"/>
    <w:link w:val="855"/>
    <w:uiPriority w:val="99"/>
    <w:qFormat/>
    <w:rPr>
      <w:rFonts w:ascii="宋体" w:hAnsi="宋体"/>
      <w:sz w:val="24"/>
      <w:szCs w:val="24"/>
    </w:rPr>
  </w:style>
  <w:style w:type="paragraph" w:styleId="857">
    <w:name w:val="普通(网站)"/>
    <w:basedOn w:val="783"/>
    <w:next w:val="857"/>
    <w:link w:val="783"/>
    <w:uiPriority w:val="99"/>
    <w:qFormat/>
    <w:pPr>
      <w:jc w:val="left"/>
      <w:spacing w:before="100" w:beforeAutospacing="1" w:after="100" w:afterAutospacing="1"/>
      <w:widowControl/>
    </w:pPr>
    <w:rPr>
      <w:rFonts w:ascii="宋体" w:hAnsi="宋体" w:cs="宋体"/>
      <w:sz w:val="24"/>
      <w:szCs w:val="24"/>
    </w:rPr>
  </w:style>
  <w:style w:type="paragraph" w:styleId="858">
    <w:name w:val="索引 1"/>
    <w:basedOn w:val="783"/>
    <w:next w:val="783"/>
    <w:link w:val="783"/>
    <w:semiHidden/>
    <w:qFormat/>
    <w:pPr>
      <w:spacing w:line="240" w:lineRule="atLeast"/>
    </w:pPr>
    <w:rPr>
      <w:rFonts w:ascii="Times New Roman" w:hAnsi="Times New Roman"/>
      <w:b/>
      <w:bCs/>
      <w:szCs w:val="21"/>
    </w:rPr>
  </w:style>
  <w:style w:type="paragraph" w:styleId="859">
    <w:name w:val="标题"/>
    <w:basedOn w:val="783"/>
    <w:next w:val="783"/>
    <w:link w:val="860"/>
    <w:uiPriority w:val="10"/>
    <w:qFormat/>
    <w:pPr>
      <w:contextualSpacing/>
      <w:spacing w:before="300" w:after="200"/>
    </w:pPr>
    <w:rPr>
      <w:sz w:val="48"/>
      <w:szCs w:val="48"/>
    </w:rPr>
  </w:style>
  <w:style w:type="character" w:styleId="860">
    <w:name w:val="标题 字符"/>
    <w:next w:val="860"/>
    <w:link w:val="859"/>
    <w:uiPriority w:val="10"/>
    <w:qFormat/>
    <w:rPr>
      <w:sz w:val="48"/>
      <w:szCs w:val="48"/>
    </w:rPr>
  </w:style>
  <w:style w:type="paragraph" w:styleId="861">
    <w:name w:val="批注主题"/>
    <w:basedOn w:val="817"/>
    <w:next w:val="817"/>
    <w:link w:val="862"/>
    <w:semiHidden/>
    <w:qFormat/>
    <w:rPr>
      <w:b/>
      <w:bCs/>
    </w:rPr>
  </w:style>
  <w:style w:type="character" w:styleId="862">
    <w:name w:val="批注主题 字符"/>
    <w:next w:val="862"/>
    <w:link w:val="861"/>
    <w:semiHidden/>
    <w:qFormat/>
    <w:rPr>
      <w:b/>
      <w:bCs/>
      <w:sz w:val="21"/>
      <w:szCs w:val="21"/>
    </w:rPr>
  </w:style>
  <w:style w:type="paragraph" w:styleId="863">
    <w:name w:val="正文首行缩进"/>
    <w:basedOn w:val="821"/>
    <w:next w:val="863"/>
    <w:link w:val="783"/>
    <w:qFormat/>
    <w:pPr>
      <w:ind w:firstLine="100"/>
      <w:spacing w:after="120" w:line="240" w:lineRule="auto"/>
    </w:pPr>
    <w:rPr>
      <w:rFonts w:ascii="Times New Roman" w:hAnsi="Times New Roman" w:eastAsia="宋体"/>
      <w:sz w:val="21"/>
    </w:rPr>
  </w:style>
  <w:style w:type="paragraph" w:styleId="864">
    <w:name w:val="正文首行缩进 2"/>
    <w:basedOn w:val="795"/>
    <w:next w:val="864"/>
    <w:link w:val="865"/>
    <w:qFormat/>
    <w:pPr>
      <w:ind w:firstLine="420"/>
      <w:spacing w:line="360" w:lineRule="auto"/>
    </w:pPr>
    <w:rPr>
      <w:rFonts w:ascii="宋体" w:hAnsi="宋体" w:eastAsia="宋体"/>
      <w:sz w:val="21"/>
      <w:szCs w:val="20"/>
    </w:rPr>
  </w:style>
  <w:style w:type="character" w:styleId="865">
    <w:name w:val="正文文本首行缩进 2 字符"/>
    <w:next w:val="865"/>
    <w:link w:val="864"/>
    <w:qFormat/>
    <w:rPr>
      <w:rFonts w:ascii="宋体" w:hAnsi="宋体" w:eastAsia="仿宋_GB2312"/>
      <w:sz w:val="21"/>
      <w:szCs w:val="22"/>
    </w:rPr>
  </w:style>
  <w:style w:type="table" w:styleId="866">
    <w:name w:val="网格型"/>
    <w:basedOn w:val="794"/>
    <w:next w:val="866"/>
    <w:link w:val="783"/>
    <w:qFormat/>
    <w:pPr>
      <w:jc w:val="both"/>
      <w:widowControl w:val="off"/>
    </w:pPr>
    <w:tblPr/>
  </w:style>
  <w:style w:type="character" w:styleId="867">
    <w:name w:val="要点"/>
    <w:next w:val="867"/>
    <w:link w:val="783"/>
    <w:qFormat/>
    <w:rPr>
      <w:b/>
      <w:bCs/>
    </w:rPr>
  </w:style>
  <w:style w:type="character" w:styleId="868">
    <w:name w:val="尾注引用"/>
    <w:next w:val="868"/>
    <w:link w:val="783"/>
    <w:uiPriority w:val="99"/>
    <w:unhideWhenUsed/>
    <w:qFormat/>
    <w:rPr>
      <w:vertAlign w:val="superscript"/>
    </w:rPr>
  </w:style>
  <w:style w:type="character" w:styleId="869">
    <w:name w:val="页码"/>
    <w:next w:val="869"/>
    <w:link w:val="783"/>
    <w:qFormat/>
  </w:style>
  <w:style w:type="character" w:styleId="870">
    <w:name w:val="已访问的超链接"/>
    <w:next w:val="870"/>
    <w:link w:val="783"/>
    <w:qFormat/>
    <w:rPr>
      <w:color w:val="800080"/>
      <w:u w:val="single"/>
    </w:rPr>
  </w:style>
  <w:style w:type="character" w:styleId="871">
    <w:name w:val="超链接"/>
    <w:next w:val="871"/>
    <w:link w:val="783"/>
    <w:qFormat/>
    <w:rPr>
      <w:color w:val="0000ff"/>
      <w:u w:val="single"/>
    </w:rPr>
  </w:style>
  <w:style w:type="character" w:styleId="872">
    <w:name w:val="批注引用"/>
    <w:next w:val="872"/>
    <w:link w:val="783"/>
    <w:semiHidden/>
    <w:qFormat/>
    <w:rPr>
      <w:sz w:val="21"/>
      <w:szCs w:val="21"/>
    </w:rPr>
  </w:style>
  <w:style w:type="character" w:styleId="873">
    <w:name w:val="脚注引用"/>
    <w:next w:val="873"/>
    <w:link w:val="783"/>
    <w:uiPriority w:val="99"/>
    <w:unhideWhenUsed/>
    <w:qFormat/>
    <w:rPr>
      <w:vertAlign w:val="superscript"/>
    </w:rPr>
  </w:style>
  <w:style w:type="paragraph" w:styleId="874">
    <w:name w:val="段"/>
    <w:next w:val="874"/>
    <w:link w:val="783"/>
    <w:pPr>
      <w:ind w:firstLine="200"/>
      <w:jc w:val="both"/>
    </w:pPr>
    <w:rPr>
      <w:rFonts w:ascii="宋体"/>
      <w:sz w:val="21"/>
      <w:lang w:val="en-US" w:eastAsia="zh-CN" w:bidi="ar-SA"/>
    </w:rPr>
  </w:style>
  <w:style w:type="paragraph" w:styleId="875">
    <w:name w:val="Normal1"/>
    <w:next w:val="876"/>
    <w:link w:val="783"/>
    <w:qFormat/>
    <w:pPr>
      <w:jc w:val="both"/>
      <w:widowControl w:val="off"/>
    </w:pPr>
    <w:rPr>
      <w:szCs w:val="21"/>
      <w:lang w:val="en-US" w:eastAsia="zh-CN" w:bidi="ar-SA"/>
    </w:rPr>
  </w:style>
  <w:style w:type="paragraph" w:styleId="876">
    <w:name w:val="Body Text First Indent1"/>
    <w:basedOn w:val="877"/>
    <w:next w:val="876"/>
    <w:link w:val="783"/>
    <w:uiPriority w:val="99"/>
    <w:unhideWhenUsed/>
    <w:qFormat/>
    <w:pPr>
      <w:ind w:firstLine="420"/>
    </w:pPr>
  </w:style>
  <w:style w:type="paragraph" w:styleId="877">
    <w:name w:val="Body Text1"/>
    <w:basedOn w:val="875"/>
    <w:next w:val="877"/>
    <w:link w:val="783"/>
    <w:uiPriority w:val="99"/>
    <w:unhideWhenUsed/>
    <w:qFormat/>
    <w:pPr>
      <w:spacing w:after="120"/>
    </w:pPr>
  </w:style>
  <w:style w:type="paragraph" w:styleId="878">
    <w:name w:val="正文首行缩进 21"/>
    <w:basedOn w:val="879"/>
    <w:next w:val="783"/>
    <w:link w:val="783"/>
    <w:qFormat/>
    <w:pPr>
      <w:ind w:firstLine="420"/>
      <w:spacing w:line="360" w:lineRule="auto"/>
    </w:pPr>
    <w:rPr>
      <w:rFonts w:ascii="宋体" w:hAnsi="宋体" w:eastAsia="宋体"/>
      <w:sz w:val="21"/>
      <w:szCs w:val="20"/>
    </w:rPr>
  </w:style>
  <w:style w:type="paragraph" w:styleId="879">
    <w:name w:val="正文文本缩进1"/>
    <w:basedOn w:val="783"/>
    <w:next w:val="880"/>
    <w:link w:val="783"/>
    <w:qFormat/>
    <w:pPr>
      <w:ind w:firstLine="645"/>
    </w:pPr>
    <w:rPr>
      <w:rFonts w:ascii="楷体_GB2312" w:eastAsia="楷体_GB2312"/>
      <w:sz w:val="32"/>
      <w:szCs w:val="32"/>
    </w:rPr>
  </w:style>
  <w:style w:type="paragraph" w:styleId="880">
    <w:name w:val="寄信人地址1"/>
    <w:basedOn w:val="783"/>
    <w:next w:val="880"/>
    <w:link w:val="783"/>
    <w:qFormat/>
    <w:rPr>
      <w:rFonts w:ascii="Arial" w:hAnsi="Arial"/>
    </w:rPr>
  </w:style>
  <w:style w:type="paragraph" w:styleId="881">
    <w:name w:val="标题 41"/>
    <w:basedOn w:val="882"/>
    <w:next w:val="783"/>
    <w:link w:val="783"/>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2">
    <w:name w:val="Normal_20"/>
    <w:next w:val="783"/>
    <w:link w:val="783"/>
    <w:qFormat/>
    <w:rPr>
      <w:rFonts w:ascii="黑体" w:hAnsi="黑体" w:eastAsia="黑体" w:cs="黑体"/>
      <w:b/>
      <w:sz w:val="32"/>
      <w:szCs w:val="24"/>
      <w:lang w:val="en-US" w:eastAsia="zh-CN" w:bidi="ar-SA"/>
    </w:rPr>
  </w:style>
  <w:style w:type="paragraph" w:styleId="883">
    <w:name w:val="Body Text First Indent_2"/>
    <w:basedOn w:val="882"/>
    <w:next w:val="883"/>
    <w:link w:val="783"/>
    <w:qFormat/>
    <w:pPr>
      <w:ind w:firstLine="100"/>
      <w:spacing w:after="120"/>
    </w:pPr>
  </w:style>
  <w:style w:type="paragraph" w:styleId="884">
    <w:name w:val="脚注文本1"/>
    <w:basedOn w:val="783"/>
    <w:next w:val="884"/>
    <w:link w:val="783"/>
    <w:qFormat/>
    <w:pPr>
      <w:jc w:val="left"/>
    </w:pPr>
    <w:rPr>
      <w:rFonts w:eastAsia="Times New Roman"/>
      <w:sz w:val="18"/>
      <w:szCs w:val="24"/>
    </w:rPr>
  </w:style>
  <w:style w:type="table" w:styleId="885">
    <w:name w:val="Plain Table 1"/>
    <w:basedOn w:val="794"/>
    <w:next w:val="885"/>
    <w:link w:val="783"/>
    <w:uiPriority w:val="59"/>
    <w:qFormat/>
    <w:pPr>
      <w:spacing w:after="0" w:line="240" w:lineRule="auto"/>
    </w:pPr>
    <w:tblPr/>
  </w:style>
  <w:style w:type="table" w:styleId="886">
    <w:name w:val="Plain Table 2"/>
    <w:basedOn w:val="794"/>
    <w:next w:val="886"/>
    <w:link w:val="783"/>
    <w:uiPriority w:val="59"/>
    <w:qFormat/>
    <w:pPr>
      <w:spacing w:after="0" w:line="240" w:lineRule="auto"/>
    </w:pPr>
    <w:tblPr/>
  </w:style>
  <w:style w:type="table" w:styleId="887">
    <w:name w:val="Plain Table 3"/>
    <w:basedOn w:val="794"/>
    <w:next w:val="887"/>
    <w:link w:val="783"/>
    <w:uiPriority w:val="99"/>
    <w:qFormat/>
    <w:pPr>
      <w:spacing w:after="0" w:line="240" w:lineRule="auto"/>
    </w:pPr>
    <w:tblPr/>
  </w:style>
  <w:style w:type="table" w:styleId="888">
    <w:name w:val="Plain Table 4"/>
    <w:basedOn w:val="794"/>
    <w:next w:val="888"/>
    <w:link w:val="783"/>
    <w:uiPriority w:val="99"/>
    <w:qFormat/>
    <w:pPr>
      <w:spacing w:after="0" w:line="240" w:lineRule="auto"/>
    </w:pPr>
    <w:tblPr/>
  </w:style>
  <w:style w:type="table" w:styleId="889">
    <w:name w:val="Plain Table 5"/>
    <w:basedOn w:val="794"/>
    <w:next w:val="889"/>
    <w:link w:val="783"/>
    <w:uiPriority w:val="99"/>
    <w:qFormat/>
    <w:pPr>
      <w:spacing w:after="0" w:line="240" w:lineRule="auto"/>
    </w:pPr>
    <w:tblPr/>
  </w:style>
  <w:style w:type="table" w:styleId="890">
    <w:name w:val="Grid Table 1 Light"/>
    <w:basedOn w:val="794"/>
    <w:next w:val="890"/>
    <w:link w:val="783"/>
    <w:uiPriority w:val="99"/>
    <w:qFormat/>
    <w:pPr>
      <w:spacing w:after="0" w:line="240" w:lineRule="auto"/>
    </w:pPr>
    <w:tblPr/>
  </w:style>
  <w:style w:type="table" w:styleId="891">
    <w:name w:val="Grid Table 2"/>
    <w:basedOn w:val="794"/>
    <w:next w:val="891"/>
    <w:link w:val="783"/>
    <w:uiPriority w:val="99"/>
    <w:qFormat/>
    <w:pPr>
      <w:spacing w:after="0" w:line="240" w:lineRule="auto"/>
    </w:pPr>
    <w:tblPr/>
  </w:style>
  <w:style w:type="table" w:styleId="892">
    <w:name w:val="Grid Table 3"/>
    <w:basedOn w:val="794"/>
    <w:next w:val="892"/>
    <w:link w:val="783"/>
    <w:uiPriority w:val="99"/>
    <w:qFormat/>
    <w:pPr>
      <w:spacing w:after="0" w:line="240" w:lineRule="auto"/>
    </w:pPr>
    <w:tblPr/>
  </w:style>
  <w:style w:type="table" w:styleId="893">
    <w:name w:val="Grid Table 4"/>
    <w:basedOn w:val="794"/>
    <w:next w:val="893"/>
    <w:link w:val="783"/>
    <w:uiPriority w:val="59"/>
    <w:qFormat/>
    <w:pPr>
      <w:spacing w:after="0" w:line="240" w:lineRule="auto"/>
    </w:pPr>
    <w:tblPr/>
  </w:style>
  <w:style w:type="table" w:styleId="894">
    <w:name w:val="Grid Table 5 Dark"/>
    <w:basedOn w:val="794"/>
    <w:next w:val="894"/>
    <w:link w:val="783"/>
    <w:uiPriority w:val="99"/>
    <w:qFormat/>
    <w:pPr>
      <w:spacing w:after="0" w:line="240" w:lineRule="auto"/>
    </w:pPr>
    <w:tblPr/>
  </w:style>
  <w:style w:type="table" w:styleId="895">
    <w:name w:val="Grid Table 6 Colorful"/>
    <w:basedOn w:val="794"/>
    <w:next w:val="895"/>
    <w:link w:val="783"/>
    <w:uiPriority w:val="99"/>
    <w:qFormat/>
    <w:pPr>
      <w:spacing w:after="0" w:line="240" w:lineRule="auto"/>
    </w:pPr>
    <w:tblPr/>
  </w:style>
  <w:style w:type="table" w:styleId="896">
    <w:name w:val="Grid Table 7 Colorful"/>
    <w:basedOn w:val="794"/>
    <w:next w:val="896"/>
    <w:link w:val="783"/>
    <w:uiPriority w:val="99"/>
    <w:qFormat/>
    <w:pPr>
      <w:spacing w:after="0" w:line="240" w:lineRule="auto"/>
    </w:pPr>
    <w:tblPr/>
  </w:style>
  <w:style w:type="table" w:styleId="897">
    <w:name w:val="List Table 1 Light"/>
    <w:basedOn w:val="794"/>
    <w:next w:val="897"/>
    <w:link w:val="783"/>
    <w:uiPriority w:val="99"/>
    <w:qFormat/>
    <w:pPr>
      <w:spacing w:after="0" w:line="240" w:lineRule="auto"/>
    </w:pPr>
    <w:tblPr/>
  </w:style>
  <w:style w:type="table" w:styleId="898">
    <w:name w:val="List Table 2"/>
    <w:basedOn w:val="794"/>
    <w:next w:val="898"/>
    <w:link w:val="783"/>
    <w:uiPriority w:val="99"/>
    <w:qFormat/>
    <w:pPr>
      <w:spacing w:after="0" w:line="240" w:lineRule="auto"/>
    </w:pPr>
    <w:tblPr/>
  </w:style>
  <w:style w:type="table" w:styleId="899">
    <w:name w:val="List Table 3"/>
    <w:basedOn w:val="794"/>
    <w:next w:val="899"/>
    <w:link w:val="783"/>
    <w:uiPriority w:val="99"/>
    <w:qFormat/>
    <w:pPr>
      <w:spacing w:after="0" w:line="240" w:lineRule="auto"/>
    </w:pPr>
    <w:tblPr/>
  </w:style>
  <w:style w:type="table" w:styleId="900">
    <w:name w:val="List Table 4"/>
    <w:basedOn w:val="794"/>
    <w:next w:val="900"/>
    <w:link w:val="783"/>
    <w:uiPriority w:val="99"/>
    <w:qFormat/>
    <w:pPr>
      <w:spacing w:after="0" w:line="240" w:lineRule="auto"/>
    </w:pPr>
    <w:tblPr/>
  </w:style>
  <w:style w:type="table" w:styleId="901">
    <w:name w:val="List Table 5 Dark"/>
    <w:basedOn w:val="794"/>
    <w:next w:val="901"/>
    <w:link w:val="783"/>
    <w:uiPriority w:val="99"/>
    <w:qFormat/>
    <w:pPr>
      <w:spacing w:after="0" w:line="240" w:lineRule="auto"/>
    </w:pPr>
    <w:tblPr/>
  </w:style>
  <w:style w:type="table" w:styleId="902">
    <w:name w:val="List Table 6 Colorful"/>
    <w:basedOn w:val="794"/>
    <w:next w:val="902"/>
    <w:link w:val="783"/>
    <w:uiPriority w:val="99"/>
    <w:qFormat/>
    <w:pPr>
      <w:spacing w:after="0" w:line="240" w:lineRule="auto"/>
    </w:pPr>
    <w:tblPr/>
  </w:style>
  <w:style w:type="table" w:styleId="903">
    <w:name w:val="List Table 7 Colorful"/>
    <w:basedOn w:val="794"/>
    <w:next w:val="903"/>
    <w:link w:val="783"/>
    <w:uiPriority w:val="99"/>
    <w:qFormat/>
    <w:pPr>
      <w:spacing w:after="0" w:line="240" w:lineRule="auto"/>
    </w:pPr>
    <w:tblPr/>
  </w:style>
  <w:style w:type="paragraph" w:styleId="904">
    <w:name w:val="TOC Heading"/>
    <w:next w:val="904"/>
    <w:link w:val="783"/>
    <w:uiPriority w:val="39"/>
    <w:unhideWhenUsed/>
    <w:qFormat/>
    <w:rPr>
      <w:lang w:val="en-US" w:eastAsia="zh-CN" w:bidi="ar-SA"/>
    </w:rPr>
  </w:style>
  <w:style w:type="table" w:styleId="905">
    <w:name w:val="无格式表格 11"/>
    <w:basedOn w:val="794"/>
    <w:next w:val="905"/>
    <w:link w:val="783"/>
    <w:uiPriority w:val="59"/>
    <w:qFormat/>
    <w:tblPr/>
  </w:style>
  <w:style w:type="table" w:styleId="906">
    <w:name w:val="无格式表格 21"/>
    <w:basedOn w:val="794"/>
    <w:next w:val="906"/>
    <w:link w:val="783"/>
    <w:uiPriority w:val="59"/>
    <w:qFormat/>
    <w:tblPr/>
  </w:style>
  <w:style w:type="table" w:styleId="907">
    <w:name w:val="无格式表格 31"/>
    <w:basedOn w:val="794"/>
    <w:next w:val="907"/>
    <w:link w:val="783"/>
    <w:uiPriority w:val="99"/>
    <w:qFormat/>
    <w:tblPr/>
  </w:style>
  <w:style w:type="table" w:styleId="908">
    <w:name w:val="无格式表格 41"/>
    <w:basedOn w:val="794"/>
    <w:next w:val="908"/>
    <w:link w:val="783"/>
    <w:uiPriority w:val="99"/>
    <w:qFormat/>
    <w:tblPr/>
  </w:style>
  <w:style w:type="table" w:styleId="909">
    <w:name w:val="无格式表格 51"/>
    <w:basedOn w:val="794"/>
    <w:next w:val="909"/>
    <w:link w:val="783"/>
    <w:uiPriority w:val="99"/>
    <w:qFormat/>
    <w:tblPr/>
  </w:style>
  <w:style w:type="table" w:styleId="910">
    <w:name w:val="网格表 1 浅色1"/>
    <w:basedOn w:val="794"/>
    <w:next w:val="910"/>
    <w:link w:val="783"/>
    <w:uiPriority w:val="99"/>
    <w:qFormat/>
    <w:tblPr/>
  </w:style>
  <w:style w:type="table" w:styleId="911">
    <w:name w:val="网格表 21"/>
    <w:basedOn w:val="794"/>
    <w:next w:val="911"/>
    <w:link w:val="783"/>
    <w:uiPriority w:val="99"/>
    <w:qFormat/>
    <w:tblPr/>
  </w:style>
  <w:style w:type="table" w:styleId="912">
    <w:name w:val="网格表 31"/>
    <w:basedOn w:val="794"/>
    <w:next w:val="912"/>
    <w:link w:val="783"/>
    <w:uiPriority w:val="99"/>
    <w:qFormat/>
    <w:tblPr/>
  </w:style>
  <w:style w:type="table" w:styleId="913">
    <w:name w:val="网格表 41"/>
    <w:basedOn w:val="794"/>
    <w:next w:val="913"/>
    <w:link w:val="783"/>
    <w:uiPriority w:val="59"/>
    <w:qFormat/>
    <w:tblPr/>
  </w:style>
  <w:style w:type="table" w:styleId="914">
    <w:name w:val="网格表 5 深色1"/>
    <w:basedOn w:val="794"/>
    <w:next w:val="914"/>
    <w:link w:val="783"/>
    <w:uiPriority w:val="99"/>
    <w:qFormat/>
    <w:tblPr/>
  </w:style>
  <w:style w:type="table" w:styleId="915">
    <w:name w:val="网格表 6 彩色1"/>
    <w:basedOn w:val="794"/>
    <w:next w:val="915"/>
    <w:link w:val="783"/>
    <w:uiPriority w:val="99"/>
    <w:qFormat/>
    <w:tblPr/>
  </w:style>
  <w:style w:type="table" w:styleId="916">
    <w:name w:val="网格表 7 彩色1"/>
    <w:basedOn w:val="794"/>
    <w:next w:val="916"/>
    <w:link w:val="783"/>
    <w:uiPriority w:val="99"/>
    <w:qFormat/>
    <w:tblPr/>
  </w:style>
  <w:style w:type="table" w:styleId="917">
    <w:name w:val="清单表 1 浅色1"/>
    <w:basedOn w:val="794"/>
    <w:next w:val="917"/>
    <w:link w:val="783"/>
    <w:uiPriority w:val="99"/>
    <w:qFormat/>
    <w:tblPr/>
  </w:style>
  <w:style w:type="table" w:styleId="918">
    <w:name w:val="清单表 21"/>
    <w:basedOn w:val="794"/>
    <w:next w:val="918"/>
    <w:link w:val="783"/>
    <w:uiPriority w:val="99"/>
    <w:qFormat/>
    <w:tblPr/>
  </w:style>
  <w:style w:type="table" w:styleId="919">
    <w:name w:val="清单表 31"/>
    <w:basedOn w:val="794"/>
    <w:next w:val="919"/>
    <w:link w:val="783"/>
    <w:uiPriority w:val="99"/>
    <w:qFormat/>
    <w:tblPr/>
  </w:style>
  <w:style w:type="table" w:styleId="920">
    <w:name w:val="清单表 41"/>
    <w:basedOn w:val="794"/>
    <w:next w:val="920"/>
    <w:link w:val="783"/>
    <w:uiPriority w:val="99"/>
    <w:qFormat/>
    <w:tblPr/>
  </w:style>
  <w:style w:type="table" w:styleId="921">
    <w:name w:val="清单表 5 深色1"/>
    <w:basedOn w:val="794"/>
    <w:next w:val="921"/>
    <w:link w:val="783"/>
    <w:uiPriority w:val="99"/>
    <w:qFormat/>
    <w:tblPr/>
  </w:style>
  <w:style w:type="table" w:styleId="922">
    <w:name w:val="清单表 6 彩色1"/>
    <w:basedOn w:val="794"/>
    <w:next w:val="922"/>
    <w:link w:val="783"/>
    <w:uiPriority w:val="99"/>
    <w:qFormat/>
    <w:tblPr/>
  </w:style>
  <w:style w:type="table" w:styleId="923">
    <w:name w:val="清单表 7 彩色1"/>
    <w:basedOn w:val="794"/>
    <w:next w:val="923"/>
    <w:link w:val="783"/>
    <w:uiPriority w:val="99"/>
    <w:qFormat/>
    <w:tblPr/>
  </w:style>
  <w:style w:type="paragraph" w:styleId="924">
    <w:name w:val="TOC 标题1"/>
    <w:next w:val="924"/>
    <w:link w:val="783"/>
    <w:uiPriority w:val="39"/>
    <w:unhideWhenUsed/>
    <w:qFormat/>
    <w:rPr>
      <w:lang w:val="en-US" w:eastAsia="zh-CN" w:bidi="ar-SA"/>
    </w:rPr>
  </w:style>
  <w:style w:type="paragraph" w:styleId="925">
    <w:name w:val="Normal_21"/>
    <w:basedOn w:val="926"/>
    <w:next w:val="926"/>
    <w:link w:val="783"/>
    <w:qFormat/>
    <w:pPr>
      <w:jc w:val="both"/>
      <w:widowControl w:val="off"/>
    </w:pPr>
    <w:rPr>
      <w:rFonts w:ascii="Times New Roman" w:hAnsi="Times New Roman" w:eastAsia="宋体" w:cs="Times New Roman"/>
      <w:sz w:val="21"/>
      <w:szCs w:val="24"/>
      <w:lang w:val="en-US" w:eastAsia="zh-CN" w:bidi="ar-SA"/>
    </w:rPr>
  </w:style>
  <w:style w:type="paragraph" w:styleId="926">
    <w:name w:val="正文_16"/>
    <w:next w:val="926"/>
    <w:link w:val="783"/>
    <w:qFormat/>
    <w:pPr>
      <w:jc w:val="both"/>
      <w:widowControl w:val="off"/>
    </w:pPr>
    <w:rPr>
      <w:rFonts w:ascii="Calibri" w:hAnsi="Calibri"/>
      <w:sz w:val="21"/>
      <w:szCs w:val="22"/>
      <w:lang w:val="en-US" w:eastAsia="zh-CN" w:bidi="ar-SA"/>
    </w:rPr>
  </w:style>
  <w:style w:type="paragraph" w:styleId="927">
    <w:name w:val="正文_17"/>
    <w:next w:val="928"/>
    <w:link w:val="783"/>
    <w:qFormat/>
    <w:pPr>
      <w:jc w:val="both"/>
      <w:widowControl w:val="off"/>
    </w:pPr>
    <w:rPr>
      <w:sz w:val="21"/>
      <w:szCs w:val="22"/>
      <w:lang w:val="en-US" w:eastAsia="zh-CN" w:bidi="ar-SA"/>
    </w:rPr>
  </w:style>
  <w:style w:type="paragraph" w:styleId="928">
    <w:name w:val="标题 4_1"/>
    <w:basedOn w:val="927"/>
    <w:next w:val="927"/>
    <w:link w:val="783"/>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9">
    <w:name w:val="Heading 1 Char"/>
    <w:next w:val="929"/>
    <w:link w:val="783"/>
    <w:uiPriority w:val="9"/>
    <w:qFormat/>
    <w:rPr>
      <w:rFonts w:ascii="Arial" w:hAnsi="Arial" w:eastAsia="Arial" w:cs="Arial"/>
      <w:sz w:val="40"/>
      <w:szCs w:val="40"/>
    </w:rPr>
  </w:style>
  <w:style w:type="character" w:styleId="930">
    <w:name w:val="Heading 2 Char"/>
    <w:next w:val="930"/>
    <w:link w:val="783"/>
    <w:uiPriority w:val="9"/>
    <w:qFormat/>
    <w:rPr>
      <w:rFonts w:ascii="Arial" w:hAnsi="Arial" w:eastAsia="Arial" w:cs="Arial"/>
      <w:sz w:val="34"/>
    </w:rPr>
  </w:style>
  <w:style w:type="character" w:styleId="931">
    <w:name w:val="Heading 3 Char"/>
    <w:next w:val="931"/>
    <w:link w:val="783"/>
    <w:uiPriority w:val="9"/>
    <w:qFormat/>
    <w:rPr>
      <w:rFonts w:ascii="Arial" w:hAnsi="Arial" w:eastAsia="Arial" w:cs="Arial"/>
      <w:sz w:val="30"/>
      <w:szCs w:val="30"/>
    </w:rPr>
  </w:style>
  <w:style w:type="character" w:styleId="932">
    <w:name w:val="Heading 4 Char"/>
    <w:next w:val="932"/>
    <w:link w:val="783"/>
    <w:uiPriority w:val="9"/>
    <w:qFormat/>
    <w:rPr>
      <w:rFonts w:ascii="Arial" w:hAnsi="Arial" w:eastAsia="Arial" w:cs="Arial"/>
      <w:b/>
      <w:bCs/>
      <w:sz w:val="26"/>
      <w:szCs w:val="26"/>
    </w:rPr>
  </w:style>
  <w:style w:type="character" w:styleId="933">
    <w:name w:val="Heading 5 Char"/>
    <w:next w:val="933"/>
    <w:link w:val="783"/>
    <w:uiPriority w:val="9"/>
    <w:qFormat/>
    <w:rPr>
      <w:rFonts w:ascii="Arial" w:hAnsi="Arial" w:eastAsia="Arial" w:cs="Arial"/>
      <w:b/>
      <w:bCs/>
      <w:sz w:val="24"/>
      <w:szCs w:val="24"/>
    </w:rPr>
  </w:style>
  <w:style w:type="character" w:styleId="934">
    <w:name w:val="Heading 6 Char"/>
    <w:next w:val="934"/>
    <w:link w:val="783"/>
    <w:uiPriority w:val="9"/>
    <w:qFormat/>
    <w:rPr>
      <w:rFonts w:ascii="Arial" w:hAnsi="Arial" w:eastAsia="Arial" w:cs="Arial"/>
      <w:b/>
      <w:bCs/>
      <w:sz w:val="22"/>
      <w:szCs w:val="22"/>
    </w:rPr>
  </w:style>
  <w:style w:type="character" w:styleId="935">
    <w:name w:val="Heading 7 Char"/>
    <w:next w:val="935"/>
    <w:link w:val="783"/>
    <w:uiPriority w:val="9"/>
    <w:qFormat/>
    <w:rPr>
      <w:rFonts w:ascii="Arial" w:hAnsi="Arial" w:eastAsia="Arial" w:cs="Arial"/>
      <w:b/>
      <w:bCs/>
      <w:i/>
      <w:iCs/>
      <w:sz w:val="22"/>
      <w:szCs w:val="22"/>
    </w:rPr>
  </w:style>
  <w:style w:type="character" w:styleId="936">
    <w:name w:val="Heading 8 Char"/>
    <w:next w:val="936"/>
    <w:link w:val="783"/>
    <w:uiPriority w:val="9"/>
    <w:qFormat/>
    <w:rPr>
      <w:rFonts w:ascii="Arial" w:hAnsi="Arial" w:eastAsia="Arial" w:cs="Arial"/>
      <w:i/>
      <w:iCs/>
      <w:sz w:val="22"/>
      <w:szCs w:val="22"/>
    </w:rPr>
  </w:style>
  <w:style w:type="character" w:styleId="937">
    <w:name w:val="Heading 9 Char"/>
    <w:next w:val="937"/>
    <w:link w:val="783"/>
    <w:uiPriority w:val="9"/>
    <w:qFormat/>
    <w:rPr>
      <w:rFonts w:ascii="Arial" w:hAnsi="Arial" w:eastAsia="Arial" w:cs="Arial"/>
      <w:i/>
      <w:iCs/>
      <w:sz w:val="21"/>
      <w:szCs w:val="21"/>
    </w:rPr>
  </w:style>
  <w:style w:type="character" w:styleId="938">
    <w:name w:val="Title Char"/>
    <w:next w:val="938"/>
    <w:link w:val="783"/>
    <w:uiPriority w:val="10"/>
    <w:qFormat/>
    <w:rPr>
      <w:sz w:val="48"/>
      <w:szCs w:val="48"/>
    </w:rPr>
  </w:style>
  <w:style w:type="character" w:styleId="939">
    <w:name w:val="Subtitle Char"/>
    <w:next w:val="939"/>
    <w:link w:val="783"/>
    <w:uiPriority w:val="11"/>
    <w:qFormat/>
    <w:rPr>
      <w:sz w:val="24"/>
      <w:szCs w:val="24"/>
    </w:rPr>
  </w:style>
  <w:style w:type="character" w:styleId="940">
    <w:name w:val="Quote Char"/>
    <w:next w:val="940"/>
    <w:link w:val="783"/>
    <w:uiPriority w:val="29"/>
    <w:qFormat/>
    <w:rPr>
      <w:i/>
    </w:rPr>
  </w:style>
  <w:style w:type="character" w:styleId="941">
    <w:name w:val="Intense Quote Char"/>
    <w:next w:val="941"/>
    <w:link w:val="783"/>
    <w:uiPriority w:val="30"/>
    <w:qFormat/>
    <w:rPr>
      <w:i/>
    </w:rPr>
  </w:style>
  <w:style w:type="character" w:styleId="942">
    <w:name w:val="Caption Char"/>
    <w:next w:val="942"/>
    <w:link w:val="783"/>
    <w:uiPriority w:val="99"/>
    <w:qFormat/>
  </w:style>
  <w:style w:type="character" w:styleId="943">
    <w:name w:val="Footnote Text Char"/>
    <w:next w:val="943"/>
    <w:link w:val="783"/>
    <w:uiPriority w:val="99"/>
    <w:qFormat/>
    <w:rPr>
      <w:sz w:val="18"/>
    </w:rPr>
  </w:style>
  <w:style w:type="character" w:styleId="944">
    <w:name w:val="Endnote Text Char"/>
    <w:next w:val="944"/>
    <w:link w:val="783"/>
    <w:uiPriority w:val="99"/>
    <w:qFormat/>
    <w:rPr>
      <w:sz w:val="20"/>
    </w:rPr>
  </w:style>
  <w:style w:type="paragraph" w:styleId="945">
    <w:name w:val="列表段落"/>
    <w:basedOn w:val="783"/>
    <w:next w:val="945"/>
    <w:link w:val="783"/>
    <w:qFormat/>
    <w:pPr>
      <w:contextualSpacing/>
      <w:ind w:left="720"/>
    </w:pPr>
  </w:style>
  <w:style w:type="paragraph" w:styleId="946">
    <w:name w:val="无间隔"/>
    <w:next w:val="946"/>
    <w:link w:val="783"/>
    <w:uiPriority w:val="99"/>
    <w:qFormat/>
    <w:rPr>
      <w:lang w:val="en-US" w:eastAsia="zh-CN" w:bidi="ar-SA"/>
    </w:rPr>
  </w:style>
  <w:style w:type="paragraph" w:styleId="947">
    <w:name w:val="引用"/>
    <w:basedOn w:val="783"/>
    <w:next w:val="783"/>
    <w:link w:val="948"/>
    <w:uiPriority w:val="29"/>
    <w:qFormat/>
    <w:pPr>
      <w:ind w:left="720" w:right="720"/>
    </w:pPr>
    <w:rPr>
      <w:i/>
    </w:rPr>
  </w:style>
  <w:style w:type="character" w:styleId="948">
    <w:name w:val="引用 字符"/>
    <w:next w:val="948"/>
    <w:link w:val="947"/>
    <w:uiPriority w:val="29"/>
    <w:qFormat/>
    <w:rPr>
      <w:i/>
    </w:rPr>
  </w:style>
  <w:style w:type="paragraph" w:styleId="949">
    <w:name w:val="明显引用"/>
    <w:basedOn w:val="783"/>
    <w:next w:val="783"/>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name w:val="明显引用 字符"/>
    <w:next w:val="950"/>
    <w:link w:val="949"/>
    <w:uiPriority w:val="30"/>
    <w:qFormat/>
    <w:rPr>
      <w:i/>
    </w:rPr>
  </w:style>
  <w:style w:type="character" w:styleId="951">
    <w:name w:val="Header Char"/>
    <w:next w:val="951"/>
    <w:link w:val="783"/>
    <w:uiPriority w:val="99"/>
    <w:qFormat/>
  </w:style>
  <w:style w:type="character" w:styleId="952">
    <w:name w:val="Footer Char"/>
    <w:next w:val="952"/>
    <w:link w:val="783"/>
    <w:uiPriority w:val="99"/>
    <w:qFormat/>
  </w:style>
  <w:style w:type="table" w:styleId="953">
    <w:name w:val="Table Grid Light"/>
    <w:basedOn w:val="794"/>
    <w:next w:val="953"/>
    <w:link w:val="783"/>
    <w:uiPriority w:val="59"/>
    <w:qFormat/>
    <w:tblPr/>
  </w:style>
  <w:style w:type="table" w:styleId="954">
    <w:name w:val="Grid Table 1 Light - Accent 1"/>
    <w:basedOn w:val="794"/>
    <w:next w:val="954"/>
    <w:link w:val="783"/>
    <w:uiPriority w:val="99"/>
    <w:qFormat/>
    <w:tblPr/>
  </w:style>
  <w:style w:type="table" w:styleId="955">
    <w:name w:val="Grid Table 1 Light - Accent 2"/>
    <w:basedOn w:val="794"/>
    <w:next w:val="955"/>
    <w:link w:val="783"/>
    <w:uiPriority w:val="99"/>
    <w:qFormat/>
    <w:tblPr/>
  </w:style>
  <w:style w:type="table" w:styleId="956">
    <w:name w:val="Grid Table 1 Light - Accent 3"/>
    <w:basedOn w:val="794"/>
    <w:next w:val="956"/>
    <w:link w:val="783"/>
    <w:uiPriority w:val="99"/>
    <w:qFormat/>
    <w:tblPr/>
  </w:style>
  <w:style w:type="table" w:styleId="957">
    <w:name w:val="Grid Table 1 Light - Accent 4"/>
    <w:basedOn w:val="794"/>
    <w:next w:val="957"/>
    <w:link w:val="783"/>
    <w:uiPriority w:val="99"/>
    <w:qFormat/>
    <w:tblPr/>
  </w:style>
  <w:style w:type="table" w:styleId="958">
    <w:name w:val="Grid Table 1 Light - Accent 5"/>
    <w:basedOn w:val="794"/>
    <w:next w:val="958"/>
    <w:link w:val="783"/>
    <w:uiPriority w:val="99"/>
    <w:qFormat/>
    <w:tblPr/>
  </w:style>
  <w:style w:type="table" w:styleId="959">
    <w:name w:val="Grid Table 1 Light - Accent 6"/>
    <w:basedOn w:val="794"/>
    <w:next w:val="959"/>
    <w:link w:val="783"/>
    <w:uiPriority w:val="99"/>
    <w:qFormat/>
    <w:tblPr/>
  </w:style>
  <w:style w:type="table" w:styleId="960">
    <w:name w:val="Grid Table 2 - Accent 1"/>
    <w:basedOn w:val="794"/>
    <w:next w:val="960"/>
    <w:link w:val="783"/>
    <w:uiPriority w:val="99"/>
    <w:qFormat/>
    <w:tblPr/>
  </w:style>
  <w:style w:type="table" w:styleId="961">
    <w:name w:val="Grid Table 2 - Accent 2"/>
    <w:basedOn w:val="794"/>
    <w:next w:val="961"/>
    <w:link w:val="783"/>
    <w:uiPriority w:val="99"/>
    <w:qFormat/>
    <w:tblPr/>
  </w:style>
  <w:style w:type="table" w:styleId="962">
    <w:name w:val="Grid Table 2 - Accent 3"/>
    <w:basedOn w:val="794"/>
    <w:next w:val="962"/>
    <w:link w:val="783"/>
    <w:uiPriority w:val="99"/>
    <w:qFormat/>
    <w:tblPr/>
  </w:style>
  <w:style w:type="table" w:styleId="963">
    <w:name w:val="Grid Table 2 - Accent 4"/>
    <w:basedOn w:val="794"/>
    <w:next w:val="963"/>
    <w:link w:val="783"/>
    <w:uiPriority w:val="99"/>
    <w:qFormat/>
    <w:tblPr/>
  </w:style>
  <w:style w:type="table" w:styleId="964">
    <w:name w:val="Grid Table 2 - Accent 5"/>
    <w:basedOn w:val="794"/>
    <w:next w:val="964"/>
    <w:link w:val="783"/>
    <w:uiPriority w:val="99"/>
    <w:qFormat/>
    <w:tblPr/>
  </w:style>
  <w:style w:type="table" w:styleId="965">
    <w:name w:val="Grid Table 2 - Accent 6"/>
    <w:basedOn w:val="794"/>
    <w:next w:val="965"/>
    <w:link w:val="783"/>
    <w:uiPriority w:val="99"/>
    <w:qFormat/>
    <w:tblPr/>
  </w:style>
  <w:style w:type="table" w:styleId="966">
    <w:name w:val="Grid Table 3 - Accent 1"/>
    <w:basedOn w:val="794"/>
    <w:next w:val="966"/>
    <w:link w:val="783"/>
    <w:uiPriority w:val="99"/>
    <w:qFormat/>
    <w:tblPr/>
  </w:style>
  <w:style w:type="table" w:styleId="967">
    <w:name w:val="Grid Table 3 - Accent 2"/>
    <w:basedOn w:val="794"/>
    <w:next w:val="967"/>
    <w:link w:val="783"/>
    <w:uiPriority w:val="99"/>
    <w:qFormat/>
    <w:tblPr/>
  </w:style>
  <w:style w:type="table" w:styleId="968">
    <w:name w:val="Grid Table 3 - Accent 3"/>
    <w:basedOn w:val="794"/>
    <w:next w:val="968"/>
    <w:link w:val="783"/>
    <w:uiPriority w:val="99"/>
    <w:qFormat/>
    <w:tblPr/>
  </w:style>
  <w:style w:type="table" w:styleId="969">
    <w:name w:val="Grid Table 3 - Accent 4"/>
    <w:basedOn w:val="794"/>
    <w:next w:val="969"/>
    <w:link w:val="783"/>
    <w:uiPriority w:val="99"/>
    <w:qFormat/>
    <w:tblPr/>
  </w:style>
  <w:style w:type="table" w:styleId="970">
    <w:name w:val="Grid Table 3 - Accent 5"/>
    <w:basedOn w:val="794"/>
    <w:next w:val="970"/>
    <w:link w:val="783"/>
    <w:uiPriority w:val="99"/>
    <w:qFormat/>
    <w:tblPr/>
  </w:style>
  <w:style w:type="table" w:styleId="971">
    <w:name w:val="Grid Table 3 - Accent 6"/>
    <w:basedOn w:val="794"/>
    <w:next w:val="971"/>
    <w:link w:val="783"/>
    <w:uiPriority w:val="99"/>
    <w:qFormat/>
    <w:tblPr/>
  </w:style>
  <w:style w:type="table" w:styleId="972">
    <w:name w:val="Grid Table 4 - Accent 1"/>
    <w:basedOn w:val="794"/>
    <w:next w:val="972"/>
    <w:link w:val="783"/>
    <w:uiPriority w:val="59"/>
    <w:qFormat/>
    <w:tblPr/>
  </w:style>
  <w:style w:type="table" w:styleId="973">
    <w:name w:val="Grid Table 4 - Accent 2"/>
    <w:basedOn w:val="794"/>
    <w:next w:val="973"/>
    <w:link w:val="783"/>
    <w:uiPriority w:val="59"/>
    <w:qFormat/>
    <w:tblPr/>
  </w:style>
  <w:style w:type="table" w:styleId="974">
    <w:name w:val="Grid Table 4 - Accent 3"/>
    <w:basedOn w:val="794"/>
    <w:next w:val="974"/>
    <w:link w:val="783"/>
    <w:uiPriority w:val="59"/>
    <w:qFormat/>
    <w:tblPr/>
  </w:style>
  <w:style w:type="table" w:styleId="975">
    <w:name w:val="Grid Table 4 - Accent 4"/>
    <w:basedOn w:val="794"/>
    <w:next w:val="975"/>
    <w:link w:val="783"/>
    <w:uiPriority w:val="59"/>
    <w:qFormat/>
    <w:tblPr/>
  </w:style>
  <w:style w:type="table" w:styleId="976">
    <w:name w:val="Grid Table 4 - Accent 5"/>
    <w:basedOn w:val="794"/>
    <w:next w:val="976"/>
    <w:link w:val="783"/>
    <w:uiPriority w:val="59"/>
    <w:qFormat/>
    <w:tblPr/>
  </w:style>
  <w:style w:type="table" w:styleId="977">
    <w:name w:val="Grid Table 4 - Accent 6"/>
    <w:basedOn w:val="794"/>
    <w:next w:val="977"/>
    <w:link w:val="783"/>
    <w:uiPriority w:val="59"/>
    <w:qFormat/>
    <w:tblPr/>
  </w:style>
  <w:style w:type="table" w:styleId="978">
    <w:name w:val="Grid Table 5 Dark- Accent 1"/>
    <w:basedOn w:val="794"/>
    <w:next w:val="978"/>
    <w:link w:val="783"/>
    <w:uiPriority w:val="99"/>
    <w:qFormat/>
    <w:tblPr/>
  </w:style>
  <w:style w:type="table" w:styleId="979">
    <w:name w:val="Grid Table 5 Dark - Accent 2"/>
    <w:basedOn w:val="794"/>
    <w:next w:val="979"/>
    <w:link w:val="783"/>
    <w:uiPriority w:val="99"/>
    <w:qFormat/>
    <w:tblPr/>
  </w:style>
  <w:style w:type="table" w:styleId="980">
    <w:name w:val="Grid Table 5 Dark - Accent 3"/>
    <w:basedOn w:val="794"/>
    <w:next w:val="980"/>
    <w:link w:val="783"/>
    <w:uiPriority w:val="99"/>
    <w:qFormat/>
    <w:tblPr/>
  </w:style>
  <w:style w:type="table" w:styleId="981">
    <w:name w:val="Grid Table 5 Dark- Accent 4"/>
    <w:basedOn w:val="794"/>
    <w:next w:val="981"/>
    <w:link w:val="783"/>
    <w:uiPriority w:val="99"/>
    <w:qFormat/>
    <w:tblPr/>
  </w:style>
  <w:style w:type="table" w:styleId="982">
    <w:name w:val="Grid Table 5 Dark - Accent 5"/>
    <w:basedOn w:val="794"/>
    <w:next w:val="982"/>
    <w:link w:val="783"/>
    <w:uiPriority w:val="99"/>
    <w:qFormat/>
    <w:tblPr/>
  </w:style>
  <w:style w:type="table" w:styleId="983">
    <w:name w:val="Grid Table 5 Dark - Accent 6"/>
    <w:basedOn w:val="794"/>
    <w:next w:val="983"/>
    <w:link w:val="783"/>
    <w:uiPriority w:val="99"/>
    <w:qFormat/>
    <w:tblPr/>
  </w:style>
  <w:style w:type="table" w:styleId="984">
    <w:name w:val="Grid Table 6 Colorful - Accent 1"/>
    <w:basedOn w:val="794"/>
    <w:next w:val="984"/>
    <w:link w:val="783"/>
    <w:uiPriority w:val="99"/>
    <w:qFormat/>
    <w:tblPr/>
  </w:style>
  <w:style w:type="table" w:styleId="985">
    <w:name w:val="Grid Table 6 Colorful - Accent 2"/>
    <w:basedOn w:val="794"/>
    <w:next w:val="985"/>
    <w:link w:val="783"/>
    <w:uiPriority w:val="99"/>
    <w:qFormat/>
    <w:tblPr/>
  </w:style>
  <w:style w:type="table" w:styleId="986">
    <w:name w:val="Grid Table 6 Colorful - Accent 3"/>
    <w:basedOn w:val="794"/>
    <w:next w:val="986"/>
    <w:link w:val="783"/>
    <w:uiPriority w:val="99"/>
    <w:qFormat/>
    <w:tblPr/>
  </w:style>
  <w:style w:type="table" w:styleId="987">
    <w:name w:val="Grid Table 6 Colorful - Accent 4"/>
    <w:basedOn w:val="794"/>
    <w:next w:val="987"/>
    <w:link w:val="783"/>
    <w:uiPriority w:val="99"/>
    <w:qFormat/>
    <w:tblPr/>
  </w:style>
  <w:style w:type="table" w:styleId="988">
    <w:name w:val="Grid Table 6 Colorful - Accent 5"/>
    <w:basedOn w:val="794"/>
    <w:next w:val="988"/>
    <w:link w:val="783"/>
    <w:uiPriority w:val="99"/>
    <w:qFormat/>
    <w:tblPr/>
  </w:style>
  <w:style w:type="table" w:styleId="989">
    <w:name w:val="Grid Table 6 Colorful - Accent 6"/>
    <w:basedOn w:val="794"/>
    <w:next w:val="989"/>
    <w:link w:val="783"/>
    <w:uiPriority w:val="99"/>
    <w:qFormat/>
    <w:tblPr/>
  </w:style>
  <w:style w:type="table" w:styleId="990">
    <w:name w:val="Grid Table 7 Colorful - Accent 1"/>
    <w:basedOn w:val="794"/>
    <w:next w:val="990"/>
    <w:link w:val="783"/>
    <w:uiPriority w:val="99"/>
    <w:qFormat/>
    <w:tblPr/>
  </w:style>
  <w:style w:type="table" w:styleId="991">
    <w:name w:val="Grid Table 7 Colorful - Accent 2"/>
    <w:basedOn w:val="794"/>
    <w:next w:val="991"/>
    <w:link w:val="783"/>
    <w:uiPriority w:val="99"/>
    <w:qFormat/>
    <w:tblPr/>
  </w:style>
  <w:style w:type="table" w:styleId="992">
    <w:name w:val="Grid Table 7 Colorful - Accent 3"/>
    <w:basedOn w:val="794"/>
    <w:next w:val="992"/>
    <w:link w:val="783"/>
    <w:uiPriority w:val="99"/>
    <w:qFormat/>
    <w:tblPr/>
  </w:style>
  <w:style w:type="table" w:styleId="993">
    <w:name w:val="Grid Table 7 Colorful - Accent 4"/>
    <w:basedOn w:val="794"/>
    <w:next w:val="993"/>
    <w:link w:val="783"/>
    <w:uiPriority w:val="99"/>
    <w:qFormat/>
    <w:tblPr/>
  </w:style>
  <w:style w:type="table" w:styleId="994">
    <w:name w:val="Grid Table 7 Colorful - Accent 5"/>
    <w:basedOn w:val="794"/>
    <w:next w:val="994"/>
    <w:link w:val="783"/>
    <w:uiPriority w:val="99"/>
    <w:qFormat/>
    <w:tblPr/>
  </w:style>
  <w:style w:type="table" w:styleId="995">
    <w:name w:val="Grid Table 7 Colorful - Accent 6"/>
    <w:basedOn w:val="794"/>
    <w:next w:val="995"/>
    <w:link w:val="783"/>
    <w:uiPriority w:val="99"/>
    <w:qFormat/>
    <w:tblPr/>
  </w:style>
  <w:style w:type="table" w:styleId="996">
    <w:name w:val="List Table 1 Light - Accent 1"/>
    <w:basedOn w:val="794"/>
    <w:next w:val="996"/>
    <w:link w:val="783"/>
    <w:uiPriority w:val="99"/>
    <w:qFormat/>
    <w:tblPr/>
  </w:style>
  <w:style w:type="table" w:styleId="997">
    <w:name w:val="List Table 1 Light - Accent 2"/>
    <w:basedOn w:val="794"/>
    <w:next w:val="997"/>
    <w:link w:val="783"/>
    <w:uiPriority w:val="99"/>
    <w:qFormat/>
    <w:tblPr/>
  </w:style>
  <w:style w:type="table" w:styleId="998">
    <w:name w:val="List Table 1 Light - Accent 3"/>
    <w:basedOn w:val="794"/>
    <w:next w:val="998"/>
    <w:link w:val="783"/>
    <w:uiPriority w:val="99"/>
    <w:qFormat/>
    <w:tblPr/>
  </w:style>
  <w:style w:type="table" w:styleId="999">
    <w:name w:val="List Table 1 Light - Accent 4"/>
    <w:basedOn w:val="794"/>
    <w:next w:val="999"/>
    <w:link w:val="783"/>
    <w:uiPriority w:val="99"/>
    <w:qFormat/>
    <w:tblPr/>
  </w:style>
  <w:style w:type="table" w:styleId="1000">
    <w:name w:val="List Table 1 Light - Accent 5"/>
    <w:basedOn w:val="794"/>
    <w:next w:val="1000"/>
    <w:link w:val="783"/>
    <w:uiPriority w:val="99"/>
    <w:qFormat/>
    <w:tblPr/>
  </w:style>
  <w:style w:type="table" w:styleId="1001">
    <w:name w:val="List Table 1 Light - Accent 6"/>
    <w:basedOn w:val="794"/>
    <w:next w:val="1001"/>
    <w:link w:val="783"/>
    <w:uiPriority w:val="99"/>
    <w:qFormat/>
    <w:tblPr/>
  </w:style>
  <w:style w:type="table" w:styleId="1002">
    <w:name w:val="List Table 2 - Accent 1"/>
    <w:basedOn w:val="794"/>
    <w:next w:val="1002"/>
    <w:link w:val="783"/>
    <w:uiPriority w:val="99"/>
    <w:qFormat/>
    <w:tblPr/>
  </w:style>
  <w:style w:type="table" w:styleId="1003">
    <w:name w:val="List Table 2 - Accent 2"/>
    <w:basedOn w:val="794"/>
    <w:next w:val="1003"/>
    <w:link w:val="783"/>
    <w:uiPriority w:val="99"/>
    <w:qFormat/>
    <w:tblPr/>
  </w:style>
  <w:style w:type="table" w:styleId="1004">
    <w:name w:val="List Table 2 - Accent 3"/>
    <w:basedOn w:val="794"/>
    <w:next w:val="1004"/>
    <w:link w:val="783"/>
    <w:uiPriority w:val="99"/>
    <w:qFormat/>
    <w:tblPr/>
  </w:style>
  <w:style w:type="table" w:styleId="1005">
    <w:name w:val="List Table 2 - Accent 4"/>
    <w:basedOn w:val="794"/>
    <w:next w:val="1005"/>
    <w:link w:val="783"/>
    <w:uiPriority w:val="99"/>
    <w:qFormat/>
    <w:tblPr/>
  </w:style>
  <w:style w:type="table" w:styleId="1006">
    <w:name w:val="List Table 2 - Accent 5"/>
    <w:basedOn w:val="794"/>
    <w:next w:val="1006"/>
    <w:link w:val="783"/>
    <w:uiPriority w:val="99"/>
    <w:qFormat/>
    <w:tblPr/>
  </w:style>
  <w:style w:type="table" w:styleId="1007">
    <w:name w:val="List Table 2 - Accent 6"/>
    <w:basedOn w:val="794"/>
    <w:next w:val="1007"/>
    <w:link w:val="783"/>
    <w:uiPriority w:val="99"/>
    <w:qFormat/>
    <w:tblPr/>
  </w:style>
  <w:style w:type="table" w:styleId="1008">
    <w:name w:val="List Table 3 - Accent 1"/>
    <w:basedOn w:val="794"/>
    <w:next w:val="1008"/>
    <w:link w:val="783"/>
    <w:uiPriority w:val="99"/>
    <w:qFormat/>
    <w:tblPr/>
  </w:style>
  <w:style w:type="table" w:styleId="1009">
    <w:name w:val="List Table 3 - Accent 2"/>
    <w:basedOn w:val="794"/>
    <w:next w:val="1009"/>
    <w:link w:val="783"/>
    <w:uiPriority w:val="99"/>
    <w:qFormat/>
    <w:tblPr/>
  </w:style>
  <w:style w:type="table" w:styleId="1010">
    <w:name w:val="List Table 3 - Accent 3"/>
    <w:basedOn w:val="794"/>
    <w:next w:val="1010"/>
    <w:link w:val="783"/>
    <w:uiPriority w:val="99"/>
    <w:qFormat/>
    <w:tblPr/>
  </w:style>
  <w:style w:type="table" w:styleId="1011">
    <w:name w:val="List Table 3 - Accent 4"/>
    <w:basedOn w:val="794"/>
    <w:next w:val="1011"/>
    <w:link w:val="783"/>
    <w:uiPriority w:val="99"/>
    <w:qFormat/>
    <w:tblPr/>
  </w:style>
  <w:style w:type="table" w:styleId="1012">
    <w:name w:val="List Table 3 - Accent 5"/>
    <w:basedOn w:val="794"/>
    <w:next w:val="1012"/>
    <w:link w:val="783"/>
    <w:uiPriority w:val="99"/>
    <w:qFormat/>
    <w:tblPr/>
  </w:style>
  <w:style w:type="table" w:styleId="1013">
    <w:name w:val="List Table 3 - Accent 6"/>
    <w:basedOn w:val="794"/>
    <w:next w:val="1013"/>
    <w:link w:val="783"/>
    <w:uiPriority w:val="99"/>
    <w:qFormat/>
    <w:tblPr/>
  </w:style>
  <w:style w:type="table" w:styleId="1014">
    <w:name w:val="List Table 4 - Accent 1"/>
    <w:basedOn w:val="794"/>
    <w:next w:val="1014"/>
    <w:link w:val="783"/>
    <w:uiPriority w:val="99"/>
    <w:qFormat/>
    <w:tblPr/>
  </w:style>
  <w:style w:type="table" w:styleId="1015">
    <w:name w:val="List Table 4 - Accent 2"/>
    <w:basedOn w:val="794"/>
    <w:next w:val="1015"/>
    <w:link w:val="783"/>
    <w:uiPriority w:val="99"/>
    <w:qFormat/>
    <w:tblPr/>
  </w:style>
  <w:style w:type="table" w:styleId="1016">
    <w:name w:val="List Table 4 - Accent 3"/>
    <w:basedOn w:val="794"/>
    <w:next w:val="1016"/>
    <w:link w:val="783"/>
    <w:uiPriority w:val="99"/>
    <w:qFormat/>
    <w:tblPr/>
  </w:style>
  <w:style w:type="table" w:styleId="1017">
    <w:name w:val="List Table 4 - Accent 4"/>
    <w:basedOn w:val="794"/>
    <w:next w:val="1017"/>
    <w:link w:val="783"/>
    <w:uiPriority w:val="99"/>
    <w:qFormat/>
    <w:tblPr/>
  </w:style>
  <w:style w:type="table" w:styleId="1018">
    <w:name w:val="List Table 4 - Accent 5"/>
    <w:basedOn w:val="794"/>
    <w:next w:val="1018"/>
    <w:link w:val="783"/>
    <w:uiPriority w:val="99"/>
    <w:qFormat/>
    <w:tblPr/>
  </w:style>
  <w:style w:type="table" w:styleId="1019">
    <w:name w:val="List Table 4 - Accent 6"/>
    <w:basedOn w:val="794"/>
    <w:next w:val="1019"/>
    <w:link w:val="783"/>
    <w:uiPriority w:val="99"/>
    <w:qFormat/>
    <w:tblPr/>
  </w:style>
  <w:style w:type="table" w:styleId="1020">
    <w:name w:val="List Table 5 Dark - Accent 1"/>
    <w:basedOn w:val="794"/>
    <w:next w:val="1020"/>
    <w:link w:val="783"/>
    <w:uiPriority w:val="99"/>
    <w:qFormat/>
    <w:tblPr/>
  </w:style>
  <w:style w:type="table" w:styleId="1021">
    <w:name w:val="List Table 5 Dark - Accent 2"/>
    <w:basedOn w:val="794"/>
    <w:next w:val="1021"/>
    <w:link w:val="783"/>
    <w:uiPriority w:val="99"/>
    <w:qFormat/>
    <w:tblPr/>
  </w:style>
  <w:style w:type="table" w:styleId="1022">
    <w:name w:val="List Table 5 Dark - Accent 3"/>
    <w:basedOn w:val="794"/>
    <w:next w:val="1022"/>
    <w:link w:val="783"/>
    <w:uiPriority w:val="99"/>
    <w:qFormat/>
    <w:tblPr/>
  </w:style>
  <w:style w:type="table" w:styleId="1023">
    <w:name w:val="List Table 5 Dark - Accent 4"/>
    <w:basedOn w:val="794"/>
    <w:next w:val="1023"/>
    <w:link w:val="783"/>
    <w:uiPriority w:val="99"/>
    <w:qFormat/>
    <w:tblPr/>
  </w:style>
  <w:style w:type="table" w:styleId="1024">
    <w:name w:val="List Table 5 Dark - Accent 5"/>
    <w:basedOn w:val="794"/>
    <w:next w:val="1024"/>
    <w:link w:val="783"/>
    <w:uiPriority w:val="99"/>
    <w:qFormat/>
    <w:tblPr/>
  </w:style>
  <w:style w:type="table" w:styleId="1025">
    <w:name w:val="List Table 5 Dark - Accent 6"/>
    <w:basedOn w:val="794"/>
    <w:next w:val="1025"/>
    <w:link w:val="783"/>
    <w:uiPriority w:val="99"/>
    <w:qFormat/>
    <w:tblPr/>
  </w:style>
  <w:style w:type="table" w:styleId="1026">
    <w:name w:val="List Table 6 Colorful - Accent 1"/>
    <w:basedOn w:val="794"/>
    <w:next w:val="1026"/>
    <w:link w:val="783"/>
    <w:uiPriority w:val="99"/>
    <w:qFormat/>
    <w:tblPr/>
  </w:style>
  <w:style w:type="table" w:styleId="1027">
    <w:name w:val="List Table 6 Colorful - Accent 2"/>
    <w:basedOn w:val="794"/>
    <w:next w:val="1027"/>
    <w:link w:val="783"/>
    <w:uiPriority w:val="99"/>
    <w:qFormat/>
    <w:tblPr/>
  </w:style>
  <w:style w:type="table" w:styleId="1028">
    <w:name w:val="List Table 6 Colorful - Accent 3"/>
    <w:basedOn w:val="794"/>
    <w:next w:val="1028"/>
    <w:link w:val="783"/>
    <w:uiPriority w:val="99"/>
    <w:qFormat/>
    <w:tblPr/>
  </w:style>
  <w:style w:type="table" w:styleId="1029">
    <w:name w:val="List Table 6 Colorful - Accent 4"/>
    <w:basedOn w:val="794"/>
    <w:next w:val="1029"/>
    <w:link w:val="783"/>
    <w:uiPriority w:val="99"/>
    <w:qFormat/>
    <w:tblPr/>
  </w:style>
  <w:style w:type="table" w:styleId="1030">
    <w:name w:val="List Table 6 Colorful - Accent 5"/>
    <w:basedOn w:val="794"/>
    <w:next w:val="1030"/>
    <w:link w:val="783"/>
    <w:uiPriority w:val="99"/>
    <w:qFormat/>
    <w:tblPr/>
  </w:style>
  <w:style w:type="table" w:styleId="1031">
    <w:name w:val="List Table 6 Colorful - Accent 6"/>
    <w:basedOn w:val="794"/>
    <w:next w:val="1031"/>
    <w:link w:val="783"/>
    <w:uiPriority w:val="99"/>
    <w:qFormat/>
    <w:tblPr/>
  </w:style>
  <w:style w:type="table" w:styleId="1032">
    <w:name w:val="List Table 7 Colorful - Accent 1"/>
    <w:basedOn w:val="794"/>
    <w:next w:val="1032"/>
    <w:link w:val="783"/>
    <w:uiPriority w:val="99"/>
    <w:qFormat/>
    <w:tblPr/>
  </w:style>
  <w:style w:type="table" w:styleId="1033">
    <w:name w:val="List Table 7 Colorful - Accent 2"/>
    <w:basedOn w:val="794"/>
    <w:next w:val="1033"/>
    <w:link w:val="783"/>
    <w:uiPriority w:val="99"/>
    <w:qFormat/>
    <w:tblPr/>
  </w:style>
  <w:style w:type="table" w:styleId="1034">
    <w:name w:val="List Table 7 Colorful - Accent 3"/>
    <w:basedOn w:val="794"/>
    <w:next w:val="1034"/>
    <w:link w:val="783"/>
    <w:uiPriority w:val="99"/>
    <w:qFormat/>
    <w:tblPr/>
  </w:style>
  <w:style w:type="table" w:styleId="1035">
    <w:name w:val="List Table 7 Colorful - Accent 4"/>
    <w:basedOn w:val="794"/>
    <w:next w:val="1035"/>
    <w:link w:val="783"/>
    <w:uiPriority w:val="99"/>
    <w:qFormat/>
    <w:tblPr/>
  </w:style>
  <w:style w:type="table" w:styleId="1036">
    <w:name w:val="List Table 7 Colorful - Accent 5"/>
    <w:basedOn w:val="794"/>
    <w:next w:val="1036"/>
    <w:link w:val="783"/>
    <w:uiPriority w:val="99"/>
    <w:qFormat/>
    <w:tblPr/>
  </w:style>
  <w:style w:type="table" w:styleId="1037">
    <w:name w:val="List Table 7 Colorful - Accent 6"/>
    <w:basedOn w:val="794"/>
    <w:next w:val="1037"/>
    <w:link w:val="783"/>
    <w:uiPriority w:val="99"/>
    <w:qFormat/>
    <w:tblPr/>
  </w:style>
  <w:style w:type="table" w:styleId="1038">
    <w:name w:val="Lined - Accent"/>
    <w:basedOn w:val="794"/>
    <w:next w:val="1038"/>
    <w:link w:val="783"/>
    <w:uiPriority w:val="99"/>
    <w:qFormat/>
    <w:rPr>
      <w:color w:val="404040"/>
    </w:rPr>
    <w:tblPr/>
  </w:style>
  <w:style w:type="table" w:styleId="1039">
    <w:name w:val="Lined - Accent 1"/>
    <w:basedOn w:val="794"/>
    <w:next w:val="1039"/>
    <w:link w:val="783"/>
    <w:uiPriority w:val="99"/>
    <w:qFormat/>
    <w:rPr>
      <w:color w:val="404040"/>
    </w:rPr>
    <w:tblPr/>
  </w:style>
  <w:style w:type="table" w:styleId="1040">
    <w:name w:val="Lined - Accent 2"/>
    <w:basedOn w:val="794"/>
    <w:next w:val="1040"/>
    <w:link w:val="783"/>
    <w:uiPriority w:val="99"/>
    <w:qFormat/>
    <w:rPr>
      <w:color w:val="404040"/>
    </w:rPr>
    <w:tblPr/>
  </w:style>
  <w:style w:type="table" w:styleId="1041">
    <w:name w:val="Lined - Accent 3"/>
    <w:basedOn w:val="794"/>
    <w:next w:val="1041"/>
    <w:link w:val="783"/>
    <w:uiPriority w:val="99"/>
    <w:qFormat/>
    <w:rPr>
      <w:color w:val="404040"/>
    </w:rPr>
    <w:tblPr/>
  </w:style>
  <w:style w:type="table" w:styleId="1042">
    <w:name w:val="Lined - Accent 4"/>
    <w:basedOn w:val="794"/>
    <w:next w:val="1042"/>
    <w:link w:val="783"/>
    <w:uiPriority w:val="99"/>
    <w:qFormat/>
    <w:rPr>
      <w:color w:val="404040"/>
    </w:rPr>
    <w:tblPr/>
  </w:style>
  <w:style w:type="table" w:styleId="1043">
    <w:name w:val="Lined - Accent 5"/>
    <w:basedOn w:val="794"/>
    <w:next w:val="1043"/>
    <w:link w:val="783"/>
    <w:uiPriority w:val="99"/>
    <w:qFormat/>
    <w:rPr>
      <w:color w:val="404040"/>
    </w:rPr>
    <w:tblPr/>
  </w:style>
  <w:style w:type="table" w:styleId="1044">
    <w:name w:val="Lined - Accent 6"/>
    <w:basedOn w:val="794"/>
    <w:next w:val="1044"/>
    <w:link w:val="783"/>
    <w:uiPriority w:val="99"/>
    <w:qFormat/>
    <w:rPr>
      <w:color w:val="404040"/>
    </w:rPr>
    <w:tblPr/>
  </w:style>
  <w:style w:type="table" w:styleId="1045">
    <w:name w:val="Bordered &amp; Lined - Accent"/>
    <w:basedOn w:val="794"/>
    <w:next w:val="1045"/>
    <w:link w:val="783"/>
    <w:uiPriority w:val="99"/>
    <w:qFormat/>
    <w:rPr>
      <w:color w:val="404040"/>
    </w:rPr>
    <w:tblPr/>
  </w:style>
  <w:style w:type="table" w:styleId="1046">
    <w:name w:val="Bordered &amp; Lined - Accent 1"/>
    <w:basedOn w:val="794"/>
    <w:next w:val="1046"/>
    <w:link w:val="783"/>
    <w:uiPriority w:val="99"/>
    <w:qFormat/>
    <w:rPr>
      <w:color w:val="404040"/>
    </w:rPr>
    <w:tblPr/>
  </w:style>
  <w:style w:type="table" w:styleId="1047">
    <w:name w:val="Bordered &amp; Lined - Accent 2"/>
    <w:basedOn w:val="794"/>
    <w:next w:val="1047"/>
    <w:link w:val="783"/>
    <w:uiPriority w:val="99"/>
    <w:qFormat/>
    <w:rPr>
      <w:color w:val="404040"/>
    </w:rPr>
    <w:tblPr/>
  </w:style>
  <w:style w:type="table" w:styleId="1048">
    <w:name w:val="Bordered &amp; Lined - Accent 3"/>
    <w:basedOn w:val="794"/>
    <w:next w:val="1048"/>
    <w:link w:val="783"/>
    <w:uiPriority w:val="99"/>
    <w:qFormat/>
    <w:rPr>
      <w:color w:val="404040"/>
    </w:rPr>
    <w:tblPr/>
  </w:style>
  <w:style w:type="table" w:styleId="1049">
    <w:name w:val="Bordered &amp; Lined - Accent 4"/>
    <w:basedOn w:val="794"/>
    <w:next w:val="1049"/>
    <w:link w:val="783"/>
    <w:uiPriority w:val="99"/>
    <w:qFormat/>
    <w:rPr>
      <w:color w:val="404040"/>
    </w:rPr>
    <w:tblPr/>
  </w:style>
  <w:style w:type="table" w:styleId="1050">
    <w:name w:val="Bordered &amp; Lined - Accent 5"/>
    <w:basedOn w:val="794"/>
    <w:next w:val="1050"/>
    <w:link w:val="783"/>
    <w:uiPriority w:val="99"/>
    <w:qFormat/>
    <w:rPr>
      <w:color w:val="404040"/>
    </w:rPr>
    <w:tblPr/>
  </w:style>
  <w:style w:type="table" w:styleId="1051">
    <w:name w:val="Bordered &amp; Lined - Accent 6"/>
    <w:basedOn w:val="794"/>
    <w:next w:val="1051"/>
    <w:link w:val="783"/>
    <w:uiPriority w:val="99"/>
    <w:qFormat/>
    <w:rPr>
      <w:color w:val="404040"/>
    </w:rPr>
    <w:tblPr/>
  </w:style>
  <w:style w:type="table" w:styleId="1052">
    <w:name w:val="Bordered"/>
    <w:basedOn w:val="794"/>
    <w:next w:val="1052"/>
    <w:link w:val="783"/>
    <w:uiPriority w:val="99"/>
    <w:qFormat/>
    <w:tblPr/>
  </w:style>
  <w:style w:type="table" w:styleId="1053">
    <w:name w:val="Bordered - Accent 1"/>
    <w:basedOn w:val="794"/>
    <w:next w:val="1053"/>
    <w:link w:val="783"/>
    <w:uiPriority w:val="99"/>
    <w:qFormat/>
    <w:tblPr/>
  </w:style>
  <w:style w:type="table" w:styleId="1054">
    <w:name w:val="Bordered - Accent 2"/>
    <w:basedOn w:val="794"/>
    <w:next w:val="1054"/>
    <w:link w:val="783"/>
    <w:uiPriority w:val="99"/>
    <w:qFormat/>
    <w:tblPr/>
  </w:style>
  <w:style w:type="table" w:styleId="1055">
    <w:name w:val="Bordered - Accent 3"/>
    <w:basedOn w:val="794"/>
    <w:next w:val="1055"/>
    <w:link w:val="783"/>
    <w:uiPriority w:val="99"/>
    <w:qFormat/>
    <w:tblPr/>
  </w:style>
  <w:style w:type="table" w:styleId="1056">
    <w:name w:val="Bordered - Accent 4"/>
    <w:basedOn w:val="794"/>
    <w:next w:val="1056"/>
    <w:link w:val="783"/>
    <w:uiPriority w:val="99"/>
    <w:qFormat/>
    <w:tblPr/>
  </w:style>
  <w:style w:type="table" w:styleId="1057">
    <w:name w:val="Bordered - Accent 5"/>
    <w:basedOn w:val="794"/>
    <w:next w:val="1057"/>
    <w:link w:val="783"/>
    <w:uiPriority w:val="99"/>
    <w:qFormat/>
    <w:tblPr/>
  </w:style>
  <w:style w:type="table" w:styleId="1058">
    <w:name w:val="Bordered - Accent 6"/>
    <w:basedOn w:val="794"/>
    <w:next w:val="1058"/>
    <w:link w:val="783"/>
    <w:uiPriority w:val="99"/>
    <w:qFormat/>
    <w:tblPr/>
  </w:style>
  <w:style w:type="paragraph" w:styleId="1059">
    <w:name w:val="TOC 标题11"/>
    <w:next w:val="1059"/>
    <w:link w:val="783"/>
    <w:uiPriority w:val="39"/>
    <w:unhideWhenUsed/>
    <w:qFormat/>
    <w:rPr>
      <w:lang w:val="en-US" w:eastAsia="zh-CN" w:bidi="ar-SA"/>
    </w:rPr>
  </w:style>
  <w:style w:type="paragraph" w:styleId="1060">
    <w:name w:val="Normal_0"/>
    <w:next w:val="1060"/>
    <w:link w:val="783"/>
    <w:qFormat/>
    <w:rPr>
      <w:rFonts w:ascii="黑体" w:hAnsi="黑体" w:eastAsia="黑体"/>
      <w:b/>
      <w:sz w:val="32"/>
      <w:szCs w:val="24"/>
      <w:lang w:val="en-US" w:eastAsia="zh-CN" w:bidi="ar-SA"/>
    </w:rPr>
  </w:style>
  <w:style w:type="paragraph" w:styleId="1061">
    <w:name w:val="正文1"/>
    <w:next w:val="876"/>
    <w:link w:val="783"/>
    <w:qFormat/>
    <w:rPr>
      <w:rFonts w:eastAsia="Times New Roman"/>
      <w:sz w:val="24"/>
      <w:szCs w:val="24"/>
      <w:lang w:val="en-US" w:eastAsia="zh-CN" w:bidi="ar-SA"/>
    </w:rPr>
  </w:style>
  <w:style w:type="paragraph" w:styleId="1062">
    <w:name w:val="Normal_0_3"/>
    <w:next w:val="1062"/>
    <w:link w:val="783"/>
    <w:qFormat/>
    <w:rPr>
      <w:rFonts w:ascii="黑体" w:hAnsi="黑体" w:eastAsia="黑体" w:cs="黑体"/>
      <w:b/>
      <w:sz w:val="32"/>
      <w:szCs w:val="24"/>
      <w:lang w:val="en-US" w:eastAsia="zh-CN" w:bidi="ar-SA"/>
    </w:rPr>
  </w:style>
  <w:style w:type="paragraph" w:styleId="1063">
    <w:name w:val="正文首行缩进 2_0"/>
    <w:basedOn w:val="1064"/>
    <w:next w:val="1063"/>
    <w:link w:val="783"/>
    <w:qFormat/>
    <w:pPr>
      <w:ind w:left="200" w:firstLine="200"/>
      <w:spacing w:after="120"/>
    </w:pPr>
    <w:rPr>
      <w:rFonts w:ascii="Times New Roman" w:hAnsi="Times New Roman"/>
      <w:sz w:val="24"/>
      <w:szCs w:val="24"/>
    </w:rPr>
  </w:style>
  <w:style w:type="paragraph" w:styleId="1064">
    <w:name w:val="正文文本缩进_0"/>
    <w:basedOn w:val="1065"/>
    <w:next w:val="1064"/>
    <w:link w:val="783"/>
    <w:qFormat/>
    <w:pPr>
      <w:ind w:firstLine="225"/>
    </w:pPr>
    <w:rPr>
      <w:rFonts w:ascii="仿宋_GB2312" w:eastAsia="仿宋_GB2312"/>
      <w:sz w:val="32"/>
    </w:rPr>
  </w:style>
  <w:style w:type="paragraph" w:styleId="1065">
    <w:name w:val="正文_2"/>
    <w:next w:val="1064"/>
    <w:link w:val="783"/>
    <w:qFormat/>
    <w:pPr>
      <w:jc w:val="both"/>
      <w:widowControl w:val="off"/>
    </w:pPr>
    <w:rPr>
      <w:rFonts w:ascii="Calibri" w:hAnsi="Calibri"/>
      <w:sz w:val="21"/>
      <w:szCs w:val="22"/>
      <w:lang w:val="en-US" w:eastAsia="zh-CN" w:bidi="ar-SA"/>
    </w:rPr>
  </w:style>
  <w:style w:type="paragraph" w:styleId="1066">
    <w:name w:val="Normal_0_2"/>
    <w:next w:val="1067"/>
    <w:link w:val="783"/>
    <w:qFormat/>
    <w:rPr>
      <w:rFonts w:ascii="黑体" w:hAnsi="黑体" w:eastAsia="黑体" w:cs="黑体"/>
      <w:b/>
      <w:sz w:val="32"/>
      <w:szCs w:val="24"/>
      <w:lang w:val="en-US" w:eastAsia="zh-CN" w:bidi="ar-SA"/>
    </w:rPr>
  </w:style>
  <w:style w:type="paragraph" w:styleId="1067">
    <w:name w:val="Body Text First Indent_1"/>
    <w:basedOn w:val="875"/>
    <w:next w:val="1067"/>
    <w:link w:val="783"/>
    <w:uiPriority w:val="99"/>
    <w:unhideWhenUsed/>
    <w:qFormat/>
    <w:pPr>
      <w:ind w:firstLine="420"/>
      <w:spacing w:after="120"/>
    </w:pPr>
    <w:rPr>
      <w:rFonts w:eastAsia="Times New Roman"/>
      <w:sz w:val="20"/>
    </w:rPr>
  </w:style>
  <w:style w:type="paragraph" w:styleId="1068">
    <w:name w:val="Normal_1_2"/>
    <w:next w:val="1068"/>
    <w:link w:val="783"/>
    <w:qFormat/>
    <w:rPr>
      <w:rFonts w:eastAsia="Times New Roman"/>
      <w:sz w:val="24"/>
      <w:szCs w:val="24"/>
      <w:lang w:val="en-US" w:eastAsia="zh-CN" w:bidi="ar-SA"/>
    </w:rPr>
  </w:style>
  <w:style w:type="paragraph" w:styleId="1069">
    <w:name w:val="Normal_0_1"/>
    <w:next w:val="1070"/>
    <w:link w:val="783"/>
    <w:qFormat/>
    <w:rPr>
      <w:rFonts w:ascii="黑体" w:hAnsi="黑体" w:eastAsia="黑体" w:cs="黑体"/>
      <w:b/>
      <w:sz w:val="32"/>
      <w:szCs w:val="24"/>
      <w:lang w:val="en-US" w:eastAsia="zh-CN" w:bidi="ar-SA"/>
    </w:rPr>
  </w:style>
  <w:style w:type="paragraph" w:styleId="1070">
    <w:name w:val="Body Text First Indent_0"/>
    <w:basedOn w:val="1071"/>
    <w:next w:val="1070"/>
    <w:link w:val="783"/>
    <w:uiPriority w:val="99"/>
    <w:unhideWhenUsed/>
    <w:qFormat/>
    <w:pPr>
      <w:ind w:firstLine="420"/>
      <w:spacing w:after="120"/>
    </w:pPr>
    <w:rPr>
      <w:rFonts w:eastAsia="Times New Roman"/>
    </w:rPr>
  </w:style>
  <w:style w:type="paragraph" w:styleId="1071">
    <w:name w:val="正文3"/>
    <w:next w:val="1072"/>
    <w:link w:val="783"/>
    <w:qFormat/>
    <w:rPr>
      <w:rFonts w:eastAsia="Times New Roman"/>
      <w:sz w:val="24"/>
      <w:szCs w:val="24"/>
      <w:lang w:val="en-US" w:eastAsia="zh-CN" w:bidi="ar-SA"/>
    </w:rPr>
  </w:style>
  <w:style w:type="paragraph" w:styleId="1072">
    <w:name w:val="正文首行缩进3"/>
    <w:basedOn w:val="1061"/>
    <w:next w:val="1072"/>
    <w:link w:val="783"/>
    <w:uiPriority w:val="99"/>
    <w:unhideWhenUsed/>
    <w:qFormat/>
    <w:pPr>
      <w:ind w:firstLine="420"/>
      <w:spacing w:after="120"/>
    </w:pPr>
    <w:rPr>
      <w:sz w:val="20"/>
    </w:rPr>
  </w:style>
  <w:style w:type="paragraph" w:styleId="1073">
    <w:name w:val="Normal_1_1"/>
    <w:next w:val="1073"/>
    <w:link w:val="783"/>
    <w:qFormat/>
    <w:rPr>
      <w:rFonts w:ascii="黑体" w:hAnsi="黑体" w:eastAsia="黑体" w:cs="黑体"/>
      <w:b/>
      <w:sz w:val="32"/>
      <w:szCs w:val="24"/>
      <w:lang w:val="en-US" w:eastAsia="zh-CN" w:bidi="ar-SA"/>
    </w:rPr>
  </w:style>
  <w:style w:type="paragraph" w:styleId="1074">
    <w:name w:val="正文_0_1"/>
    <w:next w:val="1074"/>
    <w:link w:val="783"/>
    <w:qFormat/>
    <w:pPr>
      <w:jc w:val="both"/>
      <w:widowControl w:val="off"/>
    </w:pPr>
    <w:rPr>
      <w:rFonts w:ascii="Calibri" w:hAnsi="Calibri"/>
      <w:sz w:val="21"/>
      <w:szCs w:val="22"/>
      <w:lang w:val="en-US" w:eastAsia="zh-CN" w:bidi="ar-SA"/>
    </w:rPr>
  </w:style>
  <w:style w:type="paragraph" w:styleId="1075">
    <w:name w:val="正文_1_1"/>
    <w:next w:val="1075"/>
    <w:link w:val="783"/>
    <w:qFormat/>
    <w:pPr>
      <w:jc w:val="both"/>
      <w:widowControl w:val="off"/>
    </w:pPr>
    <w:rPr>
      <w:rFonts w:ascii="Calibri" w:hAnsi="Calibri"/>
      <w:sz w:val="21"/>
      <w:szCs w:val="22"/>
      <w:lang w:val="en-US" w:eastAsia="zh-CN" w:bidi="ar-SA"/>
    </w:rPr>
  </w:style>
  <w:style w:type="paragraph" w:styleId="1076">
    <w:name w:val="Normal_2_0"/>
    <w:next w:val="1076"/>
    <w:link w:val="783"/>
    <w:qFormat/>
    <w:rPr>
      <w:rFonts w:ascii="黑体" w:hAnsi="黑体" w:eastAsia="黑体" w:cs="黑体"/>
      <w:b/>
      <w:sz w:val="32"/>
      <w:szCs w:val="24"/>
      <w:lang w:val="en-US" w:eastAsia="zh-CN" w:bidi="ar-SA"/>
    </w:rPr>
  </w:style>
  <w:style w:type="paragraph" w:styleId="1077">
    <w:name w:val="Normal_3_0"/>
    <w:next w:val="1077"/>
    <w:link w:val="783"/>
    <w:qFormat/>
    <w:pPr>
      <w:jc w:val="both"/>
      <w:widowControl w:val="off"/>
    </w:pPr>
    <w:rPr>
      <w:rFonts w:ascii="Calibri" w:hAnsi="Calibri"/>
      <w:sz w:val="21"/>
      <w:szCs w:val="22"/>
      <w:lang w:val="en-US" w:eastAsia="zh-CN" w:bidi="ar-SA"/>
    </w:rPr>
  </w:style>
  <w:style w:type="paragraph" w:styleId="1078">
    <w:name w:val="Normal_4_0"/>
    <w:next w:val="1078"/>
    <w:link w:val="783"/>
    <w:qFormat/>
    <w:rPr>
      <w:rFonts w:ascii="黑体" w:hAnsi="黑体" w:eastAsia="黑体" w:cs="黑体"/>
      <w:b/>
      <w:sz w:val="32"/>
      <w:szCs w:val="24"/>
      <w:lang w:val="en-US" w:eastAsia="zh-CN" w:bidi="ar-SA"/>
    </w:rPr>
  </w:style>
  <w:style w:type="paragraph" w:styleId="1079">
    <w:name w:val="Normal_5_0"/>
    <w:next w:val="1079"/>
    <w:link w:val="783"/>
    <w:qFormat/>
    <w:pPr>
      <w:jc w:val="both"/>
      <w:widowControl w:val="off"/>
    </w:pPr>
    <w:rPr>
      <w:rFonts w:ascii="Calibri" w:hAnsi="Calibri"/>
      <w:sz w:val="21"/>
      <w:szCs w:val="22"/>
      <w:lang w:val="en-US" w:eastAsia="zh-CN" w:bidi="ar-SA"/>
    </w:rPr>
  </w:style>
  <w:style w:type="paragraph" w:styleId="1080">
    <w:name w:val="Normal_6_0"/>
    <w:next w:val="1080"/>
    <w:link w:val="783"/>
    <w:qFormat/>
    <w:rPr>
      <w:rFonts w:ascii="黑体" w:hAnsi="黑体" w:eastAsia="黑体" w:cs="黑体"/>
      <w:b/>
      <w:sz w:val="32"/>
      <w:szCs w:val="24"/>
      <w:lang w:val="en-US" w:eastAsia="zh-CN" w:bidi="ar-SA"/>
    </w:rPr>
  </w:style>
  <w:style w:type="paragraph" w:styleId="1081">
    <w:name w:val="正文_1_0_0"/>
    <w:next w:val="1081"/>
    <w:link w:val="783"/>
    <w:qFormat/>
    <w:pPr>
      <w:jc w:val="both"/>
      <w:widowControl w:val="off"/>
    </w:pPr>
    <w:rPr>
      <w:sz w:val="21"/>
      <w:lang w:val="en-US" w:eastAsia="zh-CN" w:bidi="ar-SA"/>
    </w:rPr>
  </w:style>
  <w:style w:type="paragraph" w:styleId="1082">
    <w:name w:val="正文_0_0_0_0"/>
    <w:next w:val="1082"/>
    <w:link w:val="783"/>
    <w:qFormat/>
    <w:pPr>
      <w:jc w:val="both"/>
      <w:widowControl w:val="off"/>
    </w:pPr>
    <w:rPr>
      <w:sz w:val="21"/>
      <w:szCs w:val="24"/>
      <w:lang w:val="en-US" w:eastAsia="zh-CN" w:bidi="ar-SA"/>
    </w:rPr>
  </w:style>
  <w:style w:type="paragraph" w:styleId="1083">
    <w:name w:val="正文_1_0_0_0"/>
    <w:next w:val="1083"/>
    <w:link w:val="783"/>
    <w:qFormat/>
    <w:pPr>
      <w:jc w:val="both"/>
      <w:widowControl w:val="off"/>
    </w:pPr>
    <w:rPr>
      <w:sz w:val="21"/>
      <w:lang w:val="en-US" w:eastAsia="zh-CN" w:bidi="ar-SA"/>
    </w:rPr>
  </w:style>
  <w:style w:type="paragraph" w:styleId="1084">
    <w:name w:val="Normal_7_0"/>
    <w:next w:val="1084"/>
    <w:link w:val="783"/>
    <w:qFormat/>
    <w:rPr>
      <w:rFonts w:ascii="黑体" w:hAnsi="黑体" w:eastAsia="黑体" w:cs="黑体"/>
      <w:b/>
      <w:sz w:val="32"/>
      <w:szCs w:val="24"/>
      <w:lang w:val="en-US" w:eastAsia="zh-CN" w:bidi="ar-SA"/>
    </w:rPr>
  </w:style>
  <w:style w:type="paragraph" w:styleId="1085">
    <w:name w:val="Normal_8_0"/>
    <w:next w:val="1085"/>
    <w:link w:val="783"/>
    <w:qFormat/>
    <w:rPr>
      <w:rFonts w:eastAsia="Times New Roman"/>
      <w:sz w:val="24"/>
      <w:szCs w:val="24"/>
      <w:lang w:val="en-US" w:eastAsia="zh-CN" w:bidi="ar-SA"/>
    </w:rPr>
  </w:style>
  <w:style w:type="paragraph" w:styleId="1086">
    <w:name w:val="Normal_9_0"/>
    <w:next w:val="1086"/>
    <w:link w:val="783"/>
    <w:qFormat/>
    <w:rPr>
      <w:rFonts w:eastAsia="Times New Roman"/>
      <w:sz w:val="24"/>
      <w:szCs w:val="24"/>
      <w:lang w:val="en-US" w:eastAsia="zh-CN" w:bidi="ar-SA"/>
    </w:rPr>
  </w:style>
  <w:style w:type="paragraph" w:styleId="1087">
    <w:name w:val="Normal_10_0"/>
    <w:next w:val="1087"/>
    <w:link w:val="783"/>
    <w:qFormat/>
    <w:rPr>
      <w:rFonts w:ascii="黑体" w:hAnsi="黑体" w:eastAsia="黑体" w:cs="黑体"/>
      <w:b/>
      <w:sz w:val="32"/>
      <w:szCs w:val="24"/>
      <w:lang w:val="en-US" w:eastAsia="zh-CN" w:bidi="ar-SA"/>
    </w:rPr>
  </w:style>
  <w:style w:type="paragraph" w:styleId="1088">
    <w:name w:val="正文_3"/>
    <w:next w:val="1089"/>
    <w:link w:val="783"/>
    <w:qFormat/>
    <w:pPr>
      <w:jc w:val="both"/>
      <w:widowControl w:val="off"/>
    </w:pPr>
    <w:rPr>
      <w:rFonts w:ascii="Calibri" w:hAnsi="Calibri"/>
      <w:sz w:val="21"/>
      <w:szCs w:val="22"/>
      <w:lang w:val="en-US" w:eastAsia="zh-CN" w:bidi="ar-SA"/>
    </w:rPr>
  </w:style>
  <w:style w:type="paragraph" w:styleId="1089">
    <w:name w:val="正文首行缩进 2_1"/>
    <w:basedOn w:val="1090"/>
    <w:next w:val="1092"/>
    <w:link w:val="783"/>
    <w:qFormat/>
    <w:pPr>
      <w:ind w:left="200" w:firstLine="200"/>
      <w:spacing w:after="120"/>
    </w:pPr>
    <w:rPr>
      <w:rFonts w:ascii="Times New Roman"/>
      <w:szCs w:val="24"/>
    </w:rPr>
  </w:style>
  <w:style w:type="paragraph" w:styleId="1090">
    <w:name w:val="正文文本缩进_1"/>
    <w:basedOn w:val="1091"/>
    <w:next w:val="1089"/>
    <w:link w:val="783"/>
    <w:qFormat/>
    <w:pPr>
      <w:ind w:firstLine="225"/>
    </w:pPr>
    <w:rPr>
      <w:rFonts w:ascii="仿宋_GB2312" w:eastAsia="仿宋_GB2312"/>
      <w:sz w:val="32"/>
    </w:rPr>
  </w:style>
  <w:style w:type="paragraph" w:styleId="1091">
    <w:name w:val="正文_18"/>
    <w:next w:val="1090"/>
    <w:link w:val="783"/>
    <w:qFormat/>
    <w:pPr>
      <w:jc w:val="both"/>
      <w:widowControl w:val="off"/>
    </w:pPr>
    <w:rPr>
      <w:rFonts w:ascii="Calibri" w:hAnsi="Calibri"/>
      <w:sz w:val="21"/>
      <w:szCs w:val="22"/>
      <w:lang w:val="en-US" w:eastAsia="zh-CN" w:bidi="ar-SA"/>
    </w:rPr>
  </w:style>
  <w:style w:type="paragraph" w:styleId="1092">
    <w:name w:val="xl53_0"/>
    <w:next w:val="1088"/>
    <w:link w:val="783"/>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093">
    <w:name w:val="正文_4_0"/>
    <w:next w:val="1093"/>
    <w:link w:val="783"/>
    <w:qFormat/>
    <w:pPr>
      <w:jc w:val="both"/>
      <w:widowControl w:val="off"/>
    </w:pPr>
    <w:rPr>
      <w:rFonts w:ascii="Calibri" w:hAnsi="Calibri"/>
      <w:sz w:val="21"/>
      <w:szCs w:val="22"/>
      <w:lang w:val="en-US" w:eastAsia="zh-CN" w:bidi="ar-SA"/>
    </w:rPr>
  </w:style>
  <w:style w:type="paragraph" w:styleId="1094">
    <w:name w:val="Normal_11_0"/>
    <w:next w:val="1094"/>
    <w:link w:val="783"/>
    <w:qFormat/>
    <w:rPr>
      <w:rFonts w:ascii="黑体" w:hAnsi="黑体" w:eastAsia="黑体" w:cs="黑体"/>
      <w:b/>
      <w:sz w:val="32"/>
      <w:szCs w:val="24"/>
      <w:lang w:val="en-US" w:eastAsia="zh-CN" w:bidi="ar-SA"/>
    </w:rPr>
  </w:style>
  <w:style w:type="paragraph" w:styleId="1095">
    <w:name w:val="Normal_12_0"/>
    <w:next w:val="1095"/>
    <w:link w:val="783"/>
    <w:qFormat/>
    <w:pPr>
      <w:jc w:val="both"/>
      <w:widowControl w:val="off"/>
    </w:pPr>
    <w:rPr>
      <w:rFonts w:ascii="Calibri" w:hAnsi="Calibri"/>
      <w:sz w:val="21"/>
      <w:szCs w:val="22"/>
      <w:lang w:val="en-US" w:eastAsia="zh-CN" w:bidi="ar-SA"/>
    </w:rPr>
  </w:style>
  <w:style w:type="paragraph" w:styleId="1096">
    <w:name w:val="正文_9_0"/>
    <w:next w:val="1096"/>
    <w:link w:val="783"/>
    <w:qFormat/>
    <w:pPr>
      <w:jc w:val="both"/>
      <w:widowControl w:val="off"/>
    </w:pPr>
    <w:rPr>
      <w:rFonts w:ascii="Calibri" w:hAnsi="Calibri"/>
      <w:sz w:val="21"/>
      <w:szCs w:val="22"/>
      <w:lang w:val="en-US" w:eastAsia="zh-CN" w:bidi="ar-SA"/>
    </w:rPr>
  </w:style>
  <w:style w:type="paragraph" w:styleId="1097">
    <w:name w:val="正文_8_1"/>
    <w:next w:val="1097"/>
    <w:link w:val="783"/>
    <w:qFormat/>
    <w:pPr>
      <w:jc w:val="both"/>
      <w:widowControl w:val="off"/>
    </w:pPr>
    <w:rPr>
      <w:rFonts w:ascii="Calibri" w:hAnsi="Calibri"/>
      <w:sz w:val="21"/>
      <w:szCs w:val="22"/>
      <w:lang w:val="en-US" w:eastAsia="zh-CN" w:bidi="ar-SA"/>
    </w:rPr>
  </w:style>
  <w:style w:type="paragraph" w:styleId="1098">
    <w:name w:val="正文_1_0_0_0_0"/>
    <w:next w:val="1098"/>
    <w:link w:val="783"/>
    <w:qFormat/>
    <w:pPr>
      <w:jc w:val="both"/>
      <w:widowControl w:val="off"/>
    </w:pPr>
    <w:rPr>
      <w:sz w:val="21"/>
      <w:lang w:val="en-US" w:eastAsia="zh-CN" w:bidi="ar-SA"/>
    </w:rPr>
  </w:style>
  <w:style w:type="paragraph" w:styleId="1099">
    <w:name w:val="列出段落_2"/>
    <w:basedOn w:val="1097"/>
    <w:next w:val="1099"/>
    <w:link w:val="783"/>
    <w:uiPriority w:val="34"/>
    <w:qFormat/>
    <w:pPr>
      <w:ind w:firstLine="420"/>
    </w:pPr>
  </w:style>
  <w:style w:type="paragraph" w:styleId="1100">
    <w:name w:val="Normal_13_0"/>
    <w:next w:val="1100"/>
    <w:link w:val="783"/>
    <w:qFormat/>
    <w:rPr>
      <w:rFonts w:ascii="黑体" w:hAnsi="黑体" w:eastAsia="黑体" w:cs="黑体"/>
      <w:b/>
      <w:sz w:val="32"/>
      <w:szCs w:val="24"/>
      <w:lang w:val="en-US" w:eastAsia="zh-CN" w:bidi="ar-SA"/>
    </w:rPr>
  </w:style>
  <w:style w:type="paragraph" w:styleId="1101">
    <w:name w:val="正文_7_1_0"/>
    <w:next w:val="1101"/>
    <w:link w:val="783"/>
    <w:qFormat/>
    <w:pPr>
      <w:jc w:val="both"/>
      <w:widowControl w:val="off"/>
    </w:pPr>
    <w:rPr>
      <w:rFonts w:ascii="Calibri" w:hAnsi="Calibri"/>
      <w:sz w:val="21"/>
      <w:szCs w:val="22"/>
      <w:lang w:val="en-US" w:eastAsia="zh-CN" w:bidi="ar-SA"/>
    </w:rPr>
  </w:style>
  <w:style w:type="paragraph" w:styleId="1102">
    <w:name w:val="纯文本_0_0"/>
    <w:basedOn w:val="1101"/>
    <w:next w:val="1102"/>
    <w:link w:val="783"/>
    <w:unhideWhenUsed/>
    <w:qFormat/>
    <w:rPr>
      <w:rFonts w:ascii="宋体" w:hAnsi="Courier New"/>
      <w:szCs w:val="21"/>
    </w:rPr>
  </w:style>
  <w:style w:type="paragraph" w:styleId="1103">
    <w:name w:val="正文_8_0"/>
    <w:next w:val="1103"/>
    <w:link w:val="783"/>
    <w:qFormat/>
    <w:pPr>
      <w:jc w:val="both"/>
      <w:widowControl w:val="off"/>
    </w:pPr>
    <w:rPr>
      <w:rFonts w:ascii="Calibri" w:hAnsi="Calibri"/>
      <w:sz w:val="21"/>
      <w:szCs w:val="22"/>
      <w:lang w:val="en-US" w:eastAsia="zh-CN" w:bidi="ar-SA"/>
    </w:rPr>
  </w:style>
  <w:style w:type="paragraph" w:styleId="1104">
    <w:name w:val="Normal_14_0"/>
    <w:next w:val="1104"/>
    <w:link w:val="783"/>
    <w:qFormat/>
    <w:rPr>
      <w:rFonts w:ascii="黑体" w:hAnsi="黑体" w:eastAsia="黑体" w:cs="黑体"/>
      <w:b/>
      <w:sz w:val="32"/>
      <w:szCs w:val="24"/>
      <w:lang w:val="en-US" w:eastAsia="zh-CN" w:bidi="ar-SA"/>
    </w:rPr>
  </w:style>
  <w:style w:type="paragraph" w:styleId="1105">
    <w:name w:val="正文_6_0"/>
    <w:next w:val="1105"/>
    <w:link w:val="783"/>
    <w:qFormat/>
    <w:pPr>
      <w:jc w:val="both"/>
      <w:widowControl w:val="off"/>
    </w:pPr>
    <w:rPr>
      <w:rFonts w:ascii="Calibri" w:hAnsi="Calibri"/>
      <w:sz w:val="21"/>
      <w:szCs w:val="22"/>
      <w:lang w:val="en-US" w:eastAsia="zh-CN" w:bidi="ar-SA"/>
    </w:rPr>
  </w:style>
  <w:style w:type="paragraph" w:styleId="1106">
    <w:name w:val="Normal_15_0"/>
    <w:next w:val="1106"/>
    <w:link w:val="783"/>
    <w:qFormat/>
    <w:rPr>
      <w:rFonts w:ascii="黑体" w:hAnsi="黑体" w:eastAsia="黑体" w:cs="黑体"/>
      <w:b/>
      <w:sz w:val="32"/>
      <w:szCs w:val="24"/>
      <w:lang w:val="en-US" w:eastAsia="zh-CN" w:bidi="ar-SA"/>
    </w:rPr>
  </w:style>
  <w:style w:type="paragraph" w:styleId="1107">
    <w:name w:val="正文_7_0"/>
    <w:next w:val="1107"/>
    <w:link w:val="783"/>
    <w:qFormat/>
    <w:pPr>
      <w:jc w:val="both"/>
      <w:widowControl w:val="off"/>
    </w:pPr>
    <w:rPr>
      <w:rFonts w:ascii="Calibri" w:hAnsi="Calibri"/>
      <w:sz w:val="21"/>
      <w:szCs w:val="22"/>
      <w:lang w:val="en-US" w:eastAsia="zh-CN" w:bidi="ar-SA"/>
    </w:rPr>
  </w:style>
  <w:style w:type="paragraph" w:styleId="1108">
    <w:name w:val="正文_9_1"/>
    <w:next w:val="1108"/>
    <w:link w:val="783"/>
    <w:qFormat/>
    <w:pPr>
      <w:jc w:val="both"/>
      <w:widowControl w:val="off"/>
    </w:pPr>
    <w:rPr>
      <w:sz w:val="21"/>
      <w:szCs w:val="24"/>
      <w:lang w:val="en-US" w:eastAsia="zh-CN" w:bidi="ar-SA"/>
    </w:rPr>
  </w:style>
  <w:style w:type="paragraph" w:styleId="1109">
    <w:name w:val="Normal_16_0"/>
    <w:next w:val="1109"/>
    <w:link w:val="783"/>
    <w:qFormat/>
    <w:rPr>
      <w:rFonts w:ascii="黑体" w:hAnsi="黑体" w:eastAsia="黑体" w:cs="黑体"/>
      <w:b/>
      <w:sz w:val="32"/>
      <w:szCs w:val="24"/>
      <w:lang w:val="en-US" w:eastAsia="zh-CN" w:bidi="ar-SA"/>
    </w:rPr>
  </w:style>
  <w:style w:type="paragraph" w:styleId="1110">
    <w:name w:val="正文_10_0"/>
    <w:next w:val="1110"/>
    <w:link w:val="783"/>
    <w:qFormat/>
    <w:pPr>
      <w:jc w:val="both"/>
      <w:widowControl w:val="off"/>
    </w:pPr>
    <w:rPr>
      <w:sz w:val="21"/>
      <w:szCs w:val="24"/>
      <w:lang w:val="en-US" w:eastAsia="zh-CN" w:bidi="ar-SA"/>
    </w:rPr>
  </w:style>
  <w:style w:type="paragraph" w:styleId="1111">
    <w:name w:val="Normal_17_0"/>
    <w:next w:val="1111"/>
    <w:link w:val="783"/>
    <w:qFormat/>
    <w:rPr>
      <w:rFonts w:ascii="黑体" w:hAnsi="黑体" w:eastAsia="黑体" w:cs="黑体"/>
      <w:b/>
      <w:sz w:val="32"/>
      <w:szCs w:val="24"/>
      <w:lang w:val="en-US" w:eastAsia="zh-CN" w:bidi="ar-SA"/>
    </w:rPr>
  </w:style>
  <w:style w:type="paragraph" w:styleId="1112">
    <w:name w:val="正文_10_0_0"/>
    <w:next w:val="1112"/>
    <w:link w:val="783"/>
    <w:qFormat/>
    <w:pPr>
      <w:jc w:val="both"/>
      <w:widowControl w:val="off"/>
    </w:pPr>
    <w:rPr>
      <w:sz w:val="21"/>
      <w:szCs w:val="24"/>
      <w:lang w:val="en-US" w:eastAsia="zh-CN" w:bidi="ar-SA"/>
    </w:rPr>
  </w:style>
  <w:style w:type="paragraph" w:styleId="1113">
    <w:name w:val="Normal_18_0"/>
    <w:next w:val="1113"/>
    <w:link w:val="783"/>
    <w:qFormat/>
    <w:rPr>
      <w:rFonts w:ascii="黑体" w:hAnsi="黑体" w:eastAsia="黑体" w:cs="黑体"/>
      <w:b/>
      <w:sz w:val="32"/>
      <w:szCs w:val="24"/>
      <w:lang w:val="en-US" w:eastAsia="zh-CN" w:bidi="ar-SA"/>
    </w:rPr>
  </w:style>
  <w:style w:type="paragraph" w:styleId="1114">
    <w:name w:val="正文_12_0"/>
    <w:next w:val="1114"/>
    <w:link w:val="783"/>
    <w:qFormat/>
    <w:pPr>
      <w:jc w:val="both"/>
      <w:widowControl w:val="off"/>
    </w:pPr>
    <w:rPr>
      <w:rFonts w:ascii="Calibri" w:hAnsi="Calibri"/>
      <w:sz w:val="21"/>
      <w:szCs w:val="22"/>
      <w:lang w:val="en-US" w:eastAsia="zh-CN" w:bidi="ar-SA"/>
    </w:rPr>
  </w:style>
  <w:style w:type="paragraph" w:styleId="1115">
    <w:name w:val="正文_9_1_0"/>
    <w:next w:val="1115"/>
    <w:link w:val="783"/>
    <w:qFormat/>
    <w:pPr>
      <w:jc w:val="both"/>
      <w:widowControl w:val="off"/>
    </w:pPr>
    <w:rPr>
      <w:sz w:val="21"/>
      <w:szCs w:val="24"/>
      <w:lang w:val="en-US" w:eastAsia="zh-CN" w:bidi="ar-SA"/>
    </w:rPr>
  </w:style>
  <w:style w:type="paragraph" w:styleId="1116">
    <w:name w:val="Normal_14_0_0"/>
    <w:next w:val="1116"/>
    <w:link w:val="783"/>
    <w:qFormat/>
    <w:rPr>
      <w:rFonts w:ascii="黑体" w:hAnsi="黑体" w:eastAsia="黑体"/>
      <w:b/>
      <w:sz w:val="32"/>
      <w:szCs w:val="24"/>
      <w:lang w:val="en-US" w:eastAsia="zh-CN" w:bidi="ar-SA"/>
    </w:rPr>
  </w:style>
  <w:style w:type="paragraph" w:styleId="1117">
    <w:name w:val="正文_12_0_0"/>
    <w:next w:val="1117"/>
    <w:link w:val="783"/>
    <w:qFormat/>
    <w:pPr>
      <w:jc w:val="both"/>
      <w:widowControl w:val="off"/>
    </w:pPr>
    <w:rPr>
      <w:sz w:val="21"/>
      <w:szCs w:val="24"/>
      <w:lang w:val="en-US" w:eastAsia="zh-CN" w:bidi="ar-SA"/>
    </w:rPr>
  </w:style>
  <w:style w:type="paragraph" w:styleId="1118">
    <w:name w:val="正文_12_0_0_0"/>
    <w:next w:val="1118"/>
    <w:link w:val="783"/>
    <w:qFormat/>
    <w:pPr>
      <w:jc w:val="both"/>
      <w:widowControl w:val="off"/>
    </w:pPr>
    <w:rPr>
      <w:sz w:val="21"/>
      <w:szCs w:val="24"/>
      <w:lang w:val="en-US" w:eastAsia="zh-CN" w:bidi="ar-SA"/>
    </w:rPr>
  </w:style>
  <w:style w:type="paragraph" w:styleId="1119">
    <w:name w:val="正文_13_0"/>
    <w:next w:val="1119"/>
    <w:link w:val="783"/>
    <w:qFormat/>
    <w:pPr>
      <w:jc w:val="both"/>
      <w:widowControl w:val="off"/>
    </w:pPr>
    <w:rPr>
      <w:rFonts w:ascii="Calibri" w:hAnsi="Calibri"/>
      <w:sz w:val="21"/>
      <w:szCs w:val="22"/>
      <w:lang w:val="en-US" w:eastAsia="zh-CN" w:bidi="ar-SA"/>
    </w:rPr>
  </w:style>
  <w:style w:type="paragraph" w:styleId="1120">
    <w:name w:val="正文_13_0_0"/>
    <w:next w:val="1120"/>
    <w:link w:val="783"/>
    <w:qFormat/>
    <w:pPr>
      <w:jc w:val="both"/>
      <w:widowControl w:val="off"/>
    </w:pPr>
    <w:rPr>
      <w:sz w:val="21"/>
      <w:szCs w:val="24"/>
      <w:lang w:val="en-US" w:eastAsia="zh-CN" w:bidi="ar-SA"/>
    </w:rPr>
  </w:style>
  <w:style w:type="paragraph" w:styleId="1121">
    <w:name w:val="正文_14_0"/>
    <w:next w:val="1121"/>
    <w:link w:val="783"/>
    <w:qFormat/>
    <w:pPr>
      <w:jc w:val="both"/>
      <w:widowControl w:val="off"/>
    </w:pPr>
    <w:rPr>
      <w:rFonts w:ascii="Calibri" w:hAnsi="Calibri"/>
      <w:sz w:val="21"/>
      <w:szCs w:val="22"/>
      <w:lang w:val="en-US" w:eastAsia="zh-CN" w:bidi="ar-SA"/>
    </w:rPr>
  </w:style>
  <w:style w:type="paragraph" w:styleId="1122">
    <w:name w:val="正文_14_0_0"/>
    <w:next w:val="1122"/>
    <w:link w:val="783"/>
    <w:qFormat/>
    <w:pPr>
      <w:jc w:val="both"/>
      <w:widowControl w:val="off"/>
    </w:pPr>
    <w:rPr>
      <w:sz w:val="21"/>
      <w:szCs w:val="24"/>
      <w:lang w:val="en-US" w:eastAsia="zh-CN" w:bidi="ar-SA"/>
    </w:rPr>
  </w:style>
  <w:style w:type="paragraph" w:styleId="1123">
    <w:name w:val="Normal Indent_0"/>
    <w:basedOn w:val="882"/>
    <w:next w:val="1123"/>
    <w:link w:val="783"/>
    <w:qFormat/>
    <w:pPr>
      <w:ind w:firstLine="420"/>
    </w:pPr>
    <w:rPr>
      <w:rFonts w:ascii="宋体" w:eastAsia="Times New Roman"/>
      <w:color w:val="000000"/>
      <w:sz w:val="24"/>
      <w:szCs w:val="20"/>
    </w:rPr>
  </w:style>
  <w:style w:type="paragraph" w:styleId="1124">
    <w:name w:val="Heading 3_0"/>
    <w:basedOn w:val="882"/>
    <w:next w:val="882"/>
    <w:link w:val="783"/>
    <w:qFormat/>
    <w:pPr>
      <w:keepLines/>
      <w:keepNext/>
      <w:spacing w:before="260" w:after="260" w:line="413" w:lineRule="auto"/>
      <w:outlineLvl w:val="2"/>
    </w:pPr>
    <w:rPr>
      <w:rFonts w:ascii="Times New Roman" w:hAnsi="Times New Roman" w:eastAsia="Times New Roman"/>
      <w:szCs w:val="20"/>
    </w:rPr>
  </w:style>
  <w:style w:type="paragraph" w:styleId="1125">
    <w:name w:val="正文_15_0"/>
    <w:next w:val="1125"/>
    <w:link w:val="783"/>
    <w:qFormat/>
    <w:pPr>
      <w:jc w:val="both"/>
      <w:widowControl w:val="off"/>
    </w:pPr>
    <w:rPr>
      <w:rFonts w:ascii="Calibri" w:hAnsi="Calibri"/>
      <w:sz w:val="21"/>
      <w:szCs w:val="22"/>
      <w:lang w:val="en-US" w:eastAsia="zh-CN" w:bidi="ar-SA"/>
    </w:rPr>
  </w:style>
  <w:style w:type="paragraph" w:styleId="1126">
    <w:name w:val="正文2"/>
    <w:basedOn w:val="783"/>
    <w:next w:val="1126"/>
    <w:link w:val="783"/>
    <w:qFormat/>
    <w:pPr>
      <w:ind w:firstLine="510"/>
      <w:spacing w:before="156" w:line="360" w:lineRule="auto"/>
    </w:pPr>
    <w:rPr>
      <w:sz w:val="24"/>
      <w:szCs w:val="20"/>
    </w:rPr>
  </w:style>
  <w:style w:type="paragraph" w:styleId="1127">
    <w:name w:val="Default"/>
    <w:next w:val="1127"/>
    <w:link w:val="783"/>
    <w:qFormat/>
    <w:pPr>
      <w:widowControl w:val="off"/>
    </w:pPr>
    <w:rPr>
      <w:rFonts w:ascii="宋体" w:cs="宋体"/>
      <w:color w:val="000000"/>
      <w:sz w:val="24"/>
      <w:szCs w:val="24"/>
      <w:lang w:val="en-US" w:eastAsia="zh-CN" w:bidi="ar-SA"/>
    </w:rPr>
  </w:style>
  <w:style w:type="paragraph" w:styleId="1128">
    <w:name w:val="正文_0_2_0"/>
    <w:next w:val="1128"/>
    <w:link w:val="783"/>
    <w:qFormat/>
    <w:pPr>
      <w:jc w:val="both"/>
      <w:widowControl w:val="off"/>
    </w:pPr>
    <w:rPr>
      <w:szCs w:val="24"/>
      <w:lang w:val="en-US" w:eastAsia="zh-CN" w:bidi="ar-SA"/>
    </w:rPr>
  </w:style>
  <w:style w:type="paragraph" w:styleId="1129">
    <w:name w:val="Normal_19_1_0"/>
    <w:next w:val="1130"/>
    <w:link w:val="783"/>
    <w:qFormat/>
    <w:pPr>
      <w:jc w:val="both"/>
      <w:widowControl w:val="off"/>
    </w:pPr>
    <w:rPr>
      <w:rFonts w:ascii="Calibri" w:hAnsi="Calibri"/>
      <w:szCs w:val="24"/>
      <w:lang w:val="en-US" w:eastAsia="zh-CN" w:bidi="ar-SA"/>
    </w:rPr>
  </w:style>
  <w:style w:type="paragraph" w:styleId="1130">
    <w:name w:val="正文_16_0"/>
    <w:basedOn w:val="1091"/>
    <w:next w:val="1089"/>
    <w:link w:val="783"/>
    <w:qFormat/>
    <w:rPr>
      <w:rFonts w:ascii="Times New Roman" w:hAnsi="Times New Roman"/>
    </w:rPr>
  </w:style>
  <w:style w:type="paragraph" w:styleId="1131">
    <w:name w:val="Normal_19_0"/>
    <w:basedOn w:val="802"/>
    <w:next w:val="1132"/>
    <w:link w:val="783"/>
    <w:qFormat/>
    <w:rPr>
      <w:szCs w:val="24"/>
    </w:rPr>
  </w:style>
  <w:style w:type="paragraph" w:styleId="1132">
    <w:name w:val="Body Text First Indent_1_0"/>
    <w:basedOn w:val="1131"/>
    <w:next w:val="1132"/>
    <w:link w:val="783"/>
    <w:qFormat/>
    <w:pPr>
      <w:ind w:firstLine="100"/>
      <w:spacing w:after="120"/>
    </w:pPr>
  </w:style>
  <w:style w:type="paragraph" w:styleId="1133">
    <w:name w:val="Body Text_0"/>
    <w:basedOn w:val="1131"/>
    <w:next w:val="1133"/>
    <w:link w:val="783"/>
    <w:qFormat/>
    <w:pPr>
      <w:spacing w:line="60" w:lineRule="auto"/>
    </w:pPr>
    <w:rPr>
      <w:rFonts w:ascii="仿宋_GB2312" w:eastAsia="仿宋_GB2312"/>
      <w:sz w:val="32"/>
    </w:rPr>
  </w:style>
  <w:style w:type="paragraph" w:styleId="1134">
    <w:name w:val="Normal_19_1"/>
    <w:next w:val="882"/>
    <w:link w:val="783"/>
    <w:qFormat/>
    <w:pPr>
      <w:jc w:val="both"/>
      <w:widowControl w:val="off"/>
    </w:pPr>
    <w:rPr>
      <w:rFonts w:ascii="Calibri" w:hAnsi="Calibri"/>
      <w:szCs w:val="24"/>
      <w:lang w:val="en-US" w:eastAsia="zh-CN" w:bidi="ar-SA"/>
    </w:rPr>
  </w:style>
  <w:style w:type="paragraph" w:styleId="1135">
    <w:name w:val="正文_6_0_0"/>
    <w:next w:val="1135"/>
    <w:link w:val="783"/>
    <w:qFormat/>
    <w:pPr>
      <w:jc w:val="both"/>
      <w:widowControl w:val="off"/>
    </w:pPr>
    <w:rPr>
      <w:rFonts w:ascii="Calibri" w:hAnsi="Calibri"/>
      <w:lang w:val="en-US" w:eastAsia="zh-CN" w:bidi="ar-SA"/>
    </w:rPr>
  </w:style>
  <w:style w:type="paragraph" w:styleId="1136">
    <w:name w:val="正文_7_1"/>
    <w:next w:val="1136"/>
    <w:link w:val="783"/>
    <w:qFormat/>
    <w:pPr>
      <w:jc w:val="both"/>
      <w:widowControl w:val="off"/>
    </w:pPr>
    <w:rPr>
      <w:rFonts w:ascii="Calibri" w:hAnsi="Calibri"/>
      <w:lang w:val="en-US" w:eastAsia="zh-CN" w:bidi="ar-SA"/>
    </w:rPr>
  </w:style>
  <w:style w:type="paragraph" w:styleId="1137">
    <w:name w:val="正文1_1"/>
    <w:basedOn w:val="1085"/>
    <w:next w:val="1137"/>
    <w:link w:val="783"/>
    <w:qFormat/>
    <w:pPr>
      <w:jc w:val="both"/>
      <w:widowControl w:val="off"/>
    </w:pPr>
    <w:rPr>
      <w:sz w:val="20"/>
      <w:szCs w:val="20"/>
    </w:rPr>
  </w:style>
  <w:style w:type="paragraph" w:styleId="1138">
    <w:name w:val="Normal_8_0_0"/>
    <w:next w:val="1138"/>
    <w:link w:val="783"/>
    <w:qFormat/>
    <w:rPr>
      <w:rFonts w:eastAsia="Times New Roman"/>
      <w:sz w:val="24"/>
      <w:szCs w:val="24"/>
      <w:lang w:val="en-US" w:eastAsia="zh-CN" w:bidi="ar-SA"/>
    </w:rPr>
  </w:style>
  <w:style w:type="paragraph" w:styleId="1139">
    <w:name w:val="Normal_8_0_0_0"/>
    <w:next w:val="1139"/>
    <w:link w:val="783"/>
    <w:qFormat/>
    <w:pPr>
      <w:jc w:val="both"/>
      <w:widowControl w:val="off"/>
    </w:pPr>
    <w:rPr>
      <w:rFonts w:ascii="Calibri" w:hAnsi="Calibri"/>
      <w:lang w:val="en-US" w:eastAsia="zh-CN" w:bidi="ar-SA"/>
    </w:rPr>
  </w:style>
  <w:style w:type="paragraph" w:styleId="1140">
    <w:name w:val="Normal_16_1"/>
    <w:next w:val="1140"/>
    <w:link w:val="783"/>
    <w:qFormat/>
    <w:rPr>
      <w:rFonts w:ascii="黑体" w:hAnsi="黑体" w:eastAsia="黑体"/>
      <w:b/>
      <w:sz w:val="32"/>
      <w:szCs w:val="24"/>
      <w:lang w:val="en-US" w:eastAsia="zh-CN" w:bidi="ar-SA"/>
    </w:rPr>
  </w:style>
  <w:style w:type="paragraph" w:styleId="1141">
    <w:name w:val="Normal_19_0_1"/>
    <w:next w:val="1141"/>
    <w:link w:val="783"/>
    <w:qFormat/>
    <w:rPr>
      <w:rFonts w:ascii="Tahoma" w:hAnsi="Tahoma" w:eastAsia="微软雅黑"/>
      <w:lang w:val="en-US" w:eastAsia="zh-CN" w:bidi="ar-SA"/>
    </w:rPr>
  </w:style>
  <w:style w:type="paragraph" w:styleId="1142">
    <w:name w:val="Normal_16_0_0"/>
    <w:next w:val="1142"/>
    <w:link w:val="783"/>
    <w:qFormat/>
    <w:pPr>
      <w:jc w:val="both"/>
      <w:widowControl w:val="off"/>
    </w:pPr>
    <w:rPr>
      <w:rFonts w:ascii="Calibri" w:hAnsi="Calibri"/>
      <w:lang w:val="en-US" w:eastAsia="zh-CN" w:bidi="ar-SA"/>
    </w:rPr>
  </w:style>
  <w:style w:type="paragraph" w:styleId="1143">
    <w:name w:val="Normal_22_0"/>
    <w:next w:val="1143"/>
    <w:link w:val="783"/>
    <w:qFormat/>
    <w:pPr>
      <w:jc w:val="both"/>
      <w:widowControl w:val="off"/>
    </w:pPr>
    <w:rPr>
      <w:rFonts w:ascii="Calibri" w:hAnsi="Calibri"/>
      <w:szCs w:val="24"/>
      <w:lang w:val="en-US" w:eastAsia="zh-CN" w:bidi="ar-SA"/>
    </w:rPr>
  </w:style>
  <w:style w:type="paragraph" w:styleId="1144">
    <w:name w:val="Normal_17_0_0"/>
    <w:next w:val="1144"/>
    <w:link w:val="783"/>
    <w:qFormat/>
    <w:rPr>
      <w:rFonts w:ascii="黑体" w:hAnsi="黑体" w:eastAsia="黑体"/>
      <w:b/>
      <w:sz w:val="32"/>
      <w:szCs w:val="24"/>
      <w:lang w:val="en-US" w:eastAsia="zh-CN" w:bidi="ar-SA"/>
    </w:rPr>
  </w:style>
  <w:style w:type="paragraph" w:styleId="1145">
    <w:name w:val="Normal_19_0_1_0"/>
    <w:next w:val="1145"/>
    <w:link w:val="783"/>
    <w:qFormat/>
    <w:rPr>
      <w:rFonts w:ascii="Tahoma" w:hAnsi="Tahoma" w:eastAsia="微软雅黑"/>
      <w:lang w:val="en-US" w:eastAsia="zh-CN" w:bidi="ar-SA"/>
    </w:rPr>
  </w:style>
  <w:style w:type="paragraph" w:styleId="1146">
    <w:name w:val="Normal_19_3"/>
    <w:next w:val="1147"/>
    <w:link w:val="783"/>
    <w:qFormat/>
    <w:pPr>
      <w:jc w:val="both"/>
      <w:widowControl w:val="off"/>
    </w:pPr>
    <w:rPr>
      <w:rFonts w:ascii="Calibri" w:hAnsi="Calibri" w:eastAsia="Times New Roman"/>
      <w:szCs w:val="24"/>
      <w:lang w:val="en-US" w:eastAsia="zh-CN" w:bidi="ar-SA"/>
    </w:rPr>
  </w:style>
  <w:style w:type="paragraph" w:styleId="1147">
    <w:name w:val="正文_17_0"/>
    <w:next w:val="1147"/>
    <w:link w:val="783"/>
    <w:qFormat/>
    <w:pPr>
      <w:jc w:val="both"/>
      <w:widowControl w:val="off"/>
    </w:pPr>
    <w:rPr>
      <w:rFonts w:ascii="Calibri" w:hAnsi="Calibri"/>
      <w:sz w:val="21"/>
      <w:szCs w:val="22"/>
      <w:lang w:val="en-US" w:eastAsia="zh-CN" w:bidi="ar-SA"/>
    </w:rPr>
  </w:style>
  <w:style w:type="paragraph" w:styleId="1148">
    <w:name w:val="Normal_22_0_0"/>
    <w:next w:val="1148"/>
    <w:link w:val="783"/>
    <w:qFormat/>
    <w:pPr>
      <w:jc w:val="both"/>
      <w:widowControl w:val="off"/>
    </w:pPr>
    <w:rPr>
      <w:rFonts w:ascii="Calibri" w:hAnsi="Calibri"/>
      <w:szCs w:val="24"/>
      <w:lang w:val="en-US" w:eastAsia="zh-CN" w:bidi="ar-SA"/>
    </w:rPr>
  </w:style>
  <w:style w:type="character" w:styleId="1149">
    <w:name w:val="custom-tag-placeholder-class"/>
    <w:next w:val="1149"/>
    <w:link w:val="783"/>
    <w:qFormat/>
  </w:style>
  <w:style w:type="paragraph" w:styleId="1150">
    <w:name w:val="Normal_19_0_0"/>
    <w:basedOn w:val="882"/>
    <w:next w:val="1151"/>
    <w:link w:val="783"/>
    <w:qFormat/>
    <w:rPr>
      <w:rFonts w:ascii="Calibri" w:hAnsi="Calibri" w:eastAsia="Times New Roman"/>
      <w:sz w:val="24"/>
    </w:rPr>
  </w:style>
  <w:style w:type="paragraph" w:styleId="1151">
    <w:name w:val="Body Text First Indent_1_0_0"/>
    <w:basedOn w:val="1150"/>
    <w:next w:val="1151"/>
    <w:link w:val="783"/>
    <w:pPr>
      <w:ind w:firstLine="100"/>
      <w:spacing w:after="120"/>
    </w:pPr>
    <w:rPr>
      <w:rFonts w:eastAsia="Times New Roman"/>
    </w:rPr>
  </w:style>
  <w:style w:type="paragraph" w:styleId="1152">
    <w:name w:val="正文首行缩进1"/>
    <w:basedOn w:val="1153"/>
    <w:next w:val="1152"/>
    <w:link w:val="783"/>
    <w:qFormat/>
    <w:pPr>
      <w:ind w:firstLine="100"/>
      <w:spacing w:after="120" w:line="240" w:lineRule="auto"/>
    </w:pPr>
    <w:rPr>
      <w:rFonts w:ascii="Times New Roman" w:hAnsi="Times New Roman" w:eastAsia="宋体"/>
      <w:sz w:val="21"/>
    </w:rPr>
  </w:style>
  <w:style w:type="paragraph" w:styleId="1153">
    <w:name w:val="正文文本1"/>
    <w:basedOn w:val="783"/>
    <w:next w:val="1153"/>
    <w:link w:val="783"/>
    <w:qFormat/>
    <w:pPr>
      <w:spacing w:line="60" w:lineRule="auto"/>
    </w:pPr>
    <w:rPr>
      <w:rFonts w:ascii="仿宋_GB2312" w:eastAsia="仿宋_GB2312"/>
      <w:sz w:val="32"/>
    </w:rPr>
  </w:style>
  <w:style w:type="paragraph" w:styleId="1154">
    <w:name w:val="正文_2_0"/>
    <w:next w:val="1154"/>
    <w:link w:val="783"/>
    <w:qFormat/>
    <w:pPr>
      <w:jc w:val="both"/>
      <w:widowControl w:val="off"/>
    </w:pPr>
    <w:rPr>
      <w:rFonts w:ascii="Calibri" w:hAnsi="Calibri"/>
      <w:sz w:val="21"/>
      <w:szCs w:val="22"/>
      <w:lang w:val="en-US" w:eastAsia="zh-CN" w:bidi="ar-SA"/>
    </w:rPr>
  </w:style>
  <w:style w:type="paragraph" w:styleId="1155">
    <w:name w:val="List Paragraph_0"/>
    <w:basedOn w:val="1065"/>
    <w:next w:val="1155"/>
    <w:link w:val="783"/>
    <w:qFormat/>
    <w:pPr>
      <w:ind w:firstLine="420"/>
    </w:pPr>
  </w:style>
  <w:style w:type="paragraph" w:styleId="1156">
    <w:name w:val="纯文本_1"/>
    <w:basedOn w:val="1154"/>
    <w:next w:val="1156"/>
    <w:link w:val="783"/>
    <w:qFormat/>
    <w:rPr>
      <w:rFonts w:ascii="宋体" w:hAnsi="Times New Roman"/>
      <w:sz w:val="20"/>
      <w:szCs w:val="21"/>
    </w:rPr>
  </w:style>
  <w:style w:type="paragraph" w:styleId="1157">
    <w:name w:val="正文_16_0_0"/>
    <w:next w:val="927"/>
    <w:link w:val="783"/>
    <w:qFormat/>
    <w:pPr>
      <w:jc w:val="both"/>
      <w:widowControl w:val="off"/>
    </w:pPr>
    <w:rPr>
      <w:rFonts w:ascii="Calibri" w:hAnsi="Calibri"/>
      <w:sz w:val="21"/>
      <w:szCs w:val="22"/>
      <w:lang w:val="en-US" w:eastAsia="zh-CN" w:bidi="ar-SA"/>
    </w:rPr>
  </w:style>
  <w:style w:type="paragraph" w:styleId="1158">
    <w:name w:val="正文_11_0"/>
    <w:basedOn w:val="927"/>
    <w:next w:val="1158"/>
    <w:link w:val="783"/>
    <w:qFormat/>
    <w:rPr>
      <w:rFonts w:ascii="Calibri" w:hAnsi="Calibri"/>
      <w:szCs w:val="20"/>
    </w:rPr>
  </w:style>
  <w:style w:type="paragraph" w:styleId="1159">
    <w:name w:val="Normal_19_0_0_0"/>
    <w:basedOn w:val="802"/>
    <w:next w:val="1159"/>
    <w:link w:val="783"/>
    <w:qFormat/>
    <w:rPr>
      <w:rFonts w:cs="黑体"/>
      <w:szCs w:val="24"/>
    </w:rPr>
  </w:style>
  <w:style w:type="paragraph" w:styleId="1160">
    <w:name w:val="无间隔1"/>
    <w:basedOn w:val="1071"/>
    <w:next w:val="1160"/>
    <w:link w:val="783"/>
    <w:qFormat/>
    <w:rPr>
      <w:rFonts w:ascii="Calibri" w:hAnsi="Calibri" w:cs="Calibri"/>
    </w:rPr>
  </w:style>
  <w:style w:type="paragraph" w:styleId="1161">
    <w:name w:val="标题 31"/>
    <w:basedOn w:val="1071"/>
    <w:next w:val="1071"/>
    <w:link w:val="783"/>
    <w:qFormat/>
    <w:pPr>
      <w:keepLines/>
      <w:keepNext/>
      <w:spacing w:before="260" w:after="260" w:line="413" w:lineRule="auto"/>
      <w:outlineLvl w:val="2"/>
    </w:pPr>
    <w:rPr>
      <w:b/>
      <w:sz w:val="32"/>
      <w:szCs w:val="20"/>
    </w:rPr>
  </w:style>
  <w:style w:type="character" w:styleId="1162">
    <w:name w:val="标题 2 Char_0"/>
    <w:next w:val="1162"/>
    <w:link w:val="1163"/>
    <w:qFormat/>
    <w:rPr>
      <w:rFonts w:ascii="Arial" w:hAnsi="Arial" w:eastAsia="黑体"/>
      <w:b/>
      <w:sz w:val="32"/>
      <w:szCs w:val="22"/>
    </w:rPr>
  </w:style>
  <w:style w:type="paragraph" w:styleId="1163">
    <w:name w:val="标题 21"/>
    <w:basedOn w:val="804"/>
    <w:next w:val="804"/>
    <w:link w:val="1162"/>
    <w:unhideWhenUsed/>
    <w:qFormat/>
    <w:pPr>
      <w:keepLines/>
      <w:keepNext/>
      <w:spacing w:before="260" w:after="260" w:line="413" w:lineRule="auto"/>
      <w:outlineLvl w:val="1"/>
    </w:pPr>
    <w:rPr>
      <w:rFonts w:ascii="Arial" w:hAnsi="Arial"/>
      <w:szCs w:val="22"/>
    </w:rPr>
  </w:style>
  <w:style w:type="paragraph" w:styleId="1164">
    <w:name w:val="Normal_19_1_0_0"/>
    <w:next w:val="1165"/>
    <w:link w:val="783"/>
    <w:qFormat/>
    <w:pPr>
      <w:jc w:val="both"/>
      <w:widowControl w:val="off"/>
    </w:pPr>
    <w:rPr>
      <w:rFonts w:ascii="Calibri" w:hAnsi="Calibri"/>
      <w:sz w:val="21"/>
      <w:szCs w:val="24"/>
      <w:lang w:val="en-US" w:eastAsia="zh-CN" w:bidi="ar-SA"/>
    </w:rPr>
  </w:style>
  <w:style w:type="paragraph" w:styleId="1165">
    <w:name w:val="正文_16_0_1"/>
    <w:next w:val="1165"/>
    <w:link w:val="783"/>
    <w:qFormat/>
    <w:pPr>
      <w:jc w:val="both"/>
      <w:widowControl w:val="off"/>
    </w:pPr>
    <w:rPr>
      <w:sz w:val="21"/>
      <w:szCs w:val="22"/>
      <w:lang w:val="en-US" w:eastAsia="zh-CN" w:bidi="ar-SA"/>
    </w:rPr>
  </w:style>
  <w:style w:type="paragraph" w:styleId="1166">
    <w:name w:val="正文1_0_0"/>
    <w:basedOn w:val="804"/>
    <w:next w:val="1166"/>
    <w:link w:val="783"/>
    <w:qFormat/>
    <w:pPr>
      <w:ind w:left="357" w:firstLine="420"/>
      <w:spacing w:line="360" w:lineRule="auto"/>
    </w:pPr>
    <w:rPr>
      <w:rFonts w:eastAsia="Times New Roman" w:cs="Arial"/>
    </w:rPr>
  </w:style>
  <w:style w:type="paragraph" w:styleId="1167">
    <w:name w:val="普通正文"/>
    <w:basedOn w:val="783"/>
    <w:next w:val="1167"/>
    <w:link w:val="783"/>
    <w:qFormat/>
    <w:pPr>
      <w:ind w:firstLine="480"/>
      <w:jc w:val="left"/>
      <w:spacing w:before="120" w:after="120" w:line="360" w:lineRule="auto"/>
    </w:pPr>
    <w:rPr>
      <w:rFonts w:ascii="Arial" w:hAnsi="Arial"/>
      <w:sz w:val="24"/>
      <w:szCs w:val="24"/>
    </w:rPr>
  </w:style>
  <w:style w:type="paragraph" w:styleId="1168">
    <w:name w:val="正文空2字"/>
    <w:basedOn w:val="1169"/>
    <w:next w:val="1168"/>
    <w:link w:val="783"/>
    <w:uiPriority w:val="99"/>
    <w:qFormat/>
    <w:pPr>
      <w:ind w:firstLine="640"/>
      <w:spacing w:line="560" w:lineRule="exact"/>
      <w:widowControl w:val="off"/>
    </w:pPr>
    <w:rPr>
      <w:rFonts w:ascii="仿宋_GB2312" w:hAnsi="仿宋_GB2312" w:cs="仿宋_GB2312"/>
      <w:lang w:val="zh-TW"/>
    </w:rPr>
  </w:style>
  <w:style w:type="paragraph" w:styleId="1169">
    <w:name w:val="左对齐正文"/>
    <w:next w:val="1169"/>
    <w:link w:val="783"/>
    <w:uiPriority w:val="99"/>
    <w:qFormat/>
    <w:rPr>
      <w:rFonts w:ascii="Calibri" w:hAnsi="Calibri" w:eastAsia="仿宋_GB2312" w:cs="Calibri"/>
      <w:sz w:val="32"/>
      <w:szCs w:val="32"/>
      <w:lang w:val="en-US" w:eastAsia="zh-CN" w:bidi="ar-SA"/>
    </w:rPr>
  </w:style>
  <w:style w:type="paragraph" w:styleId="1170">
    <w:name w:val="普通(网站)1"/>
    <w:basedOn w:val="783"/>
    <w:next w:val="1170"/>
    <w:link w:val="783"/>
    <w:qFormat/>
    <w:rPr>
      <w:sz w:val="24"/>
    </w:rPr>
  </w:style>
  <w:style w:type="character" w:styleId="1171">
    <w:name w:val="16"/>
    <w:next w:val="1171"/>
    <w:link w:val="783"/>
    <w:qFormat/>
    <w:rPr>
      <w:rFonts w:ascii="Times New Roman" w:hAnsi="Times New Roman"/>
      <w:sz w:val="21"/>
      <w:szCs w:val="21"/>
      <w:lang w:val="en-US" w:eastAsia="zh-CN" w:bidi="ar-SA"/>
    </w:rPr>
  </w:style>
  <w:style w:type="paragraph" w:styleId="1172">
    <w:name w:val="正文文本_0"/>
    <w:basedOn w:val="1065"/>
    <w:next w:val="1173"/>
    <w:link w:val="783"/>
    <w:qFormat/>
    <w:pPr>
      <w:spacing w:line="60" w:lineRule="auto"/>
    </w:pPr>
    <w:rPr>
      <w:rFonts w:ascii="仿宋_GB2312" w:eastAsia="仿宋_GB2312"/>
      <w:sz w:val="32"/>
    </w:rPr>
  </w:style>
  <w:style w:type="paragraph" w:styleId="1173">
    <w:name w:val="正文缩进_1"/>
    <w:basedOn w:val="1065"/>
    <w:next w:val="1065"/>
    <w:link w:val="783"/>
    <w:qFormat/>
    <w:pPr>
      <w:ind w:firstLine="420"/>
    </w:pPr>
    <w:rPr>
      <w:rFonts w:ascii="宋体"/>
      <w:color w:val="000000"/>
      <w:sz w:val="24"/>
      <w:szCs w:val="20"/>
    </w:rPr>
  </w:style>
  <w:style w:type="paragraph" w:styleId="1174">
    <w:name w:val="Table Paragraph"/>
    <w:basedOn w:val="882"/>
    <w:next w:val="1174"/>
    <w:link w:val="783"/>
    <w:uiPriority w:val="1"/>
    <w:qFormat/>
    <w:rPr>
      <w:rFonts w:ascii="宋体" w:hAnsi="宋体" w:cs="宋体"/>
      <w:sz w:val="22"/>
      <w:lang w:val="zh-CN" w:bidi="zh-CN"/>
    </w:rPr>
  </w:style>
  <w:style w:type="paragraph" w:styleId="1175">
    <w:name w:val="Normal_19_2"/>
    <w:basedOn w:val="1176"/>
    <w:next w:val="1175"/>
    <w:link w:val="783"/>
    <w:qFormat/>
    <w:rPr>
      <w:rFonts w:ascii="Times New Roman" w:hAnsi="Times New Roman"/>
      <w:szCs w:val="21"/>
    </w:rPr>
  </w:style>
  <w:style w:type="paragraph" w:styleId="1176">
    <w:name w:val="正文_3_0"/>
    <w:next w:val="1176"/>
    <w:link w:val="783"/>
    <w:qFormat/>
    <w:pPr>
      <w:jc w:val="both"/>
      <w:widowControl w:val="off"/>
    </w:pPr>
    <w:rPr>
      <w:rFonts w:ascii="Calibri" w:hAnsi="Calibri"/>
      <w:sz w:val="21"/>
      <w:szCs w:val="22"/>
      <w:lang w:val="en-US" w:eastAsia="zh-CN" w:bidi="ar-SA"/>
    </w:rPr>
  </w:style>
  <w:style w:type="paragraph" w:styleId="1177">
    <w:name w:val="正文文本2"/>
    <w:basedOn w:val="925"/>
    <w:next w:val="1177"/>
    <w:link w:val="783"/>
    <w:qFormat/>
    <w:pPr>
      <w:spacing w:line="60" w:lineRule="auto"/>
    </w:pPr>
    <w:rPr>
      <w:rFonts w:ascii="仿宋_GB2312" w:eastAsia="仿宋_GB2312"/>
      <w:sz w:val="32"/>
      <w:szCs w:val="22"/>
    </w:rPr>
  </w:style>
  <w:style w:type="paragraph" w:styleId="1178">
    <w:name w:val="正文1_0"/>
    <w:basedOn w:val="1154"/>
    <w:next w:val="1178"/>
    <w:link w:val="783"/>
    <w:qFormat/>
    <w:pPr>
      <w:ind w:left="357" w:firstLine="420"/>
      <w:jc w:val="left"/>
      <w:spacing w:line="360" w:lineRule="auto"/>
      <w:widowControl/>
    </w:pPr>
    <w:rPr>
      <w:rFonts w:cs="Arial"/>
      <w:szCs w:val="20"/>
    </w:rPr>
  </w:style>
  <w:style w:type="paragraph" w:styleId="1179">
    <w:name w:val="Normal_19_2_0"/>
    <w:basedOn w:val="1180"/>
    <w:next w:val="1179"/>
    <w:link w:val="783"/>
    <w:qFormat/>
    <w:rPr>
      <w:rFonts w:ascii="Times New Roman" w:hAnsi="Times New Roman"/>
      <w:szCs w:val="21"/>
    </w:rPr>
  </w:style>
  <w:style w:type="paragraph" w:styleId="1180">
    <w:name w:val="正文_3_1"/>
    <w:next w:val="1180"/>
    <w:link w:val="783"/>
    <w:qFormat/>
    <w:pPr>
      <w:jc w:val="both"/>
      <w:widowControl w:val="off"/>
    </w:pPr>
    <w:rPr>
      <w:rFonts w:ascii="Calibri" w:hAnsi="Calibri"/>
      <w:sz w:val="21"/>
      <w:szCs w:val="22"/>
      <w:lang w:val="en-US" w:eastAsia="zh-CN" w:bidi="ar-SA"/>
    </w:rPr>
  </w:style>
  <w:style w:type="paragraph" w:styleId="1181">
    <w:name w:val="正文缩进1"/>
    <w:basedOn w:val="783"/>
    <w:next w:val="1181"/>
    <w:link w:val="783"/>
    <w:qFormat/>
    <w:pPr>
      <w:ind w:firstLine="420"/>
      <w:jc w:val="left"/>
    </w:pPr>
    <w:rPr>
      <w:rFonts w:ascii="宋体" w:hAnsi="Calibri" w:eastAsia="宋体" w:cs="Times New Roman"/>
      <w:sz w:val="24"/>
    </w:rPr>
  </w:style>
  <w:style w:type="paragraph" w:styleId="1182">
    <w:name w:val="纯文本1"/>
    <w:basedOn w:val="926"/>
    <w:next w:val="1182"/>
    <w:link w:val="783"/>
    <w:qFormat/>
    <w:rPr>
      <w:rFonts w:ascii="宋体" w:hAnsi="Courier New" w:eastAsia="宋体" w:cs="Times New Roman"/>
    </w:rPr>
  </w:style>
  <w:style w:type="paragraph" w:styleId="1183">
    <w:name w:val="Normal_21_0"/>
    <w:next w:val="1184"/>
    <w:link w:val="783"/>
    <w:qFormat/>
    <w:pPr>
      <w:jc w:val="both"/>
      <w:widowControl w:val="off"/>
    </w:pPr>
    <w:rPr>
      <w:sz w:val="21"/>
      <w:szCs w:val="24"/>
      <w:lang w:val="en-US" w:eastAsia="zh-CN" w:bidi="ar-SA"/>
    </w:rPr>
  </w:style>
  <w:style w:type="paragraph" w:styleId="1184">
    <w:name w:val="Heading 1_0"/>
    <w:basedOn w:val="1183"/>
    <w:next w:val="1183"/>
    <w:link w:val="783"/>
    <w:qFormat/>
    <w:pPr>
      <w:jc w:val="center"/>
      <w:keepLines/>
      <w:keepNext/>
      <w:spacing w:before="240" w:after="120" w:line="300" w:lineRule="auto"/>
      <w:outlineLvl w:val="0"/>
    </w:pPr>
    <w:rPr>
      <w:rFonts w:ascii="宋体"/>
      <w:b/>
      <w:sz w:val="32"/>
      <w:szCs w:val="20"/>
    </w:rPr>
  </w:style>
  <w:style w:type="paragraph" w:styleId="1185">
    <w:name w:val="正文_12_0_0_0_0"/>
    <w:next w:val="1185"/>
    <w:link w:val="783"/>
    <w:qFormat/>
    <w:pPr>
      <w:jc w:val="both"/>
      <w:widowControl w:val="off"/>
    </w:pPr>
    <w:rPr>
      <w:sz w:val="21"/>
      <w:szCs w:val="24"/>
      <w:lang w:val="en-US" w:eastAsia="zh-CN" w:bidi="ar-SA"/>
    </w:rPr>
  </w:style>
  <w:style w:type="character" w:styleId="1186">
    <w:name w:val="正文文本 字符"/>
    <w:next w:val="1186"/>
    <w:link w:val="783"/>
    <w:qFormat/>
    <w:rPr>
      <w:rFonts w:ascii="楷体_GB2312" w:hAnsi="Arial" w:eastAsia="楷体_GB2312" w:cs="Times New Roman"/>
      <w:sz w:val="28"/>
      <w:szCs w:val="28"/>
    </w:rPr>
  </w:style>
  <w:style w:type="character" w:styleId="1187">
    <w:name w:val="正文文本缩进 字符"/>
    <w:next w:val="1187"/>
    <w:link w:val="783"/>
    <w:qFormat/>
    <w:rPr>
      <w:rFonts w:ascii="楷体_GB2312" w:hAnsi="Times New Roman" w:eastAsia="楷体_GB2312" w:cs="Times New Roman"/>
      <w:sz w:val="32"/>
      <w:szCs w:val="32"/>
    </w:rPr>
  </w:style>
  <w:style w:type="character" w:styleId="1188">
    <w:name w:val="正文文本 字符1"/>
    <w:next w:val="1188"/>
    <w:link w:val="783"/>
    <w:qFormat/>
    <w:rPr>
      <w:rFonts w:ascii="Calibri" w:hAnsi="Calibri"/>
      <w:sz w:val="28"/>
      <w:szCs w:val="24"/>
    </w:rPr>
  </w:style>
  <w:style w:type="character" w:styleId="1189">
    <w:name w:val="正文文本首行缩进 字符"/>
    <w:next w:val="1189"/>
    <w:link w:val="783"/>
    <w:qFormat/>
    <w:rPr>
      <w:rFonts w:ascii="仿宋_GB2312" w:hAnsi="Calibri" w:eastAsia="仿宋_GB2312"/>
      <w:sz w:val="30"/>
      <w:szCs w:val="30"/>
    </w:rPr>
  </w:style>
  <w:style w:type="paragraph" w:styleId="1190">
    <w:name w:val="索引 41"/>
    <w:basedOn w:val="783"/>
    <w:next w:val="783"/>
    <w:link w:val="783"/>
    <w:semiHidden/>
    <w:qFormat/>
    <w:pPr>
      <w:ind w:left="1260"/>
    </w:pPr>
    <w:rPr>
      <w:rFonts w:eastAsia="Calibri" w:cs="宋体"/>
      <w:sz w:val="20"/>
      <w:szCs w:val="21"/>
      <w:lang w:val="zh-CN"/>
    </w:rPr>
  </w:style>
  <w:style w:type="character" w:styleId="1191">
    <w:name w:val="font5 Char"/>
    <w:next w:val="1191"/>
    <w:link w:val="783"/>
    <w:qFormat/>
    <w:rPr>
      <w:rFonts w:ascii="宋体" w:hAnsi="宋体" w:eastAsia="宋体"/>
      <w:sz w:val="28"/>
      <w:szCs w:val="28"/>
      <w:lang w:val="en-US" w:eastAsia="zh-CN" w:bidi="ar-SA"/>
    </w:rPr>
  </w:style>
  <w:style w:type="character" w:styleId="1192">
    <w:name w:val="二级目录 Char"/>
    <w:next w:val="1192"/>
    <w:link w:val="1193"/>
    <w:qFormat/>
    <w:rPr>
      <w:b/>
      <w:sz w:val="30"/>
      <w:szCs w:val="28"/>
    </w:rPr>
  </w:style>
  <w:style w:type="paragraph" w:styleId="1193">
    <w:name w:val="二级目录"/>
    <w:next w:val="783"/>
    <w:link w:val="1192"/>
    <w:qFormat/>
    <w:pPr>
      <w:numPr>
        <w:ilvl w:val="0"/>
        <w:numId w:val="1"/>
      </w:numPr>
      <w:tabs>
        <w:tab w:val="left" w:pos="907" w:leader="none"/>
        <w:tab w:val="left" w:pos="1145" w:leader="none"/>
      </w:tabs>
      <w:outlineLvl w:val="1"/>
    </w:pPr>
    <w:rPr>
      <w:b/>
      <w:sz w:val="30"/>
      <w:szCs w:val="28"/>
      <w:lang w:val="en-US" w:eastAsia="zh-CN" w:bidi="ar-SA"/>
    </w:rPr>
  </w:style>
  <w:style w:type="character" w:styleId="1194">
    <w:name w:val="列出段落 Char"/>
    <w:next w:val="1194"/>
    <w:link w:val="1195"/>
    <w:qFormat/>
    <w:rPr>
      <w:rFonts w:ascii="Calibri" w:hAnsi="Calibri"/>
      <w:sz w:val="24"/>
      <w:szCs w:val="24"/>
      <w:lang w:eastAsia="en-US" w:bidi="en-US"/>
    </w:rPr>
  </w:style>
  <w:style w:type="paragraph" w:styleId="1195">
    <w:name w:val="列出段落1"/>
    <w:basedOn w:val="783"/>
    <w:next w:val="1195"/>
    <w:link w:val="1194"/>
    <w:qFormat/>
    <w:pPr>
      <w:contextualSpacing/>
      <w:ind w:left="720"/>
      <w:jc w:val="left"/>
      <w:widowControl/>
    </w:pPr>
    <w:rPr>
      <w:sz w:val="24"/>
      <w:szCs w:val="24"/>
      <w:lang w:eastAsia="en-US" w:bidi="en-US"/>
    </w:rPr>
  </w:style>
  <w:style w:type="paragraph" w:styleId="1196">
    <w:name w:val="Body Text(ch)"/>
    <w:basedOn w:val="783"/>
    <w:next w:val="1196"/>
    <w:link w:val="783"/>
    <w:qFormat/>
    <w:pPr>
      <w:spacing w:after="120"/>
    </w:pPr>
    <w:rPr>
      <w:rFonts w:ascii="宋体" w:hAnsi="Arial"/>
      <w:bCs/>
      <w:iCs/>
      <w:szCs w:val="24"/>
    </w:rPr>
  </w:style>
  <w:style w:type="paragraph" w:styleId="1197">
    <w:name w:val="xl27"/>
    <w:basedOn w:val="783"/>
    <w:next w:val="1197"/>
    <w:link w:val="78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8">
    <w:name w:val="xl26"/>
    <w:basedOn w:val="783"/>
    <w:next w:val="1198"/>
    <w:link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9">
    <w:name w:val="Char"/>
    <w:basedOn w:val="783"/>
    <w:next w:val="1199"/>
    <w:link w:val="783"/>
    <w:qFormat/>
    <w:pPr>
      <w:ind w:firstLine="200"/>
      <w:tabs>
        <w:tab w:val="left" w:pos="360" w:leader="none"/>
      </w:tabs>
    </w:pPr>
    <w:rPr>
      <w:rFonts w:ascii="Times New Roman" w:hAnsi="Times New Roman"/>
      <w:sz w:val="28"/>
      <w:szCs w:val="30"/>
    </w:rPr>
  </w:style>
  <w:style w:type="paragraph" w:styleId="1200">
    <w:name w:val="Char1"/>
    <w:basedOn w:val="815"/>
    <w:next w:val="1200"/>
    <w:link w:val="783"/>
    <w:qFormat/>
    <w:rPr>
      <w:rFonts w:ascii="Tahoma" w:hAnsi="Tahoma"/>
      <w:sz w:val="24"/>
      <w:szCs w:val="24"/>
    </w:rPr>
  </w:style>
  <w:style w:type="paragraph" w:styleId="1201">
    <w:name w:val="table_lines"/>
    <w:basedOn w:val="783"/>
    <w:next w:val="1201"/>
    <w:link w:val="783"/>
    <w:qFormat/>
    <w:pPr>
      <w:jc w:val="left"/>
      <w:widowControl/>
    </w:pPr>
    <w:rPr>
      <w:rFonts w:ascii="Times New Roman" w:hAnsi="Times New Roman"/>
      <w:sz w:val="20"/>
      <w:szCs w:val="20"/>
      <w:lang w:val="de-DE" w:eastAsia="de-DE"/>
    </w:rPr>
  </w:style>
  <w:style w:type="paragraph" w:styleId="1202">
    <w:name w:val="附录1"/>
    <w:next w:val="1202"/>
    <w:link w:val="783"/>
    <w:qFormat/>
    <w:pPr>
      <w:spacing w:before="240" w:line="600" w:lineRule="atLeast"/>
      <w:tabs>
        <w:tab w:val="left" w:pos="907" w:leader="none"/>
      </w:tabs>
    </w:pPr>
    <w:rPr>
      <w:b/>
      <w:i/>
      <w:sz w:val="28"/>
      <w:lang w:val="en-US" w:eastAsia="zh-CN" w:bidi="ar-SA"/>
    </w:rPr>
  </w:style>
  <w:style w:type="paragraph" w:styleId="1203">
    <w:name w:val="font7"/>
    <w:basedOn w:val="783"/>
    <w:next w:val="1203"/>
    <w:link w:val="783"/>
    <w:qFormat/>
    <w:pPr>
      <w:jc w:val="left"/>
      <w:spacing w:before="100" w:beforeAutospacing="1" w:after="100" w:afterAutospacing="1"/>
      <w:widowControl/>
    </w:pPr>
    <w:rPr>
      <w:rFonts w:hint="eastAsia" w:ascii="宋体" w:hAnsi="宋体"/>
      <w:sz w:val="18"/>
      <w:szCs w:val="18"/>
    </w:rPr>
  </w:style>
  <w:style w:type="paragraph" w:styleId="1204">
    <w:name w:val="Char Char Char Char"/>
    <w:basedOn w:val="815"/>
    <w:next w:val="1204"/>
    <w:link w:val="783"/>
    <w:qFormat/>
    <w:pPr>
      <w:spacing w:line="360" w:lineRule="auto"/>
    </w:pPr>
    <w:rPr>
      <w:rFonts w:ascii="Tahoma" w:hAnsi="Tahoma"/>
      <w:sz w:val="24"/>
      <w:szCs w:val="24"/>
    </w:rPr>
  </w:style>
  <w:style w:type="paragraph" w:styleId="1205">
    <w:name w:val="4"/>
    <w:basedOn w:val="783"/>
    <w:next w:val="848"/>
    <w:link w:val="783"/>
    <w:qFormat/>
    <w:pPr>
      <w:ind w:firstLine="420"/>
      <w:spacing w:line="360" w:lineRule="auto"/>
    </w:pPr>
    <w:rPr>
      <w:rFonts w:ascii="Times New Roman" w:hAnsi="Times New Roman"/>
      <w:color w:val="ff0000"/>
      <w:sz w:val="24"/>
      <w:szCs w:val="24"/>
    </w:rPr>
  </w:style>
  <w:style w:type="paragraph" w:styleId="1206">
    <w:name w:val="普通 (Web)"/>
    <w:basedOn w:val="783"/>
    <w:next w:val="1206"/>
    <w:link w:val="783"/>
    <w:qFormat/>
    <w:pPr>
      <w:jc w:val="left"/>
      <w:spacing w:before="100" w:beforeAutospacing="1" w:after="100" w:afterAutospacing="1"/>
      <w:widowControl/>
    </w:pPr>
    <w:rPr>
      <w:rFonts w:ascii="宋体" w:hAnsi="宋体"/>
      <w:sz w:val="24"/>
      <w:szCs w:val="24"/>
    </w:rPr>
  </w:style>
  <w:style w:type="paragraph" w:styleId="1207">
    <w:name w:val="Char Char Char Char Char Char Char Char Char Char"/>
    <w:basedOn w:val="783"/>
    <w:next w:val="1207"/>
    <w:link w:val="783"/>
    <w:qFormat/>
    <w:pPr>
      <w:spacing w:line="360" w:lineRule="auto"/>
    </w:pPr>
    <w:rPr>
      <w:rFonts w:ascii="Times New Roman" w:hAnsi="Times New Roman"/>
      <w:sz w:val="24"/>
      <w:szCs w:val="20"/>
    </w:rPr>
  </w:style>
  <w:style w:type="paragraph" w:styleId="1208">
    <w:name w:val="样式1"/>
    <w:basedOn w:val="783"/>
    <w:next w:val="1208"/>
    <w:link w:val="783"/>
    <w:qFormat/>
    <w:pPr>
      <w:numPr>
        <w:ilvl w:val="0"/>
        <w:numId w:val="2"/>
      </w:numPr>
      <w:tabs>
        <w:tab w:val="left" w:pos="709" w:leader="none"/>
      </w:tabs>
    </w:pPr>
    <w:rPr>
      <w:rFonts w:ascii="宋体" w:hAnsi="宋体"/>
      <w:szCs w:val="21"/>
    </w:rPr>
  </w:style>
  <w:style w:type="paragraph" w:styleId="1209">
    <w:name w:val="font6"/>
    <w:basedOn w:val="783"/>
    <w:next w:val="1209"/>
    <w:link w:val="783"/>
    <w:qFormat/>
    <w:pPr>
      <w:jc w:val="left"/>
      <w:spacing w:before="100" w:beforeAutospacing="1" w:after="100" w:afterAutospacing="1"/>
      <w:widowControl/>
    </w:pPr>
    <w:rPr>
      <w:rFonts w:hint="eastAsia" w:ascii="宋体" w:hAnsi="宋体"/>
      <w:sz w:val="28"/>
      <w:szCs w:val="28"/>
      <w:u w:val="single"/>
    </w:rPr>
  </w:style>
  <w:style w:type="paragraph" w:styleId="1210">
    <w:name w:val="xl25"/>
    <w:basedOn w:val="783"/>
    <w:next w:val="1210"/>
    <w:link w:val="78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1">
    <w:name w:val="图标"/>
    <w:basedOn w:val="783"/>
    <w:next w:val="783"/>
    <w:link w:val="783"/>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2">
    <w:name w:val="标题3"/>
    <w:basedOn w:val="783"/>
    <w:next w:val="783"/>
    <w:link w:val="783"/>
    <w:qFormat/>
    <w:pPr>
      <w:ind w:firstLine="624"/>
      <w:spacing w:line="590" w:lineRule="atLeast"/>
    </w:pPr>
    <w:rPr>
      <w:rFonts w:ascii="方正黑体_GBK" w:hAnsi="Times New Roman" w:eastAsia="方正黑体_GBK"/>
      <w:sz w:val="32"/>
      <w:szCs w:val="32"/>
    </w:rPr>
  </w:style>
  <w:style w:type="paragraph" w:styleId="1213">
    <w:name w:val="xl24"/>
    <w:basedOn w:val="783"/>
    <w:next w:val="1213"/>
    <w:link w:val="78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4">
    <w:name w:val="xl29"/>
    <w:basedOn w:val="783"/>
    <w:next w:val="1214"/>
    <w:link w:val="78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5">
    <w:name w:val="Char Char Char Char Char Char Char Char"/>
    <w:basedOn w:val="783"/>
    <w:next w:val="1215"/>
    <w:link w:val="783"/>
    <w:qFormat/>
    <w:pPr>
      <w:jc w:val="left"/>
      <w:spacing w:after="160" w:line="240" w:lineRule="exact"/>
      <w:widowControl/>
    </w:pPr>
    <w:rPr>
      <w:rFonts w:ascii="Verdana" w:hAnsi="Verdana"/>
      <w:sz w:val="20"/>
      <w:szCs w:val="20"/>
      <w:lang w:eastAsia="en-US"/>
    </w:rPr>
  </w:style>
  <w:style w:type="paragraph" w:styleId="1216">
    <w:name w:val="xl28"/>
    <w:basedOn w:val="783"/>
    <w:next w:val="1216"/>
    <w:link w:val="78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7">
    <w:name w:val="Char Char Char Char Char Char Char Char1"/>
    <w:basedOn w:val="783"/>
    <w:next w:val="1217"/>
    <w:link w:val="783"/>
    <w:qFormat/>
    <w:pPr>
      <w:jc w:val="left"/>
      <w:spacing w:after="160" w:line="240" w:lineRule="exact"/>
      <w:widowControl/>
    </w:pPr>
    <w:rPr>
      <w:rFonts w:ascii="Verdana" w:hAnsi="Verdana"/>
      <w:sz w:val="20"/>
      <w:szCs w:val="20"/>
      <w:lang w:eastAsia="en-US"/>
    </w:rPr>
  </w:style>
  <w:style w:type="paragraph" w:styleId="1218">
    <w:name w:val="xl30"/>
    <w:basedOn w:val="783"/>
    <w:next w:val="1218"/>
    <w:link w:val="783"/>
    <w:qFormat/>
    <w:pPr>
      <w:jc w:val="center"/>
      <w:spacing w:before="100" w:beforeAutospacing="1" w:after="100" w:afterAutospacing="1"/>
      <w:widowControl/>
    </w:pPr>
    <w:rPr>
      <w:rFonts w:ascii="宋体" w:hAnsi="宋体"/>
      <w:b/>
      <w:bCs/>
      <w:sz w:val="36"/>
      <w:szCs w:val="36"/>
    </w:rPr>
  </w:style>
  <w:style w:type="paragraph" w:styleId="1219">
    <w:name w:val="Char Char Char Char1"/>
    <w:basedOn w:val="815"/>
    <w:next w:val="1219"/>
    <w:link w:val="783"/>
    <w:qFormat/>
    <w:pPr>
      <w:spacing w:line="360" w:lineRule="auto"/>
    </w:pPr>
    <w:rPr>
      <w:rFonts w:ascii="Tahoma" w:hAnsi="Tahoma"/>
      <w:sz w:val="24"/>
      <w:szCs w:val="24"/>
    </w:rPr>
  </w:style>
  <w:style w:type="paragraph" w:styleId="1220">
    <w:name w:val="table_1stline"/>
    <w:basedOn w:val="783"/>
    <w:next w:val="1220"/>
    <w:link w:val="783"/>
    <w:qFormat/>
    <w:pPr>
      <w:jc w:val="left"/>
      <w:spacing w:before="120"/>
      <w:widowControl/>
    </w:pPr>
    <w:rPr>
      <w:rFonts w:ascii="Times New Roman" w:hAnsi="Times New Roman"/>
      <w:bCs/>
      <w:sz w:val="20"/>
      <w:szCs w:val="20"/>
      <w:lang w:val="de-DE" w:eastAsia="de-DE"/>
    </w:rPr>
  </w:style>
  <w:style w:type="paragraph" w:styleId="1221">
    <w:name w:val="font5"/>
    <w:basedOn w:val="783"/>
    <w:next w:val="1221"/>
    <w:link w:val="783"/>
    <w:qFormat/>
    <w:pPr>
      <w:jc w:val="left"/>
      <w:spacing w:before="100" w:beforeAutospacing="1" w:after="100" w:afterAutospacing="1"/>
      <w:widowControl/>
    </w:pPr>
    <w:rPr>
      <w:rFonts w:hint="eastAsia" w:ascii="宋体" w:hAnsi="宋体"/>
      <w:sz w:val="28"/>
      <w:szCs w:val="28"/>
    </w:rPr>
  </w:style>
  <w:style w:type="paragraph" w:styleId="1222">
    <w:name w:val="标题1"/>
    <w:basedOn w:val="783"/>
    <w:next w:val="783"/>
    <w:link w:val="783"/>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3">
    <w:name w:val="修订1"/>
    <w:next w:val="1223"/>
    <w:link w:val="783"/>
    <w:uiPriority w:val="99"/>
    <w:semiHidden/>
    <w:qFormat/>
    <w:rPr>
      <w:sz w:val="21"/>
      <w:szCs w:val="21"/>
      <w:lang w:val="en-US" w:eastAsia="zh-CN" w:bidi="ar-SA"/>
    </w:rPr>
  </w:style>
  <w:style w:type="table" w:styleId="1224">
    <w:name w:val="Table Normal"/>
    <w:next w:val="1224"/>
    <w:link w:val="783"/>
    <w:qFormat/>
    <w:rPr>
      <w:lang w:val="en-US" w:eastAsia="zh-CN" w:bidi="ar-SA"/>
    </w:rPr>
    <w:tblPr/>
  </w:style>
  <w:style w:type="paragraph" w:styleId="1225">
    <w:name w:val="正文文本12"/>
    <w:basedOn w:val="783"/>
    <w:next w:val="1225"/>
    <w:link w:val="783"/>
    <w:uiPriority w:val="1"/>
    <w:qFormat/>
    <w:pPr>
      <w:ind w:left="120"/>
    </w:pPr>
    <w:rPr>
      <w:rFonts w:ascii="宋体" w:hAnsi="宋体" w:cs="宋体"/>
      <w:szCs w:val="21"/>
      <w:lang w:val="zh-CN" w:bidi="zh-CN"/>
    </w:rPr>
  </w:style>
  <w:style w:type="paragraph" w:styleId="1226">
    <w:name w:val="首行缩进"/>
    <w:basedOn w:val="783"/>
    <w:next w:val="1226"/>
    <w:link w:val="783"/>
    <w:qFormat/>
    <w:pPr>
      <w:ind w:firstLine="480"/>
    </w:pPr>
    <w:rPr>
      <w:rFonts w:ascii="Times New Roman" w:hAnsi="Times New Roman"/>
      <w:szCs w:val="21"/>
      <w:lang w:val="zh-CN"/>
    </w:rPr>
  </w:style>
  <w:style w:type="paragraph" w:styleId="1227">
    <w:name w:val="部分1"/>
    <w:basedOn w:val="783"/>
    <w:next w:val="1227"/>
    <w:link w:val="783"/>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8">
    <w:name w:val="15"/>
    <w:next w:val="1228"/>
    <w:link w:val="783"/>
    <w:qFormat/>
    <w:rPr>
      <w:rFonts w:ascii="Times New Roman" w:hAnsi="Times New Roman" w:cs="Times New Roman"/>
    </w:rPr>
  </w:style>
  <w:style w:type="paragraph" w:styleId="1229">
    <w:name w:val="正文文本缩进 2_0"/>
    <w:basedOn w:val="1065"/>
    <w:next w:val="1229"/>
    <w:link w:val="783"/>
    <w:qFormat/>
    <w:pPr>
      <w:ind w:firstLine="720"/>
      <w:jc w:val="left"/>
      <w:spacing w:line="540" w:lineRule="exact"/>
    </w:pPr>
    <w:rPr>
      <w:rFonts w:ascii="仿宋_GB2312" w:hAnsi="仿宋_GB2312" w:cs="宋体"/>
      <w:sz w:val="32"/>
      <w:szCs w:val="32"/>
    </w:rPr>
  </w:style>
  <w:style w:type="character" w:styleId="1230">
    <w:name w:val="10"/>
    <w:next w:val="1230"/>
    <w:link w:val="783"/>
    <w:qFormat/>
    <w:rPr>
      <w:rFonts w:ascii="Times New Roman" w:hAnsi="Times New Roman" w:cs="Times New Roman"/>
    </w:rPr>
  </w:style>
  <w:style w:type="paragraph" w:styleId="1231">
    <w:name w:val="正文_16_1"/>
    <w:basedOn w:val="783"/>
    <w:next w:val="1231"/>
    <w:link w:val="783"/>
    <w:qFormat/>
    <w:rPr>
      <w:rFonts w:ascii="Times New Roman" w:hAnsi="Times New Roman"/>
      <w:szCs w:val="21"/>
    </w:rPr>
  </w:style>
  <w:style w:type="paragraph" w:styleId="1232">
    <w:name w:val="页脚1"/>
    <w:basedOn w:val="783"/>
    <w:next w:val="1232"/>
    <w:link w:val="783"/>
    <w:qFormat/>
    <w:pPr>
      <w:jc w:val="left"/>
      <w:tabs>
        <w:tab w:val="center" w:pos="4153" w:leader="none"/>
        <w:tab w:val="right" w:pos="8306" w:leader="none"/>
      </w:tabs>
    </w:pPr>
    <w:rPr>
      <w:sz w:val="18"/>
      <w:szCs w:val="18"/>
    </w:rPr>
  </w:style>
  <w:style w:type="character" w:styleId="1233">
    <w:name w:val="页码1"/>
    <w:next w:val="1233"/>
    <w:link w:val="783"/>
    <w:qFormat/>
  </w:style>
  <w:style w:type="paragraph" w:styleId="1234">
    <w:name w:val="*正文"/>
    <w:basedOn w:val="800"/>
    <w:next w:val="1234"/>
    <w:link w:val="783"/>
    <w:qFormat/>
    <w:pPr>
      <w:ind w:firstLine="200"/>
    </w:pPr>
    <w:rPr>
      <w:rFonts w:ascii="宋体" w:hAnsi="宋体"/>
      <w:color w:val="000000"/>
      <w:sz w:val="24"/>
      <w:szCs w:val="24"/>
    </w:rPr>
  </w:style>
  <w:style w:type="paragraph" w:styleId="1235">
    <w:name w:val="*正文_0"/>
    <w:basedOn w:val="1236"/>
    <w:next w:val="1235"/>
    <w:link w:val="783"/>
    <w:qFormat/>
    <w:pPr>
      <w:ind w:firstLine="200"/>
      <w:spacing w:line="360" w:lineRule="auto"/>
    </w:pPr>
    <w:rPr>
      <w:rFonts w:ascii="宋体" w:hAnsi="宋体" w:eastAsia="Arial" w:cs="Arial"/>
      <w:color w:val="000000"/>
      <w:sz w:val="24"/>
    </w:rPr>
  </w:style>
  <w:style w:type="paragraph" w:styleId="1236">
    <w:name w:val="正文缩进_2"/>
    <w:basedOn w:val="1088"/>
    <w:next w:val="1236"/>
    <w:link w:val="783"/>
    <w:unhideWhenUsed/>
    <w:qFormat/>
    <w:pPr>
      <w:ind w:firstLine="420"/>
      <w:jc w:val="left"/>
      <w:widowControl/>
    </w:pPr>
    <w:rPr>
      <w:rFonts w:ascii="Times New Roman" w:hAnsi="Times New Roman"/>
      <w:sz w:val="20"/>
      <w:szCs w:val="24"/>
    </w:rPr>
  </w:style>
  <w:style w:type="paragraph" w:styleId="1237">
    <w:name w:val="*正文_0_0"/>
    <w:basedOn w:val="1088"/>
    <w:next w:val="1237"/>
    <w:link w:val="783"/>
    <w:qFormat/>
    <w:pPr>
      <w:ind w:firstLine="200"/>
      <w:jc w:val="left"/>
      <w:spacing w:line="360" w:lineRule="auto"/>
      <w:widowControl/>
    </w:pPr>
    <w:rPr>
      <w:rFonts w:ascii="宋体" w:hAnsi="宋体" w:eastAsia="Arial" w:cs="Arial"/>
      <w:color w:val="000000"/>
      <w:sz w:val="24"/>
      <w:szCs w:val="24"/>
    </w:rPr>
  </w:style>
  <w:style w:type="paragraph" w:styleId="1238">
    <w:name w:val="无间隔1_0_0"/>
    <w:basedOn w:val="1088"/>
    <w:next w:val="1238"/>
    <w:link w:val="783"/>
    <w:qFormat/>
    <w:rPr>
      <w:rFonts w:ascii="Times New Roman" w:hAnsi="Times New Roman"/>
      <w:szCs w:val="21"/>
    </w:rPr>
  </w:style>
  <w:style w:type="paragraph" w:styleId="1239">
    <w:name w:val="正文_0_2"/>
    <w:next w:val="1239"/>
    <w:link w:val="783"/>
    <w:qFormat/>
    <w:pPr>
      <w:jc w:val="both"/>
      <w:widowControl w:val="off"/>
    </w:pPr>
    <w:rPr>
      <w:szCs w:val="24"/>
      <w:lang w:val="en-US" w:eastAsia="zh-CN" w:bidi="ar-SA"/>
    </w:rPr>
  </w:style>
  <w:style w:type="paragraph" w:styleId="1240">
    <w:name w:val="标题 4_0"/>
    <w:basedOn w:val="1241"/>
    <w:next w:val="1241"/>
    <w:link w:val="783"/>
    <w:uiPriority w:val="9"/>
    <w:unhideWhenUsed/>
    <w:qFormat/>
    <w:pPr>
      <w:keepLines/>
      <w:keepNext/>
      <w:spacing w:before="280" w:after="290" w:line="372" w:lineRule="auto"/>
      <w:outlineLvl w:val="3"/>
    </w:pPr>
    <w:rPr>
      <w:rFonts w:ascii="Arial" w:hAnsi="Arial" w:eastAsia="黑体"/>
      <w:b/>
      <w:sz w:val="28"/>
    </w:rPr>
  </w:style>
  <w:style w:type="paragraph" w:styleId="1241">
    <w:name w:val="正文4"/>
    <w:next w:val="1241"/>
    <w:link w:val="783"/>
    <w:qFormat/>
    <w:pPr>
      <w:jc w:val="both"/>
      <w:widowControl w:val="off"/>
    </w:pPr>
    <w:rPr>
      <w:rFonts w:ascii="Calibri" w:hAnsi="Calibri"/>
      <w:lang w:val="en-US" w:eastAsia="zh-CN" w:bidi="ar-SA"/>
    </w:rPr>
  </w:style>
  <w:style w:type="paragraph" w:styleId="1242">
    <w:name w:val="正文_3_0_0"/>
    <w:next w:val="1242"/>
    <w:link w:val="783"/>
    <w:qFormat/>
    <w:pPr>
      <w:jc w:val="both"/>
      <w:widowControl w:val="off"/>
    </w:pPr>
    <w:rPr>
      <w:lang w:val="en-US" w:eastAsia="zh-CN" w:bidi="ar-SA"/>
    </w:rPr>
  </w:style>
  <w:style w:type="paragraph" w:styleId="1243">
    <w:name w:val="p17_0_0"/>
    <w:basedOn w:val="1131"/>
    <w:next w:val="1243"/>
    <w:link w:val="783"/>
    <w:qFormat/>
    <w:pPr>
      <w:jc w:val="left"/>
      <w:spacing w:before="100" w:beforeAutospacing="1" w:after="100" w:afterAutospacing="1"/>
      <w:widowControl/>
    </w:pPr>
    <w:rPr>
      <w:rFonts w:ascii="宋体" w:hAnsi="宋体" w:eastAsia="Times New Roman" w:cs="宋体"/>
      <w:sz w:val="24"/>
      <w:szCs w:val="24"/>
    </w:rPr>
  </w:style>
  <w:style w:type="paragraph" w:styleId="1244">
    <w:name w:val="p17_0"/>
    <w:basedOn w:val="804"/>
    <w:next w:val="1244"/>
    <w:link w:val="783"/>
    <w:qFormat/>
    <w:pPr>
      <w:jc w:val="left"/>
      <w:spacing w:before="100" w:beforeAutospacing="1" w:after="100" w:afterAutospacing="1"/>
      <w:widowControl/>
    </w:pPr>
    <w:rPr>
      <w:rFonts w:ascii="宋体" w:hAnsi="宋体" w:eastAsia="Times New Roman" w:cs="宋体"/>
      <w:sz w:val="24"/>
      <w:szCs w:val="24"/>
    </w:rPr>
  </w:style>
  <w:style w:type="paragraph" w:styleId="1245">
    <w:name w:val="普通(网站)11"/>
    <w:basedOn w:val="783"/>
    <w:next w:val="1245"/>
    <w:link w:val="783"/>
    <w:uiPriority w:val="99"/>
    <w:qFormat/>
    <w:rPr>
      <w:sz w:val="24"/>
    </w:rPr>
  </w:style>
  <w:style w:type="paragraph" w:styleId="1246">
    <w:name w:val="AONormal"/>
    <w:next w:val="1246"/>
    <w:link w:val="783"/>
    <w:qFormat/>
    <w:pPr>
      <w:ind w:firstLine="440"/>
      <w:spacing w:line="400" w:lineRule="exact"/>
    </w:pPr>
    <w:rPr>
      <w:rFonts w:ascii="华文楷体" w:hAnsi="华文楷体" w:eastAsia="华文楷体" w:cs="华文楷体"/>
      <w:sz w:val="22"/>
      <w:szCs w:val="21"/>
      <w:lang w:val="en-US" w:eastAsia="zh-CN" w:bidi="ar-SA"/>
    </w:rPr>
  </w:style>
  <w:style w:type="character" w:styleId="1247">
    <w:name w:val="font31"/>
    <w:next w:val="1247"/>
    <w:link w:val="783"/>
    <w:qFormat/>
    <w:rPr>
      <w:rFonts w:hint="eastAsia" w:ascii="宋体" w:hAnsi="宋体" w:eastAsia="宋体" w:cs="宋体"/>
      <w:color w:val="000000"/>
      <w:sz w:val="21"/>
      <w:szCs w:val="21"/>
      <w:u w:val="none"/>
    </w:rPr>
  </w:style>
  <w:style w:type="character" w:styleId="1248">
    <w:name w:val="font101"/>
    <w:next w:val="1248"/>
    <w:link w:val="783"/>
    <w:rPr>
      <w:rFonts w:hint="eastAsia" w:ascii="宋体" w:hAnsi="宋体" w:eastAsia="宋体" w:cs="宋体"/>
      <w:i w:val="0"/>
      <w:iCs w:val="0"/>
      <w:color w:val="000000"/>
      <w:sz w:val="18"/>
      <w:szCs w:val="18"/>
      <w:u w:val="none"/>
    </w:rPr>
  </w:style>
  <w:style w:type="character" w:styleId="1249">
    <w:name w:val="font71"/>
    <w:next w:val="1249"/>
    <w:link w:val="783"/>
    <w:rPr>
      <w:rFonts w:ascii="Arial" w:hAnsi="Arial" w:cs="Arial"/>
      <w:i w:val="0"/>
      <w:iCs w:val="0"/>
      <w:color w:val="000000"/>
      <w:sz w:val="18"/>
      <w:szCs w:val="18"/>
      <w:u w:val="none"/>
    </w:rPr>
  </w:style>
  <w:style w:type="paragraph" w:styleId="1250">
    <w:name w:val="正文_1_1_1"/>
    <w:next w:val="1250"/>
    <w:link w:val="783"/>
    <w:qFormat/>
    <w:pPr>
      <w:jc w:val="both"/>
      <w:spacing w:after="160" w:line="259" w:lineRule="auto"/>
      <w:widowControl w:val="off"/>
    </w:pPr>
    <w:rPr>
      <w:sz w:val="21"/>
      <w:szCs w:val="22"/>
      <w:lang w:val="en-US" w:eastAsia="zh-CN" w:bidi="ar-SA"/>
    </w:rPr>
  </w:style>
  <w:style w:type="paragraph" w:styleId="1251">
    <w:name w:val="正文_2_1"/>
    <w:next w:val="1251"/>
    <w:link w:val="783"/>
    <w:qFormat/>
    <w:pPr>
      <w:jc w:val="both"/>
      <w:spacing w:after="160" w:line="259" w:lineRule="auto"/>
      <w:widowControl w:val="off"/>
    </w:pPr>
    <w:rPr>
      <w:sz w:val="21"/>
      <w:szCs w:val="22"/>
      <w:lang w:val="en-US" w:eastAsia="zh-CN" w:bidi="ar-SA"/>
    </w:rPr>
  </w:style>
  <w:style w:type="paragraph" w:styleId="1252">
    <w:name w:val="正文文本缩进 21"/>
    <w:basedOn w:val="882"/>
    <w:next w:val="1252"/>
    <w:link w:val="783"/>
    <w:qFormat/>
    <w:pPr>
      <w:ind w:firstLine="225"/>
      <w:jc w:val="left"/>
      <w:spacing w:line="540" w:lineRule="exact"/>
    </w:pPr>
    <w:rPr>
      <w:rFonts w:ascii="仿宋_GB2312" w:eastAsia="仿宋_GB2312"/>
      <w:sz w:val="32"/>
    </w:rPr>
  </w:style>
  <w:style w:type="paragraph" w:styleId="1253">
    <w:name w:val="正文_1"/>
    <w:next w:val="1253"/>
    <w:link w:val="783"/>
    <w:qFormat/>
    <w:pPr>
      <w:jc w:val="both"/>
      <w:widowControl w:val="off"/>
    </w:pPr>
    <w:rPr>
      <w:sz w:val="21"/>
      <w:szCs w:val="24"/>
      <w:lang w:val="en-US" w:eastAsia="zh-CN" w:bidi="ar-SA"/>
    </w:rPr>
  </w:style>
  <w:style w:type="character" w:styleId="1254">
    <w:name w:val="font61"/>
    <w:next w:val="1254"/>
    <w:link w:val="783"/>
    <w:rPr>
      <w:rFonts w:ascii="Arial" w:hAnsi="Arial" w:cs="Arial"/>
      <w:i w:val="0"/>
      <w:iCs w:val="0"/>
      <w:color w:val="000000"/>
      <w:sz w:val="18"/>
      <w:szCs w:val="18"/>
      <w:u w:val="none"/>
    </w:rPr>
  </w:style>
  <w:style w:type="character" w:styleId="11724" w:default="1">
    <w:name w:val="Default Paragraph Font"/>
    <w:uiPriority w:val="1"/>
    <w:semiHidden/>
    <w:unhideWhenUsed/>
  </w:style>
  <w:style w:type="numbering" w:styleId="11725" w:default="1">
    <w:name w:val="No List"/>
    <w:uiPriority w:val="99"/>
    <w:semiHidden/>
    <w:unhideWhenUsed/>
  </w:style>
  <w:style w:type="table" w:styleId="117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周辰</cp:lastModifiedBy>
  <cp:revision>9</cp:revision>
  <dcterms:created xsi:type="dcterms:W3CDTF">2023-07-23T13:07:00Z</dcterms:created>
  <dcterms:modified xsi:type="dcterms:W3CDTF">2026-03-30T09:46:15Z</dcterms:modified>
</cp:coreProperties>
</file>