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48"/>
          <w:szCs w:val="48"/>
        </w:rPr>
      </w:pPr>
      <w:r>
        <w:rPr>
          <w:rFonts w:ascii="Arial" w:hAnsi="Arial" w:eastAsia="黑体"/>
          <w:b/>
          <w:bCs/>
          <w:sz w:val="48"/>
          <w:szCs w:val="48"/>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ind w:left="1260" w:firstLine="420"/>
        <w:jc w:val="left"/>
        <w:spacing w:before="120" w:after="120" w:line="360" w:lineRule="auto"/>
        <w:rPr>
          <w:rFonts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南京医科大学电梯采购项目</w:t>
      </w:r>
      <w:r/>
    </w:p>
    <w:p>
      <w:pPr>
        <w:ind w:left="1260" w:firstLine="420"/>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JSZC-320000-SCZX-G2026-0149</w:t>
      </w:r>
      <w:r/>
    </w:p>
    <w:p>
      <w:pPr>
        <w:ind w:left="2800" w:hanging="2800"/>
        <w:rPr>
          <w:b/>
          <w:sz w:val="28"/>
          <w:szCs w:val="28"/>
        </w:rPr>
      </w:pPr>
      <w:r>
        <w:rPr>
          <w:rFonts w:hint="eastAsia"/>
          <w:sz w:val="28"/>
          <w:szCs w:val="28"/>
        </w:rPr>
        <w:t xml:space="preserve">       </w:t>
      </w:r>
      <w:r>
        <w:rPr>
          <w:rFonts w:hint="eastAsia"/>
          <w:b/>
          <w:sz w:val="28"/>
          <w:szCs w:val="28"/>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4</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227167480"/>
      <w:r/>
      <w:bookmarkStart w:id="1" w:name="_Toc120614210"/>
      <w:r/>
      <w:bookmarkStart w:id="2" w:name="_Toc513029200"/>
      <w:r/>
      <w:bookmarkStart w:id="3" w:name="_Toc523127445"/>
      <w:r/>
      <w:bookmarkStart w:id="4" w:name="_Toc479757206"/>
      <w:r/>
      <w:bookmarkStart w:id="5" w:name="_Toc16938516"/>
      <w:r/>
      <w:bookmarkStart w:id="6" w:name="_Toc20823272"/>
      <w:r>
        <w:rPr>
          <w:rFonts w:hint="eastAsia" w:ascii="黑体" w:hAnsi="Arial" w:eastAsia="黑体"/>
          <w:b/>
          <w:sz w:val="44"/>
          <w:szCs w:val="21"/>
        </w:rPr>
        <w:t xml:space="preserve">总  目  录</w:t>
      </w:r>
      <w:bookmarkEnd w:id="0"/>
      <w:r/>
      <w:r/>
    </w:p>
    <w:p>
      <w:pPr>
        <w:spacing w:line="480" w:lineRule="auto"/>
        <w:rPr>
          <w:rFonts w:ascii="仿宋_GB2312" w:hAnsi="Arial" w:eastAsia="仿宋_GB2312"/>
          <w:b/>
          <w:sz w:val="28"/>
        </w:rPr>
      </w:pPr>
      <w:r>
        <w:rPr>
          <w:rFonts w:ascii="仿宋_GB2312" w:hAnsi="Arial" w:eastAsia="仿宋_GB2312"/>
          <w:b/>
          <w:sz w:val="28"/>
        </w:rPr>
      </w:r>
      <w:r/>
    </w:p>
    <w:p>
      <w:pPr>
        <w:pStyle w:val="748"/>
        <w:rPr>
          <w:rFonts w:hint="eastAsia" w:ascii="等线" w:hAnsi="等线" w:eastAsia="等线"/>
          <w:caps w:val="0"/>
          <w:sz w:val="22"/>
        </w:rPr>
      </w:pPr>
      <w:r>
        <w:rPr>
          <w:rFonts w:ascii="等线" w:hAnsi="等线" w:eastAsia="等线"/>
        </w:rPr>
        <w:fldChar w:fldCharType="begin"/>
      </w:r>
      <w:r>
        <w:rPr>
          <w:rFonts w:ascii="等线" w:hAnsi="等线" w:eastAsia="等线"/>
        </w:rPr>
        <w:instrText xml:space="preserve"> TOC \o "1-3" \h \z \u </w:instrText>
      </w:r>
      <w:r>
        <w:rPr>
          <w:rFonts w:ascii="等线" w:hAnsi="等线" w:eastAsia="等线"/>
        </w:rPr>
        <w:fldChar w:fldCharType="separate"/>
      </w:r>
      <w:hyperlink w:tooltip="#_Toc227167480" w:anchor="_Toc227167480" w:history="1">
        <w:r>
          <w:rPr>
            <w:rStyle w:val="876"/>
            <w:rFonts w:hint="eastAsia" w:ascii="黑体" w:hAnsi="Arial" w:eastAsia="黑体"/>
            <w:b/>
            <w:color w:val="000000"/>
          </w:rPr>
          <w:t xml:space="preserve">总  目  录</w:t>
        </w:r>
        <w:r>
          <w:rPr>
            <w:rFonts w:hint="eastAsia"/>
          </w:rPr>
          <w:tab/>
        </w:r>
        <w:r>
          <w:rPr>
            <w:rFonts w:hint="eastAsia"/>
          </w:rPr>
          <w:fldChar w:fldCharType="begin"/>
        </w:r>
        <w:r>
          <w:rPr>
            <w:rFonts w:hint="eastAsia"/>
          </w:rPr>
          <w:instrText xml:space="preserve"> </w:instrText>
        </w:r>
        <w:r>
          <w:instrText xml:space="preserve">PAGEREF _Toc227167480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48"/>
        <w:rPr>
          <w:rFonts w:hint="eastAsia" w:ascii="等线" w:hAnsi="等线" w:eastAsia="等线"/>
          <w:caps w:val="0"/>
          <w:sz w:val="22"/>
        </w:rPr>
      </w:pPr>
      <w:r/>
      <w:hyperlink w:tooltip="#_Toc227167481" w:anchor="_Toc227167481" w:history="1">
        <w:r>
          <w:rPr>
            <w:rStyle w:val="876"/>
            <w:rFonts w:hint="eastAsia"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_Toc227167481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2" w:anchor="_Toc227167482" w:history="1">
        <w:r>
          <w:rPr>
            <w:rStyle w:val="876"/>
            <w:rFonts w:hint="eastAsia"/>
            <w:b/>
            <w:bCs/>
            <w:color w:val="00000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_Toc227167482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3" w:anchor="_Toc227167483" w:history="1">
        <w:r>
          <w:rPr>
            <w:rStyle w:val="876"/>
            <w:rFonts w:hint="eastAsia"/>
            <w:b/>
            <w:bCs/>
            <w:color w:val="00000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_Toc227167483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4" w:anchor="_Toc227167484" w:history="1">
        <w:r>
          <w:rPr>
            <w:rStyle w:val="876"/>
            <w:rFonts w:hint="eastAsia"/>
            <w:b/>
            <w:bCs/>
            <w:color w:val="00000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_Toc227167484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5" w:anchor="_Toc227167485" w:history="1">
        <w:r>
          <w:rPr>
            <w:rStyle w:val="876"/>
            <w:rFonts w:hint="eastAsia"/>
            <w:b/>
            <w:bCs/>
            <w:color w:val="00000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_Toc227167485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6" w:anchor="_Toc227167486" w:history="1">
        <w:r>
          <w:rPr>
            <w:rStyle w:val="876"/>
            <w:rFonts w:hint="eastAsia"/>
            <w:b/>
            <w:bCs/>
            <w:color w:val="000000"/>
          </w:rPr>
          <w:t xml:space="preserve">五、公告期限</w:t>
        </w:r>
        <w:r>
          <w:rPr>
            <w:rFonts w:hint="eastAsia"/>
          </w:rPr>
          <w:tab/>
        </w:r>
        <w:r>
          <w:rPr>
            <w:rFonts w:hint="eastAsia"/>
          </w:rPr>
          <w:fldChar w:fldCharType="begin"/>
        </w:r>
        <w:r>
          <w:rPr>
            <w:rFonts w:hint="eastAsia"/>
          </w:rPr>
          <w:instrText xml:space="preserve"> </w:instrText>
        </w:r>
        <w:r>
          <w:instrText xml:space="preserve">PAGEREF _Toc227167486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7" w:anchor="_Toc227167487" w:history="1">
        <w:r>
          <w:rPr>
            <w:rStyle w:val="876"/>
            <w:rFonts w:hint="eastAsia"/>
            <w:b/>
            <w:bCs/>
            <w:color w:val="00000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_Toc227167487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8" w:anchor="_Toc227167488" w:history="1">
        <w:r>
          <w:rPr>
            <w:rStyle w:val="876"/>
            <w:rFonts w:hint="eastAsia"/>
            <w:b/>
            <w:bCs/>
            <w:color w:val="00000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_Toc227167488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89" w:anchor="_Toc227167489" w:history="1">
        <w:r>
          <w:rPr>
            <w:rStyle w:val="876"/>
            <w:rFonts w:hint="eastAsia"/>
            <w:b/>
            <w:bCs/>
            <w:color w:val="000000"/>
          </w:rPr>
          <w:t xml:space="preserve">八、其他</w:t>
        </w:r>
        <w:r>
          <w:rPr>
            <w:rFonts w:hint="eastAsia"/>
          </w:rPr>
          <w:tab/>
        </w:r>
        <w:r>
          <w:rPr>
            <w:rFonts w:hint="eastAsia"/>
          </w:rPr>
          <w:fldChar w:fldCharType="begin"/>
        </w:r>
        <w:r>
          <w:rPr>
            <w:rFonts w:hint="eastAsia"/>
          </w:rPr>
          <w:instrText xml:space="preserve"> </w:instrText>
        </w:r>
        <w:r>
          <w:instrText xml:space="preserve">PAGEREF _Toc227167489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8"/>
        <w:rPr>
          <w:rFonts w:hint="eastAsia" w:ascii="等线" w:hAnsi="等线" w:eastAsia="等线"/>
          <w:caps w:val="0"/>
          <w:sz w:val="22"/>
        </w:rPr>
      </w:pPr>
      <w:r/>
      <w:hyperlink w:tooltip="#_Toc227167490" w:anchor="_Toc227167490" w:history="1">
        <w:r>
          <w:rPr>
            <w:rStyle w:val="876"/>
            <w:rFonts w:hint="eastAsia"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_Toc227167490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91" w:anchor="_Toc227167491" w:history="1">
        <w:r>
          <w:rPr>
            <w:rStyle w:val="876"/>
            <w:rFonts w:hint="eastAsia"/>
            <w:b/>
            <w:bCs/>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_Toc227167491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92" w:anchor="_Toc227167492" w:history="1">
        <w:r>
          <w:rPr>
            <w:rStyle w:val="876"/>
            <w:rFonts w:hint="eastAsia"/>
            <w:b/>
            <w:bCs/>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_Toc227167492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93" w:anchor="_Toc227167493" w:history="1">
        <w:r>
          <w:rPr>
            <w:rStyle w:val="876"/>
            <w:rFonts w:hint="eastAsia"/>
            <w:b/>
            <w:bCs/>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_Toc227167493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94" w:anchor="_Toc227167494" w:history="1">
        <w:r>
          <w:rPr>
            <w:rStyle w:val="876"/>
            <w:rFonts w:hint="eastAsia"/>
            <w:b/>
            <w:bCs/>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_Toc227167494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95" w:anchor="_Toc227167495" w:history="1">
        <w:r>
          <w:rPr>
            <w:rStyle w:val="876"/>
            <w:rFonts w:hint="eastAsia"/>
            <w:b/>
            <w:bCs/>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_Toc227167495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96" w:anchor="_Toc227167496" w:history="1">
        <w:r>
          <w:rPr>
            <w:rStyle w:val="876"/>
            <w:rFonts w:hint="eastAsia"/>
            <w:b/>
            <w:bCs/>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_Toc227167496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43"/>
        <w:tabs>
          <w:tab w:val="right" w:pos="8302" w:leader="dot"/>
        </w:tabs>
        <w:rPr>
          <w:rFonts w:hint="eastAsia" w:ascii="等线" w:hAnsi="等线" w:eastAsia="等线"/>
          <w:i w:val="0"/>
          <w:iCs w:val="0"/>
          <w:sz w:val="22"/>
        </w:rPr>
      </w:pPr>
      <w:r/>
      <w:hyperlink w:tooltip="#_Toc227167497" w:anchor="_Toc227167497" w:history="1">
        <w:r>
          <w:rPr>
            <w:rStyle w:val="876"/>
            <w:rFonts w:hint="eastAsia"/>
            <w:b/>
            <w:bCs/>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_Toc227167497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48"/>
        <w:rPr>
          <w:rFonts w:hint="eastAsia" w:ascii="等线" w:hAnsi="等线" w:eastAsia="等线"/>
          <w:caps w:val="0"/>
          <w:sz w:val="22"/>
        </w:rPr>
      </w:pPr>
      <w:r/>
      <w:hyperlink w:tooltip="#_Toc227167498" w:anchor="_Toc227167498" w:history="1">
        <w:r>
          <w:rPr>
            <w:rStyle w:val="876"/>
            <w:rFonts w:hint="eastAsia"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_Toc227167498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54"/>
        <w:tabs>
          <w:tab w:val="right" w:pos="8302" w:leader="dot"/>
        </w:tabs>
        <w:rPr>
          <w:rFonts w:hint="eastAsia" w:ascii="等线" w:hAnsi="等线" w:eastAsia="等线"/>
          <w:smallCaps w:val="0"/>
          <w:sz w:val="22"/>
        </w:rPr>
      </w:pPr>
      <w:r/>
      <w:hyperlink w:tooltip="#_Toc227167499" w:anchor="_Toc227167499" w:history="1">
        <w:r>
          <w:rPr>
            <w:rStyle w:val="876"/>
            <w:rFonts w:hint="eastAsia" w:ascii="黑体" w:hAnsi="黑体" w:eastAsia="黑体"/>
            <w:color w:val="000000"/>
          </w:rPr>
          <w:t xml:space="preserve">第一节 </w:t>
        </w:r>
        <w:r>
          <w:rPr>
            <w:rStyle w:val="876"/>
            <w:rFonts w:hint="eastAsia" w:ascii="黑体" w:hAnsi="华文中宋" w:eastAsia="黑体"/>
            <w:color w:val="000000"/>
          </w:rPr>
          <w:t xml:space="preserve">政府采购合同协议书</w:t>
        </w:r>
        <w:r>
          <w:rPr>
            <w:rFonts w:hint="eastAsia"/>
          </w:rPr>
          <w:tab/>
        </w:r>
        <w:r>
          <w:rPr>
            <w:rFonts w:hint="eastAsia"/>
          </w:rPr>
          <w:fldChar w:fldCharType="begin"/>
        </w:r>
        <w:r>
          <w:rPr>
            <w:rFonts w:hint="eastAsia"/>
          </w:rPr>
          <w:instrText xml:space="preserve"> </w:instrText>
        </w:r>
        <w:r>
          <w:instrText xml:space="preserve">PAGEREF _Toc227167499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54"/>
        <w:tabs>
          <w:tab w:val="right" w:pos="8302" w:leader="dot"/>
        </w:tabs>
        <w:rPr>
          <w:rFonts w:hint="eastAsia" w:ascii="等线" w:hAnsi="等线" w:eastAsia="等线"/>
          <w:smallCaps w:val="0"/>
          <w:sz w:val="22"/>
        </w:rPr>
      </w:pPr>
      <w:r/>
      <w:hyperlink w:tooltip="#_Toc227167500" w:anchor="_Toc227167500" w:history="1">
        <w:r>
          <w:rPr>
            <w:rStyle w:val="876"/>
            <w:rFonts w:hint="eastAsia" w:ascii="黑体" w:hAnsi="黑体" w:eastAsia="黑体"/>
            <w:color w:val="000000"/>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_Toc227167500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54"/>
        <w:tabs>
          <w:tab w:val="right" w:pos="8302" w:leader="dot"/>
        </w:tabs>
        <w:rPr>
          <w:rFonts w:hint="eastAsia" w:ascii="等线" w:hAnsi="等线" w:eastAsia="等线"/>
          <w:smallCaps w:val="0"/>
          <w:sz w:val="22"/>
        </w:rPr>
      </w:pPr>
      <w:r/>
      <w:hyperlink w:tooltip="#_Toc227167501" w:anchor="_Toc227167501" w:history="1">
        <w:r>
          <w:rPr>
            <w:rStyle w:val="876"/>
            <w:rFonts w:hint="eastAsia" w:ascii="黑体" w:hAnsi="华文中宋" w:eastAsia="黑体"/>
            <w:color w:val="000000"/>
          </w:rPr>
          <w:t xml:space="preserve">第三节 政府采购合同专用条款</w:t>
        </w:r>
        <w:r>
          <w:rPr>
            <w:rFonts w:hint="eastAsia"/>
          </w:rPr>
          <w:tab/>
        </w:r>
        <w:r>
          <w:rPr>
            <w:rFonts w:hint="eastAsia"/>
          </w:rPr>
          <w:fldChar w:fldCharType="begin"/>
        </w:r>
        <w:r>
          <w:rPr>
            <w:rFonts w:hint="eastAsia"/>
          </w:rPr>
          <w:instrText xml:space="preserve"> </w:instrText>
        </w:r>
        <w:r>
          <w:instrText xml:space="preserve">PAGEREF _Toc227167501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748"/>
        <w:rPr>
          <w:rFonts w:hint="eastAsia" w:ascii="等线" w:hAnsi="等线" w:eastAsia="等线"/>
          <w:caps w:val="0"/>
          <w:sz w:val="22"/>
        </w:rPr>
      </w:pPr>
      <w:r/>
      <w:hyperlink w:tooltip="#_Toc227167502" w:anchor="_Toc227167502" w:history="1">
        <w:r>
          <w:rPr>
            <w:rStyle w:val="876"/>
            <w:rFonts w:hint="eastAsia" w:ascii="黑体" w:eastAsia="黑体"/>
            <w:b/>
            <w:bCs/>
            <w:color w:val="000000"/>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_Toc227167502 \h</w:instrText>
        </w:r>
        <w:r>
          <w:rPr>
            <w:rFonts w:hint="eastAsia"/>
          </w:rPr>
          <w:instrText xml:space="preserve"> </w:instrText>
        </w:r>
        <w:r>
          <w:rPr>
            <w:rFonts w:hint="eastAsia"/>
          </w:rPr>
        </w:r>
        <w:r>
          <w:rPr>
            <w:rFonts w:hint="eastAsia"/>
          </w:rPr>
          <w:fldChar w:fldCharType="separate"/>
        </w:r>
        <w:r>
          <w:rPr>
            <w:rFonts w:hint="eastAsia"/>
          </w:rPr>
          <w:t xml:space="preserve">34</w:t>
        </w:r>
        <w:r>
          <w:rPr>
            <w:rFonts w:hint="eastAsia"/>
          </w:rPr>
          <w:fldChar w:fldCharType="end"/>
        </w:r>
      </w:hyperlink>
      <w:r/>
      <w:r/>
    </w:p>
    <w:p>
      <w:pPr>
        <w:pStyle w:val="754"/>
        <w:tabs>
          <w:tab w:val="left" w:pos="1050" w:leader="none"/>
          <w:tab w:val="right" w:pos="8302" w:leader="dot"/>
        </w:tabs>
        <w:rPr>
          <w:rFonts w:hint="eastAsia" w:ascii="等线" w:hAnsi="等线" w:eastAsia="等线"/>
          <w:smallCaps w:val="0"/>
          <w:sz w:val="22"/>
        </w:rPr>
      </w:pPr>
      <w:r/>
      <w:hyperlink w:tooltip="#_Toc227167503" w:anchor="_Toc227167503" w:history="1">
        <w:r>
          <w:rPr>
            <w:rStyle w:val="876"/>
            <w:rFonts w:hint="eastAsia" w:ascii="宋体" w:hAnsi="宋体"/>
            <w:b/>
            <w:bCs/>
            <w:color w:val="000000"/>
          </w:rPr>
          <w:t xml:space="preserve">一、</w:t>
        </w:r>
        <w:r>
          <w:rPr>
            <w:rFonts w:hint="eastAsia" w:ascii="等线" w:hAnsi="等线" w:eastAsia="等线"/>
            <w:smallCaps w:val="0"/>
            <w:sz w:val="22"/>
          </w:rPr>
          <w:tab/>
        </w:r>
        <w:r>
          <w:rPr>
            <w:rStyle w:val="876"/>
            <w:rFonts w:hint="eastAsia" w:ascii="宋体" w:hAnsi="宋体"/>
            <w:b/>
            <w:bCs/>
            <w:color w:val="000000"/>
          </w:rPr>
          <w:t xml:space="preserve">采购标的清单</w:t>
        </w:r>
        <w:bookmarkStart w:id="7" w:name="_Hlt227167524"/>
        <w:r>
          <w:rPr>
            <w:rFonts w:hint="eastAsia"/>
          </w:rPr>
          <w:tab/>
        </w:r>
        <w:bookmarkEnd w:id="7"/>
        <w:r>
          <w:rPr>
            <w:rFonts w:hint="eastAsia"/>
          </w:rPr>
          <w:fldChar w:fldCharType="begin"/>
        </w:r>
        <w:r>
          <w:rPr>
            <w:rFonts w:hint="eastAsia"/>
          </w:rPr>
          <w:instrText xml:space="preserve"> </w:instrText>
        </w:r>
        <w:r>
          <w:instrText xml:space="preserve">PAGEREF _Toc227167503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54"/>
        <w:tabs>
          <w:tab w:val="right" w:pos="8302" w:leader="dot"/>
        </w:tabs>
        <w:rPr>
          <w:rFonts w:hint="eastAsia" w:ascii="等线" w:hAnsi="等线" w:eastAsia="等线"/>
          <w:smallCaps w:val="0"/>
          <w:sz w:val="22"/>
        </w:rPr>
      </w:pPr>
      <w:r/>
      <w:hyperlink w:tooltip="#_Toc227167504" w:anchor="_Toc227167504" w:history="1">
        <w:r>
          <w:rPr>
            <w:rStyle w:val="876"/>
            <w:rFonts w:hint="eastAsia" w:ascii="宋体" w:hAnsi="宋体"/>
            <w:b/>
            <w:bCs/>
            <w:color w:val="000000"/>
          </w:rPr>
          <w:t xml:space="preserve">二、政府采购中实施本国产品标准及相关政策</w:t>
        </w:r>
        <w:r>
          <w:rPr>
            <w:rFonts w:hint="eastAsia"/>
          </w:rPr>
          <w:tab/>
        </w:r>
        <w:r>
          <w:rPr>
            <w:rFonts w:hint="eastAsia"/>
          </w:rPr>
          <w:fldChar w:fldCharType="begin"/>
        </w:r>
        <w:r>
          <w:rPr>
            <w:rFonts w:hint="eastAsia"/>
          </w:rPr>
          <w:instrText xml:space="preserve"> </w:instrText>
        </w:r>
        <w:r>
          <w:instrText xml:space="preserve">PAGEREF _Toc227167504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54"/>
        <w:tabs>
          <w:tab w:val="right" w:pos="8302" w:leader="dot"/>
        </w:tabs>
        <w:rPr>
          <w:rFonts w:hint="eastAsia" w:ascii="等线" w:hAnsi="等线" w:eastAsia="等线"/>
          <w:smallCaps w:val="0"/>
          <w:sz w:val="22"/>
        </w:rPr>
      </w:pPr>
      <w:r/>
      <w:hyperlink w:tooltip="#_Toc227167505" w:anchor="_Toc227167505" w:history="1">
        <w:r>
          <w:rPr>
            <w:rStyle w:val="876"/>
            <w:rFonts w:hint="eastAsia" w:ascii="宋体" w:hAnsi="宋体"/>
            <w:b/>
            <w:color w:val="000000"/>
          </w:rPr>
          <w:t xml:space="preserve">三、</w:t>
        </w:r>
        <w:r>
          <w:rPr>
            <w:rStyle w:val="876"/>
            <w:rFonts w:hint="eastAsia" w:ascii="宋体" w:hAnsi="宋体"/>
            <w:b/>
            <w:bCs/>
            <w:color w:val="000000"/>
          </w:rPr>
          <w:t xml:space="preserve">技术部分要求</w:t>
        </w:r>
        <w:bookmarkStart w:id="8" w:name="_Hlt227850418"/>
        <w:bookmarkStart w:id="9" w:name="_Hlt227850419"/>
        <w:r>
          <w:rPr>
            <w:rFonts w:hint="eastAsia"/>
          </w:rPr>
          <w:tab/>
        </w:r>
        <w:bookmarkEnd w:id="8"/>
        <w:bookmarkEnd w:id="9"/>
        <w:r>
          <w:rPr>
            <w:rFonts w:hint="eastAsia"/>
          </w:rPr>
          <w:fldChar w:fldCharType="begin"/>
        </w:r>
        <w:r>
          <w:rPr>
            <w:rFonts w:hint="eastAsia"/>
          </w:rPr>
          <w:instrText xml:space="preserve"> </w:instrText>
        </w:r>
        <w:r>
          <w:instrText xml:space="preserve">PAGEREF _Toc227167505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48"/>
        <w:rPr>
          <w:rFonts w:hint="eastAsia" w:ascii="等线" w:hAnsi="等线" w:eastAsia="等线"/>
          <w:caps w:val="0"/>
          <w:sz w:val="22"/>
        </w:rPr>
      </w:pPr>
      <w:r/>
      <w:hyperlink w:tooltip="#_Toc227167522" w:anchor="_Toc227167522" w:history="1">
        <w:r>
          <w:rPr>
            <w:rStyle w:val="876"/>
            <w:rFonts w:hint="eastAsia" w:ascii="黑体" w:eastAsia="黑体"/>
            <w:bCs/>
            <w:color w:val="000000"/>
          </w:rPr>
          <w:t xml:space="preserve">第五章  </w:t>
        </w:r>
        <w:r>
          <w:rPr>
            <w:rStyle w:val="876"/>
            <w:rFonts w:hint="eastAsia" w:ascii="黑体" w:eastAsia="黑体"/>
            <w:b/>
            <w:bCs/>
            <w:color w:val="000000"/>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_Toc227167522 \h</w:instrText>
        </w:r>
        <w:r>
          <w:rPr>
            <w:rFonts w:hint="eastAsia"/>
          </w:rPr>
          <w:instrText xml:space="preserve"> </w:instrText>
        </w:r>
        <w:r>
          <w:rPr>
            <w:rFonts w:hint="eastAsia"/>
          </w:rPr>
        </w:r>
        <w:r>
          <w:rPr>
            <w:rFonts w:hint="eastAsia"/>
          </w:rPr>
          <w:fldChar w:fldCharType="separate"/>
        </w:r>
        <w:r>
          <w:rPr>
            <w:rFonts w:hint="eastAsia"/>
          </w:rPr>
          <w:t xml:space="preserve">74</w:t>
        </w:r>
        <w:r>
          <w:rPr>
            <w:rFonts w:hint="eastAsia"/>
          </w:rPr>
          <w:fldChar w:fldCharType="end"/>
        </w:r>
      </w:hyperlink>
      <w:r/>
      <w:r/>
    </w:p>
    <w:p>
      <w:pPr>
        <w:pStyle w:val="748"/>
        <w:rPr>
          <w:rFonts w:hint="eastAsia" w:ascii="等线" w:hAnsi="等线" w:eastAsia="等线"/>
          <w:caps w:val="0"/>
          <w:sz w:val="22"/>
        </w:rPr>
      </w:pPr>
      <w:r/>
      <w:hyperlink w:tooltip="#_Toc227167523" w:anchor="_Toc227167523" w:history="1">
        <w:r>
          <w:rPr>
            <w:rStyle w:val="876"/>
            <w:rFonts w:hint="eastAsia"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_Toc227167523 \h</w:instrText>
        </w:r>
        <w:r>
          <w:rPr>
            <w:rFonts w:hint="eastAsia"/>
          </w:rPr>
          <w:instrText xml:space="preserve"> </w:instrText>
        </w:r>
        <w:r>
          <w:rPr>
            <w:rFonts w:hint="eastAsia"/>
          </w:rPr>
        </w:r>
        <w:r>
          <w:rPr>
            <w:rFonts w:hint="eastAsia"/>
          </w:rPr>
          <w:fldChar w:fldCharType="separate"/>
        </w:r>
        <w:r>
          <w:rPr>
            <w:rFonts w:hint="eastAsia"/>
          </w:rPr>
          <w:t xml:space="preserve">79</w:t>
        </w:r>
        <w:r>
          <w:rPr>
            <w:rFonts w:hint="eastAsia"/>
          </w:rPr>
          <w:fldChar w:fldCharType="end"/>
        </w:r>
      </w:hyperlink>
      <w:r/>
      <w:r/>
    </w:p>
    <w:p>
      <w:pPr>
        <w:rPr>
          <w:szCs w:val="21"/>
        </w:rPr>
      </w:pPr>
      <w:r>
        <w:rPr>
          <w:rFonts w:ascii="等线" w:hAnsi="等线" w:eastAsia="等线"/>
          <w:bCs/>
          <w:lang w:val="zh-CN"/>
        </w:rPr>
        <w:fldChar w:fldCharType="end"/>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ind w:firstLine="2640"/>
        <w:jc w:val="left"/>
        <w:keepNext/>
        <w:rPr>
          <w:rFonts w:ascii="黑体" w:eastAsia="黑体"/>
          <w:bCs/>
          <w:sz w:val="44"/>
          <w:szCs w:val="28"/>
        </w:rPr>
        <w:outlineLvl w:val="0"/>
      </w:pPr>
      <w:r/>
      <w:bookmarkStart w:id="10" w:name="_Toc227167481"/>
      <w:r>
        <w:rPr>
          <w:rFonts w:hint="eastAsia" w:ascii="黑体" w:eastAsia="黑体"/>
          <w:bCs/>
          <w:sz w:val="44"/>
          <w:szCs w:val="28"/>
        </w:rPr>
        <w:t xml:space="preserve">第一章  </w:t>
      </w:r>
      <w:bookmarkEnd w:id="1"/>
      <w:r>
        <w:rPr>
          <w:rFonts w:hint="eastAsia" w:ascii="黑体" w:eastAsia="黑体"/>
          <w:bCs/>
          <w:sz w:val="44"/>
          <w:szCs w:val="28"/>
        </w:rPr>
        <w:t xml:space="preserve">投标邀请</w:t>
      </w:r>
      <w:bookmarkEnd w:id="10"/>
      <w:r/>
      <w:r/>
    </w:p>
    <w:p>
      <w:pPr>
        <w:ind w:firstLine="480"/>
        <w:spacing w:line="400" w:lineRule="exact"/>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南京医科大学</w:t>
      </w:r>
      <w:r>
        <w:rPr>
          <w:rFonts w:hint="eastAsia" w:ascii="宋体" w:hAnsi="宋体"/>
          <w:sz w:val="24"/>
          <w:szCs w:val="24"/>
        </w:rPr>
        <w:t xml:space="preserve">的委托，江苏省政府采购中心就</w:t>
      </w:r>
      <w:r>
        <w:rPr>
          <w:rFonts w:ascii="宋体" w:hAnsi="宋体"/>
          <w:sz w:val="24"/>
          <w:szCs w:val="24"/>
          <w:u w:val="single"/>
        </w:rPr>
        <w:t xml:space="preserve">南京医科大学电梯采购项目</w:t>
      </w:r>
      <w:r>
        <w:rPr>
          <w:rFonts w:hint="eastAsia" w:ascii="宋体" w:hAnsi="宋体"/>
          <w:sz w:val="24"/>
          <w:szCs w:val="24"/>
        </w:rPr>
        <w:t xml:space="preserve">(</w:t>
      </w:r>
      <w:r>
        <w:rPr>
          <w:rFonts w:ascii="宋体" w:hAnsi="宋体"/>
          <w:sz w:val="24"/>
          <w:szCs w:val="24"/>
        </w:rPr>
        <w:t xml:space="preserve">JSZC-320000-SCZX-G2026-0149</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ascii="宋体" w:hAnsi="宋体"/>
          <w:sz w:val="24"/>
          <w:szCs w:val="24"/>
          <w:u w:val="single"/>
        </w:rPr>
        <w:t xml:space="preserve">南京医科大学电梯采购项目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2026年5月21日9</w:t>
      </w:r>
      <w:r>
        <w:rPr>
          <w:rFonts w:hint="eastAsia" w:ascii="宋体" w:hAnsi="宋体"/>
          <w:bCs/>
          <w:sz w:val="24"/>
          <w:szCs w:val="24"/>
          <w:u w:val="single"/>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56" w:after="156" w:line="400" w:lineRule="exact"/>
        <w:rPr>
          <w:b/>
          <w:bCs/>
          <w:sz w:val="32"/>
          <w:szCs w:val="32"/>
        </w:rPr>
        <w:outlineLvl w:val="2"/>
      </w:pPr>
      <w:r/>
      <w:bookmarkStart w:id="11" w:name="_Toc28359002"/>
      <w:r/>
      <w:bookmarkStart w:id="12" w:name="_Toc227167482"/>
      <w:r/>
      <w:bookmarkStart w:id="13" w:name="_Toc38985263"/>
      <w:r/>
      <w:bookmarkStart w:id="14" w:name="_Toc35393790"/>
      <w:r/>
      <w:bookmarkStart w:id="15" w:name="_Toc35393621"/>
      <w:r/>
      <w:bookmarkStart w:id="16" w:name="_Toc28359079"/>
      <w:r/>
      <w:bookmarkStart w:id="17" w:name="_Hlk24379207"/>
      <w:r>
        <w:rPr>
          <w:rFonts w:hint="eastAsia"/>
          <w:b/>
          <w:bCs/>
          <w:sz w:val="32"/>
          <w:szCs w:val="32"/>
        </w:rPr>
        <w:t xml:space="preserve">一、项目基本情况</w:t>
      </w:r>
      <w:bookmarkEnd w:id="11"/>
      <w:r/>
      <w:bookmarkEnd w:id="12"/>
      <w:r/>
      <w:bookmarkEnd w:id="13"/>
      <w:r/>
      <w:bookmarkEnd w:id="14"/>
      <w:r/>
      <w:bookmarkEnd w:id="15"/>
      <w:r/>
      <w:bookmarkEnd w:id="16"/>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JSZC-320000-SCZX-G2026-0149</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南京医科大学电梯采购项目</w:t>
      </w:r>
      <w:bookmarkEnd w:id="17"/>
      <w:r/>
    </w:p>
    <w:p>
      <w:pPr>
        <w:ind w:firstLine="480"/>
        <w:spacing w:line="400" w:lineRule="exact"/>
        <w:rPr>
          <w:rFonts w:hint="eastAsia" w:ascii="宋体" w:hAnsi="宋体"/>
          <w:sz w:val="24"/>
          <w:szCs w:val="24"/>
        </w:rPr>
      </w:pPr>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360</w:t>
            </w:r>
            <w:r>
              <w:rPr>
                <w:rFonts w:ascii="宋体" w:hAnsi="宋体"/>
                <w:sz w:val="24"/>
                <w:szCs w:val="24"/>
              </w:rPr>
              <w:t xml:space="preserve">万元</w:t>
            </w:r>
            <w:r/>
          </w:p>
        </w:tc>
      </w:tr>
    </w:tbl>
    <w:p>
      <w:pPr>
        <w:ind w:firstLine="480"/>
        <w:spacing w:line="400" w:lineRule="exact"/>
        <w:rPr>
          <w:rFonts w:hint="eastAsia"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：320万元</w:t>
      </w:r>
      <w:r/>
    </w:p>
    <w:p>
      <w:pPr>
        <w:ind w:firstLine="480"/>
        <w:spacing w:line="400" w:lineRule="exact"/>
        <w:rPr>
          <w:rFonts w:hint="eastAsia" w:ascii="宋体" w:hAnsi="宋体"/>
          <w:sz w:val="24"/>
          <w:szCs w:val="24"/>
          <w:u w:val="single"/>
        </w:rPr>
      </w:pPr>
      <w:r>
        <w:rPr>
          <w:rFonts w:hint="eastAsia" w:ascii="宋体" w:hAnsi="宋体"/>
          <w:sz w:val="24"/>
          <w:szCs w:val="24"/>
        </w:rPr>
        <w:t xml:space="preserve">5.采购需求(简介)：本项目拟对南京医科大学江宁校区、五台校区两个校区部分电梯进行更换，其中江宁校区7台（药学院2台、逸夫楼1台、博学楼1台、学生食堂1台、图书馆2台）、五台校区7台（研究生公寓4台、留学生公寓2台、学生食堂1台）。现需报废更换两个校区14台电梯。</w:t>
      </w:r>
      <w:r>
        <w:rPr>
          <w:rFonts w:hint="eastAsia" w:ascii="宋体" w:hAnsi="宋体" w:cs="宋体"/>
          <w:sz w:val="24"/>
          <w:szCs w:val="24"/>
        </w:rPr>
        <w:t xml:space="preserve">（详细内容见本招标文件第四章）</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6.合同履行期限：合同签订后分两批次交货，第一批次75天内完工，第二批次90天内完成，总工期不超过90天；质保期不少于</w:t>
      </w:r>
      <w:r>
        <w:rPr>
          <w:rFonts w:hint="eastAsia" w:ascii="宋体" w:hAnsi="宋体"/>
          <w:sz w:val="24"/>
          <w:szCs w:val="24"/>
          <w:u w:val="single"/>
        </w:rPr>
        <w:t xml:space="preserve">2</w:t>
      </w:r>
      <w:r>
        <w:rPr>
          <w:rFonts w:hint="eastAsia" w:ascii="宋体" w:hAnsi="宋体"/>
          <w:sz w:val="24"/>
          <w:szCs w:val="24"/>
        </w:rPr>
        <w:t xml:space="preserve">年、维保期不少于</w:t>
      </w:r>
      <w:r>
        <w:rPr>
          <w:rFonts w:hint="eastAsia" w:ascii="宋体" w:hAnsi="宋体"/>
          <w:sz w:val="24"/>
          <w:szCs w:val="24"/>
          <w:u w:val="single"/>
        </w:rPr>
        <w:t xml:space="preserve">2</w:t>
      </w:r>
      <w:r>
        <w:rPr>
          <w:rFonts w:hint="eastAsia" w:ascii="宋体" w:hAnsi="宋体"/>
          <w:sz w:val="24"/>
          <w:szCs w:val="24"/>
        </w:rPr>
        <w:t xml:space="preserve">年。</w:t>
      </w:r>
      <w:r/>
    </w:p>
    <w:p>
      <w:pPr>
        <w:ind w:firstLine="498"/>
        <w:keepLines/>
        <w:keepNext/>
        <w:spacing w:before="156" w:after="156" w:line="360" w:lineRule="auto"/>
        <w:rPr>
          <w:b/>
          <w:bCs/>
          <w:sz w:val="32"/>
          <w:szCs w:val="32"/>
        </w:rPr>
        <w:outlineLvl w:val="2"/>
      </w:pPr>
      <w:r/>
      <w:bookmarkStart w:id="18" w:name="_Toc35393622"/>
      <w:r/>
      <w:bookmarkStart w:id="19" w:name="_Toc28359003"/>
      <w:r/>
      <w:bookmarkStart w:id="20" w:name="_Toc227167483"/>
      <w:r/>
      <w:bookmarkStart w:id="21" w:name="_Toc38985264"/>
      <w:r/>
      <w:bookmarkStart w:id="22" w:name="_Toc35393791"/>
      <w:r/>
      <w:bookmarkStart w:id="23" w:name="_Toc28359080"/>
      <w:r>
        <w:rPr>
          <w:rFonts w:hint="eastAsia"/>
          <w:b/>
          <w:bCs/>
          <w:sz w:val="32"/>
          <w:szCs w:val="32"/>
        </w:rPr>
        <w:t xml:space="preserve">二、申请人的资格要求</w:t>
      </w:r>
      <w:bookmarkEnd w:id="18"/>
      <w:r/>
      <w:bookmarkEnd w:id="19"/>
      <w:r/>
      <w:bookmarkEnd w:id="20"/>
      <w:r/>
      <w:bookmarkEnd w:id="21"/>
      <w:r/>
      <w:bookmarkEnd w:id="22"/>
      <w:r/>
      <w:bookmarkEnd w:id="23"/>
      <w:r/>
      <w:r/>
    </w:p>
    <w:p>
      <w:pPr>
        <w:ind w:firstLine="560"/>
        <w:spacing w:line="400" w:lineRule="exact"/>
        <w:rPr>
          <w:rFonts w:hint="eastAsia" w:ascii="宋体" w:hAnsi="宋体"/>
          <w:sz w:val="28"/>
          <w:szCs w:val="28"/>
        </w:rPr>
      </w:pPr>
      <w:r/>
      <w:bookmarkStart w:id="24" w:name="_Toc28359004"/>
      <w:r/>
      <w:bookmarkStart w:id="25" w:name="_Toc35393792"/>
      <w:r/>
      <w:bookmarkStart w:id="26" w:name="_Toc28359081"/>
      <w:r/>
      <w:bookmarkStart w:id="27" w:name="_Toc38985265"/>
      <w:r/>
      <w:bookmarkStart w:id="28" w:name="_Toc35393623"/>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2024或者2025年度的财务状况报告（成立不满一年无需提供）；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560"/>
        <w:spacing w:line="400" w:lineRule="exact"/>
        <w:rPr>
          <w:rFonts w:hint="eastAsia" w:ascii="宋体" w:hAnsi="宋体"/>
          <w:sz w:val="28"/>
          <w:szCs w:val="28"/>
        </w:rPr>
      </w:pPr>
      <w:r>
        <w:rPr>
          <w:rFonts w:hint="eastAsia" w:ascii="宋体" w:hAnsi="宋体"/>
          <w:sz w:val="28"/>
          <w:szCs w:val="28"/>
        </w:rPr>
        <w:t xml:space="preserve">（二）本项目的特定资格要求：</w:t>
      </w:r>
      <w:r/>
    </w:p>
    <w:p>
      <w:pPr>
        <w:ind w:firstLine="480"/>
        <w:spacing w:line="400" w:lineRule="exact"/>
        <w:rPr>
          <w:rFonts w:hint="eastAsia" w:ascii="宋体" w:hAnsi="宋体"/>
          <w:sz w:val="24"/>
          <w:szCs w:val="24"/>
        </w:rPr>
      </w:pPr>
      <w:r>
        <w:rPr>
          <w:rFonts w:hint="eastAsia" w:ascii="宋体" w:hAnsi="宋体"/>
          <w:sz w:val="24"/>
          <w:szCs w:val="24"/>
        </w:rPr>
        <w:t xml:space="preserve">1.若投标人是制造商，须满足以下条件之一，并上</w:t>
      </w:r>
      <w:r>
        <w:rPr>
          <w:rFonts w:hint="eastAsia" w:ascii="宋体" w:hAnsi="宋体"/>
          <w:sz w:val="24"/>
          <w:szCs w:val="24"/>
        </w:rPr>
        <w:t xml:space="preserve">传有效</w:t>
      </w:r>
      <w:r>
        <w:rPr>
          <w:rFonts w:hint="eastAsia" w:ascii="宋体" w:hAnsi="宋体"/>
          <w:sz w:val="24"/>
          <w:szCs w:val="24"/>
        </w:rPr>
        <w:t xml:space="preserve">证书</w:t>
      </w:r>
      <w:r>
        <w:rPr>
          <w:rFonts w:hint="eastAsia" w:ascii="宋体" w:hAnsi="宋体"/>
          <w:sz w:val="24"/>
          <w:szCs w:val="24"/>
        </w:rPr>
        <w:t xml:space="preserve">扫描件至投标</w:t>
      </w:r>
      <w:r>
        <w:rPr>
          <w:rFonts w:hint="eastAsia" w:ascii="宋体" w:hAnsi="宋体"/>
          <w:sz w:val="24"/>
          <w:szCs w:val="24"/>
        </w:rPr>
        <w:t xml:space="preserve">系统：</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cs="宋体"/>
          <w:sz w:val="24"/>
          <w:szCs w:val="24"/>
        </w:rPr>
        <w:t xml:space="preserve">持有有效期内的《中华人民共和国特种设备生产许可证》（电梯），许可项目包含</w:t>
      </w:r>
      <w:r>
        <w:rPr>
          <w:rStyle w:val="871"/>
          <w:rFonts w:ascii="宋体" w:hAnsi="宋体" w:cs="宋体"/>
          <w:b w:val="0"/>
          <w:bCs w:val="0"/>
          <w:sz w:val="24"/>
          <w:szCs w:val="24"/>
        </w:rPr>
        <w:t xml:space="preserve">电梯制造</w:t>
      </w:r>
      <w:r>
        <w:rPr>
          <w:rFonts w:ascii="宋体" w:hAnsi="宋体" w:cs="宋体"/>
          <w:sz w:val="24"/>
          <w:szCs w:val="24"/>
        </w:rPr>
        <w:t xml:space="preserve">，且等级为</w:t>
      </w:r>
      <w:r>
        <w:rPr>
          <w:rStyle w:val="871"/>
          <w:rFonts w:ascii="宋体" w:hAnsi="宋体" w:cs="宋体"/>
          <w:b w:val="0"/>
          <w:bCs w:val="0"/>
          <w:sz w:val="24"/>
          <w:szCs w:val="24"/>
        </w:rPr>
        <w:t xml:space="preserve">B级及以上</w:t>
      </w:r>
      <w:r>
        <w:rPr>
          <w:rFonts w:ascii="宋体" w:hAnsi="宋体" w:cs="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cs="宋体"/>
          <w:sz w:val="24"/>
          <w:szCs w:val="24"/>
        </w:rPr>
        <w:t xml:space="preserve">持有有效期内的《中华人民共和国特种设备生产许可证》（电梯），许可项目包含</w:t>
      </w:r>
      <w:r>
        <w:rPr>
          <w:rStyle w:val="871"/>
          <w:rFonts w:ascii="宋体" w:hAnsi="宋体" w:cs="宋体"/>
          <w:b w:val="0"/>
          <w:bCs w:val="0"/>
          <w:sz w:val="24"/>
          <w:szCs w:val="24"/>
        </w:rPr>
        <w:t xml:space="preserve">电梯制造（含安装、修理、改造）</w:t>
      </w:r>
      <w:r>
        <w:rPr>
          <w:rFonts w:ascii="宋体" w:hAnsi="宋体" w:cs="宋体"/>
          <w:sz w:val="24"/>
          <w:szCs w:val="24"/>
        </w:rPr>
        <w:t xml:space="preserve">，且等级为</w:t>
      </w:r>
      <w:r>
        <w:rPr>
          <w:rStyle w:val="871"/>
          <w:rFonts w:ascii="宋体" w:hAnsi="宋体" w:cs="宋体"/>
          <w:b w:val="0"/>
          <w:bCs w:val="0"/>
          <w:sz w:val="24"/>
          <w:szCs w:val="24"/>
        </w:rPr>
        <w:t xml:space="preserve">B级及以上</w:t>
      </w:r>
      <w:r>
        <w:rPr>
          <w:rFonts w:ascii="宋体" w:hAnsi="宋体" w:cs="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2.若投标人是代理商，须同时满足以下条件，并上</w:t>
      </w:r>
      <w:r>
        <w:rPr>
          <w:rFonts w:hint="eastAsia" w:ascii="宋体" w:hAnsi="宋体"/>
          <w:sz w:val="24"/>
          <w:szCs w:val="24"/>
        </w:rPr>
        <w:t xml:space="preserve">传有效</w:t>
      </w:r>
      <w:r>
        <w:rPr>
          <w:rFonts w:hint="eastAsia" w:ascii="宋体" w:hAnsi="宋体"/>
          <w:sz w:val="24"/>
          <w:szCs w:val="24"/>
        </w:rPr>
        <w:t xml:space="preserve">证书</w:t>
      </w:r>
      <w:r>
        <w:rPr>
          <w:rFonts w:hint="eastAsia" w:ascii="宋体" w:hAnsi="宋体"/>
          <w:sz w:val="24"/>
          <w:szCs w:val="24"/>
        </w:rPr>
        <w:t xml:space="preserve">扫描件至投标</w:t>
      </w:r>
      <w:r>
        <w:rPr>
          <w:rFonts w:hint="eastAsia" w:ascii="宋体" w:hAnsi="宋体"/>
          <w:sz w:val="24"/>
          <w:szCs w:val="24"/>
        </w:rPr>
        <w:t xml:space="preserve">系统：</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cs="宋体"/>
          <w:sz w:val="24"/>
          <w:szCs w:val="24"/>
        </w:rPr>
        <w:t xml:space="preserve">提供所代理电梯制造商的有效资质，满足下列之一：</w:t>
      </w:r>
      <w:r>
        <w:rPr>
          <w:rFonts w:hint="eastAsia" w:ascii="宋体" w:hAnsi="宋体" w:cs="宋体"/>
          <w:sz w:val="24"/>
          <w:szCs w:val="24"/>
        </w:rPr>
        <w:t xml:space="preserve">1、</w:t>
      </w:r>
      <w:r>
        <w:rPr>
          <w:rFonts w:ascii="宋体" w:hAnsi="宋体" w:cs="宋体"/>
          <w:sz w:val="24"/>
          <w:szCs w:val="24"/>
        </w:rPr>
        <w:t xml:space="preserve">有效期内的《中华人民共和国特种设备生产许可证》（电梯），许可项目包含</w:t>
      </w:r>
      <w:r>
        <w:rPr>
          <w:rStyle w:val="871"/>
          <w:rFonts w:ascii="宋体" w:hAnsi="宋体" w:cs="宋体"/>
          <w:b w:val="0"/>
          <w:bCs w:val="0"/>
          <w:sz w:val="24"/>
          <w:szCs w:val="24"/>
        </w:rPr>
        <w:t xml:space="preserve">电梯制造</w:t>
      </w:r>
      <w:r>
        <w:rPr>
          <w:rFonts w:ascii="宋体" w:hAnsi="宋体" w:cs="宋体"/>
          <w:sz w:val="24"/>
          <w:szCs w:val="24"/>
        </w:rPr>
        <w:t xml:space="preserve">，且等级为</w:t>
      </w:r>
      <w:r>
        <w:rPr>
          <w:rStyle w:val="871"/>
          <w:rFonts w:ascii="宋体" w:hAnsi="宋体" w:cs="宋体"/>
          <w:b w:val="0"/>
          <w:bCs w:val="0"/>
          <w:sz w:val="24"/>
          <w:szCs w:val="24"/>
        </w:rPr>
        <w:t xml:space="preserve">B级及以上</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有效期内的《中华人民共和国特种设备生产许可证》（电梯），许可项目包含</w:t>
      </w:r>
      <w:r>
        <w:rPr>
          <w:rStyle w:val="871"/>
          <w:rFonts w:ascii="宋体" w:hAnsi="宋体" w:cs="宋体"/>
          <w:b w:val="0"/>
          <w:bCs w:val="0"/>
          <w:sz w:val="24"/>
          <w:szCs w:val="24"/>
        </w:rPr>
        <w:t xml:space="preserve">电梯制造（含安装、修理、改造）</w:t>
      </w:r>
      <w:r>
        <w:rPr>
          <w:rFonts w:ascii="宋体" w:hAnsi="宋体" w:cs="宋体"/>
          <w:sz w:val="24"/>
          <w:szCs w:val="24"/>
        </w:rPr>
        <w:t xml:space="preserve">，且等级为</w:t>
      </w:r>
      <w:r>
        <w:rPr>
          <w:rStyle w:val="871"/>
          <w:rFonts w:ascii="宋体" w:hAnsi="宋体" w:cs="宋体"/>
          <w:b w:val="0"/>
          <w:bCs w:val="0"/>
          <w:sz w:val="24"/>
          <w:szCs w:val="24"/>
        </w:rPr>
        <w:t xml:space="preserve">B级及以上</w:t>
      </w:r>
      <w:r>
        <w:rPr>
          <w:rFonts w:ascii="宋体" w:hAnsi="宋体" w:cs="宋体"/>
          <w:sz w:val="24"/>
          <w:szCs w:val="24"/>
        </w:rPr>
        <w:t xml:space="preserve">；</w:t>
      </w:r>
      <w:r/>
    </w:p>
    <w:p>
      <w:pPr>
        <w:ind w:firstLine="480"/>
        <w:spacing w:line="400" w:lineRule="exact"/>
      </w:pPr>
      <w:r>
        <w:rPr>
          <w:rFonts w:hint="eastAsia" w:ascii="宋体" w:hAnsi="宋体"/>
          <w:sz w:val="24"/>
          <w:szCs w:val="24"/>
        </w:rPr>
        <w:t xml:space="preserve">（2）</w:t>
      </w:r>
      <w:r>
        <w:rPr>
          <w:rFonts w:ascii="宋体" w:hAnsi="宋体" w:cs="宋体"/>
          <w:sz w:val="24"/>
          <w:szCs w:val="24"/>
        </w:rPr>
        <w:t xml:space="preserve">投标人自身具有有效期内的《中华人民共和国特种设备生产许可证》（电梯），许可项目包含</w:t>
      </w:r>
      <w:r>
        <w:rPr>
          <w:rStyle w:val="871"/>
          <w:rFonts w:ascii="宋体" w:hAnsi="宋体" w:cs="宋体"/>
          <w:b w:val="0"/>
          <w:bCs w:val="0"/>
          <w:sz w:val="24"/>
          <w:szCs w:val="24"/>
        </w:rPr>
        <w:t xml:space="preserve">电梯安装（含修理）</w:t>
      </w:r>
      <w:r>
        <w:rPr>
          <w:rFonts w:ascii="宋体" w:hAnsi="宋体" w:cs="宋体"/>
          <w:sz w:val="24"/>
          <w:szCs w:val="24"/>
        </w:rPr>
        <w:t xml:space="preserve">，且等级为</w:t>
      </w:r>
      <w:r>
        <w:rPr>
          <w:rStyle w:val="871"/>
          <w:rFonts w:ascii="宋体" w:hAnsi="宋体" w:cs="宋体"/>
          <w:b w:val="0"/>
          <w:bCs w:val="0"/>
          <w:sz w:val="24"/>
          <w:szCs w:val="24"/>
        </w:rPr>
        <w:t xml:space="preserve">B级及以上</w:t>
      </w:r>
      <w:r>
        <w:rPr>
          <w:rFonts w:ascii="宋体" w:hAnsi="宋体" w:cs="宋体"/>
          <w:sz w:val="24"/>
          <w:szCs w:val="24"/>
        </w:rPr>
        <w:t xml:space="preserve">。</w:t>
      </w:r>
      <w:r/>
    </w:p>
    <w:p>
      <w:pPr>
        <w:ind w:firstLine="498"/>
        <w:keepLines/>
        <w:keepNext/>
        <w:spacing w:before="156" w:after="156" w:line="360" w:lineRule="auto"/>
        <w:rPr>
          <w:b/>
          <w:bCs/>
          <w:sz w:val="32"/>
          <w:szCs w:val="32"/>
        </w:rPr>
        <w:outlineLvl w:val="2"/>
      </w:pPr>
      <w:r/>
      <w:bookmarkStart w:id="29" w:name="_Toc227167484"/>
      <w:r>
        <w:rPr>
          <w:rFonts w:hint="eastAsia"/>
          <w:b/>
          <w:bCs/>
          <w:sz w:val="32"/>
          <w:szCs w:val="32"/>
        </w:rPr>
        <w:t xml:space="preserve">三、获取招标文件</w:t>
      </w:r>
      <w:bookmarkEnd w:id="29"/>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8"/>
        <w:keepLines/>
        <w:keepNext/>
        <w:spacing w:before="156" w:after="156" w:line="400" w:lineRule="exact"/>
        <w:rPr>
          <w:b/>
          <w:bCs/>
          <w:sz w:val="32"/>
          <w:szCs w:val="32"/>
        </w:rPr>
        <w:outlineLvl w:val="2"/>
      </w:pPr>
      <w:r/>
      <w:bookmarkStart w:id="30" w:name="_Toc28359082"/>
      <w:r/>
      <w:bookmarkStart w:id="31" w:name="_Toc28359005"/>
      <w:r/>
      <w:bookmarkStart w:id="32" w:name="_Toc38985266"/>
      <w:r/>
      <w:bookmarkStart w:id="33" w:name="_Toc35393624"/>
      <w:r/>
      <w:bookmarkStart w:id="34" w:name="_Toc35393793"/>
      <w:r/>
      <w:bookmarkStart w:id="35" w:name="_Toc227167485"/>
      <w:r/>
      <w:bookmarkEnd w:id="24"/>
      <w:r/>
      <w:bookmarkEnd w:id="25"/>
      <w:r/>
      <w:bookmarkEnd w:id="26"/>
      <w:r/>
      <w:bookmarkEnd w:id="27"/>
      <w:r/>
      <w:bookmarkEnd w:id="28"/>
      <w:r>
        <w:rPr>
          <w:rFonts w:hint="eastAsia"/>
          <w:b/>
          <w:bCs/>
          <w:sz w:val="32"/>
          <w:szCs w:val="32"/>
        </w:rPr>
        <w:t xml:space="preserve">四、提交投标文件</w:t>
      </w:r>
      <w:bookmarkEnd w:id="30"/>
      <w:r/>
      <w:bookmarkEnd w:id="31"/>
      <w:r>
        <w:rPr>
          <w:rFonts w:hint="eastAsia"/>
          <w:b/>
          <w:bCs/>
          <w:sz w:val="32"/>
          <w:szCs w:val="32"/>
        </w:rPr>
        <w:t xml:space="preserve">截止时间、开标时间和地点</w:t>
      </w:r>
      <w:bookmarkEnd w:id="32"/>
      <w:r/>
      <w:bookmarkEnd w:id="33"/>
      <w:r/>
      <w:bookmarkEnd w:id="34"/>
      <w:r/>
      <w:bookmarkEnd w:id="35"/>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sz w:val="24"/>
          <w:szCs w:val="24"/>
          <w:u w:val="single"/>
        </w:rPr>
        <w:t xml:space="preserve"> 2026年5月21日9</w:t>
      </w:r>
      <w:r>
        <w:rPr>
          <w:rFonts w:hint="eastAsia" w:ascii="宋体" w:hAnsi="宋体"/>
          <w:bCs/>
          <w:sz w:val="24"/>
          <w:szCs w:val="24"/>
          <w:u w:val="single"/>
        </w:rPr>
        <w:t xml:space="preserve">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b/>
          <w:bCs/>
          <w:sz w:val="32"/>
          <w:szCs w:val="32"/>
        </w:rPr>
        <w:outlineLvl w:val="2"/>
      </w:pPr>
      <w:r/>
      <w:bookmarkStart w:id="36" w:name="_Toc227167486"/>
      <w:r/>
      <w:bookmarkStart w:id="37" w:name="_Toc35393794"/>
      <w:r/>
      <w:bookmarkStart w:id="38" w:name="_Toc28359007"/>
      <w:r/>
      <w:bookmarkStart w:id="39" w:name="_Toc38985267"/>
      <w:r/>
      <w:bookmarkStart w:id="40" w:name="_Toc28359084"/>
      <w:r/>
      <w:bookmarkStart w:id="41" w:name="_Toc35393625"/>
      <w:r>
        <w:rPr>
          <w:rFonts w:hint="eastAsia"/>
          <w:b/>
          <w:bCs/>
          <w:sz w:val="32"/>
          <w:szCs w:val="32"/>
        </w:rPr>
        <w:t xml:space="preserve">五、公告期限</w:t>
      </w:r>
      <w:bookmarkEnd w:id="36"/>
      <w:r/>
      <w:bookmarkEnd w:id="37"/>
      <w:r/>
      <w:bookmarkEnd w:id="38"/>
      <w:r/>
      <w:bookmarkEnd w:id="39"/>
      <w:r/>
      <w:bookmarkEnd w:id="40"/>
      <w:r/>
      <w:bookmarkEnd w:id="41"/>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98"/>
        <w:keepLines/>
        <w:keepNext/>
        <w:spacing w:before="156" w:after="156" w:line="400" w:lineRule="exact"/>
        <w:rPr>
          <w:b/>
          <w:bCs/>
          <w:sz w:val="32"/>
          <w:szCs w:val="32"/>
        </w:rPr>
        <w:outlineLvl w:val="2"/>
      </w:pPr>
      <w:r/>
      <w:bookmarkStart w:id="42" w:name="_Toc38985268"/>
      <w:r/>
      <w:bookmarkStart w:id="43" w:name="_Toc35393795"/>
      <w:r/>
      <w:bookmarkStart w:id="44" w:name="_Toc35393626"/>
      <w:r/>
      <w:bookmarkStart w:id="45" w:name="_Toc227167487"/>
      <w:r>
        <w:rPr>
          <w:rFonts w:hint="eastAsia"/>
          <w:b/>
          <w:bCs/>
          <w:sz w:val="32"/>
          <w:szCs w:val="32"/>
        </w:rPr>
        <w:t xml:space="preserve">六、其他补充事宜</w:t>
      </w:r>
      <w:bookmarkEnd w:id="42"/>
      <w:r/>
      <w:bookmarkEnd w:id="43"/>
      <w:r/>
      <w:bookmarkEnd w:id="44"/>
      <w:r>
        <w:rPr>
          <w:rFonts w:hint="eastAsia"/>
          <w:b/>
          <w:bCs/>
          <w:sz w:val="32"/>
          <w:szCs w:val="32"/>
        </w:rPr>
        <w:t xml:space="preserve">：</w:t>
      </w:r>
      <w:bookmarkEnd w:id="45"/>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勘察现场：本项目由采购人统一组织现场集中勘察工作，各投标人提前自行联系采购人办理入校手续。</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勘查时间：2026年5月11日 09:00至10:00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现场地点：南京市龙眠大道101号 南京医科大学</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联系人：陈老师；联系方式：025-86869249</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现场勘察时投标人代表请持本人身份证、携带企业法人营业执照复印件（加盖企业公章）、法人授权委托书（格式自拟），准时到达现场并签到。</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投标人务必对项目现场和周围环境进行仔细认真地踏勘，对现场资料和数据所</w:t>
      </w:r>
      <w:r>
        <w:rPr>
          <w:rFonts w:hint="eastAsia" w:ascii="宋体" w:hAnsi="宋体" w:cs="宋体"/>
          <w:sz w:val="24"/>
          <w:szCs w:val="24"/>
        </w:rPr>
        <w:t xml:space="preserve">作出</w:t>
      </w:r>
      <w:r>
        <w:rPr>
          <w:rFonts w:hint="eastAsia" w:ascii="宋体" w:hAnsi="宋体" w:cs="宋体"/>
          <w:sz w:val="24"/>
          <w:szCs w:val="24"/>
        </w:rPr>
        <w:t xml:space="preserve">的推论、解释和结论及由此造成的后果由投标人负责。未勘察现场或勘察工作不详细的供应商中标后，不得以不完全了解现场情况为理由而向采购人提出任何索赔或其他要求。</w:t>
      </w:r>
      <w:r/>
    </w:p>
    <w:p>
      <w:pPr>
        <w:ind w:firstLine="498"/>
        <w:keepLines/>
        <w:keepNext/>
        <w:spacing w:before="156" w:after="156" w:line="400" w:lineRule="exact"/>
        <w:rPr>
          <w:b/>
          <w:bCs/>
          <w:sz w:val="32"/>
          <w:szCs w:val="32"/>
        </w:rPr>
        <w:outlineLvl w:val="2"/>
      </w:pPr>
      <w:r/>
      <w:bookmarkStart w:id="46" w:name="_Toc35393627"/>
      <w:r/>
      <w:bookmarkStart w:id="47" w:name="_Toc38985269"/>
      <w:r/>
      <w:bookmarkStart w:id="48" w:name="_Toc227167488"/>
      <w:r/>
      <w:bookmarkStart w:id="49" w:name="_Toc28359085"/>
      <w:r/>
      <w:bookmarkStart w:id="50" w:name="_Toc28359008"/>
      <w:r/>
      <w:bookmarkStart w:id="51" w:name="_Toc35393796"/>
      <w:r>
        <w:rPr>
          <w:rFonts w:hint="eastAsia"/>
          <w:b/>
          <w:bCs/>
          <w:sz w:val="32"/>
          <w:szCs w:val="32"/>
        </w:rPr>
        <w:t xml:space="preserve">七、本次招标联系方式</w:t>
      </w:r>
      <w:bookmarkEnd w:id="46"/>
      <w:r/>
      <w:bookmarkEnd w:id="47"/>
      <w:r/>
      <w:bookmarkEnd w:id="48"/>
      <w:r/>
      <w:bookmarkEnd w:id="49"/>
      <w:r/>
      <w:bookmarkEnd w:id="50"/>
      <w:r/>
      <w:bookmarkEnd w:id="51"/>
      <w:r/>
      <w:r/>
    </w:p>
    <w:p>
      <w:pPr>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hint="eastAsia" w:ascii="宋体" w:hAnsi="宋体"/>
          <w:sz w:val="24"/>
          <w:szCs w:val="24"/>
        </w:rPr>
      </w:pPr>
      <w:r>
        <w:rPr>
          <w:rFonts w:hint="eastAsia" w:ascii="宋体" w:hAnsi="宋体"/>
          <w:sz w:val="24"/>
          <w:szCs w:val="24"/>
        </w:rPr>
        <w:t xml:space="preserve">名 称：</w:t>
      </w:r>
      <w:r>
        <w:rPr>
          <w:rFonts w:ascii="宋体" w:hAnsi="宋体"/>
          <w:sz w:val="24"/>
          <w:szCs w:val="24"/>
          <w:u w:val="single"/>
        </w:rPr>
        <w:t xml:space="preserve">南京医科大学</w:t>
      </w:r>
      <w:r/>
    </w:p>
    <w:p>
      <w:pPr>
        <w:ind w:firstLine="480"/>
        <w:jc w:val="left"/>
        <w:spacing w:line="400" w:lineRule="exact"/>
        <w:rPr>
          <w:rFonts w:hint="eastAsia" w:ascii="宋体" w:hAnsi="宋体"/>
          <w:sz w:val="24"/>
          <w:szCs w:val="24"/>
        </w:rPr>
      </w:pPr>
      <w:r/>
      <w:bookmarkStart w:id="52" w:name="_Toc28359009"/>
      <w:r/>
      <w:bookmarkStart w:id="53" w:name="_Toc28359086"/>
      <w:r>
        <w:rPr>
          <w:rFonts w:hint="eastAsia" w:ascii="宋体" w:hAnsi="宋体"/>
          <w:sz w:val="24"/>
          <w:szCs w:val="24"/>
        </w:rPr>
        <w:t xml:space="preserve">地 址：</w:t>
      </w:r>
      <w:r>
        <w:rPr>
          <w:rFonts w:hint="eastAsia" w:ascii="宋体" w:hAnsi="宋体"/>
          <w:sz w:val="24"/>
          <w:szCs w:val="24"/>
          <w:u w:val="single"/>
        </w:rPr>
        <w:t xml:space="preserve">江苏省南京市江宁区龙眠大道101号</w:t>
      </w:r>
      <w:r/>
    </w:p>
    <w:p>
      <w:pPr>
        <w:ind w:firstLine="48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陈老师 </w:t>
      </w:r>
      <w:r/>
    </w:p>
    <w:p>
      <w:pPr>
        <w:ind w:firstLine="48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025-86869249 </w:t>
      </w:r>
      <w:r/>
    </w:p>
    <w:p>
      <w:pPr>
        <w:ind w:firstLine="480"/>
        <w:jc w:val="left"/>
        <w:spacing w:line="400" w:lineRule="exact"/>
        <w:rPr>
          <w:rFonts w:hint="eastAsia" w:ascii="宋体" w:hAnsi="宋体"/>
          <w:sz w:val="24"/>
          <w:szCs w:val="24"/>
        </w:rPr>
      </w:pPr>
      <w:r>
        <w:rPr>
          <w:rFonts w:hint="eastAsia" w:ascii="宋体" w:hAnsi="宋体" w:cs="宋体"/>
          <w:sz w:val="24"/>
          <w:szCs w:val="24"/>
        </w:rPr>
        <w:t xml:space="preserve">2.江苏省政府采购中心信息</w:t>
      </w:r>
      <w:bookmarkEnd w:id="52"/>
      <w:r/>
      <w:bookmarkEnd w:id="53"/>
      <w:r/>
      <w:r/>
    </w:p>
    <w:p>
      <w:pPr>
        <w:ind w:firstLine="420"/>
        <w:spacing w:line="460" w:lineRule="exact"/>
        <w:rPr>
          <w:rFonts w:hint="eastAsia" w:ascii="宋体" w:hAnsi="宋体"/>
          <w:sz w:val="24"/>
          <w:szCs w:val="24"/>
        </w:rPr>
      </w:pPr>
      <w:r>
        <w:rPr>
          <w:rFonts w:hint="eastAsia" w:ascii="宋体" w:hAnsi="宋体"/>
          <w:sz w:val="24"/>
          <w:szCs w:val="24"/>
        </w:rPr>
        <w:t xml:space="preserve">地　址：南京市汉中门大街145号省政务中心3楼南区</w:t>
      </w:r>
      <w:r/>
    </w:p>
    <w:p>
      <w:pPr>
        <w:ind w:firstLine="420"/>
        <w:spacing w:line="460" w:lineRule="exact"/>
        <w:rPr>
          <w:rFonts w:hint="eastAsia" w:ascii="宋体" w:hAnsi="宋体"/>
          <w:sz w:val="24"/>
          <w:szCs w:val="24"/>
        </w:rPr>
      </w:pPr>
      <w:r>
        <w:rPr>
          <w:rFonts w:hint="eastAsia" w:ascii="宋体" w:hAnsi="宋体"/>
          <w:sz w:val="24"/>
          <w:szCs w:val="24"/>
        </w:rPr>
        <w:t xml:space="preserve">联系人：付钢、唐文   </w:t>
      </w:r>
      <w:r/>
    </w:p>
    <w:p>
      <w:pPr>
        <w:ind w:firstLine="420"/>
        <w:spacing w:line="460" w:lineRule="exact"/>
        <w:rPr>
          <w:rFonts w:hint="eastAsia" w:ascii="宋体" w:hAnsi="宋体"/>
          <w:sz w:val="24"/>
          <w:szCs w:val="24"/>
        </w:rPr>
      </w:pPr>
      <w:r>
        <w:rPr>
          <w:rFonts w:hint="eastAsia" w:ascii="宋体" w:hAnsi="宋体"/>
          <w:sz w:val="24"/>
          <w:szCs w:val="24"/>
        </w:rPr>
        <w:t xml:space="preserve">联系方式：025-</w:t>
      </w:r>
      <w:bookmarkStart w:id="54" w:name="OLE_LINK6"/>
      <w:r>
        <w:rPr>
          <w:rFonts w:hint="eastAsia" w:ascii="宋体" w:hAnsi="宋体"/>
          <w:sz w:val="24"/>
          <w:szCs w:val="24"/>
        </w:rPr>
        <w:t xml:space="preserve">83668520</w:t>
      </w:r>
      <w:bookmarkEnd w:id="54"/>
      <w:r>
        <w:rPr>
          <w:rFonts w:hint="eastAsia" w:ascii="宋体" w:hAnsi="宋体"/>
          <w:sz w:val="24"/>
          <w:szCs w:val="24"/>
        </w:rPr>
        <w:t xml:space="preserve">、83668519</w:t>
      </w:r>
      <w:r/>
    </w:p>
    <w:p>
      <w:pPr>
        <w:ind w:firstLine="498"/>
        <w:keepLines/>
        <w:keepNext/>
        <w:spacing w:before="156" w:after="156" w:line="360" w:lineRule="auto"/>
        <w:rPr>
          <w:b/>
          <w:bCs/>
          <w:sz w:val="32"/>
          <w:szCs w:val="32"/>
        </w:rPr>
        <w:outlineLvl w:val="2"/>
      </w:pPr>
      <w:r/>
      <w:bookmarkStart w:id="55" w:name="_Toc227167489"/>
      <w:r>
        <w:rPr>
          <w:rFonts w:hint="eastAsia"/>
          <w:b/>
          <w:bCs/>
          <w:sz w:val="32"/>
          <w:szCs w:val="32"/>
        </w:rPr>
        <w:t xml:space="preserve">八、其他</w:t>
      </w:r>
      <w:bookmarkEnd w:id="55"/>
      <w:r/>
      <w:r/>
    </w:p>
    <w:p>
      <w:pPr>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w:t>
      </w:r>
      <w:r>
        <w:rPr>
          <w:rFonts w:hint="eastAsia" w:ascii="宋体" w:hAnsi="宋体"/>
          <w:sz w:val="24"/>
          <w:szCs w:val="24"/>
        </w:rPr>
        <w:t xml:space="preserve">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bCs/>
          <w:szCs w:val="21"/>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系统供应商操作手册》（以下简称《操作手册》））、进行注册并按《操作手册》要求制作、上传电子投标文件。投标人也可前往“江苏政务服务网”</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t>
      </w:r>
      <w:r>
        <w:rPr>
          <w:bCs/>
          <w:szCs w:val="21"/>
        </w:rPr>
        <w:t xml:space="preserve">www.ccgp-jiangsu.gov.cn</w:t>
      </w:r>
      <w:r>
        <w:rPr>
          <w:bCs/>
          <w:szCs w:val="21"/>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sz w:val="24"/>
          <w:szCs w:val="24"/>
        </w:rPr>
      </w:pPr>
      <w:r>
        <w:rPr>
          <w:rFonts w:ascii="宋体" w:hAnsi="宋体"/>
          <w:sz w:val="24"/>
          <w:szCs w:val="24"/>
        </w:rPr>
        <w:br w:type="page" w:clear="all"/>
      </w:r>
      <w:r/>
    </w:p>
    <w:p>
      <w:pPr>
        <w:ind w:firstLine="2640"/>
        <w:jc w:val="left"/>
        <w:keepNext/>
        <w:rPr>
          <w:rFonts w:ascii="黑体" w:eastAsia="黑体"/>
          <w:bCs/>
          <w:sz w:val="44"/>
          <w:szCs w:val="28"/>
        </w:rPr>
        <w:outlineLvl w:val="0"/>
      </w:pPr>
      <w:r/>
      <w:bookmarkStart w:id="56" w:name="_Toc120614211"/>
      <w:r/>
      <w:bookmarkStart w:id="57" w:name="_Toc227167490"/>
      <w:r>
        <w:rPr>
          <w:rFonts w:hint="eastAsia" w:ascii="黑体" w:eastAsia="黑体"/>
          <w:bCs/>
          <w:sz w:val="44"/>
          <w:szCs w:val="28"/>
        </w:rPr>
        <w:t xml:space="preserve">第二章  </w:t>
      </w:r>
      <w:bookmarkStart w:id="58" w:name="_Toc513029202"/>
      <w:r/>
      <w:bookmarkStart w:id="59" w:name="_Toc120614213"/>
      <w:r/>
      <w:bookmarkStart w:id="60" w:name="_Toc20823274"/>
      <w:r/>
      <w:bookmarkStart w:id="61" w:name="_Toc16938518"/>
      <w:r/>
      <w:bookmarkEnd w:id="2"/>
      <w:r/>
      <w:bookmarkEnd w:id="3"/>
      <w:r/>
      <w:bookmarkEnd w:id="4"/>
      <w:r/>
      <w:bookmarkEnd w:id="5"/>
      <w:r/>
      <w:bookmarkEnd w:id="6"/>
      <w:r/>
      <w:bookmarkEnd w:id="56"/>
      <w:r>
        <w:rPr>
          <w:rFonts w:hint="eastAsia" w:ascii="黑体" w:eastAsia="黑体"/>
          <w:bCs/>
          <w:sz w:val="44"/>
          <w:szCs w:val="28"/>
        </w:rPr>
        <w:t xml:space="preserve">投标人须知</w:t>
      </w:r>
      <w:bookmarkEnd w:id="57"/>
      <w:r/>
      <w:bookmarkEnd w:id="58"/>
      <w:r/>
      <w:bookmarkEnd w:id="59"/>
      <w:r/>
      <w:bookmarkEnd w:id="60"/>
      <w:r/>
      <w:bookmarkEnd w:id="61"/>
      <w:r/>
      <w:r/>
    </w:p>
    <w:p>
      <w:pPr>
        <w:ind w:firstLine="498"/>
        <w:keepLines/>
        <w:keepNext/>
        <w:spacing w:before="156" w:after="156" w:line="400" w:lineRule="exact"/>
        <w:rPr>
          <w:b/>
          <w:bCs/>
          <w:sz w:val="32"/>
          <w:szCs w:val="32"/>
        </w:rPr>
        <w:outlineLvl w:val="2"/>
      </w:pPr>
      <w:r/>
      <w:bookmarkStart w:id="62" w:name="_Toc16938519"/>
      <w:r/>
      <w:bookmarkStart w:id="63" w:name="_Toc513029203"/>
      <w:r/>
      <w:bookmarkStart w:id="64" w:name="_Toc227167491"/>
      <w:r/>
      <w:bookmarkStart w:id="65" w:name="_Toc120614214"/>
      <w:r/>
      <w:bookmarkStart w:id="66" w:name="_Toc20823275"/>
      <w:r>
        <w:rPr>
          <w:rFonts w:hint="eastAsia"/>
          <w:b/>
          <w:bCs/>
          <w:sz w:val="32"/>
          <w:szCs w:val="32"/>
        </w:rPr>
        <w:t xml:space="preserve">一、总则</w:t>
      </w:r>
      <w:bookmarkEnd w:id="62"/>
      <w:r/>
      <w:bookmarkEnd w:id="63"/>
      <w:r/>
      <w:bookmarkEnd w:id="64"/>
      <w:r/>
      <w:bookmarkEnd w:id="65"/>
      <w:r/>
      <w:bookmarkEnd w:id="66"/>
      <w:r/>
      <w:r/>
    </w:p>
    <w:p>
      <w:pPr>
        <w:ind w:firstLine="420"/>
        <w:keepLines/>
        <w:keepNext/>
        <w:spacing w:line="400" w:lineRule="exact"/>
        <w:rPr>
          <w:rFonts w:ascii="Arial" w:hAnsi="Arial" w:eastAsia="黑体" w:cs="Arial"/>
          <w:sz w:val="28"/>
          <w:szCs w:val="28"/>
        </w:rPr>
        <w:outlineLvl w:val="3"/>
      </w:pPr>
      <w:r/>
      <w:bookmarkStart w:id="67" w:name="_Hlt16619475"/>
      <w:r/>
      <w:bookmarkStart w:id="68" w:name="_Toc458694821"/>
      <w:r/>
      <w:bookmarkStart w:id="69" w:name="_Toc20823276"/>
      <w:r/>
      <w:bookmarkStart w:id="70" w:name="_Toc513029204"/>
      <w:r/>
      <w:bookmarkStart w:id="71" w:name="_Toc16938520"/>
      <w:r/>
      <w:bookmarkEnd w:id="67"/>
      <w:r>
        <w:rPr>
          <w:rFonts w:hint="eastAsia" w:ascii="Arial" w:hAnsi="Arial" w:eastAsia="黑体" w:cs="Arial"/>
          <w:sz w:val="28"/>
          <w:szCs w:val="28"/>
        </w:rPr>
        <w:t xml:space="preserve">1</w:t>
      </w:r>
      <w:bookmarkEnd w:id="68"/>
      <w:r>
        <w:rPr>
          <w:rFonts w:hint="eastAsia" w:ascii="Arial" w:hAnsi="Arial" w:eastAsia="黑体" w:cs="Arial"/>
          <w:sz w:val="28"/>
          <w:szCs w:val="28"/>
        </w:rPr>
        <w:t xml:space="preserve">、招标方式</w:t>
      </w:r>
      <w:bookmarkEnd w:id="69"/>
      <w:r/>
      <w:bookmarkEnd w:id="70"/>
      <w:r/>
      <w:bookmarkEnd w:id="71"/>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72" w:name="_Toc16938521"/>
      <w:r/>
      <w:bookmarkStart w:id="73" w:name="_Toc513029205"/>
      <w:r/>
      <w:bookmarkStart w:id="74"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72"/>
      <w:r/>
      <w:bookmarkEnd w:id="73"/>
      <w:r/>
      <w:bookmarkEnd w:id="74"/>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方正魏碑_GBK" w:hAnsi="方正魏碑_GBK" w:eastAsia="方正魏碑_GBK" w:cs="方正魏碑_GBK"/>
          <w:sz w:val="28"/>
          <w:szCs w:val="28"/>
        </w:rPr>
        <w:outlineLvl w:val="3"/>
      </w:pPr>
      <w:r/>
      <w:bookmarkStart w:id="75" w:name="_Toc513029206"/>
      <w:r/>
      <w:bookmarkStart w:id="76" w:name="_Toc20823278"/>
      <w:r/>
      <w:bookmarkStart w:id="77" w:name="_Toc16938522"/>
      <w:r>
        <w:rPr>
          <w:rFonts w:hint="eastAsia" w:ascii="方正魏碑_GBK" w:hAnsi="方正魏碑_GBK" w:eastAsia="方正魏碑_GBK" w:cs="方正魏碑_GBK"/>
          <w:sz w:val="28"/>
          <w:szCs w:val="28"/>
        </w:rPr>
        <w:t xml:space="preserve">3、适用法律</w:t>
      </w:r>
      <w:bookmarkEnd w:id="75"/>
      <w:r/>
      <w:bookmarkEnd w:id="76"/>
      <w:r/>
      <w:bookmarkEnd w:id="77"/>
      <w:r>
        <w:rPr>
          <w:rFonts w:hint="eastAsia" w:ascii="方正魏碑_GBK" w:hAnsi="方正魏碑_GBK" w:eastAsia="方正魏碑_GBK" w:cs="方正魏碑_GBK"/>
          <w:sz w:val="28"/>
          <w:szCs w:val="28"/>
        </w:rPr>
        <w:t xml:space="preserve">和标准</w:t>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78" w:name="_Toc513029207"/>
      <w:r/>
      <w:bookmarkStart w:id="79" w:name="_Toc462564067"/>
      <w:r/>
      <w:bookmarkStart w:id="80" w:name="_Toc16938523"/>
      <w:r/>
      <w:bookmarkStart w:id="81"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78"/>
      <w:r/>
      <w:bookmarkEnd w:id="79"/>
      <w:r/>
      <w:bookmarkEnd w:id="80"/>
      <w:r/>
      <w:bookmarkEnd w:id="81"/>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56" w:after="156" w:line="400" w:lineRule="exact"/>
        <w:rPr>
          <w:b/>
          <w:bCs/>
          <w:sz w:val="32"/>
          <w:szCs w:val="32"/>
        </w:rPr>
        <w:outlineLvl w:val="2"/>
      </w:pPr>
      <w:r/>
      <w:bookmarkStart w:id="82" w:name="_Toc513029209"/>
      <w:r/>
      <w:bookmarkStart w:id="83" w:name="_Toc227167492"/>
      <w:r/>
      <w:bookmarkStart w:id="84" w:name="_Toc120614215"/>
      <w:r/>
      <w:bookmarkStart w:id="85" w:name="_Toc16938525"/>
      <w:r/>
      <w:bookmarkStart w:id="86" w:name="_Toc20823281"/>
      <w:r>
        <w:rPr>
          <w:rFonts w:hint="eastAsia"/>
          <w:b/>
          <w:bCs/>
          <w:sz w:val="32"/>
          <w:szCs w:val="32"/>
        </w:rPr>
        <w:t xml:space="preserve">二、招标文件</w:t>
      </w:r>
      <w:bookmarkEnd w:id="82"/>
      <w:r/>
      <w:bookmarkEnd w:id="83"/>
      <w:r/>
      <w:bookmarkEnd w:id="84"/>
      <w:r/>
      <w:bookmarkEnd w:id="85"/>
      <w:r/>
      <w:bookmarkEnd w:id="86"/>
      <w:r/>
      <w:r/>
    </w:p>
    <w:p>
      <w:pPr>
        <w:ind w:firstLine="420"/>
        <w:keepLines/>
        <w:keepNext/>
        <w:spacing w:line="400" w:lineRule="exact"/>
        <w:rPr>
          <w:rFonts w:ascii="Arial" w:hAnsi="Arial" w:eastAsia="黑体" w:cs="Arial"/>
          <w:sz w:val="28"/>
          <w:szCs w:val="28"/>
        </w:rPr>
        <w:outlineLvl w:val="3"/>
      </w:pPr>
      <w:r/>
      <w:bookmarkStart w:id="87" w:name="_Toc513029210"/>
      <w:r/>
      <w:bookmarkStart w:id="88" w:name="_Toc16938526"/>
      <w:r/>
      <w:bookmarkStart w:id="89"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87"/>
      <w:r/>
      <w:bookmarkEnd w:id="88"/>
      <w:r/>
      <w:bookmarkEnd w:id="89"/>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w:t>
      </w:r>
      <w:r>
        <w:rPr>
          <w:rFonts w:hint="eastAsia" w:ascii="宋体" w:hAnsi="宋体"/>
          <w:sz w:val="24"/>
          <w:szCs w:val="21"/>
        </w:rPr>
        <w:t xml:space="preserve">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90" w:name="_Toc20823284"/>
      <w:r/>
      <w:bookmarkStart w:id="91" w:name="_Toc16938528"/>
      <w:r/>
      <w:bookmarkStart w:id="92" w:name="_Toc513029212"/>
      <w:r/>
      <w:bookmarkStart w:id="93" w:name="_Toc462564071"/>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90"/>
      <w:r/>
      <w:bookmarkEnd w:id="91"/>
      <w:r/>
      <w:bookmarkEnd w:id="92"/>
      <w:r/>
      <w:bookmarkEnd w:id="93"/>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before="156" w:after="156" w:line="400" w:lineRule="exact"/>
        <w:rPr>
          <w:b/>
          <w:bCs/>
          <w:sz w:val="32"/>
          <w:szCs w:val="32"/>
        </w:rPr>
        <w:outlineLvl w:val="2"/>
      </w:pPr>
      <w:r/>
      <w:bookmarkStart w:id="94" w:name="_Toc120614216"/>
      <w:r/>
      <w:bookmarkStart w:id="95" w:name="_Toc513029213"/>
      <w:r/>
      <w:bookmarkStart w:id="96" w:name="_Toc227167493"/>
      <w:r/>
      <w:bookmarkStart w:id="97" w:name="_Toc20823285"/>
      <w:r/>
      <w:bookmarkStart w:id="98" w:name="_Toc462564072"/>
      <w:r/>
      <w:bookmarkStart w:id="99" w:name="_Toc16938529"/>
      <w:r>
        <w:rPr>
          <w:rFonts w:hint="eastAsia"/>
          <w:b/>
          <w:bCs/>
          <w:sz w:val="32"/>
          <w:szCs w:val="32"/>
        </w:rPr>
        <w:t xml:space="preserve">三、投标文件的编制</w:t>
      </w:r>
      <w:bookmarkEnd w:id="94"/>
      <w:r/>
      <w:bookmarkEnd w:id="95"/>
      <w:r/>
      <w:bookmarkEnd w:id="96"/>
      <w:r/>
      <w:bookmarkEnd w:id="97"/>
      <w:r/>
      <w:bookmarkEnd w:id="98"/>
      <w:r/>
      <w:bookmarkEnd w:id="99"/>
      <w:r/>
      <w:r/>
    </w:p>
    <w:p>
      <w:pPr>
        <w:ind w:firstLine="560"/>
        <w:keepLines/>
        <w:keepNext/>
        <w:spacing w:line="400" w:lineRule="exact"/>
        <w:rPr>
          <w:rFonts w:ascii="Arial" w:hAnsi="Arial" w:eastAsia="黑体" w:cs="Arial"/>
          <w:b/>
          <w:sz w:val="28"/>
          <w:szCs w:val="28"/>
        </w:rPr>
        <w:outlineLvl w:val="3"/>
      </w:pPr>
      <w:r/>
      <w:bookmarkStart w:id="100" w:name="_Toc462564073"/>
      <w:r/>
      <w:bookmarkStart w:id="101" w:name="_Toc16938530"/>
      <w:r/>
      <w:bookmarkStart w:id="102" w:name="_Toc20823286"/>
      <w:r/>
      <w:bookmarkStart w:id="103" w:name="_Toc513029214"/>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100"/>
      <w:r/>
      <w:bookmarkEnd w:id="101"/>
      <w:r/>
      <w:bookmarkEnd w:id="102"/>
      <w:r/>
      <w:bookmarkEnd w:id="103"/>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104" w:name="_Toc16938531"/>
      <w:r/>
      <w:bookmarkStart w:id="105" w:name="_Toc20823287"/>
      <w:r/>
      <w:bookmarkStart w:id="106" w:name="_Toc462564074"/>
      <w:r/>
      <w:bookmarkStart w:id="107"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104"/>
      <w:r/>
      <w:bookmarkEnd w:id="105"/>
      <w:r/>
      <w:bookmarkEnd w:id="106"/>
      <w:r/>
      <w:bookmarkEnd w:id="107"/>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108" w:name="_Hlt26954838"/>
      <w:r/>
      <w:bookmarkStart w:id="109" w:name="_Hlt26668975"/>
      <w:r/>
      <w:bookmarkStart w:id="110" w:name="_Hlt26670360"/>
      <w:r/>
      <w:bookmarkStart w:id="111" w:name="_Toc49090509"/>
      <w:r/>
      <w:bookmarkStart w:id="112" w:name="_Toc14577357"/>
      <w:r/>
      <w:bookmarkStart w:id="113" w:name="_Toc513029219"/>
      <w:r/>
      <w:bookmarkStart w:id="114" w:name="_Toc513029216"/>
      <w:r/>
      <w:bookmarkStart w:id="115" w:name="_Toc49090507"/>
      <w:r/>
      <w:bookmarkStart w:id="116" w:name="_Toc14577354"/>
      <w:r/>
      <w:bookmarkStart w:id="117" w:name="_Toc14577355"/>
      <w:r/>
      <w:bookmarkStart w:id="118" w:name="_Toc49090508"/>
      <w:r/>
      <w:bookmarkEnd w:id="108"/>
      <w:r/>
      <w:bookmarkEnd w:id="109"/>
      <w:r/>
      <w:bookmarkEnd w:id="110"/>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111"/>
      <w:r/>
      <w:bookmarkEnd w:id="112"/>
      <w:r/>
      <w:bookmarkEnd w:id="113"/>
      <w:r/>
      <w:bookmarkEnd w:id="114"/>
      <w:bookmarkEnd w:id="115"/>
      <w:bookmarkEnd w:id="116"/>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17"/>
      <w:bookmarkEnd w:id="118"/>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9" w:name="_Hlt26954840"/>
      <w:r/>
      <w:bookmarkEnd w:id="119"/>
      <w:r>
        <w:rPr>
          <w:rFonts w:hint="eastAsia" w:ascii="宋体" w:hAnsi="宋体"/>
          <w:sz w:val="24"/>
          <w:szCs w:val="21"/>
        </w:rPr>
        <w:t xml:space="preserve">标人按照招标文件规定格式填报投标分项报价表</w:t>
      </w:r>
      <w:bookmarkStart w:id="120" w:name="_Hlt26670399"/>
      <w:r/>
      <w:bookmarkEnd w:id="120"/>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21" w:name="_Hlt26670486"/>
      <w:r/>
      <w:bookmarkStart w:id="122" w:name="_Hlt26954848"/>
      <w:r/>
      <w:bookmarkStart w:id="123" w:name="_Hlt26954846"/>
      <w:r/>
      <w:bookmarkStart w:id="124" w:name="_Hlt26670482"/>
      <w:r/>
      <w:bookmarkStart w:id="125" w:name="_Hlt26954731"/>
      <w:r/>
      <w:bookmarkEnd w:id="121"/>
      <w:r/>
      <w:bookmarkEnd w:id="122"/>
      <w:r/>
      <w:bookmarkEnd w:id="123"/>
      <w:r/>
      <w:bookmarkEnd w:id="124"/>
      <w:r/>
      <w:bookmarkEnd w:id="125"/>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26" w:name="_Toc49090510"/>
      <w:r/>
      <w:bookmarkStart w:id="127"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sz w:val="28"/>
          <w:szCs w:val="28"/>
        </w:rPr>
        <w:outlineLvl w:val="3"/>
      </w:pPr>
      <w:r/>
      <w:bookmarkStart w:id="128" w:name="_Toc14577360"/>
      <w:r/>
      <w:bookmarkStart w:id="129" w:name="_Toc49090511"/>
      <w:r/>
      <w:bookmarkEnd w:id="126"/>
      <w:r/>
      <w:bookmarkEnd w:id="127"/>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28"/>
      <w:r/>
      <w:bookmarkEnd w:id="129"/>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b/>
          <w:bCs/>
          <w:sz w:val="32"/>
          <w:szCs w:val="32"/>
        </w:rPr>
        <w:outlineLvl w:val="2"/>
      </w:pPr>
      <w:r/>
      <w:bookmarkStart w:id="130" w:name="_Hlt26954852"/>
      <w:r/>
      <w:bookmarkStart w:id="131" w:name="_Hlt26954739"/>
      <w:r/>
      <w:bookmarkStart w:id="132" w:name="_Toc513029224"/>
      <w:r/>
      <w:bookmarkStart w:id="133" w:name="_Toc16938540"/>
      <w:r/>
      <w:bookmarkStart w:id="134" w:name="_Toc227167494"/>
      <w:r/>
      <w:bookmarkStart w:id="135" w:name="_Toc120614217"/>
      <w:r/>
      <w:bookmarkStart w:id="136" w:name="_Toc20823296"/>
      <w:r/>
      <w:bookmarkEnd w:id="130"/>
      <w:r/>
      <w:bookmarkEnd w:id="131"/>
      <w:r>
        <w:rPr>
          <w:rFonts w:hint="eastAsia"/>
          <w:b/>
          <w:bCs/>
          <w:sz w:val="32"/>
          <w:szCs w:val="32"/>
        </w:rPr>
        <w:t xml:space="preserve">四、投标文件的递交</w:t>
      </w:r>
      <w:bookmarkEnd w:id="132"/>
      <w:r/>
      <w:bookmarkEnd w:id="133"/>
      <w:r/>
      <w:bookmarkEnd w:id="134"/>
      <w:r/>
      <w:bookmarkEnd w:id="135"/>
      <w:r/>
      <w:bookmarkEnd w:id="136"/>
      <w:r/>
      <w:r/>
    </w:p>
    <w:p>
      <w:pPr>
        <w:ind w:firstLine="420"/>
        <w:keepLines/>
        <w:keepNext/>
        <w:spacing w:line="400" w:lineRule="exact"/>
        <w:rPr>
          <w:rFonts w:ascii="黑体" w:hAnsi="Arial" w:eastAsia="黑体" w:cs="Arial"/>
          <w:sz w:val="28"/>
          <w:szCs w:val="28"/>
        </w:rPr>
        <w:outlineLvl w:val="3"/>
      </w:pPr>
      <w:r/>
      <w:bookmarkStart w:id="137" w:name="_Toc513029225"/>
      <w:r/>
      <w:bookmarkStart w:id="138" w:name="_Toc462564084"/>
      <w:r/>
      <w:bookmarkStart w:id="139" w:name="_Toc20823297"/>
      <w:r/>
      <w:bookmarkStart w:id="140"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37"/>
      <w:r/>
      <w:bookmarkEnd w:id="138"/>
      <w:r/>
      <w:bookmarkEnd w:id="139"/>
      <w:r/>
      <w:bookmarkEnd w:id="140"/>
      <w:r>
        <w:rPr>
          <w:rFonts w:hint="eastAsia" w:ascii="黑体" w:hAnsi="Arial" w:eastAsia="黑体" w:cs="Arial"/>
          <w:sz w:val="28"/>
          <w:szCs w:val="28"/>
        </w:rPr>
        <w:t xml:space="preserve">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bookmarkStart w:id="141" w:name="_Toc20823298"/>
      <w:r/>
      <w:bookmarkStart w:id="142" w:name="_Toc513029226"/>
      <w:r/>
      <w:bookmarkStart w:id="143" w:name="_Toc16938542"/>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41"/>
      <w:r/>
      <w:bookmarkEnd w:id="142"/>
      <w:r/>
      <w:bookmarkEnd w:id="143"/>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44" w:name="_Toc20823299"/>
      <w:r/>
      <w:bookmarkStart w:id="145" w:name="_Toc513029227"/>
      <w:r/>
      <w:bookmarkStart w:id="146"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44"/>
      <w:r/>
      <w:bookmarkEnd w:id="145"/>
      <w:r/>
      <w:bookmarkEnd w:id="146"/>
      <w:r>
        <w:rPr>
          <w:rFonts w:hint="eastAsia" w:ascii="Arial" w:hAnsi="Arial" w:eastAsia="黑体" w:cs="Arial"/>
          <w:sz w:val="28"/>
          <w:szCs w:val="28"/>
        </w:rPr>
        <w:t xml:space="preserve">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47" w:name="_Toc513029228"/>
      <w:r/>
      <w:bookmarkStart w:id="148" w:name="_Toc20823300"/>
      <w:r/>
      <w:bookmarkStart w:id="149"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47"/>
      <w:r/>
      <w:bookmarkEnd w:id="148"/>
      <w:r/>
      <w:bookmarkEnd w:id="149"/>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b/>
          <w:bCs/>
          <w:sz w:val="32"/>
          <w:szCs w:val="32"/>
        </w:rPr>
        <w:outlineLvl w:val="2"/>
      </w:pPr>
      <w:r/>
      <w:bookmarkStart w:id="150" w:name="_Toc120614218"/>
      <w:r/>
      <w:bookmarkStart w:id="151" w:name="_Toc513029229"/>
      <w:r/>
      <w:bookmarkStart w:id="152" w:name="_Toc16938545"/>
      <w:r/>
      <w:bookmarkStart w:id="153" w:name="_Toc227167495"/>
      <w:r/>
      <w:bookmarkStart w:id="154" w:name="_Toc20823301"/>
      <w:r>
        <w:rPr>
          <w:rFonts w:hint="eastAsia"/>
          <w:b/>
          <w:bCs/>
          <w:sz w:val="32"/>
          <w:szCs w:val="32"/>
        </w:rPr>
        <w:t xml:space="preserve">五、开标与评标</w:t>
      </w:r>
      <w:bookmarkEnd w:id="150"/>
      <w:r/>
      <w:bookmarkEnd w:id="151"/>
      <w:r/>
      <w:bookmarkEnd w:id="152"/>
      <w:r/>
      <w:bookmarkEnd w:id="153"/>
      <w:r/>
      <w:bookmarkEnd w:id="154"/>
      <w:r/>
      <w:r/>
    </w:p>
    <w:p>
      <w:pPr>
        <w:ind w:firstLine="420"/>
        <w:keepLines/>
        <w:keepNext/>
        <w:spacing w:line="400" w:lineRule="exact"/>
        <w:rPr>
          <w:rFonts w:ascii="Arial" w:hAnsi="Arial" w:eastAsia="黑体" w:cs="Arial"/>
          <w:sz w:val="28"/>
          <w:szCs w:val="28"/>
        </w:rPr>
        <w:outlineLvl w:val="3"/>
      </w:pPr>
      <w:r/>
      <w:bookmarkStart w:id="155" w:name="_Toc513029230"/>
      <w:r/>
      <w:bookmarkStart w:id="156" w:name="_Toc16938546"/>
      <w:r/>
      <w:bookmarkStart w:id="157"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55"/>
      <w:r/>
      <w:bookmarkEnd w:id="156"/>
      <w:r/>
      <w:bookmarkEnd w:id="157"/>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58" w:name="_Toc16938547"/>
      <w:r/>
      <w:bookmarkStart w:id="159" w:name="_Toc513029231"/>
      <w:r/>
      <w:bookmarkStart w:id="160"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58"/>
      <w:bookmarkEnd w:id="159"/>
      <w:bookmarkEnd w:id="160"/>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bookmarkStart w:id="161" w:name="_Toc513029232"/>
      <w:r/>
      <w:bookmarkStart w:id="162" w:name="_Toc20823304"/>
      <w:r/>
      <w:bookmarkStart w:id="163"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61"/>
      <w:r/>
      <w:bookmarkEnd w:id="162"/>
      <w:r/>
      <w:bookmarkEnd w:id="163"/>
      <w:r/>
      <w:r/>
    </w:p>
    <w:p>
      <w:pPr>
        <w:ind w:firstLine="480"/>
        <w:spacing w:line="400" w:lineRule="exact"/>
        <w:rPr>
          <w:rFonts w:hint="eastAsia" w:ascii="宋体" w:hAnsi="宋体"/>
          <w:sz w:val="24"/>
          <w:szCs w:val="24"/>
        </w:rPr>
      </w:pPr>
      <w:r/>
      <w:bookmarkStart w:id="164" w:name="_Toc16938549"/>
      <w:r/>
      <w:bookmarkStart w:id="165" w:name="_Toc20823305"/>
      <w:r/>
      <w:bookmarkStart w:id="166"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64"/>
      <w:r/>
      <w:bookmarkEnd w:id="165"/>
      <w:r/>
      <w:bookmarkEnd w:id="166"/>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t>
      </w:r>
      <w:r>
        <w:rPr>
          <w:bCs/>
          <w:szCs w:val="21"/>
        </w:rPr>
        <w:t xml:space="preserve">www.creditchina.gov.cn</w:t>
      </w:r>
      <w:r>
        <w:rPr>
          <w:bCs/>
          <w:szCs w:val="21"/>
        </w:rPr>
        <w:t xml:space="preserve">）</w:t>
      </w:r>
      <w:r>
        <w:rPr>
          <w:rFonts w:hint="eastAsia" w:ascii="宋体" w:hAnsi="宋体"/>
          <w:bCs/>
          <w:sz w:val="24"/>
          <w:szCs w:val="21"/>
        </w:rPr>
        <w:t xml:space="preserve">查询投标人的信用记录，以确定投标人是否具备投标资格,查询结果留存并归档。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bookmarkStart w:id="167" w:name="_Toc513029234"/>
      <w:r/>
      <w:bookmarkStart w:id="168" w:name="_Toc20823306"/>
      <w:r/>
      <w:bookmarkStart w:id="169" w:name="_Toc16938550"/>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w:t>
      </w:r>
      <w:r>
        <w:rPr>
          <w:rFonts w:hint="eastAsia" w:ascii="方正魏碑_GBK" w:hAnsi="方正魏碑_GBK" w:eastAsia="方正魏碑_GBK" w:cs="方正魏碑_GBK"/>
          <w:sz w:val="24"/>
          <w:szCs w:val="21"/>
        </w:rPr>
        <w:t xml:space="preserve">作出</w:t>
      </w:r>
      <w:r>
        <w:rPr>
          <w:rFonts w:hint="eastAsia" w:ascii="方正魏碑_GBK" w:hAnsi="方正魏碑_GBK" w:eastAsia="方正魏碑_GBK" w:cs="方正魏碑_GBK"/>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7"/>
      <w:r/>
      <w:bookmarkEnd w:id="168"/>
      <w:r/>
      <w:bookmarkEnd w:id="169"/>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hint="eastAsia" w:ascii="宋体" w:hAnsi="宋体"/>
          <w:bCs/>
          <w:sz w:val="24"/>
          <w:szCs w:val="21"/>
        </w:rPr>
      </w:pPr>
      <w:r/>
      <w:bookmarkStart w:id="170" w:name="_Toc16938551"/>
      <w:r/>
      <w:bookmarkStart w:id="171" w:name="_Toc20823307"/>
      <w:r/>
      <w:bookmarkStart w:id="172"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w:t>
      </w:r>
      <w:r>
        <w:rPr>
          <w:rFonts w:hint="eastAsia" w:ascii="宋体" w:hAnsi="宋体"/>
          <w:sz w:val="24"/>
          <w:szCs w:val="21"/>
        </w:rPr>
        <w:t xml:space="preserve">国家发改委</w:t>
      </w:r>
      <w:r>
        <w:rPr>
          <w:rFonts w:hint="eastAsia" w:ascii="宋体" w:hAnsi="宋体"/>
          <w:sz w:val="24"/>
          <w:szCs w:val="21"/>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00" w:lineRule="exact"/>
        <w:rPr>
          <w:rFonts w:hint="eastAsia" w:ascii="宋体" w:hAnsi="宋体"/>
          <w:bCs/>
          <w:sz w:val="24"/>
          <w:szCs w:val="21"/>
        </w:rPr>
      </w:pPr>
      <w:r>
        <w:rPr>
          <w:rFonts w:hint="eastAsia" w:ascii="宋体" w:hAnsi="宋体"/>
          <w:bCs/>
          <w:sz w:val="24"/>
          <w:szCs w:val="21"/>
        </w:rPr>
        <w:t xml:space="preserve">26.1.13 投标人所投标产品不符合招标文件中所列国家强制性标准的。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w:t>
      </w:r>
      <w:r>
        <w:rPr>
          <w:rFonts w:hint="eastAsia" w:ascii="宋体" w:hAnsi="宋体"/>
          <w:bCs/>
          <w:sz w:val="24"/>
          <w:szCs w:val="21"/>
        </w:rPr>
        <w:t xml:space="preserve">废标条款</w:t>
      </w:r>
      <w:r>
        <w:rPr>
          <w:rFonts w:hint="eastAsia" w:ascii="宋体" w:hAnsi="宋体"/>
          <w:bCs/>
          <w:sz w:val="24"/>
          <w:szCs w:val="21"/>
        </w:rPr>
        <w:t xml:space="preserve">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b/>
          <w:bCs/>
          <w:sz w:val="32"/>
          <w:szCs w:val="32"/>
        </w:rPr>
        <w:outlineLvl w:val="2"/>
      </w:pPr>
      <w:r/>
      <w:bookmarkStart w:id="173" w:name="_Toc227167496"/>
      <w:r/>
      <w:bookmarkStart w:id="174" w:name="_Toc120614219"/>
      <w:r>
        <w:rPr>
          <w:rFonts w:hint="eastAsia"/>
          <w:b/>
          <w:bCs/>
          <w:sz w:val="32"/>
          <w:szCs w:val="32"/>
        </w:rPr>
        <w:t xml:space="preserve">六、</w:t>
      </w:r>
      <w:bookmarkEnd w:id="170"/>
      <w:r/>
      <w:bookmarkEnd w:id="171"/>
      <w:r/>
      <w:bookmarkEnd w:id="172"/>
      <w:r>
        <w:rPr>
          <w:rFonts w:hint="eastAsia"/>
          <w:b/>
          <w:bCs/>
          <w:sz w:val="32"/>
          <w:szCs w:val="32"/>
        </w:rPr>
        <w:t xml:space="preserve">定标</w:t>
      </w:r>
      <w:bookmarkEnd w:id="173"/>
      <w:r/>
      <w:bookmarkEnd w:id="174"/>
      <w:r/>
      <w:r/>
    </w:p>
    <w:p>
      <w:pPr>
        <w:ind w:firstLine="600"/>
        <w:keepLines/>
        <w:keepNext/>
        <w:spacing w:line="400" w:lineRule="exact"/>
        <w:rPr>
          <w:rFonts w:hint="eastAsia" w:ascii="黑体" w:hAnsi="宋体" w:eastAsia="黑体"/>
          <w:bCs/>
          <w:sz w:val="30"/>
          <w:szCs w:val="30"/>
        </w:rPr>
        <w:outlineLvl w:val="3"/>
      </w:pPr>
      <w:r/>
      <w:bookmarkStart w:id="175" w:name="_Toc513029238"/>
      <w:r/>
      <w:bookmarkStart w:id="176" w:name="_Toc20823310"/>
      <w:r/>
      <w:bookmarkStart w:id="177"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75"/>
      <w:r>
        <w:rPr>
          <w:rFonts w:hint="eastAsia" w:ascii="黑体" w:hAnsi="宋体" w:eastAsia="黑体"/>
          <w:bCs/>
          <w:sz w:val="30"/>
          <w:szCs w:val="30"/>
        </w:rPr>
        <w:t xml:space="preserve">确定</w:t>
      </w:r>
      <w:bookmarkEnd w:id="176"/>
      <w:r/>
      <w:bookmarkEnd w:id="177"/>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7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78"/>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w:t>
      </w:r>
      <w:r>
        <w:rPr>
          <w:rFonts w:hint="eastAsia" w:ascii="宋体" w:hAnsi="宋体"/>
          <w:sz w:val="24"/>
          <w:szCs w:val="24"/>
        </w:rPr>
        <w:t xml:space="preserve">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bookmarkStart w:id="179" w:name="_Toc227167497"/>
      <w:r/>
      <w:bookmarkStart w:id="180" w:name="_Toc120614220"/>
      <w:r/>
      <w:bookmarkStart w:id="181" w:name="_Toc513029236"/>
      <w:r/>
      <w:bookmarkStart w:id="182" w:name="_Toc16938552"/>
      <w:r/>
      <w:bookmarkStart w:id="183" w:name="_Toc20823308"/>
      <w:r>
        <w:rPr>
          <w:rFonts w:hint="eastAsia"/>
          <w:b/>
          <w:bCs/>
          <w:sz w:val="32"/>
          <w:szCs w:val="32"/>
        </w:rPr>
        <w:t xml:space="preserve">七、授予合同</w:t>
      </w:r>
      <w:bookmarkEnd w:id="179"/>
      <w:r/>
      <w:bookmarkEnd w:id="180"/>
      <w:r/>
      <w:r/>
    </w:p>
    <w:p>
      <w:pPr>
        <w:ind w:firstLine="600"/>
        <w:keepLines/>
        <w:keepNext/>
        <w:spacing w:line="400" w:lineRule="exact"/>
        <w:rPr>
          <w:rFonts w:hint="eastAsia" w:ascii="黑体" w:hAnsi="宋体" w:eastAsia="黑体"/>
          <w:bCs/>
          <w:sz w:val="30"/>
          <w:szCs w:val="30"/>
        </w:rPr>
        <w:outlineLvl w:val="3"/>
      </w:pPr>
      <w:r/>
      <w:bookmarkStart w:id="184" w:name="_Toc16938553"/>
      <w:r/>
      <w:bookmarkStart w:id="185" w:name="_Toc20823309"/>
      <w:r/>
      <w:bookmarkStart w:id="186" w:name="_Toc513029237"/>
      <w:r/>
      <w:bookmarkEnd w:id="181"/>
      <w:r/>
      <w:bookmarkEnd w:id="182"/>
      <w:r/>
      <w:bookmarkEnd w:id="18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w:t>
      </w:r>
      <w:r>
        <w:rPr>
          <w:rFonts w:hint="eastAsia" w:ascii="宋体" w:hAnsi="宋体"/>
          <w:sz w:val="24"/>
          <w:szCs w:val="24"/>
        </w:rPr>
        <w:t xml:space="preserve">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黑体" w:hAnsi="宋体" w:eastAsia="黑体"/>
          <w:bCs/>
          <w:sz w:val="30"/>
          <w:szCs w:val="30"/>
        </w:rPr>
        <w:outlineLvl w:val="3"/>
      </w:pPr>
      <w:r/>
      <w:bookmarkStart w:id="187" w:name="_Toc16938558"/>
      <w:r/>
      <w:bookmarkStart w:id="188" w:name="_Toc20823314"/>
      <w:r/>
      <w:bookmarkStart w:id="189" w:name="_Toc479757207"/>
      <w:r/>
      <w:bookmarkStart w:id="190" w:name="_Toc120614221"/>
      <w:r/>
      <w:bookmarkStart w:id="191" w:name="_Toc513029242"/>
      <w:r/>
      <w:bookmarkEnd w:id="184"/>
      <w:r/>
      <w:bookmarkEnd w:id="185"/>
      <w:r/>
      <w:bookmarkEnd w:id="186"/>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555"/>
        <w:spacing w:line="400" w:lineRule="exact"/>
        <w:rPr>
          <w:rFonts w:hint="eastAsia" w:ascii="宋体" w:hAnsi="宋体"/>
          <w:bCs/>
          <w:sz w:val="24"/>
          <w:szCs w:val="24"/>
        </w:rPr>
      </w:pPr>
      <w:r>
        <w:rPr>
          <w:rFonts w:hint="eastAsia" w:ascii="宋体" w:hAnsi="宋体"/>
          <w:bCs/>
          <w:sz w:val="24"/>
          <w:szCs w:val="24"/>
        </w:rPr>
      </w:r>
      <w:r/>
    </w:p>
    <w:p>
      <w:pPr>
        <w:ind w:firstLine="555"/>
        <w:spacing w:line="400" w:lineRule="exact"/>
        <w:rPr>
          <w:rFonts w:hint="eastAsia" w:ascii="宋体" w:hAnsi="宋体"/>
          <w:bCs/>
          <w:sz w:val="24"/>
          <w:szCs w:val="24"/>
        </w:rPr>
      </w:pPr>
      <w:r>
        <w:rPr>
          <w:rFonts w:hint="eastAsia" w:ascii="宋体" w:hAnsi="宋体"/>
          <w:bCs/>
          <w:sz w:val="24"/>
          <w:szCs w:val="24"/>
        </w:rPr>
      </w:r>
      <w:r/>
    </w:p>
    <w:p>
      <w:pPr>
        <w:ind w:firstLine="1260"/>
        <w:jc w:val="center"/>
        <w:keepNext/>
        <w:rPr>
          <w:rFonts w:ascii="黑体" w:eastAsia="黑体"/>
          <w:bCs/>
          <w:sz w:val="44"/>
          <w:szCs w:val="28"/>
        </w:rPr>
        <w:outlineLvl w:val="0"/>
      </w:pPr>
      <w:r>
        <w:rPr>
          <w:szCs w:val="21"/>
        </w:rPr>
        <w:br w:type="page" w:clear="all"/>
      </w:r>
      <w:bookmarkStart w:id="192" w:name="_Toc227167498"/>
      <w:r>
        <w:rPr>
          <w:rFonts w:hint="eastAsia" w:ascii="黑体" w:eastAsia="黑体"/>
          <w:bCs/>
          <w:sz w:val="44"/>
          <w:szCs w:val="28"/>
        </w:rPr>
        <w:t xml:space="preserve">第三章  合同</w:t>
      </w:r>
      <w:bookmarkEnd w:id="187"/>
      <w:r/>
      <w:bookmarkEnd w:id="188"/>
      <w:r/>
      <w:bookmarkEnd w:id="189"/>
      <w:r/>
      <w:bookmarkEnd w:id="190"/>
      <w:r/>
      <w:bookmarkEnd w:id="191"/>
      <w:r>
        <w:rPr>
          <w:rFonts w:hint="eastAsia" w:ascii="黑体" w:eastAsia="黑体"/>
          <w:bCs/>
          <w:sz w:val="44"/>
          <w:szCs w:val="28"/>
        </w:rPr>
        <w:t xml:space="preserve">文本</w:t>
      </w:r>
      <w:bookmarkEnd w:id="192"/>
      <w:r/>
      <w:r/>
    </w:p>
    <w:p>
      <w:pPr>
        <w:spacing w:line="400" w:lineRule="exact"/>
        <w:rPr>
          <w:rFonts w:hint="eastAsia" w:ascii="宋体" w:hAnsi="宋体"/>
          <w:bCs/>
          <w:sz w:val="24"/>
          <w:szCs w:val="24"/>
        </w:rPr>
      </w:pPr>
      <w:r/>
      <w:bookmarkStart w:id="193" w:name="_Toc513029243"/>
      <w:r/>
      <w:bookmarkStart w:id="194" w:name="_Toc16938559"/>
      <w:r/>
      <w:bookmarkStart w:id="195" w:name="_Toc20823315"/>
      <w:r/>
      <w:bookmarkStart w:id="196" w:name="_Toc3995"/>
      <w:r/>
      <w:bookmarkStart w:id="197" w:name="_Hlt16619350"/>
      <w:r/>
      <w:bookmarkStart w:id="198" w:name="_Toc16938590"/>
      <w:r/>
      <w:bookmarkStart w:id="199" w:name="_Toc120614244"/>
      <w:r/>
      <w:bookmarkStart w:id="200" w:name="_Toc20823346"/>
      <w:r/>
      <w:bookmarkStart w:id="201" w:name="_Toc462564139"/>
      <w:r/>
      <w:bookmarkStart w:id="202" w:name="_Toc479757211"/>
      <w:r/>
      <w:r/>
    </w:p>
    <w:p>
      <w:pPr>
        <w:spacing w:line="500" w:lineRule="exact"/>
        <w:rPr>
          <w:rFonts w:hint="eastAsia" w:ascii="宋体" w:hAnsi="宋体"/>
          <w:bCs/>
          <w:sz w:val="24"/>
          <w:szCs w:val="24"/>
        </w:rPr>
      </w:pPr>
      <w:r>
        <w:rPr>
          <w:rFonts w:hint="eastAsia" w:ascii="宋体" w:hAnsi="宋体"/>
          <w:bCs/>
          <w:sz w:val="24"/>
          <w:szCs w:val="24"/>
        </w:rPr>
      </w:r>
      <w:bookmarkEnd w:id="193"/>
      <w:bookmarkEnd w:id="194"/>
      <w:bookmarkEnd w:id="195"/>
      <w:bookmarkEnd w:id="196"/>
      <w:r/>
    </w:p>
    <w:p>
      <w:pPr>
        <w:pStyle w:val="831"/>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831"/>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831"/>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31"/>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17"/>
        <w:spacing w:line="400" w:lineRule="exact"/>
        <w:rPr>
          <w:rFonts w:hint="eastAsia" w:ascii="黑体" w:hAnsi="华文中宋" w:eastAsia="黑体"/>
          <w:b w:val="0"/>
          <w:bCs w:val="0"/>
          <w:sz w:val="28"/>
          <w:szCs w:val="28"/>
        </w:rPr>
      </w:pPr>
      <w:r/>
      <w:bookmarkStart w:id="203" w:name="_Toc22716749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03"/>
      <w:r>
        <w:rPr>
          <w:rFonts w:hint="eastAsia" w:ascii="黑体" w:hAnsi="华文中宋" w:eastAsia="黑体"/>
          <w:b w:val="0"/>
          <w:bCs w:val="0"/>
          <w:sz w:val="28"/>
          <w:szCs w:val="28"/>
        </w:rPr>
        <w:t xml:space="preserve"> </w:t>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19"/>
        <w:ind w:left="0"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spacing w:line="400" w:lineRule="exact"/>
        <w:rPr>
          <w:rFonts w:hint="eastAsia" w:ascii="宋体" w:hAnsi="宋体"/>
          <w:b/>
          <w:szCs w:val="21"/>
        </w:rPr>
      </w:pPr>
      <w:r>
        <w:rPr>
          <w:rFonts w:hint="eastAsia" w:ascii="宋体" w:hAnsi="宋体"/>
          <w:b/>
          <w:szCs w:val="21"/>
        </w:rPr>
        <w:t xml:space="preserve">项目信息</w:t>
      </w:r>
      <w:r/>
    </w:p>
    <w:p>
      <w:pPr>
        <w:pStyle w:val="919"/>
        <w:numPr>
          <w:ilvl w:val="0"/>
          <w:numId w:val="6"/>
        </w:numPr>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19"/>
        <w:ind w:left="0"/>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19"/>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1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16"/>
        <w:ind w:firstLine="42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16"/>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16"/>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6"/>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16"/>
        <w:ind w:firstLine="42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16"/>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16"/>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16"/>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16"/>
        <w:rPr>
          <w:rFonts w:hint="eastAsia"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16"/>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16"/>
        <w:ind w:firstLine="42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16"/>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16"/>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884"/>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916"/>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16"/>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5"/>
        </w:numPr>
        <w:spacing w:line="400" w:lineRule="exact"/>
        <w:rPr>
          <w:rFonts w:hint="eastAsia" w:ascii="宋体" w:hAnsi="宋体"/>
          <w:b/>
          <w:szCs w:val="21"/>
        </w:rPr>
      </w:pPr>
      <w:r>
        <w:rPr>
          <w:rFonts w:hint="eastAsia" w:ascii="宋体" w:hAnsi="宋体"/>
          <w:b/>
          <w:szCs w:val="21"/>
        </w:rPr>
        <w:t xml:space="preserve">合同验收</w:t>
      </w:r>
      <w:r/>
    </w:p>
    <w:p>
      <w:pPr>
        <w:numPr>
          <w:ilvl w:val="0"/>
          <w:numId w:val="7"/>
        </w:numPr>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16"/>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916"/>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5"/>
        </w:numPr>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20"/>
        <w:spacing w:line="400" w:lineRule="exact"/>
        <w:rPr>
          <w:rFonts w:hint="eastAsia" w:ascii="宋体" w:hAnsi="宋体"/>
          <w:szCs w:val="21"/>
        </w:rPr>
      </w:pPr>
      <w:r>
        <w:rPr>
          <w:rFonts w:ascii="宋体" w:hAnsi="宋体"/>
          <w:szCs w:val="21"/>
        </w:rPr>
        <w:t xml:space="preserve">  </w:t>
      </w:r>
      <w:r/>
    </w:p>
    <w:p>
      <w:pPr>
        <w:pStyle w:val="884"/>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0"/>
        <w:gridCol w:w="3078"/>
        <w:gridCol w:w="1160"/>
        <w:gridCol w:w="2827"/>
      </w:tblGrid>
      <w:tr>
        <w:trP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cantSplit/>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91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17"/>
        <w:spacing w:before="156"/>
        <w:rPr>
          <w:rFonts w:hint="eastAsia" w:ascii="黑体" w:hAnsi="黑体" w:eastAsia="黑体"/>
          <w:sz w:val="28"/>
          <w:szCs w:val="28"/>
        </w:rPr>
      </w:pPr>
      <w:r>
        <w:rPr>
          <w:rFonts w:ascii="宋体" w:hAnsi="宋体"/>
          <w:sz w:val="21"/>
          <w:szCs w:val="21"/>
          <w:u w:val="single"/>
        </w:rPr>
        <w:br w:type="page" w:clear="all"/>
      </w:r>
      <w:bookmarkStart w:id="204" w:name="_Toc227167500"/>
      <w:r>
        <w:rPr>
          <w:rFonts w:hint="eastAsia" w:ascii="黑体" w:hAnsi="黑体" w:eastAsia="黑体"/>
          <w:b w:val="0"/>
          <w:bCs w:val="0"/>
          <w:sz w:val="28"/>
          <w:szCs w:val="28"/>
        </w:rPr>
        <w:t xml:space="preserve">第二节 政府采购合同通用条款</w:t>
      </w:r>
      <w:bookmarkEnd w:id="204"/>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16"/>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2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spacing w:line="400" w:lineRule="exact"/>
      </w:pPr>
      <w:r>
        <w:rPr>
          <w:rFonts w:hint="eastAsia" w:ascii="宋体" w:hAnsi="宋体"/>
          <w:szCs w:val="21"/>
        </w:rPr>
        <w:t xml:space="preserve">13.1 </w:t>
      </w:r>
      <w:r>
        <w:rPr>
          <w:rFonts w:hint="eastAsia" w:ascii="宋体" w:hAnsi="宋体" w:cs="宋体"/>
          <w:szCs w:val="15"/>
        </w:rPr>
        <w:t xml:space="preserve">本项不收取履约保证金。</w:t>
      </w:r>
      <w:r>
        <w:rPr>
          <w:rFonts w:hint="eastAsia" w:ascii="宋体" w:hAnsi="宋体"/>
          <w:szCs w:val="21"/>
        </w:rPr>
        <w:t xml:space="preserve">        </w:t>
      </w:r>
      <w:r>
        <w:rPr>
          <w:rFonts w:hint="eastAsia" w:ascii="宋体" w:hAnsi="宋体" w:cs="宋体"/>
          <w:szCs w:val="15"/>
        </w:rPr>
        <w:t xml:space="preserve"> </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w:t>
      </w:r>
      <w:r>
        <w:rPr>
          <w:rFonts w:hint="eastAsia" w:ascii="宋体" w:hAnsi="宋体"/>
          <w:szCs w:val="21"/>
        </w:rPr>
        <w:t xml:space="preserve">合同并要求乙方承担由此给甲方造成的损失。</w:t>
      </w:r>
      <w:r/>
    </w:p>
    <w:p>
      <w:pPr>
        <w:pStyle w:val="916"/>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6"/>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6"/>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1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1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16"/>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16"/>
        <w:ind w:firstLine="42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17"/>
        <w:rPr>
          <w:rFonts w:hint="eastAsia" w:ascii="黑体" w:hAnsi="华文中宋" w:eastAsia="黑体"/>
          <w:b w:val="0"/>
          <w:bCs w:val="0"/>
          <w:sz w:val="28"/>
          <w:szCs w:val="28"/>
        </w:rPr>
      </w:pPr>
      <w:r/>
      <w:bookmarkStart w:id="205" w:name="_Toc227167501"/>
      <w:r>
        <w:rPr>
          <w:rFonts w:hint="eastAsia" w:ascii="黑体" w:hAnsi="华文中宋" w:eastAsia="黑体"/>
          <w:b w:val="0"/>
          <w:bCs w:val="0"/>
          <w:sz w:val="28"/>
          <w:szCs w:val="28"/>
        </w:rPr>
        <w:t xml:space="preserve">第三节 政府采购合同专用条款</w:t>
      </w:r>
      <w:bookmarkEnd w:id="205"/>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30天内。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cantSplit/>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Pr>
                <w:rFonts w:hint="eastAsia"/>
              </w:rPr>
              <w:t xml:space="preserve">无。</w:t>
            </w:r>
            <w:r/>
          </w:p>
        </w:tc>
      </w:tr>
      <w:tr>
        <w:trPr>
          <w:cantSplit/>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Pr>
                <w:rFonts w:hint="eastAsia" w:ascii="宋体" w:hAnsi="宋体" w:cs="宋体"/>
                <w:bCs/>
                <w:szCs w:val="21"/>
              </w:rPr>
              <w:t xml:space="preserve">甲方指定地点，由乙方负责办理运输和装卸等，费用由乙方负责，甲方组织验收，检验不合格或不符合质量要求，供应商除无条件退货、返工外，还应承担甲方由此造成的一切损失。</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Pr>
                <w:rFonts w:hint="eastAsia"/>
              </w:rPr>
              <w:t xml:space="preserve">无。</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Pr>
                <w:rFonts w:hint="eastAsia"/>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u w:val="single"/>
              </w:rPr>
              <w:t xml:space="preserve">24</w:t>
            </w:r>
            <w:r>
              <w:rPr>
                <w:rFonts w:hint="eastAsia" w:ascii="宋体" w:hAnsi="宋体"/>
                <w:szCs w:val="21"/>
              </w:rPr>
              <w:t xml:space="preserve">个月。</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30分钟。</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916"/>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个</w:t>
            </w:r>
            <w:r>
              <w:rPr>
                <w:rFonts w:hint="eastAsia" w:ascii="宋体" w:hAnsi="宋体"/>
                <w:szCs w:val="21"/>
              </w:rPr>
              <w:t xml:space="preserve">月。</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24个月的</w:t>
            </w:r>
            <w:r>
              <w:rPr>
                <w:rFonts w:hint="eastAsia" w:ascii="宋体" w:hAnsi="宋体"/>
                <w:szCs w:val="21"/>
              </w:rPr>
              <w:t xml:space="preserve">免费维保服务</w:t>
            </w:r>
            <w:r>
              <w:rPr>
                <w:rFonts w:hint="eastAsia" w:ascii="宋体" w:hAnsi="宋体"/>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设备价的0.3%/台/天。</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无。</w:t>
            </w:r>
            <w:r/>
          </w:p>
        </w:tc>
      </w:tr>
      <w:tr>
        <w:trPr>
          <w:trHeight w:val="87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无。</w:t>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南京市江宁区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南京市江宁区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南京市江宁区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bl>
    <w:p>
      <w:pPr>
        <w:pStyle w:val="918"/>
        <w:jc w:val="center"/>
        <w:rPr>
          <w:rFonts w:ascii="黑体" w:hAnsi="Courier New" w:eastAsia="黑体" w:cs="Courier New"/>
          <w:bCs/>
          <w:sz w:val="44"/>
          <w:szCs w:val="21"/>
        </w:rPr>
      </w:pPr>
      <w:r>
        <w:rPr>
          <w:rFonts w:ascii="黑体" w:hAnsi="Courier New" w:eastAsia="黑体" w:cs="Courier New"/>
          <w:bCs/>
          <w:sz w:val="44"/>
          <w:szCs w:val="21"/>
        </w:rPr>
      </w:r>
      <w:r/>
    </w:p>
    <w:p>
      <w:pPr>
        <w:pStyle w:val="831"/>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keepNext/>
        <w:rPr>
          <w:rFonts w:ascii="黑体" w:eastAsia="黑体"/>
          <w:b/>
          <w:bCs/>
          <w:sz w:val="44"/>
          <w:szCs w:val="28"/>
        </w:rPr>
        <w:outlineLvl w:val="0"/>
      </w:pPr>
      <w:r/>
      <w:bookmarkStart w:id="206" w:name="_Toc227167502"/>
      <w:r>
        <w:rPr>
          <w:rFonts w:hint="eastAsia" w:ascii="黑体" w:eastAsia="黑体"/>
          <w:b/>
          <w:bCs/>
          <w:sz w:val="44"/>
          <w:szCs w:val="28"/>
        </w:rPr>
        <w:t xml:space="preserve">第</w:t>
      </w:r>
      <w:bookmarkEnd w:id="197"/>
      <w:r>
        <w:rPr>
          <w:rFonts w:hint="eastAsia" w:ascii="黑体" w:eastAsia="黑体"/>
          <w:b/>
          <w:bCs/>
          <w:sz w:val="44"/>
          <w:szCs w:val="28"/>
        </w:rPr>
        <w:t xml:space="preserve">四章 采购需求</w:t>
      </w:r>
      <w:bookmarkEnd w:id="198"/>
      <w:r/>
      <w:bookmarkEnd w:id="199"/>
      <w:r/>
      <w:bookmarkEnd w:id="200"/>
      <w:r/>
      <w:bookmarkEnd w:id="206"/>
      <w:r/>
      <w:r/>
    </w:p>
    <w:p>
      <w:pPr>
        <w:spacing w:line="0" w:lineRule="atLeast"/>
        <w:rPr>
          <w:rFonts w:hint="eastAsia" w:ascii="宋体" w:hAnsi="宋体"/>
          <w:sz w:val="24"/>
          <w:szCs w:val="24"/>
        </w:rPr>
      </w:pPr>
      <w:r/>
      <w:bookmarkStart w:id="207" w:name="_Toc49090575"/>
      <w:r/>
      <w:bookmarkStart w:id="208" w:name="_Toc26554093"/>
      <w:r/>
      <w:r/>
    </w:p>
    <w:p>
      <w:pPr>
        <w:ind w:firstLine="482"/>
        <w:rPr>
          <w:rFonts w:hint="eastAsia" w:ascii="宋体" w:hAnsi="宋体" w:cs="宋体"/>
          <w:b/>
          <w:sz w:val="24"/>
          <w:szCs w:val="24"/>
        </w:rPr>
      </w:pPr>
      <w:r/>
      <w:bookmarkStart w:id="209" w:name="_Toc120614281"/>
      <w:r>
        <w:rPr>
          <w:rFonts w:hint="eastAsia" w:ascii="宋体" w:hAnsi="宋体" w:cs="宋体"/>
          <w:b/>
          <w:sz w:val="24"/>
          <w:szCs w:val="24"/>
        </w:rPr>
        <w:t xml:space="preserve">项目属性：货物类。</w:t>
      </w:r>
      <w:r/>
    </w:p>
    <w:p>
      <w:pPr>
        <w:numPr>
          <w:ilvl w:val="0"/>
          <w:numId w:val="12"/>
        </w:numPr>
        <w:spacing w:line="360" w:lineRule="auto"/>
        <w:rPr>
          <w:rFonts w:hint="eastAsia" w:ascii="宋体" w:hAnsi="宋体"/>
          <w:b/>
          <w:bCs/>
          <w:sz w:val="24"/>
          <w:szCs w:val="24"/>
        </w:rPr>
        <w:outlineLvl w:val="1"/>
      </w:pPr>
      <w:r/>
      <w:bookmarkStart w:id="210" w:name="_Toc227167503"/>
      <w:r/>
      <w:bookmarkStart w:id="211" w:name="_Toc220489000"/>
      <w:r>
        <w:rPr>
          <w:rFonts w:hint="eastAsia" w:ascii="宋体" w:hAnsi="宋体"/>
          <w:b/>
          <w:bCs/>
          <w:sz w:val="24"/>
          <w:szCs w:val="24"/>
        </w:rPr>
        <w:t xml:space="preserve">采购标的清单</w:t>
      </w:r>
      <w:bookmarkEnd w:id="210"/>
      <w:r/>
      <w:bookmarkEnd w:id="211"/>
      <w:r/>
      <w:r/>
    </w:p>
    <w:p>
      <w:pPr>
        <w:numPr>
          <w:ilvl w:val="1"/>
          <w:numId w:val="12"/>
        </w:numPr>
        <w:spacing w:line="0" w:lineRule="atLeast"/>
        <w:rPr>
          <w:rFonts w:hint="eastAsia" w:ascii="宋体" w:hAnsi="宋体"/>
          <w:sz w:val="24"/>
          <w:szCs w:val="24"/>
        </w:rPr>
      </w:pPr>
      <w:r>
        <w:rPr>
          <w:rFonts w:hint="eastAsia" w:ascii="宋体" w:hAnsi="宋体"/>
          <w:sz w:val="24"/>
          <w:szCs w:val="24"/>
        </w:rPr>
        <w:t xml:space="preserve">核心产品</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cs="宋体"/>
                <w:sz w:val="24"/>
                <w:szCs w:val="24"/>
              </w:rPr>
              <w:t xml:space="preserve">DT8、DT9、DT10、DT11有机房客梯</w:t>
            </w:r>
            <w:r/>
          </w:p>
        </w:tc>
      </w:tr>
    </w:tbl>
    <w:p>
      <w:pPr>
        <w:ind w:left="510"/>
        <w:spacing w:line="0" w:lineRule="atLeast"/>
        <w:rPr>
          <w:rFonts w:hint="eastAsia" w:ascii="宋体" w:hAnsi="宋体"/>
          <w:sz w:val="24"/>
          <w:szCs w:val="24"/>
        </w:rPr>
      </w:pPr>
      <w:r>
        <w:rPr>
          <w:rFonts w:hint="eastAsia" w:ascii="宋体" w:hAnsi="宋体"/>
          <w:sz w:val="24"/>
          <w:szCs w:val="24"/>
        </w:rPr>
        <w:t xml:space="preserve">2、进口产品投标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szCs w:val="21"/>
              </w:rPr>
              <w:t xml:space="preserve">是否接受进口产品投标</w:t>
            </w:r>
            <w:r/>
          </w:p>
          <w:p>
            <w:pPr>
              <w:jc w:val="center"/>
              <w:rPr>
                <w:rFonts w:hint="eastAsia" w:ascii="宋体" w:hAnsi="宋体"/>
                <w:szCs w:val="21"/>
              </w:rPr>
            </w:pPr>
            <w:r>
              <w:rPr>
                <w:rFonts w:hint="eastAsia" w:ascii="宋体" w:hAnsi="宋体"/>
                <w:szCs w:val="21"/>
              </w:rPr>
              <w:t xml:space="preserve">（是/否）</w:t>
            </w:r>
            <w:r/>
          </w:p>
        </w:tc>
      </w:tr>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szCs w:val="21"/>
              </w:rPr>
              <w:t xml:space="preserve">否</w:t>
            </w:r>
            <w:r/>
          </w:p>
        </w:tc>
      </w:tr>
    </w:tbl>
    <w:p>
      <w:pPr>
        <w:numPr>
          <w:ilvl w:val="0"/>
          <w:numId w:val="13"/>
        </w:numPr>
        <w:spacing w:line="0" w:lineRule="atLeast"/>
        <w:rPr>
          <w:rFonts w:hint="eastAsia" w:ascii="宋体" w:hAnsi="宋体"/>
          <w:bCs/>
          <w:sz w:val="24"/>
          <w:szCs w:val="24"/>
        </w:rPr>
      </w:pPr>
      <w:r>
        <w:rPr>
          <w:rFonts w:hint="eastAsia" w:ascii="宋体" w:hAnsi="宋体"/>
          <w:bCs/>
          <w:sz w:val="24"/>
          <w:szCs w:val="24"/>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545" w:type="dxa"/>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DT1、DT2有机房客梯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35"/>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DT3无机房客梯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DT4无机房客梯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DT5有机房客梯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DT6、DT7无机房客梯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DT8有机房客梯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DT9、DT10、DT11有机房客梯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DT12有机房客梯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DT13有机房客梯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DT14无机房客梯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r/>
      <w:r/>
    </w:p>
    <w:p>
      <w:pPr>
        <w:spacing w:line="360" w:lineRule="auto"/>
        <w:rPr>
          <w:rFonts w:hint="eastAsia" w:ascii="宋体" w:hAnsi="宋体"/>
          <w:b/>
          <w:bCs/>
          <w:sz w:val="24"/>
          <w:szCs w:val="24"/>
        </w:rPr>
        <w:outlineLvl w:val="1"/>
      </w:pPr>
      <w:r/>
      <w:bookmarkStart w:id="212" w:name="_Toc220489001"/>
      <w:r/>
      <w:bookmarkStart w:id="213" w:name="_Toc227167504"/>
      <w:r>
        <w:rPr>
          <w:rFonts w:hint="eastAsia" w:ascii="宋体" w:hAnsi="宋体"/>
          <w:b/>
          <w:bCs/>
          <w:sz w:val="24"/>
          <w:szCs w:val="24"/>
        </w:rPr>
        <w:t xml:space="preserve">二、政府采购中实施本国产品标准及相关政策</w:t>
      </w:r>
      <w:bookmarkEnd w:id="212"/>
      <w:r/>
      <w:bookmarkEnd w:id="213"/>
      <w:r/>
      <w:r/>
    </w:p>
    <w:p>
      <w:pPr>
        <w:ind w:firstLine="480"/>
        <w:spacing w:line="0" w:lineRule="atLeast"/>
        <w:rPr>
          <w:rFonts w:hint="eastAsia" w:ascii="宋体" w:hAnsi="宋体"/>
          <w:bCs/>
          <w:sz w:val="24"/>
          <w:szCs w:val="24"/>
        </w:rPr>
      </w:pPr>
      <w:r>
        <w:rPr>
          <w:rFonts w:hint="eastAsia" w:ascii="宋体" w:hAnsi="宋体"/>
          <w:bCs/>
          <w:sz w:val="24"/>
          <w:szCs w:val="24"/>
        </w:rPr>
        <w:t xml:space="preserve">1.本项目对采购本国产品给予政策支持，具体内容见招标文件“第五章 评标方法与评标标准”。</w:t>
      </w:r>
      <w:r/>
    </w:p>
    <w:p>
      <w:pPr>
        <w:ind w:firstLine="480"/>
        <w:spacing w:line="0" w:lineRule="atLeast"/>
        <w:rPr>
          <w:rFonts w:hint="eastAsia" w:ascii="宋体" w:hAnsi="宋体"/>
          <w:bCs/>
          <w:sz w:val="24"/>
          <w:szCs w:val="24"/>
        </w:rPr>
      </w:pPr>
      <w:r>
        <w:rPr>
          <w:rFonts w:hint="eastAsia" w:ascii="宋体" w:hAnsi="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rFonts w:hint="eastAsia" w:ascii="宋体" w:hAnsi="宋体"/>
          <w:bCs/>
          <w:sz w:val="24"/>
          <w:szCs w:val="24"/>
        </w:rPr>
      </w:pPr>
      <w:r>
        <w:rPr>
          <w:rFonts w:hint="eastAsia" w:ascii="宋体" w:hAnsi="宋体"/>
          <w:bCs/>
          <w:sz w:val="24"/>
          <w:szCs w:val="24"/>
        </w:rPr>
        <w:t xml:space="preserve">3.本国产品应当在中国境内生产，即在中华人民共和国关境内实现从原材料、组件到产品的属性改变。从具体情形看，在国内保税区、综合保税区等海</w:t>
      </w:r>
      <w:r>
        <w:rPr>
          <w:rFonts w:hint="eastAsia" w:ascii="宋体" w:hAnsi="宋体"/>
          <w:bCs/>
          <w:sz w:val="24"/>
          <w:szCs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b/>
          <w:bCs/>
          <w:sz w:val="24"/>
          <w:szCs w:val="24"/>
        </w:rPr>
        <w:outlineLvl w:val="1"/>
      </w:pPr>
      <w:r/>
      <w:bookmarkStart w:id="214" w:name="_Toc227167505"/>
      <w:r/>
      <w:bookmarkStart w:id="215" w:name="_Toc220489002"/>
      <w:r>
        <w:rPr>
          <w:rFonts w:hint="eastAsia" w:ascii="宋体" w:hAnsi="宋体"/>
          <w:b/>
          <w:sz w:val="24"/>
          <w:szCs w:val="24"/>
        </w:rPr>
        <w:t xml:space="preserve">三</w:t>
      </w:r>
      <w:r>
        <w:rPr>
          <w:rFonts w:ascii="宋体" w:hAnsi="宋体"/>
          <w:b/>
          <w:sz w:val="24"/>
          <w:szCs w:val="24"/>
        </w:rPr>
        <w:t xml:space="preserve">、</w:t>
      </w:r>
      <w:r>
        <w:rPr>
          <w:rFonts w:hint="eastAsia" w:ascii="宋体" w:hAnsi="宋体"/>
          <w:b/>
          <w:bCs/>
          <w:sz w:val="24"/>
          <w:szCs w:val="24"/>
        </w:rPr>
        <w:t xml:space="preserve">技术部分要求</w:t>
      </w:r>
      <w:bookmarkEnd w:id="214"/>
      <w:r/>
      <w:bookmarkEnd w:id="215"/>
      <w:r/>
      <w:r/>
    </w:p>
    <w:p>
      <w:pPr>
        <w:keepNext/>
        <w:rPr>
          <w:rFonts w:hint="eastAsia" w:ascii="宋体" w:hAnsi="宋体" w:cs="宋体"/>
          <w:b/>
          <w:bCs/>
          <w:sz w:val="24"/>
          <w:szCs w:val="24"/>
        </w:rPr>
        <w:outlineLvl w:val="0"/>
      </w:pPr>
      <w:r/>
      <w:bookmarkStart w:id="216" w:name="_Toc227167506"/>
      <w:r>
        <w:rPr>
          <w:rFonts w:hint="eastAsia" w:ascii="宋体" w:hAnsi="宋体"/>
          <w:b/>
          <w:bCs/>
          <w:sz w:val="24"/>
          <w:szCs w:val="24"/>
        </w:rPr>
        <w:t xml:space="preserve">一）、</w:t>
      </w:r>
      <w:r>
        <w:rPr>
          <w:rFonts w:hint="eastAsia" w:ascii="宋体" w:hAnsi="宋体" w:cs="宋体"/>
          <w:b/>
          <w:bCs/>
          <w:sz w:val="24"/>
          <w:szCs w:val="24"/>
        </w:rPr>
        <w:t xml:space="preserve">项目概述</w:t>
      </w:r>
      <w:bookmarkEnd w:id="21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拟对南京医科大学江宁校区、五台校区两个校区部分电梯进行更换，其中江宁校区7台（药学院2台、逸夫楼1台、博学楼1台、学生食堂1台、图书馆2台）、五台校区7台（研究生公寓4台、留学生公寓2台、学生食堂1台）。现需报废更换两个校区14台电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勘察现场：本项目由采购人统一组织现场集中勘察工作，各投标人提前自行联系采购人办理入校手续。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勘查时间：2026年5月11日 09:00至10:00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现场地点：南京市龙眠大道101号 南京医科大学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联系人：陈老师；联系方式：025-86869249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现场勘察时投标人代表请持本人身份证、携带企业法人营业执照复印件（加盖企业公章）、法人授权委托书（格式自拟），准时到达现场并签到。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投标人务必对项目现场和周围环境进行仔细认真地踏勘，对现场资料和数据所</w:t>
      </w:r>
      <w:r>
        <w:rPr>
          <w:rFonts w:hint="eastAsia" w:ascii="宋体" w:hAnsi="宋体" w:cs="宋体"/>
          <w:sz w:val="24"/>
          <w:szCs w:val="24"/>
        </w:rPr>
        <w:t xml:space="preserve">作出</w:t>
      </w:r>
      <w:r>
        <w:rPr>
          <w:rFonts w:hint="eastAsia" w:ascii="宋体" w:hAnsi="宋体" w:cs="宋体"/>
          <w:sz w:val="24"/>
          <w:szCs w:val="24"/>
        </w:rPr>
        <w:t xml:space="preserve">的推论、解释和结论及由此造成的后果由投标人负责。未勘察现场或勘察工作不详细的供应商中标后，不得以不完全了解现场情况为理由而向采购人提出任何索赔或其他要求。</w:t>
      </w:r>
      <w:r/>
    </w:p>
    <w:p>
      <w:pPr>
        <w:keepNext/>
        <w:rPr>
          <w:rFonts w:hint="eastAsia" w:ascii="宋体" w:hAnsi="宋体" w:cs="宋体"/>
          <w:b/>
          <w:bCs/>
          <w:sz w:val="24"/>
          <w:szCs w:val="24"/>
        </w:rPr>
        <w:outlineLvl w:val="0"/>
      </w:pPr>
      <w:r/>
      <w:bookmarkStart w:id="217" w:name="_Toc227167507"/>
      <w:r>
        <w:rPr>
          <w:rFonts w:hint="eastAsia" w:ascii="宋体" w:hAnsi="宋体"/>
          <w:b/>
          <w:bCs/>
          <w:sz w:val="24"/>
          <w:szCs w:val="24"/>
        </w:rPr>
        <w:t xml:space="preserve">二）、</w:t>
      </w:r>
      <w:r>
        <w:rPr>
          <w:rFonts w:hint="eastAsia" w:ascii="宋体" w:hAnsi="宋体" w:cs="宋体"/>
          <w:b/>
          <w:bCs/>
          <w:sz w:val="24"/>
          <w:szCs w:val="24"/>
        </w:rPr>
        <w:t xml:space="preserve">货物清单</w:t>
      </w:r>
      <w:bookmarkEnd w:id="217"/>
      <w:r/>
      <w:r/>
    </w:p>
    <w:tbl>
      <w:tblPr>
        <w:tblW w:w="8380"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50" w:type="dxa"/>
          <w:right w:w="0" w:type="dxa"/>
        </w:tblCellMar>
        <w:tblLook w:val="04A0" w:firstRow="1" w:lastRow="0" w:firstColumn="1" w:lastColumn="0" w:noHBand="0" w:noVBand="1"/>
      </w:tblPr>
      <w:tblGrid>
        <w:gridCol w:w="791"/>
        <w:gridCol w:w="1709"/>
        <w:gridCol w:w="1800"/>
        <w:gridCol w:w="735"/>
        <w:gridCol w:w="1935"/>
        <w:gridCol w:w="1410"/>
      </w:tblGrid>
      <w:tr>
        <w:trPr>
          <w:trHeight w:val="667"/>
        </w:trPr>
        <w:tc>
          <w:tcPr>
            <w:shd w:val="clear" w:color="auto" w:fill="f2f2f2"/>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序号</w:t>
            </w:r>
            <w:r/>
          </w:p>
        </w:tc>
        <w:tc>
          <w:tcPr>
            <w:shd w:val="clear" w:color="auto" w:fill="f2f2f2"/>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设备编号</w:t>
            </w:r>
            <w:r/>
          </w:p>
        </w:tc>
        <w:tc>
          <w:tcPr>
            <w:shd w:val="clear" w:color="auto" w:fill="f2f2f2"/>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所属建筑</w:t>
            </w:r>
            <w:r/>
          </w:p>
        </w:tc>
        <w:tc>
          <w:tcPr>
            <w:shd w:val="clear" w:color="auto" w:fill="f2f2f2"/>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数量</w:t>
            </w:r>
            <w:r/>
          </w:p>
        </w:tc>
        <w:tc>
          <w:tcPr>
            <w:shd w:val="clear" w:color="auto" w:fill="f2f2f2"/>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规格</w:t>
            </w:r>
            <w:r/>
          </w:p>
        </w:tc>
        <w:tc>
          <w:tcPr>
            <w:shd w:val="clear" w:color="auto" w:fill="f2f2f2"/>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备注</w:t>
            </w:r>
            <w:r/>
          </w:p>
        </w:tc>
      </w:tr>
      <w:tr>
        <w:trPr>
          <w:trHeight w:val="1840"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DT1、DT2有机房客梯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江宁校区药学院</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2台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停靠：6层6站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并联；第一批次安装；</w:t>
            </w:r>
            <w:r/>
          </w:p>
        </w:tc>
      </w:tr>
      <w:tr>
        <w:trPr>
          <w:trHeight w:val="343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DT3无机房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江宁校区逸夫楼</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停靠：5层5站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原B1</w:t>
            </w:r>
            <w:r>
              <w:rPr>
                <w:rFonts w:hint="eastAsia" w:ascii="宋体" w:hAnsi="宋体" w:cs="宋体"/>
                <w:sz w:val="24"/>
                <w:szCs w:val="24"/>
              </w:rPr>
              <w:t xml:space="preserve">楼学校</w:t>
            </w:r>
            <w:r>
              <w:rPr>
                <w:rFonts w:hint="eastAsia" w:ascii="宋体" w:hAnsi="宋体" w:cs="宋体"/>
                <w:sz w:val="24"/>
                <w:szCs w:val="24"/>
              </w:rPr>
              <w:t xml:space="preserve">进行回填后，B1楼不停靠，层站由原6层6站变更为5层5站；第一批次安装；</w:t>
            </w:r>
            <w:r/>
          </w:p>
        </w:tc>
      </w:tr>
      <w:tr>
        <w:trPr>
          <w:trHeight w:val="1960"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DT4无机房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江宁校区博学楼</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停靠：5层5站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942"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DT5有机房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江宁校区学生食堂2#楼</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速度：≥1.0m/s；</w:t>
            </w:r>
            <w:r/>
          </w:p>
          <w:p>
            <w:pPr>
              <w:spacing w:line="276" w:lineRule="auto"/>
              <w:rPr>
                <w:rFonts w:hint="eastAsia" w:ascii="宋体" w:hAnsi="宋体" w:cs="宋体"/>
                <w:sz w:val="24"/>
                <w:szCs w:val="24"/>
              </w:rPr>
            </w:pPr>
            <w:r>
              <w:rPr>
                <w:rFonts w:hint="eastAsia" w:ascii="宋体" w:hAnsi="宋体" w:cs="宋体"/>
                <w:sz w:val="24"/>
                <w:szCs w:val="24"/>
              </w:rPr>
              <w:t xml:space="preserve">停靠：2层2站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86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DT6、DT7无机房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江宁校区图书馆</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2台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停靠：5层5站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86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DT8有机房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五台校区研究生公寓（生殖中心使用）</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速度：≥2.0m/s；</w:t>
            </w:r>
            <w:r/>
          </w:p>
          <w:p>
            <w:pPr>
              <w:spacing w:line="276" w:lineRule="auto"/>
              <w:rPr>
                <w:rFonts w:hint="eastAsia" w:ascii="宋体" w:hAnsi="宋体" w:cs="宋体"/>
                <w:sz w:val="24"/>
                <w:szCs w:val="24"/>
              </w:rPr>
            </w:pPr>
            <w:r>
              <w:rPr>
                <w:rFonts w:hint="eastAsia" w:ascii="宋体" w:hAnsi="宋体" w:cs="宋体"/>
                <w:sz w:val="24"/>
                <w:szCs w:val="24"/>
              </w:rPr>
              <w:t xml:space="preserve">停靠：15层15站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813"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DT9、DT10、DT11有机房客梯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五台校区研究生公寓</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3台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速度：≥2.0m/s；</w:t>
            </w:r>
            <w:r/>
          </w:p>
          <w:p>
            <w:pPr>
              <w:spacing w:line="276" w:lineRule="auto"/>
              <w:rPr>
                <w:rFonts w:hint="eastAsia" w:ascii="宋体" w:hAnsi="宋体" w:cs="宋体"/>
                <w:sz w:val="24"/>
                <w:szCs w:val="24"/>
              </w:rPr>
            </w:pPr>
            <w:r>
              <w:rPr>
                <w:rFonts w:hint="eastAsia" w:ascii="宋体" w:hAnsi="宋体" w:cs="宋体"/>
                <w:sz w:val="24"/>
                <w:szCs w:val="24"/>
              </w:rPr>
              <w:t xml:space="preserve">停靠：14层14站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DT9、DT10第一批安装，DT11第二批次安装；</w:t>
            </w:r>
            <w:r/>
          </w:p>
        </w:tc>
      </w:tr>
      <w:tr>
        <w:trPr>
          <w:trHeight w:val="1783"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DT12有机房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五台校区留学生公寓</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停靠：7层7站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71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DT13有机房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五台校区留学生公寓</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停靠：7层7站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第二批次安装；</w:t>
            </w:r>
            <w:r/>
          </w:p>
        </w:tc>
      </w:tr>
      <w:tr>
        <w:trPr>
          <w:trHeight w:val="1809"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DT14无机房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五台校区学生食堂</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停靠：4层4站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bl>
    <w:p>
      <w:r/>
      <w:r/>
    </w:p>
    <w:p>
      <w:pPr>
        <w:spacing w:line="360" w:lineRule="auto"/>
        <w:rPr>
          <w:rFonts w:hint="eastAsia" w:ascii="宋体" w:hAnsi="宋体" w:cs="宋体"/>
          <w:b/>
          <w:bCs/>
          <w:sz w:val="24"/>
          <w:szCs w:val="24"/>
        </w:rPr>
      </w:pPr>
      <w:r>
        <w:rPr>
          <w:rFonts w:hint="eastAsia" w:ascii="宋体" w:hAnsi="宋体" w:cs="宋体"/>
          <w:b/>
          <w:bCs/>
          <w:sz w:val="24"/>
          <w:szCs w:val="24"/>
        </w:rPr>
        <w:t xml:space="preserve">1、招标范围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b/>
          <w:bCs/>
          <w:i/>
          <w:sz w:val="24"/>
          <w:szCs w:val="21"/>
          <w:u w:val="single"/>
        </w:rPr>
        <w:t xml:space="preserve">本项目为交钥匙项目，中标供应商应为采购人提供本项目的土建整改（包括基坑土建整改、井道土建整改及</w:t>
      </w:r>
      <w:r>
        <w:rPr>
          <w:rFonts w:hint="eastAsia" w:ascii="宋体" w:hAnsi="宋体"/>
          <w:b/>
          <w:bCs/>
          <w:i/>
          <w:sz w:val="24"/>
          <w:szCs w:val="21"/>
          <w:u w:val="single"/>
          <w:lang w:val="zh-CN"/>
        </w:rPr>
        <w:t xml:space="preserve">井道吊钩整改</w:t>
      </w:r>
      <w:r>
        <w:rPr>
          <w:rFonts w:hint="eastAsia" w:ascii="宋体" w:hAnsi="宋体"/>
          <w:b/>
          <w:bCs/>
          <w:i/>
          <w:sz w:val="24"/>
          <w:szCs w:val="21"/>
          <w:u w:val="single"/>
        </w:rPr>
        <w:t xml:space="preserve">、井道密封、</w:t>
      </w:r>
      <w:r>
        <w:rPr>
          <w:rFonts w:hint="eastAsia" w:ascii="宋体" w:hAnsi="宋体"/>
          <w:b/>
          <w:bCs/>
          <w:i/>
          <w:sz w:val="24"/>
          <w:szCs w:val="21"/>
          <w:u w:val="single"/>
          <w:lang w:val="zh-CN"/>
        </w:rPr>
        <w:t xml:space="preserve">门洞改造费及恢复原状的费用，外召唤空洞修复（不锈钢铁板做背衬板）</w:t>
      </w:r>
      <w:r>
        <w:rPr>
          <w:rFonts w:hint="eastAsia" w:ascii="宋体" w:hAnsi="宋体"/>
          <w:b/>
          <w:bCs/>
          <w:i/>
          <w:sz w:val="24"/>
          <w:szCs w:val="21"/>
          <w:u w:val="single"/>
        </w:rPr>
        <w:t xml:space="preserve">）、新梯安装（包括井道内的埋件、机房钢梁等）、新梯调试、新梯维修保养、垃圾清运、新设备及施工现场保洁等一条龙服务)，采购人只接收通过当地质量监督部门验收合格并发放准运证明的电梯设备。本项目从实施开始至验收、售后服务结束等环节过程中涉及的所有费用均应列入投标总价，采购人不再支付其他任何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（2）中标单位在中标后，需针对投标文件中的施工方案进行优化，其中包括：围挡方案、土建整改方案（包括基坑土建整改、井道土建整改及</w:t>
      </w:r>
      <w:r>
        <w:rPr>
          <w:rFonts w:hint="eastAsia" w:ascii="宋体" w:hAnsi="宋体" w:cs="宋体"/>
          <w:bCs/>
          <w:sz w:val="24"/>
          <w:szCs w:val="24"/>
          <w:lang w:val="zh-CN"/>
        </w:rPr>
        <w:t xml:space="preserve">井道吊钩整改</w:t>
      </w:r>
      <w:r>
        <w:rPr>
          <w:rFonts w:hint="eastAsia" w:ascii="宋体" w:hAnsi="宋体" w:cs="宋体"/>
          <w:sz w:val="24"/>
          <w:szCs w:val="24"/>
        </w:rPr>
        <w:t xml:space="preserve">、井道密封、</w:t>
      </w:r>
      <w:r>
        <w:rPr>
          <w:rFonts w:hint="eastAsia" w:ascii="宋体" w:hAnsi="宋体" w:cs="宋体"/>
          <w:bCs/>
          <w:sz w:val="24"/>
          <w:szCs w:val="24"/>
          <w:lang w:val="zh-CN"/>
        </w:rPr>
        <w:t xml:space="preserve">门洞改造费及恢复原状的费用，外召唤空洞修复（不锈钢铁板做背衬板）</w:t>
      </w:r>
      <w:r>
        <w:rPr>
          <w:rFonts w:hint="eastAsia" w:ascii="宋体" w:hAnsi="宋体" w:cs="宋体"/>
          <w:sz w:val="24"/>
          <w:szCs w:val="24"/>
        </w:rPr>
        <w:t xml:space="preserve">）、电梯外观选型方案（外呼、操纵箱、按钮、轿厢、轿顶、地面、扶手、轿门、厅门等）、电梯安装（包括井道内的埋件、机房钢梁、机房配电箱至电梯控制柜电缆等）及验收方案等供业主单位确认，待确认后方可进行施工，中标价不做调整，投标人需充分考虑此项费用（因本项目的特殊性，施工方案必须充分考虑方案的安全性、业主单位对作息时间的要求等）。</w:t>
      </w:r>
      <w:r/>
    </w:p>
    <w:p>
      <w:pPr>
        <w:spacing w:line="360" w:lineRule="auto"/>
        <w:rPr>
          <w:rFonts w:hint="eastAsia" w:ascii="宋体" w:hAnsi="宋体" w:cs="宋体"/>
          <w:b/>
          <w:sz w:val="24"/>
          <w:szCs w:val="24"/>
        </w:rPr>
      </w:pPr>
      <w:r>
        <w:rPr>
          <w:rFonts w:hint="eastAsia" w:ascii="宋体" w:hAnsi="宋体" w:cs="宋体"/>
          <w:b/>
          <w:sz w:val="24"/>
          <w:szCs w:val="24"/>
        </w:rPr>
        <w:t xml:space="preserve">2、商务要求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（1）交货期、交货方式及交货地点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交货期：</w:t>
      </w:r>
      <w:r>
        <w:rPr>
          <w:rFonts w:hint="eastAsia" w:ascii="宋体" w:hAnsi="宋体"/>
          <w:b/>
          <w:bCs/>
          <w:i/>
          <w:sz w:val="24"/>
          <w:szCs w:val="21"/>
          <w:u w:val="single"/>
        </w:rPr>
        <w:t xml:space="preserve">合同签订后分两批次交货，第一批次75天内完工，第二批次90天内完成，总工期不超过90天。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交货方式：供应商在采购人指定地点交货，并完成安装、调试。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（2）付款方式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 本项目电梯设备及安装为总价包干合同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第1次付款：合同签订后10个工作日内，采购人按合同价的10%支付定金。</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第2次付款：提交生产计划并经采购人认可，采购人按合同价的50%支付排产款。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第3次付款：现场安装调试合格后，经采购人所在地技术监督部门验收合格、采购人获得使用许可证后，付至合同价的100%。</w:t>
      </w:r>
      <w:r/>
    </w:p>
    <w:p>
      <w:pPr>
        <w:spacing w:line="360" w:lineRule="auto"/>
        <w:rPr>
          <w:rFonts w:hint="eastAsia" w:ascii="宋体" w:hAnsi="宋体" w:cs="宋体"/>
          <w:sz w:val="24"/>
          <w:szCs w:val="24"/>
        </w:rPr>
      </w:pPr>
      <w:r>
        <w:rPr>
          <w:rFonts w:hint="eastAsia" w:ascii="宋体" w:hAnsi="宋体" w:cs="宋体"/>
          <w:b/>
          <w:bCs/>
          <w:sz w:val="24"/>
          <w:szCs w:val="24"/>
        </w:rPr>
        <w:t xml:space="preserve">2、安装要求</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1、投标人应按《电梯制造与安装安全规范》等规定对本项目进行深化设计，确保电梯选型及安装符合本项目实际及国家相关规定。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2、投标人应制</w:t>
      </w:r>
      <w:r>
        <w:rPr>
          <w:rFonts w:hint="eastAsia" w:ascii="宋体" w:hAnsi="宋体" w:cs="宋体"/>
          <w:sz w:val="24"/>
          <w:szCs w:val="24"/>
        </w:rPr>
        <w:t xml:space="preserve">订针对</w:t>
      </w:r>
      <w:r>
        <w:rPr>
          <w:rFonts w:hint="eastAsia" w:ascii="宋体" w:hAnsi="宋体" w:cs="宋体"/>
          <w:sz w:val="24"/>
          <w:szCs w:val="24"/>
        </w:rPr>
        <w:t xml:space="preserve">本项目的设计方案，包括匹配本项目要求的产品选型、产品技术性能优势介绍、产品安全性介绍、系统拓扑图、电梯轿厢的效果图等，设计方案应充分考虑学校使用的实际，确保项目高质量完成及后期稳定、安全运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（1）安装方式：交钥匙工程，即本次采购电梯所需电梯的全部设备、材料、</w:t>
      </w:r>
      <w:r>
        <w:rPr>
          <w:rFonts w:hint="eastAsia" w:ascii="宋体" w:hAnsi="宋体" w:cs="宋体"/>
          <w:sz w:val="24"/>
          <w:szCs w:val="24"/>
        </w:rPr>
        <w:t xml:space="preserve">随设备</w:t>
      </w:r>
      <w:r>
        <w:rPr>
          <w:rFonts w:hint="eastAsia" w:ascii="宋体" w:hAnsi="宋体" w:cs="宋体"/>
          <w:sz w:val="24"/>
          <w:szCs w:val="24"/>
        </w:rPr>
        <w:t xml:space="preserve">的备品配件及专用工具，运抵采购人工地现场，负责安装、调试，直至采购人所在地质量监督部门验收合格，获得质量监督部门发给的使用许可证，交付采购人使用。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（2）安装时间：满足甲方要求，</w:t>
      </w:r>
      <w:r>
        <w:rPr>
          <w:rFonts w:hint="eastAsia" w:ascii="宋体" w:hAnsi="宋体" w:cs="宋体"/>
          <w:bCs/>
          <w:sz w:val="24"/>
          <w:szCs w:val="24"/>
        </w:rPr>
        <w:t xml:space="preserve">本次采购电梯共分两批次进行安装，第一批次（75天）需安装江宁校区药学院2#、3#电梯（DT1、DT2），逸夫楼电梯（DT3），博学楼电梯(DT4），学生食堂2#电梯（DT5），图书馆2#、3#电梯（DT6、DT7），五台校区研究生公寓1#、2#、3#电梯（DT8、DT9、DT10），留学生公寓1#电梯(DT12)，学生食堂6#电梯(DT14)；第二批次（90天）需安装五</w:t>
      </w:r>
      <w:r>
        <w:rPr>
          <w:rFonts w:hint="eastAsia" w:ascii="宋体" w:hAnsi="宋体" w:cs="宋体"/>
          <w:bCs/>
          <w:sz w:val="24"/>
          <w:szCs w:val="24"/>
        </w:rPr>
        <w:t xml:space="preserve">台校区研究生公寓4#电梯（DT11），留学生公寓2#电梯（DT13），总工期90天。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（3）安装调试、检测、验收费含在投标总报价内。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3、投标人应制</w:t>
      </w:r>
      <w:r>
        <w:rPr>
          <w:rFonts w:hint="eastAsia" w:ascii="宋体" w:hAnsi="宋体" w:cs="宋体"/>
          <w:sz w:val="24"/>
          <w:szCs w:val="24"/>
        </w:rPr>
        <w:t xml:space="preserve">定针对</w:t>
      </w:r>
      <w:r>
        <w:rPr>
          <w:rFonts w:hint="eastAsia" w:ascii="宋体" w:hAnsi="宋体" w:cs="宋体"/>
          <w:sz w:val="24"/>
          <w:szCs w:val="24"/>
        </w:rPr>
        <w:t xml:space="preserve">本项目的技术方案，包括提供完整、详细、可行的主要技术说明方案、深化设计图纸及提供各项详细技术参数及设备选型方案等。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bCs/>
          <w:sz w:val="24"/>
          <w:szCs w:val="24"/>
        </w:rPr>
        <w:t xml:space="preserve">标人应结合招标要求及项目实施实际需求，编制完整的重难点分析专项方案</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5、投标人应结合招标要求及项目实际需求，编制科学合理的质量保证及质量控制方案。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6、投标人须依据招标文件要求及项目实际情况，编制科学合理的项目进度控制方案。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7、投标人应根据招标要求及项目实施需要，提供完整、详细、可行的安装调试方案。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8、投标人应根据招标要求及项目实际需要，编制完整详实、切实可行的安全文明施工专项方案。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9、供应商对于安装电梯有关的文明施工、环境保护、安全生产、治安与消防</w:t>
      </w:r>
      <w:r>
        <w:rPr>
          <w:rFonts w:hint="eastAsia" w:ascii="宋体" w:hAnsi="宋体" w:cs="宋体"/>
          <w:sz w:val="24"/>
          <w:szCs w:val="24"/>
        </w:rPr>
        <w:t xml:space="preserve">负主体</w:t>
      </w:r>
      <w:r>
        <w:rPr>
          <w:rFonts w:hint="eastAsia" w:ascii="宋体" w:hAnsi="宋体" w:cs="宋体"/>
          <w:sz w:val="24"/>
          <w:szCs w:val="24"/>
        </w:rPr>
        <w:t xml:space="preserve">责任。投标人须做好安全防护、围挡、个人安全防护措施，施工区域悬挂警示标志和安全文明用语；每天施工完毕需清洁井道外场地，以防人员意外滑到和伤害。施工前须与采购人签订安全协议，施工期间的安全责任</w:t>
      </w:r>
      <w:r>
        <w:rPr>
          <w:rFonts w:hint="eastAsia" w:ascii="宋体" w:hAnsi="宋体" w:cs="宋体"/>
          <w:sz w:val="24"/>
          <w:szCs w:val="24"/>
        </w:rPr>
        <w:t xml:space="preserve">由成交</w:t>
      </w:r>
      <w:r>
        <w:rPr>
          <w:rFonts w:hint="eastAsia" w:ascii="宋体" w:hAnsi="宋体" w:cs="宋体"/>
          <w:sz w:val="24"/>
          <w:szCs w:val="24"/>
        </w:rPr>
        <w:t xml:space="preserve">供应商负责，若发生安全事故，所有损失</w:t>
      </w:r>
      <w:r>
        <w:rPr>
          <w:rFonts w:hint="eastAsia" w:ascii="宋体" w:hAnsi="宋体" w:cs="宋体"/>
          <w:sz w:val="24"/>
          <w:szCs w:val="24"/>
        </w:rPr>
        <w:t xml:space="preserve">由成交</w:t>
      </w:r>
      <w:r>
        <w:rPr>
          <w:rFonts w:hint="eastAsia" w:ascii="宋体" w:hAnsi="宋体" w:cs="宋体"/>
          <w:sz w:val="24"/>
          <w:szCs w:val="24"/>
        </w:rPr>
        <w:t xml:space="preserve">供应商承担，给学校造成损失的，追究相关责任。</w:t>
      </w:r>
      <w:r/>
    </w:p>
    <w:p>
      <w:pPr>
        <w:spacing w:line="360" w:lineRule="auto"/>
        <w:rPr>
          <w:rFonts w:hint="eastAsia" w:ascii="宋体" w:hAnsi="宋体" w:cs="宋体"/>
          <w:b/>
          <w:bCs/>
          <w:sz w:val="24"/>
          <w:szCs w:val="24"/>
        </w:rPr>
      </w:pPr>
      <w:r>
        <w:rPr>
          <w:rFonts w:hint="eastAsia" w:ascii="宋体" w:hAnsi="宋体" w:cs="宋体"/>
          <w:b/>
          <w:sz w:val="24"/>
          <w:szCs w:val="24"/>
        </w:rPr>
        <w:t xml:space="preserve">3、</w:t>
      </w:r>
      <w:r>
        <w:rPr>
          <w:rFonts w:hint="eastAsia" w:ascii="宋体" w:hAnsi="宋体" w:cs="宋体"/>
          <w:b/>
          <w:bCs/>
          <w:sz w:val="24"/>
          <w:szCs w:val="24"/>
        </w:rPr>
        <w:t xml:space="preserve">售后服务要求：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（一）质保要求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（1）质保期：所购电梯整套设备质保期为最终验收合格后24个月。</w:t>
      </w:r>
      <w:r/>
    </w:p>
    <w:p>
      <w:pPr>
        <w:ind w:firstLine="480"/>
        <w:spacing w:line="360" w:lineRule="auto"/>
        <w:rPr>
          <w:rFonts w:hint="eastAsia" w:ascii="宋体" w:hAnsi="宋体"/>
          <w:b/>
          <w:bCs/>
          <w:i/>
          <w:sz w:val="24"/>
          <w:szCs w:val="21"/>
          <w:u w:val="single"/>
        </w:rPr>
      </w:pPr>
      <w:r>
        <w:rPr>
          <w:rFonts w:hint="eastAsia" w:ascii="宋体" w:hAnsi="宋体" w:cs="宋体"/>
          <w:sz w:val="24"/>
          <w:szCs w:val="24"/>
        </w:rPr>
        <w:t xml:space="preserve">（2）</w:t>
      </w:r>
      <w:r>
        <w:rPr>
          <w:rFonts w:hint="eastAsia" w:ascii="宋体" w:hAnsi="宋体"/>
          <w:b/>
          <w:bCs/>
          <w:i/>
          <w:sz w:val="24"/>
          <w:szCs w:val="21"/>
          <w:u w:val="single"/>
        </w:rPr>
        <w:t xml:space="preserve">售后服务单位应为中标单位，除不可抗力外，电梯日常维护保养单位接到电梯困人报告后，应当在三十分钟内到达现场开展救援，并及时报告质量技术监督部门；接到其他故障报告后，应当在一小时内到达现场排除故障。（提供上述承诺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（3）当备件停止生产的情况下，卖方应事先将停止生产的计划通知买方，使买方有足够的时间采购所需的备件；在停止生产后，如买方要求，卖方应免</w:t>
      </w:r>
      <w:r>
        <w:rPr>
          <w:rFonts w:hint="eastAsia" w:ascii="宋体" w:hAnsi="宋体" w:cs="宋体"/>
          <w:sz w:val="24"/>
          <w:szCs w:val="24"/>
        </w:rPr>
        <w:t xml:space="preserve">费向买方提供备件的蓝图、图纸和规格。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（4）应提供的伴随服务：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1）安装调试中负责进行电气及机械设备维修、操作及对操作、维护人员的培训；免费提供上述服务，并请在投标报价中说明。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2）要求提供的备件：保证货物正常运行的标准配置的附件及专用工具，均应包括在货物的投标报价中。并应将数量和单价单列，供评标时使用。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（二）售后及质保服务方案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1、投标人须依据招标文件要求及项目实际需求，编制完整详实、科学可行的售后及质保服务专项方案。</w:t>
      </w:r>
      <w:r/>
    </w:p>
    <w:p>
      <w:pPr>
        <w:ind w:firstLine="480"/>
        <w:spacing w:line="360" w:lineRule="auto"/>
        <w:rPr>
          <w:rFonts w:hint="eastAsia" w:ascii="宋体" w:hAnsi="宋体" w:cs="仿宋"/>
          <w:bCs/>
          <w:sz w:val="24"/>
          <w:szCs w:val="24"/>
        </w:rPr>
      </w:pPr>
      <w:r>
        <w:rPr>
          <w:rFonts w:hint="eastAsia" w:ascii="宋体" w:hAnsi="宋体" w:cs="宋体"/>
          <w:sz w:val="24"/>
          <w:szCs w:val="24"/>
        </w:rPr>
        <w:t xml:space="preserve">2、投标人应</w:t>
      </w:r>
      <w:r>
        <w:rPr>
          <w:rFonts w:hint="eastAsia" w:ascii="宋体" w:hAnsi="宋体"/>
          <w:bCs/>
          <w:sz w:val="24"/>
          <w:szCs w:val="24"/>
        </w:rPr>
        <w:t xml:space="preserve">根据招标要求及项目实施具体需要，提供本项目的应急处理方案。</w:t>
      </w:r>
      <w:r/>
    </w:p>
    <w:p>
      <w:pPr>
        <w:ind w:firstLine="480"/>
        <w:spacing w:line="360" w:lineRule="auto"/>
        <w:rPr>
          <w:rFonts w:hint="eastAsia" w:ascii="宋体" w:hAnsi="宋体" w:cs="宋体"/>
          <w:sz w:val="24"/>
          <w:szCs w:val="24"/>
        </w:rPr>
      </w:pPr>
      <w:r>
        <w:rPr>
          <w:rFonts w:hint="eastAsia" w:ascii="宋体" w:hAnsi="宋体" w:cs="仿宋"/>
          <w:bCs/>
          <w:sz w:val="24"/>
          <w:szCs w:val="24"/>
        </w:rPr>
        <w:t xml:space="preserve">3、</w:t>
      </w:r>
      <w:r>
        <w:rPr>
          <w:rFonts w:hint="eastAsia" w:ascii="宋体" w:hAnsi="宋体" w:cs="宋体"/>
          <w:sz w:val="24"/>
          <w:szCs w:val="24"/>
        </w:rPr>
        <w:t xml:space="preserve">投标人</w:t>
      </w:r>
      <w:r>
        <w:rPr>
          <w:rFonts w:hint="eastAsia" w:ascii="宋体" w:hAnsi="宋体"/>
          <w:bCs/>
          <w:sz w:val="24"/>
          <w:szCs w:val="24"/>
        </w:rPr>
        <w:t xml:space="preserve">应根据招标要求及项目实施具体需要，提供本项目的培训方案</w:t>
      </w:r>
      <w:r>
        <w:rPr>
          <w:rFonts w:hint="eastAsia" w:ascii="宋体" w:hAnsi="宋体" w:cs="宋体"/>
          <w:sz w:val="24"/>
          <w:szCs w:val="24"/>
        </w:rPr>
        <w:t xml:space="preserve">。</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4、验收标准：</w:t>
      </w:r>
      <w:r>
        <w:rPr>
          <w:rFonts w:hint="eastAsia" w:ascii="宋体" w:hAnsi="宋体" w:cs="宋体"/>
          <w:sz w:val="24"/>
          <w:szCs w:val="24"/>
        </w:rPr>
        <w:t xml:space="preserve">采购人验收，供应商安装调试结束，取得安全检验合格证及电梯使用登记证，且能正常使用。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
          <w:bCs/>
          <w:sz w:val="24"/>
          <w:szCs w:val="24"/>
        </w:rPr>
        <w:t xml:space="preserve">其他要求</w:t>
      </w:r>
      <w:r>
        <w:rPr>
          <w:rFonts w:hint="eastAsia" w:ascii="宋体" w:hAnsi="宋体" w:cs="宋体"/>
          <w:sz w:val="24"/>
          <w:szCs w:val="24"/>
        </w:rPr>
        <w:t xml:space="preserve">：</w:t>
      </w:r>
      <w:r/>
    </w:p>
    <w:p>
      <w:pPr>
        <w:ind w:firstLine="482"/>
        <w:spacing w:line="360" w:lineRule="auto"/>
        <w:rPr>
          <w:rFonts w:hint="eastAsia" w:ascii="宋体" w:hAnsi="宋体" w:cs="宋体"/>
          <w:sz w:val="24"/>
          <w:szCs w:val="24"/>
        </w:rPr>
      </w:pPr>
      <w:r>
        <w:rPr>
          <w:rFonts w:hint="eastAsia" w:ascii="宋体" w:hAnsi="宋体"/>
          <w:b/>
          <w:bCs/>
          <w:i/>
          <w:sz w:val="24"/>
          <w:szCs w:val="21"/>
          <w:u w:val="single"/>
        </w:rPr>
        <w:t xml:space="preserve">本项目所采购电梯质保期内，采购电梯每年的年检费、电梯保险费等所有费用由中标单位承担。如中标单位承诺延长免费维保期的，采购电梯（除人为损坏及进水导致的故障以外）每年的年检费、电梯保险费等所有费用由中标单位承担。</w:t>
      </w:r>
      <w:r/>
    </w:p>
    <w:p>
      <w:pPr>
        <w:keepNext/>
        <w:rPr>
          <w:rFonts w:hint="eastAsia" w:ascii="宋体" w:hAnsi="宋体" w:cs="宋体"/>
          <w:b/>
          <w:bCs/>
          <w:sz w:val="24"/>
          <w:szCs w:val="24"/>
        </w:rPr>
        <w:outlineLvl w:val="0"/>
      </w:pPr>
      <w:r/>
      <w:bookmarkStart w:id="218" w:name="_Toc227167508"/>
      <w:r>
        <w:rPr>
          <w:rFonts w:hint="eastAsia" w:ascii="宋体" w:hAnsi="宋体"/>
          <w:b/>
          <w:bCs/>
          <w:sz w:val="24"/>
          <w:szCs w:val="24"/>
        </w:rPr>
        <w:t xml:space="preserve">三）、</w:t>
      </w:r>
      <w:r>
        <w:rPr>
          <w:rFonts w:hint="eastAsia" w:ascii="宋体" w:hAnsi="宋体" w:cs="宋体"/>
          <w:b/>
          <w:bCs/>
          <w:sz w:val="24"/>
          <w:szCs w:val="24"/>
        </w:rPr>
        <w:t xml:space="preserve">具体技术要求</w:t>
      </w:r>
      <w:bookmarkEnd w:id="218"/>
      <w:r/>
      <w:r/>
    </w:p>
    <w:p>
      <w:pPr>
        <w:ind w:firstLine="481"/>
        <w:rPr>
          <w:rFonts w:hint="eastAsia" w:ascii="宋体" w:hAnsi="宋体" w:cs="仿宋"/>
          <w:bCs/>
          <w:sz w:val="24"/>
          <w:szCs w:val="24"/>
        </w:rPr>
      </w:pPr>
      <w:r>
        <w:rPr>
          <w:rFonts w:hint="eastAsia" w:ascii="宋体" w:hAnsi="宋体" w:cs="仿宋"/>
          <w:bCs/>
          <w:sz w:val="24"/>
          <w:szCs w:val="24"/>
        </w:rPr>
        <w:t xml:space="preserve">本项目采购电梯的曳引机（主机）、控制柜、限速器、缓冲器、安全钳、层门锁，须与对应整机型式试验报告的品牌及型号一致。</w:t>
      </w:r>
      <w:r/>
    </w:p>
    <w:p>
      <w:pPr>
        <w:ind w:firstLine="481"/>
        <w:rPr>
          <w:rFonts w:hint="eastAsia" w:ascii="宋体" w:hAnsi="宋体" w:cs="宋体"/>
          <w:sz w:val="24"/>
          <w:szCs w:val="24"/>
        </w:rPr>
      </w:pPr>
      <w:r>
        <w:rPr>
          <w:rFonts w:hint="eastAsia" w:ascii="宋体" w:hAnsi="宋体" w:cs="宋体"/>
          <w:sz w:val="24"/>
          <w:szCs w:val="24"/>
        </w:rPr>
        <w:t xml:space="preserve">本项目采购电梯的</w:t>
      </w:r>
      <w:r>
        <w:rPr>
          <w:rFonts w:hint="eastAsia" w:ascii="宋体" w:hAnsi="宋体" w:cs="仿宋"/>
          <w:bCs/>
          <w:sz w:val="24"/>
          <w:szCs w:val="24"/>
        </w:rPr>
        <w:t xml:space="preserve">轿门门锁、上行超速保护装置、轿厢意外移动保护装置</w:t>
      </w:r>
      <w:r>
        <w:rPr>
          <w:rFonts w:hint="eastAsia" w:hAnsi="宋体" w:cs="Calibri"/>
          <w:sz w:val="24"/>
          <w:szCs w:val="24"/>
        </w:rPr>
        <w:t xml:space="preserve">，需与对应整机型式试验报告的品牌及型号一致</w:t>
      </w:r>
      <w:r>
        <w:rPr>
          <w:rFonts w:hint="eastAsia" w:ascii="宋体" w:hAnsi="宋体" w:cs="宋体"/>
          <w:sz w:val="24"/>
          <w:szCs w:val="24"/>
        </w:rPr>
        <w:t xml:space="preserve">。</w:t>
      </w:r>
      <w:r/>
    </w:p>
    <w:p>
      <w:pPr>
        <w:ind w:firstLine="481"/>
        <w:rPr>
          <w:rFonts w:hint="eastAsia" w:ascii="宋体" w:hAnsi="宋体" w:cs="宋体"/>
          <w:sz w:val="24"/>
          <w:szCs w:val="24"/>
        </w:rPr>
      </w:pPr>
      <w:r>
        <w:rPr>
          <w:rFonts w:hint="eastAsia" w:ascii="宋体" w:hAnsi="宋体" w:cs="宋体"/>
          <w:sz w:val="24"/>
          <w:szCs w:val="24"/>
        </w:rPr>
        <w:t xml:space="preserve">本项目采购电梯，电梯安装后应满足《中华人民共和国特种设备安全法》、《电梯制造与安装安全规范》（GB/T 7588.1）、《电梯工程施工质量验收规范》（GB50310）、《电梯型式试验规则》（TSG T7007）、《电梯技术条件》（GB/T10058）、《电梯安装验收规范》（GB/T 10060）及国家现行其它规范、标准等所规定的最新现行规范要求。</w:t>
      </w:r>
      <w:r/>
    </w:p>
    <w:p>
      <w:pPr>
        <w:ind w:firstLine="481"/>
        <w:rPr>
          <w:rFonts w:hint="eastAsia" w:ascii="宋体" w:hAnsi="宋体" w:cs="宋体"/>
          <w:sz w:val="24"/>
          <w:szCs w:val="24"/>
        </w:rPr>
      </w:pPr>
      <w:r>
        <w:rPr>
          <w:rFonts w:hint="eastAsia" w:ascii="宋体" w:hAnsi="宋体" w:cs="宋体"/>
          <w:sz w:val="24"/>
          <w:szCs w:val="24"/>
        </w:rPr>
        <w:t xml:space="preserve">性能要求：</w:t>
      </w:r>
      <w:r/>
    </w:p>
    <w:p>
      <w:pPr>
        <w:numPr>
          <w:ilvl w:val="0"/>
          <w:numId w:val="14"/>
        </w:numPr>
        <w:ind w:firstLine="481"/>
        <w:rPr>
          <w:rFonts w:hint="eastAsia" w:ascii="宋体" w:hAnsi="宋体" w:cs="宋体"/>
          <w:sz w:val="24"/>
          <w:szCs w:val="24"/>
        </w:rPr>
      </w:pPr>
      <w:r>
        <w:rPr>
          <w:rFonts w:hint="eastAsia" w:ascii="宋体" w:hAnsi="宋体" w:cs="宋体"/>
          <w:sz w:val="24"/>
          <w:szCs w:val="24"/>
        </w:rPr>
        <w:t xml:space="preserve">监控线：每部梯随行电缆中应配一根屏蔽监控软线缆，便于今后在轿厢中安装监控探头；同时投标人须在轿厢内预留监控探头的接口。</w:t>
      </w:r>
      <w:r/>
    </w:p>
    <w:p>
      <w:pPr>
        <w:numPr>
          <w:ilvl w:val="0"/>
          <w:numId w:val="14"/>
        </w:numPr>
        <w:ind w:firstLine="481"/>
        <w:rPr>
          <w:rFonts w:hint="eastAsia" w:ascii="宋体" w:hAnsi="宋体"/>
          <w:sz w:val="24"/>
          <w:szCs w:val="24"/>
        </w:rPr>
      </w:pPr>
      <w:r>
        <w:rPr>
          <w:rFonts w:hint="eastAsia" w:ascii="宋体" w:hAnsi="宋体"/>
          <w:sz w:val="24"/>
          <w:szCs w:val="24"/>
        </w:rPr>
        <w:t xml:space="preserve">电梯运行噪声达标：运行时机房内平均噪声值：≤80dB，运行中轿厢内最大噪声值：≤55dB，开关门过程最大噪声值：≤65dB。</w:t>
      </w:r>
      <w:r/>
    </w:p>
    <w:p>
      <w:pPr>
        <w:numPr>
          <w:ilvl w:val="0"/>
          <w:numId w:val="14"/>
        </w:numPr>
        <w:ind w:firstLine="481"/>
        <w:rPr>
          <w:rFonts w:hint="eastAsia" w:ascii="宋体" w:hAnsi="宋体"/>
          <w:sz w:val="24"/>
          <w:szCs w:val="24"/>
        </w:rPr>
      </w:pPr>
      <w:r>
        <w:rPr>
          <w:rFonts w:hint="eastAsia" w:ascii="宋体" w:hAnsi="宋体"/>
          <w:sz w:val="24"/>
          <w:szCs w:val="24"/>
        </w:rPr>
        <w:t xml:space="preserve">提升电梯运行舒适感，轿厢垂直方向和水平方向的振动加速度：轿厢</w:t>
      </w:r>
      <w:r>
        <w:rPr>
          <w:rFonts w:hint="eastAsia" w:ascii="宋体" w:hAnsi="宋体"/>
          <w:sz w:val="24"/>
          <w:szCs w:val="24"/>
        </w:rPr>
        <w:t xml:space="preserve">垂直震动≤ 0.2M/s2，轿厢水平震动≤ 0.2m/s2。</w:t>
      </w:r>
      <w:r/>
    </w:p>
    <w:p>
      <w:pPr>
        <w:numPr>
          <w:ilvl w:val="0"/>
          <w:numId w:val="14"/>
        </w:numPr>
        <w:ind w:firstLine="481"/>
        <w:rPr>
          <w:rFonts w:hint="eastAsia" w:ascii="宋体" w:hAnsi="宋体"/>
          <w:sz w:val="24"/>
          <w:szCs w:val="24"/>
        </w:rPr>
      </w:pPr>
      <w:r>
        <w:rPr>
          <w:rFonts w:hint="eastAsia" w:ascii="宋体" w:hAnsi="宋体"/>
          <w:sz w:val="24"/>
          <w:szCs w:val="24"/>
        </w:rPr>
        <w:t xml:space="preserve">自动精确平层：平层精度应≤±10mm。</w:t>
      </w:r>
      <w:r/>
    </w:p>
    <w:p>
      <w:pPr>
        <w:numPr>
          <w:ilvl w:val="0"/>
          <w:numId w:val="14"/>
        </w:numPr>
        <w:ind w:firstLine="481"/>
        <w:rPr>
          <w:rFonts w:hint="eastAsia" w:ascii="宋体" w:hAnsi="宋体"/>
          <w:sz w:val="24"/>
          <w:szCs w:val="24"/>
        </w:rPr>
      </w:pPr>
      <w:r>
        <w:rPr>
          <w:rFonts w:hint="eastAsia" w:ascii="宋体" w:hAnsi="宋体"/>
          <w:sz w:val="24"/>
          <w:szCs w:val="24"/>
        </w:rPr>
        <w:t xml:space="preserve">电梯基站位置可调，具有基站返回功能（可根据用户实际使用情况设定返回层）。</w:t>
      </w:r>
      <w:r/>
    </w:p>
    <w:p>
      <w:pPr>
        <w:numPr>
          <w:ilvl w:val="0"/>
          <w:numId w:val="14"/>
        </w:numPr>
        <w:ind w:firstLine="481"/>
        <w:rPr>
          <w:rFonts w:hint="eastAsia" w:ascii="宋体" w:hAnsi="宋体"/>
          <w:sz w:val="24"/>
          <w:szCs w:val="24"/>
        </w:rPr>
      </w:pPr>
      <w:r>
        <w:rPr>
          <w:rFonts w:hint="eastAsia" w:ascii="宋体" w:hAnsi="宋体"/>
          <w:sz w:val="24"/>
          <w:szCs w:val="24"/>
        </w:rPr>
        <w:t xml:space="preserve">停电应急自平层功能：突发停电时，电梯可就近平层，开门放人。</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所投电梯曳引机制动器，轿厢内加载至额定载荷并保持60min，主机制动器各部件完好，曳引轮不转动、轿厢未发生明显位移，制动器可保持良好的静态制动性能。</w:t>
      </w:r>
      <w:r/>
    </w:p>
    <w:p>
      <w:pPr>
        <w:numPr>
          <w:ilvl w:val="0"/>
          <w:numId w:val="14"/>
        </w:numPr>
        <w:ind w:firstLine="481"/>
        <w:rPr>
          <w:rFonts w:hint="eastAsia" w:ascii="宋体" w:hAnsi="宋体"/>
          <w:sz w:val="24"/>
          <w:szCs w:val="24"/>
        </w:rPr>
      </w:pPr>
      <w:r>
        <w:rPr>
          <w:rFonts w:hint="eastAsia" w:ascii="宋体" w:hAnsi="宋体"/>
          <w:sz w:val="24"/>
          <w:szCs w:val="24"/>
        </w:rPr>
        <w:t xml:space="preserve">投标电梯曳引机实测温升，曳引机实测温升应≤85K。</w:t>
      </w:r>
      <w:r/>
    </w:p>
    <w:p>
      <w:pPr>
        <w:numPr>
          <w:ilvl w:val="0"/>
          <w:numId w:val="14"/>
        </w:numPr>
        <w:ind w:firstLine="481"/>
        <w:rPr>
          <w:rFonts w:hint="eastAsia" w:ascii="宋体" w:hAnsi="宋体"/>
          <w:sz w:val="24"/>
          <w:szCs w:val="24"/>
        </w:rPr>
      </w:pPr>
      <w:r>
        <w:rPr>
          <w:rFonts w:hint="eastAsia" w:ascii="宋体" w:hAnsi="宋体"/>
          <w:sz w:val="24"/>
          <w:szCs w:val="24"/>
        </w:rPr>
        <w:t xml:space="preserve">本次所投型号电梯的门机系统或轿门开门装置无故障运行试验次数应≥500万次。</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所投电梯的曳引机制动器无故障运行试验次数应</w:t>
      </w:r>
      <w:r>
        <w:rPr>
          <w:rFonts w:ascii="Arial" w:hAnsi="Arial" w:cs="Arial"/>
          <w:sz w:val="24"/>
          <w:szCs w:val="24"/>
        </w:rPr>
        <w:t xml:space="preserve">≥</w:t>
      </w:r>
      <w:r>
        <w:rPr>
          <w:rFonts w:hint="eastAsia" w:ascii="宋体" w:hAnsi="宋体"/>
          <w:sz w:val="24"/>
          <w:szCs w:val="24"/>
        </w:rPr>
        <w:t xml:space="preserve">600万次。</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所投电梯的</w:t>
      </w:r>
      <w:r>
        <w:rPr>
          <w:rFonts w:hint="eastAsia" w:ascii="宋体" w:hAnsi="宋体"/>
          <w:sz w:val="24"/>
          <w:szCs w:val="24"/>
        </w:rPr>
        <w:t xml:space="preserve">光幕应与</w:t>
      </w:r>
      <w:r>
        <w:rPr>
          <w:rFonts w:hint="eastAsia" w:ascii="宋体" w:hAnsi="宋体"/>
          <w:sz w:val="24"/>
          <w:szCs w:val="24"/>
        </w:rPr>
        <w:t xml:space="preserve">电梯品牌一致；光幕的光束数目应</w:t>
      </w:r>
      <w:r>
        <w:rPr>
          <w:rFonts w:ascii="Arial" w:hAnsi="Arial" w:cs="Arial"/>
          <w:sz w:val="24"/>
          <w:szCs w:val="24"/>
        </w:rPr>
        <w:t xml:space="preserve">≥</w:t>
      </w:r>
      <w:r>
        <w:rPr>
          <w:rFonts w:hint="eastAsia" w:ascii="宋体" w:hAnsi="宋体"/>
          <w:sz w:val="24"/>
          <w:szCs w:val="24"/>
        </w:rPr>
        <w:t xml:space="preserve">180束；光幕</w:t>
      </w:r>
      <w:r>
        <w:rPr>
          <w:rFonts w:hint="eastAsia" w:ascii="宋体" w:hAnsi="宋体"/>
          <w:sz w:val="24"/>
          <w:szCs w:val="24"/>
        </w:rPr>
        <w:t xml:space="preserve">防护等级达应</w:t>
      </w:r>
      <w:r>
        <w:rPr>
          <w:rFonts w:ascii="Arial" w:hAnsi="Arial" w:cs="Arial"/>
          <w:sz w:val="24"/>
          <w:szCs w:val="24"/>
        </w:rPr>
        <w:t xml:space="preserve">≥</w:t>
      </w:r>
      <w:r>
        <w:rPr>
          <w:rFonts w:hint="eastAsia" w:ascii="宋体" w:hAnsi="宋体"/>
          <w:sz w:val="24"/>
          <w:szCs w:val="24"/>
        </w:rPr>
        <w:t xml:space="preserve">IP54。</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所投电梯的按钮应通过耐久性试验，动作寿命应</w:t>
      </w:r>
      <w:r>
        <w:rPr>
          <w:rFonts w:hint="eastAsia" w:ascii="Arial" w:hAnsi="Arial" w:cs="Arial"/>
          <w:sz w:val="24"/>
          <w:szCs w:val="24"/>
        </w:rPr>
        <w:t xml:space="preserve">达到</w:t>
      </w:r>
      <w:r>
        <w:rPr>
          <w:rFonts w:hint="eastAsia" w:ascii="宋体" w:hAnsi="宋体"/>
          <w:sz w:val="24"/>
          <w:szCs w:val="24"/>
        </w:rPr>
        <w:t xml:space="preserve">600万次。</w:t>
      </w:r>
      <w:r/>
    </w:p>
    <w:p>
      <w:pPr>
        <w:keepNext/>
        <w:rPr>
          <w:rFonts w:hint="eastAsia" w:ascii="宋体" w:hAnsi="宋体" w:cs="宋体"/>
          <w:b/>
          <w:bCs/>
          <w:sz w:val="24"/>
          <w:szCs w:val="24"/>
        </w:rPr>
        <w:outlineLvl w:val="0"/>
      </w:pPr>
      <w:r/>
      <w:bookmarkStart w:id="219" w:name="_Toc227167509"/>
      <w:r>
        <w:rPr>
          <w:rFonts w:hint="eastAsia" w:ascii="宋体" w:hAnsi="宋体" w:cs="宋体"/>
          <w:b/>
          <w:bCs/>
          <w:sz w:val="24"/>
          <w:szCs w:val="24"/>
        </w:rPr>
        <w:t xml:space="preserve">1、江宁校区药学院（DT1、DT2）</w:t>
      </w:r>
      <w:bookmarkEnd w:id="219"/>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2300*2700，以现场实际尺寸为准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6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51"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sz w:val="24"/>
                <w:szCs w:val="24"/>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76"/>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jc w:val="left"/>
        <w:widowControl/>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r>
      <w:r/>
    </w:p>
    <w:p>
      <w:pPr>
        <w:keepNext/>
        <w:rPr>
          <w:rFonts w:hint="eastAsia" w:ascii="宋体" w:hAnsi="宋体" w:cs="宋体"/>
          <w:sz w:val="24"/>
          <w:szCs w:val="24"/>
        </w:rPr>
        <w:outlineLvl w:val="0"/>
      </w:pPr>
      <w:r/>
      <w:bookmarkStart w:id="220" w:name="_Toc227167510"/>
      <w:r>
        <w:rPr>
          <w:rFonts w:hint="eastAsia" w:ascii="宋体" w:hAnsi="宋体" w:cs="宋体"/>
          <w:b/>
          <w:bCs/>
          <w:sz w:val="24"/>
          <w:szCs w:val="24"/>
        </w:rPr>
        <w:t xml:space="preserve">2、</w:t>
      </w:r>
      <w:r>
        <w:rPr>
          <w:rFonts w:hint="eastAsia" w:ascii="宋体" w:hAnsi="宋体" w:cs="宋体"/>
          <w:b/>
          <w:bCs/>
          <w:sz w:val="24"/>
          <w:szCs w:val="24"/>
        </w:rPr>
        <w:t xml:space="preserve">江宁校区逸夫</w:t>
      </w:r>
      <w:r>
        <w:rPr>
          <w:rFonts w:hint="eastAsia" w:ascii="宋体" w:hAnsi="宋体" w:cs="宋体"/>
          <w:b/>
          <w:bCs/>
          <w:sz w:val="24"/>
          <w:szCs w:val="24"/>
        </w:rPr>
        <w:t xml:space="preserve">楼（DT3）</w:t>
      </w:r>
      <w:bookmarkEnd w:id="220"/>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2100*2100，以现场实际尺寸为准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1500，以现场实际尺寸为准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9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453"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453"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r>
      <w:r/>
    </w:p>
    <w:p>
      <w:pPr>
        <w:keepNext/>
        <w:rPr>
          <w:rFonts w:hint="eastAsia" w:ascii="宋体" w:hAnsi="宋体" w:cs="宋体"/>
          <w:b/>
          <w:bCs/>
          <w:sz w:val="24"/>
          <w:szCs w:val="24"/>
        </w:rPr>
        <w:outlineLvl w:val="0"/>
      </w:pPr>
      <w:r/>
      <w:bookmarkStart w:id="221" w:name="_Toc227167511"/>
      <w:r>
        <w:rPr>
          <w:rFonts w:hint="eastAsia" w:ascii="宋体" w:hAnsi="宋体" w:cs="宋体"/>
          <w:b/>
          <w:bCs/>
          <w:sz w:val="24"/>
          <w:szCs w:val="24"/>
        </w:rPr>
        <w:t xml:space="preserve">3、江宁校区博学楼（DT4）</w:t>
      </w:r>
      <w:bookmarkEnd w:id="221"/>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2100*2100，以现场实际尺寸为准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1480，以现场实际尺寸为准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sz w:val="24"/>
          <w:szCs w:val="24"/>
        </w:rPr>
        <w:outlineLvl w:val="0"/>
      </w:pPr>
      <w:r/>
      <w:bookmarkStart w:id="222" w:name="_Toc227167512"/>
      <w:r>
        <w:rPr>
          <w:rFonts w:hint="eastAsia" w:ascii="宋体" w:hAnsi="宋体" w:cs="宋体"/>
          <w:b/>
          <w:bCs/>
          <w:sz w:val="24"/>
          <w:szCs w:val="24"/>
        </w:rPr>
        <w:t xml:space="preserve">4、江宁校区学生食堂2#梯（DT5）</w:t>
      </w:r>
      <w:bookmarkEnd w:id="222"/>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2400*2350，以现场实际尺寸为准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9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1500，以现场实际尺寸为准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05"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b/>
          <w:bCs/>
          <w:sz w:val="24"/>
          <w:szCs w:val="24"/>
        </w:rPr>
        <w:outlineLvl w:val="0"/>
      </w:pPr>
      <w:r/>
      <w:bookmarkStart w:id="223" w:name="_Toc227167513"/>
      <w:r>
        <w:rPr>
          <w:rFonts w:hint="eastAsia" w:ascii="宋体" w:hAnsi="宋体" w:cs="宋体"/>
          <w:b/>
          <w:bCs/>
          <w:sz w:val="24"/>
          <w:szCs w:val="24"/>
        </w:rPr>
        <w:t xml:space="preserve">5、江宁校区图书馆（DT6、DT7）</w:t>
      </w:r>
      <w:bookmarkEnd w:id="223"/>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2200*2150，以现场实际尺寸为准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900*2110，以现场实际尺寸为准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64"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spacing w:after="100" w:afterAutospacing="1"/>
              <w:widowControl/>
              <w:rPr>
                <w:rFonts w:hint="eastAsia" w:ascii="宋体" w:hAnsi="宋体" w:cs="宋体"/>
                <w:sz w:val="24"/>
                <w:szCs w:val="24"/>
              </w:rPr>
            </w:pPr>
            <w:r>
              <w:rPr>
                <w:rFonts w:hint="eastAsia" w:ascii="宋体" w:hAnsi="宋体" w:cs="宋体"/>
                <w:sz w:val="24"/>
                <w:szCs w:val="24"/>
              </w:rPr>
              <w:t xml:space="preserve">1层4800，2层4400，3层4400，4层4400，5层4400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1600，以现场实际尺寸为准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1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b/>
          <w:bCs/>
          <w:sz w:val="24"/>
          <w:szCs w:val="24"/>
        </w:rPr>
        <w:outlineLvl w:val="0"/>
      </w:pPr>
      <w:r/>
      <w:bookmarkStart w:id="224" w:name="_Toc227167514"/>
      <w:r>
        <w:rPr>
          <w:rFonts w:hint="eastAsia" w:ascii="宋体" w:hAnsi="宋体" w:cs="宋体"/>
          <w:b/>
          <w:bCs/>
          <w:sz w:val="24"/>
          <w:szCs w:val="24"/>
        </w:rPr>
        <w:t xml:space="preserve">6、五台校区研究生公寓（DT8，生殖中心使用）</w:t>
      </w:r>
      <w:bookmarkEnd w:id="224"/>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2400*2300，以现场实际尺寸为准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w:t>
            </w:r>
            <w:r>
              <w:rPr>
                <w:sz w:val="24"/>
                <w:szCs w:val="24"/>
              </w:rPr>
              <w:t xml:space="preserve">8</w:t>
            </w:r>
            <w:r>
              <w:rPr>
                <w:rFonts w:hint="eastAsia" w:ascii="宋体" w:hAnsi="宋体" w:cs="宋体"/>
                <w:sz w:val="24"/>
                <w:szCs w:val="24"/>
              </w:rPr>
              <w:t xml:space="preserve">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≥2.0m/s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05"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3"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b/>
          <w:bCs/>
          <w:sz w:val="24"/>
          <w:szCs w:val="24"/>
        </w:rPr>
        <w:outlineLvl w:val="0"/>
      </w:pPr>
      <w:r/>
      <w:bookmarkStart w:id="225" w:name="_Toc227167515"/>
      <w:r>
        <w:rPr>
          <w:rFonts w:hint="eastAsia" w:ascii="宋体" w:hAnsi="宋体" w:cs="宋体"/>
          <w:b/>
          <w:bCs/>
          <w:sz w:val="24"/>
          <w:szCs w:val="24"/>
        </w:rPr>
        <w:t xml:space="preserve">7、五台校区研究生公寓（DT9、DT10、DT11）</w:t>
      </w:r>
      <w:bookmarkEnd w:id="225"/>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2400*2300，以现场实际尺寸为准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≥2.0m/s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ind w:firstLine="482"/>
        <w:spacing w:line="360" w:lineRule="auto"/>
        <w:widowControl/>
        <w:rPr>
          <w:rFonts w:hint="eastAsia" w:ascii="宋体" w:hAnsi="宋体"/>
          <w:b/>
          <w:sz w:val="24"/>
        </w:rPr>
      </w:pPr>
      <w:r>
        <w:rPr>
          <w:rFonts w:hint="eastAsia" w:ascii="宋体" w:hAnsi="宋体"/>
          <w:b/>
          <w:sz w:val="24"/>
        </w:rPr>
      </w:r>
      <w:r/>
    </w:p>
    <w:p>
      <w:pPr>
        <w:ind w:firstLine="482"/>
        <w:spacing w:line="360" w:lineRule="auto"/>
        <w:widowControl/>
        <w:rPr>
          <w:rFonts w:hint="eastAsia" w:ascii="宋体" w:hAnsi="宋体"/>
          <w:b/>
          <w:sz w:val="24"/>
        </w:rPr>
      </w:pPr>
      <w:r>
        <w:rPr>
          <w:rFonts w:hint="eastAsia" w:ascii="宋体" w:hAnsi="宋体"/>
          <w:b/>
          <w:sz w:val="24"/>
        </w:rPr>
        <w:t xml:space="preserve">8、五台校区留学生公寓（DT12、DT13）</w:t>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2300*2150，以现场实际尺寸为准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78"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spacing w:after="100" w:afterAutospacing="1"/>
              <w:widowControl/>
              <w:rPr>
                <w:rFonts w:hint="eastAsia" w:ascii="宋体" w:hAnsi="宋体" w:cs="宋体"/>
                <w:sz w:val="24"/>
                <w:szCs w:val="24"/>
              </w:rPr>
            </w:pPr>
            <w:r>
              <w:rPr>
                <w:rFonts w:hint="eastAsia" w:ascii="宋体" w:hAnsi="宋体" w:cs="宋体"/>
                <w:sz w:val="24"/>
                <w:szCs w:val="24"/>
              </w:rPr>
              <w:t xml:space="preserve">1层3300,2层3300,3层3300,4层3300,5层3300,6层3300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1400，以现场实际尺寸为准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w:t>
            </w:r>
            <w:r>
              <w:rPr>
                <w:rFonts w:hint="eastAsia" w:ascii="宋体" w:hAnsi="宋体" w:cs="宋体"/>
                <w:sz w:val="24"/>
                <w:szCs w:val="24"/>
              </w:rPr>
              <w:t xml:space="preserve">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ind w:firstLine="482"/>
        <w:spacing w:line="360" w:lineRule="auto"/>
        <w:widowControl/>
        <w:rPr>
          <w:rFonts w:hint="eastAsia" w:ascii="宋体" w:hAnsi="宋体"/>
          <w:b/>
          <w:sz w:val="24"/>
        </w:rPr>
      </w:pPr>
      <w:r>
        <w:rPr>
          <w:rFonts w:hint="eastAsia" w:ascii="宋体" w:hAnsi="宋体"/>
          <w:b/>
          <w:sz w:val="24"/>
        </w:rPr>
      </w:r>
      <w:r/>
    </w:p>
    <w:p>
      <w:pPr>
        <w:ind w:firstLine="482"/>
        <w:spacing w:line="360" w:lineRule="auto"/>
        <w:widowControl/>
        <w:rPr>
          <w:rFonts w:hint="eastAsia" w:ascii="宋体" w:hAnsi="宋体"/>
          <w:b/>
          <w:sz w:val="24"/>
        </w:rPr>
      </w:pPr>
      <w:r>
        <w:rPr>
          <w:rFonts w:hint="eastAsia" w:ascii="宋体" w:hAnsi="宋体"/>
          <w:b/>
          <w:sz w:val="24"/>
        </w:rPr>
        <w:t xml:space="preserve">9、五台校区学生食堂（DT14）</w:t>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2200*1900，以现场实际尺寸为准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1层4800，2层4800，3层4800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1200，以现场实际尺寸为准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spacing w:line="360" w:lineRule="auto"/>
        <w:widowControl/>
        <w:rPr>
          <w:rFonts w:hint="eastAsia" w:ascii="宋体" w:hAnsi="宋体"/>
          <w:b/>
          <w:sz w:val="24"/>
        </w:rPr>
      </w:pPr>
      <w:r>
        <w:rPr>
          <w:rFonts w:hint="eastAsia" w:ascii="宋体" w:hAnsi="宋体"/>
          <w:b/>
          <w:sz w:val="24"/>
        </w:rPr>
      </w:r>
      <w:r/>
    </w:p>
    <w:p>
      <w:pPr>
        <w:ind w:firstLine="482"/>
        <w:spacing w:line="360" w:lineRule="auto"/>
        <w:widowControl/>
        <w:rPr>
          <w:rFonts w:hint="eastAsia" w:ascii="宋体" w:hAnsi="宋体"/>
          <w:b/>
          <w:sz w:val="24"/>
        </w:rPr>
      </w:pPr>
      <w:r>
        <w:rPr>
          <w:rFonts w:hint="eastAsia" w:ascii="宋体" w:hAnsi="宋体"/>
          <w:b/>
          <w:sz w:val="24"/>
        </w:rPr>
        <w:t xml:space="preserve">注：</w:t>
      </w:r>
      <w:r/>
    </w:p>
    <w:p>
      <w:pPr>
        <w:ind w:firstLine="480"/>
        <w:spacing w:line="360" w:lineRule="auto"/>
        <w:widowControl/>
        <w:rPr>
          <w:rFonts w:hint="eastAsia" w:ascii="宋体" w:hAnsi="宋体"/>
          <w:sz w:val="24"/>
        </w:rPr>
      </w:pPr>
      <w:r>
        <w:rPr>
          <w:rFonts w:hint="eastAsia" w:ascii="宋体" w:hAnsi="宋体"/>
          <w:sz w:val="24"/>
        </w:rPr>
        <w:t xml:space="preserve">（1）五方通话系统电梯机房到轿厢内布线包含在投标报价中。</w:t>
      </w:r>
      <w:r/>
    </w:p>
    <w:p>
      <w:pPr>
        <w:ind w:firstLine="480"/>
        <w:spacing w:line="360" w:lineRule="auto"/>
        <w:widowControl/>
        <w:rPr>
          <w:rFonts w:hint="eastAsia" w:ascii="宋体" w:hAnsi="宋体"/>
          <w:sz w:val="24"/>
        </w:rPr>
      </w:pPr>
      <w:r>
        <w:rPr>
          <w:rFonts w:hint="eastAsia" w:ascii="宋体" w:hAnsi="宋体"/>
          <w:sz w:val="24"/>
        </w:rPr>
        <w:t xml:space="preserve">（2）以上土建尺寸为参考尺寸，实际尺寸以现场测绘图纸为准。</w:t>
      </w:r>
      <w:r/>
    </w:p>
    <w:p>
      <w:pPr>
        <w:ind w:firstLine="480"/>
        <w:spacing w:line="360" w:lineRule="auto"/>
        <w:widowControl/>
        <w:rPr>
          <w:rFonts w:hint="eastAsia" w:ascii="宋体" w:hAnsi="宋体"/>
          <w:sz w:val="24"/>
        </w:rPr>
      </w:pPr>
      <w:r>
        <w:rPr>
          <w:rFonts w:hint="eastAsia" w:ascii="宋体" w:hAnsi="宋体"/>
          <w:sz w:val="24"/>
        </w:rPr>
        <w:t xml:space="preserve">（3）原电梯内安防监控摄像头，投标单位中标后需配合学校重新安装轿厢内安防监控摄像头，报价包含在投标报价中。</w:t>
      </w:r>
      <w:r/>
    </w:p>
    <w:p>
      <w:pPr>
        <w:ind w:firstLine="480"/>
        <w:spacing w:line="360" w:lineRule="auto"/>
        <w:widowControl/>
        <w:rPr>
          <w:rFonts w:hint="eastAsia" w:ascii="宋体" w:hAnsi="宋体"/>
          <w:sz w:val="24"/>
        </w:rPr>
      </w:pPr>
      <w:r>
        <w:rPr>
          <w:rFonts w:hint="eastAsia" w:ascii="宋体" w:hAnsi="宋体"/>
          <w:sz w:val="24"/>
        </w:rPr>
        <w:t xml:space="preserve">（4）</w:t>
      </w:r>
      <w:r>
        <w:rPr>
          <w:rFonts w:hint="eastAsia" w:ascii="宋体" w:hAnsi="宋体" w:cs="宋体"/>
          <w:sz w:val="24"/>
          <w:szCs w:val="24"/>
        </w:rPr>
        <w:t xml:space="preserve">五方通话系统值班室对讲终端，须根据学校指定位置进行安装、布线及调试，相关设备、线缆、辅材、施工及调试费用均已包含在本次投标报价内，采购人</w:t>
      </w:r>
      <w:r>
        <w:rPr>
          <w:rFonts w:hint="eastAsia" w:ascii="宋体" w:hAnsi="宋体" w:cs="宋体"/>
          <w:sz w:val="24"/>
          <w:szCs w:val="24"/>
        </w:rPr>
        <w:t xml:space="preserve">不</w:t>
      </w:r>
      <w:r>
        <w:rPr>
          <w:rFonts w:hint="eastAsia" w:ascii="宋体" w:hAnsi="宋体" w:cs="宋体"/>
          <w:sz w:val="24"/>
          <w:szCs w:val="24"/>
        </w:rPr>
        <w:t xml:space="preserve">另行支付任何费用。</w:t>
      </w:r>
      <w:r/>
    </w:p>
    <w:p>
      <w:pPr>
        <w:keepNext/>
        <w:rPr>
          <w:rFonts w:hint="eastAsia" w:ascii="宋体" w:hAnsi="宋体" w:cs="宋体"/>
          <w:b/>
          <w:bCs/>
          <w:sz w:val="24"/>
          <w:szCs w:val="24"/>
        </w:rPr>
        <w:outlineLvl w:val="0"/>
      </w:pPr>
      <w:r/>
      <w:bookmarkStart w:id="226" w:name="_Toc227167516"/>
      <w:r>
        <w:rPr>
          <w:rFonts w:hint="eastAsia" w:ascii="宋体" w:hAnsi="宋体" w:cs="宋体"/>
          <w:b/>
          <w:bCs/>
          <w:sz w:val="24"/>
          <w:szCs w:val="24"/>
        </w:rPr>
        <w:t xml:space="preserve">7、电梯应符合的技术标准要求</w:t>
      </w:r>
      <w:bookmarkEnd w:id="226"/>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（1）GB/T7588《电梯制造与安装安全规范》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（2）GB/T10058《电梯技术条件》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（3）GB/T10059《电梯试验方法》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（4）GB/T10060《电梯安装验收规范》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（5）其他</w:t>
      </w:r>
      <w:bookmarkStart w:id="227" w:name="_Hlk135317920"/>
      <w:r>
        <w:rPr>
          <w:rFonts w:hint="eastAsia" w:ascii="宋体" w:hAnsi="宋体" w:cs="宋体"/>
          <w:bCs/>
          <w:sz w:val="24"/>
          <w:szCs w:val="24"/>
        </w:rPr>
        <w:t xml:space="preserve">与电梯相关的国家、行业和地方的法律法规、规范规程、标准、图集</w:t>
      </w:r>
      <w:bookmarkEnd w:id="227"/>
      <w:r>
        <w:rPr>
          <w:rFonts w:hint="eastAsia" w:ascii="宋体" w:hAnsi="宋体" w:cs="宋体"/>
          <w:bCs/>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上述规范及技术条件并非全部，未列入而</w:t>
      </w:r>
      <w:r>
        <w:rPr>
          <w:rFonts w:hint="eastAsia" w:ascii="宋体" w:hAnsi="宋体" w:cs="宋体"/>
          <w:bCs/>
          <w:sz w:val="24"/>
          <w:szCs w:val="24"/>
        </w:rPr>
        <w:t xml:space="preserve">又相关</w:t>
      </w:r>
      <w:r>
        <w:rPr>
          <w:rFonts w:hint="eastAsia" w:ascii="宋体" w:hAnsi="宋体" w:cs="宋体"/>
          <w:bCs/>
          <w:sz w:val="24"/>
          <w:szCs w:val="24"/>
        </w:rPr>
        <w:t xml:space="preserve">的仍应采用。如有停用或废止的，应以相应的最新版本为准。</w:t>
      </w:r>
      <w:r/>
    </w:p>
    <w:p>
      <w:pPr>
        <w:keepNext/>
        <w:rPr>
          <w:rFonts w:hint="eastAsia" w:ascii="宋体" w:hAnsi="宋体" w:cs="宋体"/>
          <w:b/>
          <w:bCs/>
          <w:sz w:val="24"/>
          <w:szCs w:val="24"/>
        </w:rPr>
        <w:outlineLvl w:val="0"/>
      </w:pPr>
      <w:r/>
      <w:bookmarkStart w:id="228" w:name="_Toc227167517"/>
      <w:r>
        <w:rPr>
          <w:rFonts w:hint="eastAsia" w:ascii="宋体" w:hAnsi="宋体" w:cs="宋体"/>
          <w:b/>
          <w:bCs/>
          <w:sz w:val="24"/>
          <w:szCs w:val="24"/>
        </w:rPr>
        <w:t xml:space="preserve">8、技术资料要求</w:t>
      </w:r>
      <w:bookmarkEnd w:id="22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应向采购人应承诺至少提供以下技术资料（一梯一份），其费用已包括在响应价格之内：①电梯安装图；②电气设备及系统原理图；③电气设备及系统安装线路图；④构件、机械安装图；⑤安装手册、操作手册以及维修保养手册；⑥制造、安装标准和技术规范；⑦安装和验收报告(包括验收数据资料)；⑧零部件目录；⑨投标人应交付的其它资料和专用工具；⑩采购人认为应交付的其他资料。</w:t>
      </w:r>
      <w:r>
        <w:rPr>
          <w:rFonts w:hint="eastAsia" w:ascii="宋体" w:hAnsi="宋体" w:cs="宋体"/>
          <w:b/>
          <w:sz w:val="24"/>
          <w:szCs w:val="24"/>
        </w:rPr>
        <w:t xml:space="preserve">（提供承诺函，格式自拟，加盖公章）</w:t>
      </w:r>
      <w:r/>
    </w:p>
    <w:p>
      <w:pPr>
        <w:keepNext/>
        <w:rPr>
          <w:rFonts w:hint="eastAsia" w:ascii="宋体" w:hAnsi="宋体" w:cs="宋体"/>
          <w:b/>
          <w:bCs/>
          <w:sz w:val="24"/>
          <w:szCs w:val="24"/>
        </w:rPr>
        <w:outlineLvl w:val="0"/>
      </w:pPr>
      <w:r/>
      <w:bookmarkStart w:id="229" w:name="_Toc227167518"/>
      <w:r>
        <w:rPr>
          <w:rFonts w:hint="eastAsia" w:ascii="宋体" w:hAnsi="宋体" w:cs="宋体"/>
          <w:b/>
          <w:bCs/>
          <w:sz w:val="24"/>
          <w:szCs w:val="24"/>
        </w:rPr>
        <w:t xml:space="preserve">四）、项目实施要求</w:t>
      </w:r>
      <w:bookmarkEnd w:id="229"/>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项目的实施应符合本项目实际需要，并确保在学校规定的时间内完成。</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本次采购电梯共分两批次进行安装，第一</w:t>
      </w:r>
      <w:r>
        <w:rPr>
          <w:rFonts w:hint="eastAsia" w:ascii="宋体" w:hAnsi="宋体" w:cs="宋体"/>
          <w:bCs/>
          <w:sz w:val="24"/>
          <w:szCs w:val="24"/>
        </w:rPr>
        <w:t xml:space="preserve">批次需</w:t>
      </w:r>
      <w:r>
        <w:rPr>
          <w:rFonts w:hint="eastAsia" w:ascii="宋体" w:hAnsi="宋体" w:cs="宋体"/>
          <w:bCs/>
          <w:sz w:val="24"/>
          <w:szCs w:val="24"/>
        </w:rPr>
        <w:t xml:space="preserve">安装江宁校区药学院2#、3#电梯（DT1、DT2），逸夫楼电梯（DT3），博学楼电梯(DT4），学生食堂2#电梯（DT5），图书馆2#、3#电梯（DT6、DT7），五台校区研究生公寓1#、2#、3#电梯（DT8、DT9、DT10），留学生公寓1#电梯(DT12)，学生食堂6#电梯(DT14)；第二</w:t>
      </w:r>
      <w:r>
        <w:rPr>
          <w:rFonts w:hint="eastAsia" w:ascii="宋体" w:hAnsi="宋体" w:cs="宋体"/>
          <w:bCs/>
          <w:sz w:val="24"/>
          <w:szCs w:val="24"/>
        </w:rPr>
        <w:t xml:space="preserve">批次需</w:t>
      </w:r>
      <w:r>
        <w:rPr>
          <w:rFonts w:hint="eastAsia" w:ascii="宋体" w:hAnsi="宋体" w:cs="宋体"/>
          <w:bCs/>
          <w:sz w:val="24"/>
          <w:szCs w:val="24"/>
        </w:rPr>
        <w:t xml:space="preserve">安装五台校区研究生公寓4#台电梯（DT11），留学生公寓2#电梯（DT13）。</w:t>
      </w:r>
      <w:r/>
    </w:p>
    <w:p>
      <w:pPr>
        <w:keepNext/>
        <w:rPr>
          <w:rFonts w:hint="eastAsia" w:ascii="宋体" w:hAnsi="宋体" w:cs="宋体"/>
          <w:b/>
          <w:bCs/>
          <w:sz w:val="24"/>
          <w:szCs w:val="24"/>
        </w:rPr>
        <w:outlineLvl w:val="0"/>
      </w:pPr>
      <w:r/>
      <w:bookmarkStart w:id="230" w:name="_Toc227167519"/>
      <w:r>
        <w:rPr>
          <w:rFonts w:hint="eastAsia" w:ascii="宋体" w:hAnsi="宋体" w:cs="宋体"/>
          <w:b/>
          <w:bCs/>
          <w:sz w:val="24"/>
          <w:szCs w:val="24"/>
        </w:rPr>
        <w:t xml:space="preserve">五）、售后服务要求</w:t>
      </w:r>
      <w:bookmarkEnd w:id="23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 投标人依据现场实际情况和招标文件的要求，提供具体详实的售后服务方案：包括售后服务及电梯故障响应机制，在电梯发生故障时将故障排除，对于电梯的维修和</w:t>
      </w:r>
      <w:r>
        <w:rPr>
          <w:rFonts w:hint="eastAsia" w:ascii="宋体" w:hAnsi="宋体" w:cs="宋体"/>
          <w:bCs/>
          <w:sz w:val="24"/>
          <w:szCs w:val="24"/>
        </w:rPr>
        <w:t xml:space="preserve">质保</w:t>
      </w:r>
      <w:r>
        <w:rPr>
          <w:rFonts w:hint="eastAsia" w:ascii="宋体" w:hAnsi="宋体" w:cs="宋体"/>
          <w:bCs/>
          <w:sz w:val="24"/>
          <w:szCs w:val="24"/>
        </w:rPr>
        <w:t xml:space="preserve">应满足以下要求。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电梯交付后，中标供应商须提供电梯使用地的报修电话，并保证24小时有人接听。中标供应商必须参照《电梯使用管理与维修保养规则》的要求，电梯困人的求援时间不应超过20分钟，故障反应时间小于30分钟，一般故障修复时间小于60分钟，较大故障修复时间小于36小时。完成修理后，中标供应商应提交维修情况书面报告（包括但不限于故障原因、修理概况、恢复正常的时间和日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（2）质保期最少2年（具体以投标人实际承诺为准）。质保期内，中标供应商每1个月至少例行</w:t>
      </w:r>
      <w:r>
        <w:rPr>
          <w:rFonts w:hint="eastAsia" w:ascii="宋体" w:hAnsi="宋体" w:cs="宋体"/>
          <w:bCs/>
          <w:sz w:val="24"/>
          <w:szCs w:val="24"/>
        </w:rPr>
        <w:t xml:space="preserve">检查维保2次</w:t>
      </w:r>
      <w:r>
        <w:rPr>
          <w:rFonts w:hint="eastAsia" w:ascii="宋体" w:hAnsi="宋体" w:cs="宋体"/>
          <w:bCs/>
          <w:sz w:val="24"/>
          <w:szCs w:val="24"/>
        </w:rPr>
        <w:t xml:space="preserve">，并将检查情况书面报告采购人；质保期届满前30日内，中标供应商应全面检查一次，并将检查情况书面报告采购人。</w:t>
      </w:r>
      <w:r/>
    </w:p>
    <w:p>
      <w:pPr>
        <w:keepNext/>
        <w:rPr>
          <w:rFonts w:hint="eastAsia" w:ascii="宋体" w:hAnsi="宋体" w:cs="宋体"/>
          <w:b/>
          <w:bCs/>
          <w:sz w:val="24"/>
          <w:szCs w:val="24"/>
        </w:rPr>
        <w:outlineLvl w:val="0"/>
      </w:pPr>
      <w:r/>
      <w:bookmarkStart w:id="231" w:name="_Toc227167520"/>
      <w:r>
        <w:rPr>
          <w:rFonts w:hint="eastAsia" w:ascii="宋体" w:hAnsi="宋体" w:cs="宋体"/>
          <w:b/>
          <w:bCs/>
          <w:sz w:val="24"/>
          <w:szCs w:val="24"/>
        </w:rPr>
        <w:t xml:space="preserve">六）、验收</w:t>
      </w:r>
      <w:bookmarkEnd w:id="231"/>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1、投标人应根据招标要求及项目实施具体需要，提供本项目的履约验收方案。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2在交货之前，制造商应对产品质量、规格、性能和数量/重量进行精确和全面的检测，并出具证明产品与招标文件要求相符的证明书。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3、检测、检验和试验证明设备达到文件的技术规定, 并获得南京市特种设备安全监督检验研究院特种设备使用登记证和特种设备使用标志，批准运营后，双方即签署验收文件，设备即视为验收通过。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4、货物抵达工地后,双方根据装箱文件清点件数及外观质量验收,并出具书面验收证明。</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5、货物到达采购人工地至交付使用前所有的安全保管工作由供应商负责。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6、电梯验收要求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①第1次验收：设备运抵采购人现场之日，采购人、供应</w:t>
      </w:r>
      <w:r>
        <w:rPr>
          <w:rFonts w:hint="eastAsia" w:ascii="宋体" w:hAnsi="宋体" w:cs="宋体"/>
          <w:bCs/>
          <w:sz w:val="24"/>
          <w:szCs w:val="24"/>
        </w:rPr>
        <w:t xml:space="preserve">商双方</w:t>
      </w:r>
      <w:r>
        <w:rPr>
          <w:rFonts w:hint="eastAsia" w:ascii="宋体" w:hAnsi="宋体" w:cs="宋体"/>
          <w:bCs/>
          <w:sz w:val="24"/>
          <w:szCs w:val="24"/>
        </w:rPr>
        <w:t xml:space="preserve">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2 \* GB3 </w:instrText>
      </w:r>
      <w:r>
        <w:rPr>
          <w:rFonts w:hint="eastAsia" w:ascii="宋体" w:hAnsi="宋体" w:cs="宋体"/>
          <w:bCs/>
          <w:sz w:val="24"/>
          <w:szCs w:val="24"/>
        </w:rPr>
        <w:fldChar w:fldCharType="separate"/>
      </w:r>
      <w:r>
        <w:rPr>
          <w:rFonts w:hint="eastAsia" w:ascii="宋体" w:hAnsi="宋体" w:cs="宋体"/>
          <w:bCs/>
          <w:sz w:val="24"/>
          <w:szCs w:val="24"/>
        </w:rPr>
        <w:t xml:space="preserve">②</w:t>
      </w:r>
      <w:r>
        <w:rPr>
          <w:rFonts w:hint="eastAsia" w:ascii="宋体" w:hAnsi="宋体" w:cs="宋体"/>
          <w:bCs/>
          <w:sz w:val="24"/>
          <w:szCs w:val="24"/>
        </w:rPr>
        <w:fldChar w:fldCharType="end"/>
      </w:r>
      <w:r>
        <w:rPr>
          <w:rFonts w:hint="eastAsia" w:ascii="宋体" w:hAnsi="宋体" w:cs="宋体"/>
          <w:bCs/>
          <w:sz w:val="24"/>
          <w:szCs w:val="24"/>
        </w:rPr>
        <w:t xml:space="preserve">第2次验收：安装完成由供应商负责向南京市场监督管理局质量技术监督部门（特检院）送交有关验收资料，经南京市场监督管理局质量技术监督部门（特检院）检验验收合格。并由供应商负责办理特种设备使用登记证，特种</w:t>
      </w:r>
      <w:r>
        <w:rPr>
          <w:rFonts w:hint="eastAsia" w:ascii="宋体" w:hAnsi="宋体" w:cs="宋体"/>
          <w:bCs/>
          <w:sz w:val="24"/>
          <w:szCs w:val="24"/>
        </w:rPr>
        <w:t xml:space="preserve">设备使用标志。使用前办理完成电梯安全责任保险。</w:t>
      </w:r>
      <w:r/>
    </w:p>
    <w:p>
      <w:pPr>
        <w:keepNext/>
        <w:rPr>
          <w:rFonts w:hint="eastAsia" w:ascii="宋体" w:hAnsi="宋体" w:cs="宋体"/>
          <w:b/>
          <w:bCs/>
          <w:sz w:val="24"/>
          <w:szCs w:val="24"/>
        </w:rPr>
        <w:outlineLvl w:val="0"/>
      </w:pPr>
      <w:r/>
      <w:bookmarkStart w:id="232" w:name="_Toc227167521"/>
      <w:r>
        <w:rPr>
          <w:rFonts w:hint="eastAsia" w:ascii="宋体" w:hAnsi="宋体" w:cs="宋体"/>
          <w:b/>
          <w:bCs/>
          <w:sz w:val="24"/>
          <w:szCs w:val="24"/>
        </w:rPr>
        <w:t xml:space="preserve">七）、投标人履约能力</w:t>
      </w:r>
      <w:bookmarkEnd w:id="232"/>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1、投标人或所</w:t>
      </w:r>
      <w:r>
        <w:rPr>
          <w:rFonts w:hint="eastAsia" w:ascii="宋体" w:hAnsi="宋体" w:cs="宋体"/>
          <w:bCs/>
          <w:sz w:val="24"/>
          <w:szCs w:val="24"/>
        </w:rPr>
        <w:t xml:space="preserve">投产品需有</w:t>
      </w:r>
      <w:r>
        <w:rPr>
          <w:rFonts w:hint="eastAsia" w:ascii="宋体" w:hAnsi="宋体" w:cs="宋体"/>
          <w:bCs/>
          <w:sz w:val="24"/>
          <w:szCs w:val="24"/>
        </w:rPr>
        <w:t xml:space="preserve">2023年4月1日以来已完成的类似的更换（旧电梯换新）电梯业绩。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2、投标人拟派本项目的项目负责人须具备机电类中级职称证书。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3、投标人拟派本项目的管理机构，</w:t>
      </w:r>
      <w:r>
        <w:rPr>
          <w:rFonts w:hint="eastAsia" w:ascii="宋体" w:hAnsi="宋体" w:cs="宋体"/>
          <w:bCs/>
          <w:sz w:val="24"/>
          <w:szCs w:val="24"/>
        </w:rPr>
        <w:t xml:space="preserve">除项目</w:t>
      </w:r>
      <w:r>
        <w:rPr>
          <w:rFonts w:hint="eastAsia" w:ascii="宋体" w:hAnsi="宋体" w:cs="宋体"/>
          <w:bCs/>
          <w:sz w:val="24"/>
          <w:szCs w:val="24"/>
        </w:rPr>
        <w:t xml:space="preserve">负责人以外，还应当包括电梯质量检验员、焊工、电工、资料员等岗位。设置与本项目规模相适应的项目管理组织机构，并具备相应有效的岗位资格证书，包括但不限于：特种设备安全管理和作业人员证（作业项目：电梯修理，代号：T）、电梯质量检验员证、焊接与热切割作业证、电工证、建筑施工企业专职安全生产管理人员安全生产考核合格证书（C证）、资料员证书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    </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0" w:lineRule="atLeast"/>
        <w:rPr>
          <w:rFonts w:hint="eastAsia" w:ascii="宋体" w:hAnsi="宋体"/>
          <w:sz w:val="24"/>
          <w:szCs w:val="24"/>
        </w:rPr>
      </w:pPr>
      <w:r>
        <w:rPr>
          <w:rFonts w:hint="eastAsia" w:ascii="宋体" w:hAnsi="宋体"/>
          <w:sz w:val="24"/>
          <w:szCs w:val="24"/>
        </w:rPr>
      </w:r>
      <w:r/>
    </w:p>
    <w:p>
      <w:pPr>
        <w:jc w:val="center"/>
        <w:keepNext/>
        <w:rPr>
          <w:rFonts w:ascii="黑体" w:eastAsia="黑体"/>
          <w:bCs/>
          <w:sz w:val="44"/>
          <w:szCs w:val="28"/>
        </w:rPr>
        <w:outlineLvl w:val="0"/>
      </w:pPr>
      <w:r>
        <w:rPr>
          <w:rFonts w:hint="eastAsia" w:ascii="宋体" w:hAnsi="宋体"/>
          <w:sz w:val="24"/>
          <w:szCs w:val="24"/>
        </w:rPr>
        <w:br w:type="page" w:clear="all"/>
      </w:r>
      <w:bookmarkStart w:id="233" w:name="_Toc227167522"/>
      <w:r>
        <w:rPr>
          <w:rFonts w:hint="eastAsia" w:ascii="黑体" w:eastAsia="黑体"/>
          <w:bCs/>
          <w:sz w:val="44"/>
          <w:szCs w:val="28"/>
        </w:rPr>
        <w:t xml:space="preserve">第五章  </w:t>
      </w:r>
      <w:r>
        <w:rPr>
          <w:rFonts w:hint="eastAsia" w:ascii="黑体" w:eastAsia="黑体"/>
          <w:b/>
          <w:bCs/>
          <w:sz w:val="44"/>
          <w:szCs w:val="28"/>
        </w:rPr>
        <w:t xml:space="preserve">评标方法与评标标准</w:t>
      </w:r>
      <w:bookmarkEnd w:id="233"/>
      <w:r/>
      <w:r/>
    </w:p>
    <w:p>
      <w:pPr>
        <w:rPr>
          <w:szCs w:val="21"/>
        </w:rPr>
      </w:pPr>
      <w:r>
        <w:rPr>
          <w:szCs w:val="21"/>
        </w:rPr>
      </w:r>
      <w:r/>
    </w:p>
    <w:p>
      <w:pPr>
        <w:ind w:firstLine="480"/>
        <w:spacing w:line="0" w:lineRule="atLeast"/>
        <w:rPr>
          <w:rFonts w:hint="eastAsia"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4325" w:type="dxa"/>
            <w:textDirection w:val="lrTb"/>
            <w:noWrap w:val="false"/>
          </w:tcPr>
          <w:p>
            <w:pPr>
              <w:jc w:val="left"/>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sz w:val="36"/>
          <w:szCs w:val="36"/>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w:t>
      </w:r>
      <w:r>
        <w:rPr>
          <w:rFonts w:hint="eastAsia" w:ascii="宋体" w:hAnsi="宋体"/>
          <w:sz w:val="24"/>
          <w:szCs w:val="24"/>
        </w:rPr>
        <w:t xml:space="preserve">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7、采购本国产品的支持政策</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填写产品名称、厂名、生产厂址三项信息（《声明函》中标注“ / ”的地方无需填写），三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7.5 评标过程中如发现供应商在《声明函》内容</w:t>
      </w:r>
      <w:r>
        <w:rPr>
          <w:rFonts w:ascii="宋体" w:hAnsi="宋体"/>
          <w:sz w:val="24"/>
          <w:szCs w:val="24"/>
        </w:rPr>
        <w:t xml:space="preserve">含义不明确、同类事项与投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w:t>
      </w:r>
      <w:r>
        <w:rPr>
          <w:rFonts w:hint="eastAsia" w:ascii="宋体" w:hAnsi="宋体"/>
          <w:sz w:val="24"/>
          <w:szCs w:val="24"/>
        </w:rPr>
        <w:t xml:space="preserve">作出</w:t>
      </w:r>
      <w:r>
        <w:rPr>
          <w:rFonts w:hint="eastAsia" w:ascii="宋体" w:hAnsi="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评标方法与评标标准</w:t>
      </w:r>
      <w:r/>
    </w:p>
    <w:tbl>
      <w:tblPr>
        <w:tblW w:w="86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tblGrid>
      <w:tr>
        <w:trPr>
          <w:jc w:val="center"/>
          <w:trHeight w:val="501"/>
          <w:tblHeader/>
        </w:trPr>
        <w:tc>
          <w:tcPr>
            <w:tcW w:w="519"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序号</w:t>
            </w:r>
            <w:r/>
          </w:p>
        </w:tc>
        <w:tc>
          <w:tcPr>
            <w:tcW w:w="1179"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评审因素</w:t>
            </w:r>
            <w:r/>
          </w:p>
        </w:tc>
        <w:tc>
          <w:tcPr>
            <w:tcW w:w="6330"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评审细则</w:t>
            </w:r>
            <w:r/>
          </w:p>
        </w:tc>
        <w:tc>
          <w:tcPr>
            <w:tcW w:w="647"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分值</w:t>
            </w:r>
            <w:r/>
          </w:p>
        </w:tc>
      </w:tr>
      <w:tr>
        <w:trPr>
          <w:jc w:val="center"/>
          <w:trHeight w:val="1030"/>
        </w:trPr>
        <w:tc>
          <w:tcPr>
            <w:tcW w:w="519"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宋体"/>
                <w:spacing w:val="-6"/>
                <w:sz w:val="24"/>
                <w:szCs w:val="24"/>
              </w:rPr>
              <w:t xml:space="preserve">1</w:t>
            </w:r>
            <w:r>
              <w:rPr>
                <w:rFonts w:hint="eastAsia" w:ascii="宋体" w:hAnsi="宋体" w:cs="宋体"/>
                <w:spacing w:val="-5"/>
                <w:sz w:val="24"/>
                <w:szCs w:val="24"/>
              </w:rPr>
              <w:t xml:space="preserve">.1</w:t>
            </w:r>
            <w:r/>
          </w:p>
        </w:tc>
        <w:tc>
          <w:tcPr>
            <w:tcW w:w="1179" w:type="dxa"/>
            <w:vAlign w:val="center"/>
            <w:textDirection w:val="lrTb"/>
            <w:noWrap w:val="false"/>
          </w:tcPr>
          <w:p>
            <w:pPr>
              <w:jc w:val="left"/>
              <w:spacing w:before="68" w:line="264" w:lineRule="auto"/>
              <w:rPr>
                <w:rFonts w:hint="eastAsia" w:ascii="宋体" w:hAnsi="宋体" w:cs="宋体"/>
                <w:sz w:val="24"/>
                <w:szCs w:val="24"/>
              </w:rPr>
            </w:pPr>
            <w:r>
              <w:rPr>
                <w:rFonts w:hint="eastAsia" w:ascii="宋体" w:hAnsi="宋体" w:cs="宋体"/>
                <w:spacing w:val="-2"/>
                <w:sz w:val="24"/>
                <w:szCs w:val="24"/>
              </w:rPr>
              <w:t xml:space="preserve">价格分</w:t>
            </w:r>
            <w:r/>
          </w:p>
        </w:tc>
        <w:tc>
          <w:tcPr>
            <w:tcW w:w="6330" w:type="dxa"/>
            <w:vAlign w:val="center"/>
            <w:textDirection w:val="lrTb"/>
            <w:noWrap w:val="false"/>
          </w:tcPr>
          <w:p>
            <w:pPr>
              <w:jc w:val="left"/>
              <w:spacing w:line="264" w:lineRule="auto"/>
              <w:rPr>
                <w:rFonts w:hint="eastAsia" w:ascii="宋体" w:hAnsi="宋体" w:cs="宋体"/>
                <w:sz w:val="24"/>
                <w:szCs w:val="24"/>
              </w:rPr>
            </w:pPr>
            <w:r>
              <w:rPr>
                <w:rFonts w:hint="eastAsia" w:ascii="宋体" w:hAnsi="宋体" w:cs="宋体"/>
                <w:spacing w:val="1"/>
                <w:sz w:val="24"/>
                <w:szCs w:val="24"/>
              </w:rPr>
              <w:t xml:space="preserve">采用低价优先</w:t>
            </w:r>
            <w:r>
              <w:rPr>
                <w:rFonts w:hint="eastAsia" w:ascii="宋体" w:hAnsi="宋体" w:cs="宋体"/>
                <w:sz w:val="24"/>
                <w:szCs w:val="24"/>
              </w:rPr>
              <w:t xml:space="preserve">法计算，即满足招标文件要求且投标价格最低的投标</w:t>
            </w:r>
            <w:r>
              <w:rPr>
                <w:rFonts w:hint="eastAsia" w:ascii="宋体" w:hAnsi="宋体" w:cs="宋体"/>
                <w:spacing w:val="1"/>
                <w:sz w:val="24"/>
                <w:szCs w:val="24"/>
              </w:rPr>
              <w:t xml:space="preserve">报价为评标基准</w:t>
            </w:r>
            <w:r>
              <w:rPr>
                <w:rFonts w:hint="eastAsia" w:ascii="宋体" w:hAnsi="宋体" w:cs="宋体"/>
                <w:sz w:val="24"/>
                <w:szCs w:val="24"/>
              </w:rPr>
              <w:t xml:space="preserve">价，其价格分为满分。其他供应商的价格</w:t>
            </w:r>
            <w:r>
              <w:rPr>
                <w:rFonts w:hint="eastAsia" w:ascii="宋体" w:hAnsi="宋体" w:cs="宋体"/>
                <w:sz w:val="24"/>
                <w:szCs w:val="24"/>
              </w:rPr>
              <w:t xml:space="preserve">分统一</w:t>
            </w:r>
            <w:r>
              <w:rPr>
                <w:rFonts w:hint="eastAsia" w:ascii="宋体" w:hAnsi="宋体" w:cs="宋体"/>
                <w:sz w:val="24"/>
                <w:szCs w:val="24"/>
              </w:rPr>
              <w:t xml:space="preserve">按</w:t>
            </w:r>
            <w:r>
              <w:rPr>
                <w:rFonts w:hint="eastAsia" w:ascii="宋体" w:hAnsi="宋体" w:cs="宋体"/>
                <w:spacing w:val="-1"/>
                <w:sz w:val="24"/>
                <w:szCs w:val="24"/>
              </w:rPr>
              <w:t xml:space="preserve">照下列公</w:t>
            </w:r>
            <w:r>
              <w:rPr>
                <w:rFonts w:hint="eastAsia" w:ascii="宋体" w:hAnsi="宋体" w:cs="宋体"/>
                <w:sz w:val="24"/>
                <w:szCs w:val="24"/>
              </w:rPr>
              <w:t xml:space="preserve">式计算：投标报价得分=(评标基准价/投标报价)×30（小数点保留两位）</w:t>
            </w:r>
            <w:r/>
          </w:p>
        </w:tc>
        <w:tc>
          <w:tcPr>
            <w:tcW w:w="647" w:type="dxa"/>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30</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电梯主要部件</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所投产品（需标明所投产品的品牌及相应的系列型号）的主要部件（曳引机、控制柜、限速器、缓冲器、安全钳、层门锁）为电梯制造商原厂原品牌，有一项不满足的扣1分，扣</w:t>
            </w:r>
            <w:r>
              <w:rPr>
                <w:rFonts w:hint="eastAsia" w:ascii="宋体" w:hAnsi="宋体" w:cs="仿宋"/>
                <w:bCs/>
                <w:sz w:val="24"/>
                <w:szCs w:val="24"/>
              </w:rPr>
              <w:t xml:space="preserve">完为止。（提供整机型式试验报告原件扫描上传至电子投标文件中，否则不予得分）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宋体"/>
                <w:sz w:val="24"/>
                <w:szCs w:val="24"/>
              </w:rPr>
              <w:t xml:space="preserve">6</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2.2</w:t>
            </w:r>
            <w:r/>
          </w:p>
        </w:tc>
        <w:tc>
          <w:tcPr>
            <w:tcW w:w="1179" w:type="dxa"/>
            <w:vAlign w:val="center"/>
            <w:textDirection w:val="lrTb"/>
            <w:noWrap w:val="false"/>
          </w:tcPr>
          <w:p>
            <w:pPr>
              <w:jc w:val="center"/>
              <w:rPr>
                <w:rFonts w:hint="eastAsia" w:ascii="宋体" w:hAnsi="宋体" w:cs="宋体"/>
                <w:spacing w:val="-2"/>
                <w:sz w:val="24"/>
                <w:szCs w:val="24"/>
              </w:rPr>
            </w:pPr>
            <w:r>
              <w:rPr>
                <w:rFonts w:hint="eastAsia" w:ascii="宋体" w:hAnsi="宋体" w:cs="仿宋"/>
                <w:sz w:val="24"/>
                <w:szCs w:val="24"/>
              </w:rPr>
              <w:t xml:space="preserve">电梯门机系统或轿门开门装置性能</w:t>
            </w:r>
            <w:r/>
          </w:p>
        </w:tc>
        <w:tc>
          <w:tcPr>
            <w:tcW w:w="6330" w:type="dxa"/>
            <w:vAlign w:val="center"/>
            <w:textDirection w:val="lrTb"/>
            <w:noWrap w:val="false"/>
          </w:tcPr>
          <w:p>
            <w:pPr>
              <w:rPr>
                <w:rFonts w:hint="eastAsia" w:ascii="宋体" w:hAnsi="宋体" w:cs="宋体"/>
                <w:spacing w:val="-1"/>
                <w:sz w:val="24"/>
                <w:szCs w:val="24"/>
                <w:lang w:val="zh-CN"/>
              </w:rPr>
            </w:pPr>
            <w:r>
              <w:rPr>
                <w:rFonts w:hint="eastAsia" w:ascii="宋体" w:hAnsi="宋体" w:cs="仿宋"/>
                <w:bCs/>
                <w:sz w:val="24"/>
                <w:szCs w:val="24"/>
              </w:rPr>
              <w:t xml:space="preserve">投标产品(需标明所投产品的品牌及相应的系列型号)的电梯门机系统或轿门开门装置无故障运行试验次数，</w:t>
            </w:r>
            <w:r>
              <w:rPr>
                <w:rFonts w:ascii="宋体" w:hAnsi="宋体" w:cs="仿宋"/>
                <w:bCs/>
                <w:sz w:val="24"/>
                <w:szCs w:val="24"/>
              </w:rPr>
              <w:t xml:space="preserve">1350</w:t>
            </w:r>
            <w:r>
              <w:rPr>
                <w:rFonts w:hint="eastAsia" w:ascii="宋体" w:hAnsi="宋体" w:cs="仿宋"/>
                <w:bCs/>
                <w:sz w:val="24"/>
                <w:szCs w:val="24"/>
              </w:rPr>
              <w:t xml:space="preserve">万次及以上得</w:t>
            </w:r>
            <w:r>
              <w:rPr>
                <w:rFonts w:ascii="宋体" w:hAnsi="宋体" w:cs="仿宋"/>
                <w:bCs/>
                <w:sz w:val="24"/>
                <w:szCs w:val="24"/>
              </w:rPr>
              <w:t xml:space="preserve">3</w:t>
            </w:r>
            <w:r>
              <w:rPr>
                <w:rFonts w:hint="eastAsia" w:ascii="宋体" w:hAnsi="宋体" w:cs="仿宋"/>
                <w:bCs/>
                <w:sz w:val="24"/>
                <w:szCs w:val="24"/>
              </w:rPr>
              <w:t xml:space="preserve">分；</w:t>
            </w:r>
            <w:r>
              <w:rPr>
                <w:rFonts w:ascii="宋体" w:hAnsi="宋体" w:cs="仿宋"/>
                <w:bCs/>
                <w:sz w:val="24"/>
                <w:szCs w:val="24"/>
              </w:rPr>
              <w:t xml:space="preserve">1250</w:t>
            </w:r>
            <w:r>
              <w:rPr>
                <w:rFonts w:hint="eastAsia" w:ascii="宋体" w:hAnsi="宋体" w:cs="仿宋"/>
                <w:bCs/>
                <w:sz w:val="24"/>
                <w:szCs w:val="24"/>
              </w:rPr>
              <w:t xml:space="preserve">（含）-1350万次得2分，1250万次以下得</w:t>
            </w:r>
            <w:r>
              <w:rPr>
                <w:rFonts w:ascii="宋体" w:hAnsi="宋体" w:cs="仿宋"/>
                <w:bCs/>
                <w:sz w:val="24"/>
                <w:szCs w:val="24"/>
              </w:rPr>
              <w:t xml:space="preserve">1</w:t>
            </w:r>
            <w:r>
              <w:rPr>
                <w:rFonts w:hint="eastAsia" w:ascii="宋体" w:hAnsi="宋体" w:cs="仿宋"/>
                <w:bCs/>
                <w:sz w:val="24"/>
                <w:szCs w:val="24"/>
              </w:rPr>
              <w:t xml:space="preserve">分。(提供带CMA标识的检验报告原件扫描件上传至电子投标文件中，否则不予得分)</w:t>
            </w:r>
            <w:r/>
          </w:p>
        </w:tc>
        <w:tc>
          <w:tcPr>
            <w:tcW w:w="647" w:type="dxa"/>
            <w:vAlign w:val="center"/>
            <w:textDirection w:val="lrTb"/>
            <w:noWrap w:val="false"/>
          </w:tcPr>
          <w:p>
            <w:pPr>
              <w:jc w:val="center"/>
              <w:rPr>
                <w:rFonts w:hint="eastAsia" w:ascii="宋体" w:hAnsi="宋体" w:cs="宋体"/>
                <w:sz w:val="24"/>
                <w:szCs w:val="24"/>
              </w:rPr>
            </w:pPr>
            <w:r>
              <w:rPr>
                <w:rFonts w:ascii="宋体" w:hAnsi="宋体" w:cs="仿宋"/>
                <w:bCs/>
                <w:sz w:val="24"/>
                <w:szCs w:val="24"/>
              </w:rPr>
              <w:t xml:space="preserve">3</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2.3</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电梯曳引机制动器性能</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所投产品（需标明所投产品的品牌及相应的系列型号）的曳引机制动器无故障运行试验次数，1</w:t>
            </w:r>
            <w:r>
              <w:rPr>
                <w:rFonts w:ascii="宋体" w:hAnsi="宋体" w:cs="仿宋"/>
                <w:bCs/>
                <w:sz w:val="24"/>
                <w:szCs w:val="24"/>
              </w:rPr>
              <w:t xml:space="preserve">8</w:t>
            </w:r>
            <w:r>
              <w:rPr>
                <w:rFonts w:hint="eastAsia" w:ascii="宋体" w:hAnsi="宋体" w:cs="仿宋"/>
                <w:bCs/>
                <w:sz w:val="24"/>
                <w:szCs w:val="24"/>
              </w:rPr>
              <w:t xml:space="preserve">00（含）万次以上得5</w:t>
            </w:r>
            <w:bookmarkStart w:id="234" w:name="OLE_LINK1"/>
            <w:r/>
            <w:bookmarkStart w:id="235" w:name="OLE_LINK2"/>
            <w:r>
              <w:rPr>
                <w:rFonts w:hint="eastAsia" w:ascii="宋体" w:hAnsi="宋体" w:cs="仿宋"/>
                <w:bCs/>
                <w:sz w:val="24"/>
                <w:szCs w:val="24"/>
              </w:rPr>
              <w:t xml:space="preserve">分；1</w:t>
            </w:r>
            <w:r>
              <w:rPr>
                <w:rFonts w:ascii="宋体" w:hAnsi="宋体" w:cs="仿宋"/>
                <w:bCs/>
                <w:sz w:val="24"/>
                <w:szCs w:val="24"/>
              </w:rPr>
              <w:t xml:space="preserve">5</w:t>
            </w:r>
            <w:r>
              <w:rPr>
                <w:rFonts w:hint="eastAsia" w:ascii="宋体" w:hAnsi="宋体" w:cs="仿宋"/>
                <w:bCs/>
                <w:sz w:val="24"/>
                <w:szCs w:val="24"/>
              </w:rPr>
              <w:t xml:space="preserve">00（含）-1800万次得3分，</w:t>
            </w:r>
            <w:bookmarkEnd w:id="234"/>
            <w:r/>
            <w:bookmarkEnd w:id="235"/>
            <w:r>
              <w:rPr>
                <w:rFonts w:hint="eastAsia" w:ascii="宋体" w:hAnsi="宋体" w:cs="仿宋"/>
                <w:bCs/>
                <w:sz w:val="24"/>
                <w:szCs w:val="24"/>
              </w:rPr>
              <w:t xml:space="preserve">1500万次以下得</w:t>
            </w:r>
            <w:r>
              <w:rPr>
                <w:rFonts w:ascii="宋体" w:hAnsi="宋体" w:cs="仿宋"/>
                <w:bCs/>
                <w:sz w:val="24"/>
                <w:szCs w:val="24"/>
              </w:rPr>
              <w:t xml:space="preserve">1</w:t>
            </w:r>
            <w:r>
              <w:rPr>
                <w:rFonts w:hint="eastAsia" w:ascii="宋体" w:hAnsi="宋体" w:cs="仿宋"/>
                <w:bCs/>
                <w:sz w:val="24"/>
                <w:szCs w:val="24"/>
              </w:rPr>
              <w:t xml:space="preserve">分。(提供带CMA标识的检验报告原件扫描件上传至电子投标文件中，否则不予得分）</w:t>
            </w:r>
            <w:r/>
          </w:p>
        </w:tc>
        <w:tc>
          <w:tcPr>
            <w:tcW w:w="647" w:type="dxa"/>
            <w:vAlign w:val="center"/>
            <w:textDirection w:val="lrTb"/>
            <w:noWrap w:val="false"/>
          </w:tcPr>
          <w:p>
            <w:pPr>
              <w:jc w:val="center"/>
              <w:rPr>
                <w:rFonts w:hint="eastAsia" w:ascii="宋体" w:hAnsi="宋体" w:cs="宋体"/>
                <w:spacing w:val="-2"/>
                <w:sz w:val="24"/>
                <w:szCs w:val="24"/>
              </w:rPr>
            </w:pPr>
            <w:r>
              <w:rPr>
                <w:rFonts w:ascii="宋体" w:hAnsi="宋体" w:cs="仿宋"/>
                <w:bCs/>
                <w:sz w:val="24"/>
                <w:szCs w:val="24"/>
              </w:rPr>
              <w:t xml:space="preserve">5</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2.4</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电梯光幕性能</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所投产品（需标明所投产品的品牌及相应的系列型号）的光幕为电梯制造商原厂原品牌的得1分；光幕的光束数目≥2</w:t>
            </w:r>
            <w:r>
              <w:rPr>
                <w:rFonts w:ascii="宋体" w:hAnsi="宋体" w:cs="仿宋"/>
                <w:bCs/>
                <w:sz w:val="24"/>
                <w:szCs w:val="24"/>
              </w:rPr>
              <w:t xml:space="preserve">3</w:t>
            </w:r>
            <w:r>
              <w:rPr>
                <w:rFonts w:hint="eastAsia" w:ascii="宋体" w:hAnsi="宋体" w:cs="仿宋"/>
                <w:bCs/>
                <w:sz w:val="24"/>
                <w:szCs w:val="24"/>
              </w:rPr>
              <w:t xml:space="preserve">0得</w:t>
            </w:r>
            <w:r>
              <w:rPr>
                <w:rFonts w:ascii="宋体" w:hAnsi="宋体" w:cs="仿宋"/>
                <w:bCs/>
                <w:sz w:val="24"/>
                <w:szCs w:val="24"/>
              </w:rPr>
              <w:t xml:space="preserve">2</w:t>
            </w:r>
            <w:r>
              <w:rPr>
                <w:rFonts w:hint="eastAsia" w:ascii="宋体" w:hAnsi="宋体" w:cs="仿宋"/>
                <w:bCs/>
                <w:sz w:val="24"/>
                <w:szCs w:val="24"/>
              </w:rPr>
              <w:t xml:space="preserve">分，光幕的光束数目</w:t>
            </w:r>
            <w:r>
              <w:rPr>
                <w:rFonts w:hint="eastAsia" w:ascii="微软雅黑" w:hAnsi="微软雅黑" w:eastAsia="微软雅黑" w:cs="微软雅黑"/>
                <w:bCs/>
                <w:sz w:val="24"/>
                <w:szCs w:val="24"/>
              </w:rPr>
              <w:t xml:space="preserve">&lt;</w:t>
            </w:r>
            <w:r>
              <w:rPr>
                <w:rFonts w:hint="eastAsia" w:ascii="宋体" w:hAnsi="宋体" w:cs="仿宋"/>
                <w:bCs/>
                <w:sz w:val="24"/>
                <w:szCs w:val="24"/>
              </w:rPr>
              <w:t xml:space="preserve">2</w:t>
            </w:r>
            <w:r>
              <w:rPr>
                <w:rFonts w:ascii="宋体" w:hAnsi="宋体" w:cs="仿宋"/>
                <w:bCs/>
                <w:sz w:val="24"/>
                <w:szCs w:val="24"/>
              </w:rPr>
              <w:t xml:space="preserve">3</w:t>
            </w:r>
            <w:r>
              <w:rPr>
                <w:rFonts w:hint="eastAsia" w:ascii="宋体" w:hAnsi="宋体" w:cs="仿宋"/>
                <w:bCs/>
                <w:sz w:val="24"/>
                <w:szCs w:val="24"/>
              </w:rPr>
              <w:t xml:space="preserve">0得</w:t>
            </w:r>
            <w:r>
              <w:rPr>
                <w:rFonts w:hint="eastAsia"/>
              </w:rPr>
              <w:t xml:space="preserve">1</w:t>
            </w:r>
            <w:r>
              <w:rPr>
                <w:rFonts w:hint="eastAsia" w:ascii="宋体" w:hAnsi="宋体" w:cs="仿宋"/>
                <w:bCs/>
                <w:sz w:val="24"/>
                <w:szCs w:val="24"/>
              </w:rPr>
              <w:t xml:space="preserve">分；光幕防护等级≥IP65得2分，光幕防护等级</w:t>
            </w:r>
            <w:r>
              <w:rPr>
                <w:rFonts w:hint="eastAsia" w:ascii="微软雅黑" w:hAnsi="微软雅黑" w:eastAsia="微软雅黑" w:cs="微软雅黑"/>
                <w:bCs/>
                <w:sz w:val="24"/>
                <w:szCs w:val="24"/>
              </w:rPr>
              <w:t xml:space="preserve">&lt;</w:t>
            </w:r>
            <w:r>
              <w:rPr>
                <w:rFonts w:hint="eastAsia" w:ascii="宋体" w:hAnsi="宋体" w:cs="仿宋"/>
                <w:bCs/>
                <w:sz w:val="24"/>
                <w:szCs w:val="24"/>
              </w:rPr>
              <w:t xml:space="preserve">IP65得1分；本项最高分5分。</w:t>
            </w:r>
            <w:r>
              <w:rPr>
                <w:rFonts w:hint="eastAsia" w:ascii="宋体" w:hAnsi="宋体" w:cs="宋体"/>
                <w:spacing w:val="-1"/>
                <w:sz w:val="24"/>
                <w:szCs w:val="24"/>
              </w:rPr>
              <w:t xml:space="preserve">（提供带CMA标识的检验报告原件扫描件上传至电子投标文件中，否则不予得分）。</w:t>
            </w:r>
            <w:r/>
          </w:p>
        </w:tc>
        <w:tc>
          <w:tcPr>
            <w:tcW w:w="647" w:type="dxa"/>
            <w:vAlign w:val="center"/>
            <w:textDirection w:val="lrTb"/>
            <w:noWrap w:val="false"/>
          </w:tcPr>
          <w:p>
            <w:pPr>
              <w:jc w:val="center"/>
              <w:rPr>
                <w:rFonts w:hint="eastAsia" w:ascii="宋体" w:hAnsi="宋体" w:cs="宋体"/>
                <w:spacing w:val="-2"/>
                <w:sz w:val="24"/>
                <w:szCs w:val="24"/>
              </w:rPr>
            </w:pPr>
            <w:r>
              <w:rPr>
                <w:rFonts w:ascii="宋体" w:hAnsi="宋体" w:cs="仿宋"/>
                <w:bCs/>
                <w:sz w:val="24"/>
                <w:szCs w:val="24"/>
              </w:rPr>
              <w:t xml:space="preserve">5</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2.5</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电梯按钮性能</w:t>
            </w:r>
            <w:r/>
          </w:p>
        </w:tc>
        <w:tc>
          <w:tcPr>
            <w:tcW w:w="6330" w:type="dxa"/>
            <w:vAlign w:val="center"/>
            <w:textDirection w:val="lrTb"/>
            <w:noWrap w:val="false"/>
          </w:tcPr>
          <w:p>
            <w:pPr>
              <w:rPr>
                <w:rFonts w:hint="eastAsia" w:ascii="宋体" w:hAnsi="宋体" w:cs="宋体"/>
                <w:spacing w:val="-1"/>
                <w:sz w:val="24"/>
                <w:szCs w:val="24"/>
              </w:rPr>
            </w:pPr>
            <w:r>
              <w:rPr>
                <w:rFonts w:hint="eastAsia" w:ascii="宋体" w:hAnsi="宋体" w:cs="仿宋"/>
                <w:bCs/>
                <w:sz w:val="24"/>
                <w:szCs w:val="24"/>
              </w:rPr>
              <w:t xml:space="preserve">所投产品（需标明所投产品的品牌及相应的系列型号）</w:t>
            </w:r>
            <w:r>
              <w:rPr>
                <w:rFonts w:hint="eastAsia" w:ascii="宋体" w:hAnsi="宋体" w:cs="宋体"/>
                <w:spacing w:val="-1"/>
                <w:sz w:val="24"/>
                <w:szCs w:val="24"/>
              </w:rPr>
              <w:t xml:space="preserve">的电梯按钮通过耐久性试验，</w:t>
            </w:r>
            <w:r>
              <w:rPr>
                <w:rFonts w:hint="eastAsia" w:ascii="宋体" w:hAnsi="宋体" w:cs="仿宋"/>
                <w:bCs/>
                <w:sz w:val="24"/>
                <w:szCs w:val="24"/>
              </w:rPr>
              <w:t xml:space="preserve">动作寿命</w:t>
            </w:r>
            <w:r>
              <w:rPr>
                <w:rFonts w:ascii="宋体" w:hAnsi="宋体" w:cs="仿宋"/>
                <w:bCs/>
                <w:sz w:val="24"/>
                <w:szCs w:val="24"/>
              </w:rPr>
              <w:t xml:space="preserve">2000</w:t>
            </w:r>
            <w:r>
              <w:rPr>
                <w:rFonts w:hint="eastAsia" w:ascii="宋体" w:hAnsi="宋体" w:cs="仿宋"/>
                <w:bCs/>
                <w:sz w:val="24"/>
                <w:szCs w:val="24"/>
              </w:rPr>
              <w:t xml:space="preserve">（含）万次以上得5分；动作寿命1</w:t>
            </w:r>
            <w:r>
              <w:rPr>
                <w:rFonts w:ascii="宋体" w:hAnsi="宋体" w:cs="仿宋"/>
                <w:bCs/>
                <w:sz w:val="24"/>
                <w:szCs w:val="24"/>
              </w:rPr>
              <w:t xml:space="preserve">5</w:t>
            </w:r>
            <w:r>
              <w:rPr>
                <w:rFonts w:hint="eastAsia" w:ascii="宋体" w:hAnsi="宋体" w:cs="仿宋"/>
                <w:bCs/>
                <w:sz w:val="24"/>
                <w:szCs w:val="24"/>
              </w:rPr>
              <w:t xml:space="preserve">00（含）-</w:t>
            </w:r>
            <w:r>
              <w:rPr>
                <w:rFonts w:ascii="宋体" w:hAnsi="宋体" w:cs="仿宋"/>
                <w:bCs/>
                <w:sz w:val="24"/>
                <w:szCs w:val="24"/>
              </w:rPr>
              <w:t xml:space="preserve">20</w:t>
            </w:r>
            <w:r>
              <w:rPr>
                <w:rFonts w:hint="eastAsia" w:ascii="宋体" w:hAnsi="宋体" w:cs="仿宋"/>
                <w:bCs/>
                <w:sz w:val="24"/>
                <w:szCs w:val="24"/>
              </w:rPr>
              <w:t xml:space="preserve">00万次得3分；动作寿命</w:t>
            </w:r>
            <w:r>
              <w:rPr>
                <w:rFonts w:ascii="宋体" w:hAnsi="宋体" w:cs="仿宋"/>
                <w:bCs/>
                <w:sz w:val="24"/>
                <w:szCs w:val="24"/>
              </w:rPr>
              <w:t xml:space="preserve">15</w:t>
            </w:r>
            <w:r>
              <w:rPr>
                <w:rFonts w:hint="eastAsia" w:ascii="宋体" w:hAnsi="宋体" w:cs="仿宋"/>
                <w:bCs/>
                <w:sz w:val="24"/>
                <w:szCs w:val="24"/>
              </w:rPr>
              <w:t xml:space="preserve">00万次以下得</w:t>
            </w:r>
            <w:r>
              <w:rPr>
                <w:rFonts w:ascii="宋体" w:hAnsi="宋体" w:cs="仿宋"/>
                <w:bCs/>
                <w:sz w:val="24"/>
                <w:szCs w:val="24"/>
              </w:rPr>
              <w:t xml:space="preserve">1</w:t>
            </w:r>
            <w:r>
              <w:rPr>
                <w:rFonts w:hint="eastAsia" w:ascii="宋体" w:hAnsi="宋体" w:cs="仿宋"/>
                <w:bCs/>
                <w:sz w:val="24"/>
                <w:szCs w:val="24"/>
              </w:rPr>
              <w:t xml:space="preserve">分。</w:t>
            </w:r>
            <w:r>
              <w:rPr>
                <w:rFonts w:hint="eastAsia" w:ascii="宋体" w:hAnsi="宋体" w:cs="宋体"/>
                <w:spacing w:val="-1"/>
                <w:sz w:val="24"/>
                <w:szCs w:val="24"/>
              </w:rPr>
              <w:t xml:space="preserve">（提供带CMA标识的检验报告原件扫描件上传至电子投标文件中，否则不予得分）。</w:t>
            </w:r>
            <w:r/>
          </w:p>
        </w:tc>
        <w:tc>
          <w:tcPr>
            <w:tcW w:w="647" w:type="dxa"/>
            <w:vAlign w:val="center"/>
            <w:textDirection w:val="lrTb"/>
            <w:noWrap w:val="false"/>
          </w:tcPr>
          <w:p>
            <w:pPr>
              <w:jc w:val="center"/>
              <w:spacing w:before="68" w:line="264" w:lineRule="auto"/>
              <w:rPr>
                <w:rFonts w:hint="eastAsia" w:ascii="宋体" w:hAnsi="宋体" w:cs="仿宋"/>
                <w:bCs/>
                <w:sz w:val="24"/>
                <w:szCs w:val="24"/>
              </w:rPr>
            </w:pPr>
            <w:r>
              <w:rPr>
                <w:rFonts w:hint="eastAsia" w:ascii="宋体" w:hAnsi="宋体" w:cs="宋体"/>
                <w:spacing w:val="-2"/>
                <w:sz w:val="24"/>
                <w:szCs w:val="24"/>
              </w:rPr>
              <w:t xml:space="preserve">5</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技术方案       </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hint="eastAsia" w:ascii="宋体" w:hAnsi="宋体"/>
                <w:bCs/>
                <w:sz w:val="24"/>
                <w:szCs w:val="24"/>
              </w:rPr>
              <w:t xml:space="preserve">投标人应根据招标要求及项目实施具体需要，提供本项目的技术方案，包括</w:t>
            </w:r>
            <w:r>
              <w:rPr>
                <w:rFonts w:hint="eastAsia" w:ascii="宋体" w:hAnsi="宋体"/>
                <w:bCs/>
                <w:sz w:val="24"/>
                <w:szCs w:val="24"/>
                <w:lang w:val="zh-CN"/>
              </w:rPr>
              <w:t xml:space="preserve">提供完整、详细、可行的主要技术说明方案</w:t>
            </w:r>
            <w:r>
              <w:rPr>
                <w:rFonts w:hint="eastAsia" w:ascii="宋体" w:hAnsi="宋体"/>
                <w:bCs/>
                <w:sz w:val="24"/>
                <w:szCs w:val="24"/>
              </w:rPr>
              <w:t xml:space="preserve">、深化设计图纸及提供各项详细技术参数等。</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宋体"/>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3.2</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施工方案与重难点分析</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ascii="宋体" w:hAnsi="宋体"/>
                <w:bCs/>
                <w:sz w:val="24"/>
                <w:szCs w:val="24"/>
              </w:rPr>
              <w:t xml:space="preserve">投标人应结合招标要求及项目实施实际需求，编制完整的重难点分析专项方案，据此进行综合评审。</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3.3</w:t>
            </w:r>
            <w:r/>
          </w:p>
        </w:tc>
        <w:tc>
          <w:tcPr>
            <w:tcW w:w="1179" w:type="dxa"/>
            <w:vAlign w:val="center"/>
            <w:textDirection w:val="lrTb"/>
            <w:noWrap w:val="false"/>
          </w:tcPr>
          <w:p>
            <w:pPr>
              <w:jc w:val="center"/>
              <w:rPr>
                <w:rFonts w:hint="eastAsia" w:ascii="宋体" w:hAnsi="宋体" w:cs="仿宋"/>
                <w:sz w:val="24"/>
                <w:szCs w:val="24"/>
              </w:rPr>
            </w:pPr>
            <w:r>
              <w:rPr>
                <w:rFonts w:ascii="宋体" w:hAnsi="宋体" w:cs="宋体"/>
                <w:sz w:val="24"/>
                <w:szCs w:val="24"/>
              </w:rPr>
              <w:t xml:space="preserve">质量保证及质量控制方案</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ascii="宋体" w:hAnsi="宋体"/>
                <w:bCs/>
                <w:sz w:val="24"/>
                <w:szCs w:val="24"/>
              </w:rPr>
              <w:t xml:space="preserve">投标人应结合招标要求及项目实际</w:t>
            </w:r>
            <w:r>
              <w:rPr>
                <w:rFonts w:hint="eastAsia" w:ascii="宋体" w:hAnsi="宋体"/>
                <w:bCs/>
                <w:sz w:val="24"/>
                <w:szCs w:val="24"/>
              </w:rPr>
              <w:t xml:space="preserve">需求</w:t>
            </w:r>
            <w:r>
              <w:rPr>
                <w:rFonts w:ascii="宋体" w:hAnsi="宋体"/>
                <w:bCs/>
                <w:sz w:val="24"/>
                <w:szCs w:val="24"/>
              </w:rPr>
              <w:t xml:space="preserve">，编制</w:t>
            </w:r>
            <w:r>
              <w:rPr>
                <w:rFonts w:hint="eastAsia" w:ascii="宋体" w:hAnsi="宋体"/>
                <w:bCs/>
                <w:sz w:val="24"/>
                <w:szCs w:val="24"/>
              </w:rPr>
              <w:t xml:space="preserve">科学合理的质量保证及质量控制</w:t>
            </w:r>
            <w:r>
              <w:rPr>
                <w:rFonts w:ascii="宋体" w:hAnsi="宋体"/>
                <w:bCs/>
                <w:sz w:val="24"/>
                <w:szCs w:val="24"/>
              </w:rPr>
              <w:t xml:space="preserve">方案，据此进行综合评审。</w:t>
            </w:r>
            <w:r/>
          </w:p>
          <w:p>
            <w:pPr>
              <w:rPr>
                <w:rFonts w:hint="eastAsia" w:ascii="宋体" w:hAnsi="宋体" w:cs="仿宋"/>
                <w:bCs/>
                <w:sz w:val="24"/>
                <w:szCs w:val="24"/>
              </w:rPr>
            </w:pPr>
            <w:r>
              <w:rPr>
                <w:rFonts w:hint="eastAsia" w:ascii="宋体" w:hAnsi="宋体" w:cs="宋体"/>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3.4</w:t>
            </w:r>
            <w:r/>
          </w:p>
        </w:tc>
        <w:tc>
          <w:tcPr>
            <w:tcW w:w="1179" w:type="dxa"/>
            <w:vAlign w:val="center"/>
            <w:textDirection w:val="lrTb"/>
            <w:noWrap w:val="false"/>
          </w:tcPr>
          <w:p>
            <w:pPr>
              <w:jc w:val="center"/>
              <w:rPr>
                <w:rFonts w:hint="eastAsia" w:ascii="宋体" w:hAnsi="宋体"/>
                <w:spacing w:val="-3"/>
                <w:sz w:val="24"/>
                <w:szCs w:val="24"/>
              </w:rPr>
            </w:pPr>
            <w:r>
              <w:rPr>
                <w:rFonts w:hint="eastAsia" w:ascii="宋体" w:hAnsi="宋体" w:cs="仿宋"/>
                <w:sz w:val="24"/>
                <w:szCs w:val="24"/>
              </w:rPr>
              <w:t xml:space="preserve">进度控制方案</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ascii="宋体" w:hAnsi="宋体"/>
                <w:bCs/>
                <w:sz w:val="24"/>
                <w:szCs w:val="24"/>
              </w:rPr>
              <w:t xml:space="preserve">投标人应结合招标要求及项目实际</w:t>
            </w:r>
            <w:r>
              <w:rPr>
                <w:rFonts w:hint="eastAsia" w:ascii="宋体" w:hAnsi="宋体"/>
                <w:bCs/>
                <w:sz w:val="24"/>
                <w:szCs w:val="24"/>
              </w:rPr>
              <w:t xml:space="preserve">需求</w:t>
            </w:r>
            <w:r>
              <w:rPr>
                <w:rFonts w:ascii="宋体" w:hAnsi="宋体"/>
                <w:bCs/>
                <w:sz w:val="24"/>
                <w:szCs w:val="24"/>
              </w:rPr>
              <w:t xml:space="preserve">，编制</w:t>
            </w:r>
            <w:r>
              <w:rPr>
                <w:rFonts w:hint="eastAsia" w:ascii="宋体" w:hAnsi="宋体"/>
                <w:bCs/>
                <w:sz w:val="24"/>
                <w:szCs w:val="24"/>
              </w:rPr>
              <w:t xml:space="preserve">科学合理的项目进度控制</w:t>
            </w:r>
            <w:r>
              <w:rPr>
                <w:rFonts w:ascii="宋体" w:hAnsi="宋体"/>
                <w:bCs/>
                <w:sz w:val="24"/>
                <w:szCs w:val="24"/>
              </w:rPr>
              <w:t xml:space="preserve">方案，据此进行综合评审。</w:t>
            </w:r>
            <w:r/>
          </w:p>
          <w:p>
            <w:pPr>
              <w:rPr>
                <w:rFonts w:hint="eastAsia" w:ascii="宋体" w:hAnsi="宋体" w:cs="宋体"/>
                <w:sz w:val="24"/>
                <w:szCs w:val="24"/>
                <w:lang w:val="zh-CN"/>
              </w:rPr>
            </w:pPr>
            <w:r>
              <w:rPr>
                <w:rFonts w:hint="eastAsia" w:ascii="宋体" w:hAnsi="宋体" w:cs="宋体"/>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3.5</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安装调试方案</w:t>
            </w:r>
            <w:r/>
          </w:p>
        </w:tc>
        <w:tc>
          <w:tcPr>
            <w:tcW w:w="6330" w:type="dxa"/>
            <w:vAlign w:val="center"/>
            <w:textDirection w:val="lrTb"/>
            <w:noWrap w:val="false"/>
          </w:tcPr>
          <w:p>
            <w:pPr>
              <w:jc w:val="left"/>
              <w:spacing w:line="264" w:lineRule="auto"/>
              <w:widowControl/>
              <w:rPr>
                <w:rFonts w:hint="eastAsia" w:ascii="宋体" w:hAnsi="宋体" w:cs="仿宋"/>
                <w:bCs/>
                <w:sz w:val="24"/>
                <w:szCs w:val="24"/>
              </w:rPr>
            </w:pPr>
            <w:r>
              <w:rPr>
                <w:rFonts w:hint="eastAsia" w:ascii="宋体" w:hAnsi="宋体" w:cs="仿宋"/>
                <w:bCs/>
                <w:sz w:val="24"/>
                <w:szCs w:val="24"/>
              </w:rPr>
              <w:t xml:space="preserve">投标人应根据招标要求及项目实施需要，提供完整、详细、可行的安装调试方案，据此进行综合评审。</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3.6</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安全文明施工方案</w:t>
            </w:r>
            <w:r/>
          </w:p>
        </w:tc>
        <w:tc>
          <w:tcPr>
            <w:tcW w:w="6330" w:type="dxa"/>
            <w:vAlign w:val="center"/>
            <w:textDirection w:val="lrTb"/>
            <w:noWrap w:val="false"/>
          </w:tcPr>
          <w:p>
            <w:pPr>
              <w:jc w:val="left"/>
              <w:spacing w:line="264" w:lineRule="auto"/>
              <w:widowControl/>
              <w:rPr>
                <w:rFonts w:hint="eastAsia" w:ascii="宋体" w:hAnsi="宋体" w:cs="仿宋"/>
                <w:bCs/>
                <w:sz w:val="24"/>
                <w:szCs w:val="24"/>
              </w:rPr>
            </w:pPr>
            <w:r>
              <w:rPr>
                <w:rFonts w:hint="eastAsia" w:ascii="宋体" w:hAnsi="宋体" w:cs="仿宋"/>
                <w:bCs/>
                <w:sz w:val="24"/>
                <w:szCs w:val="24"/>
              </w:rPr>
              <w:t xml:space="preserve">投标人应根据招标要求及项目实际需要，编制完整详实、切实可行的安全文明施工专项方案，据此进行综合评审。</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3.7</w:t>
            </w:r>
            <w:r/>
          </w:p>
        </w:tc>
        <w:tc>
          <w:tcPr>
            <w:tcW w:w="1179" w:type="dxa"/>
            <w:vAlign w:val="center"/>
            <w:textDirection w:val="lrTb"/>
            <w:noWrap w:val="false"/>
          </w:tcPr>
          <w:p>
            <w:pPr>
              <w:jc w:val="center"/>
              <w:rPr>
                <w:rFonts w:hint="eastAsia" w:ascii="宋体" w:hAnsi="宋体" w:cs="宋体"/>
                <w:spacing w:val="-2"/>
                <w:sz w:val="24"/>
                <w:szCs w:val="24"/>
              </w:rPr>
            </w:pPr>
            <w:r>
              <w:rPr>
                <w:rFonts w:hint="eastAsia" w:ascii="宋体" w:hAnsi="宋体" w:cs="仿宋"/>
                <w:sz w:val="24"/>
                <w:szCs w:val="24"/>
              </w:rPr>
              <w:t xml:space="preserve">履约及验收方案</w:t>
            </w:r>
            <w:r/>
          </w:p>
        </w:tc>
        <w:tc>
          <w:tcPr>
            <w:tcW w:w="6330" w:type="dxa"/>
            <w:vAlign w:val="center"/>
            <w:textDirection w:val="lrTb"/>
            <w:noWrap w:val="false"/>
          </w:tcPr>
          <w:p>
            <w:pPr>
              <w:pStyle w:val="927"/>
              <w:ind w:left="0"/>
              <w:rPr>
                <w:rFonts w:ascii="宋体" w:hAnsi="宋体"/>
                <w:bCs/>
                <w:sz w:val="24"/>
                <w:szCs w:val="24"/>
                <w:lang w:val="en-US"/>
              </w:rPr>
            </w:pPr>
            <w:r>
              <w:rPr>
                <w:rFonts w:hint="eastAsia" w:ascii="宋体" w:hAnsi="宋体" w:eastAsia="宋体"/>
                <w:bCs/>
                <w:sz w:val="24"/>
                <w:szCs w:val="24"/>
                <w:lang w:val="en-US"/>
              </w:rPr>
              <w:t xml:space="preserve">投标人应根据招标要求及项目实施具体需要，提供本项目的履约验收方案</w:t>
            </w:r>
            <w:r>
              <w:rPr>
                <w:rFonts w:hint="eastAsia" w:ascii="宋体" w:hAnsi="宋体" w:eastAsia="宋体" w:cs="仿宋"/>
                <w:bCs/>
                <w:sz w:val="24"/>
                <w:szCs w:val="24"/>
              </w:rPr>
              <w:t xml:space="preserve">，据此进行综合评审。</w:t>
            </w:r>
            <w:r/>
          </w:p>
          <w:p>
            <w:pPr>
              <w:jc w:val="left"/>
              <w:spacing w:line="264" w:lineRule="auto"/>
              <w:widowControl/>
              <w:rPr>
                <w:rFonts w:hint="eastAsia" w:ascii="宋体" w:hAnsi="宋体"/>
                <w:bCs/>
                <w:sz w:val="24"/>
                <w:szCs w:val="24"/>
                <w:lang w:val="zh-CN"/>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3.8</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售后及质保服务方 案</w:t>
            </w:r>
            <w:r/>
          </w:p>
        </w:tc>
        <w:tc>
          <w:tcPr>
            <w:tcW w:w="6330" w:type="dxa"/>
            <w:vAlign w:val="center"/>
            <w:textDirection w:val="lrTb"/>
            <w:noWrap w:val="false"/>
          </w:tcPr>
          <w:p>
            <w:pPr>
              <w:rPr>
                <w:rFonts w:hint="eastAsia" w:ascii="宋体" w:hAnsi="宋体" w:cs="仿宋"/>
                <w:bCs/>
                <w:sz w:val="24"/>
                <w:szCs w:val="24"/>
              </w:rPr>
            </w:pPr>
            <w:r>
              <w:rPr>
                <w:rFonts w:ascii="宋体" w:hAnsi="宋体" w:cs="宋体"/>
                <w:sz w:val="24"/>
                <w:szCs w:val="24"/>
              </w:rPr>
              <w:t xml:space="preserve">投标人须依据招标文件要求及项目实际需求，编制完整详实、科学可行的售后</w:t>
            </w:r>
            <w:r>
              <w:rPr>
                <w:rFonts w:hint="eastAsia" w:ascii="宋体" w:hAnsi="宋体" w:cs="宋体"/>
                <w:sz w:val="24"/>
                <w:szCs w:val="24"/>
              </w:rPr>
              <w:t xml:space="preserve">及质保</w:t>
            </w:r>
            <w:r>
              <w:rPr>
                <w:rFonts w:ascii="宋体" w:hAnsi="宋体" w:cs="宋体"/>
                <w:sz w:val="24"/>
                <w:szCs w:val="24"/>
              </w:rPr>
              <w:t xml:space="preserve">服务专项方案，</w:t>
            </w:r>
            <w:r>
              <w:rPr>
                <w:rFonts w:hint="eastAsia" w:ascii="宋体" w:hAnsi="宋体" w:cs="仿宋"/>
                <w:bCs/>
                <w:sz w:val="24"/>
                <w:szCs w:val="24"/>
              </w:rPr>
              <w:t xml:space="preserve">据此进行综合评审。</w:t>
            </w:r>
            <w:r/>
          </w:p>
          <w:p>
            <w:pPr>
              <w:jc w:val="left"/>
              <w:spacing w:line="264" w:lineRule="auto"/>
              <w:widowControl/>
              <w:rPr>
                <w:rFonts w:hint="eastAsia" w:ascii="宋体" w:hAnsi="宋体"/>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4</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3.9</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培训方案</w:t>
            </w:r>
            <w:r/>
          </w:p>
        </w:tc>
        <w:tc>
          <w:tcPr>
            <w:tcW w:w="6330" w:type="dxa"/>
            <w:vAlign w:val="center"/>
            <w:textDirection w:val="lrTb"/>
            <w:noWrap w:val="false"/>
          </w:tcPr>
          <w:p>
            <w:pPr>
              <w:rPr>
                <w:rFonts w:hint="eastAsia" w:ascii="宋体" w:hAnsi="宋体" w:cs="仿宋"/>
                <w:bCs/>
                <w:sz w:val="24"/>
                <w:szCs w:val="24"/>
              </w:rPr>
            </w:pPr>
            <w:r>
              <w:rPr>
                <w:rFonts w:ascii="宋体" w:hAnsi="宋体" w:cs="宋体"/>
                <w:sz w:val="24"/>
                <w:szCs w:val="24"/>
              </w:rPr>
              <w:t xml:space="preserve">投标人</w:t>
            </w:r>
            <w:r>
              <w:rPr>
                <w:rFonts w:hint="eastAsia" w:ascii="宋体" w:hAnsi="宋体" w:cs="宋体"/>
                <w:sz w:val="24"/>
                <w:szCs w:val="24"/>
              </w:rPr>
              <w:t xml:space="preserve">应根据</w:t>
            </w:r>
            <w:r>
              <w:rPr>
                <w:rFonts w:ascii="宋体" w:hAnsi="宋体" w:cs="宋体"/>
                <w:sz w:val="24"/>
                <w:szCs w:val="24"/>
              </w:rPr>
              <w:t xml:space="preserve">招标文件要求及项目</w:t>
            </w:r>
            <w:r>
              <w:rPr>
                <w:rFonts w:hint="eastAsia" w:ascii="宋体" w:hAnsi="宋体" w:cs="宋体"/>
                <w:sz w:val="24"/>
                <w:szCs w:val="24"/>
              </w:rPr>
              <w:t xml:space="preserve">实施具体需要</w:t>
            </w:r>
            <w:r>
              <w:rPr>
                <w:rFonts w:ascii="宋体" w:hAnsi="宋体" w:cs="宋体"/>
                <w:sz w:val="24"/>
                <w:szCs w:val="24"/>
              </w:rPr>
              <w:t xml:space="preserve">，</w:t>
            </w:r>
            <w:r>
              <w:rPr>
                <w:rFonts w:hint="eastAsia" w:ascii="宋体" w:hAnsi="宋体" w:cs="宋体"/>
                <w:sz w:val="24"/>
                <w:szCs w:val="24"/>
              </w:rPr>
              <w:t xml:space="preserve">提供本项目的培训</w:t>
            </w:r>
            <w:r>
              <w:rPr>
                <w:rFonts w:ascii="宋体" w:hAnsi="宋体" w:cs="宋体"/>
                <w:sz w:val="24"/>
                <w:szCs w:val="24"/>
              </w:rPr>
              <w:t xml:space="preserve">方案，</w:t>
            </w:r>
            <w:r>
              <w:rPr>
                <w:rFonts w:hint="eastAsia" w:ascii="宋体" w:hAnsi="宋体" w:cs="仿宋"/>
                <w:bCs/>
                <w:sz w:val="24"/>
                <w:szCs w:val="24"/>
              </w:rPr>
              <w:t xml:space="preserve">据此进行综合评审。</w:t>
            </w:r>
            <w:r/>
          </w:p>
          <w:p>
            <w:pPr>
              <w:jc w:val="left"/>
              <w:spacing w:line="264" w:lineRule="auto"/>
              <w:widowControl/>
              <w:rPr>
                <w:rFonts w:hint="eastAsia" w:ascii="宋体" w:hAnsi="宋体"/>
                <w:bCs/>
                <w:sz w:val="24"/>
                <w:szCs w:val="24"/>
              </w:rPr>
            </w:pPr>
            <w:r>
              <w:rPr>
                <w:rFonts w:hint="eastAsia" w:ascii="宋体" w:hAnsi="宋体"/>
                <w:bCs/>
                <w:sz w:val="24"/>
                <w:szCs w:val="24"/>
              </w:rPr>
              <w:t xml:space="preserve">优于采购需求的得3分，符合采购需求的得1.5分，不符合采购需求的不得分。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3</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4.1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履约能力1</w:t>
            </w:r>
            <w:r/>
          </w:p>
        </w:tc>
        <w:tc>
          <w:tcPr>
            <w:tcW w:w="6330" w:type="dxa"/>
            <w:vAlign w:val="center"/>
            <w:textDirection w:val="lrTb"/>
            <w:noWrap w:val="false"/>
          </w:tcPr>
          <w:p>
            <w:pPr>
              <w:rPr>
                <w:rFonts w:hint="eastAsia" w:ascii="宋体" w:hAnsi="宋体" w:cs="宋体"/>
                <w:sz w:val="24"/>
                <w:szCs w:val="24"/>
              </w:rPr>
            </w:pPr>
            <w:r>
              <w:rPr>
                <w:rFonts w:hint="eastAsia" w:ascii="宋体" w:hAnsi="宋体" w:cs="仿宋"/>
                <w:bCs/>
                <w:sz w:val="24"/>
                <w:szCs w:val="24"/>
              </w:rPr>
              <w:t xml:space="preserve">项目负责人具有机电类高级及以上职称证书的得</w:t>
            </w:r>
            <w:r>
              <w:rPr>
                <w:rFonts w:ascii="宋体" w:hAnsi="宋体" w:cs="仿宋"/>
                <w:bCs/>
                <w:sz w:val="24"/>
                <w:szCs w:val="24"/>
              </w:rPr>
              <w:t xml:space="preserve">2</w:t>
            </w:r>
            <w:r>
              <w:rPr>
                <w:rFonts w:hint="eastAsia" w:ascii="宋体" w:hAnsi="宋体" w:cs="仿宋"/>
                <w:bCs/>
                <w:sz w:val="24"/>
                <w:szCs w:val="24"/>
              </w:rPr>
              <w:t xml:space="preserve">分，具有机电类中级职称证书的得1分，其他不得分。（提供证书或证明文件扫描件，同时附投标人为该项目负责人缴纳的近3个月内的任意一个月</w:t>
            </w:r>
            <w:r>
              <w:rPr>
                <w:rFonts w:hint="eastAsia" w:ascii="宋体" w:hAnsi="宋体" w:cs="仿宋"/>
                <w:bCs/>
                <w:sz w:val="24"/>
                <w:szCs w:val="24"/>
              </w:rPr>
              <w:t xml:space="preserve">社保证明</w:t>
            </w:r>
            <w:r>
              <w:rPr>
                <w:rFonts w:hint="eastAsia" w:ascii="宋体" w:hAnsi="宋体" w:cs="仿宋"/>
                <w:bCs/>
                <w:sz w:val="24"/>
                <w:szCs w:val="24"/>
              </w:rPr>
              <w:t xml:space="preserve">材料并加盖公章，否则不得分。）</w:t>
            </w:r>
            <w:r/>
          </w:p>
        </w:tc>
        <w:tc>
          <w:tcPr>
            <w:tcW w:w="647" w:type="dxa"/>
            <w:vAlign w:val="center"/>
            <w:textDirection w:val="lrTb"/>
            <w:noWrap w:val="false"/>
          </w:tcPr>
          <w:p>
            <w:pPr>
              <w:jc w:val="center"/>
              <w:rPr>
                <w:rFonts w:hint="eastAsia" w:ascii="宋体" w:hAnsi="宋体" w:cs="仿宋"/>
                <w:bCs/>
                <w:sz w:val="24"/>
                <w:szCs w:val="24"/>
              </w:rPr>
            </w:pPr>
            <w:r>
              <w:rPr>
                <w:rFonts w:ascii="宋体" w:hAnsi="宋体" w:cs="宋体"/>
                <w:sz w:val="24"/>
                <w:szCs w:val="24"/>
              </w:rPr>
              <w:t xml:space="preserve">2</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4.2</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履约能力2</w:t>
            </w:r>
            <w:r/>
          </w:p>
        </w:tc>
        <w:tc>
          <w:tcPr>
            <w:tcW w:w="6330" w:type="dxa"/>
            <w:vAlign w:val="center"/>
            <w:textDirection w:val="lrTb"/>
            <w:noWrap w:val="false"/>
          </w:tcPr>
          <w:p>
            <w:pPr>
              <w:rPr>
                <w:rFonts w:hint="eastAsia" w:ascii="宋体" w:hAnsi="宋体" w:cs="宋体"/>
                <w:sz w:val="24"/>
                <w:szCs w:val="24"/>
              </w:rPr>
            </w:pPr>
            <w:r>
              <w:rPr>
                <w:rFonts w:hint="eastAsia" w:ascii="宋体" w:hAnsi="宋体" w:cs="仿宋"/>
                <w:bCs/>
                <w:sz w:val="24"/>
                <w:szCs w:val="24"/>
              </w:rPr>
              <w:t xml:space="preserve">本项目管理机构</w:t>
            </w:r>
            <w:r>
              <w:rPr>
                <w:rFonts w:hint="eastAsia" w:ascii="宋体" w:hAnsi="宋体" w:cs="仿宋"/>
                <w:bCs/>
                <w:sz w:val="24"/>
                <w:szCs w:val="24"/>
              </w:rPr>
              <w:t xml:space="preserve">除项目</w:t>
            </w:r>
            <w:r>
              <w:rPr>
                <w:rFonts w:hint="eastAsia" w:ascii="宋体" w:hAnsi="宋体" w:cs="仿宋"/>
                <w:bCs/>
                <w:sz w:val="24"/>
                <w:szCs w:val="24"/>
              </w:rPr>
              <w:t xml:space="preserve">负责人以外，还应当包括电梯质量检验员、焊工、电工、资料员等岗位。有与项目规模大小相匹配的管理机构且相应的岗位证书：特种设备安全管理和作业人员证（作业项目：电梯修理，代号：T）、电梯质量检验员证、焊接与热切割作业证、电工证、建筑施工企业专职安全生产管理人员安全生产考核合格证书（C证）、资料员证书，证书齐全的得6分，每缺少1个扣1分。（提供上述要求证书原件</w:t>
            </w:r>
            <w:r>
              <w:rPr>
                <w:rFonts w:hint="eastAsia" w:ascii="宋体" w:hAnsi="宋体" w:cs="仿宋"/>
                <w:bCs/>
                <w:sz w:val="24"/>
                <w:szCs w:val="24"/>
              </w:rPr>
              <w:t xml:space="preserve">扫描件并同时</w:t>
            </w:r>
            <w:r>
              <w:rPr>
                <w:rFonts w:hint="eastAsia" w:ascii="宋体" w:hAnsi="宋体" w:cs="仿宋"/>
                <w:bCs/>
                <w:sz w:val="24"/>
                <w:szCs w:val="24"/>
              </w:rPr>
              <w:t xml:space="preserve">附投标人为该项目相关人员缴纳的近3个月内的任意一个月</w:t>
            </w:r>
            <w:r>
              <w:rPr>
                <w:rFonts w:hint="eastAsia" w:ascii="宋体" w:hAnsi="宋体" w:cs="仿宋"/>
                <w:bCs/>
                <w:sz w:val="24"/>
                <w:szCs w:val="24"/>
              </w:rPr>
              <w:t xml:space="preserve">社保证明</w:t>
            </w:r>
            <w:r>
              <w:rPr>
                <w:rFonts w:hint="eastAsia" w:ascii="宋体" w:hAnsi="宋体" w:cs="仿宋"/>
                <w:bCs/>
                <w:sz w:val="24"/>
                <w:szCs w:val="24"/>
              </w:rPr>
              <w:t xml:space="preserve">材料并加盖公章，否则不得分。）</w:t>
            </w:r>
            <w:r/>
          </w:p>
        </w:tc>
        <w:tc>
          <w:tcPr>
            <w:tcW w:w="647" w:type="dxa"/>
            <w:vAlign w:val="center"/>
            <w:textDirection w:val="lrTb"/>
            <w:noWrap w:val="false"/>
          </w:tcPr>
          <w:p>
            <w:pPr>
              <w:jc w:val="center"/>
              <w:rPr>
                <w:rFonts w:hint="eastAsia" w:ascii="宋体" w:hAnsi="宋体" w:cs="仿宋"/>
                <w:bCs/>
                <w:sz w:val="24"/>
                <w:szCs w:val="24"/>
              </w:rPr>
            </w:pPr>
            <w:r>
              <w:rPr>
                <w:rFonts w:ascii="宋体" w:hAnsi="宋体" w:cs="宋体"/>
                <w:sz w:val="24"/>
                <w:szCs w:val="24"/>
              </w:rPr>
              <w:t xml:space="preserve">6</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4.3</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履约能力</w:t>
            </w:r>
            <w:r>
              <w:rPr>
                <w:rFonts w:ascii="宋体" w:hAnsi="宋体" w:cs="仿宋"/>
                <w:sz w:val="24"/>
                <w:szCs w:val="24"/>
              </w:rPr>
              <w:t xml:space="preserve">3</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投标人或所投产品具有2023年4月1日以来已完成的类似的更换（旧电梯换新）电梯业绩，提供合同及竣工验收证明，有1个得</w:t>
            </w:r>
            <w:r>
              <w:rPr>
                <w:rFonts w:ascii="宋体" w:hAnsi="宋体" w:cs="仿宋"/>
                <w:bCs/>
                <w:sz w:val="24"/>
                <w:szCs w:val="24"/>
              </w:rPr>
              <w:t xml:space="preserve">0.5</w:t>
            </w:r>
            <w:r>
              <w:rPr>
                <w:rFonts w:hint="eastAsia" w:ascii="宋体" w:hAnsi="宋体" w:cs="仿宋"/>
                <w:bCs/>
                <w:sz w:val="24"/>
                <w:szCs w:val="24"/>
              </w:rPr>
              <w:t xml:space="preserve">分，满分2分。</w:t>
            </w:r>
            <w:r/>
          </w:p>
          <w:p>
            <w:pPr>
              <w:rPr>
                <w:rFonts w:hint="eastAsia" w:ascii="宋体" w:hAnsi="宋体" w:cs="宋体"/>
                <w:sz w:val="24"/>
                <w:szCs w:val="24"/>
              </w:rPr>
            </w:pPr>
            <w:r>
              <w:rPr>
                <w:rFonts w:hint="eastAsia" w:ascii="宋体" w:hAnsi="宋体" w:cs="仿宋"/>
                <w:bCs/>
                <w:sz w:val="24"/>
                <w:szCs w:val="24"/>
              </w:rPr>
              <w:t xml:space="preserve">注：投标文件中提供合同及竣工验收证明或电梯监督检验报告（缺一不可）复印件加盖投标人公章，时间以合同为准，</w:t>
            </w:r>
            <w:r>
              <w:rPr>
                <w:rFonts w:hint="eastAsia" w:ascii="宋体" w:hAnsi="宋体" w:cs="仿宋"/>
                <w:bCs/>
                <w:sz w:val="24"/>
                <w:szCs w:val="24"/>
              </w:rPr>
              <w:t xml:space="preserve">合同关键</w:t>
            </w:r>
            <w:r>
              <w:rPr>
                <w:rFonts w:hint="eastAsia" w:ascii="宋体" w:hAnsi="宋体" w:cs="仿宋"/>
                <w:bCs/>
                <w:sz w:val="24"/>
                <w:szCs w:val="24"/>
              </w:rPr>
              <w:t xml:space="preserve">页需包括</w:t>
            </w:r>
            <w:r>
              <w:rPr>
                <w:rFonts w:hint="eastAsia" w:ascii="宋体" w:hAnsi="宋体" w:cs="仿宋"/>
                <w:bCs/>
                <w:sz w:val="24"/>
                <w:szCs w:val="24"/>
              </w:rPr>
              <w:t xml:space="preserve">合同首页、标的时间、金额、签字盖章页等反应上述内容，否则视为未提供，未提供或未按要求提供的不得分。</w:t>
            </w:r>
            <w:r/>
          </w:p>
        </w:tc>
        <w:tc>
          <w:tcPr>
            <w:tcW w:w="647" w:type="dxa"/>
            <w:vAlign w:val="center"/>
            <w:textDirection w:val="lrTb"/>
            <w:noWrap w:val="false"/>
          </w:tcPr>
          <w:p>
            <w:pPr>
              <w:jc w:val="center"/>
              <w:rPr>
                <w:rFonts w:hint="eastAsia" w:ascii="宋体" w:hAnsi="宋体" w:cs="仿宋"/>
                <w:bCs/>
                <w:sz w:val="24"/>
                <w:szCs w:val="24"/>
              </w:rPr>
            </w:pPr>
            <w:r>
              <w:rPr>
                <w:rFonts w:ascii="宋体" w:hAnsi="宋体" w:cs="宋体"/>
                <w:sz w:val="24"/>
                <w:szCs w:val="24"/>
              </w:rPr>
              <w:t xml:space="preserve">2</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5.1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节能产品</w:t>
            </w:r>
            <w:r/>
          </w:p>
        </w:tc>
        <w:tc>
          <w:tcPr>
            <w:tcW w:w="6330" w:type="dxa"/>
            <w:vAlign w:val="center"/>
            <w:textDirection w:val="lrTb"/>
            <w:noWrap w:val="false"/>
          </w:tcPr>
          <w:p>
            <w:pPr>
              <w:rPr>
                <w:rFonts w:cs="宋体"/>
                <w:sz w:val="24"/>
                <w:szCs w:val="24"/>
                <w:lang w:val="zh-CN"/>
              </w:rPr>
            </w:pPr>
            <w:r>
              <w:rPr>
                <w:rFonts w:hint="eastAsia" w:ascii="宋体" w:hAnsi="宋体"/>
                <w:sz w:val="24"/>
                <w:szCs w:val="24"/>
              </w:rPr>
              <w:t xml:space="preserve">投标产品属于财政部、</w:t>
            </w:r>
            <w:r>
              <w:rPr>
                <w:rFonts w:hint="eastAsia" w:ascii="宋体" w:hAnsi="宋体"/>
                <w:sz w:val="24"/>
                <w:szCs w:val="24"/>
              </w:rPr>
              <w:t xml:space="preserve">国家发改委</w:t>
            </w:r>
            <w:r>
              <w:rPr>
                <w:rFonts w:hint="eastAsia" w:ascii="宋体" w:hAnsi="宋体"/>
                <w:sz w:val="24"/>
                <w:szCs w:val="24"/>
              </w:rPr>
              <w:t xml:space="preserve">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0.5</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5.2</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环境标志产品</w:t>
            </w:r>
            <w:r/>
          </w:p>
        </w:tc>
        <w:tc>
          <w:tcPr>
            <w:tcW w:w="6330" w:type="dxa"/>
            <w:vAlign w:val="center"/>
            <w:textDirection w:val="lrTb"/>
            <w:noWrap w:val="false"/>
          </w:tcPr>
          <w:p>
            <w:pPr>
              <w:rPr>
                <w:rFonts w:cs="宋体"/>
                <w:sz w:val="24"/>
                <w:szCs w:val="24"/>
                <w:lang w:val="zh-CN"/>
              </w:rPr>
            </w:pPr>
            <w:r>
              <w:rPr>
                <w:rFonts w:hint="eastAsia" w:ascii="宋体" w:hAnsi="宋体"/>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投标产品属于财政部、生态环境部公布的“环境标志产品品目清单”范围内的，投标人提供国家确定的认证机构出具的、处于有效期内的该投标产品环境标志产品认证证书复印件的，有1个得0.5分，最多得0.5分。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0.5</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合计</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r>
            <w:r/>
          </w:p>
        </w:tc>
        <w:tc>
          <w:tcPr>
            <w:tcW w:w="633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r>
            <w:r/>
          </w:p>
        </w:tc>
      </w:tr>
    </w:tbl>
    <w:p>
      <w:pPr>
        <w:ind w:firstLine="480"/>
        <w:spacing w:line="0" w:lineRule="atLeast"/>
        <w:rPr>
          <w:rFonts w:ascii="黑体" w:eastAsia="黑体"/>
          <w:bCs/>
          <w:sz w:val="44"/>
          <w:szCs w:val="28"/>
        </w:rPr>
      </w:pPr>
      <w:r>
        <w:rPr>
          <w:rFonts w:hint="eastAsia" w:ascii="宋体" w:hAnsi="宋体"/>
          <w:sz w:val="24"/>
          <w:szCs w:val="24"/>
        </w:rPr>
        <w:br w:type="page" w:clear="all"/>
      </w:r>
      <w:r/>
    </w:p>
    <w:p>
      <w:pPr>
        <w:jc w:val="center"/>
        <w:keepNext/>
        <w:rPr>
          <w:rFonts w:ascii="黑体" w:eastAsia="黑体"/>
          <w:bCs/>
          <w:sz w:val="44"/>
          <w:szCs w:val="28"/>
        </w:rPr>
        <w:outlineLvl w:val="0"/>
      </w:pPr>
      <w:r/>
      <w:bookmarkStart w:id="236" w:name="_Toc227167523"/>
      <w:r>
        <w:rPr>
          <w:rFonts w:hint="eastAsia" w:ascii="黑体" w:eastAsia="黑体"/>
          <w:bCs/>
          <w:sz w:val="44"/>
          <w:szCs w:val="28"/>
        </w:rPr>
        <w:t xml:space="preserve">第六章  投标</w:t>
      </w:r>
      <w:bookmarkEnd w:id="207"/>
      <w:r/>
      <w:bookmarkEnd w:id="208"/>
      <w:r/>
      <w:bookmarkEnd w:id="209"/>
      <w:r>
        <w:rPr>
          <w:rFonts w:hint="eastAsia" w:ascii="黑体" w:eastAsia="黑体"/>
          <w:bCs/>
          <w:sz w:val="44"/>
          <w:szCs w:val="28"/>
        </w:rPr>
        <w:t xml:space="preserve">文件格式</w:t>
      </w:r>
      <w:bookmarkEnd w:id="236"/>
      <w:r/>
      <w:r/>
    </w:p>
    <w:p>
      <w:pPr>
        <w:jc w:val="center"/>
        <w:rPr>
          <w:rFonts w:hint="eastAsia" w:ascii="宋体" w:hAnsi="宋体"/>
          <w:b/>
          <w:sz w:val="72"/>
          <w:szCs w:val="21"/>
        </w:rPr>
      </w:pPr>
      <w:r/>
      <w:bookmarkStart w:id="237" w:name="_Hlt26955039"/>
      <w:r/>
      <w:bookmarkStart w:id="238" w:name="_Hlt26671244"/>
      <w:r/>
      <w:bookmarkStart w:id="239" w:name="_Toc49090576"/>
      <w:r/>
      <w:bookmarkStart w:id="240" w:name="_Toc120614282"/>
      <w:r/>
      <w:bookmarkStart w:id="241" w:name="_Toc26554094"/>
      <w:r/>
      <w:bookmarkEnd w:id="237"/>
      <w:r/>
      <w:bookmarkEnd w:id="238"/>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2024或者2025年度的财务状况报告（投标人成立不满一年无需提供）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w:t>
      </w:r>
      <w:r>
        <w:rPr>
          <w:rFonts w:hint="eastAsia" w:ascii="宋体" w:hAnsi="宋体"/>
          <w:sz w:val="24"/>
          <w:szCs w:val="24"/>
        </w:rPr>
        <w:t xml:space="preserve">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 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hint="eastAsia" w:ascii="宋体" w:hAnsi="宋体"/>
          <w:b/>
          <w:sz w:val="24"/>
          <w:szCs w:val="21"/>
        </w:rPr>
      </w:pPr>
      <w:r>
        <w:rPr>
          <w:rFonts w:hint="eastAsia"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860"/>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w:t>
      </w:r>
      <w:r>
        <w:rPr>
          <w:rFonts w:hint="eastAsia" w:ascii="宋体" w:hAnsi="宋体"/>
          <w:sz w:val="24"/>
          <w:szCs w:val="21"/>
        </w:rPr>
        <w:t xml:space="preserve">和</w:t>
      </w:r>
      <w:r>
        <w:rPr>
          <w:rFonts w:hint="eastAsia" w:ascii="宋体" w:hAnsi="宋体"/>
          <w:sz w:val="24"/>
          <w:szCs w:val="21"/>
        </w:rPr>
        <w:t xml:space="preserve">。</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p>
    <w:p>
      <w:pPr>
        <w:rPr>
          <w:rFonts w:hint="eastAsia" w:ascii="宋体" w:hAnsi="宋体"/>
          <w:b/>
          <w:sz w:val="24"/>
          <w:szCs w:val="21"/>
        </w:rPr>
      </w:pPr>
      <w:r>
        <w:rPr>
          <w:rFonts w:hint="eastAsia" w:ascii="宋体" w:hAnsi="宋体"/>
          <w:b/>
          <w:sz w:val="24"/>
          <w:szCs w:val="21"/>
        </w:rPr>
        <w:t xml:space="preserve">面声明</w:t>
      </w:r>
      <w:r/>
    </w:p>
    <w:p>
      <w:pPr>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42" w:name="_Toc120614284"/>
      <w:r/>
      <w:bookmarkEnd w:id="239"/>
      <w:r/>
      <w:bookmarkEnd w:id="240"/>
      <w:r/>
      <w:bookmarkEnd w:id="241"/>
      <w:r/>
      <w:r/>
    </w:p>
    <w:p>
      <w:pPr>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bookmarkStart w:id="243" w:name="_Hlt26955070"/>
      <w:r/>
      <w:bookmarkStart w:id="244" w:name="_Hlt26671380"/>
      <w:r/>
      <w:bookmarkStart w:id="245" w:name="_格式3__银行出具的资信证明"/>
      <w:r/>
      <w:bookmarkEnd w:id="243"/>
      <w:r/>
      <w:bookmarkEnd w:id="244"/>
      <w:r/>
      <w:bookmarkEnd w:id="245"/>
      <w:r>
        <w:rPr>
          <w:rFonts w:hint="eastAsia"/>
          <w:sz w:val="24"/>
          <w:szCs w:val="24"/>
          <w:u w:val="single"/>
        </w:rPr>
        <w:t xml:space="preserve">                                         </w:t>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b/>
          <w:sz w:val="24"/>
          <w:szCs w:val="21"/>
        </w:rPr>
      </w:pPr>
      <w:r>
        <w:rPr>
          <w:rFonts w:hint="eastAsia" w:ascii="宋体" w:hAnsi="宋体"/>
          <w:b/>
          <w:sz w:val="24"/>
          <w:szCs w:val="21"/>
        </w:rPr>
      </w:r>
      <w:r/>
    </w:p>
    <w:p>
      <w:pPr>
        <w:ind w:firstLine="241"/>
        <w:jc w:val="center"/>
        <w:spacing w:line="560" w:lineRule="exact"/>
        <w:rPr>
          <w:rFonts w:hint="eastAsia" w:ascii="宋体" w:hAnsi="宋体"/>
          <w:b/>
          <w:sz w:val="24"/>
          <w:szCs w:val="21"/>
        </w:rPr>
      </w:pPr>
      <w:r>
        <w:rPr>
          <w:rFonts w:hint="eastAsia" w:ascii="宋体" w:hAnsi="宋体"/>
          <w:b/>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hint="eastAsia" w:ascii="宋体" w:hAnsi="宋体"/>
          <w:sz w:val="24"/>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860"/>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875"/>
          <w:rFonts w:hint="eastAsia" w:ascii="方正魏碑_GBK" w:hAnsi="方正魏碑_GBK" w:eastAsia="方正魏碑_GBK" w:cs="方正魏碑_GBK"/>
          <w:i w:val="0"/>
          <w:u w:val="single"/>
          <w:shd w:val="clear" w:color="auto" w:fill="ffffff"/>
        </w:rPr>
        <w:t xml:space="preserve">（产品名称1）</w:t>
      </w:r>
      <w:r>
        <w:rPr>
          <w:rStyle w:val="875"/>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75"/>
          <w:rFonts w:hint="eastAsia" w:ascii="方正魏碑_GBK" w:hAnsi="方正魏碑_GBK" w:eastAsia="方正魏碑_GBK" w:cs="方正魏碑_GBK"/>
          <w:i w:val="0"/>
          <w:u w:val="single"/>
          <w:shd w:val="clear" w:color="auto" w:fill="ffffff"/>
        </w:rPr>
        <w:t xml:space="preserve">（厂名）</w:t>
      </w:r>
      <w:r>
        <w:rPr>
          <w:rStyle w:val="875"/>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75"/>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Style w:val="875"/>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Style w:val="875"/>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Style w:val="875"/>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6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875"/>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75"/>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75"/>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在中国境内完成。</w:t>
      </w:r>
      <w:r/>
    </w:p>
    <w:p>
      <w:pPr>
        <w:pStyle w:val="86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6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6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60"/>
        <w:jc w:val="right"/>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公司（单位）名称（加盖CA电子公章）：　        </w:t>
      </w:r>
      <w:r/>
    </w:p>
    <w:p>
      <w:pPr>
        <w:pStyle w:val="860"/>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p>
    <w:p>
      <w:pPr>
        <w:pStyle w:val="86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6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1.产品如有型号，请在“产品名称”栏一并填写。</w:t>
      </w:r>
      <w:r/>
    </w:p>
    <w:p>
      <w:pPr>
        <w:pStyle w:val="86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2.生产厂名与厂址应与生产厂营业执照载明的相关信息保持一致。</w:t>
      </w:r>
      <w:r/>
    </w:p>
    <w:p>
      <w:pPr>
        <w:pStyle w:val="86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3.该产品的中国境内生产的组件成本占比相关要求实施前，“规定比例”栏可不填，下同。</w:t>
      </w:r>
      <w:r/>
    </w:p>
    <w:p>
      <w:pPr>
        <w:pStyle w:val="86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4.该产品的关键组件要求实施前，“关键组件”栏可不填，下同。</w:t>
      </w:r>
      <w:r/>
    </w:p>
    <w:p>
      <w:pPr>
        <w:pStyle w:val="860"/>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5.该产品的关键工序要求实施前，“关键工序”栏可不填，下同。</w:t>
      </w:r>
      <w:r/>
    </w:p>
    <w:p>
      <w:pPr>
        <w:pStyle w:val="860"/>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6.《声明函》中标注“</w:t>
      </w:r>
      <w:r>
        <w:rPr>
          <w:rFonts w:hint="eastAsia" w:ascii="方正魏碑_GBK" w:hAnsi="方正魏碑_GBK" w:eastAsia="方正魏碑_GBK" w:cs="方正魏碑_GBK"/>
          <w:u w:val="single"/>
          <w:shd w:val="clear" w:color="auto" w:fill="ffffff"/>
        </w:rPr>
        <w:t xml:space="preserve">  </w:t>
      </w:r>
      <w:r>
        <w:rPr>
          <w:rStyle w:val="87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201"/>
      <w:bookmarkEnd w:id="202"/>
      <w:bookmarkEnd w:id="242"/>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Tahoma">
    <w:panose1 w:val="020B0604030504040204"/>
  </w:font>
  <w:font w:name="方正黑体_GBK">
    <w:panose1 w:val="020B050302020202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PAGE   \* MERGEFORMAT</w:instrText>
    </w:r>
    <w:r>
      <w:fldChar w:fldCharType="separate"/>
    </w:r>
    <w:r>
      <w:rPr>
        <w:lang w:val="zh-CN"/>
      </w:rPr>
      <w:t xml:space="preserve">19</w:t>
    </w:r>
    <w:r>
      <w:fldChar w:fldCharType="end"/>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73"/>
        <w:rFonts w:hint="eastAsia" w:ascii="宋体" w:hAnsi="宋体"/>
      </w:rPr>
      <w:framePr w:wrap="around" w:vAnchor="text" w:hAnchor="margin" w:xAlign="center" w:y="1"/>
    </w:pPr>
    <w:r>
      <w:rPr>
        <w:rFonts w:ascii="宋体" w:hAnsi="宋体"/>
      </w:rPr>
      <w:fldChar w:fldCharType="begin"/>
    </w:r>
    <w:r>
      <w:rPr>
        <w:rStyle w:val="873"/>
        <w:rFonts w:ascii="宋体" w:hAnsi="宋体"/>
      </w:rPr>
      <w:instrText xml:space="preserve">PAGE  </w:instrText>
    </w:r>
    <w:r>
      <w:rPr>
        <w:rFonts w:ascii="宋体" w:hAnsi="宋体"/>
      </w:rPr>
      <w:fldChar w:fldCharType="separate"/>
    </w:r>
    <w:r>
      <w:rPr>
        <w:rStyle w:val="873"/>
        <w:rFonts w:ascii="宋体" w:hAnsi="宋体"/>
      </w:rPr>
      <w:t xml:space="preserve">22</w:t>
    </w:r>
    <w:r>
      <w:rPr>
        <w:rFonts w:ascii="宋体" w:hAnsi="宋体"/>
      </w:rPr>
      <w:fldChar w:fldCharType="end"/>
    </w:r>
    <w:r/>
  </w:p>
  <w:p>
    <w:pPr>
      <w:pStyle w:val="846"/>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73"/>
      </w:rPr>
      <w:framePr w:wrap="around" w:vAnchor="text" w:hAnchor="margin" w:xAlign="center" w:y="1"/>
    </w:pPr>
    <w:r>
      <w:fldChar w:fldCharType="begin"/>
    </w:r>
    <w:r>
      <w:rPr>
        <w:rStyle w:val="873"/>
      </w:rPr>
      <w:instrText xml:space="preserve">PAGE  </w:instrText>
    </w:r>
    <w:r>
      <w:fldChar w:fldCharType="separate"/>
    </w:r>
    <w:r>
      <w:rPr>
        <w:rStyle w:val="873"/>
      </w:rPr>
      <w:t xml:space="preserve">1</w:t>
    </w:r>
    <w: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356" w:hanging="360"/>
      </w:pPr>
      <w:rPr>
        <w:rFonts w:ascii="Courier New" w:hAnsi="Courier New" w:eastAsia="Courier New" w:cs="Courier New"/>
      </w:rPr>
    </w:lvl>
    <w:lvl w:ilvl="2">
      <w:start w:val="1"/>
      <w:numFmt w:val="bullet"/>
      <w:isLgl w:val="false"/>
      <w:suff w:val="tab"/>
      <w:lvlText w:val="§"/>
      <w:lvlJc w:val="left"/>
      <w:pPr>
        <w:ind w:left="2076" w:hanging="360"/>
      </w:pPr>
      <w:rPr>
        <w:rFonts w:ascii="Wingdings" w:hAnsi="Wingdings" w:eastAsia="Wingdings" w:cs="Wingdings"/>
      </w:rPr>
    </w:lvl>
    <w:lvl w:ilvl="3">
      <w:start w:val="1"/>
      <w:numFmt w:val="bullet"/>
      <w:isLgl w:val="false"/>
      <w:suff w:val="tab"/>
      <w:lvlText w:val="·"/>
      <w:lvlJc w:val="left"/>
      <w:pPr>
        <w:ind w:left="2796" w:hanging="360"/>
      </w:pPr>
      <w:rPr>
        <w:rFonts w:ascii="Symbol" w:hAnsi="Symbol" w:eastAsia="Symbol" w:cs="Symbol"/>
      </w:rPr>
    </w:lvl>
    <w:lvl w:ilvl="4">
      <w:start w:val="1"/>
      <w:numFmt w:val="bullet"/>
      <w:isLgl w:val="false"/>
      <w:suff w:val="tab"/>
      <w:lvlText w:val="o"/>
      <w:lvlJc w:val="left"/>
      <w:pPr>
        <w:ind w:left="3516" w:hanging="360"/>
      </w:pPr>
      <w:rPr>
        <w:rFonts w:ascii="Courier New" w:hAnsi="Courier New" w:eastAsia="Courier New" w:cs="Courier New"/>
      </w:rPr>
    </w:lvl>
    <w:lvl w:ilvl="5">
      <w:start w:val="1"/>
      <w:numFmt w:val="bullet"/>
      <w:isLgl w:val="false"/>
      <w:suff w:val="tab"/>
      <w:lvlText w:val="§"/>
      <w:lvlJc w:val="left"/>
      <w:pPr>
        <w:ind w:left="4236" w:hanging="360"/>
      </w:pPr>
      <w:rPr>
        <w:rFonts w:ascii="Wingdings" w:hAnsi="Wingdings" w:eastAsia="Wingdings" w:cs="Wingdings"/>
      </w:rPr>
    </w:lvl>
    <w:lvl w:ilvl="6">
      <w:start w:val="1"/>
      <w:numFmt w:val="bullet"/>
      <w:isLgl w:val="false"/>
      <w:suff w:val="tab"/>
      <w:lvlText w:val="·"/>
      <w:lvlJc w:val="left"/>
      <w:pPr>
        <w:ind w:left="4956" w:hanging="360"/>
      </w:pPr>
      <w:rPr>
        <w:rFonts w:ascii="Symbol" w:hAnsi="Symbol" w:eastAsia="Symbol" w:cs="Symbol"/>
      </w:rPr>
    </w:lvl>
    <w:lvl w:ilvl="7">
      <w:start w:val="1"/>
      <w:numFmt w:val="bullet"/>
      <w:isLgl w:val="false"/>
      <w:suff w:val="tab"/>
      <w:lvlText w:val="o"/>
      <w:lvlJc w:val="left"/>
      <w:pPr>
        <w:ind w:left="5676" w:hanging="360"/>
      </w:pPr>
      <w:rPr>
        <w:rFonts w:ascii="Courier New" w:hAnsi="Courier New" w:eastAsia="Courier New" w:cs="Courier New"/>
      </w:rPr>
    </w:lvl>
    <w:lvl w:ilvl="8">
      <w:start w:val="1"/>
      <w:numFmt w:val="bullet"/>
      <w:isLgl w:val="false"/>
      <w:suff w:val="tab"/>
      <w:lvlText w:val="§"/>
      <w:lvlJc w:val="left"/>
      <w:pPr>
        <w:ind w:left="6396"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934"/>
      <w:isLgl w:val="false"/>
      <w:suff w:val="nothing"/>
      <w:lvlText w:val=""/>
      <w:lvlJc w:val="left"/>
      <w:pPr>
        <w:ind w:left="0" w:firstLine="0"/>
      </w:pPr>
    </w:lvl>
    <w:lvl w:ilvl="6">
      <w:start w:val="1"/>
      <w:numFmt w:val="decimal"/>
      <w:pStyle w:val="935"/>
      <w:isLgl w:val="false"/>
      <w:suff w:val="nothing"/>
      <w:lvlText w:val=""/>
      <w:lvlJc w:val="left"/>
      <w:pPr>
        <w:ind w:left="0" w:firstLine="0"/>
      </w:pPr>
    </w:lvl>
    <w:lvl w:ilvl="7">
      <w:start w:val="1"/>
      <w:numFmt w:val="decimal"/>
      <w:pStyle w:val="936"/>
      <w:isLgl w:val="false"/>
      <w:suff w:val="nothing"/>
      <w:lvlText w:val=""/>
      <w:lvlJc w:val="left"/>
      <w:pPr>
        <w:ind w:left="0" w:firstLine="0"/>
      </w:pPr>
    </w:lvl>
    <w:lvl w:ilvl="8">
      <w:start w:val="1"/>
      <w:numFmt w:val="decimal"/>
      <w:pStyle w:val="937"/>
      <w:isLgl w:val="false"/>
      <w:suff w:val="nothing"/>
      <w:lvlText w:val=""/>
      <w:lvlJc w:val="left"/>
      <w:pPr>
        <w:ind w:left="0" w:firstLine="0"/>
      </w:pPr>
    </w:lvl>
  </w:abstractNum>
  <w:abstractNum w:abstractNumId="3">
    <w:multiLevelType w:val="hybridMultilevel"/>
    <w:lvl w:ilvl="0">
      <w:start w:val="3"/>
      <w:numFmt w:val="decimal"/>
      <w:isLgl w:val="false"/>
      <w:suff w:val="tab"/>
      <w:lvlText w:val="%1、"/>
      <w:lvlJc w:val="left"/>
      <w:pPr>
        <w:ind w:left="870" w:hanging="360"/>
      </w:pPr>
    </w:lvl>
    <w:lvl w:ilvl="1">
      <w:start w:val="1"/>
      <w:numFmt w:val="lowerLetter"/>
      <w:isLgl w:val="false"/>
      <w:suff w:val="tab"/>
      <w:lvlText w:val="%2)"/>
      <w:lvlJc w:val="left"/>
      <w:pPr>
        <w:ind w:left="1390" w:hanging="440"/>
      </w:pPr>
    </w:lvl>
    <w:lvl w:ilvl="2">
      <w:start w:val="1"/>
      <w:numFmt w:val="lowerRoman"/>
      <w:isLgl w:val="false"/>
      <w:suff w:val="tab"/>
      <w:lvlText w:val="%3."/>
      <w:lvlJc w:val="right"/>
      <w:pPr>
        <w:ind w:left="1830" w:hanging="440"/>
      </w:pPr>
    </w:lvl>
    <w:lvl w:ilvl="3">
      <w:start w:val="1"/>
      <w:numFmt w:val="decimal"/>
      <w:isLgl w:val="false"/>
      <w:suff w:val="tab"/>
      <w:lvlText w:val="%4."/>
      <w:lvlJc w:val="left"/>
      <w:pPr>
        <w:ind w:left="2270" w:hanging="440"/>
      </w:pPr>
    </w:lvl>
    <w:lvl w:ilvl="4">
      <w:start w:val="1"/>
      <w:numFmt w:val="lowerLetter"/>
      <w:isLgl w:val="false"/>
      <w:suff w:val="tab"/>
      <w:lvlText w:val="%5)"/>
      <w:lvlJc w:val="left"/>
      <w:pPr>
        <w:ind w:left="2710" w:hanging="440"/>
      </w:pPr>
    </w:lvl>
    <w:lvl w:ilvl="5">
      <w:start w:val="1"/>
      <w:numFmt w:val="lowerRoman"/>
      <w:isLgl w:val="false"/>
      <w:suff w:val="tab"/>
      <w:lvlText w:val="%6."/>
      <w:lvlJc w:val="right"/>
      <w:pPr>
        <w:ind w:left="3150" w:hanging="440"/>
      </w:pPr>
    </w:lvl>
    <w:lvl w:ilvl="6">
      <w:start w:val="1"/>
      <w:numFmt w:val="decimal"/>
      <w:isLgl w:val="false"/>
      <w:suff w:val="tab"/>
      <w:lvlText w:val="%7."/>
      <w:lvlJc w:val="left"/>
      <w:pPr>
        <w:ind w:left="3590" w:hanging="440"/>
      </w:pPr>
    </w:lvl>
    <w:lvl w:ilvl="7">
      <w:start w:val="1"/>
      <w:numFmt w:val="lowerLetter"/>
      <w:isLgl w:val="false"/>
      <w:suff w:val="tab"/>
      <w:lvlText w:val="%8)"/>
      <w:lvlJc w:val="left"/>
      <w:pPr>
        <w:ind w:left="4030" w:hanging="440"/>
      </w:pPr>
    </w:lvl>
    <w:lvl w:ilvl="8">
      <w:start w:val="1"/>
      <w:numFmt w:val="lowerRoman"/>
      <w:isLgl w:val="false"/>
      <w:suff w:val="tab"/>
      <w:lvlText w:val="%9."/>
      <w:lvlJc w:val="right"/>
      <w:pPr>
        <w:ind w:left="4470" w:hanging="440"/>
      </w:pPr>
    </w:lvl>
  </w:abstractNum>
  <w:abstractNum w:abstractNumId="4">
    <w:multiLevelType w:val="hybridMultilevel"/>
    <w:lvl w:ilvl="0">
      <w:start w:val="1"/>
      <w:numFmt w:val="upperLetter"/>
      <w:pStyle w:val="8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08"/>
      <w:isLgl w:val="false"/>
      <w:suff w:val="nothing"/>
      <w:lvlText w:val=""/>
      <w:lvlJc w:val="left"/>
      <w:pPr>
        <w:ind w:left="0" w:firstLine="0"/>
      </w:pPr>
      <w:rPr>
        <w:rFonts w:hint="eastAsia"/>
      </w:rPr>
    </w:lvl>
    <w:lvl w:ilvl="6">
      <w:start w:val="1"/>
      <w:numFmt w:val="decimal"/>
      <w:pStyle w:val="809"/>
      <w:isLgl w:val="false"/>
      <w:suff w:val="nothing"/>
      <w:lvlText w:val=""/>
      <w:lvlJc w:val="left"/>
      <w:pPr>
        <w:ind w:left="0" w:firstLine="0"/>
      </w:pPr>
      <w:rPr>
        <w:rFonts w:hint="eastAsia"/>
      </w:rPr>
    </w:lvl>
    <w:lvl w:ilvl="7">
      <w:start w:val="1"/>
      <w:numFmt w:val="decimal"/>
      <w:pStyle w:val="810"/>
      <w:isLgl w:val="false"/>
      <w:suff w:val="nothing"/>
      <w:lvlText w:val=""/>
      <w:lvlJc w:val="left"/>
      <w:pPr>
        <w:ind w:left="0" w:firstLine="0"/>
      </w:pPr>
      <w:rPr>
        <w:rFonts w:hint="eastAsia"/>
      </w:rPr>
    </w:lvl>
    <w:lvl w:ilvl="8">
      <w:start w:val="1"/>
      <w:numFmt w:val="decimal"/>
      <w:pStyle w:val="811"/>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149"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9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japaneseCounting"/>
      <w:isLgl w:val="false"/>
      <w:suff w:val="tab"/>
      <w:lvlText w:val="%1、"/>
      <w:lvlJc w:val="left"/>
      <w:pPr>
        <w:ind w:left="510" w:hanging="510"/>
      </w:pPr>
    </w:lvl>
    <w:lvl w:ilvl="1">
      <w:start w:val="1"/>
      <w:numFmt w:val="decimal"/>
      <w:isLgl w:val="false"/>
      <w:suff w:val="tab"/>
      <w:lvlText w:val="%2、"/>
      <w:lvlJc w:val="left"/>
      <w:pPr>
        <w:ind w:left="800" w:hanging="36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6"/>
    <w:link w:val="727"/>
    <w:uiPriority w:val="9"/>
    <w:rPr>
      <w:rFonts w:ascii="Arial" w:hAnsi="Arial" w:eastAsia="Arial" w:cs="Arial"/>
      <w:sz w:val="40"/>
      <w:szCs w:val="40"/>
    </w:rPr>
  </w:style>
  <w:style w:type="character" w:styleId="15">
    <w:name w:val="Heading 2 Char"/>
    <w:basedOn w:val="736"/>
    <w:link w:val="728"/>
    <w:uiPriority w:val="9"/>
    <w:rPr>
      <w:rFonts w:ascii="Arial" w:hAnsi="Arial" w:eastAsia="Arial" w:cs="Arial"/>
      <w:sz w:val="34"/>
    </w:rPr>
  </w:style>
  <w:style w:type="character" w:styleId="17">
    <w:name w:val="Heading 3 Char"/>
    <w:basedOn w:val="736"/>
    <w:link w:val="729"/>
    <w:uiPriority w:val="9"/>
    <w:rPr>
      <w:rFonts w:ascii="Arial" w:hAnsi="Arial" w:eastAsia="Arial" w:cs="Arial"/>
      <w:sz w:val="30"/>
      <w:szCs w:val="30"/>
    </w:rPr>
  </w:style>
  <w:style w:type="character" w:styleId="19">
    <w:name w:val="Heading 4 Char"/>
    <w:basedOn w:val="736"/>
    <w:link w:val="730"/>
    <w:uiPriority w:val="9"/>
    <w:rPr>
      <w:rFonts w:ascii="Arial" w:hAnsi="Arial" w:eastAsia="Arial" w:cs="Arial"/>
      <w:b/>
      <w:bCs/>
      <w:sz w:val="26"/>
      <w:szCs w:val="26"/>
    </w:rPr>
  </w:style>
  <w:style w:type="character" w:styleId="21">
    <w:name w:val="Heading 5 Char"/>
    <w:basedOn w:val="736"/>
    <w:link w:val="731"/>
    <w:uiPriority w:val="9"/>
    <w:rPr>
      <w:rFonts w:ascii="Arial" w:hAnsi="Arial" w:eastAsia="Arial" w:cs="Arial"/>
      <w:b/>
      <w:bCs/>
      <w:sz w:val="24"/>
      <w:szCs w:val="24"/>
    </w:rPr>
  </w:style>
  <w:style w:type="character" w:styleId="23">
    <w:name w:val="Heading 6 Char"/>
    <w:basedOn w:val="736"/>
    <w:link w:val="732"/>
    <w:uiPriority w:val="9"/>
    <w:rPr>
      <w:rFonts w:ascii="Arial" w:hAnsi="Arial" w:eastAsia="Arial" w:cs="Arial"/>
      <w:b/>
      <w:bCs/>
      <w:sz w:val="22"/>
      <w:szCs w:val="22"/>
    </w:rPr>
  </w:style>
  <w:style w:type="character" w:styleId="25">
    <w:name w:val="Heading 7 Char"/>
    <w:basedOn w:val="736"/>
    <w:link w:val="733"/>
    <w:uiPriority w:val="9"/>
    <w:rPr>
      <w:rFonts w:ascii="Arial" w:hAnsi="Arial" w:eastAsia="Arial" w:cs="Arial"/>
      <w:b/>
      <w:bCs/>
      <w:i/>
      <w:iCs/>
      <w:sz w:val="22"/>
      <w:szCs w:val="22"/>
    </w:rPr>
  </w:style>
  <w:style w:type="character" w:styleId="27">
    <w:name w:val="Heading 8 Char"/>
    <w:basedOn w:val="736"/>
    <w:link w:val="734"/>
    <w:uiPriority w:val="9"/>
    <w:rPr>
      <w:rFonts w:ascii="Arial" w:hAnsi="Arial" w:eastAsia="Arial" w:cs="Arial"/>
      <w:i/>
      <w:iCs/>
      <w:sz w:val="22"/>
      <w:szCs w:val="22"/>
    </w:rPr>
  </w:style>
  <w:style w:type="character" w:styleId="29">
    <w:name w:val="Heading 9 Char"/>
    <w:basedOn w:val="736"/>
    <w:link w:val="735"/>
    <w:uiPriority w:val="9"/>
    <w:rPr>
      <w:rFonts w:ascii="Arial" w:hAnsi="Arial" w:eastAsia="Arial" w:cs="Arial"/>
      <w:i/>
      <w:iCs/>
      <w:sz w:val="21"/>
      <w:szCs w:val="21"/>
    </w:rPr>
  </w:style>
  <w:style w:type="character" w:styleId="34">
    <w:name w:val="Title Char"/>
    <w:basedOn w:val="736"/>
    <w:link w:val="756"/>
    <w:uiPriority w:val="10"/>
    <w:rPr>
      <w:sz w:val="48"/>
      <w:szCs w:val="48"/>
    </w:rPr>
  </w:style>
  <w:style w:type="character" w:styleId="36">
    <w:name w:val="Subtitle Char"/>
    <w:basedOn w:val="736"/>
    <w:link w:val="750"/>
    <w:uiPriority w:val="11"/>
    <w:rPr>
      <w:sz w:val="24"/>
      <w:szCs w:val="24"/>
    </w:rPr>
  </w:style>
  <w:style w:type="character" w:styleId="38">
    <w:name w:val="Quote Char"/>
    <w:link w:val="774"/>
    <w:uiPriority w:val="29"/>
    <w:rPr>
      <w:i/>
    </w:rPr>
  </w:style>
  <w:style w:type="character" w:styleId="40">
    <w:name w:val="Intense Quote Char"/>
    <w:link w:val="776"/>
    <w:uiPriority w:val="30"/>
    <w:rPr>
      <w:i/>
    </w:rPr>
  </w:style>
  <w:style w:type="character" w:styleId="42">
    <w:name w:val="Header Char"/>
    <w:basedOn w:val="736"/>
    <w:link w:val="747"/>
    <w:uiPriority w:val="99"/>
  </w:style>
  <w:style w:type="character" w:styleId="46">
    <w:name w:val="Caption Char"/>
    <w:basedOn w:val="741"/>
    <w:link w:val="746"/>
    <w:uiPriority w:val="99"/>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1"/>
    <w:uiPriority w:val="99"/>
    <w:rPr>
      <w:sz w:val="18"/>
    </w:rPr>
  </w:style>
  <w:style w:type="character" w:styleId="178">
    <w:name w:val="Endnote Text Char"/>
    <w:link w:val="745"/>
    <w:uiPriority w:val="99"/>
    <w:rPr>
      <w:sz w:val="20"/>
    </w:rPr>
  </w:style>
  <w:style w:type="paragraph" w:styleId="189">
    <w:name w:val="TOC Heading"/>
    <w:uiPriority w:val="39"/>
    <w:unhideWhenUsed/>
  </w:style>
  <w:style w:type="paragraph" w:styleId="726" w:default="1">
    <w:name w:val="Normal"/>
    <w:next w:val="739"/>
    <w:link w:val="993"/>
    <w:qFormat/>
    <w:pPr>
      <w:jc w:val="both"/>
      <w:widowControl w:val="off"/>
    </w:pPr>
    <w:rPr>
      <w:sz w:val="21"/>
      <w:szCs w:val="22"/>
    </w:rPr>
  </w:style>
  <w:style w:type="paragraph" w:styleId="727">
    <w:name w:val="Heading 1"/>
    <w:basedOn w:val="726"/>
    <w:next w:val="726"/>
    <w:link w:val="76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2"/>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3"/>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4"/>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6"/>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767"/>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768"/>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769"/>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customStyle="1">
    <w:name w:val="索引 411"/>
    <w:basedOn w:val="726"/>
    <w:next w:val="726"/>
    <w:uiPriority w:val="99"/>
    <w:semiHidden/>
    <w:qFormat/>
    <w:pPr>
      <w:ind w:left="1260"/>
    </w:pPr>
  </w:style>
  <w:style w:type="paragraph" w:styleId="740">
    <w:name w:val="toc 7"/>
    <w:basedOn w:val="726"/>
    <w:next w:val="726"/>
    <w:uiPriority w:val="39"/>
    <w:semiHidden/>
    <w:qFormat/>
    <w:pPr>
      <w:ind w:left="1260"/>
      <w:jc w:val="left"/>
    </w:pPr>
    <w:rPr>
      <w:szCs w:val="21"/>
    </w:rPr>
  </w:style>
  <w:style w:type="paragraph" w:styleId="741">
    <w:name w:val="Caption"/>
    <w:basedOn w:val="726"/>
    <w:next w:val="726"/>
    <w:uiPriority w:val="35"/>
    <w:semiHidden/>
    <w:unhideWhenUsed/>
    <w:qFormat/>
    <w:pPr>
      <w:spacing w:line="276" w:lineRule="auto"/>
    </w:pPr>
    <w:rPr>
      <w:b/>
      <w:bCs/>
      <w:color w:val="4f81bd" w:themeColor="accent1"/>
      <w:sz w:val="18"/>
      <w:szCs w:val="18"/>
    </w:rPr>
  </w:style>
  <w:style w:type="paragraph" w:styleId="742">
    <w:name w:val="toc 5"/>
    <w:basedOn w:val="726"/>
    <w:next w:val="726"/>
    <w:uiPriority w:val="39"/>
    <w:semiHidden/>
    <w:qFormat/>
    <w:pPr>
      <w:ind w:left="840"/>
      <w:jc w:val="left"/>
    </w:pPr>
    <w:rPr>
      <w:szCs w:val="21"/>
    </w:rPr>
  </w:style>
  <w:style w:type="paragraph" w:styleId="743">
    <w:name w:val="toc 3"/>
    <w:basedOn w:val="726"/>
    <w:next w:val="726"/>
    <w:uiPriority w:val="39"/>
    <w:qFormat/>
    <w:pPr>
      <w:ind w:left="420"/>
      <w:jc w:val="left"/>
    </w:pPr>
    <w:rPr>
      <w:i/>
      <w:iCs/>
      <w:szCs w:val="24"/>
    </w:rPr>
  </w:style>
  <w:style w:type="paragraph" w:styleId="744">
    <w:name w:val="toc 8"/>
    <w:basedOn w:val="726"/>
    <w:next w:val="726"/>
    <w:uiPriority w:val="39"/>
    <w:semiHidden/>
    <w:qFormat/>
    <w:pPr>
      <w:ind w:left="1470"/>
      <w:jc w:val="left"/>
    </w:pPr>
    <w:rPr>
      <w:szCs w:val="21"/>
    </w:rPr>
  </w:style>
  <w:style w:type="paragraph" w:styleId="745">
    <w:name w:val="endnote text"/>
    <w:basedOn w:val="726"/>
    <w:link w:val="800"/>
    <w:uiPriority w:val="99"/>
    <w:semiHidden/>
    <w:unhideWhenUsed/>
    <w:rPr>
      <w:sz w:val="20"/>
    </w:rPr>
  </w:style>
  <w:style w:type="paragraph" w:styleId="746">
    <w:name w:val="Footer"/>
    <w:basedOn w:val="726"/>
    <w:link w:val="779"/>
    <w:uiPriority w:val="99"/>
    <w:unhideWhenUsed/>
    <w:qFormat/>
    <w:pPr>
      <w:tabs>
        <w:tab w:val="center" w:pos="7143" w:leader="none"/>
        <w:tab w:val="right" w:pos="14287" w:leader="none"/>
      </w:tabs>
    </w:pPr>
  </w:style>
  <w:style w:type="paragraph" w:styleId="747">
    <w:name w:val="Header"/>
    <w:basedOn w:val="726"/>
    <w:link w:val="778"/>
    <w:uiPriority w:val="99"/>
    <w:unhideWhenUsed/>
    <w:pPr>
      <w:tabs>
        <w:tab w:val="center" w:pos="7143" w:leader="none"/>
        <w:tab w:val="right" w:pos="14287" w:leader="none"/>
      </w:tabs>
    </w:pPr>
  </w:style>
  <w:style w:type="paragraph" w:styleId="748">
    <w:name w:val="toc 1"/>
    <w:basedOn w:val="726"/>
    <w:next w:val="726"/>
    <w:uiPriority w:val="39"/>
    <w:qFormat/>
    <w:pPr>
      <w:jc w:val="left"/>
      <w:spacing w:before="120" w:after="120" w:line="400" w:lineRule="exact"/>
      <w:tabs>
        <w:tab w:val="right" w:pos="8720" w:leader="dot"/>
      </w:tabs>
    </w:pPr>
    <w:rPr>
      <w:rFonts w:ascii="宋体" w:hAnsi="宋体"/>
      <w:caps/>
      <w:sz w:val="24"/>
      <w:szCs w:val="24"/>
    </w:rPr>
  </w:style>
  <w:style w:type="paragraph" w:styleId="749">
    <w:name w:val="toc 4"/>
    <w:basedOn w:val="726"/>
    <w:next w:val="726"/>
    <w:uiPriority w:val="39"/>
    <w:semiHidden/>
    <w:qFormat/>
    <w:pPr>
      <w:ind w:left="630"/>
      <w:jc w:val="left"/>
    </w:pPr>
    <w:rPr>
      <w:szCs w:val="21"/>
    </w:rPr>
  </w:style>
  <w:style w:type="paragraph" w:styleId="750">
    <w:name w:val="Subtitle"/>
    <w:basedOn w:val="726"/>
    <w:next w:val="726"/>
    <w:link w:val="773"/>
    <w:uiPriority w:val="11"/>
    <w:qFormat/>
    <w:pPr>
      <w:spacing w:before="200" w:after="200"/>
    </w:pPr>
    <w:rPr>
      <w:sz w:val="24"/>
      <w:szCs w:val="24"/>
    </w:rPr>
  </w:style>
  <w:style w:type="paragraph" w:styleId="751">
    <w:name w:val="footnote text"/>
    <w:basedOn w:val="726"/>
    <w:link w:val="799"/>
    <w:uiPriority w:val="99"/>
    <w:semiHidden/>
    <w:unhideWhenUsed/>
    <w:qFormat/>
    <w:pPr>
      <w:spacing w:after="40"/>
    </w:pPr>
    <w:rPr>
      <w:sz w:val="18"/>
    </w:rPr>
  </w:style>
  <w:style w:type="paragraph" w:styleId="752">
    <w:name w:val="toc 6"/>
    <w:basedOn w:val="726"/>
    <w:next w:val="726"/>
    <w:uiPriority w:val="39"/>
    <w:semiHidden/>
    <w:qFormat/>
    <w:pPr>
      <w:ind w:left="1050"/>
      <w:jc w:val="left"/>
    </w:pPr>
    <w:rPr>
      <w:szCs w:val="21"/>
    </w:rPr>
  </w:style>
  <w:style w:type="paragraph" w:styleId="753">
    <w:name w:val="table of figures"/>
    <w:basedOn w:val="726"/>
    <w:next w:val="726"/>
    <w:uiPriority w:val="99"/>
    <w:unhideWhenUsed/>
  </w:style>
  <w:style w:type="paragraph" w:styleId="754">
    <w:name w:val="toc 2"/>
    <w:basedOn w:val="726"/>
    <w:next w:val="726"/>
    <w:uiPriority w:val="39"/>
    <w:qFormat/>
    <w:pPr>
      <w:ind w:left="210"/>
      <w:jc w:val="left"/>
    </w:pPr>
    <w:rPr>
      <w:smallCaps/>
      <w:szCs w:val="24"/>
    </w:rPr>
  </w:style>
  <w:style w:type="paragraph" w:styleId="755">
    <w:name w:val="toc 9"/>
    <w:basedOn w:val="726"/>
    <w:next w:val="726"/>
    <w:uiPriority w:val="39"/>
    <w:semiHidden/>
    <w:qFormat/>
    <w:pPr>
      <w:ind w:left="1680"/>
      <w:jc w:val="left"/>
    </w:pPr>
    <w:rPr>
      <w:szCs w:val="21"/>
    </w:rPr>
  </w:style>
  <w:style w:type="paragraph" w:styleId="756">
    <w:name w:val="Title"/>
    <w:basedOn w:val="726"/>
    <w:next w:val="726"/>
    <w:link w:val="772"/>
    <w:uiPriority w:val="10"/>
    <w:qFormat/>
    <w:pPr>
      <w:contextualSpacing/>
      <w:spacing w:before="300" w:after="200"/>
    </w:pPr>
    <w:rPr>
      <w:sz w:val="48"/>
      <w:szCs w:val="48"/>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rPr>
  </w:style>
  <w:style w:type="character" w:styleId="760">
    <w:name w:val="footnote reference"/>
    <w:uiPriority w:val="99"/>
    <w:unhideWhenUsed/>
    <w:rPr>
      <w:vertAlign w:val="superscript"/>
    </w:rPr>
  </w:style>
  <w:style w:type="character" w:styleId="761" w:customStyle="1">
    <w:name w:val="标题 1 字符2"/>
    <w:link w:val="727"/>
    <w:uiPriority w:val="9"/>
    <w:qFormat/>
    <w:rPr>
      <w:rFonts w:ascii="Arial" w:hAnsi="Arial" w:eastAsia="Arial" w:cs="Arial"/>
      <w:sz w:val="40"/>
      <w:szCs w:val="40"/>
    </w:rPr>
  </w:style>
  <w:style w:type="character" w:styleId="762" w:customStyle="1">
    <w:name w:val="标题 2 字符2"/>
    <w:link w:val="728"/>
    <w:uiPriority w:val="9"/>
    <w:qFormat/>
    <w:rPr>
      <w:rFonts w:ascii="Arial" w:hAnsi="Arial" w:eastAsia="Arial" w:cs="Arial"/>
      <w:sz w:val="34"/>
    </w:rPr>
  </w:style>
  <w:style w:type="character" w:styleId="763" w:customStyle="1">
    <w:name w:val="标题 3 字符2"/>
    <w:link w:val="729"/>
    <w:uiPriority w:val="9"/>
    <w:qFormat/>
    <w:rPr>
      <w:rFonts w:ascii="Arial" w:hAnsi="Arial" w:eastAsia="Arial" w:cs="Arial"/>
      <w:sz w:val="30"/>
      <w:szCs w:val="30"/>
    </w:rPr>
  </w:style>
  <w:style w:type="character" w:styleId="764" w:customStyle="1">
    <w:name w:val="标题 4 字符2"/>
    <w:link w:val="730"/>
    <w:uiPriority w:val="9"/>
    <w:qFormat/>
    <w:rPr>
      <w:rFonts w:ascii="Arial" w:hAnsi="Arial" w:eastAsia="Arial" w:cs="Arial"/>
      <w:b/>
      <w:bCs/>
      <w:sz w:val="26"/>
      <w:szCs w:val="26"/>
    </w:rPr>
  </w:style>
  <w:style w:type="character" w:styleId="765" w:customStyle="1">
    <w:name w:val="标题 5 字符2"/>
    <w:link w:val="731"/>
    <w:uiPriority w:val="9"/>
    <w:qFormat/>
    <w:rPr>
      <w:rFonts w:ascii="Arial" w:hAnsi="Arial" w:eastAsia="Arial" w:cs="Arial"/>
      <w:b/>
      <w:bCs/>
      <w:sz w:val="24"/>
      <w:szCs w:val="24"/>
    </w:rPr>
  </w:style>
  <w:style w:type="character" w:styleId="766" w:customStyle="1">
    <w:name w:val="标题 6 字符2"/>
    <w:link w:val="732"/>
    <w:uiPriority w:val="9"/>
    <w:qFormat/>
    <w:rPr>
      <w:rFonts w:ascii="Arial" w:hAnsi="Arial" w:eastAsia="Arial" w:cs="Arial"/>
      <w:b/>
      <w:bCs/>
      <w:sz w:val="22"/>
      <w:szCs w:val="22"/>
    </w:rPr>
  </w:style>
  <w:style w:type="character" w:styleId="767" w:customStyle="1">
    <w:name w:val="标题 7 字符2"/>
    <w:link w:val="733"/>
    <w:uiPriority w:val="9"/>
    <w:qFormat/>
    <w:rPr>
      <w:rFonts w:ascii="Arial" w:hAnsi="Arial" w:eastAsia="Arial" w:cs="Arial"/>
      <w:b/>
      <w:bCs/>
      <w:i/>
      <w:iCs/>
      <w:sz w:val="22"/>
      <w:szCs w:val="22"/>
    </w:rPr>
  </w:style>
  <w:style w:type="character" w:styleId="768" w:customStyle="1">
    <w:name w:val="标题 8 字符2"/>
    <w:link w:val="734"/>
    <w:uiPriority w:val="9"/>
    <w:qFormat/>
    <w:rPr>
      <w:rFonts w:ascii="Arial" w:hAnsi="Arial" w:eastAsia="Arial" w:cs="Arial"/>
      <w:i/>
      <w:iCs/>
      <w:sz w:val="22"/>
      <w:szCs w:val="22"/>
    </w:rPr>
  </w:style>
  <w:style w:type="character" w:styleId="769" w:customStyle="1">
    <w:name w:val="标题 9 字符2"/>
    <w:link w:val="735"/>
    <w:uiPriority w:val="9"/>
    <w:qFormat/>
    <w:rPr>
      <w:rFonts w:ascii="Arial" w:hAnsi="Arial" w:eastAsia="Arial" w:cs="Arial"/>
      <w:i/>
      <w:iCs/>
      <w:sz w:val="21"/>
      <w:szCs w:val="21"/>
    </w:rPr>
  </w:style>
  <w:style w:type="paragraph" w:styleId="770">
    <w:name w:val="List Paragraph"/>
    <w:basedOn w:val="726"/>
    <w:uiPriority w:val="34"/>
    <w:qFormat/>
    <w:pPr>
      <w:contextualSpacing/>
      <w:ind w:left="720"/>
    </w:pPr>
  </w:style>
  <w:style w:type="paragraph" w:styleId="771">
    <w:name w:val="No Spacing"/>
    <w:uiPriority w:val="1"/>
    <w:qFormat/>
  </w:style>
  <w:style w:type="character" w:styleId="772" w:customStyle="1">
    <w:name w:val="标题 字符1"/>
    <w:link w:val="756"/>
    <w:uiPriority w:val="10"/>
    <w:qFormat/>
    <w:rPr>
      <w:sz w:val="48"/>
      <w:szCs w:val="48"/>
    </w:rPr>
  </w:style>
  <w:style w:type="character" w:styleId="773" w:customStyle="1">
    <w:name w:val="副标题 字符1"/>
    <w:link w:val="750"/>
    <w:uiPriority w:val="11"/>
    <w:qFormat/>
    <w:rPr>
      <w:sz w:val="24"/>
      <w:szCs w:val="24"/>
    </w:rPr>
  </w:style>
  <w:style w:type="paragraph" w:styleId="774">
    <w:name w:val="Quote"/>
    <w:basedOn w:val="726"/>
    <w:next w:val="726"/>
    <w:link w:val="775"/>
    <w:uiPriority w:val="29"/>
    <w:qFormat/>
    <w:pPr>
      <w:ind w:left="720" w:right="720"/>
    </w:pPr>
    <w:rPr>
      <w:i/>
    </w:rPr>
  </w:style>
  <w:style w:type="character" w:styleId="775" w:customStyle="1">
    <w:name w:val="引用 字符1"/>
    <w:link w:val="774"/>
    <w:uiPriority w:val="29"/>
    <w:qFormat/>
    <w:rPr>
      <w:i/>
    </w:rPr>
  </w:style>
  <w:style w:type="paragraph" w:styleId="776">
    <w:name w:val="Intense Quote"/>
    <w:basedOn w:val="726"/>
    <w:next w:val="726"/>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1"/>
    <w:link w:val="776"/>
    <w:uiPriority w:val="30"/>
    <w:qFormat/>
    <w:rPr>
      <w:i/>
    </w:rPr>
  </w:style>
  <w:style w:type="character" w:styleId="778" w:customStyle="1">
    <w:name w:val="页眉 字符2"/>
    <w:link w:val="747"/>
    <w:uiPriority w:val="99"/>
    <w:qFormat/>
  </w:style>
  <w:style w:type="character" w:styleId="779" w:customStyle="1">
    <w:name w:val="页脚 字符2"/>
    <w:link w:val="746"/>
    <w:uiPriority w:val="99"/>
    <w:qFormat/>
  </w:style>
  <w:style w:type="table" w:styleId="780"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9" w:customStyle="1">
    <w:name w:val="脚注文本 字符1"/>
    <w:link w:val="751"/>
    <w:uiPriority w:val="99"/>
    <w:qFormat/>
    <w:rPr>
      <w:sz w:val="18"/>
    </w:rPr>
  </w:style>
  <w:style w:type="character" w:styleId="800" w:customStyle="1">
    <w:name w:val="尾注文本 字符1"/>
    <w:link w:val="745"/>
    <w:uiPriority w:val="99"/>
    <w:qFormat/>
    <w:rPr>
      <w:sz w:val="20"/>
    </w:rPr>
  </w:style>
  <w:style w:type="paragraph" w:styleId="801" w:customStyle="1">
    <w:name w:val="TOC 标题1"/>
    <w:uiPriority w:val="39"/>
    <w:unhideWhenUsed/>
    <w:qFormat/>
  </w:style>
  <w:style w:type="paragraph" w:styleId="802" w:customStyle="1">
    <w:name w:val="标题 111"/>
    <w:basedOn w:val="726"/>
    <w:next w:val="726"/>
    <w:link w:val="814"/>
    <w:uiPriority w:val="9"/>
    <w:qFormat/>
    <w:pPr>
      <w:jc w:val="center"/>
      <w:keepNext/>
      <w:outlineLvl w:val="0"/>
    </w:pPr>
    <w:rPr>
      <w:rFonts w:ascii="楷体_GB2312" w:eastAsia="楷体_GB2312"/>
      <w:sz w:val="28"/>
      <w:szCs w:val="28"/>
    </w:rPr>
  </w:style>
  <w:style w:type="paragraph" w:styleId="803" w:customStyle="1">
    <w:name w:val="标题 211"/>
    <w:basedOn w:val="726"/>
    <w:next w:val="804"/>
    <w:link w:val="815"/>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04" w:customStyle="1">
    <w:name w:val="正文缩进11"/>
    <w:basedOn w:val="726"/>
    <w:link w:val="816"/>
    <w:qFormat/>
    <w:pPr>
      <w:ind w:firstLine="420"/>
    </w:pPr>
    <w:rPr>
      <w:szCs w:val="21"/>
    </w:rPr>
  </w:style>
  <w:style w:type="paragraph" w:styleId="805" w:customStyle="1">
    <w:name w:val="标题 311"/>
    <w:basedOn w:val="726"/>
    <w:next w:val="804"/>
    <w:link w:val="817"/>
    <w:uiPriority w:val="9"/>
    <w:qFormat/>
    <w:pPr>
      <w:keepLines/>
      <w:keepNext/>
      <w:spacing w:before="260" w:after="260" w:line="416" w:lineRule="auto"/>
      <w:outlineLvl w:val="2"/>
    </w:pPr>
    <w:rPr>
      <w:b/>
      <w:bCs/>
      <w:sz w:val="32"/>
      <w:szCs w:val="32"/>
    </w:rPr>
  </w:style>
  <w:style w:type="paragraph" w:styleId="806" w:customStyle="1">
    <w:name w:val="标题 411"/>
    <w:basedOn w:val="726"/>
    <w:next w:val="804"/>
    <w:link w:val="818"/>
    <w:uiPriority w:val="9"/>
    <w:qFormat/>
    <w:pPr>
      <w:keepLines/>
      <w:keepNext/>
      <w:spacing w:before="280" w:after="290" w:line="376" w:lineRule="auto"/>
      <w:outlineLvl w:val="3"/>
    </w:pPr>
    <w:rPr>
      <w:rFonts w:ascii="Arial" w:hAnsi="Arial" w:eastAsia="黑体" w:cs="Arial"/>
      <w:b/>
      <w:bCs/>
      <w:sz w:val="28"/>
      <w:szCs w:val="28"/>
    </w:rPr>
  </w:style>
  <w:style w:type="paragraph" w:styleId="807" w:customStyle="1">
    <w:name w:val="标题 511"/>
    <w:basedOn w:val="726"/>
    <w:next w:val="804"/>
    <w:link w:val="819"/>
    <w:uiPriority w:val="9"/>
    <w:qFormat/>
    <w:pPr>
      <w:keepNext/>
      <w:outlineLvl w:val="4"/>
    </w:pPr>
    <w:rPr>
      <w:rFonts w:ascii="宋体"/>
      <w:color w:val="000000"/>
      <w:sz w:val="28"/>
      <w:szCs w:val="28"/>
    </w:rPr>
  </w:style>
  <w:style w:type="paragraph" w:styleId="808" w:customStyle="1">
    <w:name w:val="标题 611"/>
    <w:basedOn w:val="726"/>
    <w:next w:val="726"/>
    <w:link w:val="820"/>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09" w:customStyle="1">
    <w:name w:val="标题 711"/>
    <w:basedOn w:val="726"/>
    <w:next w:val="726"/>
    <w:link w:val="821"/>
    <w:uiPriority w:val="9"/>
    <w:qFormat/>
    <w:pPr>
      <w:numPr>
        <w:ilvl w:val="6"/>
        <w:numId w:val="1"/>
      </w:numPr>
      <w:keepLines/>
      <w:keepNext/>
      <w:spacing w:before="240" w:after="64" w:line="320" w:lineRule="auto"/>
      <w:outlineLvl w:val="6"/>
    </w:pPr>
    <w:rPr>
      <w:b/>
      <w:bCs/>
      <w:sz w:val="24"/>
      <w:szCs w:val="24"/>
    </w:rPr>
  </w:style>
  <w:style w:type="paragraph" w:styleId="810" w:customStyle="1">
    <w:name w:val="标题 811"/>
    <w:basedOn w:val="726"/>
    <w:next w:val="726"/>
    <w:link w:val="822"/>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11" w:customStyle="1">
    <w:name w:val="标题 911"/>
    <w:basedOn w:val="726"/>
    <w:next w:val="726"/>
    <w:link w:val="823"/>
    <w:uiPriority w:val="9"/>
    <w:qFormat/>
    <w:pPr>
      <w:numPr>
        <w:ilvl w:val="8"/>
        <w:numId w:val="1"/>
      </w:numPr>
      <w:keepLines/>
      <w:keepNext/>
      <w:spacing w:before="240" w:after="64" w:line="320" w:lineRule="auto"/>
      <w:outlineLvl w:val="8"/>
    </w:pPr>
    <w:rPr>
      <w:rFonts w:ascii="Arial" w:hAnsi="Arial" w:eastAsia="黑体"/>
      <w:szCs w:val="21"/>
    </w:rPr>
  </w:style>
  <w:style w:type="character" w:styleId="812" w:customStyle="1">
    <w:name w:val="默认段落字体11"/>
    <w:uiPriority w:val="1"/>
    <w:unhideWhenUsed/>
    <w:qFormat/>
  </w:style>
  <w:style w:type="table" w:styleId="813" w:customStyle="1">
    <w:name w:val="普通表格11"/>
    <w:uiPriority w:val="99"/>
    <w:unhideWhenUsed/>
    <w:qFormat/>
    <w:tblPr>
      <w:tblCellMar>
        <w:left w:w="0" w:type="dxa"/>
        <w:top w:w="0" w:type="dxa"/>
        <w:right w:w="0" w:type="dxa"/>
        <w:bottom w:w="0" w:type="dxa"/>
      </w:tblCellMar>
    </w:tblPr>
  </w:style>
  <w:style w:type="character" w:styleId="814" w:customStyle="1">
    <w:name w:val="标题 1 字符"/>
    <w:link w:val="802"/>
    <w:uiPriority w:val="9"/>
    <w:qFormat/>
    <w:rPr>
      <w:rFonts w:ascii="楷体_GB2312" w:hAnsi="Times New Roman" w:eastAsia="楷体_GB2312" w:cs="Times New Roman"/>
      <w:sz w:val="28"/>
      <w:szCs w:val="28"/>
    </w:rPr>
  </w:style>
  <w:style w:type="character" w:styleId="815" w:customStyle="1">
    <w:name w:val="标题 2 字符"/>
    <w:link w:val="803"/>
    <w:uiPriority w:val="9"/>
    <w:qFormat/>
    <w:rPr>
      <w:rFonts w:ascii="Arial" w:hAnsi="Arial" w:eastAsia="幼圆" w:cs="Arial"/>
      <w:b/>
      <w:bCs/>
      <w:sz w:val="44"/>
      <w:szCs w:val="44"/>
    </w:rPr>
  </w:style>
  <w:style w:type="character" w:styleId="816" w:customStyle="1">
    <w:name w:val="正文缩进 字符"/>
    <w:link w:val="804"/>
    <w:qFormat/>
    <w:rPr>
      <w:szCs w:val="21"/>
    </w:rPr>
  </w:style>
  <w:style w:type="character" w:styleId="817" w:customStyle="1">
    <w:name w:val="标题 3 字符"/>
    <w:link w:val="805"/>
    <w:uiPriority w:val="9"/>
    <w:qFormat/>
    <w:rPr>
      <w:rFonts w:ascii="Times New Roman" w:hAnsi="Times New Roman" w:eastAsia="宋体" w:cs="Times New Roman"/>
      <w:b/>
      <w:bCs/>
      <w:sz w:val="32"/>
      <w:szCs w:val="32"/>
    </w:rPr>
  </w:style>
  <w:style w:type="character" w:styleId="818" w:customStyle="1">
    <w:name w:val="标题 4 字符"/>
    <w:link w:val="806"/>
    <w:uiPriority w:val="9"/>
    <w:qFormat/>
    <w:rPr>
      <w:rFonts w:ascii="Arial" w:hAnsi="Arial" w:eastAsia="黑体" w:cs="Arial"/>
      <w:b/>
      <w:bCs/>
      <w:sz w:val="28"/>
      <w:szCs w:val="28"/>
    </w:rPr>
  </w:style>
  <w:style w:type="character" w:styleId="819" w:customStyle="1">
    <w:name w:val="标题 5 字符"/>
    <w:link w:val="807"/>
    <w:uiPriority w:val="9"/>
    <w:qFormat/>
    <w:rPr>
      <w:rFonts w:ascii="宋体" w:hAnsi="Times New Roman" w:eastAsia="宋体" w:cs="Times New Roman"/>
      <w:color w:val="000000"/>
      <w:sz w:val="28"/>
      <w:szCs w:val="28"/>
    </w:rPr>
  </w:style>
  <w:style w:type="character" w:styleId="820" w:customStyle="1">
    <w:name w:val="标题 6 字符"/>
    <w:link w:val="808"/>
    <w:uiPriority w:val="9"/>
    <w:qFormat/>
    <w:rPr>
      <w:rFonts w:ascii="Arial" w:hAnsi="Arial" w:eastAsia="黑体" w:cs="Times New Roman"/>
      <w:b/>
      <w:bCs/>
      <w:sz w:val="24"/>
      <w:szCs w:val="24"/>
    </w:rPr>
  </w:style>
  <w:style w:type="character" w:styleId="821" w:customStyle="1">
    <w:name w:val="标题 7 字符"/>
    <w:link w:val="809"/>
    <w:uiPriority w:val="9"/>
    <w:qFormat/>
    <w:rPr>
      <w:rFonts w:ascii="Times New Roman" w:hAnsi="Times New Roman" w:eastAsia="宋体" w:cs="Times New Roman"/>
      <w:b/>
      <w:bCs/>
      <w:sz w:val="24"/>
      <w:szCs w:val="24"/>
    </w:rPr>
  </w:style>
  <w:style w:type="character" w:styleId="822" w:customStyle="1">
    <w:name w:val="标题 8 字符"/>
    <w:link w:val="810"/>
    <w:uiPriority w:val="9"/>
    <w:qFormat/>
    <w:rPr>
      <w:rFonts w:ascii="Arial" w:hAnsi="Arial" w:eastAsia="黑体" w:cs="Times New Roman"/>
      <w:sz w:val="24"/>
      <w:szCs w:val="24"/>
    </w:rPr>
  </w:style>
  <w:style w:type="character" w:styleId="823" w:customStyle="1">
    <w:name w:val="标题 9 字符"/>
    <w:link w:val="811"/>
    <w:uiPriority w:val="9"/>
    <w:qFormat/>
    <w:rPr>
      <w:rFonts w:ascii="Arial" w:hAnsi="Arial" w:eastAsia="黑体" w:cs="Times New Roman"/>
      <w:szCs w:val="21"/>
    </w:rPr>
  </w:style>
  <w:style w:type="paragraph" w:styleId="824" w:customStyle="1">
    <w:name w:val="列表 311"/>
    <w:basedOn w:val="726"/>
    <w:qFormat/>
    <w:pPr>
      <w:ind w:left="100" w:hanging="200"/>
    </w:pPr>
    <w:rPr>
      <w:szCs w:val="21"/>
    </w:rPr>
  </w:style>
  <w:style w:type="paragraph" w:styleId="825" w:customStyle="1">
    <w:name w:val="文档结构图11"/>
    <w:basedOn w:val="726"/>
    <w:link w:val="826"/>
    <w:semiHidden/>
    <w:qFormat/>
    <w:pPr>
      <w:shd w:val="clear" w:color="auto" w:fill="000080"/>
    </w:pPr>
    <w:rPr>
      <w:szCs w:val="21"/>
    </w:rPr>
  </w:style>
  <w:style w:type="character" w:styleId="826" w:customStyle="1">
    <w:name w:val="文档结构图 字符"/>
    <w:link w:val="825"/>
    <w:semiHidden/>
    <w:qFormat/>
    <w:rPr>
      <w:rFonts w:ascii="Times New Roman" w:hAnsi="Times New Roman" w:eastAsia="宋体" w:cs="Times New Roman"/>
      <w:szCs w:val="21"/>
      <w:shd w:val="clear" w:color="auto" w:fill="000080"/>
    </w:rPr>
  </w:style>
  <w:style w:type="paragraph" w:styleId="827" w:customStyle="1">
    <w:name w:val="批注文字11"/>
    <w:basedOn w:val="726"/>
    <w:link w:val="828"/>
    <w:uiPriority w:val="99"/>
    <w:unhideWhenUsed/>
    <w:qFormat/>
    <w:pPr>
      <w:jc w:val="left"/>
    </w:pPr>
  </w:style>
  <w:style w:type="character" w:styleId="828" w:customStyle="1">
    <w:name w:val="批注文字 字符"/>
    <w:link w:val="827"/>
    <w:uiPriority w:val="99"/>
    <w:semiHidden/>
    <w:qFormat/>
  </w:style>
  <w:style w:type="paragraph" w:styleId="829" w:customStyle="1">
    <w:name w:val="正文文本 311"/>
    <w:basedOn w:val="726"/>
    <w:link w:val="830"/>
    <w:qFormat/>
    <w:rPr>
      <w:rFonts w:ascii="仿宋_GB2312" w:hAnsi="Arial" w:eastAsia="仿宋_GB2312"/>
      <w:sz w:val="32"/>
      <w:szCs w:val="32"/>
    </w:rPr>
  </w:style>
  <w:style w:type="character" w:styleId="830" w:customStyle="1">
    <w:name w:val="正文文本 3 字符"/>
    <w:link w:val="829"/>
    <w:qFormat/>
    <w:rPr>
      <w:rFonts w:ascii="仿宋_GB2312" w:hAnsi="Arial" w:eastAsia="仿宋_GB2312" w:cs="Times New Roman"/>
      <w:sz w:val="32"/>
      <w:szCs w:val="32"/>
    </w:rPr>
  </w:style>
  <w:style w:type="paragraph" w:styleId="831" w:customStyle="1">
    <w:name w:val="正文文本11"/>
    <w:basedOn w:val="726"/>
    <w:link w:val="832"/>
    <w:qFormat/>
    <w:rPr>
      <w:rFonts w:ascii="楷体_GB2312" w:hAnsi="Arial" w:eastAsia="楷体_GB2312"/>
      <w:sz w:val="28"/>
      <w:szCs w:val="28"/>
    </w:rPr>
  </w:style>
  <w:style w:type="character" w:styleId="832" w:customStyle="1">
    <w:name w:val="正文文本 字符"/>
    <w:link w:val="831"/>
    <w:qFormat/>
    <w:rPr>
      <w:rFonts w:ascii="楷体_GB2312" w:hAnsi="Arial" w:eastAsia="楷体_GB2312" w:cs="Times New Roman"/>
      <w:sz w:val="28"/>
      <w:szCs w:val="28"/>
    </w:rPr>
  </w:style>
  <w:style w:type="paragraph" w:styleId="833" w:customStyle="1">
    <w:name w:val="正文文本缩进111"/>
    <w:basedOn w:val="726"/>
    <w:link w:val="834"/>
    <w:unhideWhenUsed/>
    <w:qFormat/>
    <w:pPr>
      <w:ind w:left="420"/>
      <w:spacing w:after="120"/>
    </w:pPr>
  </w:style>
  <w:style w:type="character" w:styleId="834" w:customStyle="1">
    <w:name w:val="正文文本缩进 字符"/>
    <w:link w:val="833"/>
    <w:qFormat/>
  </w:style>
  <w:style w:type="paragraph" w:styleId="835" w:customStyle="1">
    <w:name w:val="列表 211"/>
    <w:basedOn w:val="726"/>
    <w:qFormat/>
    <w:pPr>
      <w:ind w:left="100" w:hanging="200"/>
    </w:pPr>
    <w:rPr>
      <w:szCs w:val="21"/>
    </w:rPr>
  </w:style>
  <w:style w:type="paragraph" w:styleId="836" w:customStyle="1">
    <w:name w:val="纯文本11"/>
    <w:basedOn w:val="726"/>
    <w:link w:val="837"/>
    <w:qFormat/>
    <w:rPr>
      <w:rFonts w:ascii="宋体" w:hAnsi="Courier New" w:cs="Courier New"/>
      <w:szCs w:val="21"/>
    </w:rPr>
  </w:style>
  <w:style w:type="character" w:styleId="837" w:customStyle="1">
    <w:name w:val="纯文本 字符"/>
    <w:link w:val="836"/>
    <w:qFormat/>
    <w:rPr>
      <w:rFonts w:ascii="宋体" w:hAnsi="Courier New" w:eastAsia="宋体" w:cs="Courier New"/>
      <w:szCs w:val="21"/>
    </w:rPr>
  </w:style>
  <w:style w:type="paragraph" w:styleId="838" w:customStyle="1">
    <w:name w:val="日期11"/>
    <w:basedOn w:val="726"/>
    <w:next w:val="726"/>
    <w:link w:val="839"/>
    <w:qFormat/>
    <w:rPr>
      <w:sz w:val="24"/>
      <w:szCs w:val="24"/>
    </w:rPr>
  </w:style>
  <w:style w:type="character" w:styleId="839" w:customStyle="1">
    <w:name w:val="日期 字符"/>
    <w:link w:val="838"/>
    <w:qFormat/>
    <w:rPr>
      <w:rFonts w:ascii="Times New Roman" w:hAnsi="Times New Roman" w:eastAsia="宋体" w:cs="Times New Roman"/>
      <w:sz w:val="24"/>
      <w:szCs w:val="24"/>
    </w:rPr>
  </w:style>
  <w:style w:type="paragraph" w:styleId="840" w:customStyle="1">
    <w:name w:val="正文文本缩进 211"/>
    <w:basedOn w:val="726"/>
    <w:link w:val="841"/>
    <w:qFormat/>
    <w:pPr>
      <w:ind w:left="630" w:firstLine="645"/>
    </w:pPr>
    <w:rPr>
      <w:rFonts w:ascii="Arial" w:hAnsi="Arial" w:eastAsia="仿宋_GB2312" w:cs="Arial"/>
      <w:sz w:val="32"/>
      <w:szCs w:val="32"/>
    </w:rPr>
  </w:style>
  <w:style w:type="character" w:styleId="841" w:customStyle="1">
    <w:name w:val="正文文本缩进 2 字符"/>
    <w:link w:val="840"/>
    <w:qFormat/>
    <w:rPr>
      <w:rFonts w:ascii="Arial" w:hAnsi="Arial" w:eastAsia="仿宋_GB2312" w:cs="Arial"/>
      <w:sz w:val="32"/>
      <w:szCs w:val="32"/>
    </w:rPr>
  </w:style>
  <w:style w:type="paragraph" w:styleId="842" w:customStyle="1">
    <w:name w:val="尾注文本1"/>
    <w:basedOn w:val="726"/>
    <w:link w:val="843"/>
    <w:uiPriority w:val="99"/>
    <w:unhideWhenUsed/>
    <w:qFormat/>
    <w:rPr>
      <w:sz w:val="20"/>
    </w:rPr>
  </w:style>
  <w:style w:type="character" w:styleId="843" w:customStyle="1">
    <w:name w:val="尾注文本 字符"/>
    <w:link w:val="842"/>
    <w:uiPriority w:val="99"/>
    <w:semiHidden/>
    <w:qFormat/>
    <w:rPr>
      <w:szCs w:val="22"/>
    </w:rPr>
  </w:style>
  <w:style w:type="paragraph" w:styleId="844" w:customStyle="1">
    <w:name w:val="批注框文本11"/>
    <w:basedOn w:val="726"/>
    <w:link w:val="845"/>
    <w:semiHidden/>
    <w:qFormat/>
    <w:rPr>
      <w:sz w:val="18"/>
      <w:szCs w:val="18"/>
    </w:rPr>
  </w:style>
  <w:style w:type="character" w:styleId="845" w:customStyle="1">
    <w:name w:val="批注框文本 字符"/>
    <w:link w:val="844"/>
    <w:semiHidden/>
    <w:qFormat/>
    <w:rPr>
      <w:rFonts w:ascii="Times New Roman" w:hAnsi="Times New Roman" w:eastAsia="宋体" w:cs="Times New Roman"/>
      <w:sz w:val="18"/>
      <w:szCs w:val="18"/>
    </w:rPr>
  </w:style>
  <w:style w:type="paragraph" w:styleId="846" w:customStyle="1">
    <w:name w:val="页脚11"/>
    <w:basedOn w:val="726"/>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rPr>
      <w:rFonts w:ascii="Times New Roman" w:hAnsi="Times New Roman" w:eastAsia="宋体" w:cs="Times New Roman"/>
      <w:sz w:val="18"/>
      <w:szCs w:val="18"/>
    </w:rPr>
  </w:style>
  <w:style w:type="paragraph" w:styleId="848" w:customStyle="1">
    <w:name w:val="页眉11"/>
    <w:basedOn w:val="726"/>
    <w:link w:val="849"/>
    <w:uiPriority w:val="99"/>
    <w:qFormat/>
    <w:pPr>
      <w:jc w:val="center"/>
      <w:tabs>
        <w:tab w:val="center" w:pos="4153" w:leader="none"/>
        <w:tab w:val="right" w:pos="8306" w:leader="none"/>
      </w:tabs>
      <w:pBdr>
        <w:bottom w:val="single" w:color="000000" w:sz="6" w:space="1"/>
      </w:pBdr>
    </w:pPr>
    <w:rPr>
      <w:sz w:val="18"/>
      <w:szCs w:val="18"/>
    </w:rPr>
  </w:style>
  <w:style w:type="character" w:styleId="849" w:customStyle="1">
    <w:name w:val="页眉 字符"/>
    <w:link w:val="848"/>
    <w:uiPriority w:val="99"/>
    <w:qFormat/>
    <w:rPr>
      <w:rFonts w:ascii="Times New Roman" w:hAnsi="Times New Roman" w:eastAsia="宋体" w:cs="Times New Roman"/>
      <w:sz w:val="18"/>
      <w:szCs w:val="18"/>
    </w:rPr>
  </w:style>
  <w:style w:type="paragraph" w:styleId="850" w:customStyle="1">
    <w:name w:val="副标题1"/>
    <w:basedOn w:val="726"/>
    <w:next w:val="726"/>
    <w:link w:val="851"/>
    <w:uiPriority w:val="11"/>
    <w:qFormat/>
    <w:pPr>
      <w:spacing w:before="200" w:after="200"/>
    </w:pPr>
    <w:rPr>
      <w:sz w:val="24"/>
      <w:szCs w:val="24"/>
    </w:rPr>
  </w:style>
  <w:style w:type="character" w:styleId="851" w:customStyle="1">
    <w:name w:val="副标题 字符"/>
    <w:link w:val="850"/>
    <w:uiPriority w:val="11"/>
    <w:qFormat/>
    <w:rPr>
      <w:sz w:val="24"/>
      <w:szCs w:val="24"/>
    </w:rPr>
  </w:style>
  <w:style w:type="paragraph" w:styleId="852" w:customStyle="1">
    <w:name w:val="列表11"/>
    <w:basedOn w:val="726"/>
    <w:qFormat/>
    <w:pPr>
      <w:ind w:left="200" w:hanging="200"/>
    </w:pPr>
    <w:rPr>
      <w:szCs w:val="21"/>
    </w:rPr>
  </w:style>
  <w:style w:type="paragraph" w:styleId="853" w:customStyle="1">
    <w:name w:val="脚注文本1"/>
    <w:basedOn w:val="726"/>
    <w:link w:val="854"/>
    <w:uiPriority w:val="99"/>
    <w:unhideWhenUsed/>
    <w:qFormat/>
    <w:pPr>
      <w:spacing w:after="40"/>
    </w:pPr>
    <w:rPr>
      <w:sz w:val="18"/>
    </w:rPr>
  </w:style>
  <w:style w:type="character" w:styleId="854" w:customStyle="1">
    <w:name w:val="脚注文本 字符"/>
    <w:link w:val="853"/>
    <w:uiPriority w:val="99"/>
    <w:semiHidden/>
    <w:qFormat/>
    <w:rPr>
      <w:sz w:val="18"/>
      <w:szCs w:val="22"/>
    </w:rPr>
  </w:style>
  <w:style w:type="paragraph" w:styleId="855" w:customStyle="1">
    <w:name w:val="正文文本缩进 311"/>
    <w:basedOn w:val="726"/>
    <w:link w:val="856"/>
    <w:qFormat/>
    <w:pPr>
      <w:ind w:left="645" w:firstLine="645"/>
    </w:pPr>
    <w:rPr>
      <w:rFonts w:ascii="Arial" w:hAnsi="Arial" w:eastAsia="仿宋_GB2312" w:cs="Arial"/>
      <w:color w:val="ffff00"/>
      <w:sz w:val="32"/>
      <w:szCs w:val="32"/>
    </w:rPr>
  </w:style>
  <w:style w:type="character" w:styleId="856" w:customStyle="1">
    <w:name w:val="正文文本缩进 3 字符"/>
    <w:link w:val="855"/>
    <w:qFormat/>
    <w:rPr>
      <w:rFonts w:ascii="Arial" w:hAnsi="Arial" w:eastAsia="仿宋_GB2312" w:cs="Arial"/>
      <w:color w:val="ffff00"/>
      <w:sz w:val="32"/>
      <w:szCs w:val="32"/>
    </w:rPr>
  </w:style>
  <w:style w:type="paragraph" w:styleId="857" w:customStyle="1">
    <w:name w:val="图表目录11"/>
    <w:basedOn w:val="726"/>
    <w:next w:val="726"/>
    <w:uiPriority w:val="99"/>
    <w:semiHidden/>
    <w:qFormat/>
    <w:pPr>
      <w:ind w:left="840" w:hanging="420"/>
    </w:pPr>
    <w:rPr>
      <w:szCs w:val="21"/>
    </w:rPr>
  </w:style>
  <w:style w:type="paragraph" w:styleId="858" w:customStyle="1">
    <w:name w:val="正文文本 211"/>
    <w:basedOn w:val="726"/>
    <w:link w:val="859"/>
    <w:qFormat/>
    <w:pPr>
      <w:jc w:val="center"/>
      <w:widowControl/>
    </w:pPr>
    <w:rPr>
      <w:rFonts w:ascii="楷体_GB2312" w:eastAsia="楷体_GB2312"/>
      <w:sz w:val="28"/>
      <w:szCs w:val="28"/>
    </w:rPr>
  </w:style>
  <w:style w:type="character" w:styleId="859" w:customStyle="1">
    <w:name w:val="正文文本 2 字符"/>
    <w:link w:val="858"/>
    <w:qFormat/>
    <w:rPr>
      <w:rFonts w:ascii="楷体_GB2312" w:hAnsi="Times New Roman" w:eastAsia="楷体_GB2312" w:cs="Times New Roman"/>
      <w:sz w:val="28"/>
      <w:szCs w:val="28"/>
    </w:rPr>
  </w:style>
  <w:style w:type="paragraph" w:styleId="860" w:customStyle="1">
    <w:name w:val="普通(网站)11"/>
    <w:basedOn w:val="726"/>
    <w:uiPriority w:val="99"/>
    <w:qFormat/>
    <w:pPr>
      <w:jc w:val="left"/>
      <w:spacing w:before="100" w:beforeAutospacing="1" w:after="100" w:afterAutospacing="1"/>
      <w:widowControl/>
    </w:pPr>
    <w:rPr>
      <w:rFonts w:ascii="宋体" w:hAnsi="宋体" w:cs="宋体"/>
      <w:sz w:val="24"/>
      <w:szCs w:val="24"/>
    </w:rPr>
  </w:style>
  <w:style w:type="paragraph" w:styleId="861" w:customStyle="1">
    <w:name w:val="索引 111"/>
    <w:basedOn w:val="726"/>
    <w:next w:val="726"/>
    <w:semiHidden/>
    <w:qFormat/>
    <w:pPr>
      <w:spacing w:line="240" w:lineRule="atLeast"/>
    </w:pPr>
    <w:rPr>
      <w:b/>
      <w:bCs/>
      <w:szCs w:val="21"/>
    </w:rPr>
  </w:style>
  <w:style w:type="paragraph" w:styleId="862" w:customStyle="1">
    <w:name w:val="标题11"/>
    <w:basedOn w:val="726"/>
    <w:next w:val="726"/>
    <w:link w:val="863"/>
    <w:uiPriority w:val="10"/>
    <w:qFormat/>
    <w:pPr>
      <w:contextualSpacing/>
      <w:spacing w:before="300" w:after="200"/>
    </w:pPr>
    <w:rPr>
      <w:sz w:val="48"/>
      <w:szCs w:val="48"/>
    </w:rPr>
  </w:style>
  <w:style w:type="character" w:styleId="863" w:customStyle="1">
    <w:name w:val="标题 字符"/>
    <w:link w:val="862"/>
    <w:uiPriority w:val="10"/>
    <w:qFormat/>
    <w:rPr>
      <w:sz w:val="48"/>
      <w:szCs w:val="48"/>
    </w:rPr>
  </w:style>
  <w:style w:type="paragraph" w:styleId="864" w:customStyle="1">
    <w:name w:val="批注主题11"/>
    <w:basedOn w:val="827"/>
    <w:next w:val="827"/>
    <w:link w:val="865"/>
    <w:semiHidden/>
    <w:qFormat/>
    <w:rPr>
      <w:b/>
      <w:bCs/>
      <w:szCs w:val="21"/>
    </w:rPr>
  </w:style>
  <w:style w:type="character" w:styleId="865" w:customStyle="1">
    <w:name w:val="批注主题 字符"/>
    <w:link w:val="864"/>
    <w:semiHidden/>
    <w:qFormat/>
    <w:rPr>
      <w:rFonts w:ascii="Times New Roman" w:hAnsi="Times New Roman" w:eastAsia="宋体" w:cs="Times New Roman"/>
      <w:b/>
      <w:bCs/>
      <w:szCs w:val="21"/>
    </w:rPr>
  </w:style>
  <w:style w:type="paragraph" w:styleId="866" w:customStyle="1">
    <w:name w:val="正文文本首行缩进1"/>
    <w:basedOn w:val="726"/>
    <w:link w:val="867"/>
    <w:qFormat/>
    <w:pPr>
      <w:ind w:firstLine="200"/>
      <w:spacing w:line="360" w:lineRule="auto"/>
    </w:pPr>
    <w:rPr>
      <w:rFonts w:ascii="仿宋_GB2312" w:eastAsia="仿宋_GB2312"/>
      <w:sz w:val="30"/>
      <w:szCs w:val="30"/>
    </w:rPr>
  </w:style>
  <w:style w:type="character" w:styleId="867" w:customStyle="1">
    <w:name w:val="正文文本首行缩进 字符"/>
    <w:link w:val="866"/>
    <w:qFormat/>
    <w:rPr>
      <w:rFonts w:ascii="仿宋_GB2312" w:hAnsi="Times New Roman" w:eastAsia="仿宋_GB2312" w:cs="Times New Roman"/>
      <w:sz w:val="30"/>
      <w:szCs w:val="30"/>
    </w:rPr>
  </w:style>
  <w:style w:type="paragraph" w:styleId="868" w:customStyle="1">
    <w:name w:val="正文文本首行缩进 21"/>
    <w:basedOn w:val="833"/>
    <w:link w:val="869"/>
    <w:qFormat/>
    <w:pPr>
      <w:ind w:left="0" w:firstLine="420"/>
      <w:spacing w:after="0" w:line="360" w:lineRule="auto"/>
    </w:pPr>
    <w:rPr>
      <w:rFonts w:ascii="宋体" w:hAnsi="宋体"/>
      <w:szCs w:val="20"/>
    </w:rPr>
  </w:style>
  <w:style w:type="character" w:styleId="869" w:customStyle="1">
    <w:name w:val="正文文本首行缩进 2 字符"/>
    <w:link w:val="868"/>
    <w:qFormat/>
    <w:rPr>
      <w:rFonts w:ascii="宋体" w:hAnsi="宋体" w:eastAsia="宋体" w:cs="Times New Roman"/>
      <w:szCs w:val="20"/>
    </w:rPr>
  </w:style>
  <w:style w:type="table" w:styleId="870" w:customStyle="1">
    <w:name w:val="网格型111"/>
    <w:basedOn w:val="813"/>
    <w:qFormat/>
    <w:pPr>
      <w:jc w:val="both"/>
      <w:widowControl w:val="off"/>
    </w:pPr>
    <w:tblPr>
      <w:tblCellMar>
        <w:left w:w="0" w:type="dxa"/>
        <w:top w:w="0" w:type="dxa"/>
        <w:right w:w="0" w:type="dxa"/>
        <w:bottom w:w="0" w:type="dxa"/>
      </w:tblCellMar>
    </w:tblPr>
  </w:style>
  <w:style w:type="character" w:styleId="871" w:customStyle="1">
    <w:name w:val="要点11"/>
    <w:uiPriority w:val="22"/>
    <w:qFormat/>
    <w:rPr>
      <w:b/>
      <w:bCs/>
    </w:rPr>
  </w:style>
  <w:style w:type="character" w:styleId="872" w:customStyle="1">
    <w:name w:val="尾注引用1"/>
    <w:uiPriority w:val="99"/>
    <w:unhideWhenUsed/>
    <w:qFormat/>
    <w:rPr>
      <w:vertAlign w:val="superscript"/>
    </w:rPr>
  </w:style>
  <w:style w:type="character" w:styleId="873" w:customStyle="1">
    <w:name w:val="页码11"/>
    <w:qFormat/>
  </w:style>
  <w:style w:type="character" w:styleId="874" w:customStyle="1">
    <w:name w:val="访问过的超链接1"/>
    <w:uiPriority w:val="99"/>
    <w:qFormat/>
    <w:rPr>
      <w:color w:val="800080"/>
      <w:u w:val="single"/>
    </w:rPr>
  </w:style>
  <w:style w:type="character" w:styleId="875" w:customStyle="1">
    <w:name w:val="强调1"/>
    <w:qFormat/>
    <w:rPr>
      <w:i/>
    </w:rPr>
  </w:style>
  <w:style w:type="character" w:styleId="876" w:customStyle="1">
    <w:name w:val="超链接11"/>
    <w:uiPriority w:val="99"/>
    <w:qFormat/>
    <w:rPr>
      <w:color w:val="0000ff"/>
      <w:u w:val="single"/>
    </w:rPr>
  </w:style>
  <w:style w:type="character" w:styleId="877" w:customStyle="1">
    <w:name w:val="批注引用11"/>
    <w:semiHidden/>
    <w:qFormat/>
    <w:rPr>
      <w:sz w:val="21"/>
      <w:szCs w:val="21"/>
    </w:rPr>
  </w:style>
  <w:style w:type="character" w:styleId="878" w:customStyle="1">
    <w:name w:val="脚注引用1"/>
    <w:uiPriority w:val="99"/>
    <w:unhideWhenUsed/>
    <w:qFormat/>
    <w:rPr>
      <w:vertAlign w:val="superscript"/>
    </w:rPr>
  </w:style>
  <w:style w:type="character" w:styleId="879" w:customStyle="1">
    <w:name w:val="二级目录 Char"/>
    <w:link w:val="880"/>
    <w:qFormat/>
    <w:rPr>
      <w:b/>
      <w:sz w:val="30"/>
      <w:szCs w:val="28"/>
    </w:rPr>
  </w:style>
  <w:style w:type="paragraph" w:styleId="880" w:customStyle="1">
    <w:name w:val="二级目录"/>
    <w:next w:val="726"/>
    <w:link w:val="879"/>
    <w:qFormat/>
    <w:pPr>
      <w:ind w:left="907" w:hanging="907"/>
      <w:tabs>
        <w:tab w:val="left" w:pos="907" w:leader="none"/>
        <w:tab w:val="left" w:pos="1145" w:leader="none"/>
      </w:tabs>
      <w:outlineLvl w:val="1"/>
    </w:pPr>
    <w:rPr>
      <w:b/>
      <w:sz w:val="30"/>
      <w:szCs w:val="28"/>
    </w:rPr>
  </w:style>
  <w:style w:type="character" w:styleId="881" w:customStyle="1">
    <w:name w:val="font5 Char"/>
    <w:qFormat/>
    <w:rPr>
      <w:rFonts w:ascii="宋体" w:hAnsi="宋体" w:eastAsia="宋体"/>
      <w:sz w:val="28"/>
      <w:szCs w:val="28"/>
      <w:lang w:val="en-US" w:eastAsia="zh-CN" w:bidi="ar-SA"/>
    </w:rPr>
  </w:style>
  <w:style w:type="character" w:styleId="882" w:customStyle="1">
    <w:name w:val="无"/>
    <w:qFormat/>
  </w:style>
  <w:style w:type="character" w:styleId="883" w:customStyle="1">
    <w:name w:val="列出段落 Char"/>
    <w:link w:val="884"/>
    <w:qFormat/>
    <w:rPr>
      <w:rFonts w:ascii="Calibri" w:hAnsi="Calibri"/>
      <w:sz w:val="24"/>
      <w:szCs w:val="24"/>
      <w:lang w:eastAsia="en-US" w:bidi="en-US"/>
    </w:rPr>
  </w:style>
  <w:style w:type="paragraph" w:styleId="884" w:customStyle="1">
    <w:name w:val="列出段落1"/>
    <w:basedOn w:val="726"/>
    <w:link w:val="883"/>
    <w:qFormat/>
    <w:pPr>
      <w:contextualSpacing/>
      <w:ind w:left="720"/>
      <w:jc w:val="left"/>
      <w:widowControl/>
    </w:pPr>
    <w:rPr>
      <w:rFonts w:ascii="Calibri" w:hAnsi="Calibri"/>
      <w:sz w:val="24"/>
      <w:szCs w:val="24"/>
      <w:lang w:eastAsia="en-US" w:bidi="en-US"/>
    </w:rPr>
  </w:style>
  <w:style w:type="paragraph" w:styleId="885" w:customStyle="1">
    <w:name w:val="Char"/>
    <w:basedOn w:val="726"/>
    <w:qFormat/>
    <w:pPr>
      <w:ind w:firstLine="200"/>
      <w:tabs>
        <w:tab w:val="left" w:pos="360" w:leader="none"/>
      </w:tabs>
    </w:pPr>
    <w:rPr>
      <w:sz w:val="28"/>
      <w:szCs w:val="30"/>
    </w:rPr>
  </w:style>
  <w:style w:type="paragraph" w:styleId="886" w:customStyle="1">
    <w:name w:val="标题3"/>
    <w:basedOn w:val="726"/>
    <w:next w:val="726"/>
    <w:qFormat/>
    <w:pPr>
      <w:ind w:firstLine="624"/>
      <w:spacing w:line="590" w:lineRule="atLeast"/>
    </w:pPr>
    <w:rPr>
      <w:rFonts w:ascii="方正黑体_GBK" w:eastAsia="方正黑体_GBK"/>
      <w:sz w:val="32"/>
      <w:szCs w:val="32"/>
    </w:rPr>
  </w:style>
  <w:style w:type="paragraph" w:styleId="887" w:customStyle="1">
    <w:name w:val="table_1stline"/>
    <w:basedOn w:val="726"/>
    <w:qFormat/>
    <w:pPr>
      <w:jc w:val="left"/>
      <w:spacing w:before="120"/>
      <w:widowControl/>
    </w:pPr>
    <w:rPr>
      <w:bCs/>
      <w:sz w:val="20"/>
      <w:szCs w:val="20"/>
      <w:lang w:val="de-DE" w:eastAsia="de-DE"/>
    </w:rPr>
  </w:style>
  <w:style w:type="paragraph" w:styleId="888" w:customStyle="1">
    <w:name w:val="table_lines"/>
    <w:basedOn w:val="726"/>
    <w:qFormat/>
    <w:pPr>
      <w:jc w:val="left"/>
      <w:widowControl/>
    </w:pPr>
    <w:rPr>
      <w:sz w:val="20"/>
      <w:szCs w:val="20"/>
      <w:lang w:val="de-DE" w:eastAsia="de-DE"/>
    </w:rPr>
  </w:style>
  <w:style w:type="paragraph" w:styleId="889" w:customStyle="1">
    <w:name w:val="列表段落1"/>
    <w:basedOn w:val="726"/>
    <w:uiPriority w:val="34"/>
    <w:qFormat/>
    <w:pPr>
      <w:contextualSpacing/>
      <w:ind w:left="720"/>
      <w:jc w:val="left"/>
      <w:widowControl/>
    </w:pPr>
    <w:rPr>
      <w:rFonts w:ascii="Calibri" w:hAnsi="Calibri"/>
      <w:sz w:val="24"/>
      <w:szCs w:val="24"/>
      <w:lang w:eastAsia="en-US" w:bidi="en-US"/>
    </w:rPr>
  </w:style>
  <w:style w:type="paragraph" w:styleId="890" w:customStyle="1">
    <w:name w:val="xl25"/>
    <w:basedOn w:val="72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1" w:customStyle="1">
    <w:name w:val="普通正文"/>
    <w:basedOn w:val="726"/>
    <w:qFormat/>
    <w:pPr>
      <w:ind w:firstLine="480"/>
      <w:jc w:val="left"/>
      <w:spacing w:before="120" w:after="120" w:line="360" w:lineRule="auto"/>
    </w:pPr>
    <w:rPr>
      <w:rFonts w:ascii="Arial" w:hAnsi="Arial"/>
      <w:sz w:val="24"/>
      <w:szCs w:val="24"/>
    </w:rPr>
  </w:style>
  <w:style w:type="paragraph" w:styleId="892" w:customStyle="1">
    <w:name w:val="font7"/>
    <w:basedOn w:val="726"/>
    <w:qFormat/>
    <w:pPr>
      <w:jc w:val="left"/>
      <w:spacing w:before="100" w:beforeAutospacing="1" w:after="100" w:afterAutospacing="1"/>
      <w:widowControl/>
    </w:pPr>
    <w:rPr>
      <w:rFonts w:hint="eastAsia" w:ascii="宋体" w:hAnsi="宋体"/>
      <w:sz w:val="18"/>
      <w:szCs w:val="18"/>
    </w:rPr>
  </w:style>
  <w:style w:type="paragraph" w:styleId="893" w:customStyle="1">
    <w:name w:val="font5"/>
    <w:basedOn w:val="726"/>
    <w:qFormat/>
    <w:pPr>
      <w:jc w:val="left"/>
      <w:spacing w:before="100" w:beforeAutospacing="1" w:after="100" w:afterAutospacing="1"/>
      <w:widowControl/>
    </w:pPr>
    <w:rPr>
      <w:rFonts w:hint="eastAsia" w:ascii="宋体" w:hAnsi="宋体"/>
      <w:sz w:val="28"/>
      <w:szCs w:val="28"/>
    </w:rPr>
  </w:style>
  <w:style w:type="paragraph" w:styleId="894" w:customStyle="1">
    <w:name w:val="xl30"/>
    <w:basedOn w:val="726"/>
    <w:qFormat/>
    <w:pPr>
      <w:jc w:val="center"/>
      <w:spacing w:before="100" w:beforeAutospacing="1" w:after="100" w:afterAutospacing="1"/>
      <w:widowControl/>
    </w:pPr>
    <w:rPr>
      <w:rFonts w:ascii="宋体" w:hAnsi="宋体"/>
      <w:b/>
      <w:bCs/>
      <w:sz w:val="36"/>
      <w:szCs w:val="36"/>
    </w:rPr>
  </w:style>
  <w:style w:type="paragraph" w:styleId="895" w:customStyle="1">
    <w:name w:val="Char"/>
    <w:basedOn w:val="825"/>
    <w:rPr>
      <w:rFonts w:ascii="Tahoma" w:hAnsi="Tahoma"/>
      <w:sz w:val="24"/>
      <w:szCs w:val="24"/>
    </w:rPr>
  </w:style>
  <w:style w:type="paragraph" w:styleId="896" w:customStyle="1">
    <w:name w:val="附录1"/>
    <w:qFormat/>
    <w:pPr>
      <w:numPr>
        <w:numId w:val="2"/>
      </w:numPr>
      <w:spacing w:before="240" w:line="600" w:lineRule="atLeast"/>
    </w:pPr>
    <w:rPr>
      <w:b/>
      <w:i/>
      <w:sz w:val="28"/>
    </w:rPr>
  </w:style>
  <w:style w:type="paragraph" w:styleId="897" w:customStyle="1">
    <w:name w:val="xl26"/>
    <w:basedOn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8" w:customStyle="1">
    <w:name w:val="xl28"/>
    <w:basedOn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99"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900" w:customStyle="1">
    <w:name w:val="Char Char Char Char"/>
    <w:basedOn w:val="825"/>
    <w:qFormat/>
    <w:pPr>
      <w:spacing w:line="360" w:lineRule="auto"/>
    </w:pPr>
    <w:rPr>
      <w:rFonts w:ascii="Tahoma" w:hAnsi="Tahoma"/>
      <w:sz w:val="24"/>
      <w:szCs w:val="24"/>
    </w:rPr>
  </w:style>
  <w:style w:type="paragraph" w:styleId="901" w:customStyle="1">
    <w:name w:val="Char Char Char Char Char Char Char Char Char Char"/>
    <w:basedOn w:val="726"/>
    <w:pPr>
      <w:spacing w:line="360" w:lineRule="auto"/>
    </w:pPr>
    <w:rPr>
      <w:sz w:val="24"/>
      <w:szCs w:val="20"/>
    </w:rPr>
  </w:style>
  <w:style w:type="paragraph" w:styleId="902" w:customStyle="1">
    <w:name w:val="无间隔1"/>
    <w:uiPriority w:val="1"/>
    <w:qFormat/>
    <w:pPr>
      <w:jc w:val="both"/>
      <w:widowControl w:val="off"/>
    </w:pPr>
    <w:rPr>
      <w:sz w:val="21"/>
      <w:szCs w:val="21"/>
    </w:rPr>
  </w:style>
  <w:style w:type="paragraph" w:styleId="903" w:customStyle="1">
    <w:name w:val="修订1"/>
    <w:uiPriority w:val="99"/>
    <w:semiHidden/>
    <w:qFormat/>
    <w:rPr>
      <w:sz w:val="21"/>
      <w:szCs w:val="21"/>
    </w:rPr>
  </w:style>
  <w:style w:type="paragraph" w:styleId="904" w:customStyle="1">
    <w:name w:val="Body Text(ch)"/>
    <w:basedOn w:val="726"/>
    <w:next w:val="831"/>
    <w:qFormat/>
    <w:pPr>
      <w:spacing w:after="120"/>
    </w:pPr>
    <w:rPr>
      <w:rFonts w:ascii="宋体" w:hAnsi="Arial"/>
      <w:bCs/>
      <w:iCs/>
      <w:szCs w:val="24"/>
    </w:rPr>
  </w:style>
  <w:style w:type="paragraph" w:styleId="905" w:customStyle="1">
    <w:name w:val="Char Char Char Char"/>
    <w:basedOn w:val="825"/>
    <w:qFormat/>
    <w:pPr>
      <w:spacing w:line="360" w:lineRule="auto"/>
    </w:pPr>
    <w:rPr>
      <w:rFonts w:ascii="Tahoma" w:hAnsi="Tahoma"/>
      <w:sz w:val="24"/>
      <w:szCs w:val="24"/>
    </w:rPr>
  </w:style>
  <w:style w:type="paragraph" w:styleId="906" w:customStyle="1">
    <w:name w:val="标题1"/>
    <w:basedOn w:val="726"/>
    <w:next w:val="7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07" w:customStyle="1">
    <w:name w:val="xl27"/>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8"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909" w:customStyle="1">
    <w:name w:val="4"/>
    <w:basedOn w:val="726"/>
    <w:next w:val="855"/>
    <w:qFormat/>
    <w:pPr>
      <w:ind w:firstLine="420"/>
      <w:spacing w:line="360" w:lineRule="auto"/>
    </w:pPr>
    <w:rPr>
      <w:color w:val="ff0000"/>
      <w:sz w:val="24"/>
      <w:szCs w:val="24"/>
    </w:rPr>
  </w:style>
  <w:style w:type="paragraph" w:styleId="910" w:customStyle="1">
    <w:name w:val="普通 (Web)"/>
    <w:basedOn w:val="726"/>
    <w:qFormat/>
    <w:pPr>
      <w:jc w:val="left"/>
      <w:spacing w:before="100" w:beforeAutospacing="1" w:after="100" w:afterAutospacing="1"/>
      <w:widowControl/>
    </w:pPr>
    <w:rPr>
      <w:rFonts w:ascii="宋体" w:hAnsi="宋体"/>
      <w:sz w:val="24"/>
      <w:szCs w:val="24"/>
    </w:rPr>
  </w:style>
  <w:style w:type="paragraph" w:styleId="911" w:customStyle="1">
    <w:name w:val="样式1"/>
    <w:basedOn w:val="726"/>
    <w:qFormat/>
    <w:pPr>
      <w:numPr>
        <w:numId w:val="3"/>
      </w:numPr>
    </w:pPr>
    <w:rPr>
      <w:rFonts w:ascii="宋体" w:hAnsi="宋体"/>
      <w:szCs w:val="21"/>
    </w:rPr>
  </w:style>
  <w:style w:type="paragraph" w:styleId="912" w:customStyle="1">
    <w:name w:val="font6"/>
    <w:basedOn w:val="726"/>
    <w:qFormat/>
    <w:pPr>
      <w:jc w:val="left"/>
      <w:spacing w:before="100" w:beforeAutospacing="1" w:after="100" w:afterAutospacing="1"/>
      <w:widowControl/>
    </w:pPr>
    <w:rPr>
      <w:rFonts w:hint="eastAsia" w:ascii="宋体" w:hAnsi="宋体"/>
      <w:sz w:val="28"/>
      <w:szCs w:val="28"/>
      <w:u w:val="single"/>
    </w:rPr>
  </w:style>
  <w:style w:type="paragraph" w:styleId="913" w:customStyle="1">
    <w:name w:val="图标"/>
    <w:basedOn w:val="726"/>
    <w:next w:val="72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4" w:customStyle="1">
    <w:name w:val="xl24"/>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5" w:customStyle="1">
    <w:name w:val="xl29"/>
    <w:basedOn w:val="72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6" w:customStyle="1">
    <w:name w:val="AONormal"/>
    <w:qFormat/>
    <w:pPr>
      <w:ind w:firstLine="440"/>
      <w:spacing w:line="400" w:lineRule="exact"/>
    </w:pPr>
    <w:rPr>
      <w:rFonts w:ascii="华文楷体" w:hAnsi="华文楷体" w:eastAsia="华文楷体" w:cs="华文楷体"/>
      <w:sz w:val="22"/>
      <w:szCs w:val="21"/>
    </w:rPr>
  </w:style>
  <w:style w:type="paragraph" w:styleId="917" w:customStyle="1">
    <w:name w:val="标题 21"/>
    <w:basedOn w:val="726"/>
    <w:next w:val="726"/>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18" w:customStyle="1">
    <w:name w:val="正文文本1"/>
    <w:basedOn w:val="726"/>
    <w:qFormat/>
    <w:rPr>
      <w:rFonts w:ascii="楷体_GB2312" w:hAnsi="Arial" w:eastAsia="楷体_GB2312"/>
      <w:sz w:val="28"/>
      <w:szCs w:val="28"/>
    </w:rPr>
  </w:style>
  <w:style w:type="paragraph" w:styleId="919" w:customStyle="1">
    <w:name w:val="正文文本缩进1"/>
    <w:basedOn w:val="726"/>
    <w:unhideWhenUsed/>
    <w:qFormat/>
    <w:pPr>
      <w:ind w:left="420"/>
      <w:spacing w:after="120"/>
    </w:pPr>
  </w:style>
  <w:style w:type="paragraph" w:styleId="920" w:customStyle="1">
    <w:name w:val="纯文本1"/>
    <w:basedOn w:val="726"/>
    <w:qFormat/>
    <w:rPr>
      <w:rFonts w:ascii="宋体" w:hAnsi="Courier New" w:cs="Courier New"/>
      <w:szCs w:val="21"/>
    </w:rPr>
  </w:style>
  <w:style w:type="paragraph" w:styleId="921" w:customStyle="1">
    <w:name w:val="msonormal"/>
    <w:basedOn w:val="726"/>
    <w:qFormat/>
    <w:pPr>
      <w:jc w:val="left"/>
      <w:spacing w:before="100" w:beforeAutospacing="1" w:after="100" w:afterAutospacing="1"/>
      <w:widowControl/>
    </w:pPr>
    <w:rPr>
      <w:rFonts w:ascii="宋体" w:hAnsi="宋体" w:cs="宋体"/>
      <w:sz w:val="24"/>
      <w:szCs w:val="24"/>
    </w:rPr>
  </w:style>
  <w:style w:type="paragraph" w:styleId="922" w:customStyle="1">
    <w:name w:val="题注1"/>
    <w:basedOn w:val="726"/>
    <w:next w:val="726"/>
    <w:uiPriority w:val="35"/>
    <w:unhideWhenUsed/>
    <w:qFormat/>
    <w:pPr>
      <w:spacing w:line="276" w:lineRule="auto"/>
    </w:pPr>
    <w:rPr>
      <w:b/>
      <w:bCs/>
      <w:color w:val="4f81bd"/>
      <w:sz w:val="18"/>
      <w:szCs w:val="18"/>
    </w:rPr>
  </w:style>
  <w:style w:type="paragraph" w:styleId="923" w:customStyle="1">
    <w:name w:val="引用1"/>
    <w:basedOn w:val="726"/>
    <w:next w:val="726"/>
    <w:link w:val="924"/>
    <w:uiPriority w:val="29"/>
    <w:qFormat/>
    <w:pPr>
      <w:ind w:left="720" w:right="720"/>
    </w:pPr>
    <w:rPr>
      <w:i/>
    </w:rPr>
  </w:style>
  <w:style w:type="character" w:styleId="924" w:customStyle="1">
    <w:name w:val="引用 字符"/>
    <w:link w:val="923"/>
    <w:uiPriority w:val="29"/>
    <w:qFormat/>
    <w:rPr>
      <w:i/>
      <w:sz w:val="21"/>
      <w:szCs w:val="22"/>
    </w:rPr>
  </w:style>
  <w:style w:type="paragraph" w:styleId="925" w:customStyle="1">
    <w:name w:val="明显引用1"/>
    <w:basedOn w:val="726"/>
    <w:next w:val="72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sz w:val="21"/>
      <w:szCs w:val="22"/>
      <w:shd w:val="clear" w:color="auto" w:fill="f2f2f2"/>
    </w:rPr>
  </w:style>
  <w:style w:type="paragraph" w:styleId="927" w:customStyle="1">
    <w:name w:val="索引 41"/>
    <w:basedOn w:val="726"/>
    <w:next w:val="726"/>
    <w:semiHidden/>
    <w:qFormat/>
    <w:pPr>
      <w:ind w:left="1260"/>
    </w:pPr>
    <w:rPr>
      <w:rFonts w:ascii="Calibri" w:hAnsi="Calibri" w:eastAsia="Calibri" w:cs="宋体"/>
      <w:sz w:val="20"/>
      <w:lang w:val="zh-CN"/>
    </w:rPr>
  </w:style>
  <w:style w:type="paragraph" w:styleId="928" w:customStyle="1">
    <w:name w:val="TOC 标题1"/>
    <w:uiPriority w:val="39"/>
    <w:qFormat/>
  </w:style>
  <w:style w:type="paragraph" w:styleId="929" w:customStyle="1">
    <w:name w:val="标题 11"/>
    <w:basedOn w:val="726"/>
    <w:next w:val="726"/>
    <w:uiPriority w:val="9"/>
    <w:qFormat/>
    <w:pPr>
      <w:jc w:val="center"/>
      <w:keepNext/>
      <w:outlineLvl w:val="0"/>
    </w:pPr>
    <w:rPr>
      <w:rFonts w:ascii="Arial" w:hAnsi="Arial" w:eastAsia="黑体"/>
      <w:color w:val="365f91"/>
      <w:sz w:val="48"/>
      <w:szCs w:val="48"/>
    </w:rPr>
  </w:style>
  <w:style w:type="paragraph" w:styleId="930" w:customStyle="1">
    <w:name w:val="正文缩进1"/>
    <w:basedOn w:val="726"/>
    <w:qFormat/>
    <w:pPr>
      <w:ind w:firstLine="420"/>
    </w:pPr>
    <w:rPr>
      <w:szCs w:val="21"/>
    </w:rPr>
  </w:style>
  <w:style w:type="paragraph" w:styleId="931" w:customStyle="1">
    <w:name w:val="标题 31"/>
    <w:basedOn w:val="726"/>
    <w:next w:val="930"/>
    <w:uiPriority w:val="9"/>
    <w:qFormat/>
    <w:pPr>
      <w:keepLines/>
      <w:keepNext/>
      <w:spacing w:before="260" w:after="260" w:line="415" w:lineRule="auto"/>
      <w:outlineLvl w:val="2"/>
    </w:pPr>
    <w:rPr>
      <w:rFonts w:ascii="Arial" w:hAnsi="Arial" w:eastAsia="黑体"/>
      <w:color w:val="365f91"/>
      <w:sz w:val="32"/>
      <w:szCs w:val="32"/>
    </w:rPr>
  </w:style>
  <w:style w:type="paragraph" w:styleId="932" w:customStyle="1">
    <w:name w:val="标题 41"/>
    <w:basedOn w:val="726"/>
    <w:next w:val="930"/>
    <w:uiPriority w:val="9"/>
    <w:qFormat/>
    <w:pPr>
      <w:keepLines/>
      <w:keepNext/>
      <w:spacing w:before="280" w:after="290" w:line="374" w:lineRule="auto"/>
      <w:outlineLvl w:val="3"/>
    </w:pPr>
    <w:rPr>
      <w:rFonts w:ascii="Arial" w:hAnsi="Arial"/>
      <w:color w:val="365f91"/>
      <w:sz w:val="28"/>
      <w:szCs w:val="28"/>
    </w:rPr>
  </w:style>
  <w:style w:type="paragraph" w:styleId="933" w:customStyle="1">
    <w:name w:val="标题 51"/>
    <w:basedOn w:val="726"/>
    <w:next w:val="930"/>
    <w:uiPriority w:val="9"/>
    <w:qFormat/>
    <w:pPr>
      <w:keepNext/>
      <w:outlineLvl w:val="4"/>
    </w:pPr>
    <w:rPr>
      <w:rFonts w:ascii="Arial" w:hAnsi="Arial"/>
      <w:color w:val="365f91"/>
      <w:sz w:val="24"/>
      <w:szCs w:val="24"/>
    </w:rPr>
  </w:style>
  <w:style w:type="paragraph" w:styleId="934" w:customStyle="1">
    <w:name w:val="标题 61"/>
    <w:basedOn w:val="726"/>
    <w:next w:val="726"/>
    <w:uiPriority w:val="9"/>
    <w:qFormat/>
    <w:pPr>
      <w:numPr>
        <w:ilvl w:val="5"/>
        <w:numId w:val="4"/>
      </w:numPr>
      <w:keepLines/>
      <w:keepNext/>
      <w:spacing w:before="240" w:after="64" w:line="319" w:lineRule="auto"/>
      <w:outlineLvl w:val="5"/>
    </w:pPr>
    <w:rPr>
      <w:rFonts w:ascii="Arial" w:hAnsi="Arial"/>
      <w:b/>
      <w:bCs/>
      <w:color w:val="365f91"/>
    </w:rPr>
  </w:style>
  <w:style w:type="paragraph" w:styleId="935" w:customStyle="1">
    <w:name w:val="标题 71"/>
    <w:basedOn w:val="726"/>
    <w:next w:val="726"/>
    <w:uiPriority w:val="9"/>
    <w:qFormat/>
    <w:pPr>
      <w:numPr>
        <w:ilvl w:val="6"/>
        <w:numId w:val="4"/>
      </w:numPr>
      <w:keepLines/>
      <w:keepNext/>
      <w:spacing w:before="240" w:after="64" w:line="319" w:lineRule="auto"/>
      <w:outlineLvl w:val="6"/>
    </w:pPr>
    <w:rPr>
      <w:rFonts w:ascii="Arial" w:hAnsi="Arial"/>
      <w:b/>
      <w:bCs/>
      <w:color w:val="595959"/>
    </w:rPr>
  </w:style>
  <w:style w:type="paragraph" w:styleId="936" w:customStyle="1">
    <w:name w:val="标题 81"/>
    <w:basedOn w:val="726"/>
    <w:next w:val="726"/>
    <w:uiPriority w:val="9"/>
    <w:qFormat/>
    <w:pPr>
      <w:numPr>
        <w:ilvl w:val="7"/>
        <w:numId w:val="4"/>
      </w:numPr>
      <w:keepLines/>
      <w:keepNext/>
      <w:spacing w:before="240" w:after="64" w:line="319" w:lineRule="auto"/>
      <w:outlineLvl w:val="7"/>
    </w:pPr>
    <w:rPr>
      <w:rFonts w:ascii="Arial" w:hAnsi="Arial"/>
      <w:color w:val="595959"/>
    </w:rPr>
  </w:style>
  <w:style w:type="paragraph" w:styleId="937" w:customStyle="1">
    <w:name w:val="标题 91"/>
    <w:basedOn w:val="726"/>
    <w:next w:val="726"/>
    <w:uiPriority w:val="9"/>
    <w:qFormat/>
    <w:pPr>
      <w:numPr>
        <w:ilvl w:val="8"/>
        <w:numId w:val="4"/>
      </w:numPr>
      <w:keepLines/>
      <w:keepNext/>
      <w:spacing w:before="240" w:after="64" w:line="319" w:lineRule="auto"/>
      <w:outlineLvl w:val="8"/>
    </w:pPr>
    <w:rPr>
      <w:rFonts w:ascii="Arial" w:hAnsi="Arial" w:eastAsia="黑体"/>
      <w:color w:val="595959"/>
    </w:rPr>
  </w:style>
  <w:style w:type="paragraph" w:styleId="938" w:customStyle="1">
    <w:name w:val="列表 31"/>
    <w:basedOn w:val="726"/>
    <w:qFormat/>
    <w:pPr>
      <w:ind w:left="100" w:hanging="200"/>
    </w:pPr>
    <w:rPr>
      <w:szCs w:val="21"/>
    </w:rPr>
  </w:style>
  <w:style w:type="paragraph" w:styleId="939" w:customStyle="1">
    <w:name w:val="目录 71"/>
    <w:basedOn w:val="726"/>
    <w:next w:val="726"/>
    <w:semiHidden/>
    <w:qFormat/>
    <w:pPr>
      <w:ind w:left="1260"/>
      <w:jc w:val="left"/>
    </w:pPr>
    <w:rPr>
      <w:szCs w:val="21"/>
    </w:rPr>
  </w:style>
  <w:style w:type="paragraph" w:styleId="940" w:customStyle="1">
    <w:name w:val="文档结构图1"/>
    <w:basedOn w:val="726"/>
    <w:semiHidden/>
    <w:qFormat/>
    <w:pPr>
      <w:shd w:val="clear" w:color="auto" w:fill="000080"/>
    </w:pPr>
    <w:rPr>
      <w:szCs w:val="21"/>
    </w:rPr>
  </w:style>
  <w:style w:type="paragraph" w:styleId="941" w:customStyle="1">
    <w:name w:val="批注文字1"/>
    <w:basedOn w:val="726"/>
    <w:qFormat/>
    <w:pPr>
      <w:jc w:val="left"/>
    </w:pPr>
  </w:style>
  <w:style w:type="paragraph" w:styleId="942" w:customStyle="1">
    <w:name w:val="正文文本 31"/>
    <w:basedOn w:val="726"/>
    <w:qFormat/>
    <w:rPr>
      <w:rFonts w:hint="eastAsia" w:ascii="仿宋_GB2312" w:hAnsi="Arial" w:eastAsia="仿宋_GB2312"/>
      <w:sz w:val="32"/>
      <w:szCs w:val="32"/>
    </w:rPr>
  </w:style>
  <w:style w:type="paragraph" w:styleId="943" w:customStyle="1">
    <w:name w:val="列表 21"/>
    <w:basedOn w:val="726"/>
    <w:qFormat/>
    <w:pPr>
      <w:ind w:left="100" w:hanging="200"/>
    </w:pPr>
    <w:rPr>
      <w:szCs w:val="21"/>
    </w:rPr>
  </w:style>
  <w:style w:type="paragraph" w:styleId="944" w:customStyle="1">
    <w:name w:val="目录 51"/>
    <w:basedOn w:val="726"/>
    <w:next w:val="726"/>
    <w:semiHidden/>
    <w:qFormat/>
    <w:pPr>
      <w:ind w:left="840"/>
      <w:jc w:val="left"/>
    </w:pPr>
    <w:rPr>
      <w:szCs w:val="21"/>
    </w:rPr>
  </w:style>
  <w:style w:type="paragraph" w:styleId="945" w:customStyle="1">
    <w:name w:val="目录 31"/>
    <w:basedOn w:val="726"/>
    <w:next w:val="726"/>
    <w:semiHidden/>
    <w:qFormat/>
    <w:pPr>
      <w:ind w:left="420"/>
      <w:jc w:val="left"/>
    </w:pPr>
    <w:rPr>
      <w:i/>
      <w:iCs/>
      <w:szCs w:val="24"/>
    </w:rPr>
  </w:style>
  <w:style w:type="paragraph" w:styleId="946" w:customStyle="1">
    <w:name w:val="目录 81"/>
    <w:basedOn w:val="726"/>
    <w:next w:val="726"/>
    <w:semiHidden/>
    <w:qFormat/>
    <w:pPr>
      <w:ind w:left="1470"/>
      <w:jc w:val="left"/>
    </w:pPr>
    <w:rPr>
      <w:szCs w:val="21"/>
    </w:rPr>
  </w:style>
  <w:style w:type="paragraph" w:styleId="947" w:customStyle="1">
    <w:name w:val="日期1"/>
    <w:basedOn w:val="726"/>
    <w:next w:val="726"/>
    <w:qFormat/>
    <w:rPr>
      <w:sz w:val="24"/>
      <w:szCs w:val="24"/>
    </w:rPr>
  </w:style>
  <w:style w:type="paragraph" w:styleId="948" w:customStyle="1">
    <w:name w:val="正文文本缩进 21"/>
    <w:basedOn w:val="726"/>
    <w:qFormat/>
    <w:pPr>
      <w:ind w:left="630" w:firstLine="645"/>
    </w:pPr>
    <w:rPr>
      <w:rFonts w:ascii="Arial" w:hAnsi="Arial" w:eastAsia="仿宋_GB2312" w:cs="Arial"/>
      <w:sz w:val="32"/>
      <w:szCs w:val="32"/>
    </w:rPr>
  </w:style>
  <w:style w:type="paragraph" w:styleId="949" w:customStyle="1">
    <w:name w:val="批注框文本1"/>
    <w:basedOn w:val="726"/>
    <w:semiHidden/>
    <w:qFormat/>
    <w:rPr>
      <w:sz w:val="18"/>
      <w:szCs w:val="18"/>
    </w:rPr>
  </w:style>
  <w:style w:type="paragraph" w:styleId="950" w:customStyle="1">
    <w:name w:val="页脚1"/>
    <w:basedOn w:val="726"/>
    <w:uiPriority w:val="99"/>
    <w:qFormat/>
    <w:pPr>
      <w:jc w:val="left"/>
      <w:tabs>
        <w:tab w:val="center" w:pos="4153" w:leader="none"/>
        <w:tab w:val="right" w:pos="8306" w:leader="none"/>
      </w:tabs>
    </w:pPr>
    <w:rPr>
      <w:sz w:val="18"/>
      <w:szCs w:val="18"/>
    </w:rPr>
  </w:style>
  <w:style w:type="paragraph" w:styleId="951" w:customStyle="1">
    <w:name w:val="页眉1"/>
    <w:basedOn w:val="726"/>
    <w:uiPriority w:val="99"/>
    <w:qFormat/>
    <w:pPr>
      <w:jc w:val="center"/>
      <w:tabs>
        <w:tab w:val="center" w:pos="4153" w:leader="none"/>
        <w:tab w:val="right" w:pos="8306" w:leader="none"/>
      </w:tabs>
      <w:pBdr>
        <w:bottom w:val="single" w:color="000000" w:sz="6" w:space="1"/>
      </w:pBdr>
    </w:pPr>
    <w:rPr>
      <w:sz w:val="18"/>
      <w:szCs w:val="18"/>
    </w:rPr>
  </w:style>
  <w:style w:type="paragraph" w:styleId="952" w:customStyle="1">
    <w:name w:val="目录 11"/>
    <w:basedOn w:val="726"/>
    <w:next w:val="726"/>
    <w:semiHidden/>
    <w:qFormat/>
    <w:pPr>
      <w:jc w:val="left"/>
      <w:spacing w:before="120" w:after="120" w:line="400" w:lineRule="exact"/>
      <w:tabs>
        <w:tab w:val="right" w:pos="8720" w:leader="dot"/>
      </w:tabs>
    </w:pPr>
    <w:rPr>
      <w:rFonts w:ascii="宋体" w:hAnsi="宋体"/>
      <w:caps/>
      <w:sz w:val="24"/>
      <w:szCs w:val="24"/>
    </w:rPr>
  </w:style>
  <w:style w:type="paragraph" w:styleId="953" w:customStyle="1">
    <w:name w:val="目录 41"/>
    <w:basedOn w:val="726"/>
    <w:next w:val="726"/>
    <w:semiHidden/>
    <w:qFormat/>
    <w:pPr>
      <w:ind w:left="630"/>
      <w:jc w:val="left"/>
    </w:pPr>
    <w:rPr>
      <w:szCs w:val="21"/>
    </w:rPr>
  </w:style>
  <w:style w:type="paragraph" w:styleId="954" w:customStyle="1">
    <w:name w:val="列表1"/>
    <w:basedOn w:val="726"/>
    <w:qFormat/>
    <w:pPr>
      <w:ind w:left="200" w:hanging="200"/>
    </w:pPr>
    <w:rPr>
      <w:szCs w:val="21"/>
    </w:rPr>
  </w:style>
  <w:style w:type="paragraph" w:styleId="955" w:customStyle="1">
    <w:name w:val="目录 61"/>
    <w:basedOn w:val="726"/>
    <w:next w:val="726"/>
    <w:semiHidden/>
    <w:qFormat/>
    <w:pPr>
      <w:ind w:left="1050"/>
      <w:jc w:val="left"/>
    </w:pPr>
    <w:rPr>
      <w:szCs w:val="21"/>
    </w:rPr>
  </w:style>
  <w:style w:type="paragraph" w:styleId="956" w:customStyle="1">
    <w:name w:val="正文文本缩进 31"/>
    <w:basedOn w:val="726"/>
    <w:qFormat/>
    <w:pPr>
      <w:ind w:left="645" w:firstLine="645"/>
    </w:pPr>
    <w:rPr>
      <w:rFonts w:ascii="Arial" w:hAnsi="Arial" w:eastAsia="仿宋_GB2312" w:cs="Arial"/>
      <w:color w:val="ffff00"/>
      <w:sz w:val="32"/>
      <w:szCs w:val="32"/>
    </w:rPr>
  </w:style>
  <w:style w:type="paragraph" w:styleId="957" w:customStyle="1">
    <w:name w:val="图表目录1"/>
    <w:basedOn w:val="726"/>
    <w:next w:val="726"/>
    <w:semiHidden/>
    <w:qFormat/>
    <w:pPr>
      <w:ind w:left="840" w:hanging="420"/>
    </w:pPr>
    <w:rPr>
      <w:szCs w:val="21"/>
    </w:rPr>
  </w:style>
  <w:style w:type="paragraph" w:styleId="958" w:customStyle="1">
    <w:name w:val="目录 21"/>
    <w:basedOn w:val="726"/>
    <w:next w:val="726"/>
    <w:semiHidden/>
    <w:qFormat/>
    <w:pPr>
      <w:ind w:left="210"/>
      <w:jc w:val="left"/>
    </w:pPr>
    <w:rPr>
      <w:smallCaps/>
      <w:szCs w:val="24"/>
    </w:rPr>
  </w:style>
  <w:style w:type="paragraph" w:styleId="959" w:customStyle="1">
    <w:name w:val="目录 91"/>
    <w:basedOn w:val="726"/>
    <w:next w:val="726"/>
    <w:semiHidden/>
    <w:qFormat/>
    <w:pPr>
      <w:ind w:left="1680"/>
      <w:jc w:val="left"/>
    </w:pPr>
    <w:rPr>
      <w:szCs w:val="21"/>
    </w:rPr>
  </w:style>
  <w:style w:type="paragraph" w:styleId="960" w:customStyle="1">
    <w:name w:val="正文文本 21"/>
    <w:basedOn w:val="726"/>
    <w:qFormat/>
    <w:pPr>
      <w:jc w:val="center"/>
      <w:widowControl/>
    </w:pPr>
    <w:rPr>
      <w:rFonts w:ascii="楷体_GB2312" w:eastAsia="楷体_GB2312"/>
      <w:sz w:val="28"/>
      <w:szCs w:val="28"/>
    </w:rPr>
  </w:style>
  <w:style w:type="paragraph" w:styleId="961"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62" w:customStyle="1">
    <w:name w:val="索引 11"/>
    <w:basedOn w:val="726"/>
    <w:next w:val="726"/>
    <w:semiHidden/>
    <w:qFormat/>
    <w:pPr>
      <w:spacing w:line="240" w:lineRule="atLeast"/>
    </w:pPr>
    <w:rPr>
      <w:b/>
      <w:bCs/>
      <w:szCs w:val="21"/>
    </w:rPr>
  </w:style>
  <w:style w:type="paragraph" w:styleId="963" w:customStyle="1">
    <w:name w:val="批注主题1"/>
    <w:basedOn w:val="941"/>
    <w:next w:val="941"/>
    <w:semiHidden/>
    <w:qFormat/>
    <w:rPr>
      <w:b/>
      <w:bCs/>
      <w:szCs w:val="21"/>
    </w:rPr>
  </w:style>
  <w:style w:type="character" w:styleId="964" w:customStyle="1">
    <w:name w:val="正文首行缩进 字符"/>
    <w:link w:val="965"/>
    <w:qFormat/>
    <w:rPr>
      <w:rFonts w:ascii="仿宋_GB2312" w:eastAsia="仿宋_GB2312"/>
      <w:sz w:val="30"/>
      <w:szCs w:val="30"/>
    </w:rPr>
  </w:style>
  <w:style w:type="paragraph" w:styleId="965" w:customStyle="1">
    <w:name w:val="正文首行缩进1"/>
    <w:basedOn w:val="726"/>
    <w:link w:val="964"/>
    <w:qFormat/>
    <w:pPr>
      <w:ind w:firstLine="200"/>
      <w:spacing w:line="360" w:lineRule="auto"/>
    </w:pPr>
    <w:rPr>
      <w:rFonts w:ascii="仿宋_GB2312" w:eastAsia="仿宋_GB2312"/>
      <w:sz w:val="30"/>
      <w:szCs w:val="30"/>
    </w:rPr>
  </w:style>
  <w:style w:type="character" w:styleId="966" w:customStyle="1">
    <w:name w:val="正文首行缩进 2 字符"/>
    <w:link w:val="967"/>
    <w:qFormat/>
    <w:rPr>
      <w:rFonts w:ascii="宋体" w:hAnsi="宋体"/>
      <w:sz w:val="21"/>
    </w:rPr>
  </w:style>
  <w:style w:type="paragraph" w:styleId="967" w:customStyle="1">
    <w:name w:val="正文首行缩进 211"/>
    <w:basedOn w:val="919"/>
    <w:link w:val="966"/>
    <w:qFormat/>
    <w:pPr>
      <w:ind w:left="0" w:firstLine="420"/>
      <w:spacing w:after="0" w:line="360" w:lineRule="auto"/>
    </w:pPr>
    <w:rPr>
      <w:rFonts w:ascii="宋体" w:hAnsi="宋体"/>
      <w:szCs w:val="20"/>
    </w:rPr>
  </w:style>
  <w:style w:type="paragraph" w:styleId="968" w:customStyle="1">
    <w:name w:val="寄信人地址1"/>
    <w:basedOn w:val="726"/>
    <w:qFormat/>
    <w:rPr>
      <w:rFonts w:ascii="Arial" w:hAnsi="Arial" w:cs="宋体"/>
    </w:rPr>
  </w:style>
  <w:style w:type="paragraph" w:styleId="969" w:customStyle="1">
    <w:name w:val="正文文本缩进11"/>
    <w:basedOn w:val="726"/>
    <w:next w:val="968"/>
    <w:qFormat/>
    <w:pPr>
      <w:ind w:left="420"/>
      <w:spacing w:after="120"/>
    </w:pPr>
  </w:style>
  <w:style w:type="paragraph" w:styleId="970" w:customStyle="1">
    <w:name w:val="列出段落"/>
    <w:basedOn w:val="726"/>
    <w:qFormat/>
    <w:pPr>
      <w:contextualSpacing/>
      <w:ind w:left="720"/>
      <w:jc w:val="left"/>
      <w:widowControl/>
    </w:pPr>
    <w:rPr>
      <w:rFonts w:ascii="Calibri" w:hAnsi="Calibri"/>
      <w:sz w:val="24"/>
      <w:szCs w:val="24"/>
      <w:lang w:eastAsia="en-US" w:bidi="en-US"/>
    </w:rPr>
  </w:style>
  <w:style w:type="paragraph" w:styleId="971" w:customStyle="1">
    <w:name w:val="Char Char Char Char Char Char Char Char Char Char"/>
    <w:basedOn w:val="726"/>
    <w:qFormat/>
    <w:pPr>
      <w:spacing w:line="360" w:lineRule="auto"/>
    </w:pPr>
    <w:rPr>
      <w:sz w:val="24"/>
      <w:szCs w:val="20"/>
    </w:rPr>
  </w:style>
  <w:style w:type="paragraph" w:styleId="972" w:customStyle="1">
    <w:name w:val="修订1"/>
    <w:uiPriority w:val="99"/>
    <w:semiHidden/>
    <w:qFormat/>
    <w:rPr>
      <w:sz w:val="21"/>
      <w:szCs w:val="21"/>
    </w:rPr>
  </w:style>
  <w:style w:type="paragraph" w:styleId="973" w:customStyle="1">
    <w:name w:val="无间隔1"/>
    <w:uiPriority w:val="99"/>
    <w:qFormat/>
    <w:pPr>
      <w:jc w:val="both"/>
      <w:widowControl w:val="off"/>
    </w:pPr>
    <w:rPr>
      <w:sz w:val="21"/>
      <w:szCs w:val="21"/>
    </w:rPr>
  </w:style>
  <w:style w:type="paragraph" w:styleId="974" w:customStyle="1">
    <w:name w:val="正文_1_0"/>
    <w:qFormat/>
    <w:pPr>
      <w:jc w:val="both"/>
      <w:widowControl w:val="off"/>
    </w:pPr>
    <w:rPr>
      <w:rFonts w:ascii="Calibri" w:hAnsi="Calibri"/>
      <w:sz w:val="21"/>
      <w:szCs w:val="22"/>
    </w:rPr>
  </w:style>
  <w:style w:type="paragraph" w:styleId="975" w:customStyle="1">
    <w:name w:val="Normal_3"/>
    <w:qFormat/>
    <w:rPr>
      <w:rFonts w:eastAsia="Times New Roman"/>
      <w:sz w:val="24"/>
      <w:szCs w:val="24"/>
    </w:rPr>
  </w:style>
  <w:style w:type="character" w:styleId="976" w:customStyle="1">
    <w:name w:val="标题 1 字符1"/>
    <w:uiPriority w:val="9"/>
    <w:qFormat/>
    <w:rPr>
      <w:rFonts w:ascii="Arial" w:hAnsi="Arial" w:eastAsia="Arial" w:cs="Arial"/>
      <w:sz w:val="40"/>
      <w:szCs w:val="40"/>
    </w:rPr>
  </w:style>
  <w:style w:type="character" w:styleId="977" w:customStyle="1">
    <w:name w:val="标题 2 字符1"/>
    <w:uiPriority w:val="9"/>
    <w:semiHidden/>
    <w:qFormat/>
    <w:rPr>
      <w:rFonts w:ascii="Arial" w:hAnsi="Arial" w:eastAsia="Arial" w:cs="Arial"/>
      <w:sz w:val="34"/>
      <w:szCs w:val="22"/>
    </w:rPr>
  </w:style>
  <w:style w:type="character" w:styleId="978" w:customStyle="1">
    <w:name w:val="标题 3 字符1"/>
    <w:uiPriority w:val="9"/>
    <w:semiHidden/>
    <w:qFormat/>
    <w:rPr>
      <w:rFonts w:ascii="Arial" w:hAnsi="Arial" w:eastAsia="Arial" w:cs="Arial"/>
      <w:sz w:val="30"/>
      <w:szCs w:val="30"/>
    </w:rPr>
  </w:style>
  <w:style w:type="character" w:styleId="979" w:customStyle="1">
    <w:name w:val="标题 4 字符1"/>
    <w:uiPriority w:val="9"/>
    <w:semiHidden/>
    <w:qFormat/>
    <w:rPr>
      <w:rFonts w:ascii="Arial" w:hAnsi="Arial" w:eastAsia="Arial" w:cs="Arial"/>
      <w:b/>
      <w:bCs/>
      <w:sz w:val="26"/>
      <w:szCs w:val="26"/>
    </w:rPr>
  </w:style>
  <w:style w:type="character" w:styleId="980" w:customStyle="1">
    <w:name w:val="标题 5 字符1"/>
    <w:uiPriority w:val="9"/>
    <w:semiHidden/>
    <w:qFormat/>
    <w:rPr>
      <w:rFonts w:ascii="Arial" w:hAnsi="Arial" w:eastAsia="Arial" w:cs="Arial"/>
      <w:b/>
      <w:bCs/>
      <w:sz w:val="24"/>
      <w:szCs w:val="24"/>
    </w:rPr>
  </w:style>
  <w:style w:type="character" w:styleId="981" w:customStyle="1">
    <w:name w:val="标题 6 字符1"/>
    <w:uiPriority w:val="9"/>
    <w:semiHidden/>
    <w:qFormat/>
    <w:rPr>
      <w:rFonts w:ascii="Arial" w:hAnsi="Arial" w:eastAsia="Arial" w:cs="Arial"/>
      <w:b/>
      <w:bCs/>
      <w:sz w:val="22"/>
      <w:szCs w:val="22"/>
    </w:rPr>
  </w:style>
  <w:style w:type="character" w:styleId="982" w:customStyle="1">
    <w:name w:val="标题 7 字符1"/>
    <w:uiPriority w:val="9"/>
    <w:semiHidden/>
    <w:qFormat/>
    <w:rPr>
      <w:rFonts w:ascii="Arial" w:hAnsi="Arial" w:eastAsia="Arial" w:cs="Arial"/>
      <w:b/>
      <w:bCs/>
      <w:i/>
      <w:iCs/>
      <w:sz w:val="22"/>
      <w:szCs w:val="22"/>
    </w:rPr>
  </w:style>
  <w:style w:type="character" w:styleId="983" w:customStyle="1">
    <w:name w:val="标题 8 字符1"/>
    <w:uiPriority w:val="9"/>
    <w:semiHidden/>
    <w:qFormat/>
    <w:rPr>
      <w:rFonts w:ascii="Arial" w:hAnsi="Arial" w:eastAsia="Arial" w:cs="Arial"/>
      <w:i/>
      <w:iCs/>
      <w:sz w:val="22"/>
      <w:szCs w:val="22"/>
    </w:rPr>
  </w:style>
  <w:style w:type="character" w:styleId="984" w:customStyle="1">
    <w:name w:val="标题 9 字符1"/>
    <w:uiPriority w:val="9"/>
    <w:semiHidden/>
    <w:qFormat/>
    <w:rPr>
      <w:rFonts w:ascii="Arial" w:hAnsi="Arial" w:eastAsia="Arial" w:cs="Arial"/>
      <w:i/>
      <w:iCs/>
      <w:sz w:val="21"/>
      <w:szCs w:val="21"/>
    </w:rPr>
  </w:style>
  <w:style w:type="character" w:styleId="985" w:customStyle="1">
    <w:name w:val="页眉 字符1"/>
    <w:uiPriority w:val="99"/>
    <w:semiHidden/>
    <w:qFormat/>
    <w:rPr>
      <w:sz w:val="21"/>
      <w:szCs w:val="22"/>
    </w:rPr>
  </w:style>
  <w:style w:type="character" w:styleId="986" w:customStyle="1">
    <w:name w:val="Footer Char"/>
    <w:uiPriority w:val="99"/>
    <w:qFormat/>
  </w:style>
  <w:style w:type="character" w:styleId="987" w:customStyle="1">
    <w:name w:val="页脚 字符1"/>
    <w:uiPriority w:val="99"/>
    <w:semiHidden/>
    <w:qFormat/>
    <w:rPr>
      <w:sz w:val="21"/>
      <w:szCs w:val="22"/>
    </w:rPr>
  </w:style>
  <w:style w:type="character" w:styleId="988" w:customStyle="1">
    <w:name w:val="默认段落字体1"/>
    <w:uiPriority w:val="1"/>
    <w:qFormat/>
  </w:style>
  <w:style w:type="character" w:styleId="989" w:customStyle="1">
    <w:name w:val="要点1"/>
    <w:qFormat/>
    <w:rPr>
      <w:b/>
      <w:bCs/>
    </w:rPr>
  </w:style>
  <w:style w:type="character" w:styleId="990" w:customStyle="1">
    <w:name w:val="页码1"/>
    <w:qFormat/>
  </w:style>
  <w:style w:type="character" w:styleId="991" w:customStyle="1">
    <w:name w:val="已访问的超链接1"/>
    <w:qFormat/>
    <w:rPr>
      <w:color w:val="800080"/>
      <w:u w:val="single"/>
    </w:rPr>
  </w:style>
  <w:style w:type="character" w:styleId="992" w:customStyle="1">
    <w:name w:val="超链接1"/>
    <w:qFormat/>
    <w:rPr>
      <w:color w:val="0000ff"/>
      <w:u w:val="single"/>
    </w:rPr>
  </w:style>
  <w:style w:type="character" w:styleId="993" w:customStyle="1">
    <w:name w:val="批注引用1"/>
    <w:semiHidden/>
    <w:qFormat/>
    <w:rPr>
      <w:sz w:val="21"/>
      <w:szCs w:val="21"/>
    </w:rPr>
  </w:style>
  <w:style w:type="table" w:styleId="994" w:customStyle="1">
    <w:name w:val="网格型1"/>
    <w:uiPriority w:val="59"/>
    <w:qFormat/>
    <w:tblPr>
      <w:tblCellMar>
        <w:left w:w="0" w:type="dxa"/>
        <w:top w:w="0" w:type="dxa"/>
        <w:right w:w="0" w:type="dxa"/>
        <w:bottom w:w="0" w:type="dxa"/>
      </w:tblCellMar>
    </w:tblPr>
  </w:style>
  <w:style w:type="table" w:styleId="995" w:customStyle="1">
    <w:name w:val="Table Grid Light"/>
    <w:uiPriority w:val="59"/>
    <w:qFormat/>
    <w:tblPr>
      <w:tblCellMar>
        <w:left w:w="0" w:type="dxa"/>
        <w:top w:w="0" w:type="dxa"/>
        <w:right w:w="0" w:type="dxa"/>
        <w:bottom w:w="0" w:type="dxa"/>
      </w:tblCellMar>
    </w:tblPr>
  </w:style>
  <w:style w:type="table" w:styleId="996" w:customStyle="1">
    <w:name w:val="无格式表格 11"/>
    <w:uiPriority w:val="59"/>
    <w:qFormat/>
    <w:tblPr>
      <w:tblCellMar>
        <w:left w:w="0" w:type="dxa"/>
        <w:top w:w="0" w:type="dxa"/>
        <w:right w:w="0" w:type="dxa"/>
        <w:bottom w:w="0" w:type="dxa"/>
      </w:tblCellMar>
    </w:tblPr>
  </w:style>
  <w:style w:type="table" w:styleId="997" w:customStyle="1">
    <w:name w:val="无格式表格 21"/>
    <w:uiPriority w:val="59"/>
    <w:qFormat/>
    <w:tblPr>
      <w:tblCellMar>
        <w:left w:w="0" w:type="dxa"/>
        <w:top w:w="0" w:type="dxa"/>
        <w:right w:w="0" w:type="dxa"/>
        <w:bottom w:w="0" w:type="dxa"/>
      </w:tblCellMar>
    </w:tblPr>
  </w:style>
  <w:style w:type="table" w:styleId="998" w:customStyle="1">
    <w:name w:val="无格式表格 31"/>
    <w:uiPriority w:val="99"/>
    <w:qFormat/>
    <w:tblPr>
      <w:tblCellMar>
        <w:left w:w="0" w:type="dxa"/>
        <w:top w:w="0" w:type="dxa"/>
        <w:right w:w="0" w:type="dxa"/>
        <w:bottom w:w="0" w:type="dxa"/>
      </w:tblCellMar>
    </w:tblPr>
  </w:style>
  <w:style w:type="table" w:styleId="999" w:customStyle="1">
    <w:name w:val="无格式表格 41"/>
    <w:uiPriority w:val="99"/>
    <w:qFormat/>
    <w:tblPr>
      <w:tblCellMar>
        <w:left w:w="0" w:type="dxa"/>
        <w:top w:w="0" w:type="dxa"/>
        <w:right w:w="0" w:type="dxa"/>
        <w:bottom w:w="0" w:type="dxa"/>
      </w:tblCellMar>
    </w:tblPr>
  </w:style>
  <w:style w:type="table" w:styleId="1000" w:customStyle="1">
    <w:name w:val="无格式表格 51"/>
    <w:uiPriority w:val="99"/>
    <w:qFormat/>
    <w:tblPr>
      <w:tblCellMar>
        <w:left w:w="0" w:type="dxa"/>
        <w:top w:w="0" w:type="dxa"/>
        <w:right w:w="0" w:type="dxa"/>
        <w:bottom w:w="0" w:type="dxa"/>
      </w:tblCellMar>
    </w:tblPr>
  </w:style>
  <w:style w:type="table" w:styleId="1001" w:customStyle="1">
    <w:name w:val="网格表 1 浅色1"/>
    <w:uiPriority w:val="99"/>
    <w:qFormat/>
    <w:tblPr>
      <w:tblCellMar>
        <w:left w:w="0" w:type="dxa"/>
        <w:top w:w="0" w:type="dxa"/>
        <w:right w:w="0" w:type="dxa"/>
        <w:bottom w:w="0" w:type="dxa"/>
      </w:tblCellMar>
    </w:tblPr>
  </w:style>
  <w:style w:type="table" w:styleId="1002" w:customStyle="1">
    <w:name w:val="Grid Table 1 Light - Accent 1"/>
    <w:uiPriority w:val="99"/>
    <w:qFormat/>
    <w:tblPr>
      <w:tblCellMar>
        <w:left w:w="0" w:type="dxa"/>
        <w:top w:w="0" w:type="dxa"/>
        <w:right w:w="0" w:type="dxa"/>
        <w:bottom w:w="0" w:type="dxa"/>
      </w:tblCellMar>
    </w:tblPr>
  </w:style>
  <w:style w:type="table" w:styleId="1003" w:customStyle="1">
    <w:name w:val="Grid Table 1 Light - Accent 2"/>
    <w:uiPriority w:val="99"/>
    <w:qFormat/>
    <w:tblPr>
      <w:tblCellMar>
        <w:left w:w="0" w:type="dxa"/>
        <w:top w:w="0" w:type="dxa"/>
        <w:right w:w="0" w:type="dxa"/>
        <w:bottom w:w="0" w:type="dxa"/>
      </w:tblCellMar>
    </w:tblPr>
  </w:style>
  <w:style w:type="table" w:styleId="1004" w:customStyle="1">
    <w:name w:val="Grid Table 1 Light - Accent 3"/>
    <w:uiPriority w:val="99"/>
    <w:qFormat/>
    <w:tblPr>
      <w:tblCellMar>
        <w:left w:w="0" w:type="dxa"/>
        <w:top w:w="0" w:type="dxa"/>
        <w:right w:w="0" w:type="dxa"/>
        <w:bottom w:w="0" w:type="dxa"/>
      </w:tblCellMar>
    </w:tblPr>
  </w:style>
  <w:style w:type="table" w:styleId="1005" w:customStyle="1">
    <w:name w:val="Grid Table 1 Light - Accent 4"/>
    <w:uiPriority w:val="99"/>
    <w:qFormat/>
    <w:tblPr>
      <w:tblCellMar>
        <w:left w:w="0" w:type="dxa"/>
        <w:top w:w="0" w:type="dxa"/>
        <w:right w:w="0" w:type="dxa"/>
        <w:bottom w:w="0" w:type="dxa"/>
      </w:tblCellMar>
    </w:tblPr>
  </w:style>
  <w:style w:type="table" w:styleId="1006" w:customStyle="1">
    <w:name w:val="Grid Table 1 Light - Accent 5"/>
    <w:uiPriority w:val="99"/>
    <w:qFormat/>
    <w:tblPr>
      <w:tblCellMar>
        <w:left w:w="0" w:type="dxa"/>
        <w:top w:w="0" w:type="dxa"/>
        <w:right w:w="0" w:type="dxa"/>
        <w:bottom w:w="0" w:type="dxa"/>
      </w:tblCellMar>
    </w:tblPr>
  </w:style>
  <w:style w:type="table" w:styleId="1007" w:customStyle="1">
    <w:name w:val="Grid Table 1 Light - Accent 6"/>
    <w:uiPriority w:val="99"/>
    <w:qFormat/>
    <w:tblPr>
      <w:tblCellMar>
        <w:left w:w="0" w:type="dxa"/>
        <w:top w:w="0" w:type="dxa"/>
        <w:right w:w="0" w:type="dxa"/>
        <w:bottom w:w="0" w:type="dxa"/>
      </w:tblCellMar>
    </w:tblPr>
  </w:style>
  <w:style w:type="table" w:styleId="1008" w:customStyle="1">
    <w:name w:val="网格表 21"/>
    <w:uiPriority w:val="99"/>
    <w:qFormat/>
    <w:tblPr>
      <w:tblCellMar>
        <w:left w:w="0" w:type="dxa"/>
        <w:top w:w="0" w:type="dxa"/>
        <w:right w:w="0" w:type="dxa"/>
        <w:bottom w:w="0" w:type="dxa"/>
      </w:tblCellMar>
    </w:tblPr>
  </w:style>
  <w:style w:type="table" w:styleId="1009" w:customStyle="1">
    <w:name w:val="Grid Table 2 - Accent 1"/>
    <w:uiPriority w:val="99"/>
    <w:qFormat/>
    <w:tblPr>
      <w:tblCellMar>
        <w:left w:w="0" w:type="dxa"/>
        <w:top w:w="0" w:type="dxa"/>
        <w:right w:w="0" w:type="dxa"/>
        <w:bottom w:w="0" w:type="dxa"/>
      </w:tblCellMar>
    </w:tblPr>
  </w:style>
  <w:style w:type="table" w:styleId="1010" w:customStyle="1">
    <w:name w:val="Grid Table 2 - Accent 2"/>
    <w:uiPriority w:val="99"/>
    <w:qFormat/>
    <w:tblPr>
      <w:tblCellMar>
        <w:left w:w="0" w:type="dxa"/>
        <w:top w:w="0" w:type="dxa"/>
        <w:right w:w="0" w:type="dxa"/>
        <w:bottom w:w="0" w:type="dxa"/>
      </w:tblCellMar>
    </w:tblPr>
  </w:style>
  <w:style w:type="table" w:styleId="1011" w:customStyle="1">
    <w:name w:val="Grid Table 2 - Accent 3"/>
    <w:uiPriority w:val="99"/>
    <w:qFormat/>
    <w:tblPr>
      <w:tblCellMar>
        <w:left w:w="0" w:type="dxa"/>
        <w:top w:w="0" w:type="dxa"/>
        <w:right w:w="0" w:type="dxa"/>
        <w:bottom w:w="0" w:type="dxa"/>
      </w:tblCellMar>
    </w:tblPr>
  </w:style>
  <w:style w:type="table" w:styleId="1012" w:customStyle="1">
    <w:name w:val="Grid Table 2 - Accent 4"/>
    <w:uiPriority w:val="99"/>
    <w:qFormat/>
    <w:tblPr>
      <w:tblCellMar>
        <w:left w:w="0" w:type="dxa"/>
        <w:top w:w="0" w:type="dxa"/>
        <w:right w:w="0" w:type="dxa"/>
        <w:bottom w:w="0" w:type="dxa"/>
      </w:tblCellMar>
    </w:tblPr>
  </w:style>
  <w:style w:type="table" w:styleId="1013" w:customStyle="1">
    <w:name w:val="Grid Table 2 - Accent 5"/>
    <w:uiPriority w:val="99"/>
    <w:qFormat/>
    <w:tblPr>
      <w:tblCellMar>
        <w:left w:w="0" w:type="dxa"/>
        <w:top w:w="0" w:type="dxa"/>
        <w:right w:w="0" w:type="dxa"/>
        <w:bottom w:w="0" w:type="dxa"/>
      </w:tblCellMar>
    </w:tblPr>
  </w:style>
  <w:style w:type="table" w:styleId="1014" w:customStyle="1">
    <w:name w:val="Grid Table 2 - Accent 6"/>
    <w:uiPriority w:val="99"/>
    <w:qFormat/>
    <w:tblPr>
      <w:tblCellMar>
        <w:left w:w="0" w:type="dxa"/>
        <w:top w:w="0" w:type="dxa"/>
        <w:right w:w="0" w:type="dxa"/>
        <w:bottom w:w="0" w:type="dxa"/>
      </w:tblCellMar>
    </w:tblPr>
  </w:style>
  <w:style w:type="table" w:styleId="1015" w:customStyle="1">
    <w:name w:val="网格表 31"/>
    <w:uiPriority w:val="99"/>
    <w:qFormat/>
    <w:tblPr>
      <w:tblCellMar>
        <w:left w:w="0" w:type="dxa"/>
        <w:top w:w="0" w:type="dxa"/>
        <w:right w:w="0" w:type="dxa"/>
        <w:bottom w:w="0" w:type="dxa"/>
      </w:tblCellMar>
    </w:tblPr>
  </w:style>
  <w:style w:type="table" w:styleId="1016" w:customStyle="1">
    <w:name w:val="Grid Table 3 - Accent 1"/>
    <w:uiPriority w:val="99"/>
    <w:qFormat/>
    <w:tblPr>
      <w:tblCellMar>
        <w:left w:w="0" w:type="dxa"/>
        <w:top w:w="0" w:type="dxa"/>
        <w:right w:w="0" w:type="dxa"/>
        <w:bottom w:w="0" w:type="dxa"/>
      </w:tblCellMar>
    </w:tblPr>
  </w:style>
  <w:style w:type="table" w:styleId="1017" w:customStyle="1">
    <w:name w:val="Grid Table 3 - Accent 2"/>
    <w:uiPriority w:val="99"/>
    <w:qFormat/>
    <w:tblPr>
      <w:tblCellMar>
        <w:left w:w="0" w:type="dxa"/>
        <w:top w:w="0" w:type="dxa"/>
        <w:right w:w="0" w:type="dxa"/>
        <w:bottom w:w="0" w:type="dxa"/>
      </w:tblCellMar>
    </w:tblPr>
  </w:style>
  <w:style w:type="table" w:styleId="1018" w:customStyle="1">
    <w:name w:val="Grid Table 3 - Accent 3"/>
    <w:uiPriority w:val="99"/>
    <w:qFormat/>
    <w:tblPr>
      <w:tblCellMar>
        <w:left w:w="0" w:type="dxa"/>
        <w:top w:w="0" w:type="dxa"/>
        <w:right w:w="0" w:type="dxa"/>
        <w:bottom w:w="0" w:type="dxa"/>
      </w:tblCellMar>
    </w:tblPr>
  </w:style>
  <w:style w:type="table" w:styleId="1019" w:customStyle="1">
    <w:name w:val="Grid Table 3 - Accent 4"/>
    <w:uiPriority w:val="99"/>
    <w:qFormat/>
    <w:tblPr>
      <w:tblCellMar>
        <w:left w:w="0" w:type="dxa"/>
        <w:top w:w="0" w:type="dxa"/>
        <w:right w:w="0" w:type="dxa"/>
        <w:bottom w:w="0" w:type="dxa"/>
      </w:tblCellMar>
    </w:tblPr>
  </w:style>
  <w:style w:type="table" w:styleId="1020" w:customStyle="1">
    <w:name w:val="Grid Table 3 - Accent 5"/>
    <w:uiPriority w:val="99"/>
    <w:qFormat/>
    <w:tblPr>
      <w:tblCellMar>
        <w:left w:w="0" w:type="dxa"/>
        <w:top w:w="0" w:type="dxa"/>
        <w:right w:w="0" w:type="dxa"/>
        <w:bottom w:w="0" w:type="dxa"/>
      </w:tblCellMar>
    </w:tblPr>
  </w:style>
  <w:style w:type="table" w:styleId="1021" w:customStyle="1">
    <w:name w:val="Grid Table 3 - Accent 6"/>
    <w:uiPriority w:val="99"/>
    <w:qFormat/>
    <w:tblPr>
      <w:tblCellMar>
        <w:left w:w="0" w:type="dxa"/>
        <w:top w:w="0" w:type="dxa"/>
        <w:right w:w="0" w:type="dxa"/>
        <w:bottom w:w="0" w:type="dxa"/>
      </w:tblCellMar>
    </w:tblPr>
  </w:style>
  <w:style w:type="table" w:styleId="1022" w:customStyle="1">
    <w:name w:val="网格表 41"/>
    <w:uiPriority w:val="59"/>
    <w:qFormat/>
    <w:tblPr>
      <w:tblCellMar>
        <w:left w:w="0" w:type="dxa"/>
        <w:top w:w="0" w:type="dxa"/>
        <w:right w:w="0" w:type="dxa"/>
        <w:bottom w:w="0" w:type="dxa"/>
      </w:tblCellMar>
    </w:tblPr>
  </w:style>
  <w:style w:type="table" w:styleId="1023" w:customStyle="1">
    <w:name w:val="Grid Table 4 - Accent 1"/>
    <w:uiPriority w:val="59"/>
    <w:qFormat/>
    <w:tblPr>
      <w:tblCellMar>
        <w:left w:w="0" w:type="dxa"/>
        <w:top w:w="0" w:type="dxa"/>
        <w:right w:w="0" w:type="dxa"/>
        <w:bottom w:w="0" w:type="dxa"/>
      </w:tblCellMar>
    </w:tblPr>
  </w:style>
  <w:style w:type="table" w:styleId="1024" w:customStyle="1">
    <w:name w:val="Grid Table 4 - Accent 2"/>
    <w:uiPriority w:val="59"/>
    <w:qFormat/>
    <w:tblPr>
      <w:tblCellMar>
        <w:left w:w="0" w:type="dxa"/>
        <w:top w:w="0" w:type="dxa"/>
        <w:right w:w="0" w:type="dxa"/>
        <w:bottom w:w="0" w:type="dxa"/>
      </w:tblCellMar>
    </w:tblPr>
  </w:style>
  <w:style w:type="table" w:styleId="1025" w:customStyle="1">
    <w:name w:val="Grid Table 4 - Accent 3"/>
    <w:uiPriority w:val="59"/>
    <w:qFormat/>
    <w:tblPr>
      <w:tblCellMar>
        <w:left w:w="0" w:type="dxa"/>
        <w:top w:w="0" w:type="dxa"/>
        <w:right w:w="0" w:type="dxa"/>
        <w:bottom w:w="0" w:type="dxa"/>
      </w:tblCellMar>
    </w:tblPr>
  </w:style>
  <w:style w:type="table" w:styleId="1026" w:customStyle="1">
    <w:name w:val="Grid Table 4 - Accent 4"/>
    <w:uiPriority w:val="59"/>
    <w:qFormat/>
    <w:tblPr>
      <w:tblCellMar>
        <w:left w:w="0" w:type="dxa"/>
        <w:top w:w="0" w:type="dxa"/>
        <w:right w:w="0" w:type="dxa"/>
        <w:bottom w:w="0" w:type="dxa"/>
      </w:tblCellMar>
    </w:tblPr>
  </w:style>
  <w:style w:type="table" w:styleId="1027" w:customStyle="1">
    <w:name w:val="Grid Table 4 - Accent 5"/>
    <w:uiPriority w:val="59"/>
    <w:qFormat/>
    <w:tblPr>
      <w:tblCellMar>
        <w:left w:w="0" w:type="dxa"/>
        <w:top w:w="0" w:type="dxa"/>
        <w:right w:w="0" w:type="dxa"/>
        <w:bottom w:w="0" w:type="dxa"/>
      </w:tblCellMar>
    </w:tblPr>
  </w:style>
  <w:style w:type="table" w:styleId="1028" w:customStyle="1">
    <w:name w:val="Grid Table 4 - Accent 6"/>
    <w:uiPriority w:val="59"/>
    <w:qFormat/>
    <w:tblPr>
      <w:tblCellMar>
        <w:left w:w="0" w:type="dxa"/>
        <w:top w:w="0" w:type="dxa"/>
        <w:right w:w="0" w:type="dxa"/>
        <w:bottom w:w="0" w:type="dxa"/>
      </w:tblCellMar>
    </w:tblPr>
  </w:style>
  <w:style w:type="table" w:styleId="1029" w:customStyle="1">
    <w:name w:val="网格表 5 深色1"/>
    <w:uiPriority w:val="99"/>
    <w:qFormat/>
    <w:tblPr>
      <w:tblCellMar>
        <w:left w:w="0" w:type="dxa"/>
        <w:top w:w="0" w:type="dxa"/>
        <w:right w:w="0" w:type="dxa"/>
        <w:bottom w:w="0" w:type="dxa"/>
      </w:tblCellMar>
    </w:tblPr>
  </w:style>
  <w:style w:type="table" w:styleId="1030" w:customStyle="1">
    <w:name w:val="Grid Table 5 Dark- Accent 1"/>
    <w:uiPriority w:val="99"/>
    <w:qFormat/>
    <w:tblPr>
      <w:tblCellMar>
        <w:left w:w="0" w:type="dxa"/>
        <w:top w:w="0" w:type="dxa"/>
        <w:right w:w="0" w:type="dxa"/>
        <w:bottom w:w="0" w:type="dxa"/>
      </w:tblCellMar>
    </w:tblPr>
  </w:style>
  <w:style w:type="table" w:styleId="1031" w:customStyle="1">
    <w:name w:val="Grid Table 5 Dark - Accent 2"/>
    <w:uiPriority w:val="99"/>
    <w:qFormat/>
    <w:tblPr>
      <w:tblCellMar>
        <w:left w:w="0" w:type="dxa"/>
        <w:top w:w="0" w:type="dxa"/>
        <w:right w:w="0" w:type="dxa"/>
        <w:bottom w:w="0" w:type="dxa"/>
      </w:tblCellMar>
    </w:tblPr>
  </w:style>
  <w:style w:type="table" w:styleId="1032" w:customStyle="1">
    <w:name w:val="Grid Table 5 Dark - Accent 3"/>
    <w:uiPriority w:val="99"/>
    <w:qFormat/>
    <w:tblPr>
      <w:tblCellMar>
        <w:left w:w="0" w:type="dxa"/>
        <w:top w:w="0" w:type="dxa"/>
        <w:right w:w="0" w:type="dxa"/>
        <w:bottom w:w="0" w:type="dxa"/>
      </w:tblCellMar>
    </w:tblPr>
  </w:style>
  <w:style w:type="table" w:styleId="1033" w:customStyle="1">
    <w:name w:val="Grid Table 5 Dark- Accent 4"/>
    <w:uiPriority w:val="99"/>
    <w:qFormat/>
    <w:tblPr>
      <w:tblCellMar>
        <w:left w:w="0" w:type="dxa"/>
        <w:top w:w="0" w:type="dxa"/>
        <w:right w:w="0" w:type="dxa"/>
        <w:bottom w:w="0" w:type="dxa"/>
      </w:tblCellMar>
    </w:tblPr>
  </w:style>
  <w:style w:type="table" w:styleId="1034" w:customStyle="1">
    <w:name w:val="Grid Table 5 Dark - Accent 5"/>
    <w:uiPriority w:val="99"/>
    <w:qFormat/>
    <w:tblPr>
      <w:tblCellMar>
        <w:left w:w="0" w:type="dxa"/>
        <w:top w:w="0" w:type="dxa"/>
        <w:right w:w="0" w:type="dxa"/>
        <w:bottom w:w="0" w:type="dxa"/>
      </w:tblCellMar>
    </w:tblPr>
  </w:style>
  <w:style w:type="table" w:styleId="1035" w:customStyle="1">
    <w:name w:val="Grid Table 5 Dark - Accent 6"/>
    <w:uiPriority w:val="99"/>
    <w:qFormat/>
    <w:tblPr>
      <w:tblCellMar>
        <w:left w:w="0" w:type="dxa"/>
        <w:top w:w="0" w:type="dxa"/>
        <w:right w:w="0" w:type="dxa"/>
        <w:bottom w:w="0" w:type="dxa"/>
      </w:tblCellMar>
    </w:tblPr>
  </w:style>
  <w:style w:type="table" w:styleId="1036" w:customStyle="1">
    <w:name w:val="网格表 6 彩色1"/>
    <w:uiPriority w:val="99"/>
    <w:qFormat/>
    <w:tblPr>
      <w:tblCellMar>
        <w:left w:w="0" w:type="dxa"/>
        <w:top w:w="0" w:type="dxa"/>
        <w:right w:w="0" w:type="dxa"/>
        <w:bottom w:w="0" w:type="dxa"/>
      </w:tblCellMar>
    </w:tblPr>
  </w:style>
  <w:style w:type="table" w:styleId="1037" w:customStyle="1">
    <w:name w:val="Grid Table 6 Colorful - Accent 1"/>
    <w:uiPriority w:val="99"/>
    <w:qFormat/>
    <w:tblPr>
      <w:tblCellMar>
        <w:left w:w="0" w:type="dxa"/>
        <w:top w:w="0" w:type="dxa"/>
        <w:right w:w="0" w:type="dxa"/>
        <w:bottom w:w="0" w:type="dxa"/>
      </w:tblCellMar>
    </w:tblPr>
  </w:style>
  <w:style w:type="table" w:styleId="1038" w:customStyle="1">
    <w:name w:val="Grid Table 6 Colorful - Accent 2"/>
    <w:uiPriority w:val="99"/>
    <w:qFormat/>
    <w:tblPr>
      <w:tblCellMar>
        <w:left w:w="0" w:type="dxa"/>
        <w:top w:w="0" w:type="dxa"/>
        <w:right w:w="0" w:type="dxa"/>
        <w:bottom w:w="0" w:type="dxa"/>
      </w:tblCellMar>
    </w:tblPr>
  </w:style>
  <w:style w:type="table" w:styleId="1039" w:customStyle="1">
    <w:name w:val="Grid Table 6 Colorful - Accent 3"/>
    <w:uiPriority w:val="99"/>
    <w:qFormat/>
    <w:tblPr>
      <w:tblCellMar>
        <w:left w:w="0" w:type="dxa"/>
        <w:top w:w="0" w:type="dxa"/>
        <w:right w:w="0" w:type="dxa"/>
        <w:bottom w:w="0" w:type="dxa"/>
      </w:tblCellMar>
    </w:tblPr>
  </w:style>
  <w:style w:type="table" w:styleId="1040" w:customStyle="1">
    <w:name w:val="Grid Table 6 Colorful - Accent 4"/>
    <w:uiPriority w:val="99"/>
    <w:qFormat/>
    <w:tblPr>
      <w:tblCellMar>
        <w:left w:w="0" w:type="dxa"/>
        <w:top w:w="0" w:type="dxa"/>
        <w:right w:w="0" w:type="dxa"/>
        <w:bottom w:w="0" w:type="dxa"/>
      </w:tblCellMar>
    </w:tblPr>
  </w:style>
  <w:style w:type="table" w:styleId="1041" w:customStyle="1">
    <w:name w:val="Grid Table 6 Colorful - Accent 5"/>
    <w:uiPriority w:val="99"/>
    <w:qFormat/>
    <w:tblPr>
      <w:tblCellMar>
        <w:left w:w="0" w:type="dxa"/>
        <w:top w:w="0" w:type="dxa"/>
        <w:right w:w="0" w:type="dxa"/>
        <w:bottom w:w="0" w:type="dxa"/>
      </w:tblCellMar>
    </w:tblPr>
  </w:style>
  <w:style w:type="table" w:styleId="1042" w:customStyle="1">
    <w:name w:val="Grid Table 6 Colorful - Accent 6"/>
    <w:uiPriority w:val="99"/>
    <w:qFormat/>
    <w:tblPr>
      <w:tblCellMar>
        <w:left w:w="0" w:type="dxa"/>
        <w:top w:w="0" w:type="dxa"/>
        <w:right w:w="0" w:type="dxa"/>
        <w:bottom w:w="0" w:type="dxa"/>
      </w:tblCellMar>
    </w:tblPr>
  </w:style>
  <w:style w:type="table" w:styleId="1043" w:customStyle="1">
    <w:name w:val="网格表 7 彩色1"/>
    <w:uiPriority w:val="99"/>
    <w:qFormat/>
    <w:tblPr>
      <w:tblCellMar>
        <w:left w:w="0" w:type="dxa"/>
        <w:top w:w="0" w:type="dxa"/>
        <w:right w:w="0" w:type="dxa"/>
        <w:bottom w:w="0" w:type="dxa"/>
      </w:tblCellMar>
    </w:tblPr>
  </w:style>
  <w:style w:type="table" w:styleId="1044" w:customStyle="1">
    <w:name w:val="Grid Table 7 Colorful - Accent 1"/>
    <w:uiPriority w:val="99"/>
    <w:qFormat/>
    <w:tblPr>
      <w:tblCellMar>
        <w:left w:w="0" w:type="dxa"/>
        <w:top w:w="0" w:type="dxa"/>
        <w:right w:w="0" w:type="dxa"/>
        <w:bottom w:w="0" w:type="dxa"/>
      </w:tblCellMar>
    </w:tblPr>
  </w:style>
  <w:style w:type="table" w:styleId="1045" w:customStyle="1">
    <w:name w:val="Grid Table 7 Colorful - Accent 2"/>
    <w:uiPriority w:val="99"/>
    <w:qFormat/>
    <w:tblPr>
      <w:tblCellMar>
        <w:left w:w="0" w:type="dxa"/>
        <w:top w:w="0" w:type="dxa"/>
        <w:right w:w="0" w:type="dxa"/>
        <w:bottom w:w="0" w:type="dxa"/>
      </w:tblCellMar>
    </w:tblPr>
  </w:style>
  <w:style w:type="table" w:styleId="1046" w:customStyle="1">
    <w:name w:val="Grid Table 7 Colorful - Accent 3"/>
    <w:uiPriority w:val="99"/>
    <w:qFormat/>
    <w:tblPr>
      <w:tblCellMar>
        <w:left w:w="0" w:type="dxa"/>
        <w:top w:w="0" w:type="dxa"/>
        <w:right w:w="0" w:type="dxa"/>
        <w:bottom w:w="0" w:type="dxa"/>
      </w:tblCellMar>
    </w:tblPr>
  </w:style>
  <w:style w:type="table" w:styleId="1047" w:customStyle="1">
    <w:name w:val="Grid Table 7 Colorful - Accent 4"/>
    <w:uiPriority w:val="99"/>
    <w:qFormat/>
    <w:tblPr>
      <w:tblCellMar>
        <w:left w:w="0" w:type="dxa"/>
        <w:top w:w="0" w:type="dxa"/>
        <w:right w:w="0" w:type="dxa"/>
        <w:bottom w:w="0" w:type="dxa"/>
      </w:tblCellMar>
    </w:tblPr>
  </w:style>
  <w:style w:type="table" w:styleId="1048" w:customStyle="1">
    <w:name w:val="Grid Table 7 Colorful - Accent 5"/>
    <w:uiPriority w:val="99"/>
    <w:qFormat/>
    <w:tblPr>
      <w:tblCellMar>
        <w:left w:w="0" w:type="dxa"/>
        <w:top w:w="0" w:type="dxa"/>
        <w:right w:w="0" w:type="dxa"/>
        <w:bottom w:w="0" w:type="dxa"/>
      </w:tblCellMar>
    </w:tblPr>
  </w:style>
  <w:style w:type="table" w:styleId="1049" w:customStyle="1">
    <w:name w:val="Grid Table 7 Colorful - Accent 6"/>
    <w:uiPriority w:val="99"/>
    <w:qFormat/>
    <w:tblPr>
      <w:tblCellMar>
        <w:left w:w="0" w:type="dxa"/>
        <w:top w:w="0" w:type="dxa"/>
        <w:right w:w="0" w:type="dxa"/>
        <w:bottom w:w="0" w:type="dxa"/>
      </w:tblCellMar>
    </w:tblPr>
  </w:style>
  <w:style w:type="table" w:styleId="1050" w:customStyle="1">
    <w:name w:val="清单表 1 浅色1"/>
    <w:uiPriority w:val="99"/>
    <w:qFormat/>
    <w:tblPr>
      <w:tblCellMar>
        <w:left w:w="0" w:type="dxa"/>
        <w:top w:w="0" w:type="dxa"/>
        <w:right w:w="0" w:type="dxa"/>
        <w:bottom w:w="0" w:type="dxa"/>
      </w:tblCellMar>
    </w:tblPr>
  </w:style>
  <w:style w:type="table" w:styleId="1051" w:customStyle="1">
    <w:name w:val="List Table 1 Light - Accent 1"/>
    <w:uiPriority w:val="99"/>
    <w:qFormat/>
    <w:tblPr>
      <w:tblCellMar>
        <w:left w:w="0" w:type="dxa"/>
        <w:top w:w="0" w:type="dxa"/>
        <w:right w:w="0" w:type="dxa"/>
        <w:bottom w:w="0" w:type="dxa"/>
      </w:tblCellMar>
    </w:tblPr>
  </w:style>
  <w:style w:type="table" w:styleId="1052" w:customStyle="1">
    <w:name w:val="List Table 1 Light - Accent 2"/>
    <w:uiPriority w:val="99"/>
    <w:qFormat/>
    <w:tblPr>
      <w:tblCellMar>
        <w:left w:w="0" w:type="dxa"/>
        <w:top w:w="0" w:type="dxa"/>
        <w:right w:w="0" w:type="dxa"/>
        <w:bottom w:w="0" w:type="dxa"/>
      </w:tblCellMar>
    </w:tblPr>
  </w:style>
  <w:style w:type="table" w:styleId="1053" w:customStyle="1">
    <w:name w:val="List Table 1 Light - Accent 3"/>
    <w:uiPriority w:val="99"/>
    <w:qFormat/>
    <w:tblPr>
      <w:tblCellMar>
        <w:left w:w="0" w:type="dxa"/>
        <w:top w:w="0" w:type="dxa"/>
        <w:right w:w="0" w:type="dxa"/>
        <w:bottom w:w="0" w:type="dxa"/>
      </w:tblCellMar>
    </w:tblPr>
  </w:style>
  <w:style w:type="table" w:styleId="1054" w:customStyle="1">
    <w:name w:val="List Table 1 Light - Accent 4"/>
    <w:uiPriority w:val="99"/>
    <w:qFormat/>
    <w:tblPr>
      <w:tblCellMar>
        <w:left w:w="0" w:type="dxa"/>
        <w:top w:w="0" w:type="dxa"/>
        <w:right w:w="0" w:type="dxa"/>
        <w:bottom w:w="0" w:type="dxa"/>
      </w:tblCellMar>
    </w:tblPr>
  </w:style>
  <w:style w:type="table" w:styleId="1055" w:customStyle="1">
    <w:name w:val="List Table 1 Light - Accent 5"/>
    <w:uiPriority w:val="99"/>
    <w:qFormat/>
    <w:tblPr>
      <w:tblCellMar>
        <w:left w:w="0" w:type="dxa"/>
        <w:top w:w="0" w:type="dxa"/>
        <w:right w:w="0" w:type="dxa"/>
        <w:bottom w:w="0" w:type="dxa"/>
      </w:tblCellMar>
    </w:tblPr>
  </w:style>
  <w:style w:type="table" w:styleId="1056" w:customStyle="1">
    <w:name w:val="List Table 1 Light - Accent 6"/>
    <w:uiPriority w:val="99"/>
    <w:qFormat/>
    <w:tblPr>
      <w:tblCellMar>
        <w:left w:w="0" w:type="dxa"/>
        <w:top w:w="0" w:type="dxa"/>
        <w:right w:w="0" w:type="dxa"/>
        <w:bottom w:w="0" w:type="dxa"/>
      </w:tblCellMar>
    </w:tblPr>
  </w:style>
  <w:style w:type="table" w:styleId="1057" w:customStyle="1">
    <w:name w:val="清单表 21"/>
    <w:uiPriority w:val="99"/>
    <w:qFormat/>
    <w:tblPr>
      <w:tblCellMar>
        <w:left w:w="0" w:type="dxa"/>
        <w:top w:w="0" w:type="dxa"/>
        <w:right w:w="0" w:type="dxa"/>
        <w:bottom w:w="0" w:type="dxa"/>
      </w:tblCellMar>
    </w:tblPr>
  </w:style>
  <w:style w:type="table" w:styleId="1058" w:customStyle="1">
    <w:name w:val="List Table 2 - Accent 1"/>
    <w:uiPriority w:val="99"/>
    <w:qFormat/>
    <w:tblPr>
      <w:tblCellMar>
        <w:left w:w="0" w:type="dxa"/>
        <w:top w:w="0" w:type="dxa"/>
        <w:right w:w="0" w:type="dxa"/>
        <w:bottom w:w="0" w:type="dxa"/>
      </w:tblCellMar>
    </w:tblPr>
  </w:style>
  <w:style w:type="table" w:styleId="1059" w:customStyle="1">
    <w:name w:val="List Table 2 - Accent 2"/>
    <w:uiPriority w:val="99"/>
    <w:qFormat/>
    <w:tblPr>
      <w:tblCellMar>
        <w:left w:w="0" w:type="dxa"/>
        <w:top w:w="0" w:type="dxa"/>
        <w:right w:w="0" w:type="dxa"/>
        <w:bottom w:w="0" w:type="dxa"/>
      </w:tblCellMar>
    </w:tblPr>
  </w:style>
  <w:style w:type="table" w:styleId="1060" w:customStyle="1">
    <w:name w:val="List Table 2 - Accent 3"/>
    <w:uiPriority w:val="99"/>
    <w:qFormat/>
    <w:tblPr>
      <w:tblCellMar>
        <w:left w:w="0" w:type="dxa"/>
        <w:top w:w="0" w:type="dxa"/>
        <w:right w:w="0" w:type="dxa"/>
        <w:bottom w:w="0" w:type="dxa"/>
      </w:tblCellMar>
    </w:tblPr>
  </w:style>
  <w:style w:type="table" w:styleId="1061" w:customStyle="1">
    <w:name w:val="List Table 2 - Accent 4"/>
    <w:uiPriority w:val="99"/>
    <w:qFormat/>
    <w:tblPr>
      <w:tblCellMar>
        <w:left w:w="0" w:type="dxa"/>
        <w:top w:w="0" w:type="dxa"/>
        <w:right w:w="0" w:type="dxa"/>
        <w:bottom w:w="0" w:type="dxa"/>
      </w:tblCellMar>
    </w:tblPr>
  </w:style>
  <w:style w:type="table" w:styleId="1062" w:customStyle="1">
    <w:name w:val="List Table 2 - Accent 5"/>
    <w:uiPriority w:val="99"/>
    <w:qFormat/>
    <w:tblPr>
      <w:tblCellMar>
        <w:left w:w="0" w:type="dxa"/>
        <w:top w:w="0" w:type="dxa"/>
        <w:right w:w="0" w:type="dxa"/>
        <w:bottom w:w="0" w:type="dxa"/>
      </w:tblCellMar>
    </w:tblPr>
  </w:style>
  <w:style w:type="table" w:styleId="1063" w:customStyle="1">
    <w:name w:val="List Table 2 - Accent 6"/>
    <w:uiPriority w:val="99"/>
    <w:qFormat/>
    <w:tblPr>
      <w:tblCellMar>
        <w:left w:w="0" w:type="dxa"/>
        <w:top w:w="0" w:type="dxa"/>
        <w:right w:w="0" w:type="dxa"/>
        <w:bottom w:w="0" w:type="dxa"/>
      </w:tblCellMar>
    </w:tblPr>
  </w:style>
  <w:style w:type="table" w:styleId="1064" w:customStyle="1">
    <w:name w:val="清单表 31"/>
    <w:uiPriority w:val="99"/>
    <w:qFormat/>
    <w:tblPr>
      <w:tblCellMar>
        <w:left w:w="0" w:type="dxa"/>
        <w:top w:w="0" w:type="dxa"/>
        <w:right w:w="0" w:type="dxa"/>
        <w:bottom w:w="0" w:type="dxa"/>
      </w:tblCellMar>
    </w:tblPr>
  </w:style>
  <w:style w:type="table" w:styleId="1065" w:customStyle="1">
    <w:name w:val="List Table 3 - Accent 1"/>
    <w:uiPriority w:val="99"/>
    <w:qFormat/>
    <w:tblPr>
      <w:tblCellMar>
        <w:left w:w="0" w:type="dxa"/>
        <w:top w:w="0" w:type="dxa"/>
        <w:right w:w="0" w:type="dxa"/>
        <w:bottom w:w="0" w:type="dxa"/>
      </w:tblCellMar>
    </w:tblPr>
  </w:style>
  <w:style w:type="table" w:styleId="1066" w:customStyle="1">
    <w:name w:val="List Table 3 - Accent 2"/>
    <w:uiPriority w:val="99"/>
    <w:qFormat/>
    <w:tblPr>
      <w:tblCellMar>
        <w:left w:w="0" w:type="dxa"/>
        <w:top w:w="0" w:type="dxa"/>
        <w:right w:w="0" w:type="dxa"/>
        <w:bottom w:w="0" w:type="dxa"/>
      </w:tblCellMar>
    </w:tblPr>
  </w:style>
  <w:style w:type="table" w:styleId="1067" w:customStyle="1">
    <w:name w:val="List Table 3 - Accent 3"/>
    <w:uiPriority w:val="99"/>
    <w:qFormat/>
    <w:tblPr>
      <w:tblCellMar>
        <w:left w:w="0" w:type="dxa"/>
        <w:top w:w="0" w:type="dxa"/>
        <w:right w:w="0" w:type="dxa"/>
        <w:bottom w:w="0" w:type="dxa"/>
      </w:tblCellMar>
    </w:tblPr>
  </w:style>
  <w:style w:type="table" w:styleId="1068" w:customStyle="1">
    <w:name w:val="List Table 3 - Accent 4"/>
    <w:uiPriority w:val="99"/>
    <w:qFormat/>
    <w:tblPr>
      <w:tblCellMar>
        <w:left w:w="0" w:type="dxa"/>
        <w:top w:w="0" w:type="dxa"/>
        <w:right w:w="0" w:type="dxa"/>
        <w:bottom w:w="0" w:type="dxa"/>
      </w:tblCellMar>
    </w:tblPr>
  </w:style>
  <w:style w:type="table" w:styleId="1069" w:customStyle="1">
    <w:name w:val="List Table 3 - Accent 5"/>
    <w:uiPriority w:val="99"/>
    <w:qFormat/>
    <w:tblPr>
      <w:tblCellMar>
        <w:left w:w="0" w:type="dxa"/>
        <w:top w:w="0" w:type="dxa"/>
        <w:right w:w="0" w:type="dxa"/>
        <w:bottom w:w="0" w:type="dxa"/>
      </w:tblCellMar>
    </w:tblPr>
  </w:style>
  <w:style w:type="table" w:styleId="1070" w:customStyle="1">
    <w:name w:val="List Table 3 - Accent 6"/>
    <w:uiPriority w:val="99"/>
    <w:qFormat/>
    <w:tblPr>
      <w:tblCellMar>
        <w:left w:w="0" w:type="dxa"/>
        <w:top w:w="0" w:type="dxa"/>
        <w:right w:w="0" w:type="dxa"/>
        <w:bottom w:w="0" w:type="dxa"/>
      </w:tblCellMar>
    </w:tblPr>
  </w:style>
  <w:style w:type="table" w:styleId="1071" w:customStyle="1">
    <w:name w:val="清单表 41"/>
    <w:uiPriority w:val="99"/>
    <w:qFormat/>
    <w:tblPr>
      <w:tblCellMar>
        <w:left w:w="0" w:type="dxa"/>
        <w:top w:w="0" w:type="dxa"/>
        <w:right w:w="0" w:type="dxa"/>
        <w:bottom w:w="0" w:type="dxa"/>
      </w:tblCellMar>
    </w:tblPr>
  </w:style>
  <w:style w:type="table" w:styleId="1072" w:customStyle="1">
    <w:name w:val="List Table 4 - Accent 1"/>
    <w:uiPriority w:val="99"/>
    <w:qFormat/>
    <w:tblPr>
      <w:tblCellMar>
        <w:left w:w="0" w:type="dxa"/>
        <w:top w:w="0" w:type="dxa"/>
        <w:right w:w="0" w:type="dxa"/>
        <w:bottom w:w="0" w:type="dxa"/>
      </w:tblCellMar>
    </w:tblPr>
  </w:style>
  <w:style w:type="table" w:styleId="1073" w:customStyle="1">
    <w:name w:val="List Table 4 - Accent 2"/>
    <w:uiPriority w:val="99"/>
    <w:qFormat/>
    <w:tblPr>
      <w:tblCellMar>
        <w:left w:w="0" w:type="dxa"/>
        <w:top w:w="0" w:type="dxa"/>
        <w:right w:w="0" w:type="dxa"/>
        <w:bottom w:w="0" w:type="dxa"/>
      </w:tblCellMar>
    </w:tblPr>
  </w:style>
  <w:style w:type="table" w:styleId="1074" w:customStyle="1">
    <w:name w:val="List Table 4 - Accent 3"/>
    <w:uiPriority w:val="99"/>
    <w:qFormat/>
    <w:tblPr>
      <w:tblCellMar>
        <w:left w:w="0" w:type="dxa"/>
        <w:top w:w="0" w:type="dxa"/>
        <w:right w:w="0" w:type="dxa"/>
        <w:bottom w:w="0" w:type="dxa"/>
      </w:tblCellMar>
    </w:tblPr>
  </w:style>
  <w:style w:type="table" w:styleId="1075" w:customStyle="1">
    <w:name w:val="List Table 4 - Accent 4"/>
    <w:uiPriority w:val="99"/>
    <w:qFormat/>
    <w:tblPr>
      <w:tblCellMar>
        <w:left w:w="0" w:type="dxa"/>
        <w:top w:w="0" w:type="dxa"/>
        <w:right w:w="0" w:type="dxa"/>
        <w:bottom w:w="0" w:type="dxa"/>
      </w:tblCellMar>
    </w:tblPr>
  </w:style>
  <w:style w:type="table" w:styleId="1076" w:customStyle="1">
    <w:name w:val="List Table 4 - Accent 5"/>
    <w:uiPriority w:val="99"/>
    <w:qFormat/>
    <w:tblPr>
      <w:tblCellMar>
        <w:left w:w="0" w:type="dxa"/>
        <w:top w:w="0" w:type="dxa"/>
        <w:right w:w="0" w:type="dxa"/>
        <w:bottom w:w="0" w:type="dxa"/>
      </w:tblCellMar>
    </w:tblPr>
  </w:style>
  <w:style w:type="table" w:styleId="1077" w:customStyle="1">
    <w:name w:val="List Table 4 - Accent 6"/>
    <w:uiPriority w:val="99"/>
    <w:qFormat/>
    <w:tblPr>
      <w:tblCellMar>
        <w:left w:w="0" w:type="dxa"/>
        <w:top w:w="0" w:type="dxa"/>
        <w:right w:w="0" w:type="dxa"/>
        <w:bottom w:w="0" w:type="dxa"/>
      </w:tblCellMar>
    </w:tblPr>
  </w:style>
  <w:style w:type="table" w:styleId="1078" w:customStyle="1">
    <w:name w:val="清单表 5 深色1"/>
    <w:uiPriority w:val="99"/>
    <w:qFormat/>
    <w:tblPr>
      <w:tblCellMar>
        <w:left w:w="0" w:type="dxa"/>
        <w:top w:w="0" w:type="dxa"/>
        <w:right w:w="0" w:type="dxa"/>
        <w:bottom w:w="0" w:type="dxa"/>
      </w:tblCellMar>
    </w:tblPr>
  </w:style>
  <w:style w:type="table" w:styleId="1079" w:customStyle="1">
    <w:name w:val="List Table 5 Dark - Accent 1"/>
    <w:uiPriority w:val="99"/>
    <w:qFormat/>
    <w:tblPr>
      <w:tblCellMar>
        <w:left w:w="0" w:type="dxa"/>
        <w:top w:w="0" w:type="dxa"/>
        <w:right w:w="0" w:type="dxa"/>
        <w:bottom w:w="0" w:type="dxa"/>
      </w:tblCellMar>
    </w:tblPr>
  </w:style>
  <w:style w:type="table" w:styleId="1080" w:customStyle="1">
    <w:name w:val="List Table 5 Dark - Accent 2"/>
    <w:uiPriority w:val="99"/>
    <w:qFormat/>
    <w:tblPr>
      <w:tblCellMar>
        <w:left w:w="0" w:type="dxa"/>
        <w:top w:w="0" w:type="dxa"/>
        <w:right w:w="0" w:type="dxa"/>
        <w:bottom w:w="0" w:type="dxa"/>
      </w:tblCellMar>
    </w:tblPr>
  </w:style>
  <w:style w:type="table" w:styleId="1081" w:customStyle="1">
    <w:name w:val="List Table 5 Dark - Accent 3"/>
    <w:uiPriority w:val="99"/>
    <w:qFormat/>
    <w:tblPr>
      <w:tblCellMar>
        <w:left w:w="0" w:type="dxa"/>
        <w:top w:w="0" w:type="dxa"/>
        <w:right w:w="0" w:type="dxa"/>
        <w:bottom w:w="0" w:type="dxa"/>
      </w:tblCellMar>
    </w:tblPr>
  </w:style>
  <w:style w:type="table" w:styleId="1082" w:customStyle="1">
    <w:name w:val="List Table 5 Dark - Accent 4"/>
    <w:uiPriority w:val="99"/>
    <w:qFormat/>
    <w:tblPr>
      <w:tblCellMar>
        <w:left w:w="0" w:type="dxa"/>
        <w:top w:w="0" w:type="dxa"/>
        <w:right w:w="0" w:type="dxa"/>
        <w:bottom w:w="0" w:type="dxa"/>
      </w:tblCellMar>
    </w:tblPr>
  </w:style>
  <w:style w:type="table" w:styleId="1083" w:customStyle="1">
    <w:name w:val="List Table 5 Dark - Accent 5"/>
    <w:uiPriority w:val="99"/>
    <w:qFormat/>
    <w:tblPr>
      <w:tblCellMar>
        <w:left w:w="0" w:type="dxa"/>
        <w:top w:w="0" w:type="dxa"/>
        <w:right w:w="0" w:type="dxa"/>
        <w:bottom w:w="0" w:type="dxa"/>
      </w:tblCellMar>
    </w:tblPr>
  </w:style>
  <w:style w:type="table" w:styleId="1084" w:customStyle="1">
    <w:name w:val="List Table 5 Dark - Accent 6"/>
    <w:uiPriority w:val="99"/>
    <w:qFormat/>
    <w:tblPr>
      <w:tblCellMar>
        <w:left w:w="0" w:type="dxa"/>
        <w:top w:w="0" w:type="dxa"/>
        <w:right w:w="0" w:type="dxa"/>
        <w:bottom w:w="0" w:type="dxa"/>
      </w:tblCellMar>
    </w:tblPr>
  </w:style>
  <w:style w:type="table" w:styleId="1085" w:customStyle="1">
    <w:name w:val="清单表 6 彩色1"/>
    <w:uiPriority w:val="99"/>
    <w:qFormat/>
    <w:tblPr>
      <w:tblCellMar>
        <w:left w:w="0" w:type="dxa"/>
        <w:top w:w="0" w:type="dxa"/>
        <w:right w:w="0" w:type="dxa"/>
        <w:bottom w:w="0" w:type="dxa"/>
      </w:tblCellMar>
    </w:tblPr>
  </w:style>
  <w:style w:type="table" w:styleId="1086" w:customStyle="1">
    <w:name w:val="List Table 6 Colorful - Accent 1"/>
    <w:uiPriority w:val="99"/>
    <w:qFormat/>
    <w:tblPr>
      <w:tblCellMar>
        <w:left w:w="0" w:type="dxa"/>
        <w:top w:w="0" w:type="dxa"/>
        <w:right w:w="0" w:type="dxa"/>
        <w:bottom w:w="0" w:type="dxa"/>
      </w:tblCellMar>
    </w:tblPr>
  </w:style>
  <w:style w:type="table" w:styleId="1087" w:customStyle="1">
    <w:name w:val="List Table 6 Colorful - Accent 2"/>
    <w:uiPriority w:val="99"/>
    <w:qFormat/>
    <w:tblPr>
      <w:tblCellMar>
        <w:left w:w="0" w:type="dxa"/>
        <w:top w:w="0" w:type="dxa"/>
        <w:right w:w="0" w:type="dxa"/>
        <w:bottom w:w="0" w:type="dxa"/>
      </w:tblCellMar>
    </w:tblPr>
  </w:style>
  <w:style w:type="table" w:styleId="1088" w:customStyle="1">
    <w:name w:val="List Table 6 Colorful - Accent 3"/>
    <w:uiPriority w:val="99"/>
    <w:qFormat/>
    <w:tblPr>
      <w:tblCellMar>
        <w:left w:w="0" w:type="dxa"/>
        <w:top w:w="0" w:type="dxa"/>
        <w:right w:w="0" w:type="dxa"/>
        <w:bottom w:w="0" w:type="dxa"/>
      </w:tblCellMar>
    </w:tblPr>
  </w:style>
  <w:style w:type="table" w:styleId="1089" w:customStyle="1">
    <w:name w:val="List Table 6 Colorful - Accent 4"/>
    <w:uiPriority w:val="99"/>
    <w:qFormat/>
    <w:tblPr>
      <w:tblCellMar>
        <w:left w:w="0" w:type="dxa"/>
        <w:top w:w="0" w:type="dxa"/>
        <w:right w:w="0" w:type="dxa"/>
        <w:bottom w:w="0" w:type="dxa"/>
      </w:tblCellMar>
    </w:tblPr>
  </w:style>
  <w:style w:type="table" w:styleId="1090" w:customStyle="1">
    <w:name w:val="List Table 6 Colorful - Accent 5"/>
    <w:uiPriority w:val="99"/>
    <w:qFormat/>
    <w:tblPr>
      <w:tblCellMar>
        <w:left w:w="0" w:type="dxa"/>
        <w:top w:w="0" w:type="dxa"/>
        <w:right w:w="0" w:type="dxa"/>
        <w:bottom w:w="0" w:type="dxa"/>
      </w:tblCellMar>
    </w:tblPr>
  </w:style>
  <w:style w:type="table" w:styleId="1091" w:customStyle="1">
    <w:name w:val="List Table 6 Colorful - Accent 6"/>
    <w:uiPriority w:val="99"/>
    <w:qFormat/>
    <w:tblPr>
      <w:tblCellMar>
        <w:left w:w="0" w:type="dxa"/>
        <w:top w:w="0" w:type="dxa"/>
        <w:right w:w="0" w:type="dxa"/>
        <w:bottom w:w="0" w:type="dxa"/>
      </w:tblCellMar>
    </w:tblPr>
  </w:style>
  <w:style w:type="table" w:styleId="1092" w:customStyle="1">
    <w:name w:val="清单表 7 彩色1"/>
    <w:uiPriority w:val="99"/>
    <w:qFormat/>
    <w:tblPr>
      <w:tblCellMar>
        <w:left w:w="0" w:type="dxa"/>
        <w:top w:w="0" w:type="dxa"/>
        <w:right w:w="0" w:type="dxa"/>
        <w:bottom w:w="0" w:type="dxa"/>
      </w:tblCellMar>
    </w:tblPr>
  </w:style>
  <w:style w:type="table" w:styleId="1093" w:customStyle="1">
    <w:name w:val="List Table 7 Colorful - Accent 1"/>
    <w:uiPriority w:val="99"/>
    <w:qFormat/>
    <w:tblPr>
      <w:tblCellMar>
        <w:left w:w="0" w:type="dxa"/>
        <w:top w:w="0" w:type="dxa"/>
        <w:right w:w="0" w:type="dxa"/>
        <w:bottom w:w="0" w:type="dxa"/>
      </w:tblCellMar>
    </w:tblPr>
  </w:style>
  <w:style w:type="table" w:styleId="1094" w:customStyle="1">
    <w:name w:val="List Table 7 Colorful - Accent 2"/>
    <w:uiPriority w:val="99"/>
    <w:qFormat/>
    <w:tblPr>
      <w:tblCellMar>
        <w:left w:w="0" w:type="dxa"/>
        <w:top w:w="0" w:type="dxa"/>
        <w:right w:w="0" w:type="dxa"/>
        <w:bottom w:w="0" w:type="dxa"/>
      </w:tblCellMar>
    </w:tblPr>
  </w:style>
  <w:style w:type="table" w:styleId="1095" w:customStyle="1">
    <w:name w:val="List Table 7 Colorful - Accent 3"/>
    <w:uiPriority w:val="99"/>
    <w:qFormat/>
    <w:tblPr>
      <w:tblCellMar>
        <w:left w:w="0" w:type="dxa"/>
        <w:top w:w="0" w:type="dxa"/>
        <w:right w:w="0" w:type="dxa"/>
        <w:bottom w:w="0" w:type="dxa"/>
      </w:tblCellMar>
    </w:tblPr>
  </w:style>
  <w:style w:type="table" w:styleId="1096" w:customStyle="1">
    <w:name w:val="List Table 7 Colorful - Accent 4"/>
    <w:uiPriority w:val="99"/>
    <w:qFormat/>
    <w:tblPr>
      <w:tblCellMar>
        <w:left w:w="0" w:type="dxa"/>
        <w:top w:w="0" w:type="dxa"/>
        <w:right w:w="0" w:type="dxa"/>
        <w:bottom w:w="0" w:type="dxa"/>
      </w:tblCellMar>
    </w:tblPr>
  </w:style>
  <w:style w:type="table" w:styleId="1097" w:customStyle="1">
    <w:name w:val="List Table 7 Colorful - Accent 5"/>
    <w:uiPriority w:val="99"/>
    <w:qFormat/>
    <w:tblPr>
      <w:tblCellMar>
        <w:left w:w="0" w:type="dxa"/>
        <w:top w:w="0" w:type="dxa"/>
        <w:right w:w="0" w:type="dxa"/>
        <w:bottom w:w="0" w:type="dxa"/>
      </w:tblCellMar>
    </w:tblPr>
  </w:style>
  <w:style w:type="table" w:styleId="1098" w:customStyle="1">
    <w:name w:val="List Table 7 Colorful - Accent 6"/>
    <w:uiPriority w:val="99"/>
    <w:qFormat/>
    <w:tblPr>
      <w:tblCellMar>
        <w:left w:w="0" w:type="dxa"/>
        <w:top w:w="0" w:type="dxa"/>
        <w:right w:w="0" w:type="dxa"/>
        <w:bottom w:w="0" w:type="dxa"/>
      </w:tblCellMar>
    </w:tblPr>
  </w:style>
  <w:style w:type="table" w:styleId="1099" w:customStyle="1">
    <w:name w:val="Lined - Accent"/>
    <w:uiPriority w:val="99"/>
    <w:qFormat/>
    <w:rPr>
      <w:color w:val="404040"/>
    </w:rPr>
    <w:tblPr>
      <w:tblCellMar>
        <w:left w:w="0" w:type="dxa"/>
        <w:top w:w="0" w:type="dxa"/>
        <w:right w:w="0" w:type="dxa"/>
        <w:bottom w:w="0" w:type="dxa"/>
      </w:tblCellMar>
    </w:tblPr>
  </w:style>
  <w:style w:type="table" w:styleId="1100" w:customStyle="1">
    <w:name w:val="Lined - Accent 1"/>
    <w:uiPriority w:val="99"/>
    <w:qFormat/>
    <w:rPr>
      <w:color w:val="404040"/>
    </w:rPr>
    <w:tblPr>
      <w:tblCellMar>
        <w:left w:w="0" w:type="dxa"/>
        <w:top w:w="0" w:type="dxa"/>
        <w:right w:w="0" w:type="dxa"/>
        <w:bottom w:w="0" w:type="dxa"/>
      </w:tblCellMar>
    </w:tblPr>
  </w:style>
  <w:style w:type="table" w:styleId="1101" w:customStyle="1">
    <w:name w:val="Lined - Accent 2"/>
    <w:uiPriority w:val="99"/>
    <w:qFormat/>
    <w:rPr>
      <w:color w:val="404040"/>
    </w:rPr>
    <w:tblPr>
      <w:tblCellMar>
        <w:left w:w="0" w:type="dxa"/>
        <w:top w:w="0" w:type="dxa"/>
        <w:right w:w="0" w:type="dxa"/>
        <w:bottom w:w="0" w:type="dxa"/>
      </w:tblCellMar>
    </w:tblPr>
  </w:style>
  <w:style w:type="table" w:styleId="1102" w:customStyle="1">
    <w:name w:val="Lined - Accent 3"/>
    <w:uiPriority w:val="99"/>
    <w:qFormat/>
    <w:rPr>
      <w:color w:val="404040"/>
    </w:rPr>
    <w:tblPr>
      <w:tblCellMar>
        <w:left w:w="0" w:type="dxa"/>
        <w:top w:w="0" w:type="dxa"/>
        <w:right w:w="0" w:type="dxa"/>
        <w:bottom w:w="0" w:type="dxa"/>
      </w:tblCellMar>
    </w:tblPr>
  </w:style>
  <w:style w:type="table" w:styleId="1103" w:customStyle="1">
    <w:name w:val="Lined - Accent 4"/>
    <w:uiPriority w:val="99"/>
    <w:qFormat/>
    <w:rPr>
      <w:color w:val="404040"/>
    </w:rPr>
    <w:tblPr>
      <w:tblCellMar>
        <w:left w:w="0" w:type="dxa"/>
        <w:top w:w="0" w:type="dxa"/>
        <w:right w:w="0" w:type="dxa"/>
        <w:bottom w:w="0" w:type="dxa"/>
      </w:tblCellMar>
    </w:tblPr>
  </w:style>
  <w:style w:type="table" w:styleId="1104" w:customStyle="1">
    <w:name w:val="Lined - Accent 5"/>
    <w:uiPriority w:val="99"/>
    <w:qFormat/>
    <w:rPr>
      <w:color w:val="404040"/>
    </w:rPr>
    <w:tblPr>
      <w:tblCellMar>
        <w:left w:w="0" w:type="dxa"/>
        <w:top w:w="0" w:type="dxa"/>
        <w:right w:w="0" w:type="dxa"/>
        <w:bottom w:w="0" w:type="dxa"/>
      </w:tblCellMar>
    </w:tblPr>
  </w:style>
  <w:style w:type="table" w:styleId="1105" w:customStyle="1">
    <w:name w:val="Lined - Accent 6"/>
    <w:uiPriority w:val="99"/>
    <w:qFormat/>
    <w:rPr>
      <w:color w:val="404040"/>
    </w:rPr>
    <w:tblPr>
      <w:tblCellMar>
        <w:left w:w="0" w:type="dxa"/>
        <w:top w:w="0" w:type="dxa"/>
        <w:right w:w="0" w:type="dxa"/>
        <w:bottom w:w="0" w:type="dxa"/>
      </w:tblCellMar>
    </w:tblPr>
  </w:style>
  <w:style w:type="table" w:styleId="1106" w:customStyle="1">
    <w:name w:val="Bordered &amp; Lined - Accent"/>
    <w:uiPriority w:val="99"/>
    <w:qFormat/>
    <w:rPr>
      <w:color w:val="404040"/>
    </w:rPr>
    <w:tblPr>
      <w:tblCellMar>
        <w:left w:w="0" w:type="dxa"/>
        <w:top w:w="0" w:type="dxa"/>
        <w:right w:w="0" w:type="dxa"/>
        <w:bottom w:w="0" w:type="dxa"/>
      </w:tblCellMar>
    </w:tblPr>
  </w:style>
  <w:style w:type="table" w:styleId="1107" w:customStyle="1">
    <w:name w:val="Bordered &amp; Lined - Accent 1"/>
    <w:uiPriority w:val="99"/>
    <w:qFormat/>
    <w:rPr>
      <w:color w:val="404040"/>
    </w:rPr>
    <w:tblPr>
      <w:tblCellMar>
        <w:left w:w="0" w:type="dxa"/>
        <w:top w:w="0" w:type="dxa"/>
        <w:right w:w="0" w:type="dxa"/>
        <w:bottom w:w="0" w:type="dxa"/>
      </w:tblCellMar>
    </w:tblPr>
  </w:style>
  <w:style w:type="table" w:styleId="1108" w:customStyle="1">
    <w:name w:val="Bordered &amp; Lined - Accent 2"/>
    <w:uiPriority w:val="99"/>
    <w:qFormat/>
    <w:rPr>
      <w:color w:val="404040"/>
    </w:rPr>
    <w:tblPr>
      <w:tblCellMar>
        <w:left w:w="0" w:type="dxa"/>
        <w:top w:w="0" w:type="dxa"/>
        <w:right w:w="0" w:type="dxa"/>
        <w:bottom w:w="0" w:type="dxa"/>
      </w:tblCellMar>
    </w:tblPr>
  </w:style>
  <w:style w:type="table" w:styleId="1109" w:customStyle="1">
    <w:name w:val="Bordered &amp; Lined - Accent 3"/>
    <w:uiPriority w:val="99"/>
    <w:qFormat/>
    <w:rPr>
      <w:color w:val="404040"/>
    </w:rPr>
    <w:tblPr>
      <w:tblCellMar>
        <w:left w:w="0" w:type="dxa"/>
        <w:top w:w="0" w:type="dxa"/>
        <w:right w:w="0" w:type="dxa"/>
        <w:bottom w:w="0" w:type="dxa"/>
      </w:tblCellMar>
    </w:tblPr>
  </w:style>
  <w:style w:type="table" w:styleId="1110" w:customStyle="1">
    <w:name w:val="Bordered &amp; Lined - Accent 4"/>
    <w:uiPriority w:val="99"/>
    <w:qFormat/>
    <w:rPr>
      <w:color w:val="404040"/>
    </w:rPr>
    <w:tblPr>
      <w:tblCellMar>
        <w:left w:w="0" w:type="dxa"/>
        <w:top w:w="0" w:type="dxa"/>
        <w:right w:w="0" w:type="dxa"/>
        <w:bottom w:w="0" w:type="dxa"/>
      </w:tblCellMar>
    </w:tblPr>
  </w:style>
  <w:style w:type="table" w:styleId="1111" w:customStyle="1">
    <w:name w:val="Bordered &amp; Lined - Accent 5"/>
    <w:uiPriority w:val="99"/>
    <w:qFormat/>
    <w:rPr>
      <w:color w:val="404040"/>
    </w:rPr>
    <w:tblPr>
      <w:tblCellMar>
        <w:left w:w="0" w:type="dxa"/>
        <w:top w:w="0" w:type="dxa"/>
        <w:right w:w="0" w:type="dxa"/>
        <w:bottom w:w="0" w:type="dxa"/>
      </w:tblCellMar>
    </w:tblPr>
  </w:style>
  <w:style w:type="table" w:styleId="1112" w:customStyle="1">
    <w:name w:val="Bordered &amp; Lined - Accent 6"/>
    <w:uiPriority w:val="99"/>
    <w:qFormat/>
    <w:rPr>
      <w:color w:val="404040"/>
    </w:rPr>
    <w:tblPr>
      <w:tblCellMar>
        <w:left w:w="0" w:type="dxa"/>
        <w:top w:w="0" w:type="dxa"/>
        <w:right w:w="0" w:type="dxa"/>
        <w:bottom w:w="0" w:type="dxa"/>
      </w:tblCellMar>
    </w:tblPr>
  </w:style>
  <w:style w:type="table" w:styleId="1113" w:customStyle="1">
    <w:name w:val="Bordered"/>
    <w:uiPriority w:val="99"/>
    <w:qFormat/>
    <w:tblPr>
      <w:tblCellMar>
        <w:left w:w="0" w:type="dxa"/>
        <w:top w:w="0" w:type="dxa"/>
        <w:right w:w="0" w:type="dxa"/>
        <w:bottom w:w="0" w:type="dxa"/>
      </w:tblCellMar>
    </w:tblPr>
  </w:style>
  <w:style w:type="table" w:styleId="1114" w:customStyle="1">
    <w:name w:val="Bordered - Accent 1"/>
    <w:uiPriority w:val="99"/>
    <w:qFormat/>
    <w:tblPr>
      <w:tblCellMar>
        <w:left w:w="0" w:type="dxa"/>
        <w:top w:w="0" w:type="dxa"/>
        <w:right w:w="0" w:type="dxa"/>
        <w:bottom w:w="0" w:type="dxa"/>
      </w:tblCellMar>
    </w:tblPr>
  </w:style>
  <w:style w:type="table" w:styleId="1115" w:customStyle="1">
    <w:name w:val="Bordered - Accent 2"/>
    <w:uiPriority w:val="99"/>
    <w:qFormat/>
    <w:tblPr>
      <w:tblCellMar>
        <w:left w:w="0" w:type="dxa"/>
        <w:top w:w="0" w:type="dxa"/>
        <w:right w:w="0" w:type="dxa"/>
        <w:bottom w:w="0" w:type="dxa"/>
      </w:tblCellMar>
    </w:tblPr>
  </w:style>
  <w:style w:type="table" w:styleId="1116" w:customStyle="1">
    <w:name w:val="Bordered - Accent 3"/>
    <w:uiPriority w:val="99"/>
    <w:qFormat/>
    <w:tblPr>
      <w:tblCellMar>
        <w:left w:w="0" w:type="dxa"/>
        <w:top w:w="0" w:type="dxa"/>
        <w:right w:w="0" w:type="dxa"/>
        <w:bottom w:w="0" w:type="dxa"/>
      </w:tblCellMar>
    </w:tblPr>
  </w:style>
  <w:style w:type="table" w:styleId="1117" w:customStyle="1">
    <w:name w:val="Bordered - Accent 4"/>
    <w:uiPriority w:val="99"/>
    <w:qFormat/>
    <w:tblPr>
      <w:tblCellMar>
        <w:left w:w="0" w:type="dxa"/>
        <w:top w:w="0" w:type="dxa"/>
        <w:right w:w="0" w:type="dxa"/>
        <w:bottom w:w="0" w:type="dxa"/>
      </w:tblCellMar>
    </w:tblPr>
  </w:style>
  <w:style w:type="table" w:styleId="1118" w:customStyle="1">
    <w:name w:val="Bordered - Accent 5"/>
    <w:uiPriority w:val="99"/>
    <w:qFormat/>
    <w:tblPr>
      <w:tblCellMar>
        <w:left w:w="0" w:type="dxa"/>
        <w:top w:w="0" w:type="dxa"/>
        <w:right w:w="0" w:type="dxa"/>
        <w:bottom w:w="0" w:type="dxa"/>
      </w:tblCellMar>
    </w:tblPr>
  </w:style>
  <w:style w:type="table" w:styleId="1119" w:customStyle="1">
    <w:name w:val="Bordered - Accent 6"/>
    <w:uiPriority w:val="99"/>
    <w:qFormat/>
    <w:tblPr>
      <w:tblCellMar>
        <w:left w:w="0" w:type="dxa"/>
        <w:top w:w="0" w:type="dxa"/>
        <w:right w:w="0" w:type="dxa"/>
        <w:bottom w:w="0" w:type="dxa"/>
      </w:tblCellMar>
    </w:tblPr>
  </w:style>
  <w:style w:type="table" w:styleId="1120" w:customStyle="1">
    <w:name w:val="普通表格1"/>
    <w:uiPriority w:val="99"/>
    <w:qFormat/>
    <w:tblPr>
      <w:tblCellMar>
        <w:left w:w="0" w:type="dxa"/>
        <w:top w:w="0" w:type="dxa"/>
        <w:right w:w="0" w:type="dxa"/>
        <w:bottom w:w="0" w:type="dxa"/>
      </w:tblCellMar>
    </w:tblPr>
  </w:style>
  <w:style w:type="table" w:styleId="1121" w:customStyle="1">
    <w:name w:val="网格型11"/>
    <w:basedOn w:val="1120"/>
    <w:qFormat/>
    <w:pPr>
      <w:jc w:val="both"/>
      <w:widowControl w:val="off"/>
    </w:pPr>
    <w:tblPr>
      <w:tblCellMar>
        <w:left w:w="0" w:type="dxa"/>
        <w:top w:w="0" w:type="dxa"/>
        <w:right w:w="0" w:type="dxa"/>
        <w:bottom w:w="0" w:type="dxa"/>
      </w:tblCellMar>
    </w:tblPr>
  </w:style>
  <w:style w:type="table" w:styleId="1122" w:customStyle="1">
    <w:name w:val="Table Normal"/>
    <w:qFormat/>
    <w:tblPr>
      <w:tblCellMar>
        <w:left w:w="0" w:type="dxa"/>
        <w:top w:w="0" w:type="dxa"/>
        <w:right w:w="0" w:type="dxa"/>
        <w:bottom w:w="0" w:type="dxa"/>
      </w:tblCellMar>
    </w:tblPr>
  </w:style>
  <w:style w:type="paragraph" w:styleId="1123" w:customStyle="1">
    <w:name w:val="正文首行缩进 21"/>
    <w:basedOn w:val="969"/>
    <w:next w:val="726"/>
    <w:qFormat/>
    <w:pPr>
      <w:ind w:left="0" w:firstLine="420"/>
      <w:spacing w:after="0" w:line="360" w:lineRule="auto"/>
    </w:pPr>
    <w:rPr>
      <w:rFonts w:ascii="宋体" w:hAnsi="宋体"/>
      <w:szCs w:val="20"/>
    </w:rPr>
  </w:style>
  <w:style w:type="paragraph" w:styleId="1124">
    <w:name w:val="annotation text"/>
    <w:basedOn w:val="726"/>
    <w:link w:val="1125"/>
    <w:uiPriority w:val="99"/>
    <w:semiHidden/>
    <w:unhideWhenUsed/>
    <w:pPr>
      <w:jc w:val="left"/>
    </w:pPr>
  </w:style>
  <w:style w:type="character" w:styleId="1125" w:customStyle="1">
    <w:name w:val="批注文字 字符1"/>
    <w:basedOn w:val="736"/>
    <w:link w:val="1124"/>
    <w:uiPriority w:val="99"/>
    <w:semiHidden/>
    <w:rPr>
      <w:sz w:val="21"/>
      <w:szCs w:val="22"/>
    </w:rPr>
  </w:style>
  <w:style w:type="character" w:styleId="1126">
    <w:name w:val="annotation reference"/>
    <w:basedOn w:val="736"/>
    <w:uiPriority w:val="99"/>
    <w:semiHidden/>
    <w:unhideWhenUsed/>
    <w:rPr>
      <w:sz w:val="21"/>
      <w:szCs w:val="21"/>
    </w:rPr>
  </w:style>
  <w:style w:type="paragraph" w:styleId="1127">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9</cp:revision>
  <dcterms:created xsi:type="dcterms:W3CDTF">2023-03-16T02:13:00Z</dcterms:created>
  <dcterms:modified xsi:type="dcterms:W3CDTF">2026-04-30T03:09:47Z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eyJoZGlkIjoiYzMyZDRjOWJlZmQzMmQ0MzA2MzVmNWE4ZjRmOTM1NmYiLCJ1c2VySWQiOiI1MjQ0ODMwMDkifQ==</vt:lpwstr>
  </property>
  <property fmtid="{D5CDD505-2E9C-101B-9397-08002B2CF9AE}" pid="3" name="KSOProductBuildVer">
    <vt:lpwstr>2052-12.1.0.25860</vt:lpwstr>
  </property>
  <property fmtid="{D5CDD505-2E9C-101B-9397-08002B2CF9AE}" pid="4" name="ICV">
    <vt:lpwstr>B40AAED1087546928D8E94965928F95A_12</vt:lpwstr>
  </property>
</Properties>
</file>