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B602A">
      <w:pPr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</w:pPr>
      <w:bookmarkStart w:id="0" w:name="_Toc35393813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  <w:t>更正公告</w:t>
      </w:r>
      <w:bookmarkEnd w:id="0"/>
    </w:p>
    <w:p w14:paraId="3377324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both"/>
        <w:textAlignment w:val="auto"/>
        <w:outlineLvl w:val="1"/>
        <w:rPr>
          <w:rFonts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一、项目基本情况</w:t>
      </w:r>
      <w:bookmarkEnd w:id="1"/>
      <w:bookmarkEnd w:id="2"/>
      <w:bookmarkEnd w:id="3"/>
      <w:bookmarkEnd w:id="4"/>
    </w:p>
    <w:p w14:paraId="030E5F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JSZC-320723-HRGJ-G2026-0003</w:t>
      </w:r>
    </w:p>
    <w:p w14:paraId="78ED1F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灌云县高新区高级中学建设项目桌椅床、橱柜采购安装项目</w:t>
      </w:r>
    </w:p>
    <w:p w14:paraId="61ED05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2CEC409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both"/>
        <w:textAlignment w:val="auto"/>
        <w:outlineLvl w:val="1"/>
        <w:rPr>
          <w:rFonts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5" w:name="_Toc35393815"/>
      <w:bookmarkStart w:id="6" w:name="_Toc28359105"/>
      <w:bookmarkStart w:id="7" w:name="_Toc35393646"/>
      <w:bookmarkStart w:id="8" w:name="_Toc28359028"/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二、更正信息</w:t>
      </w:r>
      <w:bookmarkEnd w:id="5"/>
      <w:bookmarkEnd w:id="6"/>
      <w:bookmarkEnd w:id="7"/>
      <w:bookmarkEnd w:id="8"/>
    </w:p>
    <w:p w14:paraId="1C3BBD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5C2C42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424E1F3C">
      <w:pPr>
        <w:keepNext w:val="0"/>
        <w:keepLines w:val="0"/>
        <w:pageBreakBefore w:val="0"/>
        <w:widowControl w:val="0"/>
        <w:spacing w:line="380" w:lineRule="exac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招标文件中</w:t>
      </w:r>
      <w:bookmarkStart w:id="9" w:name="_Toc165205798"/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第五章评标方法与评标标准</w:t>
      </w:r>
      <w:bookmarkEnd w:id="9"/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（3）商务分（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分）</w:t>
      </w:r>
    </w:p>
    <w:tbl>
      <w:tblPr>
        <w:tblStyle w:val="7"/>
        <w:tblW w:w="88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7347"/>
      </w:tblGrid>
      <w:tr w14:paraId="1ACA2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44" w:type="dxa"/>
            <w:noWrap/>
            <w:vAlign w:val="center"/>
          </w:tcPr>
          <w:p w14:paraId="0586A5B3">
            <w:pPr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7347" w:type="dxa"/>
            <w:noWrap/>
            <w:vAlign w:val="center"/>
          </w:tcPr>
          <w:p w14:paraId="1CDD75D9">
            <w:pPr>
              <w:keepNext w:val="0"/>
              <w:keepLines w:val="0"/>
              <w:pageBreakBefore w:val="0"/>
              <w:widowControl w:val="0"/>
              <w:tabs>
                <w:tab w:val="left" w:pos="7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评审标准</w:t>
            </w:r>
          </w:p>
        </w:tc>
      </w:tr>
      <w:tr w14:paraId="454D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4" w:type="dxa"/>
            <w:noWrap/>
            <w:vAlign w:val="center"/>
          </w:tcPr>
          <w:p w14:paraId="1BE1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原材料检测报告</w:t>
            </w:r>
          </w:p>
          <w:p w14:paraId="1C60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分）</w:t>
            </w:r>
          </w:p>
        </w:tc>
        <w:tc>
          <w:tcPr>
            <w:tcW w:w="7347" w:type="dxa"/>
            <w:noWrap/>
            <w:vAlign w:val="center"/>
          </w:tcPr>
          <w:p w14:paraId="1E94D5B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或所投产品制造商具有由第三方检测机构出具的具有CMA或CNAS标识的原材料抽样检测报告且检测结果为合格：</w:t>
            </w:r>
          </w:p>
          <w:p w14:paraId="66D31C02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1. 三聚氰胺板饰面中纤板：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依据GB/T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39600-2021《人造板及其制品甲醛释放量分级》、GB/T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15102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-20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浸渍胶膜纸饰面纤维板和刨花板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检测内容必须包含但不限于：①表面耐冷热循环（无裂纹、变色、鼓泡起皱）、表面耐划痕（加载1.5N表面无大于90%的连续划痕）、表面耐污染腐蚀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达到4级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以上，②弹性模量≥2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00MPa、静曲强度≥2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MPa、③甲醛释放量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ENF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≤0.0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mg/m³，④防霉性能（黑曲霉菌、土曲霉菌）等级达到0级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或1级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7AFC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检测报告同时满足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上述检测项目得1分，缺项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或不满足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不得分。</w:t>
            </w:r>
          </w:p>
          <w:p w14:paraId="69A6E396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2. 锁具：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依据QB/T 1621-2015家具锁、QB/T 3826-1999轻工产品金属镀层和化学处理层的耐腐蚀试验方法 中性盐雾试验(NSS)法、QB/T 3832-1999轻工产品金属镀层腐蚀试验结果的评价、GB/T 10125-2021人造气氛腐蚀试验 盐雾试验、GB/T 6461-2002金属基体上金属和其他无机覆盖层 经腐蚀试验后的试样和试件的评级、GB/T 1741-2020 漆膜耐霉菌性测定法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检测内容必须包含但不限于：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①钥匙插拔、旋转符合要求；弹子锁钥匙拔出静拉力≤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N；斜舌闭合力≤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N；钥匙开启扭矩≤0.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N·m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②中性盐雾≥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H，涂层本身的耐腐蚀等级≥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级；涂层对基体的保护等级≥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级且判定合格；乙酸盐雾及铜加速乙酸盐雾均试验周期408h，保护评级≥10级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③绳状青霉、球毛壳霉、出芽短梗霉、黑曲霉均为0级不生长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39E5D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检测报告同时满足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上述检测项目得1分，缺项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或不满足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不得分。</w:t>
            </w:r>
          </w:p>
          <w:p w14:paraId="4D0A884E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3. 抗菌防霉环氧树脂静电粉末：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依据HG/T 2006-2022《热固性和热塑性粉末涂料》:GB 18581-2020《木器涂料中有害物质限量》: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G/T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3950-20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《抗菌涂料》:GB/T 21782.3-20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《粉末涂料第3部分: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液体置换比重瓶法测定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率</w:t>
            </w:r>
            <w:bookmarkStart w:id="28" w:name="_GoBack"/>
            <w:bookmarkEnd w:id="28"/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》:GB/T 21782.5-2010《粉末涂料第5部分:粉末空气混合物流动性的测定》:JT/T600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-2025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《公路用防腐蚀粉末涂料及涂层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第1部分：通则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检测内容必须包含但不限于：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①涂膜外观、耐冲击性，②铅笔硬度(内聚破坏中擦伤)≥3H；弯曲试验≤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mm；光泽≤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GU；耐碱性(质量分数)氢氧化钠溶液≥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168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H无异常，③总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铅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(Pb)、镉、铬、汞含量均未检出，④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缩芽孢杆菌及烟曲霉均为I级；抗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细菌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性能≥99%；涂层附着性能0级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146B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检测报告同时满足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上述检测项目得1分，缺项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或不满足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不得分。</w:t>
            </w:r>
          </w:p>
          <w:p w14:paraId="63065448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4. 不锈钢液压缓冲阻尼铰链：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依据QB/T 2189-2013家具五金杯状暗铰链、QB/T 3832-1999《轻工产品金属镀层腐蚀试验结果的评价》、QB/T 3826-1999《轻工产品金属镀层和化学处理层的耐腐蚀试验方法中性盐雾试验(NSS)法》、GB/T 10125-2021《人造气氛腐蚀试验盐雾试验》、GB/T 1741-20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《漆膜耐霉菌性测定法》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检测内容必须包含但不限于：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①过载的垂直、水平静载荷，操作力、耐久性、功能的垂直和水平静载荷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②乙酸盐雾≥18H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涂层本身的耐腐蚀等级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均≥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级；涂层对基体的保护等级均≥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级）③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中性盐雾≥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h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且涂层本身的耐腐蚀等级均≥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级；涂层对基体的保护等级均≥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级）④黑曲霉菌和土曲霉菌防霉等级达到0级。</w:t>
            </w:r>
          </w:p>
          <w:p w14:paraId="5A00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检测报告同时满足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上述检测项目得1分，缺项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或不满足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不得分。</w:t>
            </w:r>
          </w:p>
          <w:p w14:paraId="26D8F58B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5. 阻尼静音导轨：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依据QB/T 3827-1999QB/T《轻工产品金属镀层和化学处理层的耐腐蚀试验方法乙酸盐雾试验(ASS)法》；QB/T2454-2013《家具五金 抽屉导轨》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QB/T 3832-1999《轻工产品金属镀层腐蚀试验结果的评价》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检测内容必须包含但不限于：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①垂直向下静载荷满足要求、水平侧向静载荷满足要求、猛开或猛关满足要求，抽屉导轨组件底部变形/M满足要求；抽屉导轨组件结构强度/200N②耐久性≥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万次功能无损坏③乙酸盐雾≥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350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h的涂层本身的耐腐蚀等级均≥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级；涂层对基体的保护等级均≥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级；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耐腐蚀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（18h）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无锈点、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抗盐雾（18h）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无锈点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6C5D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检测报告同时满足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上述检测项目得1分，缺项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或不满足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不得分。</w:t>
            </w:r>
          </w:p>
          <w:p w14:paraId="04BB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. 油漆（水性漆或聚氨酯）：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GB/T 21866-20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涂膜涂料（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）抗菌性测定法和抗菌效果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GB/T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1741-2020《漆膜耐霉菌性测定法》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GB/T 1865-2009《色漆和清漆人工气候老化和人工辐射曝露滤过的氙弧辐射》:GB 18581-2020《木器涂料中有害物质限量》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GB/T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23983-2009《木器涂料耐黄变性测定法》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检测内容必须包含但不限于：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①甲醛含量≤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mg/kg②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抗细菌性能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耐霉菌性等级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④耐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黄变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66D9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检测报告同时满足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上述检测项目得1分，缺项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或不满足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不得分。</w:t>
            </w:r>
          </w:p>
          <w:p w14:paraId="2447BC94">
            <w:pPr>
              <w:keepNext w:val="0"/>
              <w:keepLines w:val="0"/>
              <w:pageBreakBefore w:val="0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. 胶水（粘合剂或白乳胶）：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GB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18583-2008《室内装饰装修材料胶粘剂中有害物质限量》HG/T 2727-2010(2017)《聚乙酸乙烯酯乳液木材胶粘剂》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检测内容必须包含但不限于：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①游离甲醛≤1.0g/kg②总挥发性有机物≤110g/L③甲苯+二甲苯≤10g/kg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26A0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检测报告同时满足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上述检测项目得1分，缺项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或不满足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不得分。</w:t>
            </w:r>
          </w:p>
          <w:p w14:paraId="56679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橡胶木：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依据GB/T 3324-2024木家具通用技术条件；GB/T 29894-2013木材鉴别方法通则；GB/T 18513-2022中国主要木材名称；GB/T 1927.5-2021无疵小试样木材物理力学性质试验方法第5部分:密度测定SN/T 2145-2008 木材防腐剂与防腐处理木材及其制品中五氯苯酚的测定 气相色谱法；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检测内容必须包含但不限于：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①木材名称②木材含水率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 w14:paraId="6FACF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检测报告同时满足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上述检测项目得1分，缺项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或不满足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</w:rPr>
              <w:t>不得分。</w:t>
            </w:r>
          </w:p>
          <w:p w14:paraId="089B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9.闭合钢管：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依据GB/T 1741-2020《漆膜耐霉菌性测定法》:QB/T 3832-1999《轻工产品金属镀层腐蚀试验结果的评价》:QB/T 4371-2012《家具抗菌性能的评价》:QB/T 3826-1999《轻工产品金属镀层和化学处理层的耐腐蚀试验方法中性盐试验(NSS)法》；检测内容必须包含但不限于：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  <w:t>①中性盐雾≥240H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，涂层本身的耐腐蚀等级≥5级；涂层对基体的保护等级≥5级；②耐霉菌性等级（宛氏拟青霉、桔青霉、绿色木霉(绿色木霉菌)、腊叶芽枝霉、黑曲霉、黄曲霉、链格孢、多主枝孢(蜡叶芽枝霉)、出芽短梗霉）均为1级衡量生长；③抗菌率（金黄色葡萄球菌、大肠埃希氏菌(大肠杆菌)、肺炎链球菌、白色念珠菌、沙门氏菌）均≥90%。</w:t>
            </w:r>
          </w:p>
          <w:p w14:paraId="4F9D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检测报告同时满足上述检测项目得1分，缺项或不满足不得分。</w:t>
            </w:r>
          </w:p>
          <w:p w14:paraId="44CBB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10.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PP塑料脚套：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依据GB/T 32487-2016《塑料家具通用技术条件》;GB/T 16422.3-2022《塑料 实验室光源暴露试验方法第3部分:光紫外灯》:GB/T 24128-2018《塑料塑料防剂的防霉效果评估》:ISO21702:2019《塑料及其它非多孔表面抗病毒活性的测定》;GB/T 1033.1-2008《塑料 非泡沫塑料省度的测定 第1部分:浸渍法、液体比重瓶法和滴定法》:GB/T 3682.1-2018《塑料热塑性塑料济体质量流动速率(MFR)和熔体体积流动速率(MVR)的测定第1部分:标准方法》；GB/T 1633-2000《热塑性塑料维卡软化温度(VST)的测定》:GB/T 1634.1-2025《 塑料 负荷变形温度的测定第1部分:通用试验方法》:GB/T  9341-2008《塑料弯曲性能的测定》: GB/T 3854-2017《增强塑料巴柯尔硬度试验方法》:GB/T 1034-2008《塑料吸水性的测定》:GB/T6040-2019《红外光普分析方法通则》:GB/T 11547-2008《塑料耐液体化学试剂性能的测定》:GB/T 1766-2008色漆和清漆涂层老化的评级方法》；检测内容必须包含但不限于：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①冲击强度≥10J/㎡；②塑料件外观（无裂纹、明显变形、缩水、针孔；无凹陷、飞边折皱、疙瘩；无气泡、杂质伤痕、白印；表面光洁，尤划痕、毛刺、拉毛、污渍；无明显色差）；③邵氏D硬度≥HD63；使用日光滤光器的暴露(人工气候老化)的（破坏的变化程度等级、变色程度和变色等级、开裂数量等级、粉化程度和等级）均500H无变化；④防霉等级帚状曲莓0级没有生长；</w:t>
            </w:r>
          </w:p>
          <w:p w14:paraId="27077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检测报告同时满足上述检测项目得1分，缺项或不满足不得分。</w:t>
            </w:r>
          </w:p>
          <w:p w14:paraId="5EABA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11.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抗老化一次成型塑料制品件：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依据GB/T 6040-2019《红外光谱分析方法通则》:GB/T 32487-2016《塑料家具通用技术条件》:GB/T 5470-2008《塑料冲击法脆化温度的测定》:GB/T 3960-2016《塑料 滑动摩擦磨损试验方法》；检测内容必须包含但不限于：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①塑料件外观（无裂纹、明显变形、缩水针孔、无凹陷、飞边、折皱、疙瘩、无气泡、杂质、伤痕、白印、表面光洁，无划痕、毛刺拉毛、污溃、无明显色差），②塑料滑动摩擦磨损试验（摩擦系数＞0.2、质量磨损&lt;0.001g），③塑料(定性分析)主要成分:聚丙烯pp，脆化温度-5℃无破损。</w:t>
            </w:r>
          </w:p>
          <w:p w14:paraId="08B2B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检测报告同时满足上述检测项目得1分，缺项或不满足不得分。</w:t>
            </w:r>
          </w:p>
          <w:p w14:paraId="107FCD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12.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坐背板(座靠板)：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依据GB/T 1741-2020《漆膜耐霉菌性测定法》;QB/T 4371-2012《家具抗菌性能的评价》；检测内容必须包含但不限于：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①抑菌率（肺炎克雷伯氏菌、鼠伤寒沙门氏菌、金黄色葡萄球菌、大肠埃希氏菌、铜绿假单胞菌）均≥90%；②耐霉菌性等级（绳状青霉、宛氏拟青霉、球毛壳霉、黑曲及长枝木霉）均为0级不生长。</w:t>
            </w:r>
          </w:p>
          <w:p w14:paraId="0F1A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检测报告同时满足上述检测项目得1分，缺项或不满足不得分。</w:t>
            </w:r>
          </w:p>
          <w:p w14:paraId="65739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13.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杉木(杉木床板)：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  <w:t>依据GB/T 8626-2026《建筑材料可燃性试验方法》:JC/T 2039-2010《抗南防霉木质装饰板》:GB/T 16734-19970主要木材名称》:GB 8624-2012《 建筑材料及制品燃烧性能分级》:GB/T 29894-2013《木材鉴别方法通则》::QB/T 4371-2012《家具抗CB/T 20284-2006张筑材料或制品的单体燃试验》；检测内容必须包含但不限于： ①树种鉴别，②抗细菌率，③防霉菌等级（绳状青、宛氏拟青、球毛壳、黑曲、长枝木、白色假丝酵母菌、白色念珠菌）霉的结果均为0级不长，③燃烧性能等级达B1级（燃烧增长速率指数≤110W/S、600s的总放热量≤7MJ、60s内焰尖高度≤110mm、60s内无燃烧滴落物引燃滤纸现象符合要求），④有害物质限（甲醛释放量、苯、甲苯、二甲苯、总挥发性有机化合物(TVOC)、家具涂层可迁移元素8项）均为未检出。</w:t>
            </w:r>
          </w:p>
          <w:p w14:paraId="297A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 w:bidi="ar-SA"/>
              </w:rPr>
              <w:t>检测报告同时满足上述检测项目得1分，缺项或不满足不得分。</w:t>
            </w:r>
          </w:p>
          <w:p w14:paraId="403B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</w:rPr>
              <w:t>上述1-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8"/>
                <w:szCs w:val="28"/>
              </w:rPr>
              <w:t>项，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须提供抽样检测报告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eastAsia="zh-CN"/>
              </w:rPr>
              <w:t>原件彩色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扫描件并加盖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公章，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val="en-US" w:eastAsia="zh-CN"/>
              </w:rPr>
              <w:t>检测结果不满足要求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不得分。报告可通过检测机构官网查询及二维码扫描，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val="en-US" w:eastAsia="zh-CN"/>
              </w:rPr>
              <w:t>投标文件中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提供官网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val="en-US" w:eastAsia="zh-CN"/>
              </w:rPr>
              <w:t>查询报告结果截图</w:t>
            </w: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并注明查询步骤的入口及方法，便于查询真伪，不提供或检测机构官网无法查询的不得分，如检测（抽检）报告中指标名称、单位表述不完全一致，由评委综合评定。</w:t>
            </w:r>
          </w:p>
        </w:tc>
      </w:tr>
    </w:tbl>
    <w:p w14:paraId="5C8EE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开标时间由2026年4月30日上午10:00（北京时间）变更为2026年5月14日上午10:00（北京时间）</w:t>
      </w:r>
    </w:p>
    <w:p w14:paraId="6E889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五、样品相关要求</w:t>
      </w:r>
    </w:p>
    <w:p w14:paraId="04E9E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2.样品接收时间、地点要求</w:t>
      </w:r>
    </w:p>
    <w:p w14:paraId="14354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样品接收时间：2026年5月13日下午14:30-17:30</w:t>
      </w:r>
    </w:p>
    <w:p w14:paraId="0890F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样品接收地点：灌云县云湖实验小学</w:t>
      </w:r>
    </w:p>
    <w:p w14:paraId="547C9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样品接收联系人：朱必德</w:t>
      </w:r>
    </w:p>
    <w:p w14:paraId="4BB3A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联系电话：13961357737</w:t>
      </w:r>
    </w:p>
    <w:p w14:paraId="44A40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本次招标的样品接收截止时间为2026年5月13日下午17：30。投标人将样品运至指定地点和区域，并填写“样品接收登记表”。样品接收截止时间是指供应商将样品送达指定地点后，经样品接收联系人确认后并填写“样品接收登记表”的时间为准。</w:t>
      </w:r>
    </w:p>
    <w:p w14:paraId="07A2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405F74B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jc w:val="both"/>
        <w:textAlignment w:val="auto"/>
        <w:outlineLvl w:val="1"/>
        <w:rPr>
          <w:rFonts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0" w:name="_Toc35393816"/>
      <w:bookmarkStart w:id="11" w:name="_Toc35393647"/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三、其他补充事宜</w:t>
      </w:r>
      <w:bookmarkEnd w:id="10"/>
      <w:bookmarkEnd w:id="11"/>
    </w:p>
    <w:p w14:paraId="5F780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2141393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jc w:val="both"/>
        <w:textAlignment w:val="auto"/>
        <w:outlineLvl w:val="1"/>
        <w:rPr>
          <w:rFonts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2" w:name="_Toc28359029"/>
      <w:bookmarkStart w:id="13" w:name="_Toc28359106"/>
      <w:bookmarkStart w:id="14" w:name="_Toc35393817"/>
      <w:bookmarkStart w:id="15" w:name="_Toc35393648"/>
      <w:r>
        <w:rPr>
          <w:rFonts w:hint="eastAsia" w:ascii="黑体" w:hAnsi="黑体" w:eastAsia="黑体" w:cs="宋体"/>
          <w:b w:val="0"/>
          <w:bCs/>
          <w:kern w:val="2"/>
          <w:sz w:val="28"/>
          <w:szCs w:val="28"/>
          <w:lang w:val="en-US" w:eastAsia="zh-CN" w:bidi="ar-SA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BA827A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outlineLvl w:val="1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16" w:name="_Toc35393818"/>
      <w:bookmarkStart w:id="17" w:name="_Toc28359107"/>
      <w:bookmarkStart w:id="18" w:name="_Toc28359030"/>
      <w:bookmarkStart w:id="19" w:name="_Toc35393649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1.采购人信息</w:t>
      </w:r>
      <w:bookmarkEnd w:id="16"/>
      <w:bookmarkEnd w:id="17"/>
      <w:bookmarkEnd w:id="18"/>
      <w:bookmarkEnd w:id="19"/>
    </w:p>
    <w:p w14:paraId="69CF82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灌云县教育局</w:t>
      </w:r>
    </w:p>
    <w:p w14:paraId="49C70E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灌云县伊山镇胜利西路599号</w:t>
      </w:r>
    </w:p>
    <w:p w14:paraId="4D7A73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0518-88822909</w:t>
      </w:r>
    </w:p>
    <w:p w14:paraId="5FF5DC0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outlineLvl w:val="1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20" w:name="_Toc35393650"/>
      <w:bookmarkStart w:id="21" w:name="_Toc35393819"/>
      <w:bookmarkStart w:id="22" w:name="_Toc28359031"/>
      <w:bookmarkStart w:id="23" w:name="_Toc28359108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</w:t>
      </w:r>
      <w:r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采购代理机构信息</w:t>
      </w:r>
      <w:bookmarkEnd w:id="20"/>
      <w:bookmarkEnd w:id="21"/>
      <w:bookmarkEnd w:id="22"/>
      <w:bookmarkEnd w:id="23"/>
    </w:p>
    <w:p w14:paraId="6FBD68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华瑞国际工程咨询集团有限公司</w:t>
      </w:r>
    </w:p>
    <w:p w14:paraId="2EEA91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连云港市海州区海连东路9号商务大厦15楼</w:t>
      </w:r>
    </w:p>
    <w:p w14:paraId="252D8E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Toc28359032"/>
      <w:bookmarkStart w:id="25" w:name="_Toc28359109"/>
      <w:r>
        <w:rPr>
          <w:rFonts w:hint="eastAsia" w:ascii="仿宋" w:hAnsi="仿宋" w:eastAsia="仿宋"/>
          <w:sz w:val="28"/>
          <w:szCs w:val="28"/>
          <w:u w:val="single"/>
        </w:rPr>
        <w:t>15251212583</w:t>
      </w:r>
    </w:p>
    <w:p w14:paraId="3E22668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outlineLvl w:val="1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bookmarkStart w:id="26" w:name="_Toc35393820"/>
      <w:bookmarkStart w:id="27" w:name="_Toc35393651"/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3.项目联系方式</w:t>
      </w:r>
      <w:bookmarkEnd w:id="24"/>
      <w:bookmarkEnd w:id="25"/>
      <w:bookmarkEnd w:id="26"/>
      <w:bookmarkEnd w:id="27"/>
    </w:p>
    <w:p w14:paraId="48D806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560" w:firstLineChars="200"/>
        <w:jc w:val="both"/>
        <w:textAlignment w:val="auto"/>
        <w:rPr>
          <w:rFonts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朱工</w:t>
      </w:r>
    </w:p>
    <w:p w14:paraId="3CCFEB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15251212583</w:t>
      </w:r>
    </w:p>
    <w:p w14:paraId="291EC6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06_壵分糮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4B5DA2"/>
    <w:rsid w:val="036B5640"/>
    <w:rsid w:val="05F744AD"/>
    <w:rsid w:val="09F63AFE"/>
    <w:rsid w:val="0D2C44C7"/>
    <w:rsid w:val="0DD84B18"/>
    <w:rsid w:val="1123731C"/>
    <w:rsid w:val="13344C94"/>
    <w:rsid w:val="14015965"/>
    <w:rsid w:val="19EA32E8"/>
    <w:rsid w:val="1DB66006"/>
    <w:rsid w:val="21DA1AFF"/>
    <w:rsid w:val="22022EA1"/>
    <w:rsid w:val="22C22DCD"/>
    <w:rsid w:val="24106AD0"/>
    <w:rsid w:val="2E24344F"/>
    <w:rsid w:val="2ECE479A"/>
    <w:rsid w:val="33F151B2"/>
    <w:rsid w:val="358C452B"/>
    <w:rsid w:val="375A03CE"/>
    <w:rsid w:val="3CE75501"/>
    <w:rsid w:val="3FBD4019"/>
    <w:rsid w:val="465B50B9"/>
    <w:rsid w:val="46C02B0F"/>
    <w:rsid w:val="4F0358CE"/>
    <w:rsid w:val="4F9D4115"/>
    <w:rsid w:val="505B281E"/>
    <w:rsid w:val="514234A2"/>
    <w:rsid w:val="532623D3"/>
    <w:rsid w:val="534B755B"/>
    <w:rsid w:val="56075D18"/>
    <w:rsid w:val="58F44C79"/>
    <w:rsid w:val="5BE215C9"/>
    <w:rsid w:val="60BE64C6"/>
    <w:rsid w:val="61805C84"/>
    <w:rsid w:val="61E5620B"/>
    <w:rsid w:val="63251941"/>
    <w:rsid w:val="64266D0D"/>
    <w:rsid w:val="660064C3"/>
    <w:rsid w:val="70F4087D"/>
    <w:rsid w:val="719973A3"/>
    <w:rsid w:val="739A4E80"/>
    <w:rsid w:val="7527371D"/>
    <w:rsid w:val="79C47B5B"/>
    <w:rsid w:val="7A5C708F"/>
    <w:rsid w:val="7B405DFD"/>
    <w:rsid w:val="7B56744A"/>
    <w:rsid w:val="7BA4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360" w:lineRule="auto"/>
      <w:jc w:val="left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/>
      <w:bCs/>
      <w:kern w:val="0"/>
      <w:sz w:val="36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jc w:val="left"/>
      <w:outlineLvl w:val="2"/>
    </w:pPr>
    <w:rPr>
      <w:rFonts w:ascii="Times New Roman" w:hAnsi="Times New Roman"/>
      <w:bCs/>
      <w:kern w:val="0"/>
      <w:sz w:val="24"/>
      <w:szCs w:val="32"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kern w:val="0"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table" w:styleId="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2 Char"/>
    <w:basedOn w:val="9"/>
    <w:link w:val="3"/>
    <w:qFormat/>
    <w:uiPriority w:val="0"/>
    <w:rPr>
      <w:rFonts w:ascii="Arial" w:hAnsi="Arial" w:eastAsia="宋体" w:cs="Times New Roman"/>
      <w:bCs/>
      <w:sz w:val="36"/>
      <w:szCs w:val="32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2">
    <w:name w:val="标题 4 Char"/>
    <w:link w:val="5"/>
    <w:qFormat/>
    <w:uiPriority w:val="0"/>
    <w:rPr>
      <w:rFonts w:ascii="Arial" w:hAnsi="Arial" w:eastAsia="宋体" w:cs="Times New Roman"/>
      <w:b/>
      <w:bCs/>
      <w:sz w:val="28"/>
      <w:szCs w:val="28"/>
    </w:rPr>
  </w:style>
  <w:style w:type="character" w:customStyle="1" w:styleId="13">
    <w:name w:val="标题 3 Char1"/>
    <w:link w:val="4"/>
    <w:qFormat/>
    <w:uiPriority w:val="0"/>
    <w:rPr>
      <w:rFonts w:ascii="Times New Roman" w:hAnsi="Times New Roman" w:eastAsia="宋体" w:cs="Times New Roman"/>
      <w:kern w:val="2"/>
      <w:sz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_x0006_壵分糮.." w:hAnsi="Times New Roman" w:eastAsia="宋体_x0006_壵分糮.." w:cs="宋体_x0006_壵分糮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8</Pages>
  <Words>4044</Words>
  <Characters>5150</Characters>
  <Lines>0</Lines>
  <Paragraphs>0</Paragraphs>
  <TotalTime>10</TotalTime>
  <ScaleCrop>false</ScaleCrop>
  <LinksUpToDate>false</LinksUpToDate>
  <CharactersWithSpaces>5261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丫头</cp:lastModifiedBy>
  <dcterms:modified xsi:type="dcterms:W3CDTF">2026-04-27T02:24:17Z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eyJoZGlkIjoiM2Y1MjMzZjY0MzNlZWY2MzhmODgyYmU1ZjhhODg3ZjIiLCJ1c2VySWQiOiIyNTA1MTQ3OTAifQ==</vt:lpwstr>
  </property>
  <property fmtid="{D5CDD505-2E9C-101B-9397-08002B2CF9AE}" pid="4" name="ICV">
    <vt:lpwstr>E6E40366D81D4DC69DD77B8E305081DD_12</vt:lpwstr>
  </property>
</Properties>
</file>