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rPr>
          <w:b/>
          <w:bCs/>
          <w:sz w:val="24"/>
        </w:rPr>
      </w:pPr>
      <w:r>
        <w:rPr>
          <w:b/>
          <w:bCs/>
          <w:sz w:val="24"/>
        </w:rPr>
      </w:r>
      <w:r/>
    </w:p>
    <w:p>
      <w:r/>
      <w:r/>
    </w:p>
    <w:p>
      <w:pPr>
        <w:jc w:val="center"/>
      </w:pPr>
      <w:r>
        <w:rPr>
          <w:rFonts w:hint="eastAsia"/>
          <w:b/>
          <w:bCs/>
          <w:sz w:val="52"/>
          <w:szCs w:val="52"/>
        </w:rPr>
        <mc:AlternateContent>
          <mc:Choice Requires="wpg">
            <w:drawing>
              <wp:inline xmlns:wp="http://schemas.openxmlformats.org/drawingml/2006/wordprocessingDrawing" distT="0" distB="0" distL="0" distR="0">
                <wp:extent cx="1760220" cy="762000"/>
                <wp:effectExtent l="19050" t="0" r="0" b="0"/>
                <wp:docPr id="3" name="图片 1" descr="不锈钢牌子2111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不锈钢牌子2111副本"/>
                        <pic:cNvPicPr>
                          <a:picLocks noChangeAspect="1"/>
                        </pic:cNvPicPr>
                        <pic:nvPr/>
                      </pic:nvPicPr>
                      <pic:blipFill>
                        <a:blip r:embed="rId11"/>
                        <a:stretch/>
                      </pic:blipFill>
                      <pic:spPr bwMode="auto">
                        <a:xfrm>
                          <a:off x="0" y="0"/>
                          <a:ext cx="1760220"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8.6pt;height:60.0pt;mso-wrap-distance-left:0.0pt;mso-wrap-distance-top:0.0pt;mso-wrap-distance-right:0.0pt;mso-wrap-distance-bottom:0.0pt;" stroked="f" strokeweight="0.75pt">
                <v:path textboxrect="0,0,0,0"/>
                <v:imagedata r:id="rId11" o:title=""/>
              </v:shape>
            </w:pict>
          </mc:Fallback>
        </mc:AlternateContent>
      </w:r>
      <w:r/>
    </w:p>
    <w:p>
      <w:r/>
      <w:r/>
    </w:p>
    <w:p>
      <w:r/>
      <w:r/>
    </w:p>
    <w:p>
      <w:pPr>
        <w:jc w:val="center"/>
        <w:spacing w:line="480" w:lineRule="auto"/>
        <w:rPr>
          <w:rFonts w:cs="宋体"/>
          <w:bCs/>
          <w:sz w:val="52"/>
          <w:szCs w:val="52"/>
        </w:rPr>
      </w:pPr>
      <w:r>
        <w:rPr>
          <w:rFonts w:hint="eastAsia" w:cs="宋体"/>
          <w:bCs/>
          <w:sz w:val="52"/>
          <w:szCs w:val="52"/>
        </w:rPr>
        <w:t xml:space="preserve">昆 山 市 政 府 采 购</w:t>
      </w:r>
      <w:r/>
    </w:p>
    <w:p>
      <w:pPr>
        <w:jc w:val="center"/>
        <w:spacing w:line="480" w:lineRule="auto"/>
        <w:rPr>
          <w:rFonts w:cs="宋体"/>
          <w:bCs/>
          <w:sz w:val="52"/>
          <w:szCs w:val="52"/>
        </w:rPr>
      </w:pPr>
      <w:r>
        <w:rPr>
          <w:rFonts w:hint="eastAsia" w:cs="宋体"/>
          <w:bCs/>
          <w:sz w:val="52"/>
          <w:szCs w:val="52"/>
        </w:rPr>
        <w:t xml:space="preserve">公 开 招 标 文 件</w:t>
      </w:r>
      <w:r/>
    </w:p>
    <w:p>
      <w:r/>
      <w:r/>
    </w:p>
    <w:p>
      <w:r/>
      <w:r/>
    </w:p>
    <w:p>
      <w:r/>
      <w:r/>
    </w:p>
    <w:p>
      <w:pPr>
        <w:ind w:right="-210"/>
      </w:pPr>
      <w:r/>
      <w:r/>
    </w:p>
    <w:tbl>
      <w:tblPr>
        <w:tblStyle w:val="716"/>
        <w:tblW w:w="0" w:type="auto"/>
        <w:jc w:val="center"/>
        <w:tblLayout w:type="fixed"/>
        <w:tblCellMar>
          <w:left w:w="10" w:type="dxa"/>
          <w:top w:w="0" w:type="dxa"/>
          <w:right w:w="10" w:type="dxa"/>
          <w:bottom w:w="0" w:type="dxa"/>
        </w:tblCellMar>
        <w:tblLook w:val="04A0" w:firstRow="1" w:lastRow="0" w:firstColumn="1" w:lastColumn="0" w:noHBand="0" w:noVBand="1"/>
      </w:tblPr>
      <w:tblGrid>
        <w:gridCol w:w="1740"/>
        <w:gridCol w:w="5567"/>
      </w:tblGrid>
      <w:tr>
        <w:trPr>
          <w:jc w:val="center"/>
          <w:trHeight w:val="591"/>
        </w:trPr>
        <w:tc>
          <w:tcPr>
            <w:tcMar>
              <w:left w:w="108" w:type="dxa"/>
              <w:top w:w="0" w:type="dxa"/>
              <w:right w:w="108" w:type="dxa"/>
              <w:bottom w:w="0" w:type="dxa"/>
            </w:tcMar>
            <w:tcW w:w="1740" w:type="dxa"/>
            <w:textDirection w:val="lrTb"/>
            <w:noWrap/>
          </w:tcPr>
          <w:p>
            <w:pPr>
              <w:jc w:val="center"/>
              <w:spacing w:line="600" w:lineRule="exact"/>
              <w:rPr>
                <w:rFonts w:cs="Arial"/>
                <w:sz w:val="28"/>
                <w:szCs w:val="28"/>
              </w:rPr>
            </w:pPr>
            <w:r>
              <w:rPr>
                <w:rFonts w:hint="eastAsia" w:cs="Arial"/>
                <w:sz w:val="28"/>
                <w:szCs w:val="28"/>
              </w:rPr>
              <w:t xml:space="preserve">项目编号：</w:t>
            </w:r>
            <w:r/>
          </w:p>
        </w:tc>
        <w:tc>
          <w:tcPr>
            <w:tcBorders>
              <w:bottom w:val="single" w:color="auto" w:sz="4" w:space="0"/>
            </w:tcBorders>
            <w:tcMar>
              <w:left w:w="108" w:type="dxa"/>
              <w:top w:w="0" w:type="dxa"/>
              <w:right w:w="108" w:type="dxa"/>
              <w:bottom w:w="0" w:type="dxa"/>
            </w:tcMar>
            <w:tcW w:w="5567" w:type="dxa"/>
            <w:textDirection w:val="lrTb"/>
            <w:noWrap/>
          </w:tcPr>
          <w:p>
            <w:pPr>
              <w:jc w:val="left"/>
              <w:spacing w:line="600" w:lineRule="exact"/>
              <w:rPr>
                <w:rFonts w:cs="Arial"/>
                <w:sz w:val="28"/>
                <w:szCs w:val="28"/>
              </w:rPr>
            </w:pPr>
            <w:r>
              <w:rPr>
                <w:rFonts w:hint="eastAsia" w:cs="宋体"/>
                <w:sz w:val="28"/>
                <w:szCs w:val="28"/>
              </w:rPr>
              <w:t xml:space="preserve">JSZC-320583-KSXJ-G2026-0002</w:t>
            </w:r>
            <w:r/>
          </w:p>
        </w:tc>
      </w:tr>
      <w:tr>
        <w:trPr>
          <w:jc w:val="center"/>
          <w:trHeight w:val="603"/>
        </w:trPr>
        <w:tc>
          <w:tcPr>
            <w:tcMar>
              <w:left w:w="108" w:type="dxa"/>
              <w:top w:w="0" w:type="dxa"/>
              <w:right w:w="108" w:type="dxa"/>
              <w:bottom w:w="0" w:type="dxa"/>
            </w:tcMar>
            <w:tcW w:w="1740" w:type="dxa"/>
            <w:textDirection w:val="lrTb"/>
            <w:noWrap/>
          </w:tcPr>
          <w:p>
            <w:pPr>
              <w:jc w:val="center"/>
              <w:spacing w:line="600" w:lineRule="exact"/>
              <w:rPr>
                <w:rFonts w:cs="Arial"/>
                <w:sz w:val="28"/>
                <w:szCs w:val="28"/>
              </w:rPr>
            </w:pPr>
            <w:r>
              <w:rPr>
                <w:rFonts w:hint="eastAsia" w:cs="Arial"/>
                <w:sz w:val="28"/>
                <w:szCs w:val="28"/>
              </w:rPr>
              <w:t xml:space="preserve">采 购 人：</w:t>
            </w:r>
            <w:r/>
          </w:p>
        </w:tc>
        <w:tc>
          <w:tcPr>
            <w:tcBorders>
              <w:top w:val="single" w:color="auto" w:sz="4" w:space="0"/>
              <w:bottom w:val="single" w:color="auto" w:sz="4" w:space="0"/>
            </w:tcBorders>
            <w:tcMar>
              <w:left w:w="108" w:type="dxa"/>
              <w:top w:w="0" w:type="dxa"/>
              <w:right w:w="108" w:type="dxa"/>
              <w:bottom w:w="0" w:type="dxa"/>
            </w:tcMar>
            <w:tcW w:w="5567" w:type="dxa"/>
            <w:textDirection w:val="lrTb"/>
            <w:noWrap/>
          </w:tcPr>
          <w:p>
            <w:pPr>
              <w:jc w:val="left"/>
              <w:spacing w:line="600" w:lineRule="exact"/>
              <w:rPr>
                <w:rFonts w:cs="Arial"/>
                <w:sz w:val="28"/>
                <w:szCs w:val="28"/>
              </w:rPr>
            </w:pPr>
            <w:r>
              <w:rPr>
                <w:rFonts w:hint="eastAsia" w:cs="Arial"/>
                <w:sz w:val="28"/>
                <w:szCs w:val="28"/>
              </w:rPr>
              <w:t xml:space="preserve">昆山市公安局</w:t>
            </w:r>
            <w:r/>
          </w:p>
        </w:tc>
      </w:tr>
      <w:tr>
        <w:trPr>
          <w:jc w:val="center"/>
          <w:trHeight w:val="610"/>
        </w:trPr>
        <w:tc>
          <w:tcPr>
            <w:tcMar>
              <w:left w:w="108" w:type="dxa"/>
              <w:top w:w="0" w:type="dxa"/>
              <w:right w:w="108" w:type="dxa"/>
              <w:bottom w:w="0" w:type="dxa"/>
            </w:tcMar>
            <w:tcW w:w="1740" w:type="dxa"/>
            <w:textDirection w:val="lrTb"/>
            <w:noWrap/>
          </w:tcPr>
          <w:p>
            <w:pPr>
              <w:jc w:val="center"/>
              <w:spacing w:line="600" w:lineRule="exact"/>
              <w:rPr>
                <w:rFonts w:cs="Arial"/>
                <w:sz w:val="28"/>
                <w:szCs w:val="28"/>
              </w:rPr>
            </w:pPr>
            <w:r>
              <w:rPr>
                <w:rFonts w:hint="eastAsia" w:cs="Arial"/>
                <w:sz w:val="28"/>
                <w:szCs w:val="28"/>
              </w:rPr>
              <w:t xml:space="preserve">项目名称：</w:t>
            </w:r>
            <w:r/>
          </w:p>
        </w:tc>
        <w:tc>
          <w:tcPr>
            <w:tcBorders>
              <w:top w:val="single" w:color="auto" w:sz="4" w:space="0"/>
              <w:bottom w:val="single" w:color="auto" w:sz="4" w:space="0"/>
            </w:tcBorders>
            <w:tcMar>
              <w:left w:w="108" w:type="dxa"/>
              <w:top w:w="0" w:type="dxa"/>
              <w:right w:w="108" w:type="dxa"/>
              <w:bottom w:w="0" w:type="dxa"/>
            </w:tcMar>
            <w:tcW w:w="5567" w:type="dxa"/>
            <w:textDirection w:val="lrTb"/>
            <w:noWrap/>
          </w:tcPr>
          <w:p>
            <w:pPr>
              <w:jc w:val="left"/>
              <w:spacing w:line="600" w:lineRule="exact"/>
              <w:rPr>
                <w:rFonts w:cs="Arial"/>
                <w:sz w:val="28"/>
                <w:szCs w:val="28"/>
              </w:rPr>
            </w:pPr>
            <w:r>
              <w:rPr>
                <w:rFonts w:hint="eastAsia" w:cs="Arial"/>
                <w:sz w:val="28"/>
                <w:szCs w:val="28"/>
              </w:rPr>
              <w:t xml:space="preserve">2026-2027年度城市污水毒品滥用监测服务</w:t>
            </w:r>
            <w:r/>
          </w:p>
        </w:tc>
      </w:tr>
    </w:tbl>
    <w:p>
      <w:pPr>
        <w:spacing w:line="600" w:lineRule="exact"/>
        <w:rPr>
          <w:rFonts w:cs="Arial"/>
        </w:rPr>
      </w:pPr>
      <w:r>
        <w:rPr>
          <w:rFonts w:cs="Arial"/>
        </w:rPr>
      </w:r>
      <w:r/>
    </w:p>
    <w:p>
      <w:r/>
      <w:r/>
    </w:p>
    <w:p>
      <w:r/>
      <w:r/>
    </w:p>
    <w:p>
      <w:pPr>
        <w:jc w:val="center"/>
        <w:rPr>
          <w:rFonts w:cs="Arial"/>
          <w:sz w:val="32"/>
          <w:szCs w:val="32"/>
        </w:rPr>
      </w:pPr>
      <w:r>
        <w:rPr>
          <w:rFonts w:hint="eastAsia" w:cs="Arial"/>
          <w:sz w:val="32"/>
          <w:szCs w:val="32"/>
        </w:rPr>
        <w:t xml:space="preserve">昆山欣杰项目管理有限公司</w:t>
      </w:r>
      <w:r/>
    </w:p>
    <w:p>
      <w:pPr>
        <w:jc w:val="center"/>
        <w:rPr>
          <w:rFonts w:cs="Arial"/>
          <w:sz w:val="32"/>
          <w:szCs w:val="32"/>
        </w:rPr>
      </w:pPr>
      <w:r>
        <w:rPr>
          <w:rFonts w:cs="Arial"/>
          <w:sz w:val="32"/>
          <w:szCs w:val="32"/>
        </w:rPr>
        <w:t xml:space="preserve">二〇二</w:t>
      </w:r>
      <w:r>
        <w:rPr>
          <w:rFonts w:hint="eastAsia" w:cs="Arial"/>
          <w:sz w:val="32"/>
          <w:szCs w:val="32"/>
        </w:rPr>
        <w:t xml:space="preserve">六</w:t>
      </w:r>
      <w:r>
        <w:rPr>
          <w:rFonts w:cs="Arial"/>
          <w:sz w:val="32"/>
          <w:szCs w:val="32"/>
        </w:rPr>
        <w:t xml:space="preserve">年</w:t>
      </w:r>
      <w:r/>
    </w:p>
    <w:p>
      <w:pPr>
        <w:rPr>
          <w:rFonts w:cs="Arial"/>
          <w:sz w:val="32"/>
          <w:szCs w:val="32"/>
        </w:rPr>
      </w:pPr>
      <w:r>
        <w:rPr>
          <w:rFonts w:cs="Arial"/>
          <w:sz w:val="32"/>
          <w:szCs w:val="32"/>
        </w:rPr>
        <w:br w:type="page" w:clear="all"/>
      </w:r>
      <w:r/>
    </w:p>
    <w:p>
      <w:pPr>
        <w:pStyle w:val="746"/>
      </w:pPr>
      <w:r/>
      <w:bookmarkStart w:id="0" w:name="_Toc4953"/>
      <w:r/>
      <w:bookmarkStart w:id="1" w:name="_Toc7147"/>
      <w:r>
        <w:rPr>
          <w:rFonts w:hint="eastAsia"/>
        </w:rPr>
        <w:t xml:space="preserve">目录</w:t>
      </w:r>
      <w:bookmarkEnd w:id="0"/>
      <w:r/>
      <w:bookmarkEnd w:id="1"/>
      <w:r/>
      <w:r/>
    </w:p>
    <w:sdt>
      <w:sdtPr>
        <w15:appearance w15:val="boundingBox"/>
        <w:id w:val="147462823"/>
        <w:docPartObj>
          <w:docPartGallery w:val="Table of Contents"/>
          <w:docPartUnique w:val="true"/>
        </w:docPartObj>
        <w:rPr/>
      </w:sdtPr>
      <w:sdtContent>
        <w:p>
          <w:pPr>
            <w:jc w:val="center"/>
            <w:spacing w:line="240" w:lineRule="auto"/>
          </w:pPr>
          <w:r/>
          <w:r/>
        </w:p>
        <w:p>
          <w:pPr>
            <w:pStyle w:val="729"/>
            <w:tabs>
              <w:tab w:val="right" w:pos="9604" w:leader="dot"/>
            </w:tabs>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"_Toc4896" </w:instrText>
          </w:r>
          <w:r>
            <w:fldChar w:fldCharType="separate"/>
          </w:r>
          <w:r>
            <w:rPr>
              <w:rFonts w:hint="eastAsia"/>
            </w:rPr>
            <w:t xml:space="preserve">第一章 投标邀请函</w:t>
          </w:r>
          <w:r>
            <w:tab/>
          </w:r>
          <w:r>
            <w:fldChar w:fldCharType="begin"/>
          </w:r>
          <w:r>
            <w:instrText xml:space="preserve"> PAGEREF _Toc4896 \h </w:instrText>
          </w:r>
          <w:r>
            <w:fldChar w:fldCharType="separate"/>
          </w:r>
          <w:r>
            <w:t xml:space="preserve">3</w:t>
          </w:r>
          <w:r>
            <w:fldChar w:fldCharType="end"/>
          </w:r>
          <w:r>
            <w:fldChar w:fldCharType="end"/>
          </w:r>
          <w:r/>
        </w:p>
        <w:p>
          <w:pPr>
            <w:pStyle w:val="729"/>
            <w:tabs>
              <w:tab w:val="right" w:pos="9604" w:leader="dot"/>
            </w:tabs>
          </w:pPr>
          <w:r>
            <w:fldChar w:fldCharType="begin"/>
          </w:r>
          <w:r>
            <w:instrText xml:space="preserve"> HYPERLINK \l "_Toc5137" </w:instrText>
          </w:r>
          <w:r>
            <w:fldChar w:fldCharType="separate"/>
          </w:r>
          <w:r>
            <w:t xml:space="preserve">第二章 投标人须知</w:t>
          </w:r>
          <w:r>
            <w:tab/>
          </w:r>
          <w:r>
            <w:fldChar w:fldCharType="begin"/>
          </w:r>
          <w:r>
            <w:instrText xml:space="preserve"> PAGEREF _Toc5137 \h </w:instrText>
          </w:r>
          <w:r>
            <w:fldChar w:fldCharType="separate"/>
          </w:r>
          <w:r>
            <w:t xml:space="preserve">6</w:t>
          </w:r>
          <w:r>
            <w:fldChar w:fldCharType="end"/>
          </w:r>
          <w:r>
            <w:fldChar w:fldCharType="end"/>
          </w:r>
          <w:r/>
        </w:p>
        <w:p>
          <w:pPr>
            <w:pStyle w:val="729"/>
            <w:tabs>
              <w:tab w:val="right" w:pos="9604" w:leader="dot"/>
            </w:tabs>
          </w:pPr>
          <w:r>
            <w:fldChar w:fldCharType="begin"/>
          </w:r>
          <w:r>
            <w:instrText xml:space="preserve"> HYPERLINK \l "_Toc31617" </w:instrText>
          </w:r>
          <w:r>
            <w:fldChar w:fldCharType="separate"/>
          </w:r>
          <w:r>
            <w:t xml:space="preserve">第三章 投标文件格式</w:t>
          </w:r>
          <w:r>
            <w:tab/>
          </w:r>
          <w:r>
            <w:fldChar w:fldCharType="begin"/>
          </w:r>
          <w:r>
            <w:instrText xml:space="preserve"> PAGEREF _Toc31617 \h </w:instrText>
          </w:r>
          <w:r>
            <w:fldChar w:fldCharType="separate"/>
          </w:r>
          <w:r>
            <w:t xml:space="preserve">15</w:t>
          </w:r>
          <w:r>
            <w:fldChar w:fldCharType="end"/>
          </w:r>
          <w:r>
            <w:fldChar w:fldCharType="end"/>
          </w:r>
          <w:r/>
        </w:p>
        <w:p>
          <w:pPr>
            <w:pStyle w:val="729"/>
            <w:tabs>
              <w:tab w:val="right" w:pos="9604" w:leader="dot"/>
            </w:tabs>
          </w:pPr>
          <w:r>
            <w:fldChar w:fldCharType="begin"/>
          </w:r>
          <w:r>
            <w:instrText xml:space="preserve"> HYPERLINK \l "_Toc27798" </w:instrText>
          </w:r>
          <w:r>
            <w:fldChar w:fldCharType="separate"/>
          </w:r>
          <w:r>
            <w:rPr>
              <w:rFonts w:hint="eastAsia" w:ascii="Times New Roman" w:hAnsi="Times New Roman"/>
            </w:rPr>
            <w:t xml:space="preserve">第四章 采购需求</w:t>
          </w:r>
          <w:r>
            <w:tab/>
          </w:r>
          <w:r>
            <w:fldChar w:fldCharType="begin"/>
          </w:r>
          <w:r>
            <w:instrText xml:space="preserve"> PAGEREF _Toc27798 \h </w:instrText>
          </w:r>
          <w:r>
            <w:fldChar w:fldCharType="separate"/>
          </w:r>
          <w:r>
            <w:t xml:space="preserve">33</w:t>
          </w:r>
          <w:r>
            <w:fldChar w:fldCharType="end"/>
          </w:r>
          <w:r>
            <w:fldChar w:fldCharType="end"/>
          </w:r>
          <w:r/>
        </w:p>
        <w:p>
          <w:pPr>
            <w:pStyle w:val="729"/>
            <w:tabs>
              <w:tab w:val="right" w:pos="9604" w:leader="dot"/>
            </w:tabs>
          </w:pPr>
          <w:r>
            <w:fldChar w:fldCharType="begin"/>
          </w:r>
          <w:r>
            <w:instrText xml:space="preserve"> HYPERLINK \l "_Toc12442" </w:instrText>
          </w:r>
          <w:r>
            <w:fldChar w:fldCharType="separate"/>
          </w:r>
          <w:r>
            <w:t xml:space="preserve">第五章 合同主要条款</w:t>
          </w:r>
          <w:r>
            <w:tab/>
          </w:r>
          <w:r>
            <w:fldChar w:fldCharType="begin"/>
          </w:r>
          <w:r>
            <w:instrText xml:space="preserve"> PAGEREF _Toc12442 \h </w:instrText>
          </w:r>
          <w:r>
            <w:fldChar w:fldCharType="separate"/>
          </w:r>
          <w:r>
            <w:t xml:space="preserve">35</w:t>
          </w:r>
          <w:r>
            <w:fldChar w:fldCharType="end"/>
          </w:r>
          <w:r>
            <w:fldChar w:fldCharType="end"/>
          </w:r>
          <w:r/>
        </w:p>
        <w:p>
          <w:pPr>
            <w:pStyle w:val="729"/>
            <w:tabs>
              <w:tab w:val="right" w:pos="9604" w:leader="dot"/>
            </w:tabs>
          </w:pPr>
          <w:r>
            <w:fldChar w:fldCharType="begin"/>
          </w:r>
          <w:r>
            <w:instrText xml:space="preserve"> HYPERLINK \l "_Toc13943" </w:instrText>
          </w:r>
          <w:r>
            <w:fldChar w:fldCharType="separate"/>
          </w:r>
          <w:r>
            <w:t xml:space="preserve">第六章 评标方法、评分标准</w:t>
          </w:r>
          <w:r>
            <w:tab/>
          </w:r>
          <w:r>
            <w:fldChar w:fldCharType="begin"/>
          </w:r>
          <w:r>
            <w:instrText xml:space="preserve"> PAGEREF _Toc13943 \h </w:instrText>
          </w:r>
          <w:r>
            <w:fldChar w:fldCharType="separate"/>
          </w:r>
          <w:r>
            <w:t xml:space="preserve">39</w:t>
          </w:r>
          <w:r>
            <w:fldChar w:fldCharType="end"/>
          </w:r>
          <w:r>
            <w:fldChar w:fldCharType="end"/>
          </w:r>
          <w:r/>
        </w:p>
        <w:p>
          <w:r>
            <w:rPr>
              <w:rFonts w:hint="eastAsia"/>
            </w:rPr>
            <w:fldChar w:fldCharType="end"/>
          </w:r>
          <w:r/>
        </w:p>
      </w:sdtContent>
    </w:sdt>
    <w:p>
      <w:r>
        <w:rPr>
          <w:rFonts w:hint="eastAsia"/>
        </w:rPr>
        <w:br w:type="page" w:clear="all"/>
      </w:r>
      <w:r/>
    </w:p>
    <w:p>
      <w:pPr>
        <w:pStyle w:val="746"/>
      </w:pPr>
      <w:r/>
      <w:bookmarkStart w:id="2" w:name="_Toc4896"/>
      <w:r>
        <w:rPr>
          <w:rFonts w:hint="eastAsia"/>
        </w:rPr>
        <w:t xml:space="preserve">第一章 投标邀请函</w:t>
      </w:r>
      <w:bookmarkEnd w:id="2"/>
      <w:r/>
      <w:r/>
    </w:p>
    <w:p>
      <w:pPr>
        <w:ind w:firstLine="420"/>
      </w:pPr>
      <w:r>
        <w:rPr>
          <w:rFonts w:hint="eastAsia"/>
        </w:rPr>
        <w:t xml:space="preserve">受昆山市公安局委托，昆山欣杰项目管理有限公司为其拟采购的2026-2027年度城市污水毒品滥用监测服务进行国内公开招标，欢迎符合条件的供应商投标。</w:t>
      </w:r>
      <w:r/>
    </w:p>
    <w:p>
      <w:pPr>
        <w:ind w:firstLine="420"/>
      </w:pPr>
      <w:r>
        <w:rPr>
          <w:rFonts w:hint="eastAsia"/>
        </w:rPr>
        <w:t xml:space="preserve">一、项目基本情况：</w:t>
      </w:r>
      <w:r/>
    </w:p>
    <w:p>
      <w:pPr>
        <w:ind w:firstLine="420"/>
      </w:pPr>
      <w:r>
        <w:rPr>
          <w:rFonts w:hint="eastAsia"/>
        </w:rPr>
        <w:t xml:space="preserve">1.项目编号：JSZC-320583-KSXJ-G2026-0002</w:t>
      </w:r>
      <w:r/>
    </w:p>
    <w:p>
      <w:pPr>
        <w:ind w:firstLine="420"/>
      </w:pPr>
      <w:r>
        <w:rPr>
          <w:rFonts w:hint="eastAsia"/>
        </w:rPr>
        <w:t xml:space="preserve">2.项目名称：2026-2027年度城市污水毒品滥用监测服务</w:t>
      </w:r>
      <w:r/>
    </w:p>
    <w:p>
      <w:pPr>
        <w:ind w:firstLine="420"/>
      </w:pPr>
      <w:r>
        <w:rPr>
          <w:rFonts w:hint="eastAsia"/>
        </w:rPr>
        <w:t xml:space="preserve">3.项目预算：</w:t>
      </w:r>
      <w:r>
        <w:rPr>
          <w:rFonts w:hint="eastAsia"/>
          <w:color w:val="0000ff"/>
        </w:rPr>
        <w:t xml:space="preserve">人民币壹佰陆拾万元整（￥1600000.00）</w:t>
      </w:r>
      <w:r/>
    </w:p>
    <w:p>
      <w:pPr>
        <w:ind w:firstLine="420"/>
      </w:pPr>
      <w:r>
        <w:rPr>
          <w:rFonts w:hint="eastAsia"/>
        </w:rPr>
        <w:t xml:space="preserve">4.最高限价（如有）：同预算</w:t>
      </w:r>
      <w:r/>
    </w:p>
    <w:p>
      <w:pPr>
        <w:ind w:firstLine="420"/>
      </w:pPr>
      <w:r>
        <w:rPr>
          <w:rFonts w:hint="eastAsia"/>
        </w:rPr>
        <w:t xml:space="preserve">5.采购需求：本项目主要用于全市污水毒品含量检测分析</w:t>
      </w:r>
      <w:r/>
    </w:p>
    <w:p>
      <w:pPr>
        <w:ind w:firstLine="420"/>
      </w:pPr>
      <w:r>
        <w:rPr>
          <w:rFonts w:hint="eastAsia"/>
        </w:rPr>
        <w:t xml:space="preserve">6.合同履行期限：</w:t>
      </w:r>
      <w:r>
        <w:rPr>
          <w:szCs w:val="21"/>
        </w:rPr>
        <w:t xml:space="preserve">自合同签订之日起</w:t>
      </w:r>
      <w:r>
        <w:rPr>
          <w:rFonts w:hint="eastAsia"/>
          <w:szCs w:val="21"/>
        </w:rPr>
        <w:t xml:space="preserve">两</w:t>
      </w:r>
      <w:r>
        <w:rPr>
          <w:szCs w:val="21"/>
        </w:rPr>
        <w:t xml:space="preserve">年</w:t>
      </w:r>
      <w:r/>
    </w:p>
    <w:p>
      <w:pPr>
        <w:ind w:firstLine="420"/>
      </w:pPr>
      <w:r>
        <w:rPr>
          <w:rFonts w:hint="eastAsia"/>
        </w:rPr>
        <w:t xml:space="preserve">7.本项目（是/否）接受联合体：否</w:t>
      </w:r>
      <w:r/>
    </w:p>
    <w:p>
      <w:pPr>
        <w:pStyle w:val="717"/>
        <w:rPr>
          <w:rFonts w:eastAsia="宋体"/>
          <w:sz w:val="21"/>
          <w:szCs w:val="24"/>
        </w:rPr>
      </w:pPr>
      <w:r>
        <w:rPr>
          <w:rFonts w:hint="eastAsia" w:eastAsia="宋体"/>
          <w:sz w:val="21"/>
          <w:szCs w:val="24"/>
        </w:rPr>
        <w:t xml:space="preserve">8. 履约保证金：无</w:t>
      </w:r>
      <w:r/>
    </w:p>
    <w:p>
      <w:pPr>
        <w:ind w:firstLine="420"/>
        <w:rPr>
          <w:lang w:val="zh-CN"/>
        </w:rPr>
      </w:pPr>
      <w:r>
        <w:rPr>
          <w:rFonts w:hint="eastAsia"/>
        </w:rPr>
        <w:t xml:space="preserve">二、申请人的资格要求：</w:t>
      </w:r>
      <w:r/>
    </w:p>
    <w:p>
      <w:pPr>
        <w:ind w:firstLine="420"/>
      </w:pPr>
      <w:r>
        <w:rPr>
          <w:rFonts w:hint="eastAsia"/>
        </w:rPr>
        <w:t xml:space="preserve">1.</w:t>
      </w:r>
      <w:r>
        <w:t xml:space="preserve">投标人资质要求：</w:t>
      </w:r>
      <w:r>
        <w:rPr>
          <w:rFonts w:hint="eastAsia"/>
        </w:rPr>
        <w:t xml:space="preserve">符合《中华人民共和国政府采购法》第二十二条的规定。</w:t>
      </w:r>
      <w:r/>
    </w:p>
    <w:p>
      <w:pPr>
        <w:ind w:firstLine="420"/>
        <w:rPr>
          <w:szCs w:val="21"/>
        </w:rPr>
      </w:pPr>
      <w:r>
        <w:rPr>
          <w:rFonts w:hint="eastAsia"/>
        </w:rPr>
        <w:t xml:space="preserve">2.落实政府采购政策需满足的资格要求：</w:t>
      </w:r>
      <w:r>
        <w:rPr>
          <w:rFonts w:hint="eastAsia"/>
          <w:szCs w:val="21"/>
        </w:rPr>
        <w:t xml:space="preserve">落实政府采购政策需满足的资格要求：本项目专门面向中小企业采购(整体预留，所属行业：其他未列明行业)，投标人必须提供《中小企业声明函》,</w:t>
      </w:r>
      <w:r>
        <w:rPr>
          <w:rFonts w:hint="eastAsia" w:ascii="仿宋" w:hAnsi="仿宋" w:eastAsia="仿宋" w:cs="仿宋"/>
          <w:sz w:val="28"/>
          <w:szCs w:val="28"/>
        </w:rPr>
        <w:t xml:space="preserve"> </w:t>
      </w:r>
      <w:r>
        <w:rPr>
          <w:rFonts w:hint="eastAsia"/>
          <w:szCs w:val="21"/>
        </w:rPr>
        <w:t xml:space="preserve">残疾人福利性单位、监狱企业视同小型、 微型企业；</w:t>
      </w:r>
      <w:r/>
    </w:p>
    <w:p>
      <w:pPr>
        <w:ind w:firstLine="420"/>
      </w:pPr>
      <w:r>
        <w:rPr>
          <w:rFonts w:hint="eastAsia"/>
        </w:rPr>
        <w:t xml:space="preserve">3.采购人根据采购项目的特殊要求规定的特定条件：</w:t>
      </w:r>
      <w:r/>
    </w:p>
    <w:p>
      <w:pPr>
        <w:ind w:firstLine="420"/>
      </w:pPr>
      <w:r>
        <w:rPr>
          <w:rFonts w:hint="eastAsia"/>
        </w:rPr>
        <w:t xml:space="preserve">3.1未被“信用中国”网站（www.creditchina.gov.cn）</w:t>
      </w:r>
      <w:r>
        <w:t xml:space="preserve">列入失信被执行人、</w:t>
      </w:r>
      <w:r>
        <w:rPr>
          <w:rFonts w:hint="eastAsia"/>
        </w:rPr>
        <w:t xml:space="preserve">重大税收违法失信主体</w:t>
      </w:r>
      <w:r>
        <w:t xml:space="preserve">、政府采购严重违法失信行为记录名单</w:t>
      </w:r>
      <w:r>
        <w:rPr>
          <w:rFonts w:hint="eastAsia"/>
        </w:rPr>
        <w:t xml:space="preserve">。</w:t>
      </w:r>
      <w:r/>
    </w:p>
    <w:p>
      <w:pPr>
        <w:ind w:firstLine="420"/>
      </w:pPr>
      <w:r>
        <w:rPr>
          <w:rFonts w:hint="eastAsia"/>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rPr>
          <w:szCs w:val="21"/>
        </w:rPr>
      </w:pPr>
      <w:r>
        <w:rPr>
          <w:rFonts w:hint="eastAsia"/>
          <w:szCs w:val="21"/>
        </w:rPr>
        <w:t xml:space="preserve">三、获取采购文件：</w:t>
      </w:r>
      <w:r/>
    </w:p>
    <w:p>
      <w:pPr>
        <w:ind w:firstLine="420"/>
        <w:rPr>
          <w:color w:val="000000"/>
          <w:szCs w:val="21"/>
        </w:rPr>
      </w:pPr>
      <w:r>
        <w:rPr>
          <w:rFonts w:hint="eastAsia"/>
          <w:color w:val="000000"/>
          <w:szCs w:val="21"/>
          <w:highlight w:val="yellow"/>
        </w:rPr>
        <w:t xml:space="preserve">1.获取招标文件时间：上网之日起至2026年4月1</w:t>
      </w:r>
      <w:r>
        <w:rPr>
          <w:rFonts w:hint="eastAsia"/>
          <w:color w:val="000000"/>
          <w:szCs w:val="21"/>
          <w:highlight w:val="yellow"/>
          <w:lang w:val="en-US" w:eastAsia="zh-CN"/>
        </w:rPr>
        <w:t xml:space="preserve">7</w:t>
      </w:r>
      <w:r>
        <w:rPr>
          <w:rFonts w:hint="eastAsia"/>
          <w:color w:val="000000"/>
          <w:szCs w:val="21"/>
          <w:highlight w:val="yellow"/>
        </w:rPr>
        <w:t xml:space="preserve">日（北京时间）；</w:t>
      </w:r>
      <w:r/>
    </w:p>
    <w:p>
      <w:pPr>
        <w:ind w:firstLine="420"/>
        <w:rPr>
          <w:color w:val="000000"/>
          <w:szCs w:val="21"/>
        </w:rPr>
      </w:pPr>
      <w:r>
        <w:rPr>
          <w:rFonts w:hint="eastAsia"/>
          <w:color w:val="000000"/>
          <w:szCs w:val="21"/>
        </w:rPr>
        <w:t xml:space="preserve">2.获取招标文件方式：</w:t>
      </w:r>
      <w:r>
        <w:rPr>
          <w:color w:val="000000"/>
          <w:szCs w:val="21"/>
        </w:rPr>
        <w:t xml:space="preserve">供应商报名后从苏采云系统中下载</w:t>
      </w:r>
      <w:r/>
    </w:p>
    <w:p>
      <w:pPr>
        <w:ind w:firstLine="420"/>
        <w:rPr>
          <w:color w:val="000000"/>
          <w:szCs w:val="21"/>
        </w:rPr>
      </w:pPr>
      <w:r>
        <w:rPr>
          <w:rFonts w:hint="eastAsia"/>
          <w:color w:val="000000"/>
          <w:szCs w:val="21"/>
        </w:rPr>
        <w:t xml:space="preserve">3.招标文件售价：0元。</w:t>
      </w:r>
      <w:r/>
    </w:p>
    <w:p>
      <w:pPr>
        <w:ind w:firstLine="420"/>
        <w:rPr>
          <w:szCs w:val="21"/>
        </w:rPr>
      </w:pPr>
      <w:r>
        <w:rPr>
          <w:rFonts w:hint="eastAsia"/>
          <w:szCs w:val="21"/>
        </w:rPr>
        <w:t xml:space="preserve">四、提交投标文件截止时间、开标时间</w:t>
      </w:r>
      <w:r/>
    </w:p>
    <w:p>
      <w:pPr>
        <w:ind w:firstLine="420"/>
        <w:rPr>
          <w:szCs w:val="21"/>
        </w:rPr>
      </w:pPr>
      <w:r/>
      <w:bookmarkStart w:id="3" w:name="_Toc35393625"/>
      <w:r>
        <w:rPr>
          <w:rFonts w:hint="eastAsia"/>
          <w:szCs w:val="21"/>
        </w:rPr>
        <w:t xml:space="preserve">本项目采用电子化招投标模式，供应商须网上提交投标文件，并可通过远程开标方式完成开标。</w:t>
      </w:r>
      <w:r/>
    </w:p>
    <w:p>
      <w:pPr>
        <w:ind w:firstLine="420"/>
        <w:rPr>
          <w:szCs w:val="21"/>
        </w:rPr>
      </w:pPr>
      <w:r>
        <w:rPr>
          <w:rFonts w:hint="eastAsia"/>
          <w:szCs w:val="21"/>
        </w:rPr>
        <w:t xml:space="preserve">1.提交投标文件截止时间：2026年4月29日9:30（北京时间）；</w:t>
      </w:r>
      <w:r/>
    </w:p>
    <w:p>
      <w:pPr>
        <w:ind w:firstLine="420"/>
        <w:rPr>
          <w:szCs w:val="21"/>
        </w:rPr>
      </w:pPr>
      <w:r>
        <w:rPr>
          <w:rFonts w:hint="eastAsia"/>
          <w:szCs w:val="21"/>
        </w:rPr>
        <w:t xml:space="preserve">2.远程开标时间：2026年</w:t>
      </w:r>
      <w:bookmarkStart w:id="4" w:name="OLE_LINK2"/>
      <w:r/>
      <w:bookmarkStart w:id="5" w:name="OLE_LINK1"/>
      <w:r>
        <w:rPr>
          <w:rFonts w:hint="eastAsia"/>
          <w:szCs w:val="21"/>
        </w:rPr>
        <w:t xml:space="preserve">4月29日9:30</w:t>
      </w:r>
      <w:bookmarkEnd w:id="4"/>
      <w:r/>
      <w:bookmarkEnd w:id="5"/>
      <w:r>
        <w:rPr>
          <w:rFonts w:hint="eastAsia"/>
          <w:szCs w:val="21"/>
        </w:rPr>
        <w:t xml:space="preserve">（北京时间）；</w:t>
      </w:r>
      <w:bookmarkEnd w:id="3"/>
      <w:r/>
      <w:r/>
    </w:p>
    <w:p>
      <w:pPr>
        <w:ind w:firstLine="420"/>
        <w:rPr>
          <w:szCs w:val="21"/>
        </w:rPr>
      </w:pPr>
      <w:r>
        <w:rPr>
          <w:rFonts w:hint="eastAsia"/>
          <w:szCs w:val="21"/>
        </w:rPr>
        <w:t xml:space="preserve">3.开标地点：“苏采云”系统（网址：http://jszfcg.jsczt.cn/）</w:t>
      </w:r>
      <w:r/>
    </w:p>
    <w:p>
      <w:pPr>
        <w:ind w:firstLine="420"/>
      </w:pPr>
      <w:r>
        <w:rPr>
          <w:rFonts w:hint="eastAsi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pPr>
      <w:r>
        <w:rPr>
          <w:rFonts w:hint="eastAsi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pPr>
      <w:r>
        <w:rPr>
          <w:rFonts w:hint="eastAsia"/>
        </w:rPr>
        <w:t xml:space="preserve">请供应商确保电脑、系统及其他设备（视频输入输出设备等）无误，且开标直至项目结束始终保持系统在线状态。</w:t>
      </w:r>
      <w:r/>
    </w:p>
    <w:p>
      <w:pPr>
        <w:ind w:firstLine="420"/>
      </w:pPr>
      <w:r>
        <w:rPr>
          <w:rFonts w:hint="eastAsia"/>
        </w:rPr>
        <w:t xml:space="preserve">五、公告期限：</w:t>
      </w:r>
      <w:r/>
    </w:p>
    <w:p>
      <w:pPr>
        <w:ind w:firstLine="420"/>
      </w:pPr>
      <w:r>
        <w:rPr>
          <w:rFonts w:hint="eastAsia"/>
        </w:rPr>
        <w:t xml:space="preserve">自本公告发布之日起5个工作日。</w:t>
      </w:r>
      <w:r/>
    </w:p>
    <w:p>
      <w:pPr>
        <w:ind w:firstLine="420"/>
      </w:pPr>
      <w:r>
        <w:rPr>
          <w:rFonts w:hint="eastAsia"/>
        </w:rPr>
        <w:t xml:space="preserve">六、其他补充事宜</w:t>
      </w:r>
      <w:r/>
    </w:p>
    <w:p>
      <w:pPr>
        <w:ind w:firstLine="420"/>
      </w:pPr>
      <w:r>
        <w:rPr>
          <w:rFonts w:hint="eastAsia"/>
        </w:rPr>
        <w:t xml:space="preserve">1.CA证书办理</w:t>
      </w:r>
      <w:r/>
    </w:p>
    <w:p>
      <w:pPr>
        <w:ind w:firstLine="420"/>
      </w:pPr>
      <w:r>
        <w:rPr>
          <w:rFonts w:hint="eastAsi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t xml:space="preserve">0512</w:t>
      </w:r>
      <w:r>
        <w:rPr>
          <w:rFonts w:hint="eastAsia"/>
        </w:rPr>
        <w:t xml:space="preserve">-</w:t>
      </w:r>
      <w:r>
        <w:t xml:space="preserve">65737699</w:t>
      </w:r>
      <w:r>
        <w:rPr>
          <w:rFonts w:hint="eastAsia"/>
        </w:rPr>
        <w:t xml:space="preserve">。</w:t>
      </w:r>
      <w:r/>
    </w:p>
    <w:p>
      <w:pPr>
        <w:ind w:firstLine="420"/>
      </w:pPr>
      <w:r>
        <w:rPr>
          <w:rFonts w:hint="eastAsia"/>
        </w:rPr>
        <w:t xml:space="preserve">2.参与采购活动</w:t>
      </w:r>
      <w:r/>
    </w:p>
    <w:p>
      <w:pPr>
        <w:ind w:firstLine="420"/>
      </w:pPr>
      <w:r>
        <w:rPr>
          <w:rFonts w:hint="eastAsia"/>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pPr>
      <w:r>
        <w:rPr>
          <w:rFonts w:hint="eastAsia"/>
        </w:rPr>
        <w:t xml:space="preserve">3.电子投标准备</w:t>
      </w:r>
      <w:r/>
    </w:p>
    <w:p>
      <w:pPr>
        <w:ind w:firstLine="480"/>
        <w:rPr>
          <w:sz w:val="24"/>
        </w:rPr>
      </w:pPr>
      <w:r>
        <w:rPr>
          <w:rFonts w:hint="eastAsia"/>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p>
    <w:p>
      <w:pPr>
        <w:ind w:firstLine="420"/>
      </w:pPr>
      <w:r>
        <w:rPr>
          <w:rFonts w:hint="eastAsia"/>
        </w:rPr>
        <w:t xml:space="preserve">注册咨询：18261002950；</w:t>
      </w:r>
      <w:r/>
    </w:p>
    <w:p>
      <w:pPr>
        <w:ind w:firstLine="420"/>
      </w:pPr>
      <w:r>
        <w:rPr>
          <w:rFonts w:hint="eastAsia"/>
        </w:rPr>
        <w:t xml:space="preserve">CA技术咨询电话：400-608-6099；</w:t>
      </w:r>
      <w:r/>
    </w:p>
    <w:p>
      <w:pPr>
        <w:ind w:firstLine="420"/>
      </w:pPr>
      <w:r>
        <w:rPr>
          <w:rFonts w:hint="eastAsia"/>
        </w:rPr>
        <w:t xml:space="preserve">签章使用问题：025-83633811、025-83633812、15380932027、15371015030；</w:t>
      </w:r>
      <w:r/>
    </w:p>
    <w:p>
      <w:pPr>
        <w:ind w:firstLine="420"/>
      </w:pPr>
      <w:r>
        <w:rPr>
          <w:rFonts w:hint="eastAsia"/>
        </w:rPr>
        <w:t xml:space="preserve">系统使用指导与咨询：联系电话：18261002950；QQ：3048755361、1315179389、895706745。</w:t>
      </w:r>
      <w:r/>
    </w:p>
    <w:p>
      <w:pPr>
        <w:ind w:firstLine="420"/>
        <w:shd w:val="clear" w:color="auto" w:fill="ffffff"/>
        <w:widowControl/>
        <w:rPr>
          <w:color w:val="000000"/>
          <w:szCs w:val="21"/>
        </w:rPr>
      </w:pPr>
      <w:r>
        <w:rPr>
          <w:color w:val="000000"/>
          <w:szCs w:val="21"/>
        </w:rPr>
        <w:t xml:space="preserve">4.远程开标支持计算机端，投标人可根据“</w:t>
      </w:r>
      <w:r>
        <w:rPr>
          <w:rFonts w:hint="eastAsia"/>
          <w:color w:val="000000"/>
          <w:szCs w:val="21"/>
        </w:rPr>
        <w:t xml:space="preserve">《苏采云系统供应商操作手册》（网址链接https://czju.suzhou.gov.cn/zfcg/html/content/20231220161910031.shtml）</w:t>
      </w:r>
      <w:r>
        <w:rPr>
          <w:color w:val="000000"/>
          <w:szCs w:val="21"/>
        </w:rPr>
        <w:t xml:space="preserve">进行操作。</w:t>
      </w:r>
      <w:r/>
    </w:p>
    <w:p>
      <w:pPr>
        <w:ind w:firstLine="420"/>
        <w:jc w:val="left"/>
        <w:rPr>
          <w:color w:val="000000"/>
          <w:szCs w:val="21"/>
        </w:rPr>
      </w:pPr>
      <w:r>
        <w:rPr>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rPr>
          <w:color w:val="000000"/>
          <w:szCs w:val="21"/>
        </w:rPr>
      </w:pPr>
      <w:r>
        <w:rPr>
          <w:color w:val="000000"/>
          <w:szCs w:val="21"/>
        </w:rPr>
        <w:t xml:space="preserve">6.本项目以电子投标文件的内容为准，不再收取纸质投标文件及相关原件等纸质材料。</w:t>
      </w:r>
      <w:r/>
    </w:p>
    <w:p>
      <w:pPr>
        <w:ind w:firstLine="420"/>
        <w:shd w:val="clear" w:color="auto" w:fill="ffffff"/>
        <w:widowControl/>
        <w:rPr>
          <w:color w:val="000000"/>
          <w:szCs w:val="21"/>
        </w:rPr>
      </w:pPr>
      <w:r>
        <w:rPr>
          <w:color w:val="000000"/>
          <w:szCs w:val="21"/>
        </w:rPr>
        <w:t xml:space="preserve">7.昆山市财政局监督电话：0512-57310854。</w:t>
      </w:r>
      <w:r/>
    </w:p>
    <w:p>
      <w:pPr>
        <w:ind w:firstLine="420"/>
        <w:jc w:val="left"/>
        <w:rPr>
          <w:color w:val="000000"/>
          <w:szCs w:val="21"/>
        </w:rPr>
      </w:pPr>
      <w:r>
        <w:rPr>
          <w:color w:val="000000"/>
          <w:szCs w:val="21"/>
        </w:rPr>
        <w:t xml:space="preserve">8.投标人在参加政府采购活动时须遵守《昆山市政府采购供应商诚信管理办法》的相关规定。</w:t>
      </w:r>
      <w:r/>
    </w:p>
    <w:p>
      <w:pPr>
        <w:ind w:firstLine="420"/>
      </w:pPr>
      <w:r>
        <w:rPr>
          <w:rFonts w:hint="eastAsia"/>
        </w:rPr>
        <w:t xml:space="preserve">七、对本次招标提出询问，请按以下方式联系。</w:t>
      </w:r>
      <w:r/>
    </w:p>
    <w:p>
      <w:pPr>
        <w:ind w:firstLine="420"/>
      </w:pPr>
      <w:r>
        <w:rPr>
          <w:rFonts w:hint="eastAsia"/>
        </w:rPr>
        <w:t xml:space="preserve">1.</w:t>
      </w:r>
      <w:r>
        <w:t xml:space="preserve">采购人</w:t>
      </w:r>
      <w:r>
        <w:rPr>
          <w:rFonts w:hint="eastAsia"/>
        </w:rPr>
        <w:t xml:space="preserve">信息：</w:t>
      </w:r>
      <w:r/>
    </w:p>
    <w:p>
      <w:pPr>
        <w:ind w:firstLine="420"/>
      </w:pPr>
      <w:r>
        <w:rPr>
          <w:rFonts w:hint="eastAsia"/>
        </w:rPr>
        <w:t xml:space="preserve">单位名称：昆山市公安局</w:t>
      </w:r>
      <w:r/>
    </w:p>
    <w:p>
      <w:pPr>
        <w:ind w:firstLine="420"/>
      </w:pPr>
      <w:r>
        <w:rPr>
          <w:rFonts w:hint="eastAsia"/>
        </w:rPr>
        <w:t xml:space="preserve">单位地址：昆山市前进东路1288号</w:t>
      </w:r>
      <w:r/>
    </w:p>
    <w:p>
      <w:pPr>
        <w:ind w:firstLine="420"/>
      </w:pPr>
      <w:r>
        <w:rPr>
          <w:rFonts w:hint="eastAsia"/>
        </w:rPr>
        <w:t xml:space="preserve">联系人：夏光涛</w:t>
      </w:r>
      <w:r/>
    </w:p>
    <w:p>
      <w:pPr>
        <w:ind w:firstLine="420"/>
      </w:pPr>
      <w:r>
        <w:rPr>
          <w:rFonts w:hint="eastAsia"/>
        </w:rPr>
        <w:t xml:space="preserve">联系电话：0512-57702333</w:t>
      </w:r>
      <w:r/>
    </w:p>
    <w:p>
      <w:pPr>
        <w:ind w:firstLine="420"/>
      </w:pPr>
      <w:r>
        <w:rPr>
          <w:rFonts w:hint="eastAsia"/>
        </w:rPr>
        <w:t xml:space="preserve">2.采购代理机构信息：</w:t>
      </w:r>
      <w:r/>
    </w:p>
    <w:p>
      <w:pPr>
        <w:ind w:firstLine="420"/>
      </w:pPr>
      <w:r>
        <w:rPr>
          <w:rFonts w:hint="eastAsia"/>
        </w:rPr>
        <w:t xml:space="preserve">单位名称：昆山欣杰项目管理有限公司</w:t>
      </w:r>
      <w:r/>
    </w:p>
    <w:p>
      <w:pPr>
        <w:ind w:firstLine="420"/>
      </w:pPr>
      <w:r>
        <w:rPr>
          <w:rFonts w:hint="eastAsia"/>
        </w:rPr>
        <w:t xml:space="preserve">单位地址：昆山市民新路159号</w:t>
      </w:r>
      <w:r/>
    </w:p>
    <w:p>
      <w:pPr>
        <w:ind w:firstLine="420"/>
      </w:pPr>
      <w:r>
        <w:rPr>
          <w:rFonts w:hint="eastAsia"/>
        </w:rPr>
        <w:t xml:space="preserve">联系人：陶丽清、黄海建</w:t>
      </w:r>
      <w:r/>
    </w:p>
    <w:p>
      <w:pPr>
        <w:ind w:firstLine="420"/>
      </w:pPr>
      <w:r>
        <w:rPr>
          <w:rFonts w:hint="eastAsia"/>
        </w:rPr>
        <w:t xml:space="preserve">联系电话：0512-50170428</w:t>
      </w:r>
      <w:r/>
    </w:p>
    <w:p>
      <w:r>
        <w:br w:type="page" w:clear="all"/>
      </w:r>
      <w:r/>
    </w:p>
    <w:p>
      <w:pPr>
        <w:pStyle w:val="746"/>
      </w:pPr>
      <w:r/>
      <w:bookmarkStart w:id="6" w:name="_Toc5137"/>
      <w:r>
        <w:t xml:space="preserve">第二章 投标人须知</w:t>
      </w:r>
      <w:bookmarkEnd w:id="6"/>
      <w:r/>
      <w:r/>
    </w:p>
    <w:p>
      <w:pPr>
        <w:pStyle w:val="717"/>
        <w:ind w:firstLine="422"/>
        <w:rPr>
          <w:rFonts w:eastAsia="宋体"/>
          <w:b/>
          <w:sz w:val="21"/>
          <w:szCs w:val="21"/>
        </w:rPr>
      </w:pPr>
      <w:r>
        <w:rPr>
          <w:rFonts w:hint="eastAsia" w:eastAsia="宋体"/>
          <w:b/>
          <w:sz w:val="21"/>
          <w:szCs w:val="21"/>
        </w:rPr>
        <w:t xml:space="preserve">一、招投标说明</w:t>
      </w:r>
      <w:r/>
    </w:p>
    <w:p>
      <w:pPr>
        <w:pStyle w:val="717"/>
        <w:rPr>
          <w:rFonts w:eastAsia="宋体"/>
          <w:sz w:val="21"/>
          <w:szCs w:val="21"/>
        </w:rPr>
      </w:pPr>
      <w:r>
        <w:rPr>
          <w:rFonts w:eastAsia="宋体"/>
          <w:sz w:val="21"/>
          <w:szCs w:val="21"/>
        </w:rPr>
        <w:t xml:space="preserve">1.</w:t>
      </w:r>
      <w:r>
        <w:rPr>
          <w:rFonts w:hint="eastAsia" w:eastAsia="宋体"/>
          <w:sz w:val="21"/>
          <w:szCs w:val="21"/>
        </w:rPr>
        <w:t xml:space="preserve">本招标文件仅适用于昆山欣杰项目管理有限公司组织的招标活动。</w:t>
      </w:r>
      <w:r/>
    </w:p>
    <w:p>
      <w:pPr>
        <w:pStyle w:val="717"/>
        <w:rPr>
          <w:rFonts w:eastAsia="宋体"/>
          <w:sz w:val="21"/>
          <w:szCs w:val="21"/>
        </w:rPr>
      </w:pPr>
      <w:r>
        <w:rPr>
          <w:rFonts w:eastAsia="宋体"/>
          <w:sz w:val="21"/>
          <w:szCs w:val="21"/>
        </w:rPr>
        <w:t xml:space="preserve">2.</w:t>
      </w:r>
      <w:r>
        <w:rPr>
          <w:rFonts w:hint="eastAsia" w:eastAsia="宋体"/>
          <w:sz w:val="21"/>
          <w:szCs w:val="21"/>
        </w:rPr>
        <w:t xml:space="preserve">本次招标活动及因本次招标活动产生的合同受中国法律制约和保护。</w:t>
      </w:r>
      <w:r/>
    </w:p>
    <w:p>
      <w:pPr>
        <w:pStyle w:val="717"/>
        <w:rPr>
          <w:rFonts w:eastAsia="宋体"/>
          <w:sz w:val="21"/>
          <w:szCs w:val="21"/>
        </w:rPr>
      </w:pPr>
      <w:r>
        <w:rPr>
          <w:rFonts w:hint="eastAsia" w:eastAsia="宋体"/>
          <w:sz w:val="21"/>
          <w:szCs w:val="21"/>
        </w:rPr>
        <w:t xml:space="preserve">3</w:t>
      </w:r>
      <w:r>
        <w:rPr>
          <w:rFonts w:eastAsia="宋体"/>
          <w:sz w:val="21"/>
          <w:szCs w:val="21"/>
        </w:rPr>
        <w:t xml:space="preserve">.</w:t>
      </w:r>
      <w:r>
        <w:rPr>
          <w:rFonts w:hint="eastAsia" w:eastAsia="宋体"/>
          <w:sz w:val="21"/>
          <w:szCs w:val="21"/>
        </w:rPr>
        <w:t xml:space="preserve">本招标文件的解释权属于昆山欣杰项目管理有限公司。</w:t>
      </w:r>
      <w:r/>
    </w:p>
    <w:p>
      <w:pPr>
        <w:pStyle w:val="717"/>
        <w:ind w:firstLine="422"/>
        <w:rPr>
          <w:rFonts w:eastAsia="宋体"/>
          <w:b/>
          <w:sz w:val="21"/>
          <w:szCs w:val="21"/>
        </w:rPr>
      </w:pPr>
      <w:r>
        <w:rPr>
          <w:rFonts w:hint="eastAsia" w:eastAsia="宋体"/>
          <w:b/>
          <w:sz w:val="21"/>
          <w:szCs w:val="21"/>
        </w:rPr>
        <w:t xml:space="preserve">二、投标文件说明</w:t>
      </w:r>
      <w:r/>
    </w:p>
    <w:p>
      <w:pPr>
        <w:ind w:firstLine="422"/>
        <w:rPr>
          <w:b/>
          <w:szCs w:val="21"/>
        </w:rPr>
      </w:pPr>
      <w:r>
        <w:rPr>
          <w:rFonts w:hint="eastAsia"/>
          <w:b/>
          <w:szCs w:val="21"/>
        </w:rPr>
        <w:t xml:space="preserve">1.投标文件计量单位和使用文字</w:t>
      </w:r>
      <w:r/>
    </w:p>
    <w:p>
      <w:pPr>
        <w:pStyle w:val="717"/>
        <w:rPr>
          <w:rFonts w:eastAsia="宋体"/>
          <w:sz w:val="21"/>
          <w:szCs w:val="21"/>
        </w:rPr>
      </w:pPr>
      <w:r>
        <w:rPr>
          <w:rFonts w:hint="eastAsia" w:eastAsia="宋体"/>
          <w:sz w:val="21"/>
          <w:szCs w:val="21"/>
        </w:rPr>
        <w:t xml:space="preserve">1.1投标文件中所使用的计量单位，除招标文件中有特殊要求外，应采用国家法定计量单位。</w:t>
      </w:r>
      <w:r/>
    </w:p>
    <w:p>
      <w:pPr>
        <w:ind w:firstLine="420"/>
        <w:rPr>
          <w:szCs w:val="21"/>
        </w:rPr>
      </w:pPr>
      <w:r>
        <w:rPr>
          <w:rFonts w:hint="eastAsia"/>
          <w:szCs w:val="21"/>
        </w:rPr>
        <w:t xml:space="preserve">1.2投标文件应使用中文编制，投标文件中必须使用其他文字的，必须附有中文译本，</w:t>
      </w:r>
      <w:r>
        <w:rPr>
          <w:rFonts w:hint="eastAsia"/>
          <w:szCs w:val="21"/>
          <w:lang w:val="zh-CN"/>
        </w:rPr>
        <w:t xml:space="preserve">对不同文本投标文件的解释发生异议的，以中文文本为准。</w:t>
      </w:r>
      <w:r>
        <w:rPr>
          <w:rFonts w:hint="eastAsia"/>
          <w:szCs w:val="21"/>
        </w:rPr>
        <w:t xml:space="preserve">对于未附有中文译本和中文译本不准确的投标文件，由此引起的对投标单位不利后果的，采购代理机构概不负责。</w:t>
      </w:r>
      <w:r/>
    </w:p>
    <w:p>
      <w:pPr>
        <w:ind w:firstLine="422"/>
        <w:rPr>
          <w:b/>
          <w:szCs w:val="21"/>
        </w:rPr>
      </w:pPr>
      <w:r>
        <w:rPr>
          <w:rFonts w:hint="eastAsia"/>
          <w:b/>
          <w:szCs w:val="21"/>
        </w:rPr>
        <w:t xml:space="preserve">2.投标文件编制说明</w:t>
      </w:r>
      <w:r/>
    </w:p>
    <w:p>
      <w:pPr>
        <w:ind w:firstLine="434"/>
        <w:rPr>
          <w:b/>
          <w:szCs w:val="21"/>
        </w:rPr>
      </w:pPr>
      <w:r>
        <w:rPr>
          <w:rFonts w:hint="eastAsia"/>
          <w:szCs w:val="21"/>
        </w:rPr>
        <w:t xml:space="preserve">投标文件按招标文件规定的格式制作，需</w:t>
      </w:r>
      <w:r>
        <w:rPr>
          <w:szCs w:val="21"/>
        </w:rPr>
        <w:t xml:space="preserve">盖章或签字之</w:t>
      </w:r>
      <w:r>
        <w:rPr>
          <w:rFonts w:hint="eastAsia"/>
          <w:szCs w:val="21"/>
        </w:rPr>
        <w:t xml:space="preserve">处，</w:t>
      </w:r>
      <w:r>
        <w:rPr>
          <w:szCs w:val="21"/>
        </w:rPr>
        <w:t xml:space="preserve">应</w:t>
      </w:r>
      <w:r>
        <w:rPr>
          <w:rFonts w:hint="eastAsia"/>
          <w:szCs w:val="21"/>
        </w:rPr>
        <w:t xml:space="preserve">按要求加盖电子签章</w:t>
      </w:r>
      <w:r>
        <w:rPr>
          <w:szCs w:val="21"/>
        </w:rPr>
        <w:t xml:space="preserve">，</w:t>
      </w:r>
      <w:r>
        <w:rPr>
          <w:rFonts w:hint="eastAsia"/>
          <w:szCs w:val="21"/>
        </w:rPr>
        <w:t xml:space="preserve">如果未按要求制作上传，</w:t>
      </w:r>
      <w:r>
        <w:rPr>
          <w:rFonts w:hint="eastAsia" w:cs="Arial"/>
          <w:szCs w:val="21"/>
        </w:rPr>
        <w:t xml:space="preserve">可能导致投标无效。</w:t>
      </w:r>
      <w:r>
        <w:rPr>
          <w:rFonts w:hint="eastAsia"/>
          <w:shd w:val="clear" w:color="auto" w:fill="ffffff"/>
        </w:rPr>
        <w:t xml:space="preserve">投标单位上传投标文件内容务必清晰明了。招标人及代理机构不组织现场勘察，如有需要，投标人仅可对项目涉及到的公共区域自行勘察以获取编制投标文件所需的信息。勘察现场所发生的费用由投标人自己承担。</w:t>
      </w:r>
      <w:r/>
    </w:p>
    <w:p>
      <w:pPr>
        <w:ind w:firstLine="422"/>
        <w:rPr>
          <w:b/>
          <w:szCs w:val="21"/>
        </w:rPr>
      </w:pPr>
      <w:r>
        <w:rPr>
          <w:rFonts w:hint="eastAsia"/>
          <w:b/>
          <w:szCs w:val="21"/>
        </w:rPr>
        <w:t xml:space="preserve">3.投标文件的有效期</w:t>
      </w:r>
      <w:r/>
    </w:p>
    <w:p>
      <w:pPr>
        <w:ind w:firstLine="420"/>
        <w:rPr>
          <w:szCs w:val="21"/>
        </w:rPr>
      </w:pPr>
      <w:r>
        <w:rPr>
          <w:rFonts w:hint="eastAsia"/>
          <w:szCs w:val="21"/>
        </w:rPr>
        <w:t xml:space="preserve">自开标日起90天内，投标文件应保持有效。有效期短于这个规定期限的响应，将被认定为未实质性响应招标文件要求。</w:t>
      </w:r>
      <w:r/>
    </w:p>
    <w:p>
      <w:pPr>
        <w:ind w:firstLine="422"/>
        <w:rPr>
          <w:b/>
          <w:szCs w:val="21"/>
        </w:rPr>
      </w:pPr>
      <w:r>
        <w:rPr>
          <w:rFonts w:hint="eastAsia"/>
          <w:b/>
          <w:szCs w:val="21"/>
        </w:rPr>
        <w:t xml:space="preserve">4.投标报价</w:t>
      </w:r>
      <w:r/>
    </w:p>
    <w:p>
      <w:pPr>
        <w:ind w:firstLine="420"/>
        <w:rPr>
          <w:szCs w:val="21"/>
        </w:rPr>
      </w:pPr>
      <w:r>
        <w:rPr>
          <w:rFonts w:hint="eastAsia"/>
          <w:szCs w:val="21"/>
        </w:rPr>
        <w:t xml:space="preserve">4.1投标单位的报价应包含全部货物和服务内容、人员工资福利、运输、</w:t>
      </w:r>
      <w:r>
        <w:rPr>
          <w:rFonts w:hint="eastAsia" w:hAnsi="Calibri"/>
        </w:rPr>
        <w:t xml:space="preserve">风险费、保险费、税金、利润等政策性文件规定及合同包含的所有风险、责任等各项应有费用</w:t>
      </w:r>
      <w:r>
        <w:rPr>
          <w:szCs w:val="21"/>
        </w:rPr>
        <w:t xml:space="preserve">。除非因特殊原因并经双方协商同意，投标单位不得再要求追加任何费用。</w:t>
      </w:r>
      <w:r/>
    </w:p>
    <w:p>
      <w:pPr>
        <w:ind w:firstLine="420"/>
        <w:rPr>
          <w:szCs w:val="21"/>
        </w:rPr>
      </w:pPr>
      <w:r>
        <w:rPr>
          <w:rFonts w:hint="eastAsia"/>
          <w:szCs w:val="21"/>
        </w:rPr>
        <w:t xml:space="preserve">4.2投标报价应当低于</w:t>
      </w:r>
      <w:r>
        <w:rPr>
          <w:szCs w:val="21"/>
        </w:rPr>
        <w:t xml:space="preserve">同类货物和服务的市场平均价格。</w:t>
      </w:r>
      <w:r>
        <w:rPr>
          <w:rFonts w:hint="eastAsia"/>
          <w:szCs w:val="21"/>
        </w:rPr>
        <w:t xml:space="preserve">除非招标文件另有规定或经采购人同意支付的，投标报价均不得高于招标文件（公告）列明的最高限价、项目预算。</w:t>
      </w:r>
      <w:r/>
    </w:p>
    <w:p>
      <w:pPr>
        <w:pStyle w:val="717"/>
        <w:rPr>
          <w:rFonts w:eastAsia="宋体"/>
          <w:sz w:val="21"/>
          <w:szCs w:val="21"/>
        </w:rPr>
      </w:pPr>
      <w:r>
        <w:rPr>
          <w:rFonts w:hint="eastAsia" w:eastAsia="宋体"/>
          <w:sz w:val="21"/>
          <w:szCs w:val="21"/>
        </w:rPr>
        <w:t xml:space="preserve">4.</w:t>
      </w:r>
      <w:r>
        <w:rPr>
          <w:rFonts w:eastAsia="宋体"/>
          <w:sz w:val="21"/>
          <w:szCs w:val="21"/>
        </w:rPr>
        <w:t xml:space="preserve">3</w:t>
      </w:r>
      <w:r>
        <w:rPr>
          <w:rFonts w:hint="eastAsia" w:eastAsia="宋体"/>
          <w:sz w:val="21"/>
          <w:szCs w:val="21"/>
        </w:rPr>
        <w:t xml:space="preserve">投标单位应按招标文件要求在投标文件中列明所投服务的单价明细和总价，并由法定代表人或代理人签字或盖章。</w:t>
      </w:r>
      <w:r/>
    </w:p>
    <w:p>
      <w:pPr>
        <w:pStyle w:val="717"/>
        <w:rPr>
          <w:rFonts w:eastAsia="宋体"/>
          <w:sz w:val="21"/>
          <w:szCs w:val="21"/>
        </w:rPr>
      </w:pPr>
      <w:r>
        <w:rPr>
          <w:rFonts w:hint="eastAsia" w:eastAsia="宋体"/>
          <w:sz w:val="21"/>
          <w:szCs w:val="21"/>
        </w:rPr>
        <w:t xml:space="preserve">4.</w:t>
      </w:r>
      <w:r>
        <w:rPr>
          <w:rFonts w:eastAsia="宋体"/>
          <w:sz w:val="21"/>
          <w:szCs w:val="21"/>
        </w:rPr>
        <w:t xml:space="preserve">4</w:t>
      </w:r>
      <w:r>
        <w:rPr>
          <w:rFonts w:hint="eastAsia"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717"/>
        <w:rPr>
          <w:rFonts w:eastAsia="宋体"/>
          <w:sz w:val="21"/>
          <w:szCs w:val="21"/>
        </w:rPr>
      </w:pPr>
      <w:r>
        <w:rPr>
          <w:rFonts w:hint="eastAsia" w:eastAsia="宋体"/>
          <w:sz w:val="21"/>
          <w:szCs w:val="21"/>
        </w:rPr>
        <w:t xml:space="preserve">4.</w:t>
      </w:r>
      <w:r>
        <w:rPr>
          <w:rFonts w:eastAsia="宋体"/>
          <w:sz w:val="21"/>
          <w:szCs w:val="21"/>
        </w:rPr>
        <w:t xml:space="preserve">5</w:t>
      </w:r>
      <w:r>
        <w:rPr>
          <w:rFonts w:hint="eastAsia" w:eastAsia="宋体"/>
          <w:sz w:val="21"/>
          <w:szCs w:val="21"/>
        </w:rPr>
        <w:t xml:space="preserve">投标文件报价中的单价和总价全部采用人民币表示，除非另有规定。</w:t>
      </w:r>
      <w:r/>
    </w:p>
    <w:p>
      <w:pPr>
        <w:pStyle w:val="717"/>
        <w:rPr>
          <w:rFonts w:eastAsia="宋体"/>
          <w:sz w:val="21"/>
          <w:szCs w:val="21"/>
        </w:rPr>
      </w:pPr>
      <w:r>
        <w:rPr>
          <w:rFonts w:hint="eastAsia" w:eastAsia="宋体"/>
          <w:sz w:val="21"/>
          <w:szCs w:val="21"/>
        </w:rPr>
        <w:t xml:space="preserve">4.6除国家政策性文件规定以外，投标单位投标价格在合同履行期间不因市场变化因素而变动。</w:t>
      </w:r>
      <w:r/>
    </w:p>
    <w:p>
      <w:pPr>
        <w:ind w:firstLine="422"/>
        <w:rPr>
          <w:b/>
          <w:szCs w:val="21"/>
        </w:rPr>
      </w:pPr>
      <w:r>
        <w:rPr>
          <w:rFonts w:hint="eastAsia"/>
          <w:b/>
          <w:szCs w:val="21"/>
        </w:rPr>
        <w:t xml:space="preserve">5.投标文件的组成</w:t>
      </w:r>
      <w:r/>
    </w:p>
    <w:p>
      <w:pPr>
        <w:numPr>
          <w:ilvl w:val="1"/>
          <w:numId w:val="0"/>
        </w:numPr>
        <w:ind w:firstLine="425"/>
        <w:rPr>
          <w:rFonts w:cs="Arial"/>
          <w:bCs/>
          <w:szCs w:val="21"/>
        </w:rPr>
      </w:pPr>
      <w:r>
        <w:rPr>
          <w:rFonts w:hint="eastAsia" w:cs="Arial"/>
          <w:bCs/>
          <w:szCs w:val="21"/>
        </w:rPr>
        <w:t xml:space="preserve">5.1投标文件封面：</w:t>
      </w:r>
      <w:r/>
    </w:p>
    <w:p>
      <w:pPr>
        <w:numPr>
          <w:ilvl w:val="2"/>
          <w:numId w:val="0"/>
        </w:numPr>
        <w:ind w:left="426"/>
        <w:rPr>
          <w:rFonts w:cs="Arial"/>
          <w:szCs w:val="21"/>
        </w:rPr>
      </w:pPr>
      <w:r>
        <w:rPr>
          <w:rFonts w:hint="eastAsia" w:cs="Arial"/>
          <w:szCs w:val="21"/>
        </w:rPr>
        <w:t xml:space="preserve">5.1.1基本目录；</w:t>
      </w:r>
      <w:r/>
    </w:p>
    <w:p>
      <w:pPr>
        <w:numPr>
          <w:ilvl w:val="2"/>
          <w:numId w:val="0"/>
        </w:numPr>
        <w:ind w:left="426"/>
        <w:rPr>
          <w:rFonts w:cs="Arial"/>
          <w:szCs w:val="21"/>
        </w:rPr>
      </w:pPr>
      <w:r>
        <w:rPr>
          <w:rFonts w:hint="eastAsia" w:cs="Arial"/>
          <w:szCs w:val="21"/>
        </w:rPr>
        <w:t xml:space="preserve">5.1.2开标一览表</w:t>
      </w:r>
      <w:r>
        <w:rPr>
          <w:rFonts w:cs="Arial"/>
          <w:szCs w:val="21"/>
        </w:rPr>
        <w:t xml:space="preserve">；</w:t>
      </w:r>
      <w:r/>
    </w:p>
    <w:p>
      <w:pPr>
        <w:numPr>
          <w:ilvl w:val="1"/>
          <w:numId w:val="0"/>
        </w:numPr>
        <w:ind w:firstLine="425"/>
        <w:rPr>
          <w:rFonts w:cs="Arial"/>
          <w:b/>
          <w:szCs w:val="21"/>
        </w:rPr>
      </w:pPr>
      <w:r>
        <w:rPr>
          <w:rFonts w:hint="eastAsia" w:cs="Arial"/>
          <w:b/>
          <w:szCs w:val="21"/>
        </w:rPr>
        <w:t xml:space="preserve">5.2资格条件：</w:t>
      </w:r>
      <w:r/>
    </w:p>
    <w:p>
      <w:pPr>
        <w:numPr>
          <w:ilvl w:val="2"/>
          <w:numId w:val="0"/>
        </w:numPr>
        <w:ind w:left="426"/>
        <w:rPr>
          <w:rFonts w:cs="Arial"/>
          <w:szCs w:val="21"/>
        </w:rPr>
      </w:pPr>
      <w:r>
        <w:rPr>
          <w:rFonts w:hint="eastAsia" w:cs="Arial"/>
          <w:szCs w:val="21"/>
        </w:rPr>
        <w:t xml:space="preserve">5</w:t>
      </w:r>
      <w:r>
        <w:rPr>
          <w:rFonts w:cs="Arial"/>
          <w:szCs w:val="21"/>
        </w:rPr>
        <w:t xml:space="preserve">.2.</w:t>
      </w:r>
      <w:r>
        <w:rPr>
          <w:rFonts w:hint="eastAsia" w:cs="Arial"/>
          <w:szCs w:val="21"/>
        </w:rPr>
        <w:t xml:space="preserve">1投标人满足《中华人民共和国政府采购法》第二十二条规定，（格式见投标承诺函或提供相应证明材料）</w:t>
      </w:r>
      <w:r/>
    </w:p>
    <w:p>
      <w:pPr>
        <w:numPr>
          <w:ilvl w:val="2"/>
          <w:numId w:val="0"/>
        </w:numPr>
        <w:ind w:left="426"/>
        <w:rPr>
          <w:rFonts w:cs="Arial"/>
          <w:szCs w:val="21"/>
        </w:rPr>
      </w:pPr>
      <w:r>
        <w:rPr>
          <w:rFonts w:hint="eastAsia" w:cs="Arial"/>
          <w:szCs w:val="21"/>
        </w:rPr>
        <w:t xml:space="preserve">5.2.1.1具有独立承担民事责任的能力（法人或其他组织的</w:t>
      </w:r>
      <w:r>
        <w:rPr>
          <w:rFonts w:ascii="Segoe UI" w:hAnsi="Segoe UI" w:eastAsia="Segoe UI" w:cs="Segoe UI"/>
          <w:szCs w:val="21"/>
          <w:shd w:val="clear" w:color="auto" w:fill="fafafa"/>
        </w:rPr>
        <w:t xml:space="preserve">营业执照等证明文件，自然人的身份证明</w:t>
      </w:r>
      <w:r>
        <w:rPr>
          <w:rFonts w:hint="eastAsia" w:cs="Arial"/>
          <w:szCs w:val="21"/>
        </w:rPr>
        <w:t xml:space="preserve">）；</w:t>
      </w:r>
      <w:r/>
    </w:p>
    <w:p>
      <w:pPr>
        <w:numPr>
          <w:ilvl w:val="2"/>
          <w:numId w:val="0"/>
        </w:numPr>
        <w:ind w:left="426"/>
        <w:rPr>
          <w:rFonts w:cs="Arial"/>
          <w:szCs w:val="21"/>
        </w:rPr>
      </w:pPr>
      <w:r>
        <w:rPr>
          <w:rFonts w:hint="eastAsia" w:cs="Arial"/>
          <w:szCs w:val="21"/>
        </w:rPr>
        <w:t xml:space="preserve">5.2.1.2具有良好的商业信誉和健全的财务会计制度；</w:t>
      </w:r>
      <w:r/>
    </w:p>
    <w:p>
      <w:pPr>
        <w:numPr>
          <w:ilvl w:val="2"/>
          <w:numId w:val="0"/>
        </w:numPr>
        <w:ind w:left="426"/>
        <w:rPr>
          <w:rFonts w:cs="Arial"/>
          <w:szCs w:val="21"/>
        </w:rPr>
      </w:pPr>
      <w:r>
        <w:rPr>
          <w:rFonts w:hint="eastAsia" w:cs="Arial"/>
          <w:szCs w:val="21"/>
        </w:rPr>
        <w:t xml:space="preserve">5.2.1.3具有履行合同所必需的设备和专业技术能力；</w:t>
      </w:r>
      <w:r/>
    </w:p>
    <w:p>
      <w:pPr>
        <w:numPr>
          <w:ilvl w:val="2"/>
          <w:numId w:val="0"/>
        </w:numPr>
        <w:ind w:left="426"/>
        <w:rPr>
          <w:rFonts w:cs="Arial"/>
          <w:szCs w:val="21"/>
        </w:rPr>
      </w:pPr>
      <w:r>
        <w:rPr>
          <w:rFonts w:hint="eastAsia" w:cs="Arial"/>
          <w:szCs w:val="21"/>
        </w:rPr>
        <w:t xml:space="preserve">5.2.1.4具有依法缴纳税收和社会保障资金的良好记录；</w:t>
      </w:r>
      <w:r/>
    </w:p>
    <w:p>
      <w:pPr>
        <w:numPr>
          <w:ilvl w:val="2"/>
          <w:numId w:val="0"/>
        </w:numPr>
        <w:ind w:left="426"/>
        <w:rPr>
          <w:rFonts w:cs="Arial"/>
          <w:szCs w:val="21"/>
        </w:rPr>
      </w:pPr>
      <w:r>
        <w:rPr>
          <w:rFonts w:hint="eastAsia" w:cs="Arial"/>
          <w:szCs w:val="21"/>
        </w:rPr>
        <w:t xml:space="preserve">5.2.1.5参加政府采购活动前三年内，在经营活动中没有重大违法记录；</w:t>
      </w:r>
      <w:r/>
    </w:p>
    <w:p>
      <w:pPr>
        <w:numPr>
          <w:ilvl w:val="2"/>
          <w:numId w:val="0"/>
        </w:numPr>
        <w:ind w:left="426"/>
        <w:rPr>
          <w:rFonts w:cs="Arial"/>
          <w:szCs w:val="21"/>
        </w:rPr>
      </w:pPr>
      <w:r>
        <w:rPr>
          <w:rFonts w:hint="eastAsia" w:cs="Arial"/>
          <w:szCs w:val="21"/>
        </w:rPr>
        <w:t xml:space="preserve">5.2.2</w:t>
      </w:r>
      <w:r>
        <w:rPr>
          <w:rFonts w:hint="eastAsia"/>
          <w:szCs w:val="21"/>
        </w:rPr>
        <w:t xml:space="preserve">落实政府采购政策需满足的资格要求材料（如有）</w:t>
      </w:r>
      <w:r>
        <w:rPr>
          <w:rFonts w:hint="eastAsia" w:cs="Arial"/>
          <w:szCs w:val="21"/>
        </w:rPr>
        <w:t xml:space="preserve">；</w:t>
      </w:r>
      <w:r/>
    </w:p>
    <w:p>
      <w:pPr>
        <w:numPr>
          <w:ilvl w:val="2"/>
          <w:numId w:val="0"/>
        </w:numPr>
        <w:ind w:left="426"/>
        <w:rPr>
          <w:rFonts w:cs="Arial"/>
          <w:b/>
          <w:bCs/>
          <w:szCs w:val="21"/>
        </w:rPr>
      </w:pPr>
      <w:r>
        <w:rPr>
          <w:rFonts w:hint="eastAsia" w:cs="Arial"/>
          <w:szCs w:val="21"/>
        </w:rPr>
        <w:t xml:space="preserve">5.2.3第一章投标邀请中采购人根据采购项目的特殊要求规定的特定条件证明文件</w:t>
      </w:r>
      <w:r>
        <w:rPr>
          <w:rFonts w:hint="eastAsia"/>
          <w:szCs w:val="21"/>
        </w:rPr>
        <w:t xml:space="preserve">（如有）</w:t>
      </w:r>
      <w:r>
        <w:rPr>
          <w:rFonts w:hint="eastAsia" w:cs="Arial"/>
          <w:szCs w:val="21"/>
        </w:rPr>
        <w:t xml:space="preserve">。</w:t>
      </w:r>
      <w:r/>
    </w:p>
    <w:p>
      <w:pPr>
        <w:numPr>
          <w:ilvl w:val="1"/>
          <w:numId w:val="0"/>
        </w:numPr>
        <w:ind w:firstLine="425"/>
        <w:rPr>
          <w:rFonts w:cs="Arial"/>
          <w:b/>
          <w:szCs w:val="21"/>
        </w:rPr>
      </w:pPr>
      <w:r>
        <w:rPr>
          <w:rFonts w:hint="eastAsia" w:cs="Arial"/>
          <w:b/>
          <w:szCs w:val="21"/>
        </w:rPr>
        <w:t xml:space="preserve">5</w:t>
      </w:r>
      <w:r>
        <w:rPr>
          <w:rFonts w:cs="Arial"/>
          <w:b/>
          <w:szCs w:val="21"/>
        </w:rPr>
        <w:t xml:space="preserve">.3</w:t>
      </w:r>
      <w:r>
        <w:rPr>
          <w:rFonts w:hint="eastAsia" w:cs="Arial"/>
          <w:b/>
          <w:szCs w:val="21"/>
        </w:rPr>
        <w:t xml:space="preserve">符合性条件：</w:t>
      </w:r>
      <w:r/>
    </w:p>
    <w:p>
      <w:pPr>
        <w:numPr>
          <w:ilvl w:val="2"/>
          <w:numId w:val="0"/>
        </w:numPr>
        <w:ind w:left="426"/>
        <w:rPr>
          <w:rFonts w:cs="Arial"/>
          <w:szCs w:val="21"/>
        </w:rPr>
      </w:pPr>
      <w:r>
        <w:rPr>
          <w:rFonts w:hint="eastAsia" w:cs="Arial"/>
          <w:szCs w:val="21"/>
        </w:rPr>
        <w:t xml:space="preserve">5</w:t>
      </w:r>
      <w:r>
        <w:rPr>
          <w:rFonts w:cs="Arial"/>
          <w:szCs w:val="21"/>
        </w:rPr>
        <w:t xml:space="preserve">.3.1</w:t>
      </w:r>
      <w:r>
        <w:rPr>
          <w:rFonts w:hint="eastAsia" w:cs="Arial"/>
          <w:szCs w:val="21"/>
        </w:rPr>
        <w:t xml:space="preserve">投标文件的声明函（</w:t>
      </w:r>
      <w:r>
        <w:rPr>
          <w:rFonts w:cs="Arial"/>
          <w:szCs w:val="21"/>
        </w:rPr>
        <w:t xml:space="preserve">格式见第三章</w:t>
      </w:r>
      <w:r>
        <w:rPr>
          <w:rFonts w:hint="eastAsia" w:cs="Arial"/>
          <w:szCs w:val="21"/>
        </w:rPr>
        <w:t xml:space="preserve">）；</w:t>
      </w:r>
      <w:r/>
    </w:p>
    <w:p>
      <w:pPr>
        <w:numPr>
          <w:ilvl w:val="2"/>
          <w:numId w:val="0"/>
        </w:numPr>
        <w:ind w:left="426"/>
        <w:rPr>
          <w:rFonts w:cs="Arial"/>
          <w:szCs w:val="21"/>
        </w:rPr>
      </w:pPr>
      <w:r>
        <w:rPr>
          <w:rFonts w:hint="eastAsia" w:cs="Arial"/>
          <w:szCs w:val="21"/>
        </w:rPr>
        <w:t xml:space="preserve">5.3.2投标承诺函（格式见第三章）；</w:t>
      </w:r>
      <w:r/>
    </w:p>
    <w:p>
      <w:pPr>
        <w:numPr>
          <w:ilvl w:val="2"/>
          <w:numId w:val="0"/>
        </w:numPr>
        <w:ind w:left="426"/>
        <w:rPr>
          <w:rFonts w:cs="Arial"/>
          <w:szCs w:val="21"/>
        </w:rPr>
      </w:pPr>
      <w:r>
        <w:rPr>
          <w:rFonts w:hint="eastAsia" w:cs="Arial"/>
          <w:szCs w:val="21"/>
        </w:rPr>
        <w:t xml:space="preserve">5.3.3投标单位情况表（格式见第三章）；</w:t>
      </w:r>
      <w:r/>
    </w:p>
    <w:p>
      <w:pPr>
        <w:numPr>
          <w:ilvl w:val="2"/>
          <w:numId w:val="0"/>
        </w:numPr>
        <w:ind w:left="426"/>
        <w:rPr>
          <w:rFonts w:cs="Arial"/>
          <w:szCs w:val="21"/>
        </w:rPr>
      </w:pPr>
      <w:r>
        <w:rPr>
          <w:rFonts w:hint="eastAsia" w:cs="Arial"/>
          <w:szCs w:val="21"/>
        </w:rPr>
        <w:t xml:space="preserve">5</w:t>
      </w:r>
      <w:r>
        <w:rPr>
          <w:rFonts w:cs="Arial"/>
          <w:szCs w:val="21"/>
        </w:rPr>
        <w:t xml:space="preserve">.3.</w:t>
      </w:r>
      <w:r>
        <w:rPr>
          <w:rFonts w:hint="eastAsia" w:cs="Arial"/>
          <w:szCs w:val="21"/>
        </w:rPr>
        <w:t xml:space="preserve">4</w:t>
      </w:r>
      <w:r>
        <w:rPr>
          <w:rFonts w:hint="eastAsia" w:cs="宋体"/>
        </w:rPr>
        <w:t xml:space="preserve">远程参与开标会议诚信承诺书</w:t>
      </w:r>
      <w:r>
        <w:rPr>
          <w:rFonts w:hint="eastAsia" w:cs="Arial"/>
          <w:szCs w:val="21"/>
        </w:rPr>
        <w:t xml:space="preserve">（格式见第三章）；</w:t>
      </w:r>
      <w:r/>
    </w:p>
    <w:p>
      <w:pPr>
        <w:numPr>
          <w:ilvl w:val="2"/>
          <w:numId w:val="0"/>
        </w:numPr>
        <w:ind w:left="426"/>
        <w:rPr>
          <w:rFonts w:cs="Arial"/>
          <w:szCs w:val="21"/>
        </w:rPr>
      </w:pPr>
      <w:r>
        <w:rPr>
          <w:rFonts w:hint="eastAsia" w:cs="Arial"/>
          <w:szCs w:val="21"/>
        </w:rPr>
        <w:t xml:space="preserve">5</w:t>
      </w:r>
      <w:r>
        <w:rPr>
          <w:rFonts w:cs="Arial"/>
          <w:szCs w:val="21"/>
        </w:rPr>
        <w:t xml:space="preserve">.3.</w:t>
      </w:r>
      <w:r>
        <w:rPr>
          <w:rFonts w:hint="eastAsia" w:cs="Arial"/>
          <w:szCs w:val="21"/>
        </w:rPr>
        <w:t xml:space="preserve">5商务偏离表、技术偏离表；</w:t>
      </w:r>
      <w:r/>
    </w:p>
    <w:p>
      <w:pPr>
        <w:numPr>
          <w:ilvl w:val="2"/>
          <w:numId w:val="0"/>
        </w:numPr>
        <w:ind w:left="426"/>
        <w:rPr>
          <w:rFonts w:cs="Arial"/>
          <w:szCs w:val="21"/>
        </w:rPr>
      </w:pPr>
      <w:r>
        <w:rPr>
          <w:rFonts w:hint="eastAsia" w:cs="Arial"/>
          <w:szCs w:val="21"/>
        </w:rPr>
        <w:t xml:space="preserve">5.3.6投标函（格式见第三章）；</w:t>
      </w:r>
      <w:r/>
    </w:p>
    <w:p>
      <w:pPr>
        <w:numPr>
          <w:ilvl w:val="2"/>
          <w:numId w:val="0"/>
        </w:numPr>
        <w:ind w:left="426"/>
        <w:rPr>
          <w:rFonts w:cs="Arial"/>
          <w:szCs w:val="21"/>
        </w:rPr>
      </w:pPr>
      <w:r>
        <w:rPr>
          <w:rFonts w:hint="eastAsia" w:cs="Arial"/>
          <w:szCs w:val="21"/>
        </w:rPr>
        <w:t xml:space="preserve">5.3.7法人身份证明及法定代表人授权委托书（如有授权）</w:t>
      </w:r>
      <w:r/>
    </w:p>
    <w:p>
      <w:pPr>
        <w:numPr>
          <w:ilvl w:val="1"/>
          <w:numId w:val="0"/>
        </w:numPr>
        <w:ind w:firstLine="425"/>
        <w:rPr>
          <w:rFonts w:cs="宋体"/>
          <w:szCs w:val="21"/>
        </w:rPr>
      </w:pPr>
      <w:r>
        <w:rPr>
          <w:rFonts w:hint="eastAsia" w:cs="宋体"/>
          <w:szCs w:val="21"/>
        </w:rPr>
        <w:t xml:space="preserve">5.3.8其他有关符合性证明的文件。</w:t>
      </w:r>
      <w:r/>
    </w:p>
    <w:p>
      <w:pPr>
        <w:numPr>
          <w:ilvl w:val="1"/>
          <w:numId w:val="0"/>
        </w:numPr>
        <w:ind w:firstLine="425"/>
        <w:rPr>
          <w:rFonts w:cs="Arial"/>
          <w:b/>
          <w:szCs w:val="21"/>
        </w:rPr>
      </w:pPr>
      <w:r>
        <w:rPr>
          <w:rFonts w:hint="eastAsia" w:cs="Arial"/>
          <w:b/>
          <w:szCs w:val="21"/>
        </w:rPr>
        <w:t xml:space="preserve">5</w:t>
      </w:r>
      <w:r>
        <w:rPr>
          <w:rFonts w:cs="Arial"/>
          <w:b/>
          <w:szCs w:val="21"/>
        </w:rPr>
        <w:t xml:space="preserve">.4</w:t>
      </w:r>
      <w:r>
        <w:rPr>
          <w:rFonts w:hint="eastAsia" w:cs="Arial"/>
          <w:b/>
          <w:szCs w:val="21"/>
        </w:rPr>
        <w:t xml:space="preserve">综合评审评分项：</w:t>
      </w:r>
      <w:r/>
    </w:p>
    <w:p>
      <w:pPr>
        <w:numPr>
          <w:ilvl w:val="2"/>
          <w:numId w:val="0"/>
        </w:numPr>
        <w:ind w:left="426"/>
        <w:rPr>
          <w:rFonts w:cs="Arial"/>
          <w:szCs w:val="21"/>
        </w:rPr>
      </w:pPr>
      <w:r>
        <w:rPr>
          <w:rFonts w:hint="eastAsia" w:cs="Arial"/>
          <w:szCs w:val="21"/>
        </w:rPr>
        <w:t xml:space="preserve">5.4.1评审所需的相关证明材料（按评分顺序提供）；</w:t>
      </w:r>
      <w:r/>
    </w:p>
    <w:p>
      <w:pPr>
        <w:numPr>
          <w:ilvl w:val="2"/>
          <w:numId w:val="0"/>
        </w:numPr>
        <w:ind w:left="426"/>
        <w:rPr>
          <w:rFonts w:cs="Arial"/>
          <w:szCs w:val="21"/>
        </w:rPr>
      </w:pPr>
      <w:r>
        <w:rPr>
          <w:rFonts w:hint="eastAsia" w:cs="Arial"/>
          <w:szCs w:val="21"/>
        </w:rPr>
        <w:t xml:space="preserve">5.4.2项目涉及到的其它资料。</w:t>
      </w:r>
      <w:r/>
    </w:p>
    <w:p>
      <w:pPr>
        <w:ind w:firstLine="422"/>
        <w:rPr>
          <w:b/>
          <w:szCs w:val="21"/>
        </w:rPr>
      </w:pPr>
      <w:r>
        <w:rPr>
          <w:rFonts w:hint="eastAsia"/>
          <w:b/>
          <w:szCs w:val="21"/>
        </w:rPr>
        <w:t xml:space="preserve">投标文件由以上</w:t>
      </w:r>
      <w:r>
        <w:rPr>
          <w:b/>
          <w:szCs w:val="21"/>
        </w:rPr>
        <w:t xml:space="preserve">内容共同组成</w:t>
      </w:r>
      <w:r>
        <w:rPr>
          <w:rFonts w:hint="eastAsia"/>
          <w:b/>
          <w:szCs w:val="21"/>
        </w:rPr>
        <w:t xml:space="preserve">，其中，5.1-5.3的资料不可缺少，否则，将被认定为未实质性响应招标文件要求；其他资料按招标文件要求提交，需盖章或签字之处，应按要求签章，资料不完整或未提供导致的后果由投标单位自行承担。</w:t>
      </w:r>
      <w:r/>
    </w:p>
    <w:p>
      <w:pPr>
        <w:ind w:firstLine="422"/>
        <w:rPr>
          <w:b/>
          <w:szCs w:val="21"/>
        </w:rPr>
      </w:pPr>
      <w:r>
        <w:rPr>
          <w:rFonts w:hint="eastAsia"/>
          <w:b/>
          <w:szCs w:val="21"/>
        </w:rPr>
        <w:t xml:space="preserve">三、招标文件的澄清和修改</w:t>
      </w:r>
      <w:r/>
    </w:p>
    <w:p>
      <w:pPr>
        <w:pStyle w:val="717"/>
        <w:rPr>
          <w:rFonts w:eastAsia="宋体"/>
          <w:sz w:val="21"/>
          <w:szCs w:val="21"/>
        </w:rPr>
      </w:pPr>
      <w:r>
        <w:rPr>
          <w:rFonts w:hint="eastAsia" w:eastAsia="宋体"/>
          <w:sz w:val="21"/>
          <w:szCs w:val="21"/>
        </w:rPr>
        <w:t xml:space="preserve">1.投标单位在获取招标文件后，若有疑问，应于应在</w:t>
      </w:r>
      <w:r>
        <w:rPr>
          <w:rFonts w:hint="eastAsia" w:eastAsia="宋体"/>
          <w:b/>
          <w:bCs/>
          <w:sz w:val="21"/>
          <w:szCs w:val="21"/>
        </w:rPr>
        <w:t xml:space="preserve">投标截止期十日前</w:t>
      </w:r>
      <w:r>
        <w:rPr>
          <w:rFonts w:hint="eastAsia" w:eastAsia="宋体"/>
          <w:sz w:val="21"/>
          <w:szCs w:val="21"/>
        </w:rPr>
        <w:t xml:space="preserve">按招标公告中的通讯地址，以书面形式通知代理机构。</w:t>
      </w:r>
      <w:r/>
    </w:p>
    <w:p>
      <w:pPr>
        <w:ind w:firstLine="420"/>
        <w:rPr>
          <w:szCs w:val="21"/>
        </w:rPr>
      </w:pPr>
      <w:r>
        <w:rPr>
          <w:rFonts w:hint="eastAsia"/>
          <w:szCs w:val="21"/>
        </w:rPr>
        <w:t xml:space="preserve">2.在提交投标文件截止时间前，采购人或者采购代理机构可以对已发出的招标文件进行必要的澄清或者修改，澄清或者修改的内容作为招标文件的组成部分。</w:t>
      </w:r>
      <w:r/>
    </w:p>
    <w:p>
      <w:pPr>
        <w:ind w:firstLine="420"/>
        <w:rPr>
          <w:szCs w:val="21"/>
        </w:rPr>
      </w:pPr>
      <w:r>
        <w:rPr>
          <w:rFonts w:hint="eastAsia"/>
          <w:szCs w:val="21"/>
        </w:rPr>
        <w:t xml:space="preserve">3.采购代理机构对招标文件的澄清或者修改，将按规定在提交投标文件截止时间前以更正公告形式在法定的政府采购信息发布媒体上发布。</w:t>
      </w:r>
      <w:r/>
    </w:p>
    <w:p>
      <w:pPr>
        <w:ind w:right="-252" w:firstLine="434"/>
      </w:pPr>
      <w:r>
        <w:rPr>
          <w:rFonts w:hint="eastAsia"/>
        </w:rPr>
        <w:t xml:space="preserve">4.投标单位应在</w:t>
      </w:r>
      <w:r>
        <w:rPr>
          <w:rFonts w:hint="eastAsia"/>
          <w:szCs w:val="21"/>
        </w:rPr>
        <w:t xml:space="preserve">提交投标文件截止时间</w:t>
      </w:r>
      <w:r>
        <w:rPr>
          <w:rFonts w:hint="eastAsia"/>
        </w:rPr>
        <w:t xml:space="preserve">前关注原采购信息发布媒体上有无本项目的更正公告。</w:t>
      </w:r>
      <w:r/>
    </w:p>
    <w:p>
      <w:pPr>
        <w:ind w:right="-252" w:firstLine="434"/>
        <w:rPr>
          <w:b/>
          <w:szCs w:val="21"/>
        </w:rPr>
      </w:pPr>
      <w:r>
        <w:rPr>
          <w:rFonts w:hint="eastAsia"/>
        </w:rPr>
        <w:t xml:space="preserve">5.</w:t>
      </w:r>
      <w:r>
        <w:rPr>
          <w:rFonts w:hint="eastAsia"/>
          <w:bCs/>
          <w:szCs w:val="21"/>
        </w:rPr>
        <w:t xml:space="preserve">投标人的询问通知不得迟于招标文件规定时间使代理机构收到，在截止时间后不再接受任何答疑内容，如未提交，视为无疑问。</w:t>
      </w:r>
      <w:r/>
    </w:p>
    <w:p>
      <w:pPr>
        <w:ind w:firstLine="422"/>
        <w:rPr>
          <w:b/>
          <w:szCs w:val="21"/>
        </w:rPr>
      </w:pPr>
      <w:r>
        <w:rPr>
          <w:rFonts w:hint="eastAsia"/>
          <w:b/>
          <w:szCs w:val="21"/>
        </w:rPr>
        <w:t xml:space="preserve">四、投标文件的提交、撤回和修改</w:t>
      </w:r>
      <w:r/>
    </w:p>
    <w:p>
      <w:pPr>
        <w:ind w:firstLine="420"/>
        <w:rPr>
          <w:szCs w:val="21"/>
        </w:rPr>
      </w:pPr>
      <w:r>
        <w:rPr>
          <w:rFonts w:hint="eastAsia"/>
          <w:szCs w:val="21"/>
        </w:rPr>
        <w:t xml:space="preserve">1.投标人应当按照《操作手册》规定，在投标截止时间前制作并上传电子投标文件。</w:t>
      </w:r>
      <w:r/>
    </w:p>
    <w:p>
      <w:pPr>
        <w:ind w:firstLine="420"/>
        <w:rPr>
          <w:szCs w:val="21"/>
        </w:rPr>
      </w:pPr>
      <w:r>
        <w:rPr>
          <w:rFonts w:hint="eastAsia"/>
          <w:szCs w:val="21"/>
        </w:rPr>
        <w:t xml:space="preserve">2.电子投标文件必须按《投标邀请函》规定的网上</w:t>
      </w:r>
      <w:r/>
    </w:p>
    <w:p>
      <w:pPr>
        <w:ind w:firstLine="420"/>
        <w:rPr>
          <w:szCs w:val="21"/>
        </w:rPr>
      </w:pPr>
      <w:r>
        <w:rPr>
          <w:rFonts w:hint="eastAsia"/>
          <w:szCs w:val="21"/>
        </w:rPr>
        <w:t xml:space="preserve">投标截止时间前提交</w:t>
      </w:r>
      <w:r>
        <w:rPr>
          <w:szCs w:val="21"/>
        </w:rPr>
        <w:t xml:space="preserve">。</w:t>
      </w:r>
      <w:r/>
    </w:p>
    <w:p>
      <w:pPr>
        <w:ind w:firstLine="420"/>
        <w:rPr>
          <w:szCs w:val="21"/>
        </w:rPr>
      </w:pPr>
      <w:r>
        <w:rPr>
          <w:rFonts w:hint="eastAsia"/>
          <w:szCs w:val="21"/>
        </w:rPr>
        <w:t xml:space="preserve">3.在提交投标文件的截止时间前，投标单位可以撤回或者修改投标文件，投标人撤回电子投标文件，则认为其不再参与本项目投标活动。</w:t>
      </w:r>
      <w:r/>
    </w:p>
    <w:p>
      <w:pPr>
        <w:ind w:firstLine="420"/>
        <w:rPr>
          <w:szCs w:val="21"/>
        </w:rPr>
      </w:pPr>
      <w:r>
        <w:rPr>
          <w:rFonts w:hint="eastAsia"/>
          <w:szCs w:val="21"/>
        </w:rPr>
        <w:t xml:space="preserve">4.投标人上传电子投标文件的时间不得迟于招标公告中规定的投标截止时间。</w:t>
      </w:r>
      <w:r/>
    </w:p>
    <w:p>
      <w:pPr>
        <w:ind w:firstLine="420"/>
        <w:rPr>
          <w:szCs w:val="21"/>
        </w:rPr>
      </w:pPr>
      <w:r>
        <w:rPr>
          <w:rFonts w:hint="eastAsia"/>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rPr>
          <w:szCs w:val="21"/>
        </w:rPr>
      </w:pPr>
      <w:r>
        <w:rPr>
          <w:rFonts w:hint="eastAsia"/>
          <w:szCs w:val="21"/>
        </w:rPr>
        <w:t xml:space="preserve">6.代理机构可以按照规定，通过修改招标文件酌情延长投标截止时间，在此情况下，投标人的所有权利和义务以及投标人受制的截止时间均应以延长后新的截止时间为准。</w:t>
      </w:r>
      <w:r/>
    </w:p>
    <w:p>
      <w:pPr>
        <w:ind w:firstLine="422"/>
        <w:rPr>
          <w:b/>
          <w:szCs w:val="21"/>
        </w:rPr>
      </w:pPr>
      <w:r>
        <w:rPr>
          <w:rFonts w:hint="eastAsia"/>
          <w:b/>
          <w:szCs w:val="21"/>
        </w:rPr>
        <w:t xml:space="preserve">五、质疑</w:t>
      </w:r>
      <w:r/>
    </w:p>
    <w:p>
      <w:pPr>
        <w:pStyle w:val="717"/>
        <w:rPr>
          <w:rFonts w:eastAsia="宋体"/>
          <w:sz w:val="21"/>
          <w:szCs w:val="21"/>
        </w:rPr>
      </w:pPr>
      <w:r>
        <w:rPr>
          <w:rFonts w:hint="eastAsia"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717"/>
        <w:rPr>
          <w:rFonts w:eastAsia="宋体"/>
          <w:sz w:val="21"/>
          <w:szCs w:val="21"/>
        </w:rPr>
      </w:pPr>
      <w:r>
        <w:rPr>
          <w:rFonts w:hint="eastAsia"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pPr>
      <w:r>
        <w:rPr>
          <w:rFonts w:hint="eastAsia"/>
        </w:rPr>
        <w:t xml:space="preserve">2.质疑函应包括以下主要内容，并按照</w:t>
      </w:r>
      <w:r>
        <w:t xml:space="preserve">“</w:t>
      </w:r>
      <w:r>
        <w:rPr>
          <w:rFonts w:hint="eastAsia"/>
        </w:rPr>
        <w:t xml:space="preserve">谁主张、谁举证</w:t>
      </w:r>
      <w:r>
        <w:t xml:space="preserve">”</w:t>
      </w:r>
      <w:r>
        <w:rPr>
          <w:rFonts w:hint="eastAsia"/>
        </w:rPr>
        <w:t xml:space="preserve">的原则，附上必要的证明材料。</w:t>
      </w:r>
      <w:r/>
    </w:p>
    <w:p>
      <w:pPr>
        <w:ind w:firstLine="420"/>
      </w:pPr>
      <w:r>
        <w:rPr>
          <w:rFonts w:hint="eastAsia"/>
        </w:rPr>
        <w:t xml:space="preserve">2.1供应商的姓名或者名称、地址、邮编、联系人及联系电话；</w:t>
      </w:r>
      <w:r/>
    </w:p>
    <w:p>
      <w:pPr>
        <w:ind w:firstLine="420"/>
      </w:pPr>
      <w:r>
        <w:rPr>
          <w:rFonts w:hint="eastAsia"/>
        </w:rPr>
        <w:t xml:space="preserve">2.2质疑项目名称、编号；</w:t>
      </w:r>
      <w:r/>
    </w:p>
    <w:p>
      <w:pPr>
        <w:ind w:firstLine="420"/>
      </w:pPr>
      <w:r>
        <w:rPr>
          <w:rFonts w:hint="eastAsia"/>
        </w:rPr>
        <w:t xml:space="preserve">2.3具体、明确的质疑事项和与质疑事项相关的请求；</w:t>
      </w:r>
      <w:r/>
    </w:p>
    <w:p>
      <w:pPr>
        <w:ind w:firstLine="420"/>
      </w:pPr>
      <w:r>
        <w:rPr>
          <w:rFonts w:hint="eastAsia"/>
        </w:rPr>
        <w:t xml:space="preserve">2.4具体的事实依据及相关证据材料；</w:t>
      </w:r>
      <w:r/>
    </w:p>
    <w:p>
      <w:pPr>
        <w:ind w:firstLine="420"/>
      </w:pPr>
      <w:r>
        <w:rPr>
          <w:rFonts w:hint="eastAsia"/>
        </w:rPr>
        <w:t xml:space="preserve">2.5必要的法律依据；</w:t>
      </w:r>
      <w:r/>
    </w:p>
    <w:p>
      <w:pPr>
        <w:ind w:firstLine="420"/>
      </w:pPr>
      <w:r>
        <w:rPr>
          <w:rFonts w:hint="eastAsia"/>
        </w:rPr>
        <w:t xml:space="preserve">2.6提出质疑的日期；</w:t>
      </w:r>
      <w:r/>
    </w:p>
    <w:p>
      <w:pPr>
        <w:ind w:firstLine="420"/>
      </w:pPr>
      <w:r>
        <w:rPr>
          <w:rFonts w:hint="eastAsia"/>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pPr>
      <w:r>
        <w:rPr>
          <w:rFonts w:hint="eastAsia"/>
        </w:rPr>
        <w:t xml:space="preserve">2.8</w:t>
      </w:r>
      <w: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rPr>
        <w:t xml:space="preserve">；</w:t>
      </w:r>
      <w:r/>
    </w:p>
    <w:p>
      <w:pPr>
        <w:ind w:firstLine="420"/>
      </w:pPr>
      <w:r>
        <w:rPr>
          <w:rFonts w:hint="eastAsia"/>
        </w:rPr>
        <w:t xml:space="preserve">代理人提出质疑，应当提交供应商签署的授权委托书。</w:t>
      </w:r>
      <w:r/>
    </w:p>
    <w:p>
      <w:pPr>
        <w:ind w:firstLine="420"/>
      </w:pPr>
      <w:r>
        <w:rPr>
          <w:rFonts w:hint="eastAsia"/>
        </w:rPr>
        <w:t xml:space="preserve">3.招标人向投标人提供的有关现场的资料和数据，是招标人现有的能使投标人利用的资料，招标人对投标人由此而做出的推论、理解和结论概不负责。</w:t>
      </w:r>
      <w:r/>
    </w:p>
    <w:p>
      <w:pPr>
        <w:ind w:firstLine="420"/>
      </w:pPr>
      <w:r>
        <w:rPr>
          <w:rFonts w:hint="eastAsia"/>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rPr>
          <w:bCs/>
          <w:szCs w:val="21"/>
        </w:rPr>
      </w:pPr>
      <w:r>
        <w:rPr>
          <w:rFonts w:hint="eastAsia"/>
          <w:bCs/>
          <w:szCs w:val="21"/>
        </w:rPr>
        <w:t xml:space="preserve">5 .以下情形的质疑不予受理</w:t>
      </w:r>
      <w:r/>
    </w:p>
    <w:p>
      <w:pPr>
        <w:ind w:firstLine="420"/>
        <w:rPr>
          <w:bCs/>
          <w:szCs w:val="21"/>
        </w:rPr>
      </w:pPr>
      <w:r>
        <w:rPr>
          <w:rFonts w:hint="eastAsia"/>
          <w:bCs/>
          <w:szCs w:val="21"/>
        </w:rPr>
        <w:t xml:space="preserve">5.1 内容不符合《政府采购质疑和投诉办法》第十二条规定的质疑。</w:t>
      </w:r>
      <w:r/>
    </w:p>
    <w:p>
      <w:pPr>
        <w:ind w:firstLine="420"/>
        <w:rPr>
          <w:bCs/>
          <w:szCs w:val="21"/>
        </w:rPr>
      </w:pPr>
      <w:r>
        <w:rPr>
          <w:rFonts w:hint="eastAsia"/>
          <w:bCs/>
          <w:szCs w:val="21"/>
        </w:rPr>
        <w:t xml:space="preserve">5.2 超出政府采购法定期限的质疑。</w:t>
      </w:r>
      <w:r/>
    </w:p>
    <w:p>
      <w:pPr>
        <w:ind w:firstLine="420"/>
        <w:rPr>
          <w:bCs/>
          <w:szCs w:val="21"/>
        </w:rPr>
      </w:pPr>
      <w:r>
        <w:rPr>
          <w:rFonts w:hint="eastAsia"/>
          <w:bCs/>
          <w:szCs w:val="21"/>
        </w:rPr>
        <w:t xml:space="preserve">5.3 以传真、电子邮件等方式递交的非原件形式的质疑。</w:t>
      </w:r>
      <w:r/>
    </w:p>
    <w:p>
      <w:pPr>
        <w:ind w:firstLine="420"/>
        <w:rPr>
          <w:bCs/>
          <w:szCs w:val="21"/>
        </w:rPr>
      </w:pPr>
      <w:r>
        <w:rPr>
          <w:rFonts w:hint="eastAsia"/>
          <w:bCs/>
          <w:szCs w:val="21"/>
        </w:rPr>
        <w:t xml:space="preserve">5.4未参加投标活动的供应商或在投标活动中自身权益未受到损害的供应商所提出的质疑。</w:t>
      </w:r>
      <w:r/>
    </w:p>
    <w:p>
      <w:pPr>
        <w:ind w:firstLine="420"/>
        <w:rPr>
          <w:bCs/>
          <w:szCs w:val="21"/>
        </w:rPr>
      </w:pPr>
      <w:r>
        <w:rPr>
          <w:rFonts w:hint="eastAsia"/>
          <w:bCs/>
          <w:szCs w:val="21"/>
        </w:rPr>
        <w:t xml:space="preserve">5.5供应商组成联合体参加投标，联合体中任何一方或多方未按要求签字、盖章、加盖公章的质疑。</w:t>
      </w:r>
      <w:r/>
    </w:p>
    <w:p>
      <w:pPr>
        <w:ind w:firstLine="422"/>
        <w:rPr>
          <w:b/>
          <w:szCs w:val="21"/>
        </w:rPr>
      </w:pPr>
      <w:r>
        <w:rPr>
          <w:rFonts w:hint="eastAsia"/>
          <w:b/>
          <w:szCs w:val="21"/>
        </w:rPr>
        <w:t xml:space="preserve">六、开标和评标</w:t>
      </w:r>
      <w:r/>
    </w:p>
    <w:p>
      <w:pPr>
        <w:ind w:firstLine="436"/>
        <w:rPr>
          <w:b/>
          <w:szCs w:val="21"/>
        </w:rPr>
      </w:pPr>
      <w:r>
        <w:rPr>
          <w:rFonts w:hint="eastAsia"/>
          <w:b/>
          <w:szCs w:val="21"/>
        </w:rPr>
        <w:t xml:space="preserve">1.开标</w:t>
      </w:r>
      <w:r/>
    </w:p>
    <w:p>
      <w:pPr>
        <w:ind w:right="-252" w:firstLine="434"/>
        <w:rPr>
          <w:szCs w:val="21"/>
        </w:rPr>
      </w:pPr>
      <w:r>
        <w:rPr>
          <w:rFonts w:hint="eastAsia"/>
          <w:szCs w:val="21"/>
        </w:rPr>
        <w:t xml:space="preserve">1.1代理机构将在招标公告中规定的时间和地点组织公开开标。投标人应当按照《操作手册》规定，参加开标活动和在苏采云系统规定的时间内对投标文件进行解密。</w:t>
      </w:r>
      <w:r/>
    </w:p>
    <w:p>
      <w:pPr>
        <w:ind w:right="-252" w:firstLine="434"/>
        <w:rPr>
          <w:szCs w:val="21"/>
        </w:rPr>
      </w:pPr>
      <w:r>
        <w:rPr>
          <w:rFonts w:hint="eastAsia"/>
          <w:szCs w:val="21"/>
        </w:rPr>
        <w:t xml:space="preserve">1.2开标仪式由代理机构组织。苏采云系统将自动对项目进行开标，并宣布各投标人名称和投标价格。</w:t>
      </w:r>
      <w:r/>
    </w:p>
    <w:p>
      <w:pPr>
        <w:ind w:right="-252" w:firstLine="434"/>
        <w:rPr>
          <w:szCs w:val="21"/>
        </w:rPr>
      </w:pPr>
      <w:r>
        <w:rPr>
          <w:rFonts w:hint="eastAsia"/>
          <w:szCs w:val="21"/>
        </w:rPr>
        <w:t xml:space="preserve">1.3投标人在开标过程中涉及到的投标文件解密、开标结果确认等工作，应按照《操作手册》规定执行。</w:t>
      </w:r>
      <w:r/>
    </w:p>
    <w:p>
      <w:pPr>
        <w:ind w:right="-252" w:firstLine="434"/>
        <w:rPr>
          <w:szCs w:val="21"/>
        </w:rPr>
      </w:pPr>
      <w:r>
        <w:rPr>
          <w:rFonts w:hint="eastAsia"/>
          <w:szCs w:val="21"/>
        </w:rPr>
        <w:t xml:space="preserve">1.4投标人如果对开标过程和开标记录有疑义，应当根据《操作手册》规定提出，如苏采云系统中《开标记录表》宣布后5分钟内未提出的，视同认可开标结果。</w:t>
      </w:r>
      <w:r/>
    </w:p>
    <w:p>
      <w:pPr>
        <w:ind w:firstLine="422"/>
        <w:rPr>
          <w:b/>
          <w:bCs/>
          <w:szCs w:val="21"/>
        </w:rPr>
      </w:pPr>
      <w:r>
        <w:rPr>
          <w:rFonts w:hint="eastAsia"/>
          <w:b/>
          <w:bCs/>
          <w:szCs w:val="21"/>
        </w:rPr>
        <w:t xml:space="preserve">2.资格审查、信用查询</w:t>
      </w:r>
      <w:r/>
    </w:p>
    <w:p>
      <w:pPr>
        <w:ind w:firstLine="420"/>
        <w:rPr>
          <w:szCs w:val="21"/>
        </w:rPr>
      </w:pPr>
      <w:r>
        <w:rPr>
          <w:rFonts w:hint="eastAsia"/>
          <w:szCs w:val="21"/>
        </w:rPr>
        <w:t xml:space="preserve">2.</w:t>
      </w:r>
      <w:r>
        <w:rPr>
          <w:szCs w:val="21"/>
        </w:rPr>
        <w:t xml:space="preserve">1.公开招标采购项目开标</w:t>
      </w:r>
      <w:r>
        <w:rPr>
          <w:rFonts w:hint="eastAsia"/>
          <w:szCs w:val="21"/>
        </w:rPr>
        <w:t xml:space="preserve">时</w:t>
      </w:r>
      <w:r>
        <w:rPr>
          <w:szCs w:val="21"/>
        </w:rPr>
        <w:t xml:space="preserve">，采购人</w:t>
      </w:r>
      <w:r>
        <w:rPr>
          <w:rFonts w:hint="eastAsia"/>
          <w:szCs w:val="21"/>
        </w:rPr>
        <w:t xml:space="preserve">或采购代理机构</w:t>
      </w:r>
      <w:r>
        <w:rPr>
          <w:szCs w:val="21"/>
        </w:rPr>
        <w:t xml:space="preserve">应当依法对投标单位</w:t>
      </w:r>
      <w:r>
        <w:rPr>
          <w:rFonts w:hint="eastAsia"/>
          <w:szCs w:val="21"/>
        </w:rPr>
        <w:t xml:space="preserve">进行资格审查，未通过资格审查的视为无效投标。</w:t>
      </w:r>
      <w:r/>
    </w:p>
    <w:p>
      <w:pPr>
        <w:ind w:firstLine="420"/>
        <w:rPr>
          <w:szCs w:val="21"/>
        </w:rPr>
      </w:pPr>
      <w:r>
        <w:rPr>
          <w:rFonts w:hint="eastAsia"/>
          <w:szCs w:val="21"/>
        </w:rPr>
        <w:t xml:space="preserve">2.</w:t>
      </w:r>
      <w:r>
        <w:rPr>
          <w:szCs w:val="21"/>
        </w:rPr>
        <w:t xml:space="preserve">2.</w:t>
      </w:r>
      <w:r>
        <w:rPr>
          <w:rFonts w:hint="eastAsia"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rPr>
        <w:t xml:space="preserve">重大税收违法失信主体</w:t>
      </w:r>
      <w:r>
        <w:rPr>
          <w:rFonts w:hint="eastAsia" w:cs="宋体"/>
          <w:szCs w:val="21"/>
        </w:rPr>
        <w:t xml:space="preserve">、政府采购严重违法失信行为记录名单的投标单位，拒绝其参与政府采购活动。</w:t>
      </w:r>
      <w:r/>
    </w:p>
    <w:p>
      <w:pPr>
        <w:ind w:firstLine="420"/>
        <w:rPr>
          <w:szCs w:val="21"/>
        </w:rPr>
      </w:pPr>
      <w:r>
        <w:rPr>
          <w:rFonts w:hint="eastAsia"/>
          <w:szCs w:val="21"/>
        </w:rPr>
        <w:t xml:space="preserve">2.2.1查询时间：进入评审环节前。</w:t>
      </w:r>
      <w:r/>
    </w:p>
    <w:p>
      <w:pPr>
        <w:ind w:firstLine="420"/>
        <w:rPr>
          <w:szCs w:val="21"/>
        </w:rPr>
      </w:pPr>
      <w:r>
        <w:rPr>
          <w:szCs w:val="21"/>
        </w:rPr>
        <w:t xml:space="preserve">2.2</w:t>
      </w:r>
      <w:r>
        <w:rPr>
          <w:rFonts w:hint="eastAsia"/>
          <w:szCs w:val="21"/>
        </w:rPr>
        <w:t xml:space="preserve">.2查询渠道：在“信用中国”网站（www.creditchina.gov.cn）查询投标人的信用记录。</w:t>
      </w:r>
      <w:r/>
    </w:p>
    <w:p>
      <w:pPr>
        <w:ind w:firstLine="422"/>
        <w:rPr>
          <w:b/>
          <w:bCs/>
          <w:szCs w:val="21"/>
        </w:rPr>
      </w:pPr>
      <w:r>
        <w:rPr>
          <w:rFonts w:hint="eastAsia"/>
          <w:b/>
          <w:bCs/>
          <w:szCs w:val="21"/>
        </w:rPr>
        <w:t xml:space="preserve">3.评标委员会、评标内容的保密</w:t>
      </w:r>
      <w:r/>
    </w:p>
    <w:p>
      <w:pPr>
        <w:ind w:firstLine="420"/>
        <w:rPr>
          <w:szCs w:val="21"/>
        </w:rPr>
      </w:pPr>
      <w:r>
        <w:rPr>
          <w:rFonts w:hint="eastAsia"/>
          <w:szCs w:val="21"/>
        </w:rPr>
        <w:t xml:space="preserve">3.</w:t>
      </w:r>
      <w:r>
        <w:rPr>
          <w:szCs w:val="21"/>
        </w:rPr>
        <w:t xml:space="preserve">1.</w:t>
      </w:r>
      <w:r>
        <w:rPr>
          <w:rFonts w:hint="eastAsia"/>
          <w:szCs w:val="21"/>
        </w:rPr>
        <w:t xml:space="preserve">评标委员会的评标工作由采购代理机构组织，具体评标事务由评标委员会负责，并独立履行法律、法规规定的职责，主要包含以下职责及义务：</w:t>
      </w:r>
      <w:r/>
    </w:p>
    <w:p>
      <w:pPr>
        <w:ind w:firstLine="420"/>
        <w:rPr>
          <w:szCs w:val="21"/>
        </w:rPr>
      </w:pPr>
      <w:r>
        <w:rPr>
          <w:rFonts w:hint="eastAsia"/>
          <w:szCs w:val="21"/>
        </w:rPr>
        <w:t xml:space="preserve">3.1.1审查投标文件是否符合招标文件的要求，并作出评价。</w:t>
      </w:r>
      <w:r/>
    </w:p>
    <w:p>
      <w:pPr>
        <w:ind w:firstLine="420"/>
        <w:rPr>
          <w:szCs w:val="21"/>
        </w:rPr>
      </w:pPr>
      <w:r>
        <w:rPr>
          <w:rFonts w:hint="eastAsia"/>
          <w:szCs w:val="21"/>
        </w:rPr>
        <w:t xml:space="preserve">3.1.2可以要求投标供应商对投标文件有关事项作出解释或澄清。</w:t>
      </w:r>
      <w:r/>
    </w:p>
    <w:p>
      <w:pPr>
        <w:ind w:firstLine="420"/>
        <w:rPr>
          <w:szCs w:val="21"/>
        </w:rPr>
      </w:pPr>
      <w:r>
        <w:rPr>
          <w:rFonts w:hint="eastAsia"/>
          <w:szCs w:val="21"/>
        </w:rPr>
        <w:t xml:space="preserve">3.1.3推荐中标候选供应商名单，或者受招标人委托按照事先确定的办法直接确定中标人。</w:t>
      </w:r>
      <w:r/>
    </w:p>
    <w:p>
      <w:pPr>
        <w:ind w:firstLine="420"/>
        <w:rPr>
          <w:szCs w:val="21"/>
        </w:rPr>
      </w:pPr>
      <w:r>
        <w:rPr>
          <w:rFonts w:hint="eastAsia"/>
          <w:szCs w:val="21"/>
        </w:rPr>
        <w:t xml:space="preserve">3.1.4向招标采购人或者有关部门报告非法干预评标工作的行为。</w:t>
      </w:r>
      <w:r/>
    </w:p>
    <w:p>
      <w:pPr>
        <w:ind w:firstLine="420"/>
        <w:rPr>
          <w:szCs w:val="21"/>
        </w:rPr>
      </w:pPr>
      <w:r>
        <w:rPr>
          <w:rFonts w:hint="eastAsia"/>
          <w:szCs w:val="21"/>
        </w:rPr>
        <w:t xml:space="preserve">评标委员会成员应当履行下列义务：</w:t>
      </w:r>
      <w:r/>
    </w:p>
    <w:p>
      <w:pPr>
        <w:ind w:firstLine="420"/>
        <w:rPr>
          <w:szCs w:val="21"/>
        </w:rPr>
      </w:pPr>
      <w:r>
        <w:rPr>
          <w:rFonts w:hint="eastAsia"/>
          <w:szCs w:val="21"/>
        </w:rPr>
        <w:t xml:space="preserve">3.1.5遵纪守法，客观、公正、廉洁地履行职责。</w:t>
      </w:r>
      <w:r/>
    </w:p>
    <w:p>
      <w:pPr>
        <w:ind w:firstLine="420"/>
        <w:rPr>
          <w:szCs w:val="21"/>
        </w:rPr>
      </w:pPr>
      <w:r>
        <w:rPr>
          <w:rFonts w:hint="eastAsia"/>
          <w:szCs w:val="21"/>
        </w:rPr>
        <w:t xml:space="preserve">3.1.6按照招标文件规定的评标办法和评标标准进行评标，对评审意见承担个人责任。</w:t>
      </w:r>
      <w:r/>
    </w:p>
    <w:p>
      <w:pPr>
        <w:ind w:firstLine="420"/>
        <w:rPr>
          <w:szCs w:val="21"/>
        </w:rPr>
      </w:pPr>
      <w:r>
        <w:rPr>
          <w:rFonts w:hint="eastAsia"/>
          <w:szCs w:val="21"/>
        </w:rPr>
        <w:t xml:space="preserve">3.1.7对评标过程和结果，以及投标人的商业秘密保密。</w:t>
      </w:r>
      <w:r/>
    </w:p>
    <w:p>
      <w:pPr>
        <w:ind w:firstLine="420"/>
        <w:rPr>
          <w:szCs w:val="21"/>
        </w:rPr>
      </w:pPr>
      <w:r>
        <w:rPr>
          <w:rFonts w:hint="eastAsia"/>
          <w:szCs w:val="21"/>
        </w:rPr>
        <w:t xml:space="preserve">3.1.8参与评标报告的起草。</w:t>
      </w:r>
      <w:r/>
    </w:p>
    <w:p>
      <w:pPr>
        <w:ind w:firstLine="420"/>
        <w:rPr>
          <w:szCs w:val="21"/>
        </w:rPr>
      </w:pPr>
      <w:r>
        <w:rPr>
          <w:rFonts w:hint="eastAsia"/>
          <w:szCs w:val="21"/>
        </w:rPr>
        <w:t xml:space="preserve">3.1.9配合财政部门的投诉处理工作。</w:t>
      </w:r>
      <w:r/>
    </w:p>
    <w:p>
      <w:pPr>
        <w:ind w:firstLine="420"/>
        <w:rPr>
          <w:szCs w:val="21"/>
        </w:rPr>
      </w:pPr>
      <w:r>
        <w:rPr>
          <w:rFonts w:hint="eastAsia"/>
          <w:szCs w:val="21"/>
        </w:rPr>
        <w:t xml:space="preserve">配合招标采购人答复投标供应商提出的质疑。</w:t>
      </w:r>
      <w:r/>
    </w:p>
    <w:p>
      <w:pPr>
        <w:ind w:firstLine="420"/>
        <w:rPr>
          <w:szCs w:val="21"/>
        </w:rPr>
      </w:pPr>
      <w:r>
        <w:rPr>
          <w:rFonts w:hint="eastAsia"/>
          <w:szCs w:val="21"/>
        </w:rPr>
        <w:t xml:space="preserve">3.</w:t>
      </w:r>
      <w:r>
        <w:rPr>
          <w:szCs w:val="21"/>
        </w:rPr>
        <w:t xml:space="preserve">2.</w:t>
      </w:r>
      <w:r>
        <w:rPr>
          <w:rFonts w:hint="eastAsia"/>
          <w:szCs w:val="21"/>
        </w:rPr>
        <w:t xml:space="preserve">开标后，直到宣布中标人中标为止，凡属于审查、澄清、评价和比较投标的所有资料，有关中标的信息都不应向投标单位或与评标无关的其他人泄露。</w:t>
      </w:r>
      <w:r/>
    </w:p>
    <w:p>
      <w:pPr>
        <w:ind w:firstLine="420"/>
        <w:rPr>
          <w:szCs w:val="21"/>
        </w:rPr>
      </w:pPr>
      <w:r>
        <w:rPr>
          <w:rFonts w:hint="eastAsia"/>
          <w:szCs w:val="21"/>
        </w:rPr>
        <w:t xml:space="preserve">3.</w:t>
      </w:r>
      <w:r>
        <w:rPr>
          <w:szCs w:val="21"/>
        </w:rPr>
        <w:t xml:space="preserve">3.</w:t>
      </w:r>
      <w:r>
        <w:rPr>
          <w:rFonts w:hint="eastAsia"/>
          <w:szCs w:val="21"/>
        </w:rPr>
        <w:t xml:space="preserve">代理机构和评标委员会不向未中标的投标人解释未中标原因，也不公布评标过程中的相关细节。</w:t>
      </w:r>
      <w:r/>
    </w:p>
    <w:p>
      <w:pPr>
        <w:ind w:firstLine="420"/>
        <w:rPr>
          <w:szCs w:val="21"/>
        </w:rPr>
      </w:pPr>
      <w:r>
        <w:rPr>
          <w:rFonts w:hint="eastAsia"/>
          <w:szCs w:val="21"/>
        </w:rPr>
        <w:t xml:space="preserve">3.4在投标文件的审查、澄清、评价和比较以及确定中标结果的过程中，投标单位对采购代理机构和评标委员会成员施加影响的任何行为，都将依法处理。</w:t>
      </w:r>
      <w:r/>
    </w:p>
    <w:p>
      <w:pPr>
        <w:ind w:firstLine="420"/>
        <w:rPr>
          <w:szCs w:val="21"/>
        </w:rPr>
      </w:pPr>
      <w:r>
        <w:rPr>
          <w:rFonts w:hint="eastAsia"/>
          <w:szCs w:val="21"/>
        </w:rPr>
        <w:t xml:space="preserve">3.5采用综合评分法的项目，未中标的投标人可于中标结果公告期限届满之日起通过苏采云系统查看自己的评审得分及排序情况。</w:t>
      </w:r>
      <w:r/>
    </w:p>
    <w:p>
      <w:pPr>
        <w:ind w:firstLine="422"/>
        <w:rPr>
          <w:b/>
          <w:bCs/>
          <w:szCs w:val="21"/>
        </w:rPr>
      </w:pPr>
      <w:r>
        <w:rPr>
          <w:rFonts w:hint="eastAsia"/>
          <w:b/>
          <w:bCs/>
          <w:szCs w:val="21"/>
        </w:rPr>
        <w:t xml:space="preserve">4.对投标单位及投标文件的审核</w:t>
      </w:r>
      <w:r/>
    </w:p>
    <w:p>
      <w:pPr>
        <w:ind w:firstLine="420"/>
        <w:rPr>
          <w:szCs w:val="21"/>
        </w:rPr>
      </w:pPr>
      <w:r>
        <w:rPr>
          <w:rFonts w:hint="eastAsia"/>
          <w:szCs w:val="21"/>
        </w:rPr>
        <w:t xml:space="preserve">4.</w:t>
      </w:r>
      <w:r>
        <w:rPr>
          <w:szCs w:val="21"/>
        </w:rPr>
        <w:t xml:space="preserve">1.</w:t>
      </w:r>
      <w:r>
        <w:rPr>
          <w:rFonts w:hint="eastAsia"/>
          <w:szCs w:val="21"/>
        </w:rPr>
        <w:t xml:space="preserve">采购人或采购代理机构按招标文件规定对投标单位进行资格审查，资格审查未通过的，视为无效投标；</w:t>
      </w:r>
      <w:r/>
    </w:p>
    <w:p>
      <w:pPr>
        <w:ind w:firstLine="420"/>
        <w:rPr>
          <w:szCs w:val="21"/>
        </w:rPr>
      </w:pPr>
      <w:r>
        <w:rPr>
          <w:rFonts w:hint="eastAsia"/>
          <w:szCs w:val="21"/>
        </w:rPr>
        <w:t xml:space="preserve">4.2</w:t>
      </w:r>
      <w:r>
        <w:rPr>
          <w:szCs w:val="21"/>
        </w:rPr>
        <w:t xml:space="preserve">.</w:t>
      </w:r>
      <w:r>
        <w:rPr>
          <w:rFonts w:hint="eastAsia"/>
          <w:szCs w:val="21"/>
        </w:rPr>
        <w:t xml:space="preserve">评标委员会应当对符合资格的投标单位的投标文件进行符合性审查，以确定其是否满足招标文件的实质性要求。</w:t>
      </w:r>
      <w:r/>
    </w:p>
    <w:p>
      <w:pPr>
        <w:ind w:firstLine="420"/>
        <w:rPr>
          <w:szCs w:val="21"/>
        </w:rPr>
      </w:pPr>
      <w:r>
        <w:rPr>
          <w:rFonts w:hint="eastAsia"/>
          <w:szCs w:val="21"/>
        </w:rPr>
        <w:t xml:space="preserve">4.2.1实质性响应的投标应该是与招标文件要求的全部条款、条件和规格相符，没有重大偏离或保留的投标。</w:t>
      </w:r>
      <w:r/>
    </w:p>
    <w:p>
      <w:pPr>
        <w:ind w:firstLine="420"/>
        <w:rPr>
          <w:szCs w:val="21"/>
        </w:rPr>
      </w:pPr>
      <w:r>
        <w:rPr>
          <w:rFonts w:hint="eastAsia"/>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rPr>
          <w:szCs w:val="21"/>
        </w:rPr>
      </w:pPr>
      <w:r>
        <w:rPr>
          <w:rFonts w:hint="eastAsia"/>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pPr>
      <w:r>
        <w:rPr>
          <w:rFonts w:hint="eastAsia"/>
        </w:rPr>
        <w:t xml:space="preserve">4.4</w:t>
      </w:r>
      <w:r>
        <w:t xml:space="preserve">.</w:t>
      </w:r>
      <w:r>
        <w:rPr>
          <w:rFonts w:hint="eastAsia"/>
        </w:rPr>
        <w:t xml:space="preserve">投标文件报价出现前后不一致的，除招标文件另有规定外，按照下列规定修正：</w:t>
      </w:r>
      <w:r/>
    </w:p>
    <w:p>
      <w:pPr>
        <w:ind w:firstLine="420"/>
      </w:pPr>
      <w:r>
        <w:rPr>
          <w:rFonts w:hint="eastAsia"/>
        </w:rPr>
        <w:t xml:space="preserve">4.4</w:t>
      </w:r>
      <w:r>
        <w:t xml:space="preserve">.1</w:t>
      </w:r>
      <w:r>
        <w:rPr>
          <w:rFonts w:hint="eastAsia"/>
        </w:rPr>
        <w:t xml:space="preserve">投标文件中开标一览表内容与投标文件中相应内容不一致的，以开标一览表为准；</w:t>
      </w:r>
      <w:r/>
    </w:p>
    <w:p>
      <w:pPr>
        <w:ind w:firstLine="420"/>
      </w:pPr>
      <w:r>
        <w:rPr>
          <w:rFonts w:hint="eastAsia"/>
        </w:rPr>
        <w:t xml:space="preserve">4.4</w:t>
      </w:r>
      <w:r>
        <w:t xml:space="preserve">.2</w:t>
      </w:r>
      <w:r>
        <w:rPr>
          <w:rFonts w:hint="eastAsia"/>
        </w:rPr>
        <w:t xml:space="preserve">大写金额和小写金额不一致的，以大写金额为准；</w:t>
      </w:r>
      <w:r/>
    </w:p>
    <w:p>
      <w:pPr>
        <w:ind w:firstLine="420"/>
      </w:pPr>
      <w:r>
        <w:rPr>
          <w:rFonts w:hint="eastAsia"/>
        </w:rPr>
        <w:t xml:space="preserve">4.4</w:t>
      </w:r>
      <w:r>
        <w:t xml:space="preserve">.3</w:t>
      </w:r>
      <w:r>
        <w:rPr>
          <w:rFonts w:hint="eastAsia"/>
        </w:rPr>
        <w:t xml:space="preserve">单价金额小数点或者百分比有明显错位的，以开标一览表的总价为准，并修改单价；</w:t>
      </w:r>
      <w:r/>
    </w:p>
    <w:p>
      <w:pPr>
        <w:ind w:firstLine="420"/>
      </w:pPr>
      <w:r>
        <w:rPr>
          <w:rFonts w:hint="eastAsia"/>
        </w:rPr>
        <w:t xml:space="preserve">4.4</w:t>
      </w:r>
      <w:r>
        <w:t xml:space="preserve">.4</w:t>
      </w:r>
      <w:r>
        <w:rPr>
          <w:rFonts w:hint="eastAsia"/>
        </w:rPr>
        <w:t xml:space="preserve">总价金额与按单价汇总金额不一致的，以单价金额计算结果为准。</w:t>
      </w:r>
      <w:r/>
    </w:p>
    <w:p>
      <w:pPr>
        <w:ind w:firstLine="420"/>
      </w:pPr>
      <w:r>
        <w:rPr>
          <w:rFonts w:hint="eastAsia"/>
        </w:rPr>
        <w:t xml:space="preserve">4.4</w:t>
      </w:r>
      <w:r>
        <w:t xml:space="preserve">.5</w:t>
      </w:r>
      <w:r>
        <w:rPr>
          <w:rFonts w:hint="eastAsia"/>
        </w:rPr>
        <w:t xml:space="preserve">同时出现两种以上不一致的，按照前款规定的顺序修正。修正后的报价按照“5.</w:t>
      </w:r>
      <w:r>
        <w:rPr>
          <w:rFonts w:hint="eastAsia"/>
          <w:szCs w:val="21"/>
        </w:rPr>
        <w:t xml:space="preserve">投标的澄清、说明或者补正</w:t>
      </w:r>
      <w:r>
        <w:rPr>
          <w:rFonts w:hint="eastAsia"/>
        </w:rPr>
        <w:t xml:space="preserve">”</w:t>
      </w:r>
      <w:r>
        <w:rPr>
          <w:rFonts w:hint="eastAsia"/>
          <w:szCs w:val="21"/>
        </w:rPr>
        <w:t xml:space="preserve">的</w:t>
      </w:r>
      <w:r>
        <w:rPr>
          <w:rFonts w:hint="eastAsia"/>
        </w:rPr>
        <w:t xml:space="preserve">规定经投标单位确认后产生约束力，投标单位不确认的，其投标无效。</w:t>
      </w:r>
      <w:r/>
    </w:p>
    <w:p>
      <w:pPr>
        <w:ind w:firstLine="420"/>
      </w:pPr>
      <w:r>
        <w:rPr>
          <w:rFonts w:hint="eastAsia"/>
        </w:rPr>
        <w:t xml:space="preserve">4.4.6</w:t>
      </w:r>
      <w:r>
        <w:rPr>
          <w:rFonts w:hint="eastAsia"/>
          <w:szCs w:val="21"/>
        </w:rPr>
        <w:t xml:space="preserve">评标委员会对投标文件的判定，只依据投标内容本身，不依据开标后的任何外来证明。</w:t>
      </w:r>
      <w:r/>
    </w:p>
    <w:p>
      <w:pPr>
        <w:ind w:firstLine="420"/>
        <w:rPr>
          <w:b/>
          <w:bCs/>
        </w:rPr>
      </w:pPr>
      <w:r>
        <w:rPr>
          <w:rFonts w:hint="eastAsia"/>
          <w:b/>
          <w:bCs/>
        </w:rPr>
        <w:t xml:space="preserve">4.5. 投标人存在下列情况之一的，属无效投标：</w:t>
      </w:r>
      <w:r/>
    </w:p>
    <w:p>
      <w:pPr>
        <w:ind w:firstLine="420"/>
      </w:pPr>
      <w:r>
        <w:rPr>
          <w:rFonts w:hint="eastAsia"/>
        </w:rPr>
        <w:t xml:space="preserve">4.5.1 投标人在苏采云系统规定的时间内未成功解密电子投标文件的；</w:t>
      </w:r>
      <w:r/>
    </w:p>
    <w:p>
      <w:pPr>
        <w:ind w:firstLine="420"/>
      </w:pPr>
      <w:r>
        <w:rPr>
          <w:rFonts w:hint="eastAsia"/>
        </w:rPr>
        <w:t xml:space="preserve">4.5.2投标人未按照招标文件要求上传电子投标文件的</w:t>
      </w:r>
      <w:r/>
    </w:p>
    <w:p>
      <w:pPr>
        <w:ind w:firstLine="420"/>
      </w:pPr>
      <w:r>
        <w:rPr>
          <w:rFonts w:hint="eastAsia"/>
        </w:rPr>
        <w:t xml:space="preserve">4.5.3投标文件未按招标文件要求签署、盖章的；</w:t>
      </w:r>
      <w:r/>
    </w:p>
    <w:p>
      <w:pPr>
        <w:ind w:firstLine="420"/>
      </w:pPr>
      <w:r>
        <w:rPr>
          <w:rFonts w:hint="eastAsia"/>
        </w:rPr>
        <w:t xml:space="preserve">4.5.4未通过资格性及符合性审查的；</w:t>
      </w:r>
      <w:r/>
    </w:p>
    <w:p>
      <w:pPr>
        <w:ind w:firstLine="420"/>
      </w:pPr>
      <w:r>
        <w:rPr>
          <w:rFonts w:hint="eastAsia"/>
        </w:rPr>
        <w:t xml:space="preserve">4.5.5报价超过招标文件中规定的预算金额或者最高限价的；</w:t>
      </w:r>
      <w:r/>
    </w:p>
    <w:p>
      <w:pPr>
        <w:ind w:firstLine="420"/>
      </w:pPr>
      <w:r>
        <w:rPr>
          <w:rFonts w:hint="eastAsia"/>
        </w:rPr>
        <w:t xml:space="preserve">4.5.6 投标文件中含有采购人不能接受的附加条件的；</w:t>
      </w:r>
      <w:r/>
    </w:p>
    <w:p>
      <w:pPr>
        <w:ind w:firstLine="420"/>
      </w:pPr>
      <w:r>
        <w:rPr>
          <w:rFonts w:hint="eastAsia"/>
        </w:rPr>
        <w:t xml:space="preserve">4.5.7投标文件与招标文件有重大偏离，不能满足招标文件的实质性要求的；</w:t>
      </w:r>
      <w:r/>
    </w:p>
    <w:p>
      <w:pPr>
        <w:ind w:firstLine="420"/>
      </w:pPr>
      <w:r>
        <w:rPr>
          <w:rFonts w:hint="eastAsia"/>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pPr>
      <w:r>
        <w:rPr>
          <w:rFonts w:hint="eastAsia"/>
        </w:rPr>
        <w:t xml:space="preserve">4.5.9法律、法规和招标文件规定的其他无效情形。</w:t>
      </w:r>
      <w:r/>
    </w:p>
    <w:p>
      <w:pPr>
        <w:ind w:firstLine="420"/>
      </w:pPr>
      <w:r>
        <w:rPr>
          <w:rFonts w:hint="eastAsia"/>
        </w:rPr>
        <w:t xml:space="preserve">4.5.10评标委员会认定的其它为无效投标的事项。</w:t>
      </w:r>
      <w:r/>
    </w:p>
    <w:p>
      <w:pPr>
        <w:ind w:firstLine="422"/>
        <w:rPr>
          <w:b/>
          <w:bCs/>
          <w:szCs w:val="21"/>
        </w:rPr>
      </w:pPr>
      <w:r>
        <w:rPr>
          <w:rFonts w:hint="eastAsia"/>
          <w:b/>
          <w:bCs/>
          <w:szCs w:val="21"/>
        </w:rPr>
        <w:t xml:space="preserve">5.投标的澄清、说明或者补正</w:t>
      </w:r>
      <w:r/>
    </w:p>
    <w:p>
      <w:pPr>
        <w:ind w:firstLine="420"/>
      </w:pPr>
      <w:r>
        <w:rPr>
          <w:rFonts w:hint="eastAsia"/>
        </w:rPr>
        <w:t xml:space="preserve">5.1对于投标文件中含义不明确、同类问题表述不一致或者有明显文字和计算错误的内容，评标委员会应当以书面形式要求投标单位作出必要的澄清、说明或者补正。</w:t>
      </w:r>
      <w:r/>
    </w:p>
    <w:p>
      <w:pPr>
        <w:ind w:firstLine="420"/>
      </w:pPr>
      <w:r>
        <w:rPr>
          <w:rFonts w:hint="eastAsia"/>
        </w:rPr>
        <w:t xml:space="preserve">5.2需要供应商进行澄清、说明和补正的，评委会将通过苏采云系统向供应商发出“澄清要求函”，接到“澄清要求函”的投标人应当按照开标现场要求在苏采云系统中提交“澄清响应函”并单位盖章。澄清、说明和补正的内容作为投标文件的补充部分，具体操作方式见《操作手册》。</w:t>
      </w:r>
      <w:r/>
    </w:p>
    <w:p>
      <w:pPr>
        <w:ind w:firstLine="420"/>
      </w:pPr>
      <w:r>
        <w:rPr>
          <w:rFonts w:hint="eastAsia"/>
        </w:rPr>
        <w:t xml:space="preserve">5.3接到评委会澄清、说明和补正要求的投标人如未在规定时间内做出澄清、说明和补正，其风险由投标人自行承担。</w:t>
      </w:r>
      <w:r/>
    </w:p>
    <w:p>
      <w:pPr>
        <w:ind w:firstLine="436"/>
        <w:rPr>
          <w:b/>
          <w:szCs w:val="21"/>
        </w:rPr>
      </w:pPr>
      <w:r>
        <w:rPr>
          <w:rFonts w:hint="eastAsia"/>
          <w:b/>
          <w:szCs w:val="21"/>
        </w:rPr>
        <w:t xml:space="preserve">6.投标文件的评价和比较</w:t>
      </w:r>
      <w:r/>
    </w:p>
    <w:p>
      <w:pPr>
        <w:pStyle w:val="717"/>
        <w:ind w:right="-252" w:firstLine="434"/>
        <w:jc w:val="both"/>
        <w:rPr>
          <w:rFonts w:eastAsia="宋体"/>
          <w:sz w:val="21"/>
          <w:szCs w:val="21"/>
        </w:rPr>
      </w:pPr>
      <w:r>
        <w:rPr>
          <w:rFonts w:hint="eastAsia" w:eastAsia="宋体"/>
          <w:sz w:val="21"/>
          <w:szCs w:val="21"/>
        </w:rPr>
        <w:t xml:space="preserve">6</w:t>
      </w:r>
      <w:r>
        <w:rPr>
          <w:rFonts w:eastAsia="宋体"/>
          <w:sz w:val="21"/>
          <w:szCs w:val="21"/>
        </w:rPr>
        <w:t xml:space="preserve">.1</w:t>
      </w:r>
      <w:r>
        <w:rPr>
          <w:rFonts w:hint="eastAsia" w:eastAsia="宋体"/>
          <w:sz w:val="21"/>
          <w:szCs w:val="21"/>
        </w:rPr>
        <w:t xml:space="preserve">评标委员会将仅对按照本须知有关规定确定为实质上响应招标文件要求的投标文件进行评价和比较。</w:t>
      </w:r>
      <w:r/>
    </w:p>
    <w:p>
      <w:pPr>
        <w:ind w:right="-252" w:firstLine="434"/>
        <w:rPr>
          <w:szCs w:val="21"/>
        </w:rPr>
      </w:pPr>
      <w:r>
        <w:rPr>
          <w:rFonts w:hint="eastAsia"/>
          <w:szCs w:val="21"/>
        </w:rPr>
        <w:t xml:space="preserve">6.2评价和比较采用综合评分法，评标委员会严格按照招标文件的要求、条件、评分标准，对投标人所</w:t>
      </w:r>
      <w:r>
        <w:rPr>
          <w:szCs w:val="21"/>
        </w:rPr>
        <w:t xml:space="preserve">提供</w:t>
      </w:r>
      <w:r>
        <w:rPr>
          <w:rFonts w:hint="eastAsia"/>
          <w:szCs w:val="21"/>
        </w:rPr>
        <w:t xml:space="preserve">货物或服务</w:t>
      </w:r>
      <w:r>
        <w:rPr>
          <w:szCs w:val="21"/>
        </w:rPr>
        <w:t xml:space="preserve">的先进性、可靠性、售后服务承诺、质量保证承诺</w:t>
      </w:r>
      <w:r>
        <w:rPr>
          <w:rFonts w:hint="eastAsia"/>
          <w:szCs w:val="21"/>
        </w:rPr>
        <w:t xml:space="preserve">等实质性响应内容进行比较，同时考虑以下因素：</w:t>
      </w:r>
      <w:r/>
    </w:p>
    <w:p>
      <w:pPr>
        <w:ind w:firstLine="434"/>
        <w:rPr>
          <w:szCs w:val="21"/>
        </w:rPr>
      </w:pPr>
      <w:r>
        <w:rPr>
          <w:rFonts w:hint="eastAsia"/>
          <w:szCs w:val="21"/>
        </w:rPr>
        <w:t xml:space="preserve">6.2.1服务</w:t>
      </w:r>
      <w:r>
        <w:rPr>
          <w:szCs w:val="21"/>
        </w:rPr>
        <w:t xml:space="preserve">状态和</w:t>
      </w:r>
      <w:r>
        <w:rPr>
          <w:rFonts w:hint="eastAsia"/>
          <w:szCs w:val="21"/>
        </w:rPr>
        <w:t xml:space="preserve">服务</w:t>
      </w:r>
      <w:r>
        <w:rPr>
          <w:szCs w:val="21"/>
        </w:rPr>
        <w:t xml:space="preserve">期</w:t>
      </w:r>
      <w:r>
        <w:rPr>
          <w:rFonts w:hint="eastAsia"/>
          <w:szCs w:val="21"/>
        </w:rPr>
        <w:t xml:space="preserve">。</w:t>
      </w:r>
      <w:r/>
    </w:p>
    <w:p>
      <w:pPr>
        <w:ind w:firstLine="434"/>
        <w:rPr>
          <w:szCs w:val="21"/>
        </w:rPr>
      </w:pPr>
      <w:r>
        <w:rPr>
          <w:rFonts w:hint="eastAsia"/>
          <w:szCs w:val="21"/>
        </w:rPr>
        <w:t xml:space="preserve">6.2.2售后</w:t>
      </w:r>
      <w:r>
        <w:rPr>
          <w:szCs w:val="21"/>
        </w:rPr>
        <w:t xml:space="preserve">服务措施</w:t>
      </w:r>
      <w:r>
        <w:rPr>
          <w:rFonts w:hint="eastAsia"/>
          <w:szCs w:val="21"/>
        </w:rPr>
        <w:t xml:space="preserve">。</w:t>
      </w:r>
      <w:r/>
    </w:p>
    <w:p>
      <w:pPr>
        <w:ind w:firstLine="434"/>
        <w:rPr>
          <w:szCs w:val="21"/>
        </w:rPr>
      </w:pPr>
      <w:r>
        <w:rPr>
          <w:rFonts w:hint="eastAsia"/>
          <w:szCs w:val="21"/>
        </w:rPr>
        <w:t xml:space="preserve">6.2.3</w:t>
      </w:r>
      <w:r>
        <w:rPr>
          <w:szCs w:val="21"/>
        </w:rPr>
        <w:t xml:space="preserve">验收情况</w:t>
      </w:r>
      <w:r>
        <w:rPr>
          <w:rFonts w:hint="eastAsia"/>
          <w:szCs w:val="21"/>
        </w:rPr>
        <w:t xml:space="preserve">。</w:t>
      </w:r>
      <w:r/>
    </w:p>
    <w:p>
      <w:pPr>
        <w:ind w:firstLine="434"/>
        <w:rPr>
          <w:szCs w:val="21"/>
        </w:rPr>
      </w:pPr>
      <w:r>
        <w:rPr>
          <w:rFonts w:hint="eastAsia"/>
          <w:szCs w:val="21"/>
        </w:rPr>
        <w:t xml:space="preserve">6.2.4</w:t>
      </w:r>
      <w:r>
        <w:rPr>
          <w:szCs w:val="21"/>
        </w:rPr>
        <w:t xml:space="preserve">投标者的资信情况和履约能力</w:t>
      </w:r>
      <w:r>
        <w:rPr>
          <w:rFonts w:hint="eastAsia"/>
          <w:szCs w:val="21"/>
        </w:rPr>
        <w:t xml:space="preserve">。</w:t>
      </w:r>
      <w:r/>
    </w:p>
    <w:p>
      <w:pPr>
        <w:ind w:firstLine="434"/>
        <w:rPr>
          <w:szCs w:val="21"/>
        </w:rPr>
      </w:pPr>
      <w:r>
        <w:rPr>
          <w:rFonts w:hint="eastAsia"/>
          <w:szCs w:val="21"/>
        </w:rPr>
        <w:t xml:space="preserve">6.2.5</w:t>
      </w:r>
      <w:r>
        <w:rPr>
          <w:szCs w:val="21"/>
        </w:rPr>
        <w:t xml:space="preserve">投标者的</w:t>
      </w:r>
      <w:r>
        <w:rPr>
          <w:rFonts w:hint="eastAsia"/>
          <w:szCs w:val="21"/>
        </w:rPr>
        <w:t xml:space="preserve">服务</w:t>
      </w:r>
      <w:r>
        <w:rPr>
          <w:szCs w:val="21"/>
        </w:rPr>
        <w:t xml:space="preserve">状况及销售服务措施</w:t>
      </w:r>
      <w:r>
        <w:rPr>
          <w:rFonts w:hint="eastAsia"/>
          <w:szCs w:val="21"/>
        </w:rPr>
        <w:t xml:space="preserve">。</w:t>
      </w:r>
      <w:r/>
    </w:p>
    <w:p>
      <w:pPr>
        <w:ind w:firstLine="434"/>
        <w:rPr>
          <w:szCs w:val="21"/>
        </w:rPr>
      </w:pPr>
      <w:r>
        <w:rPr>
          <w:rFonts w:hint="eastAsia"/>
          <w:szCs w:val="21"/>
        </w:rPr>
        <w:t xml:space="preserve">6.2.6</w:t>
      </w:r>
      <w:r>
        <w:rPr>
          <w:szCs w:val="21"/>
        </w:rPr>
        <w:t xml:space="preserve">投标者提供的其他优惠条件</w:t>
      </w:r>
      <w:r>
        <w:rPr>
          <w:rFonts w:hint="eastAsia"/>
          <w:szCs w:val="21"/>
        </w:rPr>
        <w:t xml:space="preserve">。</w:t>
      </w:r>
      <w:r/>
    </w:p>
    <w:p>
      <w:pPr>
        <w:ind w:firstLine="434"/>
        <w:rPr>
          <w:szCs w:val="21"/>
        </w:rPr>
      </w:pPr>
      <w:r>
        <w:rPr>
          <w:rFonts w:hint="eastAsia"/>
          <w:szCs w:val="21"/>
        </w:rPr>
        <w:t xml:space="preserve">6.2.7参与政府采购工作的态度及信誉。</w:t>
      </w:r>
      <w:r/>
    </w:p>
    <w:p>
      <w:pPr>
        <w:ind w:firstLine="434"/>
        <w:rPr>
          <w:szCs w:val="21"/>
        </w:rPr>
      </w:pPr>
      <w:r>
        <w:rPr>
          <w:rFonts w:hint="eastAsia"/>
          <w:szCs w:val="21"/>
        </w:rPr>
        <w:t xml:space="preserve">6.3最低的投标报价或最高的折扣比例是中标的重要条件，但不是唯一条件。</w:t>
      </w:r>
      <w:r/>
    </w:p>
    <w:p>
      <w:pPr>
        <w:ind w:firstLine="422"/>
        <w:rPr>
          <w:b/>
          <w:szCs w:val="21"/>
        </w:rPr>
      </w:pPr>
      <w:r>
        <w:rPr>
          <w:rFonts w:hint="eastAsia"/>
          <w:b/>
          <w:szCs w:val="21"/>
        </w:rPr>
        <w:t xml:space="preserve">七、废标和无效标</w:t>
      </w:r>
      <w:r/>
    </w:p>
    <w:p>
      <w:pPr>
        <w:ind w:firstLine="436"/>
        <w:rPr>
          <w:b/>
          <w:bCs/>
          <w:szCs w:val="21"/>
        </w:rPr>
      </w:pPr>
      <w:r>
        <w:rPr>
          <w:rFonts w:hint="eastAsia"/>
          <w:b/>
          <w:bCs/>
          <w:szCs w:val="21"/>
        </w:rPr>
        <w:t xml:space="preserve">1.在招标采购中，出现下列情况之一的，应予废标：</w:t>
      </w:r>
      <w:r/>
    </w:p>
    <w:p>
      <w:pPr>
        <w:ind w:firstLine="434"/>
        <w:rPr>
          <w:szCs w:val="21"/>
        </w:rPr>
      </w:pPr>
      <w:r>
        <w:rPr>
          <w:rFonts w:hint="eastAsia"/>
          <w:szCs w:val="21"/>
        </w:rPr>
        <w:t xml:space="preserve">1.1符合专业条件的供应商或者对招标文件作实质响应的供应商不足三家的；</w:t>
      </w:r>
      <w:r/>
    </w:p>
    <w:p>
      <w:pPr>
        <w:ind w:firstLine="434"/>
        <w:rPr>
          <w:szCs w:val="21"/>
        </w:rPr>
      </w:pPr>
      <w:r>
        <w:rPr>
          <w:rFonts w:hint="eastAsia" w:cs="Arial"/>
          <w:szCs w:val="21"/>
        </w:rPr>
        <w:t xml:space="preserve">1.2出现影响采购公正的违法、违规行为的；</w:t>
      </w:r>
      <w:r/>
    </w:p>
    <w:p>
      <w:pPr>
        <w:ind w:firstLine="434"/>
        <w:rPr>
          <w:szCs w:val="21"/>
        </w:rPr>
      </w:pPr>
      <w:r>
        <w:rPr>
          <w:rFonts w:hint="eastAsia"/>
          <w:szCs w:val="21"/>
        </w:rPr>
        <w:t xml:space="preserve">1.3投标人的报价均超过了采购预算，采购人不能支付的；</w:t>
      </w:r>
      <w:r/>
    </w:p>
    <w:p>
      <w:pPr>
        <w:ind w:firstLine="434"/>
        <w:rPr>
          <w:rFonts w:cs="Arial"/>
          <w:szCs w:val="21"/>
        </w:rPr>
      </w:pPr>
      <w:r>
        <w:rPr>
          <w:rFonts w:hint="eastAsia" w:cs="Arial"/>
          <w:szCs w:val="21"/>
        </w:rPr>
        <w:t xml:space="preserve">1.4因重大变故，采购任务取消的</w:t>
      </w:r>
      <w:r>
        <w:rPr>
          <w:rFonts w:cs="Arial"/>
          <w:szCs w:val="21"/>
        </w:rPr>
        <w:t xml:space="preserve">；</w:t>
      </w:r>
      <w:r/>
    </w:p>
    <w:p>
      <w:pPr>
        <w:ind w:firstLine="434"/>
        <w:rPr>
          <w:rFonts w:cs="Arial"/>
          <w:szCs w:val="21"/>
        </w:rPr>
      </w:pPr>
      <w:r>
        <w:rPr>
          <w:rFonts w:hint="eastAsia" w:cs="Arial"/>
          <w:szCs w:val="21"/>
        </w:rPr>
        <w:t xml:space="preserve">1.5因苏采云系统系统故障原因造成开标不成功的。</w:t>
      </w:r>
      <w:r/>
    </w:p>
    <w:p>
      <w:pPr>
        <w:ind w:firstLine="436"/>
        <w:rPr>
          <w:b/>
          <w:bCs/>
          <w:szCs w:val="21"/>
        </w:rPr>
      </w:pPr>
      <w:r>
        <w:rPr>
          <w:rFonts w:hint="eastAsia"/>
          <w:b/>
          <w:bCs/>
          <w:szCs w:val="21"/>
        </w:rPr>
        <w:t xml:space="preserve">2.投标文件属下列情况之一的，应当在资格性、符合性检查时按照无效投标处理：</w:t>
      </w:r>
      <w:r/>
    </w:p>
    <w:p>
      <w:pPr>
        <w:ind w:firstLine="434"/>
        <w:rPr>
          <w:szCs w:val="21"/>
        </w:rPr>
      </w:pPr>
      <w:r>
        <w:rPr>
          <w:rFonts w:hint="eastAsia"/>
          <w:szCs w:val="21"/>
        </w:rPr>
        <w:t xml:space="preserve">2.2未按照招标文件规定要求签署、盖章的；</w:t>
      </w:r>
      <w:r/>
    </w:p>
    <w:p>
      <w:pPr>
        <w:ind w:firstLine="434"/>
        <w:rPr>
          <w:szCs w:val="21"/>
        </w:rPr>
      </w:pPr>
      <w:r>
        <w:rPr>
          <w:rFonts w:hint="eastAsia"/>
          <w:szCs w:val="21"/>
        </w:rPr>
        <w:t xml:space="preserve">2.3不具备招标文件中规定资格性、符合性要求的；</w:t>
      </w:r>
      <w:r/>
    </w:p>
    <w:p>
      <w:pPr>
        <w:ind w:firstLine="434"/>
        <w:rPr>
          <w:szCs w:val="21"/>
        </w:rPr>
      </w:pPr>
      <w:r>
        <w:rPr>
          <w:rFonts w:hint="eastAsia"/>
          <w:szCs w:val="21"/>
        </w:rPr>
        <w:t xml:space="preserve">2.4不符合法律、法规和招标文件中规定的其他实质性要求的；</w:t>
      </w:r>
      <w:r/>
    </w:p>
    <w:p>
      <w:pPr>
        <w:ind w:firstLine="434"/>
        <w:rPr>
          <w:szCs w:val="21"/>
        </w:rPr>
      </w:pPr>
      <w:r>
        <w:rPr>
          <w:rFonts w:hint="eastAsia"/>
          <w:szCs w:val="21"/>
        </w:rPr>
        <w:t xml:space="preserve">2.5输入数字证书（</w:t>
      </w:r>
      <w:r>
        <w:rPr>
          <w:szCs w:val="21"/>
        </w:rPr>
        <w:t xml:space="preserve">CA</w:t>
      </w:r>
      <w:r>
        <w:rPr>
          <w:rFonts w:hint="eastAsia"/>
          <w:szCs w:val="21"/>
        </w:rPr>
        <w:t xml:space="preserve">）密码错误超过限定次数或时间；</w:t>
      </w:r>
      <w:r/>
    </w:p>
    <w:p>
      <w:pPr>
        <w:ind w:firstLine="434"/>
        <w:rPr>
          <w:szCs w:val="21"/>
        </w:rPr>
      </w:pPr>
      <w:r>
        <w:rPr>
          <w:rFonts w:hint="eastAsia"/>
          <w:szCs w:val="21"/>
        </w:rPr>
        <w:t xml:space="preserve">2.6本章第六条4.5所列内容。</w:t>
      </w:r>
      <w:r/>
    </w:p>
    <w:p>
      <w:pPr>
        <w:ind w:firstLine="422"/>
        <w:rPr>
          <w:b/>
          <w:bCs/>
          <w:szCs w:val="21"/>
        </w:rPr>
      </w:pPr>
      <w:r>
        <w:rPr>
          <w:rFonts w:hint="eastAsia"/>
          <w:b/>
          <w:bCs/>
          <w:szCs w:val="21"/>
        </w:rPr>
        <w:t xml:space="preserve">3.废标或按无效标处理后，招标人将把理由通知投标人 。</w:t>
      </w:r>
      <w:r/>
    </w:p>
    <w:p>
      <w:pPr>
        <w:ind w:firstLine="422"/>
        <w:rPr>
          <w:b/>
          <w:szCs w:val="21"/>
        </w:rPr>
      </w:pPr>
      <w:r>
        <w:rPr>
          <w:rFonts w:hint="eastAsia"/>
          <w:b/>
          <w:szCs w:val="21"/>
        </w:rPr>
        <w:t xml:space="preserve">八、授予合同</w:t>
      </w:r>
      <w:r/>
    </w:p>
    <w:p>
      <w:pPr>
        <w:ind w:firstLine="422"/>
        <w:rPr>
          <w:b/>
          <w:bCs/>
          <w:szCs w:val="21"/>
        </w:rPr>
      </w:pPr>
      <w:r>
        <w:rPr>
          <w:b/>
          <w:bCs/>
          <w:szCs w:val="21"/>
        </w:rPr>
        <w:t xml:space="preserve">1.</w:t>
      </w:r>
      <w:r>
        <w:rPr>
          <w:rFonts w:hint="eastAsia"/>
          <w:b/>
          <w:bCs/>
          <w:szCs w:val="21"/>
        </w:rPr>
        <w:t xml:space="preserve">中标人的确认</w:t>
      </w:r>
      <w:r/>
    </w:p>
    <w:p>
      <w:pPr>
        <w:ind w:firstLine="420"/>
        <w:rPr>
          <w:szCs w:val="21"/>
        </w:rPr>
      </w:pPr>
      <w:r>
        <w:rPr>
          <w:szCs w:val="21"/>
        </w:rPr>
        <w:t xml:space="preserve">1.1评标委员会根据投标单位资格审查情况，投标文件的评价和</w:t>
      </w:r>
      <w:r>
        <w:rPr>
          <w:rFonts w:hint="eastAsia"/>
          <w:szCs w:val="21"/>
        </w:rPr>
        <w:t xml:space="preserve">比较，按照招标文件的评分标准进行打分和汇总评分结果。</w:t>
      </w:r>
      <w:r/>
    </w:p>
    <w:p>
      <w:pPr>
        <w:ind w:firstLine="420"/>
        <w:rPr>
          <w:szCs w:val="21"/>
        </w:rPr>
      </w:pPr>
      <w:r>
        <w:rPr>
          <w:szCs w:val="21"/>
        </w:rPr>
        <w:t xml:space="preserve">1.2评标委员会</w:t>
      </w:r>
      <w:r>
        <w:rPr>
          <w:rFonts w:hint="eastAsia"/>
          <w:szCs w:val="21"/>
        </w:rPr>
        <w:t xml:space="preserve">根据评审后得分由低到高顺序排列</w:t>
      </w:r>
      <w:r>
        <w:rPr>
          <w:szCs w:val="21"/>
        </w:rPr>
        <w:t xml:space="preserve">，</w:t>
      </w:r>
      <w:r>
        <w:rPr>
          <w:rFonts w:hint="eastAsia"/>
          <w:szCs w:val="21"/>
        </w:rPr>
        <w:t xml:space="preserve">确定中标人。</w:t>
      </w:r>
      <w:r/>
    </w:p>
    <w:p>
      <w:pPr>
        <w:ind w:firstLine="420"/>
        <w:rPr>
          <w:szCs w:val="21"/>
        </w:rPr>
      </w:pPr>
      <w:r>
        <w:rPr>
          <w:rFonts w:hint="eastAsia"/>
          <w:szCs w:val="21"/>
        </w:rPr>
        <w:t xml:space="preserve">1.3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rPr>
          <w:szCs w:val="21"/>
        </w:rPr>
      </w:pPr>
      <w:r>
        <w:rPr>
          <w:rFonts w:hint="eastAsia"/>
          <w:szCs w:val="21"/>
        </w:rPr>
        <w:t xml:space="preserve">1.4若有充分证据证明，中标人出现下列情况之一的，一经查实，将被取消中标资格：</w:t>
      </w:r>
      <w:r/>
    </w:p>
    <w:p>
      <w:pPr>
        <w:ind w:firstLine="420"/>
        <w:rPr>
          <w:szCs w:val="21"/>
        </w:rPr>
      </w:pPr>
      <w:r>
        <w:rPr>
          <w:rFonts w:hint="eastAsia"/>
          <w:szCs w:val="21"/>
        </w:rPr>
        <w:t xml:space="preserve">1.4.1提供虚假材料谋取中标的。</w:t>
      </w:r>
      <w:r/>
    </w:p>
    <w:p>
      <w:pPr>
        <w:ind w:firstLine="420"/>
        <w:rPr>
          <w:szCs w:val="21"/>
        </w:rPr>
      </w:pPr>
      <w:r>
        <w:rPr>
          <w:rFonts w:hint="eastAsia"/>
          <w:szCs w:val="21"/>
        </w:rPr>
        <w:t xml:space="preserve">1.4.2向采购人、代理机构行贿或者提供其他不正当利益的。</w:t>
      </w:r>
      <w:r/>
    </w:p>
    <w:p>
      <w:pPr>
        <w:ind w:firstLine="420"/>
        <w:rPr>
          <w:szCs w:val="21"/>
        </w:rPr>
      </w:pPr>
      <w:r>
        <w:rPr>
          <w:rFonts w:hint="eastAsia"/>
          <w:szCs w:val="21"/>
        </w:rPr>
        <w:t xml:space="preserve">1.4.3属于本文件规定的无效条件，但在评标过程中又未被评委会发现的。</w:t>
      </w:r>
      <w:r/>
    </w:p>
    <w:p>
      <w:pPr>
        <w:ind w:firstLine="420"/>
        <w:rPr>
          <w:szCs w:val="21"/>
        </w:rPr>
      </w:pPr>
      <w:r>
        <w:rPr>
          <w:rFonts w:hint="eastAsia"/>
          <w:szCs w:val="21"/>
        </w:rPr>
        <w:t xml:space="preserve">1.4.4与采购人或者其他供应商恶意串通的。</w:t>
      </w:r>
      <w:r/>
    </w:p>
    <w:p>
      <w:pPr>
        <w:ind w:firstLine="420"/>
        <w:rPr>
          <w:szCs w:val="21"/>
        </w:rPr>
      </w:pPr>
      <w:r>
        <w:rPr>
          <w:rFonts w:hint="eastAsia"/>
          <w:szCs w:val="21"/>
        </w:rPr>
        <w:t xml:space="preserve">1.4.5采取不正当手段诋毁、排挤其他供应商的。</w:t>
      </w:r>
      <w:r/>
    </w:p>
    <w:p>
      <w:pPr>
        <w:ind w:firstLine="420"/>
        <w:rPr>
          <w:szCs w:val="21"/>
        </w:rPr>
      </w:pPr>
      <w:r>
        <w:rPr>
          <w:rFonts w:hint="eastAsia"/>
          <w:szCs w:val="21"/>
        </w:rPr>
        <w:t xml:space="preserve">1.5 有下列情形之一的，视为投标人串通投标，投标无效：</w:t>
      </w:r>
      <w:r/>
    </w:p>
    <w:p>
      <w:pPr>
        <w:ind w:firstLine="420"/>
        <w:rPr>
          <w:szCs w:val="21"/>
        </w:rPr>
      </w:pPr>
      <w:r>
        <w:rPr>
          <w:rFonts w:hint="eastAsia"/>
          <w:szCs w:val="21"/>
        </w:rPr>
        <w:t xml:space="preserve">1.5.1不同投标人的投标文件由同一单位或者个人编制。</w:t>
      </w:r>
      <w:r/>
    </w:p>
    <w:p>
      <w:pPr>
        <w:ind w:firstLine="420"/>
        <w:rPr>
          <w:szCs w:val="21"/>
        </w:rPr>
      </w:pPr>
      <w:r>
        <w:rPr>
          <w:rFonts w:hint="eastAsia"/>
          <w:szCs w:val="21"/>
        </w:rPr>
        <w:t xml:space="preserve">1.5.2不同投标人委托同一单位或者个人办理投标事宜。</w:t>
      </w:r>
      <w:r/>
    </w:p>
    <w:p>
      <w:pPr>
        <w:ind w:firstLine="420"/>
        <w:rPr>
          <w:szCs w:val="21"/>
        </w:rPr>
      </w:pPr>
      <w:r>
        <w:rPr>
          <w:rFonts w:hint="eastAsia"/>
          <w:szCs w:val="21"/>
        </w:rPr>
        <w:t xml:space="preserve">1.5.3 不同投标人的投标文件载明的项目管理成员或者联系人员为同一人。</w:t>
      </w:r>
      <w:r/>
    </w:p>
    <w:p>
      <w:pPr>
        <w:ind w:firstLine="420"/>
        <w:rPr>
          <w:szCs w:val="21"/>
        </w:rPr>
      </w:pPr>
      <w:r>
        <w:rPr>
          <w:rFonts w:hint="eastAsia"/>
          <w:szCs w:val="21"/>
        </w:rPr>
        <w:t xml:space="preserve">1.5.4不同投标人的投标文件异常一致或者投标报价呈规律性差异。</w:t>
      </w:r>
      <w:r/>
    </w:p>
    <w:p>
      <w:pPr>
        <w:ind w:firstLine="422"/>
        <w:rPr>
          <w:b/>
          <w:bCs/>
          <w:szCs w:val="21"/>
        </w:rPr>
      </w:pPr>
      <w:r>
        <w:rPr>
          <w:b/>
          <w:bCs/>
          <w:szCs w:val="21"/>
        </w:rPr>
        <w:t xml:space="preserve">2.</w:t>
      </w:r>
      <w:r>
        <w:rPr>
          <w:rFonts w:hint="eastAsia"/>
          <w:b/>
          <w:bCs/>
          <w:szCs w:val="21"/>
        </w:rPr>
        <w:t xml:space="preserve">中标通知书</w:t>
      </w:r>
      <w:r/>
    </w:p>
    <w:p>
      <w:pPr>
        <w:ind w:firstLine="420"/>
        <w:rPr>
          <w:szCs w:val="21"/>
        </w:rPr>
      </w:pPr>
      <w:r>
        <w:rPr>
          <w:szCs w:val="21"/>
        </w:rPr>
        <w:t xml:space="preserve">2.1</w:t>
      </w:r>
      <w:r>
        <w:rPr>
          <w:rFonts w:hint="eastAsia"/>
          <w:szCs w:val="21"/>
        </w:rPr>
        <w:t xml:space="preserve">采购代理机构按照法定流程发布中标公告，及时向中标人发送中标通知书。</w:t>
      </w:r>
      <w:r/>
    </w:p>
    <w:p>
      <w:pPr>
        <w:ind w:firstLine="420"/>
        <w:rPr>
          <w:szCs w:val="21"/>
        </w:rPr>
      </w:pPr>
      <w:r>
        <w:rPr>
          <w:rFonts w:hint="eastAsia"/>
          <w:szCs w:val="21"/>
        </w:rPr>
        <w:t xml:space="preserve">2.</w:t>
      </w:r>
      <w:r>
        <w:rPr>
          <w:szCs w:val="21"/>
        </w:rPr>
        <w:t xml:space="preserve">2</w:t>
      </w:r>
      <w:r>
        <w:rPr>
          <w:rFonts w:hint="eastAsia"/>
          <w:szCs w:val="21"/>
        </w:rPr>
        <w:t xml:space="preserve">采购人与中标人应当在中标通知书发出之日起三十日内，按照招标文件及投标文件确定的事项签订政府采购合同。</w:t>
      </w:r>
      <w:r/>
    </w:p>
    <w:p>
      <w:pPr>
        <w:ind w:firstLine="420"/>
        <w:rPr>
          <w:szCs w:val="21"/>
        </w:rPr>
      </w:pPr>
      <w:r>
        <w:rPr>
          <w:rFonts w:hint="eastAsia"/>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2"/>
        <w:rPr>
          <w:b/>
          <w:bCs/>
          <w:szCs w:val="21"/>
        </w:rPr>
      </w:pPr>
      <w:r>
        <w:rPr>
          <w:b/>
          <w:bCs/>
          <w:szCs w:val="21"/>
        </w:rPr>
        <w:t xml:space="preserve">3.</w:t>
      </w:r>
      <w:r>
        <w:rPr>
          <w:rFonts w:hint="eastAsia"/>
          <w:b/>
          <w:bCs/>
          <w:szCs w:val="21"/>
        </w:rPr>
        <w:t xml:space="preserve">合同的签订</w:t>
      </w:r>
      <w:r/>
    </w:p>
    <w:p>
      <w:pPr>
        <w:ind w:firstLine="420"/>
        <w:rPr>
          <w:szCs w:val="21"/>
        </w:rPr>
      </w:pPr>
      <w:r>
        <w:rPr>
          <w:szCs w:val="21"/>
        </w:rPr>
        <w:t xml:space="preserve">3.1</w:t>
      </w:r>
      <w:r>
        <w:rPr>
          <w:rFonts w:hint="eastAsia"/>
          <w:szCs w:val="21"/>
        </w:rPr>
        <w:t xml:space="preserve"> 中标人应按中标通知书中规定的期限，与采购人签订合同。</w:t>
      </w:r>
      <w:r/>
    </w:p>
    <w:p>
      <w:pPr>
        <w:ind w:firstLine="420"/>
        <w:rPr>
          <w:szCs w:val="21"/>
        </w:rPr>
      </w:pPr>
      <w:r>
        <w:rPr>
          <w:szCs w:val="21"/>
        </w:rPr>
        <w:t xml:space="preserve">3.2</w:t>
      </w:r>
      <w:r>
        <w:rPr>
          <w:rFonts w:hint="eastAsia"/>
          <w:szCs w:val="21"/>
        </w:rPr>
        <w:t xml:space="preserve">签订合同及合同条款应以招标文件和中标人的投标文件为依据，所签订的合同不得对招标文件和中标人的投标文件作实质性修改。</w:t>
      </w:r>
      <w:r/>
    </w:p>
    <w:p>
      <w:pPr>
        <w:ind w:firstLine="420"/>
        <w:rPr>
          <w:szCs w:val="21"/>
        </w:rPr>
      </w:pPr>
      <w:r>
        <w:rPr>
          <w:szCs w:val="21"/>
        </w:rPr>
        <w:t xml:space="preserve">3.3</w:t>
      </w:r>
      <w:r>
        <w:rPr>
          <w:rFonts w:hint="eastAsia"/>
          <w:szCs w:val="21"/>
        </w:rPr>
        <w:t xml:space="preserve">采购人不得向中标人提出任何不合理的要求作为签订合同的条件，不得与中标人私下订立背离合同实质性内容的协议。</w:t>
      </w:r>
      <w:r/>
    </w:p>
    <w:p>
      <w:pPr>
        <w:ind w:firstLine="420"/>
        <w:rPr>
          <w:szCs w:val="21"/>
        </w:rPr>
      </w:pPr>
      <w:r>
        <w:rPr>
          <w:szCs w:val="21"/>
        </w:rPr>
        <w:t xml:space="preserve">3.4</w:t>
      </w:r>
      <w:r>
        <w:rPr>
          <w:rFonts w:hint="eastAsia"/>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szCs w:val="21"/>
        </w:rPr>
      </w:pPr>
      <w:r>
        <w:rPr>
          <w:rFonts w:hint="eastAsia"/>
          <w:b/>
          <w:bCs/>
          <w:szCs w:val="21"/>
        </w:rPr>
        <w:t xml:space="preserve">4.履约保证金（如有）</w:t>
      </w:r>
      <w:r/>
    </w:p>
    <w:p>
      <w:pPr>
        <w:ind w:firstLine="420"/>
        <w:rPr>
          <w:szCs w:val="21"/>
        </w:rPr>
      </w:pPr>
      <w:r>
        <w:rPr>
          <w:rFonts w:hint="eastAsia"/>
          <w:szCs w:val="21"/>
        </w:rPr>
        <w:t xml:space="preserve">4.1中标的投标单位应按《投标邀请函》中的规定提交履约保证金。</w:t>
      </w:r>
      <w:r/>
    </w:p>
    <w:p>
      <w:pPr>
        <w:ind w:firstLine="420"/>
        <w:rPr>
          <w:szCs w:val="21"/>
        </w:rPr>
      </w:pPr>
      <w:r>
        <w:rPr>
          <w:rFonts w:hint="eastAsia"/>
          <w:szCs w:val="21"/>
        </w:rPr>
        <w:t xml:space="preserve">4.2中标的投标单位必须在合同备案前按《投标邀请函》中的规定将履约保证金交至指定账户，未缴纳履约保证金不得备案。</w:t>
      </w:r>
      <w:r/>
    </w:p>
    <w:p>
      <w:pPr>
        <w:ind w:firstLine="420"/>
        <w:rPr>
          <w:szCs w:val="21"/>
        </w:rPr>
      </w:pPr>
      <w:r>
        <w:rPr>
          <w:rFonts w:hint="eastAsia"/>
          <w:szCs w:val="21"/>
        </w:rPr>
        <w:t xml:space="preserve">4.3履约保证金（无息）将在乙方履行完合同并经验收合格后，凭乙方的收款收据在五个工作日内退返乙方。</w:t>
      </w:r>
      <w:r/>
    </w:p>
    <w:p>
      <w:pPr>
        <w:ind w:firstLine="422"/>
        <w:rPr>
          <w:b/>
          <w:szCs w:val="21"/>
        </w:rPr>
      </w:pPr>
      <w:r>
        <w:rPr>
          <w:rFonts w:hint="eastAsia"/>
          <w:b/>
          <w:szCs w:val="21"/>
        </w:rPr>
        <w:t xml:space="preserve">九、代理服务费</w:t>
      </w:r>
      <w:r/>
    </w:p>
    <w:p>
      <w:pPr>
        <w:ind w:firstLine="420"/>
        <w:rPr>
          <w:szCs w:val="21"/>
        </w:rPr>
      </w:pPr>
      <w:r>
        <w:rPr>
          <w:szCs w:val="21"/>
        </w:rPr>
        <w:t xml:space="preserve">1.</w:t>
      </w:r>
      <w:r>
        <w:rPr>
          <w:rFonts w:hint="eastAsia"/>
          <w:szCs w:val="21"/>
        </w:rPr>
        <w:t xml:space="preserve">代理服务费由中标单位支付，以预算金额为基数按差额累计法收费</w:t>
      </w:r>
      <w:r>
        <w:rPr>
          <w:szCs w:val="21"/>
        </w:rPr>
        <w:t xml:space="preserve">（</w:t>
      </w:r>
      <w:r>
        <w:rPr>
          <w:rFonts w:hint="eastAsia"/>
          <w:szCs w:val="21"/>
        </w:rPr>
        <w:t xml:space="preserve">预算</w:t>
      </w:r>
      <w:r>
        <w:rPr>
          <w:szCs w:val="21"/>
        </w:rPr>
        <w:t xml:space="preserve">金额100</w:t>
      </w:r>
      <w:r>
        <w:rPr>
          <w:rFonts w:hint="eastAsia"/>
          <w:szCs w:val="21"/>
        </w:rPr>
        <w:t xml:space="preserve">（含）</w:t>
      </w:r>
      <w:r>
        <w:rPr>
          <w:szCs w:val="21"/>
        </w:rPr>
        <w:t xml:space="preserve">万元以下，收取1.5%；100-500</w:t>
      </w:r>
      <w:r>
        <w:rPr>
          <w:rFonts w:hint="eastAsia"/>
          <w:szCs w:val="21"/>
        </w:rPr>
        <w:t xml:space="preserve">（含）</w:t>
      </w:r>
      <w:r>
        <w:rPr>
          <w:szCs w:val="21"/>
        </w:rPr>
        <w:t xml:space="preserve">万元，收取</w:t>
      </w:r>
      <w:r>
        <w:rPr>
          <w:rFonts w:hint="eastAsia"/>
          <w:szCs w:val="21"/>
        </w:rPr>
        <w:t xml:space="preserve">1.1</w:t>
      </w:r>
      <w:r>
        <w:rPr>
          <w:szCs w:val="21"/>
        </w:rPr>
        <w:t xml:space="preserve">%；500-1000</w:t>
      </w:r>
      <w:r>
        <w:rPr>
          <w:rFonts w:hint="eastAsia"/>
          <w:szCs w:val="21"/>
        </w:rPr>
        <w:t xml:space="preserve">（含）</w:t>
      </w:r>
      <w:r>
        <w:rPr>
          <w:szCs w:val="21"/>
        </w:rPr>
        <w:t xml:space="preserve">万元，收取</w:t>
      </w:r>
      <w:r>
        <w:rPr>
          <w:rFonts w:hint="eastAsia"/>
          <w:szCs w:val="21"/>
        </w:rPr>
        <w:t xml:space="preserve">0.8</w:t>
      </w:r>
      <w:r>
        <w:rPr>
          <w:szCs w:val="21"/>
        </w:rPr>
        <w:t xml:space="preserve">%；</w:t>
      </w:r>
      <w:r>
        <w:rPr>
          <w:rFonts w:hint="eastAsia"/>
          <w:szCs w:val="21"/>
        </w:rPr>
        <w:t xml:space="preserve">1000万元-5000（含）万元，收取0.5%，5000万元以上部分，收取0.25%</w:t>
      </w:r>
      <w:r>
        <w:rPr>
          <w:szCs w:val="21"/>
        </w:rPr>
        <w:t xml:space="preserve">）</w:t>
      </w:r>
      <w:r>
        <w:rPr>
          <w:rFonts w:hint="eastAsia"/>
          <w:szCs w:val="21"/>
        </w:rPr>
        <w:t xml:space="preserve">，最低3</w:t>
      </w:r>
      <w:r>
        <w:rPr>
          <w:szCs w:val="21"/>
        </w:rPr>
        <w:t xml:space="preserve">000</w:t>
      </w:r>
      <w:r>
        <w:rPr>
          <w:rFonts w:hint="eastAsia"/>
          <w:szCs w:val="21"/>
        </w:rPr>
        <w:t xml:space="preserve">元整。该费用应在领取中标通知书时付清。请投标单位在投标时充分考虑这一因素。（</w:t>
      </w:r>
      <w:r>
        <w:rPr>
          <w:rFonts w:hint="eastAsia" w:cs="宋体"/>
          <w:szCs w:val="21"/>
        </w:rPr>
        <w:t xml:space="preserve">账户名-昆山欣杰项目管理有限公司，开户行-中信银行昆山支行，账号-</w:t>
      </w:r>
      <w:r>
        <w:rPr>
          <w:rFonts w:cs="宋体"/>
          <w:szCs w:val="21"/>
        </w:rPr>
        <w:t xml:space="preserve">7323210182800076476</w:t>
      </w:r>
      <w:r>
        <w:rPr>
          <w:rFonts w:hint="eastAsia"/>
          <w:szCs w:val="21"/>
        </w:rPr>
        <w:t xml:space="preserve">）。</w:t>
      </w:r>
      <w:r/>
    </w:p>
    <w:p>
      <w:pPr>
        <w:ind w:firstLine="420"/>
        <w:rPr>
          <w:szCs w:val="21"/>
        </w:rPr>
      </w:pPr>
      <w:r>
        <w:rPr>
          <w:szCs w:val="21"/>
        </w:rPr>
        <w:t xml:space="preserve">2.中标单位如果未按规定缴纳</w:t>
      </w:r>
      <w:r>
        <w:rPr>
          <w:rFonts w:hint="eastAsia"/>
          <w:szCs w:val="21"/>
        </w:rPr>
        <w:t xml:space="preserve">代理服务费</w:t>
      </w:r>
      <w:r>
        <w:rPr>
          <w:szCs w:val="21"/>
        </w:rPr>
        <w:t xml:space="preserve">，</w:t>
      </w:r>
      <w:r>
        <w:rPr>
          <w:rFonts w:hint="eastAsia"/>
          <w:szCs w:val="21"/>
        </w:rPr>
        <w:t xml:space="preserve">代理机构</w:t>
      </w:r>
      <w:r>
        <w:rPr>
          <w:szCs w:val="21"/>
        </w:rPr>
        <w:t xml:space="preserve">将</w:t>
      </w:r>
      <w:r>
        <w:rPr>
          <w:rFonts w:hint="eastAsia"/>
          <w:szCs w:val="21"/>
        </w:rPr>
        <w:t xml:space="preserve">按投标函规定执行</w:t>
      </w:r>
      <w:r>
        <w:rPr>
          <w:szCs w:val="21"/>
        </w:rPr>
        <w:t xml:space="preserve">，并保留诉讼的权利。</w:t>
      </w:r>
      <w:r/>
    </w:p>
    <w:p>
      <w:pPr>
        <w:ind w:firstLine="422"/>
        <w:rPr>
          <w:b/>
          <w:szCs w:val="21"/>
        </w:rPr>
      </w:pPr>
      <w:r>
        <w:rPr>
          <w:rFonts w:hint="eastAsia"/>
          <w:b/>
          <w:szCs w:val="21"/>
        </w:rPr>
        <w:t xml:space="preserve">十、其他事项</w:t>
      </w:r>
      <w:r/>
    </w:p>
    <w:p>
      <w:pPr>
        <w:ind w:firstLine="420"/>
        <w:rPr>
          <w:szCs w:val="21"/>
        </w:rPr>
      </w:pPr>
      <w:r>
        <w:rPr>
          <w:rFonts w:hint="eastAsia"/>
          <w:szCs w:val="21"/>
        </w:rPr>
        <w:t xml:space="preserve">1.监督</w:t>
      </w:r>
      <w:r/>
    </w:p>
    <w:p>
      <w:pPr>
        <w:ind w:firstLine="420"/>
        <w:rPr>
          <w:rFonts w:cs="Arial"/>
          <w:szCs w:val="21"/>
        </w:rPr>
      </w:pPr>
      <w:r>
        <w:rPr>
          <w:rFonts w:hint="eastAsia" w:cs="Arial"/>
          <w:szCs w:val="21"/>
        </w:rPr>
        <w:t xml:space="preserve">政府</w:t>
      </w:r>
      <w:r>
        <w:rPr>
          <w:rFonts w:cs="Arial"/>
          <w:szCs w:val="21"/>
        </w:rPr>
        <w:t xml:space="preserve">有关监督部门将对招投标全过程进行监督。</w:t>
      </w:r>
      <w:r/>
    </w:p>
    <w:p>
      <w:pPr>
        <w:ind w:firstLine="420"/>
        <w:rPr>
          <w:szCs w:val="21"/>
        </w:rPr>
      </w:pPr>
      <w:r>
        <w:rPr>
          <w:rFonts w:hint="eastAsia"/>
          <w:szCs w:val="21"/>
        </w:rPr>
        <w:t xml:space="preserve">2.未尽事宜</w:t>
      </w:r>
      <w:r/>
    </w:p>
    <w:p>
      <w:pPr>
        <w:ind w:left="420"/>
        <w:rPr>
          <w:szCs w:val="21"/>
        </w:rPr>
      </w:pPr>
      <w:r>
        <w:rPr>
          <w:rFonts w:hint="eastAsia"/>
          <w:szCs w:val="21"/>
        </w:rPr>
        <w:t xml:space="preserve">2.1</w:t>
      </w:r>
      <w:r>
        <w:rPr>
          <w:szCs w:val="21"/>
        </w:rPr>
        <w:t xml:space="preserve">未尽事宜应按《中华人民共和国政府采购法》</w:t>
      </w:r>
      <w:r>
        <w:rPr>
          <w:rFonts w:hint="eastAsia"/>
          <w:szCs w:val="21"/>
        </w:rPr>
        <w:t xml:space="preserve">、</w:t>
      </w:r>
      <w:r>
        <w:rPr>
          <w:szCs w:val="21"/>
        </w:rPr>
        <w:t xml:space="preserve">《中华人民共和国</w:t>
      </w:r>
      <w:r>
        <w:rPr>
          <w:rFonts w:hint="eastAsia"/>
          <w:szCs w:val="21"/>
        </w:rPr>
        <w:t xml:space="preserve">民法典</w:t>
      </w:r>
      <w:r>
        <w:rPr>
          <w:szCs w:val="21"/>
        </w:rPr>
        <w:t xml:space="preserve">》之规定解释。</w:t>
      </w:r>
      <w:r/>
    </w:p>
    <w:p>
      <w:pPr>
        <w:ind w:left="420"/>
        <w:rPr>
          <w:szCs w:val="21"/>
        </w:rPr>
      </w:pPr>
      <w:r>
        <w:rPr>
          <w:rFonts w:hint="eastAsia"/>
          <w:szCs w:val="21"/>
        </w:rPr>
        <w:t xml:space="preserve">2.2.中标后中标单位需提供纸质投标文件一正一副，用于项目归档使用。</w:t>
      </w:r>
      <w:r/>
    </w:p>
    <w:p>
      <w:pPr>
        <w:ind w:firstLine="422"/>
        <w:rPr>
          <w:rFonts w:ascii="黑体"/>
          <w:sz w:val="30"/>
          <w:szCs w:val="30"/>
        </w:rPr>
      </w:pPr>
      <w:r>
        <w:rPr>
          <w:rFonts w:hint="eastAsia"/>
          <w:b/>
          <w:szCs w:val="21"/>
        </w:rPr>
        <w:t xml:space="preserve">十一、政府采购履约资金扶持政策</w:t>
      </w:r>
      <w:r/>
    </w:p>
    <w:p>
      <w:pPr>
        <w:ind w:left="420"/>
        <w:rPr>
          <w:szCs w:val="21"/>
        </w:rPr>
      </w:pPr>
      <w:r>
        <w:rPr>
          <w:rFonts w:hint="eastAsia"/>
          <w:bCs/>
          <w:szCs w:val="21"/>
        </w:rPr>
        <w:t xml:space="preserve">中标人可凭政府采购合同办理融资贷款，详情请见江苏政府采购网“政采贷”专栏。</w:t>
      </w:r>
      <w:r/>
    </w:p>
    <w:p>
      <w:r>
        <w:br w:type="page" w:clear="all"/>
      </w:r>
      <w:r/>
    </w:p>
    <w:p>
      <w:pPr>
        <w:pStyle w:val="746"/>
      </w:pPr>
      <w:r/>
      <w:bookmarkStart w:id="7" w:name="_Toc31617"/>
      <w:r>
        <w:t xml:space="preserve">第三章 投标文件格式</w:t>
      </w:r>
      <w:bookmarkEnd w:id="7"/>
      <w:r/>
      <w:r/>
    </w:p>
    <w:p>
      <w:pPr>
        <w:rPr>
          <w:b/>
          <w:szCs w:val="21"/>
        </w:rPr>
      </w:pPr>
      <w:r/>
      <w:bookmarkStart w:id="8" w:name="_Ref83808854"/>
      <w:r/>
      <w:bookmarkStart w:id="9" w:name="_Ref26464"/>
      <w:r/>
      <w:r/>
    </w:p>
    <w:p>
      <w:pPr>
        <w:rPr>
          <w:rFonts w:cs="宋体"/>
        </w:rPr>
      </w:pPr>
      <w:r>
        <w:rPr>
          <w:rFonts w:hint="eastAsia"/>
          <w:b/>
          <w:sz w:val="28"/>
          <w:szCs w:val="28"/>
        </w:rPr>
        <w:t xml:space="preserve">说明：对本章所有的投标书格式</w:t>
      </w:r>
      <w:r>
        <w:rPr>
          <w:b/>
          <w:sz w:val="28"/>
          <w:szCs w:val="28"/>
        </w:rPr>
        <w:t xml:space="preserve">，投标方可根据自身情况进行补充和修改，但补充和修改不得造成与本格式内容有实质性的违背。</w:t>
      </w:r>
      <w:r/>
    </w:p>
    <w:p>
      <w:pPr>
        <w:rPr>
          <w:rFonts w:cs="宋体"/>
        </w:rPr>
      </w:pPr>
      <w:r>
        <w:rPr>
          <w:rFonts w:hint="eastAsia" w:cs="宋体"/>
        </w:rPr>
        <w:br w:type="page" w:clear="all"/>
      </w:r>
      <w:r/>
    </w:p>
    <w:p>
      <w:pPr>
        <w:pStyle w:val="748"/>
        <w:rPr>
          <w:rFonts w:ascii="宋体" w:hAnsi="宋体" w:cs="宋体"/>
        </w:rPr>
      </w:pPr>
      <w:r>
        <w:rPr>
          <w:rFonts w:hint="eastAsia" w:ascii="宋体" w:hAnsi="宋体" w:cs="宋体"/>
        </w:rPr>
        <w:t xml:space="preserve">一、投标文件的声明函</w:t>
      </w:r>
      <w:bookmarkEnd w:id="8"/>
      <w:r/>
      <w:bookmarkEnd w:id="9"/>
      <w:r/>
      <w:r/>
    </w:p>
    <w:p>
      <w:pPr>
        <w:jc w:val="center"/>
        <w:rPr>
          <w:szCs w:val="21"/>
        </w:rPr>
      </w:pPr>
      <w:r>
        <w:rPr>
          <w:rFonts w:hint="eastAsia"/>
          <w:szCs w:val="21"/>
        </w:rPr>
        <w:t xml:space="preserve">投标文件的声明函</w:t>
      </w:r>
      <w:r/>
    </w:p>
    <w:p>
      <w:pPr>
        <w:ind w:firstLine="420"/>
        <w:jc w:val="left"/>
        <w:rPr>
          <w:szCs w:val="21"/>
        </w:rPr>
      </w:pPr>
      <w:r>
        <w:rPr>
          <w:szCs w:val="21"/>
        </w:rPr>
      </w:r>
      <w:r/>
    </w:p>
    <w:p>
      <w:pPr>
        <w:jc w:val="left"/>
        <w:rPr>
          <w:szCs w:val="21"/>
        </w:rPr>
      </w:pPr>
      <w:r>
        <w:rPr>
          <w:rFonts w:hint="eastAsia"/>
          <w:szCs w:val="21"/>
          <w:u w:val="single"/>
        </w:rPr>
        <w:t xml:space="preserve">昆山欣杰项目管理有限公司</w:t>
      </w:r>
      <w:r>
        <w:rPr>
          <w:rFonts w:hint="eastAsia"/>
          <w:szCs w:val="21"/>
        </w:rPr>
        <w:t xml:space="preserve">：</w:t>
      </w:r>
      <w:r/>
    </w:p>
    <w:p>
      <w:pPr>
        <w:ind w:firstLine="420"/>
        <w:jc w:val="left"/>
        <w:rPr>
          <w:szCs w:val="21"/>
        </w:rPr>
      </w:pPr>
      <w:r>
        <w:rPr>
          <w:rFonts w:hint="eastAsia"/>
          <w:szCs w:val="21"/>
        </w:rPr>
        <w:t xml:space="preserve">本公司愿就由贵公司组织实施的编号为</w:t>
      </w:r>
      <w:r>
        <w:rPr>
          <w:rFonts w:hint="eastAsia"/>
          <w:szCs w:val="21"/>
          <w:u w:val="single"/>
        </w:rPr>
        <w:t xml:space="preserve">  JSZC-320583-KSXJ-G2026-0002  </w:t>
      </w:r>
      <w:r>
        <w:rPr>
          <w:rFonts w:hint="eastAsia"/>
          <w:szCs w:val="21"/>
        </w:rPr>
        <w:t xml:space="preserve">号的招标活动进行投标。本公司所提交的投标资料均是真实的、准确的。若与真实情况不符，本公司愿意承担由此而产生的一切后果。</w:t>
      </w:r>
      <w:r/>
    </w:p>
    <w:p>
      <w:pPr>
        <w:pStyle w:val="717"/>
        <w:rPr>
          <w:rFonts w:eastAsia="宋体"/>
          <w:sz w:val="21"/>
          <w:szCs w:val="21"/>
        </w:rPr>
      </w:pPr>
      <w:r>
        <w:rPr>
          <w:rFonts w:eastAsia="宋体"/>
          <w:sz w:val="21"/>
          <w:szCs w:val="21"/>
        </w:rPr>
      </w:r>
      <w:r/>
    </w:p>
    <w:p>
      <w:pPr>
        <w:ind w:firstLine="420"/>
        <w:jc w:val="left"/>
        <w:rPr>
          <w:szCs w:val="21"/>
        </w:rPr>
      </w:pPr>
      <w:r>
        <w:rPr>
          <w:szCs w:val="21"/>
        </w:rPr>
        <w:t xml:space="preserve">投标单位：（</w:t>
      </w:r>
      <w:r>
        <w:rPr>
          <w:rFonts w:hint="eastAsia"/>
          <w:szCs w:val="21"/>
        </w:rPr>
        <w:t xml:space="preserve">单位盖章</w:t>
      </w:r>
      <w:r>
        <w:rPr>
          <w:szCs w:val="21"/>
        </w:rPr>
        <w:t xml:space="preserve">）</w:t>
      </w:r>
      <w:r/>
    </w:p>
    <w:p>
      <w:pPr>
        <w:ind w:firstLine="420"/>
        <w:jc w:val="left"/>
        <w:rPr>
          <w:szCs w:val="21"/>
        </w:rPr>
      </w:pPr>
      <w:r>
        <w:rPr>
          <w:rFonts w:hint="eastAsia"/>
          <w:szCs w:val="21"/>
        </w:rPr>
        <w:t xml:space="preserve">法定代表人或被授权人</w:t>
      </w:r>
      <w:r>
        <w:rPr>
          <w:szCs w:val="21"/>
        </w:rPr>
        <w:t xml:space="preserve">：（签字或盖章）</w:t>
      </w:r>
      <w:r/>
    </w:p>
    <w:p>
      <w:pPr>
        <w:ind w:firstLine="420"/>
        <w:jc w:val="left"/>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r/>
      <w:bookmarkStart w:id="10" w:name="_Ref18221"/>
      <w:r>
        <w:br w:type="page" w:clear="all"/>
      </w:r>
      <w:r/>
    </w:p>
    <w:p>
      <w:pPr>
        <w:pStyle w:val="748"/>
        <w:spacing w:before="20" w:after="20"/>
        <w:rPr>
          <w:rFonts w:ascii="宋体" w:hAnsi="宋体" w:cs="宋体"/>
        </w:rPr>
      </w:pPr>
      <w:r/>
      <w:bookmarkStart w:id="11" w:name="_Ref5265"/>
      <w:r>
        <w:rPr>
          <w:rFonts w:hint="eastAsia" w:ascii="宋体" w:hAnsi="宋体" w:cs="宋体"/>
        </w:rPr>
        <w:t xml:space="preserve">二、投标承诺函</w:t>
      </w:r>
      <w:bookmarkEnd w:id="10"/>
      <w:r/>
      <w:bookmarkEnd w:id="11"/>
      <w:r/>
      <w:r/>
    </w:p>
    <w:p>
      <w:pPr>
        <w:jc w:val="center"/>
        <w:rPr>
          <w:szCs w:val="21"/>
        </w:rPr>
      </w:pPr>
      <w:r>
        <w:rPr>
          <w:szCs w:val="21"/>
        </w:rPr>
        <w:t xml:space="preserve">投标</w:t>
      </w:r>
      <w:r>
        <w:rPr>
          <w:rFonts w:hint="eastAsia"/>
          <w:szCs w:val="21"/>
        </w:rPr>
        <w:t xml:space="preserve">承诺</w:t>
      </w:r>
      <w:r>
        <w:rPr>
          <w:szCs w:val="21"/>
        </w:rPr>
        <w:t xml:space="preserve">函</w:t>
      </w:r>
      <w:r/>
    </w:p>
    <w:p>
      <w:pPr>
        <w:spacing w:line="360" w:lineRule="exact"/>
      </w:pPr>
      <w:r>
        <w:rPr>
          <w:rFonts w:hint="eastAsia"/>
        </w:rPr>
        <w:t xml:space="preserve">致：</w:t>
      </w:r>
      <w:r>
        <w:rPr>
          <w:rFonts w:hint="eastAsia"/>
          <w:u w:val="single"/>
        </w:rPr>
        <w:t xml:space="preserve">昆山市公安局</w:t>
      </w:r>
      <w:r>
        <w:rPr>
          <w:rFonts w:hint="eastAsia"/>
        </w:rPr>
        <w:t xml:space="preserve">、</w:t>
      </w:r>
      <w:r>
        <w:rPr>
          <w:rFonts w:hint="eastAsia"/>
          <w:szCs w:val="21"/>
          <w:u w:val="single"/>
        </w:rPr>
        <w:t xml:space="preserve">昆山欣杰项目管理有限公司</w:t>
      </w:r>
      <w:r>
        <w:rPr>
          <w:szCs w:val="21"/>
        </w:rPr>
        <w:t xml:space="preserve">：</w:t>
      </w:r>
      <w:r/>
    </w:p>
    <w:p>
      <w:pPr>
        <w:ind w:firstLine="420"/>
        <w:jc w:val="left"/>
        <w:spacing w:line="360" w:lineRule="exact"/>
      </w:pPr>
      <w:r>
        <w:rPr>
          <w:szCs w:val="21"/>
        </w:rPr>
        <w:t xml:space="preserve">经仔细阅读和研究</w:t>
      </w:r>
      <w:r>
        <w:rPr>
          <w:rFonts w:hint="eastAsia"/>
          <w:szCs w:val="21"/>
        </w:rPr>
        <w:t xml:space="preserve">，</w:t>
      </w:r>
      <w:r>
        <w:rPr>
          <w:szCs w:val="21"/>
        </w:rPr>
        <w:t xml:space="preserve">我方同意招标文件</w:t>
      </w:r>
      <w:r>
        <w:rPr>
          <w:szCs w:val="21"/>
          <w:lang w:val="zh-CN"/>
        </w:rPr>
        <w:t xml:space="preserve">（包括</w:t>
      </w:r>
      <w:r>
        <w:rPr>
          <w:rFonts w:hint="eastAsia"/>
          <w:szCs w:val="21"/>
          <w:lang w:val="zh-CN"/>
        </w:rPr>
        <w:t xml:space="preserve">补充文件</w:t>
      </w:r>
      <w:r>
        <w:rPr>
          <w:szCs w:val="21"/>
          <w:lang w:val="zh-CN"/>
        </w:rPr>
        <w:t xml:space="preserve">）</w:t>
      </w:r>
      <w:r>
        <w:rPr>
          <w:szCs w:val="21"/>
        </w:rPr>
        <w:t xml:space="preserve">的各条款要求</w:t>
      </w:r>
      <w:r>
        <w:rPr>
          <w:rFonts w:hint="eastAsia"/>
          <w:szCs w:val="21"/>
        </w:rPr>
        <w:t xml:space="preserve">，</w:t>
      </w:r>
      <w:r>
        <w:rPr>
          <w:rFonts w:hint="eastAsia"/>
        </w:rPr>
        <w:t xml:space="preserve">自愿参加</w:t>
      </w:r>
      <w:r>
        <w:rPr>
          <w:rFonts w:hint="eastAsia"/>
          <w:u w:val="single"/>
        </w:rPr>
        <w:t xml:space="preserve">（2026-2027年度城市污水毒品滥用监测服务）</w:t>
      </w:r>
      <w:r>
        <w:rPr>
          <w:rFonts w:hint="eastAsia"/>
        </w:rPr>
        <w:t xml:space="preserve">的投标活动，并做出如下承诺：</w:t>
      </w:r>
      <w:r/>
    </w:p>
    <w:p>
      <w:pPr>
        <w:ind w:firstLine="420"/>
        <w:jc w:val="left"/>
        <w:spacing w:line="360" w:lineRule="exact"/>
      </w:pPr>
      <w:r>
        <w:rPr>
          <w:rFonts w:hint="eastAsia"/>
        </w:rPr>
        <w:t xml:space="preserve">1、我方已详细审查并确认全部招标文件（包括补充文件）、全部参考资料和有关附件；</w:t>
      </w:r>
      <w:r/>
    </w:p>
    <w:p>
      <w:pPr>
        <w:ind w:firstLine="420"/>
        <w:jc w:val="left"/>
        <w:spacing w:line="360" w:lineRule="exact"/>
      </w:pPr>
      <w:r>
        <w:rPr>
          <w:rFonts w:hint="eastAsia"/>
        </w:rPr>
        <w:t xml:space="preserve">2、我方同意提供与投标有关的一切数据或资料，并保证所提供的投标文件及相关资料均真实有效，若有虚假，我方承担一切责任；</w:t>
      </w:r>
      <w:r/>
    </w:p>
    <w:p>
      <w:pPr>
        <w:ind w:firstLine="420"/>
        <w:jc w:val="left"/>
        <w:spacing w:line="360" w:lineRule="exact"/>
      </w:pPr>
      <w:r>
        <w:rPr>
          <w:rFonts w:hint="eastAsia"/>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p>
    <w:p>
      <w:pPr>
        <w:ind w:firstLine="420"/>
        <w:jc w:val="left"/>
        <w:spacing w:line="360" w:lineRule="exact"/>
      </w:pPr>
      <w:r>
        <w:rPr>
          <w:rFonts w:hint="eastAsia"/>
        </w:rPr>
        <w:t xml:space="preserve">4、我方愿意按照招标文件的要求，响应该项目的全部实质性内容； </w:t>
      </w:r>
      <w:r/>
    </w:p>
    <w:p>
      <w:pPr>
        <w:ind w:firstLine="420"/>
        <w:jc w:val="left"/>
        <w:spacing w:line="360" w:lineRule="exact"/>
      </w:pPr>
      <w:r>
        <w:rPr>
          <w:rFonts w:hint="eastAsia"/>
        </w:rPr>
        <w:t xml:space="preserve">5、我方承诺符合《中华人民共和国政府采购法》第二十二条的规定：</w:t>
      </w:r>
      <w:r/>
    </w:p>
    <w:p>
      <w:pPr>
        <w:ind w:firstLine="420"/>
        <w:jc w:val="left"/>
        <w:spacing w:line="360" w:lineRule="exact"/>
      </w:pPr>
      <w:r>
        <w:rPr>
          <w:rFonts w:hint="eastAsia"/>
        </w:rPr>
        <w:t xml:space="preserve">（1）我方具有独立承担民事责任的能力；</w:t>
      </w:r>
      <w:r/>
    </w:p>
    <w:p>
      <w:pPr>
        <w:ind w:firstLine="420"/>
        <w:jc w:val="left"/>
        <w:spacing w:line="360" w:lineRule="exact"/>
      </w:pPr>
      <w:r>
        <w:rPr>
          <w:rFonts w:hint="eastAsia"/>
        </w:rPr>
        <w:t xml:space="preserve">（2）我方具有良好的商业信誉和健全的财务会计制度；</w:t>
      </w:r>
      <w:r/>
    </w:p>
    <w:p>
      <w:pPr>
        <w:ind w:firstLine="420"/>
        <w:jc w:val="left"/>
        <w:spacing w:line="360" w:lineRule="exact"/>
      </w:pPr>
      <w:r>
        <w:rPr>
          <w:rFonts w:hint="eastAsia"/>
        </w:rPr>
        <w:t xml:space="preserve">（3）我方具有履行合同所必需的设备和专业技术能力；</w:t>
      </w:r>
      <w:r/>
    </w:p>
    <w:p>
      <w:pPr>
        <w:ind w:firstLine="420"/>
        <w:jc w:val="left"/>
        <w:spacing w:line="360" w:lineRule="exact"/>
      </w:pPr>
      <w:r>
        <w:rPr>
          <w:rFonts w:hint="eastAsia"/>
        </w:rPr>
        <w:t xml:space="preserve">（4）我方有依法缴纳税收和社会保障资金的良好记录；</w:t>
      </w:r>
      <w:r/>
    </w:p>
    <w:p>
      <w:pPr>
        <w:ind w:firstLine="420"/>
        <w:jc w:val="left"/>
        <w:spacing w:line="360" w:lineRule="exact"/>
      </w:pPr>
      <w:r>
        <w:rPr>
          <w:rFonts w:hint="eastAsia"/>
        </w:rPr>
        <w:t xml:space="preserve">（5）我方在参加政府采购活动前三年内，在经营活动中没有重大违法记录；</w:t>
      </w:r>
      <w:r/>
    </w:p>
    <w:p>
      <w:pPr>
        <w:ind w:firstLine="420"/>
        <w:jc w:val="left"/>
        <w:spacing w:line="360" w:lineRule="exact"/>
      </w:pPr>
      <w:r>
        <w:rPr>
          <w:rFonts w:hint="eastAsia"/>
        </w:rPr>
        <w:t xml:space="preserve">（6）法律、行政法规规定的其他条件。</w:t>
      </w:r>
      <w:r/>
    </w:p>
    <w:p>
      <w:pPr>
        <w:ind w:firstLine="420"/>
        <w:jc w:val="left"/>
        <w:spacing w:line="360" w:lineRule="exact"/>
      </w:pPr>
      <w:r>
        <w:rPr>
          <w:rFonts w:hint="eastAsia"/>
        </w:rPr>
        <w:t xml:space="preserve">6、我方同意按招标人确定的评标办法及评分标准由评标专家进行评审，并对评标结果无任何异议；</w:t>
      </w:r>
      <w:r/>
    </w:p>
    <w:p>
      <w:pPr>
        <w:ind w:firstLine="420"/>
        <w:jc w:val="left"/>
        <w:spacing w:line="360" w:lineRule="exact"/>
      </w:pPr>
      <w:r>
        <w:rPr>
          <w:rFonts w:hint="eastAsia"/>
        </w:rPr>
        <w:t xml:space="preserve">7、我方如果存在以下行为，我方无条件接受《中华人民共和国政府采购法》及相关法律法规规定的处罚：</w:t>
      </w:r>
      <w:r/>
    </w:p>
    <w:p>
      <w:pPr>
        <w:ind w:firstLine="420"/>
        <w:jc w:val="left"/>
        <w:spacing w:line="360" w:lineRule="exact"/>
      </w:pPr>
      <w:r>
        <w:rPr>
          <w:rFonts w:hint="eastAsia"/>
        </w:rPr>
        <w:t xml:space="preserve">（1）提供虚假材料谋取中标、成交的；</w:t>
      </w:r>
      <w:r/>
    </w:p>
    <w:p>
      <w:pPr>
        <w:ind w:firstLine="420"/>
        <w:jc w:val="left"/>
        <w:spacing w:line="360" w:lineRule="exact"/>
      </w:pPr>
      <w:r>
        <w:rPr>
          <w:rFonts w:hint="eastAsia"/>
        </w:rPr>
        <w:t xml:space="preserve">（2）采取不正当手段诋毁、排挤其他供应商的；</w:t>
      </w:r>
      <w:r/>
    </w:p>
    <w:p>
      <w:pPr>
        <w:ind w:firstLine="420"/>
        <w:jc w:val="left"/>
        <w:spacing w:line="360" w:lineRule="exact"/>
      </w:pPr>
      <w:r>
        <w:rPr>
          <w:rFonts w:hint="eastAsia"/>
        </w:rPr>
        <w:t xml:space="preserve">（3）与招标人、其他供应商或者采购代理机构恶意串通的；</w:t>
      </w:r>
      <w:r/>
    </w:p>
    <w:p>
      <w:pPr>
        <w:ind w:firstLine="420"/>
        <w:jc w:val="left"/>
        <w:spacing w:line="360" w:lineRule="exact"/>
      </w:pPr>
      <w:r>
        <w:rPr>
          <w:rFonts w:hint="eastAsia"/>
        </w:rPr>
        <w:t xml:space="preserve">（4）向招标人、采购代理机构行贿或者提供其他不正当利益的；</w:t>
      </w:r>
      <w:r/>
    </w:p>
    <w:p>
      <w:pPr>
        <w:ind w:firstLine="420"/>
        <w:jc w:val="left"/>
        <w:spacing w:line="360" w:lineRule="exact"/>
      </w:pPr>
      <w:r>
        <w:rPr>
          <w:rFonts w:hint="eastAsia"/>
        </w:rPr>
        <w:t xml:space="preserve">（5）在招标采购过程中与招标人进行协商谈判的；</w:t>
      </w:r>
      <w:r/>
    </w:p>
    <w:p>
      <w:pPr>
        <w:ind w:firstLine="420"/>
        <w:jc w:val="left"/>
        <w:spacing w:line="360" w:lineRule="exact"/>
      </w:pPr>
      <w:r>
        <w:rPr>
          <w:rFonts w:hint="eastAsia"/>
        </w:rPr>
        <w:t xml:space="preserve">（6）拒绝有关部门监督检查或者提供虚假情况的。</w:t>
      </w:r>
      <w:r/>
    </w:p>
    <w:p>
      <w:pPr>
        <w:ind w:firstLine="420"/>
        <w:jc w:val="left"/>
        <w:spacing w:line="360" w:lineRule="exact"/>
      </w:pPr>
      <w:r>
        <w:rPr>
          <w:rFonts w:hint="eastAsia"/>
        </w:rPr>
        <w:t xml:space="preserve">8、我方知晓上述行为的法律后果，本承诺书作为招标人要求我方履行违约赔偿义务的依据；</w:t>
      </w:r>
      <w:r/>
    </w:p>
    <w:p>
      <w:pPr>
        <w:ind w:firstLine="420"/>
        <w:jc w:val="left"/>
        <w:spacing w:line="360" w:lineRule="exact"/>
      </w:pPr>
      <w:r>
        <w:rPr>
          <w:rFonts w:hint="eastAsia"/>
        </w:rPr>
        <w:t xml:space="preserve">9、我方同意招标人关于违约责任的认定方式和对违约责任的处罚；在服务过程中，如我方违约，我方愿意承担相应违约责任。</w:t>
      </w:r>
      <w:r/>
    </w:p>
    <w:p>
      <w:pPr>
        <w:ind w:firstLine="420"/>
        <w:jc w:val="left"/>
        <w:spacing w:line="360" w:lineRule="exact"/>
      </w:pPr>
      <w:r/>
      <w:r/>
    </w:p>
    <w:p>
      <w:pPr>
        <w:ind w:firstLine="420"/>
        <w:jc w:val="left"/>
        <w:rPr>
          <w:szCs w:val="21"/>
        </w:rPr>
      </w:pPr>
      <w:r>
        <w:rPr>
          <w:szCs w:val="21"/>
        </w:rPr>
        <w:t xml:space="preserve">投标单位：（</w:t>
      </w:r>
      <w:r>
        <w:rPr>
          <w:rFonts w:hint="eastAsia"/>
          <w:szCs w:val="21"/>
        </w:rPr>
        <w:t xml:space="preserve">单位盖章</w:t>
      </w:r>
      <w:r>
        <w:rPr>
          <w:szCs w:val="21"/>
        </w:rPr>
        <w:t xml:space="preserve">）</w:t>
      </w:r>
      <w:r/>
    </w:p>
    <w:p>
      <w:pPr>
        <w:ind w:firstLine="420"/>
        <w:jc w:val="left"/>
        <w:rPr>
          <w:szCs w:val="21"/>
        </w:rPr>
      </w:pPr>
      <w:r>
        <w:rPr>
          <w:rFonts w:hint="eastAsia"/>
          <w:szCs w:val="21"/>
        </w:rPr>
        <w:t xml:space="preserve">法定代表人或被授权人</w:t>
      </w:r>
      <w:r>
        <w:rPr>
          <w:szCs w:val="21"/>
        </w:rPr>
        <w:t xml:space="preserve">：（签字或盖章）</w:t>
      </w:r>
      <w:r/>
    </w:p>
    <w:p>
      <w:pPr>
        <w:ind w:firstLine="420"/>
        <w:jc w:val="left"/>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rFonts w:cs="宋体"/>
        </w:rPr>
      </w:pPr>
      <w:r/>
      <w:bookmarkStart w:id="12" w:name="_Ref18323"/>
      <w:r/>
      <w:bookmarkStart w:id="13" w:name="_Ref5311"/>
      <w:r>
        <w:rPr>
          <w:rFonts w:hint="eastAsia" w:cs="宋体"/>
        </w:rPr>
        <w:br w:type="page" w:clear="all"/>
      </w:r>
      <w:r/>
    </w:p>
    <w:p>
      <w:pPr>
        <w:pStyle w:val="748"/>
        <w:rPr>
          <w:rFonts w:ascii="宋体" w:hAnsi="宋体" w:cs="宋体"/>
        </w:rPr>
      </w:pPr>
      <w:r>
        <w:rPr>
          <w:rFonts w:hint="eastAsia" w:ascii="宋体" w:hAnsi="宋体" w:cs="宋体"/>
        </w:rPr>
        <w:t xml:space="preserve">三、投标单位情况表</w:t>
      </w:r>
      <w:bookmarkEnd w:id="12"/>
      <w:r/>
      <w:bookmarkEnd w:id="13"/>
      <w:r/>
      <w:r/>
    </w:p>
    <w:p>
      <w:pPr>
        <w:pStyle w:val="717"/>
        <w:ind w:firstLine="0"/>
        <w:jc w:val="center"/>
        <w:rPr>
          <w:rFonts w:eastAsia="宋体"/>
          <w:sz w:val="21"/>
          <w:szCs w:val="21"/>
        </w:rPr>
      </w:pPr>
      <w:r>
        <w:rPr>
          <w:rFonts w:hint="eastAsia" w:eastAsia="宋体"/>
          <w:bCs/>
          <w:sz w:val="21"/>
          <w:szCs w:val="21"/>
        </w:rPr>
        <w:t xml:space="preserve">投标单位情况表</w:t>
      </w:r>
      <w:r/>
    </w:p>
    <w:p>
      <w:pPr>
        <w:rPr>
          <w:szCs w:val="21"/>
        </w:rPr>
      </w:pPr>
      <w:r>
        <w:rPr>
          <w:szCs w:val="21"/>
        </w:rPr>
        <w:t xml:space="preserve">单位名称（</w:t>
      </w:r>
      <w:r>
        <w:rPr>
          <w:rFonts w:hint="eastAsia"/>
          <w:szCs w:val="21"/>
        </w:rPr>
        <w:t xml:space="preserve">单位盖章</w:t>
      </w:r>
      <w:r>
        <w:rPr>
          <w:szCs w:val="21"/>
        </w:rPr>
        <w:t xml:space="preserve">）：</w:t>
      </w:r>
      <w:r>
        <w:rPr>
          <w:szCs w:val="21"/>
          <w:u w:val="single"/>
        </w:rPr>
        <w:t xml:space="preserve">                       </w:t>
      </w:r>
      <w:r/>
    </w:p>
    <w:tbl>
      <w:tblPr>
        <w:tblStyle w:val="7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tcPr>
          <w:p>
            <w:pPr>
              <w:pStyle w:val="717"/>
              <w:ind w:firstLine="0"/>
              <w:jc w:val="center"/>
              <w:rPr>
                <w:rFonts w:eastAsia="宋体"/>
                <w:sz w:val="21"/>
                <w:szCs w:val="21"/>
              </w:rPr>
            </w:pPr>
            <w:r>
              <w:rPr>
                <w:rFonts w:eastAsia="宋体"/>
                <w:sz w:val="21"/>
                <w:szCs w:val="21"/>
              </w:rPr>
              <w:t xml:space="preserve">1</w:t>
            </w:r>
            <w:r/>
          </w:p>
        </w:tc>
        <w:tc>
          <w:tcPr>
            <w:gridSpan w:val="2"/>
            <w:tcBorders>
              <w:right w:val="single" w:color="auto" w:sz="4" w:space="0"/>
            </w:tcBorders>
            <w:tcW w:w="1564" w:type="dxa"/>
            <w:vAlign w:val="center"/>
            <w:textDirection w:val="lrTb"/>
            <w:noWrap/>
          </w:tcPr>
          <w:p>
            <w:pPr>
              <w:pStyle w:val="717"/>
              <w:ind w:firstLine="0"/>
              <w:jc w:val="center"/>
              <w:rPr>
                <w:rFonts w:eastAsia="宋体"/>
                <w:sz w:val="21"/>
                <w:szCs w:val="21"/>
              </w:rPr>
            </w:pPr>
            <w:r>
              <w:rPr>
                <w:rFonts w:hint="eastAsia" w:eastAsia="宋体"/>
                <w:sz w:val="21"/>
                <w:szCs w:val="21"/>
              </w:rPr>
              <w:t xml:space="preserve">法定代表人</w:t>
            </w:r>
            <w:r/>
          </w:p>
        </w:tc>
        <w:tc>
          <w:tcPr>
            <w:gridSpan w:val="3"/>
            <w:tcBorders>
              <w:left w:val="single" w:color="auto" w:sz="4" w:space="0"/>
            </w:tcBorders>
            <w:tcW w:w="2784" w:type="dxa"/>
            <w:vAlign w:val="center"/>
            <w:textDirection w:val="lrTb"/>
            <w:noWrap/>
          </w:tcPr>
          <w:p>
            <w:pPr>
              <w:pStyle w:val="717"/>
              <w:ind w:firstLine="0"/>
              <w:jc w:val="center"/>
              <w:rPr>
                <w:rFonts w:eastAsia="宋体"/>
                <w:sz w:val="21"/>
                <w:szCs w:val="21"/>
              </w:rPr>
            </w:pPr>
            <w:r>
              <w:rPr>
                <w:rFonts w:eastAsia="宋体"/>
                <w:sz w:val="21"/>
                <w:szCs w:val="21"/>
              </w:rPr>
            </w:r>
            <w:r/>
          </w:p>
        </w:tc>
        <w:tc>
          <w:tcPr>
            <w:gridSpan w:val="2"/>
            <w:tcW w:w="1580" w:type="dxa"/>
            <w:vAlign w:val="center"/>
            <w:textDirection w:val="lrTb"/>
            <w:noWrap/>
          </w:tcPr>
          <w:p>
            <w:pPr>
              <w:pStyle w:val="717"/>
              <w:ind w:firstLine="0"/>
              <w:jc w:val="both"/>
              <w:rPr>
                <w:rFonts w:eastAsia="宋体"/>
                <w:sz w:val="21"/>
                <w:szCs w:val="21"/>
              </w:rPr>
            </w:pPr>
            <w:r>
              <w:rPr>
                <w:rFonts w:eastAsia="宋体"/>
                <w:sz w:val="21"/>
                <w:szCs w:val="21"/>
              </w:rPr>
              <w:t xml:space="preserve">公司成立日期</w:t>
            </w:r>
            <w:r/>
          </w:p>
        </w:tc>
        <w:tc>
          <w:tcPr>
            <w:gridSpan w:val="2"/>
            <w:tcW w:w="2764" w:type="dxa"/>
            <w:vAlign w:val="center"/>
            <w:textDirection w:val="lrTb"/>
            <w:noWrap/>
          </w:tcPr>
          <w:p>
            <w:pPr>
              <w:pStyle w:val="717"/>
              <w:ind w:firstLine="0"/>
              <w:jc w:val="both"/>
              <w:rPr>
                <w:rFonts w:eastAsia="宋体"/>
                <w:sz w:val="21"/>
                <w:szCs w:val="21"/>
              </w:rPr>
            </w:pPr>
            <w:r>
              <w:rPr>
                <w:rFonts w:eastAsia="宋体"/>
                <w:sz w:val="21"/>
                <w:szCs w:val="21"/>
              </w:rPr>
            </w:r>
            <w:r/>
          </w:p>
        </w:tc>
      </w:tr>
      <w:tr>
        <w:trPr>
          <w:jc w:val="center"/>
          <w:trHeight w:val="645"/>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2</w:t>
            </w:r>
            <w:r/>
          </w:p>
        </w:tc>
        <w:tc>
          <w:tcPr>
            <w:gridSpan w:val="2"/>
            <w:tcBorders>
              <w:right w:val="single" w:color="auto" w:sz="4" w:space="0"/>
            </w:tcBorders>
            <w:tcW w:w="1564"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总部地址</w:t>
            </w:r>
            <w:r/>
          </w:p>
        </w:tc>
        <w:tc>
          <w:tcPr>
            <w:gridSpan w:val="7"/>
            <w:tcBorders>
              <w:left w:val="single" w:color="auto" w:sz="4" w:space="0"/>
            </w:tcBorders>
            <w:tcW w:w="7128"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3</w:t>
            </w:r>
            <w:r/>
          </w:p>
        </w:tc>
        <w:tc>
          <w:tcPr>
            <w:gridSpan w:val="2"/>
            <w:tcBorders>
              <w:right w:val="single" w:color="auto" w:sz="4" w:space="0"/>
            </w:tcBorders>
            <w:tcW w:w="1564" w:type="dxa"/>
            <w:vAlign w:val="center"/>
            <w:textDirection w:val="lrTb"/>
            <w:noWrap/>
          </w:tcPr>
          <w:p>
            <w:pPr>
              <w:pStyle w:val="717"/>
              <w:ind w:firstLine="0"/>
              <w:jc w:val="both"/>
              <w:spacing w:line="300" w:lineRule="auto"/>
              <w:rPr>
                <w:rFonts w:eastAsia="宋体"/>
                <w:sz w:val="21"/>
                <w:szCs w:val="21"/>
              </w:rPr>
            </w:pPr>
            <w:r>
              <w:rPr>
                <w:rFonts w:hint="eastAsia" w:eastAsia="宋体"/>
                <w:sz w:val="21"/>
                <w:szCs w:val="21"/>
              </w:rPr>
              <w:t xml:space="preserve">本地办事处</w:t>
            </w:r>
            <w:r>
              <w:rPr>
                <w:rFonts w:eastAsia="宋体"/>
                <w:sz w:val="21"/>
                <w:szCs w:val="21"/>
              </w:rPr>
              <w:t xml:space="preserve">地址</w:t>
            </w:r>
            <w:r/>
          </w:p>
        </w:tc>
        <w:tc>
          <w:tcPr>
            <w:gridSpan w:val="7"/>
            <w:tcBorders>
              <w:left w:val="single" w:color="auto" w:sz="4" w:space="0"/>
            </w:tcBorders>
            <w:tcW w:w="7128" w:type="dxa"/>
            <w:vAlign w:val="center"/>
            <w:textDirection w:val="lrTb"/>
            <w:noWrap/>
          </w:tcPr>
          <w:p>
            <w:pPr>
              <w:pStyle w:val="717"/>
              <w:ind w:firstLine="0"/>
              <w:jc w:val="both"/>
              <w:spacing w:line="300" w:lineRule="auto"/>
              <w:rPr>
                <w:rFonts w:eastAsia="宋体"/>
                <w:sz w:val="21"/>
                <w:szCs w:val="21"/>
              </w:rPr>
            </w:pPr>
            <w:r>
              <w:rPr>
                <w:rFonts w:eastAsia="宋体"/>
                <w:sz w:val="21"/>
                <w:szCs w:val="21"/>
              </w:rPr>
            </w:r>
            <w:r/>
          </w:p>
        </w:tc>
      </w:tr>
      <w:tr>
        <w:trPr>
          <w:jc w:val="center"/>
          <w:trHeight w:val="645"/>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4</w:t>
            </w:r>
            <w:r/>
          </w:p>
        </w:tc>
        <w:tc>
          <w:tcPr>
            <w:tcBorders>
              <w:right w:val="single" w:color="auto" w:sz="4" w:space="0"/>
            </w:tcBorders>
            <w:tcW w:w="1088"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电话</w:t>
            </w:r>
            <w:r/>
          </w:p>
        </w:tc>
        <w:tc>
          <w:tcPr>
            <w:gridSpan w:val="3"/>
            <w:tcBorders>
              <w:left w:val="single" w:color="auto" w:sz="4" w:space="0"/>
            </w:tcBorders>
            <w:tcW w:w="2773" w:type="dxa"/>
            <w:vAlign w:val="center"/>
            <w:textDirection w:val="lrTb"/>
            <w:noWrap/>
          </w:tcPr>
          <w:p>
            <w:pPr>
              <w:pStyle w:val="717"/>
              <w:ind w:firstLine="0"/>
              <w:jc w:val="both"/>
              <w:spacing w:line="300" w:lineRule="auto"/>
              <w:rPr>
                <w:rFonts w:eastAsia="宋体"/>
                <w:sz w:val="21"/>
                <w:szCs w:val="21"/>
              </w:rPr>
            </w:pPr>
            <w:r>
              <w:rPr>
                <w:rFonts w:eastAsia="宋体"/>
                <w:sz w:val="21"/>
                <w:szCs w:val="21"/>
              </w:rPr>
            </w:r>
            <w:r/>
          </w:p>
        </w:tc>
        <w:tc>
          <w:tcPr>
            <w:gridSpan w:val="2"/>
            <w:tcBorders>
              <w:right w:val="single" w:color="auto" w:sz="4" w:space="0"/>
            </w:tcBorders>
            <w:tcW w:w="1289"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联系人</w:t>
            </w:r>
            <w:r/>
          </w:p>
        </w:tc>
        <w:tc>
          <w:tcPr>
            <w:gridSpan w:val="3"/>
            <w:tcBorders>
              <w:left w:val="single" w:color="auto" w:sz="4" w:space="0"/>
            </w:tcBorders>
            <w:tcW w:w="3542" w:type="dxa"/>
            <w:vAlign w:val="center"/>
            <w:textDirection w:val="lrTb"/>
            <w:noWrap/>
          </w:tcPr>
          <w:p>
            <w:pPr>
              <w:pStyle w:val="717"/>
              <w:ind w:firstLine="0"/>
              <w:jc w:val="both"/>
              <w:spacing w:line="300" w:lineRule="auto"/>
              <w:rPr>
                <w:rFonts w:eastAsia="宋体"/>
                <w:sz w:val="21"/>
                <w:szCs w:val="21"/>
              </w:rPr>
            </w:pPr>
            <w:r>
              <w:rPr>
                <w:rFonts w:eastAsia="宋体"/>
                <w:sz w:val="21"/>
                <w:szCs w:val="21"/>
              </w:rPr>
            </w:r>
            <w:r/>
          </w:p>
        </w:tc>
      </w:tr>
      <w:tr>
        <w:trPr>
          <w:jc w:val="center"/>
          <w:trHeight w:val="625"/>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5</w:t>
            </w:r>
            <w:r/>
          </w:p>
        </w:tc>
        <w:tc>
          <w:tcPr>
            <w:tcBorders>
              <w:right w:val="single" w:color="auto" w:sz="4" w:space="0"/>
            </w:tcBorders>
            <w:tcW w:w="1088"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传真</w:t>
            </w:r>
            <w:r/>
          </w:p>
        </w:tc>
        <w:tc>
          <w:tcPr>
            <w:gridSpan w:val="3"/>
            <w:tcBorders>
              <w:left w:val="single" w:color="auto" w:sz="4" w:space="0"/>
            </w:tcBorders>
            <w:tcW w:w="2773" w:type="dxa"/>
            <w:vAlign w:val="center"/>
            <w:textDirection w:val="lrTb"/>
            <w:noWrap/>
          </w:tcPr>
          <w:p>
            <w:pPr>
              <w:pStyle w:val="717"/>
              <w:ind w:firstLine="0"/>
              <w:jc w:val="both"/>
              <w:spacing w:line="300" w:lineRule="auto"/>
              <w:rPr>
                <w:rFonts w:eastAsia="宋体"/>
                <w:sz w:val="21"/>
                <w:szCs w:val="21"/>
              </w:rPr>
            </w:pPr>
            <w:r>
              <w:rPr>
                <w:rFonts w:eastAsia="宋体"/>
                <w:sz w:val="21"/>
                <w:szCs w:val="21"/>
              </w:rPr>
            </w:r>
            <w:r/>
          </w:p>
        </w:tc>
        <w:tc>
          <w:tcPr>
            <w:gridSpan w:val="2"/>
            <w:tcBorders>
              <w:right w:val="single" w:color="auto" w:sz="4" w:space="0"/>
            </w:tcBorders>
            <w:tcW w:w="1289"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电子邮箱</w:t>
            </w:r>
            <w:r/>
          </w:p>
        </w:tc>
        <w:tc>
          <w:tcPr>
            <w:gridSpan w:val="3"/>
            <w:tcBorders>
              <w:left w:val="single" w:color="auto" w:sz="4" w:space="0"/>
            </w:tcBorders>
            <w:tcW w:w="3542" w:type="dxa"/>
            <w:vAlign w:val="center"/>
            <w:textDirection w:val="lrTb"/>
            <w:noWrap/>
          </w:tcPr>
          <w:p>
            <w:pPr>
              <w:pStyle w:val="717"/>
              <w:ind w:firstLine="0"/>
              <w:jc w:val="both"/>
              <w:spacing w:line="300" w:lineRule="auto"/>
              <w:rPr>
                <w:rFonts w:eastAsia="宋体"/>
                <w:b/>
                <w:sz w:val="18"/>
                <w:szCs w:val="18"/>
              </w:rPr>
            </w:pPr>
            <w:r>
              <w:rPr>
                <w:rFonts w:eastAsia="宋体"/>
                <w:b/>
                <w:sz w:val="18"/>
                <w:szCs w:val="18"/>
              </w:rPr>
            </w:r>
            <w:r/>
          </w:p>
        </w:tc>
      </w:tr>
      <w:tr>
        <w:trPr>
          <w:jc w:val="center"/>
          <w:trHeight w:val="645"/>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6</w:t>
            </w:r>
            <w:r/>
          </w:p>
        </w:tc>
        <w:tc>
          <w:tcPr>
            <w:tcBorders>
              <w:right w:val="single" w:color="auto" w:sz="4" w:space="0"/>
            </w:tcBorders>
            <w:tcW w:w="1088" w:type="dxa"/>
            <w:vAlign w:val="center"/>
            <w:textDirection w:val="lrTb"/>
            <w:noWrap/>
          </w:tcPr>
          <w:p>
            <w:r>
              <w:rPr>
                <w:rFonts w:hint="eastAsia"/>
              </w:rPr>
              <w:t xml:space="preserve">单位从业人员数量</w:t>
            </w:r>
            <w:r/>
          </w:p>
        </w:tc>
        <w:tc>
          <w:tcPr>
            <w:gridSpan w:val="3"/>
            <w:tcBorders>
              <w:left w:val="single" w:color="auto" w:sz="4" w:space="0"/>
            </w:tcBorders>
            <w:tcW w:w="2773" w:type="dxa"/>
            <w:vAlign w:val="center"/>
            <w:textDirection w:val="lrTb"/>
            <w:noWrap/>
          </w:tcPr>
          <w:p>
            <w:pPr>
              <w:pStyle w:val="717"/>
              <w:ind w:firstLine="2160"/>
              <w:jc w:val="both"/>
              <w:spacing w:line="300" w:lineRule="auto"/>
              <w:rPr>
                <w:rFonts w:eastAsia="宋体"/>
                <w:sz w:val="21"/>
                <w:szCs w:val="21"/>
              </w:rPr>
            </w:pPr>
            <w:r>
              <w:rPr>
                <w:rFonts w:eastAsia="宋体"/>
                <w:sz w:val="21"/>
                <w:szCs w:val="21"/>
              </w:rPr>
              <w:t xml:space="preserve">人</w:t>
            </w:r>
            <w:r/>
          </w:p>
        </w:tc>
        <w:tc>
          <w:tcPr>
            <w:gridSpan w:val="4"/>
            <w:tcBorders>
              <w:right w:val="single" w:color="auto" w:sz="4" w:space="0"/>
            </w:tcBorders>
            <w:tcW w:w="2701" w:type="dxa"/>
            <w:vAlign w:val="center"/>
            <w:textDirection w:val="lrTb"/>
            <w:noWrap/>
          </w:tcPr>
          <w:p>
            <w:pPr>
              <w:pStyle w:val="717"/>
              <w:ind w:firstLine="0"/>
              <w:jc w:val="both"/>
              <w:spacing w:line="300" w:lineRule="auto"/>
              <w:rPr>
                <w:rFonts w:eastAsia="宋体"/>
                <w:sz w:val="21"/>
                <w:szCs w:val="21"/>
              </w:rPr>
            </w:pPr>
            <w:r>
              <w:rPr>
                <w:rFonts w:eastAsia="宋体"/>
                <w:sz w:val="21"/>
                <w:szCs w:val="21"/>
              </w:rPr>
              <w:t xml:space="preserve">单位</w:t>
            </w:r>
            <w:r>
              <w:rPr>
                <w:rFonts w:hint="eastAsia" w:eastAsia="宋体"/>
                <w:sz w:val="21"/>
                <w:szCs w:val="21"/>
              </w:rPr>
              <w:t xml:space="preserve">20</w:t>
            </w:r>
            <w:r>
              <w:rPr>
                <w:rFonts w:eastAsia="宋体"/>
                <w:sz w:val="21"/>
                <w:szCs w:val="21"/>
              </w:rPr>
              <w:t xml:space="preserve">2</w:t>
            </w:r>
            <w:r>
              <w:rPr>
                <w:rFonts w:hint="eastAsia" w:eastAsia="宋体"/>
                <w:sz w:val="21"/>
                <w:szCs w:val="21"/>
              </w:rPr>
              <w:t xml:space="preserve">5</w:t>
            </w:r>
            <w:r>
              <w:rPr>
                <w:rFonts w:eastAsia="宋体"/>
                <w:sz w:val="21"/>
                <w:szCs w:val="21"/>
              </w:rPr>
              <w:t xml:space="preserve">年总营业收入</w:t>
            </w:r>
            <w:r/>
          </w:p>
        </w:tc>
        <w:tc>
          <w:tcPr>
            <w:tcBorders>
              <w:left w:val="single" w:color="auto" w:sz="4" w:space="0"/>
            </w:tcBorders>
            <w:tcW w:w="2130" w:type="dxa"/>
            <w:vAlign w:val="center"/>
            <w:textDirection w:val="lrTb"/>
            <w:noWrap/>
          </w:tcPr>
          <w:p>
            <w:pPr>
              <w:pStyle w:val="717"/>
              <w:ind w:firstLine="0"/>
              <w:jc w:val="both"/>
              <w:spacing w:line="300" w:lineRule="auto"/>
              <w:rPr>
                <w:rFonts w:eastAsia="宋体"/>
                <w:sz w:val="21"/>
                <w:szCs w:val="21"/>
              </w:rPr>
            </w:pPr>
            <w:r>
              <w:rPr>
                <w:rFonts w:eastAsia="宋体"/>
                <w:sz w:val="21"/>
                <w:szCs w:val="21"/>
              </w:rPr>
              <w:t xml:space="preserve">万元</w:t>
            </w:r>
            <w:r/>
          </w:p>
        </w:tc>
      </w:tr>
      <w:tr>
        <w:trPr>
          <w:jc w:val="center"/>
          <w:trHeight w:val="1767"/>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7</w:t>
            </w:r>
            <w:r/>
          </w:p>
        </w:tc>
        <w:tc>
          <w:tcPr>
            <w:gridSpan w:val="9"/>
            <w:tcW w:w="8692" w:type="dxa"/>
            <w:vAlign w:val="center"/>
            <w:textDirection w:val="lrTb"/>
            <w:noWrap/>
          </w:tcPr>
          <w:p>
            <w:pPr>
              <w:pStyle w:val="717"/>
              <w:ind w:firstLine="0"/>
              <w:jc w:val="both"/>
              <w:spacing w:line="300" w:lineRule="auto"/>
              <w:rPr>
                <w:rFonts w:eastAsia="宋体"/>
                <w:sz w:val="21"/>
                <w:szCs w:val="21"/>
              </w:rPr>
            </w:pPr>
            <w:r>
              <w:rPr>
                <w:rFonts w:eastAsia="宋体"/>
                <w:sz w:val="21"/>
                <w:szCs w:val="21"/>
              </w:rPr>
              <w:t xml:space="preserve">主营范围</w:t>
            </w:r>
            <w:r/>
          </w:p>
          <w:p>
            <w:pPr>
              <w:pStyle w:val="717"/>
              <w:ind w:firstLine="0"/>
              <w:jc w:val="both"/>
              <w:spacing w:line="300" w:lineRule="auto"/>
              <w:rPr>
                <w:rFonts w:eastAsia="宋体"/>
                <w:sz w:val="21"/>
                <w:szCs w:val="21"/>
              </w:rPr>
            </w:pPr>
            <w:r>
              <w:rPr>
                <w:rFonts w:eastAsia="宋体"/>
                <w:sz w:val="21"/>
                <w:szCs w:val="21"/>
              </w:rPr>
              <w:t xml:space="preserve">1</w:t>
            </w:r>
            <w:r>
              <w:rPr>
                <w:rFonts w:hint="eastAsia" w:eastAsia="宋体"/>
                <w:sz w:val="21"/>
                <w:szCs w:val="21"/>
              </w:rPr>
              <w:t xml:space="preserve">.</w:t>
            </w:r>
            <w:r>
              <w:rPr>
                <w:rFonts w:eastAsia="宋体"/>
                <w:sz w:val="21"/>
                <w:szCs w:val="21"/>
              </w:rPr>
              <w:t xml:space="preserve">____________________________________</w:t>
            </w:r>
            <w:r/>
          </w:p>
          <w:p>
            <w:pPr>
              <w:pStyle w:val="717"/>
              <w:ind w:firstLine="0"/>
              <w:jc w:val="both"/>
              <w:spacing w:line="300" w:lineRule="auto"/>
              <w:rPr>
                <w:rFonts w:eastAsia="宋体"/>
                <w:sz w:val="21"/>
                <w:szCs w:val="21"/>
              </w:rPr>
            </w:pPr>
            <w:r>
              <w:rPr>
                <w:rFonts w:eastAsia="宋体"/>
                <w:sz w:val="21"/>
                <w:szCs w:val="21"/>
              </w:rPr>
              <w:t xml:space="preserve">2</w:t>
            </w:r>
            <w:r>
              <w:rPr>
                <w:rFonts w:hint="eastAsia" w:eastAsia="宋体"/>
                <w:sz w:val="21"/>
                <w:szCs w:val="21"/>
              </w:rPr>
              <w:t xml:space="preserve">.</w:t>
            </w:r>
            <w:r>
              <w:rPr>
                <w:rFonts w:eastAsia="宋体"/>
                <w:sz w:val="21"/>
                <w:szCs w:val="21"/>
              </w:rPr>
              <w:t xml:space="preserve">____________________________________</w:t>
            </w:r>
            <w:r/>
          </w:p>
          <w:p>
            <w:pPr>
              <w:pStyle w:val="717"/>
              <w:ind w:firstLine="0"/>
              <w:jc w:val="both"/>
              <w:spacing w:line="300" w:lineRule="auto"/>
              <w:rPr>
                <w:rFonts w:eastAsia="宋体"/>
                <w:sz w:val="21"/>
                <w:szCs w:val="21"/>
              </w:rPr>
            </w:pPr>
            <w:r>
              <w:rPr>
                <w:rFonts w:eastAsia="宋体"/>
                <w:sz w:val="21"/>
                <w:szCs w:val="21"/>
              </w:rPr>
              <w:t xml:space="preserve">3</w:t>
            </w:r>
            <w:r>
              <w:rPr>
                <w:rFonts w:hint="eastAsia" w:eastAsia="宋体"/>
                <w:sz w:val="21"/>
                <w:szCs w:val="21"/>
              </w:rPr>
              <w:t xml:space="preserve">.</w:t>
            </w:r>
            <w:r>
              <w:rPr>
                <w:rFonts w:eastAsia="宋体"/>
                <w:sz w:val="21"/>
                <w:szCs w:val="21"/>
              </w:rPr>
              <w:t xml:space="preserve">____________________________________ </w:t>
            </w:r>
            <w:r/>
          </w:p>
        </w:tc>
      </w:tr>
      <w:tr>
        <w:trPr>
          <w:jc w:val="center"/>
          <w:trHeight w:val="1548"/>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8</w:t>
            </w:r>
            <w:r/>
          </w:p>
        </w:tc>
        <w:tc>
          <w:tcPr>
            <w:gridSpan w:val="3"/>
            <w:tcW w:w="2445" w:type="dxa"/>
            <w:vAlign w:val="center"/>
            <w:textDirection w:val="lrTb"/>
            <w:noWrap/>
          </w:tcPr>
          <w:p>
            <w:pPr>
              <w:pStyle w:val="717"/>
              <w:ind w:firstLine="0"/>
              <w:jc w:val="both"/>
              <w:spacing w:line="300" w:lineRule="auto"/>
              <w:rPr>
                <w:rFonts w:eastAsia="宋体"/>
                <w:sz w:val="21"/>
                <w:szCs w:val="21"/>
              </w:rPr>
            </w:pPr>
            <w:r>
              <w:rPr>
                <w:rFonts w:eastAsia="宋体"/>
                <w:sz w:val="21"/>
                <w:szCs w:val="21"/>
              </w:rPr>
              <w:t xml:space="preserve">最近3年内在经营过程中受到何种奖励或处分</w:t>
            </w:r>
            <w:r/>
          </w:p>
        </w:tc>
        <w:tc>
          <w:tcPr>
            <w:gridSpan w:val="6"/>
            <w:tcW w:w="6247" w:type="dxa"/>
            <w:textDirection w:val="lrTb"/>
            <w:noWrap/>
          </w:tcPr>
          <w:p>
            <w:pPr>
              <w:pStyle w:val="717"/>
              <w:ind w:firstLine="0"/>
              <w:jc w:val="both"/>
              <w:spacing w:line="300" w:lineRule="auto"/>
              <w:rPr>
                <w:rFonts w:eastAsia="宋体"/>
                <w:sz w:val="21"/>
                <w:szCs w:val="21"/>
              </w:rPr>
            </w:pPr>
            <w:r>
              <w:rPr>
                <w:rFonts w:eastAsia="宋体"/>
                <w:sz w:val="21"/>
                <w:szCs w:val="21"/>
              </w:rPr>
            </w:r>
            <w:r/>
          </w:p>
        </w:tc>
      </w:tr>
      <w:tr>
        <w:trPr>
          <w:jc w:val="center"/>
          <w:trHeight w:val="618"/>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9</w:t>
            </w:r>
            <w:r/>
          </w:p>
        </w:tc>
        <w:tc>
          <w:tcPr>
            <w:gridSpan w:val="3"/>
            <w:tcW w:w="2445" w:type="dxa"/>
            <w:textDirection w:val="lrTb"/>
            <w:noWrap/>
          </w:tcPr>
          <w:p>
            <w:pPr>
              <w:pStyle w:val="717"/>
              <w:ind w:firstLine="0"/>
              <w:jc w:val="both"/>
              <w:spacing w:line="300" w:lineRule="auto"/>
              <w:rPr>
                <w:rFonts w:eastAsia="宋体"/>
                <w:sz w:val="21"/>
                <w:szCs w:val="21"/>
              </w:rPr>
            </w:pPr>
            <w:r>
              <w:rPr>
                <w:rFonts w:eastAsia="宋体"/>
                <w:sz w:val="21"/>
                <w:szCs w:val="21"/>
              </w:rPr>
              <w:t xml:space="preserve">最近3年内有无因售假、售劣或是其他原因被消费者投诉或起诉的情况及说明</w:t>
            </w:r>
            <w:r/>
          </w:p>
        </w:tc>
        <w:tc>
          <w:tcPr>
            <w:gridSpan w:val="6"/>
            <w:tcW w:w="6247" w:type="dxa"/>
            <w:textDirection w:val="lrTb"/>
            <w:noWrap/>
          </w:tcPr>
          <w:p>
            <w:pPr>
              <w:pStyle w:val="717"/>
              <w:ind w:firstLine="0"/>
              <w:jc w:val="both"/>
              <w:spacing w:line="300" w:lineRule="auto"/>
              <w:rPr>
                <w:rFonts w:eastAsia="宋体"/>
                <w:sz w:val="21"/>
                <w:szCs w:val="21"/>
              </w:rPr>
            </w:pPr>
            <w:r>
              <w:rPr>
                <w:rFonts w:eastAsia="宋体"/>
                <w:sz w:val="21"/>
                <w:szCs w:val="21"/>
              </w:rPr>
            </w:r>
            <w:r/>
          </w:p>
        </w:tc>
      </w:tr>
      <w:tr>
        <w:trPr>
          <w:jc w:val="center"/>
          <w:trHeight w:val="1392"/>
        </w:trPr>
        <w:tc>
          <w:tcPr>
            <w:tcW w:w="650" w:type="dxa"/>
            <w:vAlign w:val="center"/>
            <w:textDirection w:val="lrTb"/>
            <w:noWrap/>
          </w:tcPr>
          <w:p>
            <w:pPr>
              <w:pStyle w:val="717"/>
              <w:ind w:firstLine="0"/>
              <w:jc w:val="center"/>
              <w:spacing w:line="300" w:lineRule="auto"/>
              <w:rPr>
                <w:rFonts w:eastAsia="宋体"/>
                <w:sz w:val="21"/>
                <w:szCs w:val="21"/>
              </w:rPr>
            </w:pPr>
            <w:r>
              <w:rPr>
                <w:rFonts w:eastAsia="宋体"/>
                <w:sz w:val="21"/>
                <w:szCs w:val="21"/>
              </w:rPr>
              <w:t xml:space="preserve">10</w:t>
            </w:r>
            <w:r/>
          </w:p>
        </w:tc>
        <w:tc>
          <w:tcPr>
            <w:gridSpan w:val="9"/>
            <w:tcW w:w="8692" w:type="dxa"/>
            <w:vAlign w:val="center"/>
            <w:textDirection w:val="lrTb"/>
            <w:noWrap/>
          </w:tcPr>
          <w:p>
            <w:pPr>
              <w:pStyle w:val="717"/>
              <w:ind w:firstLine="0"/>
              <w:jc w:val="both"/>
              <w:spacing w:line="300" w:lineRule="auto"/>
              <w:rPr>
                <w:rFonts w:eastAsia="宋体"/>
                <w:sz w:val="21"/>
                <w:szCs w:val="21"/>
              </w:rPr>
            </w:pPr>
            <w:r>
              <w:rPr>
                <w:rFonts w:eastAsia="宋体"/>
                <w:sz w:val="21"/>
                <w:szCs w:val="21"/>
              </w:rPr>
              <w:t xml:space="preserve">其他需要说明的情况</w:t>
            </w:r>
            <w:r/>
          </w:p>
        </w:tc>
      </w:tr>
    </w:tbl>
    <w:p>
      <w:pPr>
        <w:rPr>
          <w:b/>
          <w:bCs/>
          <w:sz w:val="30"/>
          <w:szCs w:val="30"/>
        </w:rPr>
      </w:pPr>
      <w:r>
        <w:rPr>
          <w:rFonts w:hint="eastAsia"/>
          <w:b/>
          <w:bCs/>
          <w:sz w:val="30"/>
          <w:szCs w:val="30"/>
        </w:rPr>
        <w:br w:type="page" w:clear="all"/>
      </w:r>
      <w:r/>
    </w:p>
    <w:p>
      <w:pPr>
        <w:pStyle w:val="748"/>
        <w:rPr>
          <w:rFonts w:ascii="宋体" w:hAnsi="宋体" w:cs="宋体"/>
        </w:rPr>
      </w:pPr>
      <w:r/>
      <w:bookmarkStart w:id="14" w:name="_Ref19507"/>
      <w:r>
        <w:rPr>
          <w:rFonts w:hint="eastAsia" w:ascii="宋体" w:hAnsi="宋体" w:cs="宋体"/>
        </w:rPr>
        <w:t xml:space="preserve">四、远程参与开标会议诚信承诺书</w:t>
      </w:r>
      <w:bookmarkEnd w:id="14"/>
      <w:r/>
      <w:r/>
    </w:p>
    <w:p>
      <w:pPr>
        <w:rPr>
          <w:u w:val="single"/>
        </w:rPr>
      </w:pPr>
      <w:r>
        <w:rPr>
          <w:rFonts w:hint="eastAsia"/>
        </w:rPr>
        <w:t xml:space="preserve">致： </w:t>
      </w:r>
      <w:r>
        <w:rPr>
          <w:rFonts w:hint="eastAsia"/>
          <w:u w:val="single"/>
        </w:rPr>
        <w:t xml:space="preserve">昆山市公安局、昆山欣杰项目管理有限公司</w:t>
      </w:r>
      <w:r/>
    </w:p>
    <w:p>
      <w:pPr>
        <w:ind w:firstLine="420"/>
      </w:pPr>
      <w:r>
        <w:rPr>
          <w:rFonts w:hint="eastAsia"/>
        </w:rPr>
        <w:t xml:space="preserve">我方郑重承诺：遵循公开、公平、公正和诚实守信的原则，参加本次远程开标会议，是我方真实意思的表达。</w:t>
      </w:r>
      <w:r/>
    </w:p>
    <w:p>
      <w:pPr>
        <w:ind w:firstLine="420"/>
        <w:rPr>
          <w:szCs w:val="21"/>
          <w:lang w:val="zh-CN"/>
        </w:rPr>
      </w:pPr>
      <w:r>
        <w:rPr>
          <w:rFonts w:hint="eastAsia"/>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rPr>
          <w:szCs w:val="21"/>
          <w:lang w:val="zh-CN"/>
        </w:rPr>
      </w:pPr>
      <w:r>
        <w:rPr>
          <w:rFonts w:hint="eastAsia"/>
          <w:szCs w:val="21"/>
          <w:lang w:val="zh-CN"/>
        </w:rPr>
        <w:t xml:space="preserve">二、严格遵守法律、法规和采购文件规定的投标（响应）程序。不隐瞒真实情况，不弄虚作假，不骗取投标（响应）和中标（成交）资格。</w:t>
      </w:r>
      <w:r/>
    </w:p>
    <w:p>
      <w:pPr>
        <w:ind w:firstLine="420"/>
        <w:rPr>
          <w:szCs w:val="21"/>
          <w:lang w:val="zh-CN"/>
        </w:rPr>
      </w:pPr>
      <w:r>
        <w:rPr>
          <w:rFonts w:hint="eastAsia"/>
          <w:szCs w:val="21"/>
          <w:lang w:val="zh-CN"/>
        </w:rPr>
        <w:t xml:space="preserve">三、坚决抵制和杜绝串标、围标、哄抬报价、贿赂、回扣等违法投标（响应）和不正当竞争行为。</w:t>
      </w:r>
      <w:r/>
    </w:p>
    <w:p>
      <w:pPr>
        <w:ind w:firstLine="420"/>
        <w:rPr>
          <w:szCs w:val="21"/>
          <w:lang w:val="zh-CN"/>
        </w:rPr>
      </w:pPr>
      <w:r>
        <w:rPr>
          <w:rFonts w:hint="eastAsia"/>
          <w:szCs w:val="21"/>
          <w:lang w:val="zh-CN"/>
        </w:rPr>
        <w:t xml:space="preserve">四、依法经营，公平竞争，不采取违法、违规或不正当手段损害、侵犯同行企业的正当权益。</w:t>
      </w:r>
      <w:r/>
    </w:p>
    <w:p>
      <w:pPr>
        <w:ind w:firstLine="420"/>
        <w:rPr>
          <w:szCs w:val="21"/>
          <w:lang w:val="zh-CN"/>
        </w:rPr>
      </w:pPr>
      <w:r>
        <w:rPr>
          <w:rFonts w:hint="eastAsia"/>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rPr>
          <w:szCs w:val="21"/>
          <w:lang w:val="zh-CN"/>
        </w:rPr>
      </w:pPr>
      <w:r>
        <w:rPr>
          <w:rFonts w:hint="eastAsia"/>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rPr>
          <w:szCs w:val="21"/>
          <w:lang w:val="zh-CN"/>
        </w:rPr>
      </w:pPr>
      <w:r>
        <w:rPr>
          <w:rFonts w:hint="eastAsia"/>
          <w:szCs w:val="21"/>
          <w:lang w:val="zh-CN"/>
        </w:rPr>
        <w:t xml:space="preserve">七、不向采购人或评审专家或相关人员行贿，以牟取中标。</w:t>
      </w:r>
      <w:r/>
    </w:p>
    <w:p>
      <w:pPr>
        <w:ind w:firstLine="420"/>
        <w:rPr>
          <w:szCs w:val="21"/>
          <w:lang w:val="zh-CN"/>
        </w:rPr>
      </w:pPr>
      <w:r>
        <w:rPr>
          <w:rFonts w:hint="eastAsia"/>
          <w:szCs w:val="21"/>
          <w:lang w:val="zh-CN"/>
        </w:rPr>
        <w:t xml:space="preserve">八、我方将在法律、法规框架允许的范围内就有关评审过程中的事项向管理人员提出咨询或疑问。</w:t>
      </w:r>
      <w:r/>
    </w:p>
    <w:p>
      <w:pPr>
        <w:ind w:firstLine="420"/>
        <w:rPr>
          <w:szCs w:val="21"/>
          <w:lang w:val="zh-CN"/>
        </w:rPr>
      </w:pPr>
      <w:r>
        <w:rPr>
          <w:rFonts w:hint="eastAsia"/>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rPr>
          <w:szCs w:val="21"/>
          <w:lang w:val="zh-CN"/>
        </w:rPr>
      </w:pPr>
      <w:r>
        <w:rPr>
          <w:szCs w:val="21"/>
          <w:lang w:val="zh-CN"/>
        </w:rPr>
      </w:r>
      <w:r/>
    </w:p>
    <w:p>
      <w:r>
        <w:t xml:space="preserve">投标单位：（</w:t>
      </w:r>
      <w:r>
        <w:rPr>
          <w:rFonts w:hint="eastAsia"/>
        </w:rPr>
        <w:t xml:space="preserve">单位盖章</w:t>
      </w:r>
      <w:r>
        <w:t xml:space="preserve">）</w:t>
      </w:r>
      <w:r/>
    </w:p>
    <w:p>
      <w:r>
        <w:t xml:space="preserve">法定代表人或授权委托人：（签字或盖章）</w:t>
      </w:r>
      <w:r/>
    </w:p>
    <w:p>
      <w:pPr>
        <w:rPr>
          <w:b/>
          <w:szCs w:val="21"/>
        </w:rPr>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b/>
          <w:szCs w:val="21"/>
        </w:rPr>
      </w:pPr>
      <w:r>
        <w:rPr>
          <w:b/>
          <w:szCs w:val="21"/>
        </w:rPr>
        <w:br w:type="page" w:clear="all"/>
      </w:r>
      <w:r/>
    </w:p>
    <w:p>
      <w:pPr>
        <w:pStyle w:val="748"/>
      </w:pPr>
      <w:r/>
      <w:bookmarkStart w:id="15" w:name="_Ref90588241"/>
      <w:r/>
      <w:bookmarkStart w:id="16" w:name="_Ref75443174"/>
      <w:r>
        <w:rPr>
          <w:rFonts w:hint="eastAsia"/>
        </w:rPr>
        <w:t xml:space="preserve">五、开标一览表</w:t>
      </w:r>
      <w:bookmarkEnd w:id="15"/>
      <w:r/>
      <w:bookmarkEnd w:id="16"/>
      <w:r/>
      <w:r/>
    </w:p>
    <w:p>
      <w:pPr>
        <w:ind w:firstLine="480"/>
        <w:rPr>
          <w:szCs w:val="21"/>
        </w:rPr>
      </w:pPr>
      <w:r>
        <w:rPr>
          <w:rFonts w:hint="eastAsia"/>
          <w:szCs w:val="21"/>
        </w:rPr>
        <w:t xml:space="preserve">投标人全称（加盖CA电子签章）：</w:t>
      </w:r>
      <w:r/>
    </w:p>
    <w:p>
      <w:pPr>
        <w:ind w:firstLine="480"/>
        <w:rPr>
          <w:szCs w:val="21"/>
        </w:rPr>
      </w:pPr>
      <w:r>
        <w:rPr>
          <w:rFonts w:hint="eastAsia"/>
          <w:szCs w:val="21"/>
        </w:rPr>
        <w:t xml:space="preserve">项目名称：</w:t>
      </w:r>
      <w:r/>
    </w:p>
    <w:p>
      <w:pPr>
        <w:ind w:firstLine="480"/>
        <w:rPr>
          <w:szCs w:val="21"/>
        </w:rPr>
      </w:pPr>
      <w:r>
        <w:rPr>
          <w:rFonts w:hint="eastAsia"/>
          <w:szCs w:val="21"/>
        </w:rPr>
        <w:t xml:space="preserve">项目编号：</w:t>
      </w:r>
      <w:r/>
    </w:p>
    <w:p>
      <w:pPr>
        <w:ind w:firstLine="480"/>
        <w:rPr>
          <w:szCs w:val="21"/>
        </w:rPr>
      </w:pPr>
      <w:r>
        <w:rPr>
          <w:rFonts w:hint="eastAsia"/>
          <w:szCs w:val="21"/>
        </w:rPr>
        <w:t xml:space="preserve">分包号：</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tcPr>
          <w:p>
            <w:pPr>
              <w:jc w:val="center"/>
              <w:rPr>
                <w:color w:val="000000" w:themeColor="text1"/>
                <w:szCs w:val="21"/>
              </w:rPr>
            </w:pPr>
            <w:r>
              <w:rPr>
                <w:rFonts w:hint="eastAsia"/>
                <w:color w:val="000000" w:themeColor="text1"/>
                <w:szCs w:val="21"/>
              </w:rPr>
              <w:t xml:space="preserve">投标总报价</w:t>
            </w:r>
            <w:r/>
          </w:p>
        </w:tc>
      </w:tr>
      <w:tr>
        <w:trPr>
          <w:cantSplit/>
          <w:jc w:val="center"/>
          <w:trHeight w:val="591"/>
        </w:trPr>
        <w:tc>
          <w:tcPr>
            <w:tcW w:w="8560" w:type="dxa"/>
            <w:vAlign w:val="center"/>
            <w:textDirection w:val="lrTb"/>
            <w:noWrap/>
          </w:tcPr>
          <w:p>
            <w:pPr>
              <w:pStyle w:val="915"/>
              <w:ind w:firstLine="0"/>
              <w:spacing w:before="0" w:after="0" w:line="500" w:lineRule="exact"/>
              <w:rPr>
                <w:rFonts w:ascii="宋体" w:hAnsi="宋体"/>
                <w:color w:val="000000" w:themeColor="text1"/>
                <w:sz w:val="21"/>
                <w:szCs w:val="21"/>
              </w:rPr>
            </w:pPr>
            <w:r>
              <w:rPr>
                <w:rFonts w:hint="eastAsia" w:ascii="宋体" w:hAnsi="宋体" w:cs="宋体"/>
                <w:color w:val="000000" w:themeColor="text1"/>
                <w:sz w:val="21"/>
                <w:szCs w:val="21"/>
              </w:rPr>
              <w:t xml:space="preserve">小写：                             （大写：人民币 ）</w:t>
            </w:r>
            <w:r/>
          </w:p>
        </w:tc>
      </w:tr>
    </w:tbl>
    <w:p>
      <w:pPr>
        <w:ind w:firstLine="480"/>
        <w:rPr>
          <w:szCs w:val="21"/>
        </w:rPr>
      </w:pPr>
      <w:r>
        <w:rPr>
          <w:szCs w:val="21"/>
        </w:rPr>
      </w:r>
      <w:r/>
    </w:p>
    <w:p>
      <w:pPr>
        <w:pStyle w:val="910"/>
        <w:ind w:firstLine="210"/>
        <w:jc w:val="right"/>
        <w:rPr>
          <w:rFonts w:hAnsi="宋体" w:eastAsia="宋体"/>
          <w:sz w:val="21"/>
          <w:szCs w:val="21"/>
        </w:rPr>
      </w:pPr>
      <w:r>
        <w:rPr>
          <w:rFonts w:hAnsi="宋体" w:eastAsia="宋体"/>
          <w:sz w:val="21"/>
          <w:szCs w:val="21"/>
        </w:rPr>
      </w:r>
      <w:r/>
    </w:p>
    <w:p>
      <w:pPr>
        <w:pStyle w:val="910"/>
        <w:ind w:firstLine="210"/>
        <w:jc w:val="right"/>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r>
        <w:rPr>
          <w:rFonts w:hint="eastAsia"/>
          <w:b/>
          <w:bCs/>
        </w:rPr>
        <w:t xml:space="preserve">注：报价金额全部采取人民币表示，投标报价保留两位小数</w:t>
      </w:r>
      <w:r>
        <w:rPr>
          <w:b/>
          <w:bCs/>
        </w:rPr>
        <w:t xml:space="preserve">。</w:t>
      </w:r>
      <w:r/>
    </w:p>
    <w:p>
      <w:pPr>
        <w:rPr>
          <w:rFonts w:cs="宋体"/>
        </w:rPr>
      </w:pPr>
      <w:r/>
      <w:bookmarkStart w:id="17" w:name="_六、投标报价分析表"/>
      <w:r/>
      <w:bookmarkStart w:id="18" w:name="_Ref10346"/>
      <w:r/>
      <w:bookmarkStart w:id="19" w:name="_Toc521586598"/>
      <w:r/>
      <w:bookmarkStart w:id="20" w:name="_Toc519609407"/>
      <w:r/>
      <w:bookmarkStart w:id="21" w:name="_Ref477866519"/>
      <w:r/>
      <w:bookmarkStart w:id="22" w:name="_Toc8652604"/>
      <w:r/>
      <w:bookmarkStart w:id="23" w:name="_Toc483385150"/>
      <w:r/>
      <w:bookmarkStart w:id="24" w:name="_Ref5494"/>
      <w:r/>
      <w:bookmarkStart w:id="25" w:name="_Toc522624854"/>
      <w:r>
        <w:rPr>
          <w:rFonts w:hint="eastAsia" w:cs="宋体"/>
        </w:rPr>
        <w:br w:type="page" w:clear="all"/>
      </w:r>
      <w:bookmarkEnd w:id="17"/>
      <w:r/>
      <w:bookmarkEnd w:id="18"/>
      <w:r/>
      <w:r/>
    </w:p>
    <w:p>
      <w:pPr>
        <w:pStyle w:val="748"/>
      </w:pPr>
      <w:r/>
      <w:bookmarkStart w:id="26" w:name="_Ref10405"/>
      <w:r>
        <w:rPr>
          <w:rFonts w:hint="eastAsia"/>
        </w:rPr>
        <w:t xml:space="preserve">六、投标分项报价表</w:t>
      </w:r>
      <w:r/>
    </w:p>
    <w:p>
      <w:pPr>
        <w:pStyle w:val="910"/>
        <w:jc w:val="center"/>
        <w:rPr>
          <w:rFonts w:hAnsi="宋体" w:eastAsia="宋体"/>
          <w:b/>
          <w:sz w:val="21"/>
          <w:szCs w:val="21"/>
        </w:rPr>
      </w:pPr>
      <w:r>
        <w:rPr>
          <w:rFonts w:hAnsi="宋体" w:eastAsia="宋体"/>
          <w:b/>
          <w:sz w:val="21"/>
          <w:szCs w:val="21"/>
        </w:rPr>
        <w:t xml:space="preserve">报价表（格式）</w:t>
      </w:r>
      <w:r/>
    </w:p>
    <w:p>
      <w:pPr>
        <w:pStyle w:val="910"/>
        <w:jc w:val="center"/>
        <w:rPr>
          <w:rFonts w:hAnsi="宋体" w:eastAsia="宋体"/>
          <w:b/>
          <w:sz w:val="21"/>
          <w:szCs w:val="21"/>
        </w:rPr>
      </w:pPr>
      <w:r>
        <w:rPr>
          <w:rFonts w:hAnsi="宋体" w:eastAsia="宋体"/>
          <w:b/>
          <w:sz w:val="21"/>
          <w:szCs w:val="21"/>
        </w:rPr>
      </w:r>
      <w:r/>
    </w:p>
    <w:tbl>
      <w:tblPr>
        <w:tblStyle w:val="71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序号</w:t>
            </w:r>
            <w:r/>
          </w:p>
        </w:tc>
        <w:tc>
          <w:tcPr>
            <w:tcW w:w="2815"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内容</w:t>
            </w:r>
            <w:r/>
          </w:p>
        </w:tc>
        <w:tc>
          <w:tcPr>
            <w:tcW w:w="1378"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数量</w:t>
            </w:r>
            <w:r/>
          </w:p>
        </w:tc>
        <w:tc>
          <w:tcPr>
            <w:tcW w:w="1412"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单价（元）</w:t>
            </w:r>
            <w:r/>
          </w:p>
        </w:tc>
        <w:tc>
          <w:tcPr>
            <w:tcW w:w="1648"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合价（元）</w:t>
            </w:r>
            <w:r/>
          </w:p>
        </w:tc>
        <w:tc>
          <w:tcPr>
            <w:tcW w:w="1219" w:type="dxa"/>
            <w:vAlign w:val="center"/>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备注</w:t>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1</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2</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3</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4</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5</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590"/>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6</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r>
      <w:tr>
        <w:trPr>
          <w:cantSplit/>
          <w:jc w:val="center"/>
          <w:trHeight w:val="1139"/>
        </w:trPr>
        <w:tc>
          <w:tcPr>
            <w:tcW w:w="784" w:type="dxa"/>
            <w:textDirection w:val="lrTb"/>
            <w:noWrap/>
          </w:tcPr>
          <w:p>
            <w:pPr>
              <w:pStyle w:val="913"/>
              <w:jc w:val="center"/>
              <w:spacing w:line="360" w:lineRule="exact"/>
              <w:rPr>
                <w:rFonts w:hAnsi="宋体" w:eastAsia="宋体" w:cs="宋体"/>
                <w:sz w:val="21"/>
                <w:szCs w:val="21"/>
              </w:rPr>
            </w:pPr>
            <w:r>
              <w:rPr>
                <w:rFonts w:hint="eastAsia" w:hAnsi="宋体" w:eastAsia="宋体" w:cs="宋体"/>
                <w:sz w:val="21"/>
                <w:szCs w:val="21"/>
              </w:rPr>
              <w:t xml:space="preserve">……</w:t>
            </w:r>
            <w:r/>
          </w:p>
        </w:tc>
        <w:tc>
          <w:tcPr>
            <w:tcW w:w="2815"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37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412"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648" w:type="dxa"/>
            <w:textDirection w:val="lrTb"/>
            <w:noWrap/>
          </w:tcPr>
          <w:p>
            <w:pPr>
              <w:pStyle w:val="913"/>
              <w:jc w:val="center"/>
              <w:spacing w:line="360" w:lineRule="exact"/>
              <w:rPr>
                <w:rFonts w:hAnsi="宋体" w:eastAsia="宋体" w:cs="宋体"/>
                <w:sz w:val="21"/>
                <w:szCs w:val="21"/>
              </w:rPr>
            </w:pPr>
            <w:r>
              <w:rPr>
                <w:rFonts w:hAnsi="宋体" w:eastAsia="宋体" w:cs="宋体"/>
                <w:sz w:val="21"/>
                <w:szCs w:val="21"/>
              </w:rPr>
            </w:r>
            <w:r/>
          </w:p>
        </w:tc>
        <w:tc>
          <w:tcPr>
            <w:tcW w:w="1219" w:type="dxa"/>
            <w:textDirection w:val="lrTb"/>
            <w:noWrap/>
          </w:tcPr>
          <w:p>
            <w:pPr>
              <w:pStyle w:val="913"/>
              <w:jc w:val="left"/>
              <w:spacing w:line="360" w:lineRule="exact"/>
              <w:rPr>
                <w:rFonts w:hAnsi="宋体" w:eastAsia="宋体" w:cs="宋体"/>
                <w:sz w:val="21"/>
                <w:szCs w:val="21"/>
              </w:rPr>
            </w:pPr>
            <w:r>
              <w:rPr>
                <w:rFonts w:hint="eastAsia" w:hAnsi="宋体" w:eastAsia="宋体" w:cs="宋体"/>
                <w:sz w:val="21"/>
                <w:szCs w:val="21"/>
              </w:rPr>
              <w:t xml:space="preserve">投标单位认为应列费用</w:t>
            </w:r>
            <w:r/>
          </w:p>
        </w:tc>
      </w:tr>
      <w:tr>
        <w:trPr>
          <w:cantSplit/>
          <w:jc w:val="center"/>
          <w:trHeight w:val="941"/>
        </w:trPr>
        <w:tc>
          <w:tcPr>
            <w:gridSpan w:val="3"/>
            <w:tcW w:w="4977" w:type="dxa"/>
            <w:textDirection w:val="lrTb"/>
            <w:noWrap/>
          </w:tcPr>
          <w:p>
            <w:pPr>
              <w:pStyle w:val="913"/>
              <w:spacing w:line="360" w:lineRule="exact"/>
              <w:rPr>
                <w:rFonts w:hAnsi="宋体" w:eastAsia="宋体" w:cs="宋体"/>
                <w:sz w:val="21"/>
                <w:szCs w:val="21"/>
              </w:rPr>
            </w:pPr>
            <w:r>
              <w:rPr>
                <w:rFonts w:hint="eastAsia" w:hAnsi="宋体" w:eastAsia="宋体" w:cs="宋体"/>
                <w:sz w:val="21"/>
                <w:szCs w:val="21"/>
              </w:rPr>
              <w:t xml:space="preserve">总价（人民币大写）：</w:t>
            </w:r>
            <w:r/>
          </w:p>
        </w:tc>
        <w:tc>
          <w:tcPr>
            <w:gridSpan w:val="3"/>
            <w:tcW w:w="4279" w:type="dxa"/>
            <w:textDirection w:val="lrTb"/>
            <w:noWrap/>
          </w:tcPr>
          <w:p>
            <w:pPr>
              <w:pStyle w:val="913"/>
              <w:ind w:left="15"/>
              <w:spacing w:line="360" w:lineRule="exact"/>
              <w:rPr>
                <w:rFonts w:hAnsi="宋体" w:eastAsia="宋体" w:cs="宋体"/>
                <w:sz w:val="21"/>
                <w:szCs w:val="21"/>
              </w:rPr>
            </w:pPr>
            <w:r>
              <w:rPr>
                <w:rFonts w:hint="eastAsia" w:hAnsi="宋体" w:eastAsia="宋体" w:cs="宋体"/>
                <w:sz w:val="21"/>
                <w:szCs w:val="21"/>
              </w:rPr>
              <w:t xml:space="preserve">小写：¥</w:t>
            </w:r>
            <w:r/>
          </w:p>
        </w:tc>
      </w:tr>
    </w:tbl>
    <w:p>
      <w:pPr>
        <w:pStyle w:val="910"/>
        <w:jc w:val="center"/>
        <w:rPr>
          <w:rFonts w:hAnsi="宋体" w:eastAsia="宋体"/>
          <w:b/>
          <w:sz w:val="21"/>
          <w:szCs w:val="21"/>
        </w:rPr>
      </w:pPr>
      <w:r>
        <w:rPr>
          <w:rFonts w:hAnsi="宋体" w:eastAsia="宋体"/>
          <w:b/>
          <w:sz w:val="21"/>
          <w:szCs w:val="21"/>
        </w:rPr>
      </w:r>
      <w:r/>
    </w:p>
    <w:p>
      <w:pPr>
        <w:pStyle w:val="910"/>
        <w:jc w:val="left"/>
        <w:rPr>
          <w:rFonts w:hAnsi="宋体" w:eastAsia="宋体"/>
          <w:sz w:val="21"/>
          <w:szCs w:val="21"/>
        </w:rPr>
      </w:pPr>
      <w:r>
        <w:rPr>
          <w:rFonts w:hAnsi="宋体" w:eastAsia="宋体"/>
          <w:sz w:val="21"/>
          <w:szCs w:val="21"/>
        </w:rPr>
      </w:r>
      <w:r/>
    </w:p>
    <w:p>
      <w:pPr>
        <w:pStyle w:val="910"/>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10"/>
        <w:jc w:val="left"/>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910"/>
        <w:jc w:val="left"/>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rPr>
          <w:bCs/>
          <w:szCs w:val="21"/>
        </w:rPr>
      </w:pPr>
      <w:r>
        <w:rPr>
          <w:bCs/>
          <w:szCs w:val="21"/>
        </w:rPr>
        <w:t xml:space="preserve">注：本投标报价汇总表的“投标总报价”应与“开标一览表”投标价一致</w:t>
      </w:r>
      <w:r>
        <w:rPr>
          <w:rFonts w:hint="eastAsia"/>
          <w:bCs/>
          <w:szCs w:val="21"/>
        </w:rPr>
        <w:t xml:space="preserve">，投标单位可根据项目实际情况自拟格式</w:t>
      </w:r>
      <w:r>
        <w:rPr>
          <w:bCs/>
          <w:szCs w:val="21"/>
        </w:rPr>
        <w:t xml:space="preserve">。</w:t>
      </w:r>
      <w:r/>
    </w:p>
    <w:p>
      <w:pPr>
        <w:rPr>
          <w:bCs/>
          <w:szCs w:val="21"/>
        </w:rPr>
      </w:pPr>
      <w:r>
        <w:rPr>
          <w:bCs/>
          <w:szCs w:val="21"/>
        </w:rPr>
        <w:br w:type="page" w:clear="all"/>
      </w:r>
      <w:r/>
    </w:p>
    <w:p>
      <w:pPr>
        <w:pStyle w:val="748"/>
        <w:rPr>
          <w:rFonts w:ascii="宋体" w:hAnsi="宋体" w:cs="宋体"/>
          <w:color w:val="000000" w:themeColor="text1"/>
        </w:rPr>
      </w:pPr>
      <w:r>
        <w:rPr>
          <w:rFonts w:hint="eastAsia" w:ascii="宋体" w:hAnsi="宋体" w:cs="宋体"/>
        </w:rPr>
        <w:t xml:space="preserve">七、</w:t>
      </w:r>
      <w:r>
        <w:rPr>
          <w:rFonts w:hint="eastAsia" w:ascii="宋体" w:hAnsi="宋体" w:cs="宋体"/>
          <w:color w:val="000000" w:themeColor="text1"/>
        </w:rPr>
        <w:t xml:space="preserve">偏离表（商务）：</w:t>
      </w:r>
      <w:r/>
    </w:p>
    <w:p>
      <w:pPr>
        <w:rPr>
          <w:rFonts w:cs="宋体"/>
          <w:b/>
          <w:color w:val="000000" w:themeColor="text1"/>
          <w:sz w:val="32"/>
          <w:szCs w:val="32"/>
        </w:rPr>
      </w:pPr>
      <w:r>
        <w:rPr>
          <w:rFonts w:cs="宋体"/>
          <w:b/>
          <w:color w:val="000000" w:themeColor="text1"/>
          <w:sz w:val="32"/>
          <w:szCs w:val="32"/>
        </w:rPr>
      </w:r>
      <w:r/>
    </w:p>
    <w:p>
      <w:pPr>
        <w:rPr>
          <w:rFonts w:cs="宋体"/>
          <w:b/>
          <w:color w:val="000000" w:themeColor="text1"/>
          <w:sz w:val="32"/>
          <w:szCs w:val="32"/>
        </w:rPr>
      </w:pPr>
      <w:r>
        <w:rPr>
          <w:rFonts w:cs="宋体"/>
          <w:b/>
          <w:color w:val="000000" w:themeColor="text1"/>
          <w:sz w:val="32"/>
          <w:szCs w:val="32"/>
        </w:rPr>
      </w:r>
      <w:r/>
    </w:p>
    <w:tbl>
      <w:tblPr>
        <w:tblStyle w:val="7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tcPr>
          <w:p>
            <w:pPr>
              <w:pStyle w:val="717"/>
              <w:ind w:firstLine="0"/>
              <w:jc w:val="center"/>
              <w:rPr>
                <w:rFonts w:eastAsia="宋体"/>
                <w:color w:val="000000" w:themeColor="text1"/>
                <w:sz w:val="21"/>
                <w:szCs w:val="21"/>
              </w:rPr>
            </w:pPr>
            <w:r>
              <w:rPr>
                <w:rFonts w:hint="eastAsia" w:eastAsia="宋体"/>
                <w:color w:val="000000" w:themeColor="text1"/>
                <w:sz w:val="21"/>
                <w:szCs w:val="21"/>
              </w:rPr>
              <w:t xml:space="preserve">项      目</w:t>
            </w:r>
            <w:r/>
          </w:p>
        </w:tc>
        <w:tc>
          <w:tcPr>
            <w:tcW w:w="2130" w:type="dxa"/>
            <w:textDirection w:val="lrTb"/>
            <w:noWrap/>
          </w:tcPr>
          <w:p>
            <w:pPr>
              <w:pStyle w:val="717"/>
              <w:ind w:firstLine="0"/>
              <w:jc w:val="center"/>
              <w:rPr>
                <w:rFonts w:eastAsia="宋体"/>
                <w:color w:val="000000" w:themeColor="text1"/>
                <w:sz w:val="21"/>
                <w:szCs w:val="21"/>
              </w:rPr>
            </w:pPr>
            <w:r>
              <w:rPr>
                <w:rFonts w:hint="eastAsia" w:eastAsia="宋体"/>
                <w:color w:val="000000" w:themeColor="text1"/>
                <w:sz w:val="21"/>
                <w:szCs w:val="21"/>
              </w:rPr>
              <w:t xml:space="preserve">招标要求（详见招标文件）</w:t>
            </w:r>
            <w:r/>
          </w:p>
        </w:tc>
        <w:tc>
          <w:tcPr>
            <w:tcW w:w="1944" w:type="dxa"/>
            <w:textDirection w:val="lrTb"/>
            <w:noWrap/>
          </w:tcPr>
          <w:p>
            <w:pPr>
              <w:pStyle w:val="717"/>
              <w:ind w:firstLine="0"/>
              <w:jc w:val="center"/>
              <w:rPr>
                <w:rFonts w:eastAsia="宋体"/>
                <w:color w:val="000000" w:themeColor="text1"/>
                <w:sz w:val="21"/>
                <w:szCs w:val="21"/>
              </w:rPr>
            </w:pPr>
            <w:r>
              <w:rPr>
                <w:rFonts w:hint="eastAsia" w:eastAsia="宋体"/>
                <w:color w:val="000000" w:themeColor="text1"/>
                <w:sz w:val="21"/>
                <w:szCs w:val="21"/>
              </w:rPr>
              <w:t xml:space="preserve">投标内容（响应情况）</w:t>
            </w:r>
            <w:r/>
          </w:p>
        </w:tc>
        <w:tc>
          <w:tcPr>
            <w:tcW w:w="2318" w:type="dxa"/>
            <w:textDirection w:val="lrTb"/>
            <w:noWrap/>
          </w:tcPr>
          <w:p>
            <w:pPr>
              <w:pStyle w:val="717"/>
              <w:ind w:firstLine="0"/>
              <w:jc w:val="center"/>
              <w:rPr>
                <w:rFonts w:eastAsia="宋体"/>
                <w:color w:val="000000" w:themeColor="text1"/>
                <w:sz w:val="21"/>
                <w:szCs w:val="21"/>
              </w:rPr>
            </w:pPr>
            <w:r>
              <w:rPr>
                <w:rFonts w:hint="eastAsia" w:eastAsia="宋体"/>
                <w:color w:val="000000" w:themeColor="text1"/>
                <w:sz w:val="21"/>
                <w:szCs w:val="21"/>
              </w:rPr>
              <w:t xml:space="preserve">偏离说明（正偏离、无偏离、负偏离）</w:t>
            </w:r>
            <w:r/>
          </w:p>
        </w:tc>
      </w:tr>
      <w:tr>
        <w:trPr/>
        <w:tc>
          <w:tcPr>
            <w:tcW w:w="2130" w:type="dxa"/>
            <w:textDirection w:val="lrTb"/>
            <w:noWrap/>
          </w:tcPr>
          <w:p>
            <w:pPr>
              <w:pStyle w:val="717"/>
              <w:ind w:firstLine="0"/>
              <w:rPr>
                <w:rFonts w:eastAsia="宋体"/>
                <w:color w:val="000000" w:themeColor="text1"/>
                <w:sz w:val="21"/>
                <w:szCs w:val="21"/>
              </w:rPr>
            </w:pPr>
            <w:r>
              <w:rPr>
                <w:rFonts w:hint="eastAsia" w:eastAsia="宋体"/>
                <w:color w:val="000000" w:themeColor="text1"/>
                <w:sz w:val="21"/>
                <w:szCs w:val="21"/>
              </w:rPr>
              <w:t xml:space="preserve">服务期</w:t>
            </w:r>
            <w:r/>
          </w:p>
        </w:tc>
        <w:tc>
          <w:tcPr>
            <w:tcW w:w="2130"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1944"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2318"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r>
      <w:tr>
        <w:trPr/>
        <w:tc>
          <w:tcPr>
            <w:tcW w:w="2130" w:type="dxa"/>
            <w:textDirection w:val="lrTb"/>
            <w:noWrap/>
          </w:tcPr>
          <w:p>
            <w:pPr>
              <w:pStyle w:val="717"/>
              <w:ind w:firstLine="0"/>
              <w:rPr>
                <w:rFonts w:eastAsia="宋体"/>
                <w:color w:val="000000" w:themeColor="text1"/>
                <w:sz w:val="21"/>
                <w:szCs w:val="21"/>
              </w:rPr>
            </w:pPr>
            <w:r>
              <w:rPr>
                <w:rFonts w:hint="eastAsia" w:eastAsia="宋体"/>
                <w:color w:val="000000" w:themeColor="text1"/>
                <w:sz w:val="21"/>
                <w:szCs w:val="21"/>
              </w:rPr>
              <w:t xml:space="preserve">响应时间</w:t>
            </w:r>
            <w:r/>
          </w:p>
        </w:tc>
        <w:tc>
          <w:tcPr>
            <w:tcW w:w="2130"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1944"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2318"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r>
      <w:tr>
        <w:trPr/>
        <w:tc>
          <w:tcPr>
            <w:tcW w:w="2130" w:type="dxa"/>
            <w:textDirection w:val="lrTb"/>
            <w:noWrap/>
          </w:tcPr>
          <w:p>
            <w:pPr>
              <w:pStyle w:val="717"/>
              <w:ind w:firstLine="0"/>
              <w:rPr>
                <w:rFonts w:eastAsia="宋体"/>
                <w:color w:val="000000" w:themeColor="text1"/>
                <w:sz w:val="21"/>
                <w:szCs w:val="21"/>
              </w:rPr>
            </w:pPr>
            <w:r>
              <w:rPr>
                <w:rFonts w:hint="eastAsia" w:eastAsia="宋体"/>
                <w:color w:val="000000" w:themeColor="text1"/>
                <w:sz w:val="21"/>
                <w:szCs w:val="21"/>
              </w:rPr>
              <w:t xml:space="preserve">质保期（如有）</w:t>
            </w:r>
            <w:r/>
          </w:p>
        </w:tc>
        <w:tc>
          <w:tcPr>
            <w:tcW w:w="2130"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1944"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2318"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r>
      <w:tr>
        <w:trPr/>
        <w:tc>
          <w:tcPr>
            <w:tcW w:w="2130" w:type="dxa"/>
            <w:textDirection w:val="lrTb"/>
            <w:noWrap/>
          </w:tcPr>
          <w:p>
            <w:pPr>
              <w:pStyle w:val="717"/>
              <w:ind w:firstLine="0"/>
              <w:rPr>
                <w:rFonts w:eastAsia="宋体"/>
                <w:color w:val="000000" w:themeColor="text1"/>
                <w:sz w:val="21"/>
                <w:szCs w:val="21"/>
              </w:rPr>
            </w:pPr>
            <w:r>
              <w:rPr>
                <w:rFonts w:hint="eastAsia" w:eastAsia="宋体"/>
                <w:color w:val="000000" w:themeColor="text1"/>
                <w:sz w:val="21"/>
                <w:szCs w:val="21"/>
              </w:rPr>
              <w:t xml:space="preserve">付款方式</w:t>
            </w:r>
            <w:r/>
          </w:p>
        </w:tc>
        <w:tc>
          <w:tcPr>
            <w:tcW w:w="2130"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1944"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2318"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r>
      <w:tr>
        <w:trPr/>
        <w:tc>
          <w:tcPr>
            <w:tcW w:w="2130" w:type="dxa"/>
            <w:textDirection w:val="lrTb"/>
            <w:noWrap/>
          </w:tcPr>
          <w:p>
            <w:pPr>
              <w:pStyle w:val="717"/>
              <w:ind w:firstLine="0"/>
              <w:rPr>
                <w:rFonts w:eastAsia="宋体"/>
                <w:color w:val="000000" w:themeColor="text1"/>
                <w:sz w:val="21"/>
                <w:szCs w:val="21"/>
              </w:rPr>
            </w:pPr>
            <w:r>
              <w:rPr>
                <w:rFonts w:hint="eastAsia" w:eastAsia="宋体"/>
                <w:color w:val="000000" w:themeColor="text1"/>
                <w:sz w:val="21"/>
                <w:szCs w:val="21"/>
              </w:rPr>
              <w:t xml:space="preserve">履约保证金（如有）</w:t>
            </w:r>
            <w:r/>
          </w:p>
        </w:tc>
        <w:tc>
          <w:tcPr>
            <w:tcW w:w="2130"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1944"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c>
          <w:tcPr>
            <w:tcW w:w="2318" w:type="dxa"/>
            <w:textDirection w:val="lrTb"/>
            <w:noWrap/>
          </w:tcPr>
          <w:p>
            <w:pPr>
              <w:pStyle w:val="717"/>
              <w:ind w:firstLine="0"/>
              <w:rPr>
                <w:rFonts w:eastAsia="宋体"/>
                <w:color w:val="000000" w:themeColor="text1"/>
                <w:sz w:val="21"/>
                <w:szCs w:val="21"/>
              </w:rPr>
            </w:pPr>
            <w:r>
              <w:rPr>
                <w:rFonts w:eastAsia="宋体"/>
                <w:color w:val="000000" w:themeColor="text1"/>
                <w:sz w:val="21"/>
                <w:szCs w:val="21"/>
              </w:rPr>
            </w:r>
            <w:r/>
          </w:p>
        </w:tc>
      </w:tr>
    </w:tbl>
    <w:p>
      <w:pPr>
        <w:pStyle w:val="717"/>
        <w:ind w:firstLine="0"/>
        <w:rPr>
          <w:rFonts w:eastAsia="宋体"/>
          <w:color w:val="000000" w:themeColor="text1"/>
          <w:sz w:val="21"/>
          <w:szCs w:val="21"/>
        </w:rPr>
      </w:pPr>
      <w:r>
        <w:rPr>
          <w:rFonts w:hint="eastAsia" w:eastAsia="宋体"/>
          <w:color w:val="000000" w:themeColor="text1"/>
          <w:sz w:val="21"/>
          <w:szCs w:val="21"/>
        </w:rPr>
        <w:t xml:space="preserve">投标单位：</w:t>
      </w:r>
      <w:r>
        <w:rPr>
          <w:rFonts w:eastAsia="宋体"/>
          <w:color w:val="000000" w:themeColor="text1"/>
          <w:sz w:val="21"/>
          <w:szCs w:val="21"/>
        </w:rPr>
        <w:t xml:space="preserve">（</w:t>
      </w:r>
      <w:r>
        <w:rPr>
          <w:rFonts w:hint="eastAsia" w:eastAsia="宋体"/>
          <w:color w:val="000000" w:themeColor="text1"/>
          <w:sz w:val="21"/>
          <w:szCs w:val="21"/>
        </w:rPr>
        <w:t xml:space="preserve">加盖CA电子公章</w:t>
      </w:r>
      <w:r>
        <w:rPr>
          <w:rFonts w:eastAsia="宋体"/>
          <w:color w:val="000000" w:themeColor="text1"/>
          <w:sz w:val="21"/>
          <w:szCs w:val="21"/>
        </w:rPr>
        <w:t xml:space="preserve">）</w:t>
      </w:r>
      <w:r/>
    </w:p>
    <w:p>
      <w:pPr>
        <w:pStyle w:val="717"/>
        <w:ind w:firstLine="0"/>
        <w:rPr>
          <w:rFonts w:eastAsia="宋体"/>
          <w:color w:val="000000" w:themeColor="text1"/>
          <w:sz w:val="21"/>
          <w:szCs w:val="21"/>
        </w:rPr>
      </w:pPr>
      <w:r>
        <w:rPr>
          <w:rFonts w:hint="eastAsia" w:eastAsia="宋体"/>
          <w:color w:val="000000" w:themeColor="text1"/>
          <w:sz w:val="21"/>
          <w:szCs w:val="21"/>
        </w:rPr>
        <w:t xml:space="preserve">法定代表人或代理人：（签字或盖章）</w:t>
      </w:r>
      <w:r/>
    </w:p>
    <w:p>
      <w:pPr>
        <w:pStyle w:val="717"/>
        <w:ind w:firstLine="0"/>
        <w:rPr>
          <w:rFonts w:eastAsia="宋体"/>
          <w:color w:val="000000" w:themeColor="text1"/>
          <w:sz w:val="21"/>
          <w:szCs w:val="21"/>
        </w:rPr>
      </w:pPr>
      <w:r>
        <w:rPr>
          <w:rFonts w:eastAsia="宋体"/>
          <w:color w:val="000000" w:themeColor="text1"/>
          <w:sz w:val="21"/>
          <w:szCs w:val="21"/>
        </w:rPr>
        <w:t xml:space="preserve">日期：</w:t>
      </w:r>
      <w:r>
        <w:rPr>
          <w:rFonts w:hint="eastAsia" w:eastAsia="宋体"/>
          <w:color w:val="000000" w:themeColor="text1"/>
          <w:sz w:val="21"/>
          <w:szCs w:val="21"/>
        </w:rPr>
        <w:t xml:space="preserve">     年  月  日</w:t>
      </w:r>
      <w:r/>
    </w:p>
    <w:p>
      <w:pPr>
        <w:pStyle w:val="717"/>
        <w:ind w:firstLine="0"/>
        <w:rPr>
          <w:rFonts w:eastAsia="宋体"/>
          <w:color w:val="000000" w:themeColor="text1"/>
          <w:sz w:val="21"/>
          <w:szCs w:val="21"/>
        </w:rPr>
      </w:pPr>
      <w:r>
        <w:rPr>
          <w:rFonts w:eastAsia="宋体"/>
          <w:color w:val="000000" w:themeColor="text1"/>
          <w:sz w:val="21"/>
          <w:szCs w:val="21"/>
        </w:rPr>
      </w:r>
      <w:r/>
    </w:p>
    <w:p>
      <w:r>
        <w:rPr>
          <w:rFonts w:hint="eastAsia"/>
          <w:szCs w:val="21"/>
        </w:rPr>
        <w:t xml:space="preserve">注：如有偏离，需在本表详细描述偏离情况，如投标人完全响应招标文件要求，可填写“无偏离”，未填写则默认投标人完全响应招标要求。</w:t>
      </w:r>
      <w:r/>
    </w:p>
    <w:p>
      <w:pPr>
        <w:rPr>
          <w:szCs w:val="21"/>
        </w:rPr>
      </w:pPr>
      <w:r>
        <w:rPr>
          <w:rFonts w:hint="eastAsia"/>
          <w:szCs w:val="21"/>
        </w:rPr>
        <w:br w:type="page" w:clear="all"/>
      </w:r>
      <w:bookmarkEnd w:id="19"/>
      <w:r/>
      <w:bookmarkEnd w:id="20"/>
      <w:r/>
      <w:bookmarkEnd w:id="21"/>
      <w:r/>
      <w:bookmarkEnd w:id="22"/>
      <w:r/>
      <w:bookmarkEnd w:id="23"/>
      <w:r/>
      <w:bookmarkEnd w:id="24"/>
      <w:r/>
      <w:bookmarkEnd w:id="25"/>
      <w:r/>
      <w:bookmarkEnd w:id="26"/>
      <w:r/>
      <w:r/>
    </w:p>
    <w:p>
      <w:pPr>
        <w:pStyle w:val="748"/>
        <w:rPr>
          <w:rFonts w:ascii="宋体" w:hAnsi="宋体" w:cs="宋体"/>
        </w:rPr>
      </w:pPr>
      <w:r/>
      <w:bookmarkStart w:id="27" w:name="_Ref65584695"/>
      <w:r/>
      <w:bookmarkStart w:id="28" w:name="_Ref5540"/>
      <w:r/>
      <w:bookmarkStart w:id="29" w:name="_Ref803173"/>
      <w:r/>
      <w:bookmarkStart w:id="30" w:name="_Toc8652605"/>
      <w:r>
        <w:rPr>
          <w:rFonts w:hint="eastAsia" w:ascii="宋体" w:hAnsi="宋体" w:cs="宋体"/>
        </w:rPr>
        <w:t xml:space="preserve">八、偏离表（技术）</w:t>
      </w:r>
      <w:bookmarkStart w:id="31" w:name="_Ref22898688"/>
      <w:r/>
      <w:bookmarkStart w:id="32" w:name="_Toc38032044"/>
      <w:r>
        <w:rPr>
          <w:rFonts w:hint="eastAsia" w:ascii="宋体" w:hAnsi="宋体" w:cs="宋体"/>
        </w:rPr>
        <w:t xml:space="preserve">：</w:t>
      </w:r>
      <w:bookmarkEnd w:id="31"/>
      <w:r/>
      <w:bookmarkEnd w:id="32"/>
      <w:r/>
      <w:r/>
    </w:p>
    <w:p>
      <w:pPr>
        <w:pStyle w:val="717"/>
        <w:ind w:firstLine="0"/>
        <w:rPr>
          <w:rFonts w:eastAsia="宋体"/>
          <w:sz w:val="21"/>
          <w:szCs w:val="21"/>
        </w:rPr>
      </w:pPr>
      <w:r/>
      <w:bookmarkStart w:id="33" w:name="_Toc38032045"/>
      <w:r/>
      <w:bookmarkStart w:id="34" w:name="_Ref501489596"/>
      <w:r/>
      <w:bookmarkEnd w:id="33"/>
      <w:r/>
      <w:bookmarkEnd w:id="34"/>
      <w:r/>
      <w:r/>
    </w:p>
    <w:p>
      <w:pPr>
        <w:rPr>
          <w:rFonts w:cs="宋体"/>
          <w:szCs w:val="21"/>
        </w:rPr>
      </w:pPr>
      <w:r/>
      <w:bookmarkStart w:id="35" w:name="_Ref83808939"/>
      <w:r/>
      <w:bookmarkEnd w:id="35"/>
      <w:r/>
      <w:r/>
    </w:p>
    <w:tbl>
      <w:tblPr>
        <w:tblStyle w:val="7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tcPr>
          <w:p>
            <w:pPr>
              <w:pStyle w:val="717"/>
              <w:ind w:firstLine="0"/>
              <w:jc w:val="center"/>
              <w:rPr>
                <w:rFonts w:eastAsia="宋体"/>
                <w:sz w:val="21"/>
                <w:szCs w:val="21"/>
              </w:rPr>
            </w:pPr>
            <w:r>
              <w:rPr>
                <w:rFonts w:hint="eastAsia" w:eastAsia="宋体"/>
                <w:sz w:val="21"/>
                <w:szCs w:val="21"/>
              </w:rPr>
              <w:t xml:space="preserve">项      目</w:t>
            </w:r>
            <w:r/>
          </w:p>
        </w:tc>
        <w:tc>
          <w:tcPr>
            <w:tcW w:w="2130" w:type="dxa"/>
            <w:textDirection w:val="lrTb"/>
            <w:noWrap/>
          </w:tcPr>
          <w:p>
            <w:pPr>
              <w:pStyle w:val="717"/>
              <w:ind w:firstLine="0"/>
              <w:jc w:val="center"/>
              <w:rPr>
                <w:rFonts w:eastAsia="宋体"/>
                <w:sz w:val="21"/>
                <w:szCs w:val="21"/>
              </w:rPr>
            </w:pPr>
            <w:r>
              <w:rPr>
                <w:rFonts w:hint="eastAsia" w:eastAsia="宋体"/>
                <w:sz w:val="21"/>
                <w:szCs w:val="21"/>
              </w:rPr>
              <w:t xml:space="preserve">招标要求（详见招标文件）</w:t>
            </w:r>
            <w:r/>
          </w:p>
        </w:tc>
        <w:tc>
          <w:tcPr>
            <w:tcW w:w="1944" w:type="dxa"/>
            <w:textDirection w:val="lrTb"/>
            <w:noWrap/>
          </w:tcPr>
          <w:p>
            <w:pPr>
              <w:pStyle w:val="717"/>
              <w:ind w:firstLine="0"/>
              <w:jc w:val="center"/>
              <w:rPr>
                <w:rFonts w:eastAsia="宋体"/>
                <w:sz w:val="21"/>
                <w:szCs w:val="21"/>
              </w:rPr>
            </w:pPr>
            <w:r>
              <w:rPr>
                <w:rFonts w:hint="eastAsia" w:eastAsia="宋体"/>
                <w:sz w:val="21"/>
                <w:szCs w:val="21"/>
              </w:rPr>
              <w:t xml:space="preserve">投标内容（响应情况）</w:t>
            </w:r>
            <w:r/>
          </w:p>
        </w:tc>
        <w:tc>
          <w:tcPr>
            <w:tcW w:w="2318" w:type="dxa"/>
            <w:textDirection w:val="lrTb"/>
            <w:noWrap/>
          </w:tcPr>
          <w:p>
            <w:pPr>
              <w:pStyle w:val="717"/>
              <w:ind w:firstLine="0"/>
              <w:jc w:val="center"/>
              <w:rPr>
                <w:rFonts w:eastAsia="宋体"/>
                <w:sz w:val="21"/>
                <w:szCs w:val="21"/>
              </w:rPr>
            </w:pPr>
            <w:r>
              <w:rPr>
                <w:rFonts w:hint="eastAsia" w:eastAsia="宋体"/>
                <w:sz w:val="21"/>
                <w:szCs w:val="21"/>
              </w:rPr>
              <w:t xml:space="preserve">偏离说明（正偏离、无偏离、负偏离）</w:t>
            </w:r>
            <w:r/>
          </w:p>
        </w:tc>
      </w:tr>
      <w:tr>
        <w:trPr/>
        <w:tc>
          <w:tcPr>
            <w:tcW w:w="2130" w:type="dxa"/>
            <w:textDirection w:val="lrTb"/>
            <w:noWrap/>
          </w:tcPr>
          <w:p>
            <w:pPr>
              <w:pStyle w:val="717"/>
              <w:ind w:firstLine="0"/>
              <w:jc w:val="both"/>
              <w:rPr>
                <w:rFonts w:eastAsia="宋体"/>
                <w:sz w:val="21"/>
                <w:szCs w:val="21"/>
              </w:rPr>
            </w:pPr>
            <w:r>
              <w:rPr>
                <w:rFonts w:hint="eastAsia" w:eastAsia="宋体"/>
                <w:sz w:val="21"/>
                <w:szCs w:val="21"/>
              </w:rPr>
              <w:t xml:space="preserve">…………</w:t>
            </w:r>
            <w:r/>
          </w:p>
        </w:tc>
        <w:tc>
          <w:tcPr>
            <w:tcW w:w="2130" w:type="dxa"/>
            <w:textDirection w:val="lrTb"/>
            <w:noWrap/>
          </w:tcPr>
          <w:p>
            <w:pPr>
              <w:pStyle w:val="717"/>
              <w:ind w:firstLine="0"/>
              <w:rPr>
                <w:rFonts w:eastAsia="宋体"/>
                <w:sz w:val="21"/>
                <w:szCs w:val="21"/>
              </w:rPr>
            </w:pPr>
            <w:r>
              <w:rPr>
                <w:rFonts w:eastAsia="宋体"/>
                <w:sz w:val="21"/>
                <w:szCs w:val="21"/>
              </w:rPr>
            </w:r>
            <w:r/>
          </w:p>
        </w:tc>
        <w:tc>
          <w:tcPr>
            <w:tcW w:w="1944" w:type="dxa"/>
            <w:textDirection w:val="lrTb"/>
            <w:noWrap/>
          </w:tcPr>
          <w:p>
            <w:pPr>
              <w:pStyle w:val="717"/>
              <w:ind w:firstLine="0"/>
              <w:rPr>
                <w:rFonts w:eastAsia="宋体"/>
                <w:sz w:val="21"/>
                <w:szCs w:val="21"/>
              </w:rPr>
            </w:pPr>
            <w:r>
              <w:rPr>
                <w:rFonts w:eastAsia="宋体"/>
                <w:sz w:val="21"/>
                <w:szCs w:val="21"/>
              </w:rPr>
            </w:r>
            <w:r/>
          </w:p>
        </w:tc>
        <w:tc>
          <w:tcPr>
            <w:tcW w:w="2318" w:type="dxa"/>
            <w:textDirection w:val="lrTb"/>
            <w:noWrap/>
          </w:tcPr>
          <w:p>
            <w:pPr>
              <w:pStyle w:val="717"/>
              <w:ind w:firstLine="0"/>
              <w:rPr>
                <w:rFonts w:eastAsia="宋体"/>
                <w:sz w:val="21"/>
                <w:szCs w:val="21"/>
              </w:rPr>
            </w:pPr>
            <w:r>
              <w:rPr>
                <w:rFonts w:eastAsia="宋体"/>
                <w:sz w:val="21"/>
                <w:szCs w:val="21"/>
              </w:rPr>
            </w:r>
            <w:r/>
          </w:p>
        </w:tc>
      </w:tr>
      <w:tr>
        <w:trPr/>
        <w:tc>
          <w:tcPr>
            <w:tcW w:w="2130" w:type="dxa"/>
            <w:textDirection w:val="lrTb"/>
            <w:noWrap/>
          </w:tcPr>
          <w:p>
            <w:pPr>
              <w:pStyle w:val="717"/>
              <w:ind w:firstLine="0"/>
              <w:rPr>
                <w:rFonts w:eastAsia="宋体"/>
                <w:sz w:val="21"/>
                <w:szCs w:val="21"/>
              </w:rPr>
            </w:pPr>
            <w:r>
              <w:rPr>
                <w:rFonts w:hint="eastAsia" w:eastAsia="宋体"/>
                <w:sz w:val="21"/>
                <w:szCs w:val="21"/>
              </w:rPr>
              <w:t xml:space="preserve">…………</w:t>
            </w:r>
            <w:r/>
          </w:p>
        </w:tc>
        <w:tc>
          <w:tcPr>
            <w:tcW w:w="2130" w:type="dxa"/>
            <w:textDirection w:val="lrTb"/>
            <w:noWrap/>
          </w:tcPr>
          <w:p>
            <w:pPr>
              <w:pStyle w:val="717"/>
              <w:ind w:firstLine="0"/>
              <w:rPr>
                <w:rFonts w:eastAsia="宋体"/>
                <w:sz w:val="21"/>
                <w:szCs w:val="21"/>
              </w:rPr>
            </w:pPr>
            <w:r>
              <w:rPr>
                <w:rFonts w:eastAsia="宋体"/>
                <w:sz w:val="21"/>
                <w:szCs w:val="21"/>
              </w:rPr>
            </w:r>
            <w:r/>
          </w:p>
        </w:tc>
        <w:tc>
          <w:tcPr>
            <w:tcW w:w="1944" w:type="dxa"/>
            <w:textDirection w:val="lrTb"/>
            <w:noWrap/>
          </w:tcPr>
          <w:p>
            <w:pPr>
              <w:pStyle w:val="717"/>
              <w:ind w:firstLine="0"/>
              <w:rPr>
                <w:rFonts w:eastAsia="宋体"/>
                <w:sz w:val="21"/>
                <w:szCs w:val="21"/>
              </w:rPr>
            </w:pPr>
            <w:r>
              <w:rPr>
                <w:rFonts w:eastAsia="宋体"/>
                <w:sz w:val="21"/>
                <w:szCs w:val="21"/>
              </w:rPr>
            </w:r>
            <w:r/>
          </w:p>
        </w:tc>
        <w:tc>
          <w:tcPr>
            <w:tcW w:w="2318" w:type="dxa"/>
            <w:textDirection w:val="lrTb"/>
            <w:noWrap/>
          </w:tcPr>
          <w:p>
            <w:pPr>
              <w:pStyle w:val="717"/>
              <w:ind w:firstLine="0"/>
              <w:rPr>
                <w:rFonts w:eastAsia="宋体"/>
                <w:sz w:val="21"/>
                <w:szCs w:val="21"/>
              </w:rPr>
            </w:pPr>
            <w:r>
              <w:rPr>
                <w:rFonts w:eastAsia="宋体"/>
                <w:sz w:val="21"/>
                <w:szCs w:val="21"/>
              </w:rPr>
            </w:r>
            <w:r/>
          </w:p>
        </w:tc>
      </w:tr>
      <w:tr>
        <w:trPr/>
        <w:tc>
          <w:tcPr>
            <w:tcW w:w="2130" w:type="dxa"/>
            <w:textDirection w:val="lrTb"/>
            <w:noWrap/>
          </w:tcPr>
          <w:p>
            <w:pPr>
              <w:pStyle w:val="717"/>
              <w:ind w:firstLine="0"/>
              <w:rPr>
                <w:rFonts w:eastAsia="宋体"/>
                <w:sz w:val="21"/>
                <w:szCs w:val="21"/>
              </w:rPr>
            </w:pPr>
            <w:r>
              <w:rPr>
                <w:rFonts w:hint="eastAsia" w:eastAsia="宋体"/>
                <w:sz w:val="21"/>
                <w:szCs w:val="21"/>
              </w:rPr>
              <w:t xml:space="preserve">…………</w:t>
            </w:r>
            <w:r/>
          </w:p>
        </w:tc>
        <w:tc>
          <w:tcPr>
            <w:tcW w:w="2130" w:type="dxa"/>
            <w:textDirection w:val="lrTb"/>
            <w:noWrap/>
          </w:tcPr>
          <w:p>
            <w:pPr>
              <w:pStyle w:val="717"/>
              <w:ind w:firstLine="0"/>
              <w:rPr>
                <w:rFonts w:eastAsia="宋体"/>
                <w:sz w:val="21"/>
                <w:szCs w:val="21"/>
              </w:rPr>
            </w:pPr>
            <w:r>
              <w:rPr>
                <w:rFonts w:eastAsia="宋体"/>
                <w:sz w:val="21"/>
                <w:szCs w:val="21"/>
              </w:rPr>
            </w:r>
            <w:r/>
          </w:p>
        </w:tc>
        <w:tc>
          <w:tcPr>
            <w:tcW w:w="1944" w:type="dxa"/>
            <w:textDirection w:val="lrTb"/>
            <w:noWrap/>
          </w:tcPr>
          <w:p>
            <w:pPr>
              <w:pStyle w:val="717"/>
              <w:ind w:firstLine="0"/>
              <w:rPr>
                <w:rFonts w:eastAsia="宋体"/>
                <w:sz w:val="21"/>
                <w:szCs w:val="21"/>
              </w:rPr>
            </w:pPr>
            <w:r>
              <w:rPr>
                <w:rFonts w:eastAsia="宋体"/>
                <w:sz w:val="21"/>
                <w:szCs w:val="21"/>
              </w:rPr>
            </w:r>
            <w:r/>
          </w:p>
        </w:tc>
        <w:tc>
          <w:tcPr>
            <w:tcW w:w="2318" w:type="dxa"/>
            <w:textDirection w:val="lrTb"/>
            <w:noWrap/>
          </w:tcPr>
          <w:p>
            <w:pPr>
              <w:pStyle w:val="717"/>
              <w:ind w:firstLine="0"/>
              <w:rPr>
                <w:rFonts w:eastAsia="宋体"/>
                <w:sz w:val="21"/>
                <w:szCs w:val="21"/>
              </w:rPr>
            </w:pPr>
            <w:r>
              <w:rPr>
                <w:rFonts w:eastAsia="宋体"/>
                <w:sz w:val="21"/>
                <w:szCs w:val="21"/>
              </w:rPr>
            </w:r>
            <w:r/>
          </w:p>
        </w:tc>
      </w:tr>
      <w:tr>
        <w:trPr/>
        <w:tc>
          <w:tcPr>
            <w:tcW w:w="2130" w:type="dxa"/>
            <w:textDirection w:val="lrTb"/>
            <w:noWrap/>
          </w:tcPr>
          <w:p>
            <w:pPr>
              <w:pStyle w:val="717"/>
              <w:ind w:firstLine="0"/>
              <w:rPr>
                <w:rFonts w:eastAsia="宋体"/>
                <w:sz w:val="21"/>
                <w:szCs w:val="21"/>
              </w:rPr>
            </w:pPr>
            <w:r>
              <w:rPr>
                <w:rFonts w:hint="eastAsia" w:eastAsia="宋体"/>
                <w:sz w:val="21"/>
                <w:szCs w:val="21"/>
              </w:rPr>
              <w:t xml:space="preserve">…………</w:t>
            </w:r>
            <w:r/>
          </w:p>
        </w:tc>
        <w:tc>
          <w:tcPr>
            <w:tcW w:w="2130" w:type="dxa"/>
            <w:textDirection w:val="lrTb"/>
            <w:noWrap/>
          </w:tcPr>
          <w:p>
            <w:pPr>
              <w:pStyle w:val="717"/>
              <w:ind w:firstLine="0"/>
              <w:rPr>
                <w:rFonts w:eastAsia="宋体"/>
                <w:sz w:val="21"/>
                <w:szCs w:val="21"/>
              </w:rPr>
            </w:pPr>
            <w:r>
              <w:rPr>
                <w:rFonts w:eastAsia="宋体"/>
                <w:sz w:val="21"/>
                <w:szCs w:val="21"/>
              </w:rPr>
            </w:r>
            <w:r/>
          </w:p>
        </w:tc>
        <w:tc>
          <w:tcPr>
            <w:tcW w:w="1944" w:type="dxa"/>
            <w:textDirection w:val="lrTb"/>
            <w:noWrap/>
          </w:tcPr>
          <w:p>
            <w:pPr>
              <w:pStyle w:val="717"/>
              <w:ind w:firstLine="0"/>
              <w:rPr>
                <w:rFonts w:eastAsia="宋体"/>
                <w:sz w:val="21"/>
                <w:szCs w:val="21"/>
              </w:rPr>
            </w:pPr>
            <w:r>
              <w:rPr>
                <w:rFonts w:eastAsia="宋体"/>
                <w:sz w:val="21"/>
                <w:szCs w:val="21"/>
              </w:rPr>
            </w:r>
            <w:r/>
          </w:p>
        </w:tc>
        <w:tc>
          <w:tcPr>
            <w:tcW w:w="2318" w:type="dxa"/>
            <w:textDirection w:val="lrTb"/>
            <w:noWrap/>
          </w:tcPr>
          <w:p>
            <w:pPr>
              <w:pStyle w:val="717"/>
              <w:ind w:firstLine="0"/>
              <w:rPr>
                <w:rFonts w:eastAsia="宋体"/>
                <w:sz w:val="21"/>
                <w:szCs w:val="21"/>
              </w:rPr>
            </w:pPr>
            <w:r>
              <w:rPr>
                <w:rFonts w:eastAsia="宋体"/>
                <w:sz w:val="21"/>
                <w:szCs w:val="21"/>
              </w:rPr>
            </w:r>
            <w:r/>
          </w:p>
        </w:tc>
      </w:tr>
      <w:tr>
        <w:trPr/>
        <w:tc>
          <w:tcPr>
            <w:tcW w:w="2130" w:type="dxa"/>
            <w:textDirection w:val="lrTb"/>
            <w:noWrap/>
          </w:tcPr>
          <w:p>
            <w:pPr>
              <w:pStyle w:val="717"/>
              <w:ind w:firstLine="0"/>
              <w:rPr>
                <w:rFonts w:eastAsia="宋体"/>
                <w:sz w:val="21"/>
                <w:szCs w:val="21"/>
              </w:rPr>
            </w:pPr>
            <w:r>
              <w:rPr>
                <w:rFonts w:hint="eastAsia" w:eastAsia="宋体"/>
                <w:sz w:val="21"/>
                <w:szCs w:val="21"/>
              </w:rPr>
              <w:t xml:space="preserve">…………（根据采购内容自行列明）</w:t>
            </w:r>
            <w:r/>
          </w:p>
        </w:tc>
        <w:tc>
          <w:tcPr>
            <w:tcW w:w="2130" w:type="dxa"/>
            <w:textDirection w:val="lrTb"/>
            <w:noWrap/>
          </w:tcPr>
          <w:p>
            <w:pPr>
              <w:pStyle w:val="717"/>
              <w:ind w:firstLine="0"/>
              <w:rPr>
                <w:rFonts w:eastAsia="宋体"/>
                <w:sz w:val="21"/>
                <w:szCs w:val="21"/>
              </w:rPr>
            </w:pPr>
            <w:r>
              <w:rPr>
                <w:rFonts w:eastAsia="宋体"/>
                <w:sz w:val="21"/>
                <w:szCs w:val="21"/>
              </w:rPr>
            </w:r>
            <w:r/>
          </w:p>
        </w:tc>
        <w:tc>
          <w:tcPr>
            <w:tcW w:w="1944" w:type="dxa"/>
            <w:textDirection w:val="lrTb"/>
            <w:noWrap/>
          </w:tcPr>
          <w:p>
            <w:pPr>
              <w:pStyle w:val="717"/>
              <w:ind w:firstLine="0"/>
              <w:rPr>
                <w:rFonts w:eastAsia="宋体"/>
                <w:sz w:val="21"/>
                <w:szCs w:val="21"/>
              </w:rPr>
            </w:pPr>
            <w:r>
              <w:rPr>
                <w:rFonts w:eastAsia="宋体"/>
                <w:sz w:val="21"/>
                <w:szCs w:val="21"/>
              </w:rPr>
            </w:r>
            <w:r/>
          </w:p>
        </w:tc>
        <w:tc>
          <w:tcPr>
            <w:tcW w:w="2318" w:type="dxa"/>
            <w:textDirection w:val="lrTb"/>
            <w:noWrap/>
          </w:tcPr>
          <w:p>
            <w:pPr>
              <w:pStyle w:val="717"/>
              <w:ind w:firstLine="0"/>
              <w:rPr>
                <w:rFonts w:eastAsia="宋体"/>
                <w:sz w:val="21"/>
                <w:szCs w:val="21"/>
              </w:rPr>
            </w:pPr>
            <w:r>
              <w:rPr>
                <w:rFonts w:eastAsia="宋体"/>
                <w:sz w:val="21"/>
                <w:szCs w:val="21"/>
              </w:rPr>
            </w:r>
            <w:r/>
          </w:p>
        </w:tc>
      </w:tr>
    </w:tbl>
    <w:p>
      <w:pPr>
        <w:pStyle w:val="717"/>
        <w:ind w:firstLine="0"/>
        <w:jc w:val="right"/>
        <w:rPr>
          <w:rFonts w:eastAsia="宋体"/>
          <w:sz w:val="21"/>
          <w:szCs w:val="21"/>
        </w:rPr>
      </w:pPr>
      <w:r>
        <w:rPr>
          <w:rFonts w:eastAsia="宋体"/>
          <w:sz w:val="21"/>
          <w:szCs w:val="21"/>
        </w:rPr>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pStyle w:val="909"/>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717"/>
        <w:ind w:firstLine="0"/>
        <w:rPr>
          <w:rFonts w:eastAsia="宋体"/>
          <w:sz w:val="21"/>
          <w:szCs w:val="21"/>
        </w:rPr>
      </w:pPr>
      <w:r>
        <w:rPr>
          <w:rFonts w:eastAsia="宋体"/>
          <w:sz w:val="21"/>
          <w:szCs w:val="21"/>
        </w:rPr>
      </w:r>
      <w:r/>
    </w:p>
    <w:p>
      <w:r>
        <w:rPr>
          <w:rFonts w:hint="eastAsia"/>
          <w:szCs w:val="21"/>
        </w:rPr>
        <w:t xml:space="preserve">注：如有偏离，需在本表详细描述偏离情况，如投标人完全响应招标文件要求，可填写“无偏离”，未填写则默认投标人完全响应招标要求。</w:t>
      </w:r>
      <w:r/>
    </w:p>
    <w:p>
      <w:pPr>
        <w:rPr>
          <w:rFonts w:cs="宋体"/>
        </w:rPr>
      </w:pPr>
      <w:r>
        <w:rPr>
          <w:rFonts w:hint="eastAsia" w:cs="宋体"/>
        </w:rPr>
        <w:br w:type="page" w:clear="all"/>
      </w:r>
      <w:r/>
    </w:p>
    <w:p>
      <w:pPr>
        <w:pStyle w:val="748"/>
        <w:rPr>
          <w:rFonts w:ascii="宋体" w:hAnsi="宋体" w:cs="宋体"/>
        </w:rPr>
      </w:pPr>
      <w:r>
        <w:rPr>
          <w:rFonts w:hint="eastAsia" w:ascii="宋体" w:hAnsi="宋体" w:cs="宋体"/>
        </w:rPr>
        <w:t xml:space="preserve">九、法定代表人授权委托书</w:t>
      </w:r>
      <w:bookmarkEnd w:id="27"/>
      <w:r/>
      <w:bookmarkEnd w:id="28"/>
      <w:r/>
      <w:r/>
    </w:p>
    <w:p>
      <w:pPr>
        <w:jc w:val="center"/>
        <w:rPr>
          <w:szCs w:val="21"/>
        </w:rPr>
      </w:pPr>
      <w:r>
        <w:rPr>
          <w:rFonts w:hint="eastAsia"/>
          <w:szCs w:val="21"/>
        </w:rPr>
        <w:t xml:space="preserve">法定代表人授权委托书</w:t>
      </w:r>
      <w:r/>
    </w:p>
    <w:p>
      <w:pPr>
        <w:rPr>
          <w:szCs w:val="21"/>
        </w:rPr>
      </w:pPr>
      <w:r>
        <w:rPr>
          <w:rFonts w:hint="eastAsia"/>
          <w:szCs w:val="21"/>
          <w:u w:val="single"/>
        </w:rPr>
        <w:t xml:space="preserve">昆山欣杰项目管理有限公司</w:t>
      </w:r>
      <w:r>
        <w:rPr>
          <w:rFonts w:hint="eastAsia"/>
          <w:szCs w:val="21"/>
        </w:rPr>
        <w:t xml:space="preserve">：</w:t>
      </w:r>
      <w:bookmarkEnd w:id="29"/>
      <w:r/>
      <w:bookmarkEnd w:id="30"/>
      <w:r/>
      <w:r/>
    </w:p>
    <w:p>
      <w:pPr>
        <w:ind w:firstLine="420"/>
        <w:rPr>
          <w:szCs w:val="21"/>
        </w:rPr>
      </w:pPr>
      <w:r/>
      <w:bookmarkStart w:id="36" w:name="_Ref18060"/>
      <w:r/>
      <w:bookmarkStart w:id="37" w:name="_Ref65584702"/>
      <w:r>
        <w:rPr>
          <w:rFonts w:hint="eastAsia"/>
          <w:szCs w:val="21"/>
        </w:rPr>
        <w:t xml:space="preserve">本授权委托书声明：我</w:t>
      </w:r>
      <w:r>
        <w:rPr>
          <w:rFonts w:hint="eastAsia"/>
          <w:u w:val="single"/>
        </w:rPr>
        <w:t xml:space="preserve">（法定代表人姓名）</w:t>
      </w:r>
      <w:r>
        <w:rPr>
          <w:rFonts w:hint="eastAsia"/>
          <w:szCs w:val="21"/>
        </w:rPr>
        <w:t xml:space="preserve">系</w:t>
      </w:r>
      <w:r>
        <w:rPr>
          <w:rFonts w:hint="eastAsia"/>
          <w:u w:val="single"/>
        </w:rPr>
        <w:t xml:space="preserve">（企业名称）</w:t>
      </w:r>
      <w:r>
        <w:rPr>
          <w:rFonts w:hint="eastAsia"/>
          <w:szCs w:val="21"/>
        </w:rPr>
        <w:t xml:space="preserve">的法定代表人，现授权委托</w:t>
      </w:r>
      <w:r>
        <w:rPr>
          <w:rFonts w:hint="eastAsia"/>
          <w:u w:val="single"/>
        </w:rPr>
        <w:t xml:space="preserve">（代理人姓名） </w:t>
      </w:r>
      <w:r>
        <w:rPr>
          <w:rFonts w:hint="eastAsia"/>
          <w:szCs w:val="21"/>
        </w:rPr>
        <w:t xml:space="preserve">代表我公司参加贵中心组织实施的项目编号为</w:t>
      </w:r>
      <w:r>
        <w:rPr>
          <w:rFonts w:hint="eastAsia"/>
          <w:szCs w:val="21"/>
          <w:u w:val="single"/>
        </w:rPr>
        <w:t xml:space="preserve">          </w:t>
      </w:r>
      <w:r>
        <w:rPr>
          <w:szCs w:val="21"/>
          <w:u w:val="single"/>
        </w:rPr>
        <w:t xml:space="preserve"> </w:t>
      </w:r>
      <w:r>
        <w:rPr>
          <w:rFonts w:hint="eastAsia"/>
          <w:szCs w:val="21"/>
        </w:rPr>
        <w:t xml:space="preserve">号的采购活动。代理人在开标、澄清、签约等过程中所签署的一切文件和处理与这有关的一切事务，我均予以承认。</w:t>
      </w:r>
      <w:r/>
    </w:p>
    <w:p>
      <w:pPr>
        <w:ind w:firstLine="420"/>
        <w:rPr>
          <w:szCs w:val="21"/>
        </w:rPr>
      </w:pPr>
      <w:r>
        <w:rPr>
          <w:rFonts w:hint="eastAsia"/>
          <w:szCs w:val="21"/>
        </w:rPr>
        <w:t xml:space="preserve">本授权委托书自______年____月____日起生效，至合同履行完毕止，特此声明。</w:t>
      </w:r>
      <w:r/>
    </w:p>
    <w:p>
      <w:pPr>
        <w:rPr>
          <w:szCs w:val="21"/>
        </w:rPr>
      </w:pPr>
      <w:r>
        <w:rPr>
          <w:szCs w:val="21"/>
        </w:rPr>
      </w:r>
      <w:r/>
    </w:p>
    <w:p>
      <w:pPr>
        <w:rPr>
          <w:color w:val="000000" w:themeColor="text1"/>
          <w:szCs w:val="21"/>
        </w:rPr>
      </w:pPr>
      <w:r>
        <w:rPr>
          <w:rFonts w:hint="eastAsia"/>
          <w:color w:val="000000" w:themeColor="text1"/>
          <w:szCs w:val="21"/>
        </w:rPr>
        <w:t xml:space="preserve">代理人： </w:t>
      </w:r>
      <w:r>
        <w:rPr>
          <w:color w:val="000000" w:themeColor="text1"/>
          <w:szCs w:val="21"/>
        </w:rPr>
        <w:t xml:space="preserve">                            </w:t>
      </w:r>
      <w:r>
        <w:rPr>
          <w:rFonts w:hint="eastAsia"/>
          <w:color w:val="000000" w:themeColor="text1"/>
          <w:szCs w:val="21"/>
        </w:rPr>
        <w:t xml:space="preserve">职务：</w:t>
      </w:r>
      <w:r/>
    </w:p>
    <w:p>
      <w:pPr>
        <w:rPr>
          <w:color w:val="000000" w:themeColor="text1"/>
          <w:szCs w:val="21"/>
        </w:rPr>
      </w:pPr>
      <w:r>
        <w:rPr>
          <w:rFonts w:hint="eastAsia"/>
          <w:color w:val="000000" w:themeColor="text1"/>
          <w:szCs w:val="21"/>
        </w:rPr>
        <w:t xml:space="preserve">身份证号码：                        </w:t>
      </w:r>
      <w:r>
        <w:rPr>
          <w:color w:val="000000" w:themeColor="text1"/>
          <w:szCs w:val="21"/>
        </w:rPr>
        <w:t xml:space="preserve"> </w:t>
      </w:r>
      <w:r>
        <w:rPr>
          <w:rFonts w:hint="eastAsia"/>
          <w:color w:val="000000" w:themeColor="text1"/>
          <w:szCs w:val="21"/>
        </w:rPr>
        <w:t xml:space="preserve">联系电话：</w:t>
      </w:r>
      <w:r/>
    </w:p>
    <w:p>
      <w:pPr>
        <w:rPr>
          <w:szCs w:val="21"/>
        </w:rPr>
      </w:pPr>
      <w:r>
        <w:rPr>
          <w:szCs w:val="21"/>
        </w:rPr>
      </w:r>
      <w:r/>
    </w:p>
    <w:p>
      <w:pPr>
        <w:rPr>
          <w:szCs w:val="21"/>
        </w:rPr>
      </w:pPr>
      <w:r>
        <w:rPr>
          <w:szCs w:val="21"/>
        </w:rPr>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pStyle w:val="909"/>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jc w:val="left"/>
      </w:pPr>
      <w:r/>
      <w:r/>
    </w:p>
    <w:p>
      <w:pPr>
        <w:jc w:val="left"/>
        <w:rPr>
          <w:b/>
          <w:bCs/>
        </w:rPr>
      </w:pPr>
      <w:r>
        <w:rPr>
          <w:rFonts w:hint="eastAsia"/>
          <w:b/>
          <w:bCs/>
        </w:rPr>
        <w:t xml:space="preserve">（附法人及授权人身份证）</w:t>
      </w:r>
      <w:r/>
    </w:p>
    <w:p>
      <w:pPr>
        <w:rPr>
          <w:rFonts w:cs="宋体"/>
        </w:rPr>
      </w:pPr>
      <w:r/>
      <w:bookmarkStart w:id="38" w:name="_Ref5144"/>
      <w:r>
        <w:rPr>
          <w:rFonts w:hint="eastAsia" w:cs="宋体"/>
        </w:rPr>
        <w:br w:type="page" w:clear="all"/>
      </w:r>
      <w:r/>
    </w:p>
    <w:p>
      <w:pPr>
        <w:pStyle w:val="748"/>
        <w:rPr>
          <w:rFonts w:ascii="宋体" w:hAnsi="宋体" w:cs="宋体"/>
        </w:rPr>
      </w:pPr>
      <w:r>
        <w:rPr>
          <w:rFonts w:hint="eastAsia" w:ascii="宋体" w:hAnsi="宋体" w:cs="宋体"/>
        </w:rPr>
        <w:t xml:space="preserve">十、投标函</w:t>
      </w:r>
      <w:bookmarkEnd w:id="38"/>
      <w:r/>
      <w:r/>
    </w:p>
    <w:p>
      <w:pPr>
        <w:pStyle w:val="910"/>
        <w:jc w:val="center"/>
        <w:rPr>
          <w:rFonts w:hAnsi="宋体" w:eastAsia="宋体"/>
          <w:b/>
          <w:bCs/>
          <w:sz w:val="21"/>
          <w:szCs w:val="21"/>
        </w:rPr>
      </w:pPr>
      <w:r>
        <w:rPr>
          <w:rFonts w:hAnsi="宋体" w:eastAsia="宋体"/>
          <w:b/>
          <w:bCs/>
          <w:sz w:val="21"/>
          <w:szCs w:val="21"/>
        </w:rPr>
        <w:t xml:space="preserve">投标函</w:t>
      </w:r>
      <w:r/>
    </w:p>
    <w:p>
      <w:pPr>
        <w:pStyle w:val="910"/>
        <w:spacing w:line="400" w:lineRule="exact"/>
        <w:rPr>
          <w:rFonts w:hAnsi="宋体" w:eastAsia="宋体"/>
          <w:sz w:val="21"/>
          <w:szCs w:val="21"/>
        </w:rPr>
      </w:pPr>
      <w:r>
        <w:rPr>
          <w:rFonts w:hint="eastAsia" w:hAnsi="宋体" w:eastAsia="宋体"/>
          <w:sz w:val="21"/>
          <w:szCs w:val="21"/>
          <w:u w:val="single"/>
        </w:rPr>
        <w:t xml:space="preserve">昆山欣杰项目管理有限公司</w:t>
      </w:r>
      <w:r>
        <w:rPr>
          <w:rFonts w:hAnsi="宋体" w:eastAsia="宋体"/>
          <w:sz w:val="21"/>
          <w:szCs w:val="21"/>
        </w:rPr>
        <w:t xml:space="preserve">：</w:t>
      </w:r>
      <w:r/>
    </w:p>
    <w:p>
      <w:pPr>
        <w:ind w:firstLine="420"/>
        <w:rPr>
          <w:szCs w:val="21"/>
        </w:rPr>
      </w:pPr>
      <w:r>
        <w:rPr>
          <w:szCs w:val="21"/>
        </w:rPr>
        <w:t xml:space="preserve">我们收到贵公司 </w:t>
      </w:r>
      <w:r>
        <w:rPr>
          <w:szCs w:val="21"/>
          <w:u w:val="single"/>
        </w:rPr>
        <w:t xml:space="preserve">  </w:t>
      </w:r>
      <w:r>
        <w:rPr>
          <w:rFonts w:hint="eastAsia"/>
          <w:szCs w:val="21"/>
          <w:u w:val="single"/>
        </w:rPr>
        <w:t xml:space="preserve">JSZC-320583-KSXJ-G2026-0002</w:t>
      </w:r>
      <w:r>
        <w:rPr>
          <w:szCs w:val="21"/>
          <w:u w:val="single"/>
        </w:rPr>
        <w:t xml:space="preserve"> </w:t>
      </w:r>
      <w:r>
        <w:rPr>
          <w:szCs w:val="21"/>
        </w:rPr>
        <w:t xml:space="preserve">号招标文件，经仔细阅读和研究，我们同意招标文件的各条款要求并决定参加投标。</w:t>
      </w:r>
      <w:r/>
    </w:p>
    <w:p>
      <w:pPr>
        <w:ind w:firstLine="420"/>
        <w:rPr>
          <w:szCs w:val="21"/>
        </w:rPr>
      </w:pPr>
      <w:r>
        <w:rPr>
          <w:rFonts w:hint="eastAsia"/>
          <w:szCs w:val="21"/>
        </w:rPr>
        <w:t xml:space="preserve">1.我们愿意按照招标文件的一切要求，提供包括采购需求中要求的</w:t>
      </w:r>
      <w:r>
        <w:rPr>
          <w:szCs w:val="21"/>
        </w:rPr>
        <w:t xml:space="preserve">全部内容</w:t>
      </w:r>
      <w:r>
        <w:rPr>
          <w:rFonts w:hint="eastAsia"/>
          <w:szCs w:val="21"/>
        </w:rPr>
        <w:t xml:space="preserve">。提供招标项目的全部货物和服务的报价包括所投服务内容、人工、运输及合同包含的所有风险、责任等各项应有费用。</w:t>
      </w:r>
      <w:r/>
    </w:p>
    <w:p>
      <w:pPr>
        <w:ind w:firstLine="420"/>
        <w:rPr>
          <w:szCs w:val="21"/>
        </w:rPr>
      </w:pPr>
      <w:r>
        <w:rPr>
          <w:szCs w:val="21"/>
        </w:rPr>
        <w:t xml:space="preserve">2</w:t>
      </w:r>
      <w:r>
        <w:rPr>
          <w:rFonts w:hint="eastAsia"/>
          <w:szCs w:val="21"/>
        </w:rPr>
        <w:t xml:space="preserve">.</w:t>
      </w:r>
      <w:r>
        <w:rPr>
          <w:szCs w:val="21"/>
        </w:rPr>
        <w:t xml:space="preserve">如果我们的投标书被接受，我们将严格履行招标文件中规定的每一项要求，按期、按质、按量履行合同的义务。</w:t>
      </w:r>
      <w:r/>
    </w:p>
    <w:p>
      <w:pPr>
        <w:ind w:firstLine="420"/>
        <w:rPr>
          <w:szCs w:val="21"/>
        </w:rPr>
      </w:pPr>
      <w:r>
        <w:rPr>
          <w:szCs w:val="21"/>
        </w:rPr>
        <w:t xml:space="preserve">3</w:t>
      </w:r>
      <w:r>
        <w:rPr>
          <w:rFonts w:hint="eastAsia"/>
          <w:szCs w:val="21"/>
        </w:rPr>
        <w:t xml:space="preserve">.</w:t>
      </w:r>
      <w:r>
        <w:rPr>
          <w:szCs w:val="21"/>
        </w:rPr>
        <w:t xml:space="preserve">我们同意按招标文件中的规定，本投标书的有效期限为开标后</w:t>
      </w:r>
      <w:r>
        <w:rPr>
          <w:szCs w:val="21"/>
          <w:u w:val="single"/>
        </w:rPr>
        <w:t xml:space="preserve"> </w:t>
      </w:r>
      <w:r>
        <w:rPr>
          <w:rFonts w:hint="eastAsia"/>
          <w:szCs w:val="21"/>
          <w:u w:val="single"/>
        </w:rPr>
        <w:t xml:space="preserve">90</w:t>
      </w:r>
      <w:r>
        <w:rPr>
          <w:szCs w:val="21"/>
        </w:rPr>
        <w:t xml:space="preserve">天。</w:t>
      </w:r>
      <w:r/>
    </w:p>
    <w:p>
      <w:pPr>
        <w:ind w:firstLine="420"/>
        <w:rPr>
          <w:szCs w:val="21"/>
        </w:rPr>
      </w:pPr>
      <w:r>
        <w:rPr>
          <w:szCs w:val="21"/>
        </w:rPr>
        <w:t xml:space="preserve">4</w:t>
      </w:r>
      <w:r>
        <w:rPr>
          <w:rFonts w:hint="eastAsia"/>
          <w:szCs w:val="21"/>
        </w:rPr>
        <w:t xml:space="preserve">.</w:t>
      </w:r>
      <w:r>
        <w:rPr>
          <w:szCs w:val="21"/>
        </w:rPr>
        <w:t xml:space="preserve">我们愿意提供招标代理人在招标文件中要求的所有资料。</w:t>
      </w:r>
      <w:r/>
    </w:p>
    <w:p>
      <w:pPr>
        <w:ind w:firstLine="420"/>
        <w:rPr>
          <w:szCs w:val="21"/>
        </w:rPr>
      </w:pPr>
      <w:r>
        <w:rPr>
          <w:rFonts w:hint="eastAsia"/>
          <w:szCs w:val="21"/>
        </w:rPr>
        <w:t xml:space="preserve">5.</w:t>
      </w:r>
      <w:r>
        <w:rPr>
          <w:szCs w:val="21"/>
        </w:rPr>
        <w:t xml:space="preserve">我们同意按</w:t>
      </w:r>
      <w:r>
        <w:rPr>
          <w:rFonts w:hint="eastAsia"/>
          <w:szCs w:val="21"/>
        </w:rPr>
        <w:t xml:space="preserve">采购人</w:t>
      </w:r>
      <w:r>
        <w:rPr>
          <w:szCs w:val="21"/>
        </w:rPr>
        <w:t xml:space="preserve">确定的</w:t>
      </w:r>
      <w:r>
        <w:rPr>
          <w:rFonts w:hint="eastAsia"/>
          <w:szCs w:val="21"/>
        </w:rPr>
        <w:t xml:space="preserve">评标办法及评标标准，由评标专家进行评审；</w:t>
      </w:r>
      <w:r/>
    </w:p>
    <w:p>
      <w:pPr>
        <w:ind w:firstLine="420"/>
        <w:rPr>
          <w:szCs w:val="21"/>
        </w:rPr>
      </w:pPr>
      <w:r>
        <w:rPr>
          <w:rFonts w:hint="eastAsia"/>
          <w:szCs w:val="21"/>
        </w:rPr>
        <w:t xml:space="preserve">6.我们认为你们有权决定中标者，还认为你们有权接受或拒绝所有的投标者。</w:t>
      </w:r>
      <w:r/>
    </w:p>
    <w:p>
      <w:pPr>
        <w:ind w:firstLine="420"/>
        <w:rPr>
          <w:szCs w:val="21"/>
        </w:rPr>
      </w:pPr>
      <w:r>
        <w:rPr>
          <w:rFonts w:hint="eastAsia"/>
          <w:szCs w:val="21"/>
        </w:rPr>
        <w:t xml:space="preserve">7.我们愿意遵守招标通告及招标文件中所列的收费标准。</w:t>
      </w:r>
      <w:r/>
    </w:p>
    <w:p>
      <w:pPr>
        <w:ind w:firstLine="420"/>
        <w:rPr>
          <w:szCs w:val="21"/>
        </w:rPr>
      </w:pPr>
      <w:r>
        <w:rPr>
          <w:rFonts w:hint="eastAsia"/>
          <w:szCs w:val="21"/>
        </w:rPr>
        <w:t xml:space="preserve">8.我们承诺该项投标在开标后的全过程中保持有效，不作任何更改和变动。</w:t>
      </w:r>
      <w:r/>
    </w:p>
    <w:p>
      <w:pPr>
        <w:ind w:firstLine="420"/>
        <w:rPr>
          <w:szCs w:val="21"/>
        </w:rPr>
      </w:pPr>
      <w:r>
        <w:rPr>
          <w:rFonts w:hint="eastAsia"/>
          <w:szCs w:val="21"/>
        </w:rPr>
        <w:t xml:space="preserve">9.招标人有权根据实际情况作相应数量、规格等调整。</w:t>
      </w:r>
      <w:r/>
    </w:p>
    <w:p>
      <w:pPr>
        <w:ind w:firstLine="420"/>
        <w:rPr>
          <w:szCs w:val="21"/>
        </w:rPr>
      </w:pPr>
      <w:r>
        <w:rPr>
          <w:rFonts w:hint="eastAsia"/>
          <w:szCs w:val="21"/>
        </w:rPr>
        <w:t xml:space="preserve">10.如果我们中标，我们愿意在领取中标通知书时支付代理服务费（以累计法收费：按预算金额100万元以下，收取1.5%；100-500万元，收取1.1%；500-1000万元，收取0.8%；1000-5000万元，收取0.5%；5000-10000万元，收取0.25%）；</w:t>
      </w:r>
      <w:r/>
    </w:p>
    <w:p>
      <w:pPr>
        <w:ind w:firstLine="420"/>
        <w:rPr>
          <w:szCs w:val="21"/>
        </w:rPr>
      </w:pPr>
      <w:r>
        <w:rPr>
          <w:rFonts w:hint="eastAsia"/>
          <w:szCs w:val="21"/>
        </w:rPr>
        <w:t xml:space="preserve">11.中标单位必须按招标文件要求交货。</w:t>
      </w:r>
      <w:r/>
    </w:p>
    <w:p>
      <w:pPr>
        <w:ind w:firstLine="420"/>
        <w:rPr>
          <w:szCs w:val="21"/>
        </w:rPr>
      </w:pPr>
      <w:r>
        <w:rPr>
          <w:rFonts w:hint="eastAsia"/>
          <w:szCs w:val="21"/>
        </w:rPr>
        <w:t xml:space="preserve">12.有关投标偏离、服务保证措施、要求甲方配合及其他说明均在投标书中详细阐述。</w:t>
      </w:r>
      <w:r/>
    </w:p>
    <w:p>
      <w:pPr>
        <w:ind w:firstLine="420"/>
        <w:rPr>
          <w:szCs w:val="21"/>
        </w:rPr>
      </w:pPr>
      <w:r>
        <w:rPr>
          <w:rFonts w:hint="eastAsia"/>
          <w:szCs w:val="21"/>
        </w:rPr>
        <w:t xml:space="preserve">13.所有有关本次投标的函电，请按下列方法联系</w:t>
      </w:r>
      <w:r/>
    </w:p>
    <w:p>
      <w:pPr>
        <w:ind w:firstLine="420"/>
        <w:rPr>
          <w:szCs w:val="21"/>
        </w:rPr>
      </w:pPr>
      <w:r>
        <w:rPr>
          <w:rFonts w:hint="eastAsia"/>
          <w:szCs w:val="21"/>
        </w:rPr>
        <w:t xml:space="preserve">联系人：                                   投标单位：（单位盖章）</w:t>
      </w:r>
      <w:r/>
    </w:p>
    <w:p>
      <w:pPr>
        <w:ind w:firstLine="420"/>
        <w:rPr>
          <w:szCs w:val="21"/>
        </w:rPr>
      </w:pPr>
      <w:r>
        <w:rPr>
          <w:rFonts w:hint="eastAsia"/>
          <w:szCs w:val="21"/>
        </w:rPr>
        <w:t xml:space="preserve">地址：</w:t>
      </w:r>
      <w:r/>
    </w:p>
    <w:p>
      <w:pPr>
        <w:ind w:firstLine="420"/>
        <w:rPr>
          <w:szCs w:val="21"/>
        </w:rPr>
      </w:pPr>
      <w:r>
        <w:rPr>
          <w:rFonts w:hint="eastAsia"/>
          <w:szCs w:val="21"/>
        </w:rPr>
        <w:t xml:space="preserve">联系电话：                                 法定代表人或授权委托人：（签字或盖章）</w:t>
      </w:r>
      <w:r/>
    </w:p>
    <w:p>
      <w:pPr>
        <w:ind w:firstLine="420"/>
        <w:rPr>
          <w:szCs w:val="21"/>
        </w:rPr>
      </w:pPr>
      <w:r>
        <w:rPr>
          <w:rFonts w:hint="eastAsia"/>
          <w:szCs w:val="21"/>
        </w:rPr>
        <w:t xml:space="preserve">传真：</w:t>
      </w:r>
      <w:r/>
    </w:p>
    <w:p>
      <w:pPr>
        <w:ind w:firstLine="4620"/>
      </w:pPr>
      <w:r>
        <w:rPr>
          <w:rFonts w:hint="eastAsia"/>
        </w:rPr>
        <w:t xml:space="preserve">日期：      年</w:t>
      </w:r>
      <w:r>
        <w:t xml:space="preserve">  </w:t>
      </w:r>
      <w:r>
        <w:rPr>
          <w:rFonts w:hint="eastAsia"/>
        </w:rPr>
        <w:t xml:space="preserve"> </w:t>
      </w:r>
      <w:r>
        <w:t xml:space="preserve"> </w:t>
      </w:r>
      <w:r>
        <w:rPr>
          <w:rFonts w:hint="eastAsia"/>
        </w:rPr>
        <w:t xml:space="preserve">月</w:t>
      </w:r>
      <w:r>
        <w:t xml:space="preserve">    </w:t>
      </w:r>
      <w:r>
        <w:rPr>
          <w:rFonts w:hint="eastAsia"/>
        </w:rPr>
        <w:t xml:space="preserve">日</w:t>
      </w:r>
      <w:r/>
    </w:p>
    <w:p>
      <w:r>
        <w:rPr>
          <w:rFonts w:hint="eastAsia"/>
        </w:rPr>
        <w:br w:type="page" w:clear="all"/>
      </w:r>
      <w:bookmarkEnd w:id="36"/>
      <w:r/>
      <w:r/>
    </w:p>
    <w:p>
      <w:pPr>
        <w:pStyle w:val="748"/>
        <w:rPr>
          <w:rFonts w:ascii="宋体" w:hAnsi="宋体" w:cs="宋体"/>
        </w:rPr>
      </w:pPr>
      <w:r/>
      <w:bookmarkStart w:id="39" w:name="_Ref5615"/>
      <w:r>
        <w:rPr>
          <w:rFonts w:hint="eastAsia" w:ascii="宋体" w:hAnsi="宋体" w:cs="宋体"/>
        </w:rPr>
        <w:t xml:space="preserve">十一、人员配置表</w:t>
      </w:r>
      <w:bookmarkEnd w:id="37"/>
      <w:r/>
      <w:bookmarkEnd w:id="39"/>
      <w:r/>
      <w:r/>
    </w:p>
    <w:p>
      <w:pPr>
        <w:jc w:val="center"/>
        <w:rPr>
          <w:szCs w:val="21"/>
        </w:rPr>
      </w:pPr>
      <w:r>
        <w:rPr>
          <w:rFonts w:hint="eastAsia"/>
          <w:szCs w:val="21"/>
        </w:rPr>
        <w:t xml:space="preserve">人员配置表</w:t>
      </w:r>
      <w:r/>
    </w:p>
    <w:tbl>
      <w:tblPr>
        <w:tblStyle w:val="7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序号</w:t>
            </w:r>
            <w:r/>
          </w:p>
        </w:tc>
        <w:tc>
          <w:tcPr>
            <w:tcW w:w="1475"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姓名</w:t>
            </w:r>
            <w:r/>
          </w:p>
        </w:tc>
        <w:tc>
          <w:tcPr>
            <w:tcW w:w="1475"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学历</w:t>
            </w:r>
            <w:r/>
          </w:p>
        </w:tc>
        <w:tc>
          <w:tcPr>
            <w:tcW w:w="1259"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专业</w:t>
            </w:r>
            <w:r/>
          </w:p>
        </w:tc>
        <w:tc>
          <w:tcPr>
            <w:tcW w:w="1690"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职称或上岗证</w:t>
            </w:r>
            <w:r/>
          </w:p>
        </w:tc>
        <w:tc>
          <w:tcPr>
            <w:tcW w:w="1904" w:type="dxa"/>
            <w:vAlign w:val="center"/>
            <w:textDirection w:val="lrTb"/>
            <w:noWrap/>
          </w:tcPr>
          <w:p>
            <w:pPr>
              <w:pStyle w:val="717"/>
              <w:ind w:firstLine="0"/>
              <w:jc w:val="center"/>
              <w:rPr>
                <w:rFonts w:eastAsia="宋体" w:cs="宋体"/>
                <w:sz w:val="21"/>
                <w:szCs w:val="21"/>
              </w:rPr>
            </w:pPr>
            <w:r>
              <w:rPr>
                <w:rFonts w:hint="eastAsia" w:eastAsia="宋体" w:cs="宋体"/>
                <w:spacing w:val="-10"/>
                <w:sz w:val="21"/>
                <w:szCs w:val="21"/>
              </w:rPr>
              <w:t xml:space="preserve">所担任岗位</w:t>
            </w:r>
            <w:r/>
          </w:p>
        </w:tc>
      </w:tr>
      <w:tr>
        <w:trPr>
          <w:jc w:val="center"/>
          <w:trHeight w:val="625"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1</w:t>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259"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690"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904"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项目负责人</w:t>
            </w:r>
            <w:r/>
          </w:p>
        </w:tc>
      </w:tr>
      <w:tr>
        <w:trPr>
          <w:jc w:val="center"/>
          <w:trHeight w:val="625"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2</w:t>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259"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690"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904"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r>
      <w:tr>
        <w:trPr>
          <w:jc w:val="center"/>
          <w:trHeight w:val="625"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3</w:t>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259"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690"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904"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r>
      <w:tr>
        <w:trPr>
          <w:jc w:val="center"/>
          <w:trHeight w:val="625"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4</w:t>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259"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690"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904"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r>
      <w:tr>
        <w:trPr>
          <w:jc w:val="center"/>
          <w:trHeight w:val="639" w:hRule="exact"/>
        </w:trPr>
        <w:tc>
          <w:tcPr>
            <w:tcW w:w="936" w:type="dxa"/>
            <w:vAlign w:val="center"/>
            <w:textDirection w:val="lrTb"/>
            <w:noWrap/>
          </w:tcPr>
          <w:p>
            <w:pPr>
              <w:pStyle w:val="717"/>
              <w:ind w:firstLine="0"/>
              <w:jc w:val="center"/>
              <w:rPr>
                <w:rFonts w:eastAsia="宋体" w:cs="宋体"/>
                <w:sz w:val="21"/>
                <w:szCs w:val="21"/>
              </w:rPr>
            </w:pPr>
            <w:r>
              <w:rPr>
                <w:rFonts w:hint="eastAsia" w:eastAsia="宋体" w:cs="宋体"/>
                <w:sz w:val="21"/>
                <w:szCs w:val="21"/>
              </w:rPr>
              <w:t xml:space="preserve">…</w:t>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475"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259"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690"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c>
          <w:tcPr>
            <w:tcW w:w="1904" w:type="dxa"/>
            <w:vAlign w:val="center"/>
            <w:textDirection w:val="lrTb"/>
            <w:noWrap/>
          </w:tcPr>
          <w:p>
            <w:pPr>
              <w:pStyle w:val="717"/>
              <w:ind w:firstLine="0"/>
              <w:jc w:val="center"/>
              <w:rPr>
                <w:rFonts w:eastAsia="宋体" w:cs="宋体"/>
                <w:sz w:val="21"/>
                <w:szCs w:val="21"/>
              </w:rPr>
            </w:pPr>
            <w:r>
              <w:rPr>
                <w:rFonts w:eastAsia="宋体" w:cs="宋体"/>
                <w:sz w:val="21"/>
                <w:szCs w:val="21"/>
              </w:rPr>
            </w:r>
            <w:r/>
          </w:p>
        </w:tc>
      </w:tr>
    </w:tbl>
    <w:p>
      <w:pPr>
        <w:pStyle w:val="910"/>
        <w:ind w:left="-210" w:right="-210"/>
        <w:jc w:val="left"/>
        <w:rPr>
          <w:rFonts w:hAnsi="宋体" w:eastAsia="宋体"/>
          <w:b/>
          <w:sz w:val="21"/>
          <w:szCs w:val="21"/>
        </w:rPr>
      </w:pPr>
      <w:r>
        <w:rPr>
          <w:rFonts w:hAnsi="宋体" w:eastAsia="宋体"/>
          <w:b/>
          <w:sz w:val="21"/>
          <w:szCs w:val="21"/>
        </w:rPr>
      </w:r>
      <w:r/>
    </w:p>
    <w:p>
      <w:pPr>
        <w:pStyle w:val="910"/>
        <w:ind w:left="-210" w:right="-210"/>
        <w:jc w:val="left"/>
        <w:rPr>
          <w:rFonts w:hAnsi="宋体" w:eastAsia="宋体"/>
          <w:b/>
          <w:sz w:val="21"/>
          <w:szCs w:val="21"/>
        </w:rPr>
      </w:pPr>
      <w:r>
        <w:rPr>
          <w:rFonts w:hint="eastAsia" w:hAnsi="宋体" w:eastAsia="宋体"/>
          <w:b/>
          <w:sz w:val="21"/>
          <w:szCs w:val="21"/>
        </w:rPr>
        <w:t xml:space="preserve">注：投标单位可根据招标内容自行调整</w:t>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rPr>
          <w:szCs w:val="21"/>
        </w:rPr>
      </w:pPr>
      <w:r>
        <w:rPr>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r/>
      <w:bookmarkStart w:id="40" w:name="_Toc8652606"/>
      <w:r/>
      <w:bookmarkStart w:id="41" w:name="_Ref803185"/>
      <w:r>
        <w:br w:type="page" w:clear="all"/>
      </w:r>
      <w:r/>
    </w:p>
    <w:p>
      <w:pPr>
        <w:pStyle w:val="909"/>
        <w:rPr>
          <w:rFonts w:hAnsi="宋体" w:eastAsia="宋体" w:cs="宋体"/>
        </w:rPr>
        <w:outlineLvl w:val="1"/>
      </w:pPr>
      <w:r/>
      <w:bookmarkStart w:id="42" w:name="_Ref5654"/>
      <w:r>
        <w:rPr>
          <w:rFonts w:hint="eastAsia" w:hAnsi="宋体" w:eastAsia="宋体" w:cs="宋体"/>
          <w:b/>
          <w:bCs/>
          <w:sz w:val="32"/>
          <w:szCs w:val="32"/>
        </w:rPr>
        <w:t xml:space="preserve">十二、</w:t>
      </w:r>
      <w:bookmarkEnd w:id="40"/>
      <w:r/>
      <w:bookmarkEnd w:id="41"/>
      <w:r/>
      <w:bookmarkEnd w:id="42"/>
      <w:r/>
      <w:bookmarkStart w:id="43" w:name="_Ref5350"/>
      <w:r/>
      <w:bookmarkStart w:id="44" w:name="_Ref20849"/>
      <w:r>
        <w:rPr>
          <w:rFonts w:hint="eastAsia" w:hAnsi="宋体" w:eastAsia="宋体" w:cs="宋体"/>
          <w:b/>
          <w:bCs/>
          <w:sz w:val="32"/>
          <w:szCs w:val="32"/>
        </w:rPr>
        <w:t xml:space="preserve">中小企业声明函</w:t>
      </w:r>
      <w:bookmarkEnd w:id="43"/>
      <w:r/>
      <w:r/>
    </w:p>
    <w:p>
      <w:pPr>
        <w:pStyle w:val="914"/>
        <w:ind w:right="-210"/>
        <w:jc w:val="center"/>
        <w:rPr>
          <w:rFonts w:hint="default" w:hAnsi="宋体" w:eastAsia="宋体"/>
          <w:sz w:val="21"/>
          <w:szCs w:val="21"/>
        </w:rPr>
      </w:pPr>
      <w:r>
        <w:rPr>
          <w:rFonts w:hAnsi="宋体" w:eastAsia="宋体"/>
          <w:sz w:val="21"/>
          <w:szCs w:val="21"/>
        </w:rPr>
        <w:t xml:space="preserve">中小企业声明函（服务）</w:t>
      </w:r>
      <w:r/>
    </w:p>
    <w:p>
      <w:pPr>
        <w:pStyle w:val="914"/>
        <w:ind w:firstLine="420"/>
        <w:rPr>
          <w:rFonts w:hint="default" w:hAnsi="宋体" w:eastAsia="宋体"/>
          <w:sz w:val="21"/>
          <w:szCs w:val="21"/>
        </w:rPr>
      </w:pPr>
      <w:r>
        <w:rPr>
          <w:rFonts w:hAnsi="宋体" w:eastAsia="宋体"/>
          <w:sz w:val="21"/>
          <w:szCs w:val="21"/>
        </w:rPr>
        <w:t xml:space="preserve">本公司（联合体）郑重声明，根据《政府采购促进中小企业发展管理办法》（财库[20</w:t>
      </w:r>
      <w:r>
        <w:rPr>
          <w:rFonts w:hint="default" w:hAnsi="宋体" w:eastAsia="宋体"/>
          <w:sz w:val="21"/>
          <w:szCs w:val="21"/>
        </w:rPr>
        <w:t xml:space="preserve">20</w:t>
      </w:r>
      <w:r>
        <w:rPr>
          <w:rFonts w:hAnsi="宋体" w:eastAsia="宋体"/>
          <w:sz w:val="21"/>
          <w:szCs w:val="21"/>
        </w:rPr>
        <w:t xml:space="preserve">]</w:t>
      </w:r>
      <w:r>
        <w:rPr>
          <w:rFonts w:hint="default" w:hAnsi="宋体" w:eastAsia="宋体"/>
          <w:sz w:val="21"/>
          <w:szCs w:val="21"/>
        </w:rPr>
        <w:t xml:space="preserve">46</w:t>
      </w:r>
      <w:r>
        <w:rPr>
          <w:rFonts w:hAnsi="宋体" w:eastAsia="宋体"/>
          <w:sz w:val="21"/>
          <w:szCs w:val="21"/>
        </w:rPr>
        <w:t xml:space="preserve">号）的规定，本公司（联合体）参加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 </w:t>
      </w:r>
      <w:r>
        <w:rPr>
          <w:rFonts w:hAnsi="宋体" w:eastAsia="宋体"/>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default" w:hAnsi="宋体" w:eastAsia="宋体"/>
          <w:sz w:val="21"/>
          <w:szCs w:val="21"/>
        </w:rPr>
        <w:t xml:space="preserve"> </w:t>
      </w:r>
      <w:r/>
    </w:p>
    <w:p>
      <w:pPr>
        <w:ind w:firstLine="420"/>
      </w:pPr>
      <w:r>
        <w:rPr>
          <w:szCs w:val="21"/>
        </w:rPr>
        <w:t xml:space="preserve">1.</w:t>
      </w:r>
      <w:r>
        <w:rPr>
          <w:u w:val="single"/>
        </w:rPr>
        <w:t xml:space="preserve">（标的名称）</w:t>
      </w:r>
      <w:r>
        <w:t xml:space="preserve">，属于</w:t>
      </w:r>
      <w:r>
        <w:rPr>
          <w:u w:val="single"/>
        </w:rPr>
        <w:t xml:space="preserve">（</w:t>
      </w:r>
      <w:r>
        <w:rPr>
          <w:rFonts w:hint="eastAsia"/>
          <w:u w:val="single"/>
        </w:rPr>
        <w:t xml:space="preserve">招标文件</w:t>
      </w:r>
      <w:r>
        <w:rPr>
          <w:u w:val="single"/>
        </w:rPr>
        <w:t xml:space="preserve">中明确的所属行业）</w:t>
      </w:r>
      <w:r>
        <w:t xml:space="preserve">；</w:t>
      </w:r>
      <w:r>
        <w:rPr>
          <w:rFonts w:hint="eastAsia"/>
        </w:rPr>
        <w:t xml:space="preserve">承建（承接）企业</w:t>
      </w:r>
      <w:r>
        <w:t xml:space="preserve">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u w:val="single"/>
        </w:rPr>
        <w:t xml:space="preserve">（中型企业、小 型企业、微型企业）</w:t>
      </w:r>
      <w:r>
        <w:t xml:space="preserve">；</w:t>
      </w:r>
      <w:r/>
    </w:p>
    <w:p>
      <w:pPr>
        <w:ind w:firstLine="420"/>
      </w:pPr>
      <w:r>
        <w:rPr>
          <w:szCs w:val="21"/>
        </w:rPr>
        <w:t xml:space="preserve">2.</w:t>
      </w:r>
      <w:r>
        <w:rPr>
          <w:u w:val="single"/>
        </w:rPr>
        <w:t xml:space="preserve"> （标的名称）</w:t>
      </w:r>
      <w:r>
        <w:t xml:space="preserve">，属于</w:t>
      </w:r>
      <w:r>
        <w:rPr>
          <w:u w:val="single"/>
        </w:rPr>
        <w:t xml:space="preserve">（</w:t>
      </w:r>
      <w:r>
        <w:rPr>
          <w:rFonts w:hint="eastAsia"/>
          <w:u w:val="single"/>
        </w:rPr>
        <w:t xml:space="preserve">招标文件</w:t>
      </w:r>
      <w:r>
        <w:rPr>
          <w:u w:val="single"/>
        </w:rPr>
        <w:t xml:space="preserve">中明确的所属行业）</w:t>
      </w:r>
      <w:r>
        <w:t xml:space="preserve">；</w:t>
      </w:r>
      <w:r>
        <w:rPr>
          <w:rFonts w:hint="eastAsia"/>
        </w:rPr>
        <w:t xml:space="preserve">承建（承接）企业</w:t>
      </w:r>
      <w:r>
        <w:t xml:space="preserve">为</w:t>
      </w:r>
      <w:r>
        <w:rPr>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u w:val="single"/>
        </w:rPr>
        <w:t xml:space="preserve">（中型企业、小 型企业、微型企业）</w:t>
      </w:r>
      <w:r>
        <w:t xml:space="preserve">；</w:t>
      </w:r>
      <w:r/>
    </w:p>
    <w:p>
      <w:pPr>
        <w:ind w:firstLine="420"/>
      </w:pPr>
      <w:r>
        <w:rPr>
          <w:rFonts w:hint="eastAsia"/>
        </w:rPr>
        <w:t xml:space="preserve">……</w:t>
      </w:r>
      <w:r/>
    </w:p>
    <w:p>
      <w:pPr>
        <w:pStyle w:val="914"/>
        <w:ind w:firstLine="420"/>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914"/>
        <w:ind w:firstLine="420"/>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909"/>
        <w:ind w:firstLine="5817"/>
        <w:rPr>
          <w:rFonts w:hAnsi="宋体" w:eastAsia="宋体"/>
          <w:sz w:val="21"/>
          <w:szCs w:val="21"/>
        </w:rPr>
      </w:pPr>
      <w:r>
        <w:rPr>
          <w:rFonts w:hAnsi="宋体" w:eastAsia="宋体"/>
          <w:sz w:val="21"/>
          <w:szCs w:val="21"/>
        </w:rPr>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pStyle w:val="909"/>
        <w:rPr>
          <w:rFonts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909"/>
        <w:ind w:left="210" w:firstLine="211"/>
        <w:rPr>
          <w:rFonts w:hAnsi="宋体" w:eastAsia="宋体"/>
          <w:b/>
          <w:sz w:val="21"/>
          <w:szCs w:val="21"/>
        </w:rPr>
      </w:pPr>
      <w:r>
        <w:rPr>
          <w:rFonts w:hAnsi="宋体" w:eastAsia="宋体"/>
          <w:b/>
          <w:sz w:val="21"/>
          <w:szCs w:val="21"/>
        </w:rPr>
      </w:r>
      <w:r/>
    </w:p>
    <w:p>
      <w:pPr>
        <w:pStyle w:val="914"/>
        <w:ind w:firstLine="420"/>
        <w:rPr>
          <w:rFonts w:hint="default" w:hAnsi="宋体" w:eastAsia="宋体"/>
          <w:sz w:val="21"/>
          <w:szCs w:val="21"/>
        </w:rPr>
      </w:pPr>
      <w:r>
        <w:rPr>
          <w:rFonts w:hint="default" w:hAnsi="宋体" w:eastAsia="宋体"/>
          <w:sz w:val="21"/>
          <w:szCs w:val="21"/>
        </w:rPr>
      </w:r>
      <w:r/>
    </w:p>
    <w:p>
      <w:pPr>
        <w:pStyle w:val="914"/>
        <w:ind w:firstLine="420"/>
        <w:rPr>
          <w:rFonts w:hint="default" w:hAnsi="宋体" w:eastAsia="宋体"/>
          <w:sz w:val="21"/>
          <w:szCs w:val="21"/>
        </w:rPr>
      </w:pPr>
      <w:r>
        <w:rPr>
          <w:rFonts w:hint="default" w:hAnsi="宋体" w:eastAsia="宋体"/>
          <w:sz w:val="21"/>
          <w:szCs w:val="21"/>
        </w:rPr>
      </w:r>
      <w:r/>
    </w:p>
    <w:p>
      <w:pPr>
        <w:pStyle w:val="914"/>
        <w:ind w:firstLine="420"/>
        <w:rPr>
          <w:rFonts w:hint="default" w:hAnsi="宋体" w:eastAsia="宋体"/>
          <w:sz w:val="21"/>
          <w:szCs w:val="21"/>
        </w:rPr>
      </w:pPr>
      <w:r>
        <w:rPr>
          <w:rFonts w:hAnsi="宋体" w:eastAsia="宋体"/>
          <w:sz w:val="21"/>
          <w:szCs w:val="21"/>
        </w:rPr>
        <w:t xml:space="preserve">注：</w:t>
      </w:r>
      <w:r/>
    </w:p>
    <w:p>
      <w:pPr>
        <w:pStyle w:val="914"/>
        <w:ind w:firstLine="420"/>
        <w:rPr>
          <w:rFonts w:hint="default" w:hAnsi="宋体" w:eastAsia="宋体"/>
          <w:sz w:val="21"/>
          <w:szCs w:val="21"/>
        </w:rPr>
      </w:pPr>
      <w:r>
        <w:rPr>
          <w:rFonts w:hAnsi="宋体" w:eastAsia="宋体"/>
          <w:sz w:val="21"/>
          <w:szCs w:val="21"/>
        </w:rPr>
        <w:t xml:space="preserve">1</w:t>
      </w:r>
      <w:r>
        <w:rPr>
          <w:rFonts w:hint="default"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p>
    <w:p>
      <w:pPr>
        <w:pStyle w:val="914"/>
        <w:ind w:firstLine="420"/>
        <w:rPr>
          <w:rFonts w:hint="default" w:hAnsi="宋体" w:eastAsia="宋体"/>
          <w:sz w:val="21"/>
          <w:szCs w:val="21"/>
        </w:rPr>
      </w:pPr>
      <w:r>
        <w:rPr>
          <w:rFonts w:hint="default" w:hAnsi="宋体" w:eastAsia="宋体"/>
          <w:sz w:val="21"/>
          <w:szCs w:val="21"/>
        </w:rPr>
        <w:t xml:space="preserve">2.本次采购项目所属行业为</w:t>
      </w:r>
      <w:r>
        <w:rPr>
          <w:rFonts w:hAnsi="宋体" w:eastAsia="宋体"/>
          <w:b/>
          <w:bCs/>
          <w:sz w:val="21"/>
          <w:szCs w:val="21"/>
          <w:u w:val="single"/>
        </w:rPr>
        <w:t xml:space="preserve">其他未列明行业</w:t>
      </w:r>
      <w:r>
        <w:rPr>
          <w:rFonts w:hint="default" w:hAnsi="宋体" w:eastAsia="宋体"/>
          <w:sz w:val="21"/>
          <w:szCs w:val="21"/>
        </w:rPr>
        <w:t xml:space="preserve">。中小微企业划型标准请根据《中小企业划型标准规定》（工信部联企业〔2011〕300号）。投标人提供的承诺函须按本项目规定行业填写，否则其声明函不予认可。</w:t>
      </w:r>
      <w:r/>
    </w:p>
    <w:p>
      <w:pPr>
        <w:rPr>
          <w:szCs w:val="21"/>
        </w:rPr>
      </w:pPr>
      <w:r>
        <w:rPr>
          <w:szCs w:val="21"/>
        </w:rPr>
        <w:br w:type="page" w:clear="all"/>
      </w:r>
      <w:r/>
    </w:p>
    <w:p>
      <w:pPr>
        <w:jc w:val="center"/>
      </w:pPr>
      <w:r>
        <w:t xml:space="preserve">中小企业划型标准规定</w:t>
      </w:r>
      <w:r/>
    </w:p>
    <w:p>
      <w:pPr>
        <w:ind w:firstLine="420"/>
      </w:pPr>
      <w:r>
        <w:t xml:space="preserve">一、根据《中华人民共和国中小企业促进法》和《国务院关于进一步促进中小企业发展的若干意见》（国发〔2009〕36号），制定本规定。</w:t>
      </w:r>
      <w:r/>
    </w:p>
    <w:p>
      <w:pPr>
        <w:ind w:firstLine="420"/>
      </w:pPr>
      <w:r>
        <w:t xml:space="preserve">二、中小企业划分为中型、小型、微型三种类型，具体标准根据企业从业人员、营业收入、资产总额等指标，结合行业特点制定。</w:t>
      </w:r>
      <w:r/>
    </w:p>
    <w:p>
      <w:pPr>
        <w:ind w:firstLine="420"/>
      </w:pPr>
      <w: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pPr>
      <w:r>
        <w:t xml:space="preserve">四、各行业划型标准为：</w:t>
      </w:r>
      <w:r/>
    </w:p>
    <w:p>
      <w:pPr>
        <w:ind w:firstLine="420"/>
      </w:pPr>
      <w:r>
        <w:t xml:space="preserve">（一）农、林、牧、渔业。营业收入20000万元以下的为中小微型企业。其中，营业收入500万元及以上的为中型企业，营业收入50万元及以上的为小型企业，营业收入50万元以下的为微型企业。</w:t>
      </w:r>
      <w:r/>
    </w:p>
    <w:p>
      <w:pPr>
        <w:ind w:firstLine="420"/>
      </w:pPr>
      <w: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pPr>
      <w: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pPr>
      <w: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pPr>
      <w: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pPr>
      <w: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pPr>
      <w: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pPr>
      <w: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pPr>
      <w: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Pr>
      <w: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pPr>
      <w: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pPr>
      <w: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pPr>
      <w: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pPr>
      <w: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pPr>
      <w: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pPr>
      <w:r>
        <w:t xml:space="preserve">（十六）其他未列明行业。从业人员300人以下的为中小微型企业。其中，从业人员100人及以上的为中型企业；从业人员10人及以上的为小型企业；从业人员10人以下的为微型企业。</w:t>
      </w:r>
      <w:r/>
    </w:p>
    <w:p>
      <w:pPr>
        <w:ind w:firstLine="420"/>
      </w:pPr>
      <w:r>
        <w:t xml:space="preserve">五、企业类型的划分以统计部门的统计数据为依据。</w:t>
      </w:r>
      <w:r/>
    </w:p>
    <w:p>
      <w:pPr>
        <w:ind w:firstLine="420"/>
      </w:pPr>
      <w:r>
        <w:t xml:space="preserve">六、本规定适用于在中华人民共和国境内依法设立的各类所有制和各种组织形式的企业。个体工商户和本规定以外的行业，参照本规定进行划型。</w:t>
      </w:r>
      <w:r/>
    </w:p>
    <w:p>
      <w:pPr>
        <w:ind w:firstLine="420"/>
      </w:pPr>
      <w: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pPr>
      <w:r>
        <w:t xml:space="preserve">八、本规定由工业和信息化部、国家统计局会同有关部门根据《国民经济行业分类》修订情况和企业发展变化情况适时修订。</w:t>
      </w:r>
      <w:r/>
    </w:p>
    <w:p>
      <w:pPr>
        <w:ind w:firstLine="420"/>
      </w:pPr>
      <w:r>
        <w:t xml:space="preserve">九、本规定由工业和信息化部、国家统计局会同有关部门负责解释。</w:t>
      </w:r>
      <w:r/>
    </w:p>
    <w:p>
      <w:pPr>
        <w:ind w:firstLine="420"/>
        <w:rPr>
          <w:bCs/>
          <w:szCs w:val="21"/>
        </w:rPr>
      </w:pPr>
      <w:r>
        <w:t xml:space="preserve">十、本规定自发布之日起执行，原国家经贸委、原国家计委、财政部和国家统计局2003年颁布的《中小企业标准暂行规定》同时废止。</w:t>
      </w:r>
      <w:r/>
    </w:p>
    <w:p>
      <w:pPr>
        <w:rPr>
          <w:rFonts w:cs="宋体"/>
        </w:rPr>
      </w:pPr>
      <w:r/>
      <w:bookmarkStart w:id="45" w:name="_Ref18561"/>
      <w:r/>
      <w:bookmarkStart w:id="46" w:name="_Ref5409"/>
      <w:r>
        <w:rPr>
          <w:rFonts w:hint="eastAsia" w:cs="宋体"/>
        </w:rPr>
        <w:br w:type="page" w:clear="all"/>
      </w:r>
      <w:r/>
    </w:p>
    <w:p>
      <w:pPr>
        <w:pStyle w:val="748"/>
        <w:rPr>
          <w:rFonts w:ascii="宋体" w:hAnsi="宋体" w:cs="宋体"/>
        </w:rPr>
      </w:pPr>
      <w:r>
        <w:rPr>
          <w:rFonts w:hint="eastAsia" w:ascii="宋体" w:hAnsi="宋体" w:cs="宋体"/>
        </w:rPr>
        <w:t xml:space="preserve">十三、残疾人福利性单位声明函</w:t>
      </w:r>
      <w:bookmarkEnd w:id="45"/>
      <w:r/>
      <w:bookmarkEnd w:id="46"/>
      <w:r/>
      <w:r/>
    </w:p>
    <w:p>
      <w:pPr>
        <w:pStyle w:val="910"/>
        <w:jc w:val="center"/>
        <w:rPr>
          <w:rFonts w:hAnsi="宋体" w:eastAsia="宋体"/>
          <w:sz w:val="21"/>
          <w:szCs w:val="21"/>
        </w:rPr>
      </w:pPr>
      <w:r>
        <w:rPr>
          <w:rFonts w:hint="eastAsia" w:hAnsi="宋体" w:eastAsia="宋体"/>
          <w:sz w:val="21"/>
          <w:szCs w:val="21"/>
        </w:rPr>
        <w:t xml:space="preserve">残疾人福利性单位声明函</w:t>
      </w:r>
      <w:r/>
    </w:p>
    <w:p>
      <w:pPr>
        <w:pStyle w:val="910"/>
        <w:ind w:firstLine="425"/>
        <w:jc w:val="left"/>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910"/>
        <w:ind w:firstLine="425"/>
        <w:jc w:val="left"/>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910"/>
        <w:ind w:firstLine="425"/>
        <w:jc w:val="left"/>
        <w:rPr>
          <w:rFonts w:hAnsi="宋体" w:eastAsia="宋体"/>
          <w:sz w:val="21"/>
          <w:szCs w:val="21"/>
        </w:rPr>
      </w:pPr>
      <w:r>
        <w:rPr>
          <w:rFonts w:hAnsi="宋体" w:eastAsia="宋体"/>
          <w:sz w:val="21"/>
          <w:szCs w:val="21"/>
        </w:rPr>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pStyle w:val="909"/>
        <w:rPr>
          <w:rFonts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b/>
          <w:szCs w:val="21"/>
        </w:rPr>
      </w:pPr>
      <w:r>
        <w:rPr>
          <w:b/>
          <w:szCs w:val="21"/>
        </w:rPr>
        <w:br w:type="page" w:clear="all"/>
      </w:r>
      <w:r/>
    </w:p>
    <w:p>
      <w:pPr>
        <w:pStyle w:val="748"/>
        <w:rPr>
          <w:rFonts w:ascii="宋体" w:hAnsi="宋体" w:cs="宋体"/>
          <w:lang w:val="zh-CN"/>
        </w:rPr>
      </w:pPr>
      <w:r/>
      <w:bookmarkStart w:id="47" w:name="_Ref26880"/>
      <w:r>
        <w:rPr>
          <w:rFonts w:hint="eastAsia" w:ascii="宋体" w:hAnsi="宋体" w:cs="宋体"/>
        </w:rPr>
        <w:t xml:space="preserve">十四、</w:t>
      </w:r>
      <w:r>
        <w:rPr>
          <w:rFonts w:hint="eastAsia" w:ascii="宋体" w:hAnsi="宋体" w:cs="宋体"/>
          <w:lang w:val="zh-CN"/>
        </w:rPr>
        <w:t xml:space="preserve">监狱企业福利性单位声明函</w:t>
      </w:r>
      <w:bookmarkEnd w:id="44"/>
      <w:r/>
      <w:bookmarkEnd w:id="47"/>
      <w:r/>
      <w:r/>
    </w:p>
    <w:p>
      <w:pPr>
        <w:rPr>
          <w:rFonts w:cs="宋体"/>
          <w:lang w:val="zh-CN"/>
        </w:rPr>
      </w:pPr>
      <w:r>
        <w:rPr>
          <w:rFonts w:hint="eastAsia" w:cs="宋体"/>
          <w:lang w:val="zh-CN"/>
        </w:rPr>
        <w:t xml:space="preserve">进一步明确政府采购支持监狱企业发展政策</w:t>
      </w:r>
      <w:r/>
    </w:p>
    <w:p>
      <w:pPr>
        <w:ind w:firstLine="420"/>
        <w:rPr>
          <w:rFonts w:cs="宋体"/>
          <w:lang w:val="zh-CN"/>
        </w:rPr>
      </w:pPr>
      <w:r>
        <w:rPr>
          <w:rFonts w:hint="eastAsia"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rPr>
          <w:rFonts w:cs="宋体"/>
          <w:lang w:val="zh-CN"/>
        </w:rPr>
      </w:pPr>
      <w:r>
        <w:rPr>
          <w:rFonts w:hint="eastAsia" w:cs="宋体"/>
          <w:lang w:val="zh-CN"/>
        </w:rPr>
        <w:t xml:space="preserve">（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09"/>
        <w:rPr>
          <w:rFonts w:hAnsi="宋体" w:eastAsia="宋体"/>
          <w:sz w:val="21"/>
          <w:szCs w:val="21"/>
        </w:rPr>
      </w:pPr>
      <w:r>
        <w:rPr>
          <w:rFonts w:hAnsi="宋体" w:eastAsia="宋体"/>
          <w:sz w:val="21"/>
          <w:szCs w:val="21"/>
        </w:rPr>
      </w:r>
      <w:r/>
    </w:p>
    <w:p>
      <w:pPr>
        <w:pStyle w:val="909"/>
        <w:jc w:val="left"/>
        <w:rPr>
          <w:rFonts w:hAnsi="宋体" w:eastAsia="宋体"/>
          <w:sz w:val="21"/>
          <w:szCs w:val="21"/>
        </w:rPr>
      </w:pPr>
      <w:r>
        <w:rPr>
          <w:rFonts w:hAnsi="宋体" w:eastAsia="宋体"/>
          <w:sz w:val="21"/>
          <w:szCs w:val="21"/>
        </w:rPr>
        <w:t xml:space="preserve">投标单位：（</w:t>
      </w:r>
      <w:r>
        <w:rPr>
          <w:rFonts w:hint="eastAsia" w:hAnsi="宋体" w:eastAsia="宋体"/>
          <w:sz w:val="21"/>
          <w:szCs w:val="21"/>
        </w:rPr>
        <w:t xml:space="preserve">单位盖章</w:t>
      </w:r>
      <w:r>
        <w:rPr>
          <w:rFonts w:hAnsi="宋体" w:eastAsia="宋体"/>
          <w:sz w:val="21"/>
          <w:szCs w:val="21"/>
        </w:rPr>
        <w:t xml:space="preserve">）</w:t>
      </w:r>
      <w:r/>
    </w:p>
    <w:p>
      <w:pPr>
        <w:pStyle w:val="909"/>
        <w:rPr>
          <w:rFonts w:hAnsi="宋体" w:eastAsia="宋体"/>
          <w:sz w:val="21"/>
          <w:szCs w:val="21"/>
        </w:rPr>
      </w:pPr>
      <w:r>
        <w:rPr>
          <w:rFonts w:hAnsi="宋体" w:eastAsia="宋体"/>
          <w:sz w:val="21"/>
          <w:szCs w:val="21"/>
        </w:rPr>
        <w:t xml:space="preserve">法定代表人或授权委托人：（签字或盖章）</w:t>
      </w:r>
      <w:r/>
    </w:p>
    <w:p>
      <w:pPr>
        <w:pStyle w:val="909"/>
        <w:rPr>
          <w:rFonts w:hAnsi="宋体" w:eastAsia="宋体" w:cs="宋体"/>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r/>
      <w:bookmarkStart w:id="48" w:name="_Toc477186552"/>
      <w:r/>
      <w:bookmarkStart w:id="49" w:name="_Toc477186799"/>
      <w:r/>
      <w:bookmarkStart w:id="50" w:name="_Toc8652608"/>
      <w:r/>
      <w:bookmarkStart w:id="51" w:name="_Toc8652804"/>
      <w:r>
        <w:rPr>
          <w:rFonts w:hint="eastAsia"/>
        </w:rPr>
        <w:br w:type="page" w:clear="all"/>
      </w:r>
      <w:bookmarkEnd w:id="48"/>
      <w:r/>
      <w:bookmarkEnd w:id="49"/>
      <w:r/>
      <w:bookmarkEnd w:id="50"/>
      <w:r/>
      <w:bookmarkEnd w:id="51"/>
      <w:r/>
      <w:r/>
    </w:p>
    <w:p>
      <w:pPr>
        <w:pStyle w:val="746"/>
        <w:rPr>
          <w:rFonts w:ascii="Times New Roman" w:hAnsi="Times New Roman"/>
        </w:rPr>
      </w:pPr>
      <w:r/>
      <w:bookmarkStart w:id="52" w:name="_Toc962"/>
      <w:r/>
      <w:bookmarkStart w:id="53" w:name="_Toc27798"/>
      <w:r>
        <w:rPr>
          <w:rFonts w:hint="eastAsia" w:ascii="Times New Roman" w:hAnsi="Times New Roman"/>
        </w:rPr>
        <w:t xml:space="preserve">第四章 采购需求</w:t>
      </w:r>
      <w:bookmarkEnd w:id="52"/>
      <w:r/>
      <w:bookmarkEnd w:id="53"/>
      <w:r/>
      <w:r/>
    </w:p>
    <w:p>
      <w:pPr>
        <w:ind w:firstLine="420"/>
        <w:jc w:val="left"/>
        <w:rPr>
          <w:szCs w:val="21"/>
        </w:rPr>
      </w:pPr>
      <w:r>
        <w:rPr>
          <w:rFonts w:cs="Courier New"/>
          <w:szCs w:val="21"/>
        </w:rPr>
        <w:t xml:space="preserve">受</w:t>
      </w:r>
      <w:r>
        <w:rPr>
          <w:rFonts w:hint="eastAsia" w:cs="Courier New"/>
          <w:szCs w:val="21"/>
          <w:u w:val="single"/>
        </w:rPr>
        <w:t xml:space="preserve">昆山市公安局</w:t>
      </w:r>
      <w:r>
        <w:rPr>
          <w:rFonts w:hint="eastAsia" w:cs="Courier New"/>
          <w:szCs w:val="21"/>
        </w:rPr>
        <w:t xml:space="preserve">的</w:t>
      </w:r>
      <w:r>
        <w:rPr>
          <w:rFonts w:cs="Courier New"/>
          <w:szCs w:val="21"/>
        </w:rPr>
        <w:t xml:space="preserve">委托，</w:t>
      </w:r>
      <w:r>
        <w:rPr>
          <w:rFonts w:hint="eastAsia" w:cs="Courier New"/>
          <w:szCs w:val="21"/>
          <w:u w:val="single"/>
        </w:rPr>
        <w:t xml:space="preserve">昆山欣杰项目管理有限公司</w:t>
      </w:r>
      <w:r>
        <w:rPr>
          <w:rFonts w:cs="Courier New"/>
          <w:szCs w:val="21"/>
        </w:rPr>
        <w:t xml:space="preserve">对其</w:t>
      </w:r>
      <w:r>
        <w:rPr>
          <w:rFonts w:hint="eastAsia"/>
          <w:bCs/>
          <w:szCs w:val="21"/>
        </w:rPr>
        <w:t xml:space="preserve">所需的</w:t>
      </w:r>
      <w:r>
        <w:rPr>
          <w:rFonts w:hint="eastAsia" w:cs="Courier New"/>
          <w:szCs w:val="21"/>
          <w:u w:val="single"/>
        </w:rPr>
        <w:t xml:space="preserve">2026-2027年度城市污水毒品滥用监测服务</w:t>
      </w:r>
      <w:r>
        <w:rPr>
          <w:rFonts w:hint="eastAsia" w:cs="Courier New"/>
          <w:szCs w:val="21"/>
        </w:rPr>
        <w:t xml:space="preserve">进</w:t>
      </w:r>
      <w:r>
        <w:rPr>
          <w:rFonts w:hint="eastAsia"/>
          <w:szCs w:val="21"/>
        </w:rPr>
        <w:t xml:space="preserve">行</w:t>
      </w:r>
      <w:r>
        <w:rPr>
          <w:bCs/>
          <w:szCs w:val="21"/>
        </w:rPr>
        <w:t xml:space="preserve">国内公开招标</w:t>
      </w:r>
      <w:r>
        <w:rPr>
          <w:rFonts w:hint="eastAsia"/>
          <w:szCs w:val="21"/>
        </w:rPr>
        <w:t xml:space="preserve">。</w:t>
      </w:r>
      <w:r/>
    </w:p>
    <w:p>
      <w:pPr>
        <w:ind w:firstLine="422"/>
        <w:rPr>
          <w:szCs w:val="21"/>
        </w:rPr>
      </w:pPr>
      <w:r>
        <w:rPr>
          <w:rFonts w:hint="eastAsia"/>
          <w:b/>
          <w:bCs/>
          <w:szCs w:val="21"/>
        </w:rPr>
        <w:t xml:space="preserve">一、项目编号：</w:t>
      </w:r>
      <w:r>
        <w:rPr>
          <w:rFonts w:hint="eastAsia"/>
          <w:szCs w:val="21"/>
        </w:rPr>
        <w:t xml:space="preserve">JSZC-320583-KSXJ-G2026-0002号</w:t>
      </w:r>
      <w:r/>
    </w:p>
    <w:p>
      <w:pPr>
        <w:ind w:firstLine="422"/>
        <w:rPr>
          <w:szCs w:val="21"/>
        </w:rPr>
      </w:pPr>
      <w:r>
        <w:rPr>
          <w:rFonts w:hint="eastAsia"/>
          <w:b/>
          <w:bCs/>
          <w:szCs w:val="21"/>
        </w:rPr>
        <w:t xml:space="preserve">二、合同履行期限：</w:t>
      </w:r>
      <w:r>
        <w:rPr>
          <w:color w:val="ff0000"/>
          <w:szCs w:val="21"/>
        </w:rPr>
        <w:t xml:space="preserve">自合同签订之日起</w:t>
      </w:r>
      <w:r>
        <w:rPr>
          <w:rFonts w:hint="eastAsia"/>
          <w:color w:val="ff0000"/>
          <w:szCs w:val="21"/>
        </w:rPr>
        <w:t xml:space="preserve">两</w:t>
      </w:r>
      <w:r>
        <w:rPr>
          <w:color w:val="ff0000"/>
          <w:szCs w:val="21"/>
        </w:rPr>
        <w:t xml:space="preserve">年</w:t>
      </w:r>
      <w:r/>
    </w:p>
    <w:p>
      <w:pPr>
        <w:ind w:firstLine="422"/>
        <w:rPr>
          <w:b/>
          <w:bCs/>
          <w:szCs w:val="21"/>
        </w:rPr>
      </w:pPr>
      <w:r>
        <w:rPr>
          <w:rFonts w:hint="eastAsia"/>
          <w:b/>
          <w:bCs/>
          <w:szCs w:val="21"/>
        </w:rPr>
        <w:t xml:space="preserve">三、服务内容：</w:t>
      </w:r>
      <w:r/>
    </w:p>
    <w:p>
      <w:pPr>
        <w:ind w:firstLine="420"/>
        <w:rPr>
          <w:rFonts w:cs="宋体"/>
        </w:rPr>
      </w:pPr>
      <w:r>
        <w:rPr>
          <w:rFonts w:hint="eastAsia" w:cs="宋体"/>
        </w:rPr>
        <w:t xml:space="preserve">（一）项目背景</w:t>
      </w:r>
      <w:r/>
    </w:p>
    <w:p>
      <w:pPr>
        <w:ind w:firstLine="420"/>
        <w:rPr>
          <w:szCs w:val="21"/>
        </w:rPr>
      </w:pPr>
      <w:r>
        <w:rPr>
          <w:rFonts w:hint="eastAsia"/>
          <w:szCs w:val="21"/>
        </w:rPr>
        <w:t xml:space="preserve">根据国家和省市禁毒工作要求部署，提高禁毒工作的科技化水平、加强监测预警能力、准确评估毒情形势，昆山市公安局购买污水毒情监测服务，评估昆山市毒品滥用情况的服务，以实现禁毒工作“科学决策”，缉毒行动“精确制导”。具体为：确定昆山市存在主要毒品的种类、各区域毒品滥用的相对程度、各类毒品滥用的总体水平以及昆山市毒品滥用在苏州市、江苏省和全国的相对水平，为昆山市禁毒工作任务的制定、考核和决策提供数据支持，同时通过对重点地区、行业周边的污水监测，预警制毒犯罪，及时开展缉毒行动。</w:t>
      </w:r>
      <w:r/>
    </w:p>
    <w:p>
      <w:pPr>
        <w:ind w:firstLine="420"/>
        <w:rPr>
          <w:szCs w:val="21"/>
        </w:rPr>
      </w:pPr>
      <w:r>
        <w:rPr>
          <w:rFonts w:hint="eastAsia"/>
          <w:szCs w:val="21"/>
        </w:rPr>
        <w:t xml:space="preserve">（二）服务内容</w:t>
      </w:r>
      <w:r/>
    </w:p>
    <w:p>
      <w:pPr>
        <w:ind w:firstLine="420"/>
        <w:rPr>
          <w:szCs w:val="21"/>
        </w:rPr>
      </w:pPr>
      <w:r>
        <w:rPr>
          <w:szCs w:val="21"/>
        </w:rPr>
        <w:t xml:space="preserve">1</w:t>
      </w:r>
      <w:r>
        <w:rPr>
          <w:rFonts w:hint="eastAsia"/>
          <w:szCs w:val="21"/>
        </w:rPr>
        <w:t xml:space="preserve">.</w:t>
      </w:r>
      <w:r>
        <w:rPr>
          <w:szCs w:val="21"/>
        </w:rPr>
        <w:t xml:space="preserve">监测内容：对辖区的20个污水监测点（污水处理厂）开展季度采样监测，</w:t>
      </w:r>
      <w:r>
        <w:rPr>
          <w:rFonts w:hint="eastAsia"/>
          <w:color w:val="ff0000"/>
          <w:szCs w:val="21"/>
        </w:rPr>
        <w:t xml:space="preserve">每</w:t>
      </w:r>
      <w:r>
        <w:rPr>
          <w:color w:val="ff0000"/>
          <w:szCs w:val="21"/>
        </w:rPr>
        <w:t xml:space="preserve">年</w:t>
      </w:r>
      <w:r>
        <w:rPr>
          <w:szCs w:val="21"/>
        </w:rPr>
        <w:t xml:space="preserve">共监测四次。</w:t>
      </w:r>
      <w:r/>
    </w:p>
    <w:p>
      <w:pPr>
        <w:ind w:firstLine="420"/>
        <w:rPr>
          <w:szCs w:val="21"/>
        </w:rPr>
      </w:pPr>
      <w:r>
        <w:rPr>
          <w:szCs w:val="21"/>
        </w:rPr>
        <w:t xml:space="preserve">2</w:t>
      </w:r>
      <w:r>
        <w:rPr>
          <w:rFonts w:hint="eastAsia"/>
          <w:szCs w:val="21"/>
        </w:rPr>
        <w:t xml:space="preserve">.</w:t>
      </w:r>
      <w:r>
        <w:rPr>
          <w:szCs w:val="21"/>
        </w:rPr>
        <w:t xml:space="preserve">样品采集：所有监测点配备全自动污水采集器，每个监测点每次连续采集7天，每天采集一个连续24小时混合样，每个样品留存不少于500mL的备份样，全年合计采集样品560例。</w:t>
      </w:r>
      <w:r/>
    </w:p>
    <w:p>
      <w:pPr>
        <w:ind w:firstLine="420"/>
        <w:rPr>
          <w:szCs w:val="21"/>
        </w:rPr>
      </w:pPr>
      <w:r>
        <w:rPr>
          <w:szCs w:val="21"/>
        </w:rPr>
        <w:t xml:space="preserve">3</w:t>
      </w:r>
      <w:r>
        <w:rPr>
          <w:rFonts w:hint="eastAsia"/>
          <w:szCs w:val="21"/>
        </w:rPr>
        <w:t xml:space="preserve">.</w:t>
      </w:r>
      <w:r>
        <w:rPr>
          <w:szCs w:val="21"/>
        </w:rPr>
        <w:t xml:space="preserve">监测毒品：分析监测的物质包括常见的毒品及其代谢产物和新精神活性物质。常见毒品及代谢物包括但不限于甲基苯丙胺、苯丙胺氯胺酮、去甲氯胺酮、吗啡、可待因、美沙酮、可卡因、摇头丸、大麻（四氢大麻酸）、氟胺酮；常见新精神活性物质包括但不限于PMMA、甲氧麻黄酮、MDPV、苄基哌嗪、甲卡西酮、依托咪酯 、替来他明、美托咪酯、（异）丙帕酯、依托咪酯酸、右美沙芬等。</w:t>
      </w:r>
      <w:r/>
    </w:p>
    <w:p>
      <w:pPr>
        <w:ind w:firstLine="420"/>
        <w:rPr>
          <w:szCs w:val="21"/>
        </w:rPr>
      </w:pPr>
      <w:r>
        <w:rPr>
          <w:szCs w:val="21"/>
        </w:rPr>
        <w:t xml:space="preserve">4</w:t>
      </w:r>
      <w:r>
        <w:rPr>
          <w:rFonts w:hint="eastAsia"/>
          <w:szCs w:val="21"/>
        </w:rPr>
        <w:t xml:space="preserve">.</w:t>
      </w:r>
      <w:r>
        <w:rPr>
          <w:szCs w:val="21"/>
        </w:rPr>
        <w:t xml:space="preserve">样品分析：样品的前处理采用过滤、固相萃取、氮吹、复溶等一系列实验专用技术对目标物进行净化、浓缩并使用液相色谱串联质谱进行样品分析，使污水中上述各类物质的分析检出限不高于2 ng/L。</w:t>
      </w:r>
      <w:r/>
    </w:p>
    <w:p>
      <w:pPr>
        <w:ind w:firstLine="420"/>
        <w:rPr>
          <w:szCs w:val="21"/>
        </w:rPr>
      </w:pPr>
      <w:r>
        <w:rPr>
          <w:szCs w:val="21"/>
        </w:rPr>
        <w:t xml:space="preserve">5</w:t>
      </w:r>
      <w:r>
        <w:rPr>
          <w:rFonts w:hint="eastAsia"/>
          <w:szCs w:val="21"/>
        </w:rPr>
        <w:t xml:space="preserve">.</w:t>
      </w:r>
      <w:r>
        <w:rPr>
          <w:szCs w:val="21"/>
        </w:rPr>
        <w:t xml:space="preserve">评估报告：根据监测结果确定监测区域主要滥用毒品及其总体滥用水平，确定毒品滥用相对显著的区域，并判断各监测区域是否有制毒行为；评估监测区域的毒情变化趋势，反映各区域禁毒工作成效和存在问题。</w:t>
      </w:r>
      <w:r/>
    </w:p>
    <w:p>
      <w:pPr>
        <w:ind w:firstLine="420"/>
        <w:rPr>
          <w:szCs w:val="21"/>
        </w:rPr>
      </w:pPr>
      <w:r>
        <w:rPr>
          <w:szCs w:val="21"/>
        </w:rPr>
        <w:t xml:space="preserve">6</w:t>
      </w:r>
      <w:r>
        <w:rPr>
          <w:rFonts w:hint="eastAsia"/>
          <w:szCs w:val="21"/>
        </w:rPr>
        <w:t xml:space="preserve">.</w:t>
      </w:r>
      <w:r>
        <w:rPr>
          <w:szCs w:val="21"/>
        </w:rPr>
        <w:t xml:space="preserve">结果解读：对各级禁毒部门及相关人员进行评估报告的解读，回答相关疑问。</w:t>
      </w:r>
      <w:r/>
    </w:p>
    <w:p>
      <w:pPr>
        <w:ind w:firstLine="420"/>
        <w:rPr>
          <w:szCs w:val="21"/>
        </w:rPr>
      </w:pPr>
      <w:r>
        <w:rPr>
          <w:rFonts w:hint="eastAsia"/>
          <w:szCs w:val="21"/>
        </w:rPr>
        <w:t xml:space="preserve">（三）人员和技术能力要求</w:t>
      </w:r>
      <w:r/>
    </w:p>
    <w:p>
      <w:pPr>
        <w:ind w:firstLine="420"/>
        <w:rPr>
          <w:szCs w:val="21"/>
        </w:rPr>
      </w:pPr>
      <w:r>
        <w:rPr>
          <w:szCs w:val="21"/>
        </w:rPr>
        <w:t xml:space="preserve">1</w:t>
      </w:r>
      <w:r>
        <w:rPr>
          <w:rFonts w:hint="eastAsia"/>
          <w:szCs w:val="21"/>
        </w:rPr>
        <w:t xml:space="preserve">.</w:t>
      </w:r>
      <w:r>
        <w:rPr>
          <w:szCs w:val="21"/>
        </w:rPr>
        <w:t xml:space="preserve">人员要求：成立专门项目小组负责，项目专职人员不少于5人，且需具有化学或环境等相关专业背景。其中，项目负责人至少具有中级及以上职称，且具有三年及以上从业经验。</w:t>
      </w:r>
      <w:r/>
    </w:p>
    <w:p>
      <w:pPr>
        <w:ind w:firstLine="420"/>
        <w:rPr>
          <w:szCs w:val="21"/>
        </w:rPr>
      </w:pPr>
      <w:r>
        <w:rPr>
          <w:szCs w:val="21"/>
        </w:rPr>
        <w:t xml:space="preserve">2</w:t>
      </w:r>
      <w:r>
        <w:rPr>
          <w:rFonts w:hint="eastAsia"/>
          <w:szCs w:val="21"/>
        </w:rPr>
        <w:t xml:space="preserve">.</w:t>
      </w:r>
      <w:r>
        <w:rPr>
          <w:szCs w:val="21"/>
        </w:rPr>
        <w:t xml:space="preserve">具备现场采样、测定、数据整理、分析能力。</w:t>
      </w:r>
      <w:r/>
    </w:p>
    <w:p>
      <w:pPr>
        <w:ind w:firstLine="420"/>
        <w:rPr>
          <w:szCs w:val="21"/>
        </w:rPr>
      </w:pPr>
      <w:r>
        <w:rPr>
          <w:szCs w:val="21"/>
        </w:rPr>
        <w:t xml:space="preserve">3</w:t>
      </w:r>
      <w:r>
        <w:rPr>
          <w:rFonts w:hint="eastAsia"/>
          <w:szCs w:val="21"/>
        </w:rPr>
        <w:t xml:space="preserve">.</w:t>
      </w:r>
      <w:r>
        <w:rPr>
          <w:szCs w:val="21"/>
        </w:rPr>
        <w:t xml:space="preserve">具备分析水体中痕量有机物的能力，拥有相应的水样前处理设备和分析仪器，至少包括液相色谱串联质谱仪、超纯水机、固相萃取仪（至少12孔）、氮吹仪（至少24位）、离心机和其它必要的辅助设备。</w:t>
      </w:r>
      <w:r/>
    </w:p>
    <w:p>
      <w:pPr>
        <w:ind w:firstLine="420"/>
        <w:rPr>
          <w:szCs w:val="21"/>
        </w:rPr>
      </w:pPr>
      <w:r>
        <w:rPr>
          <w:szCs w:val="21"/>
        </w:rPr>
        <w:t xml:space="preserve">4</w:t>
      </w:r>
      <w:r>
        <w:rPr>
          <w:rFonts w:hint="eastAsia"/>
          <w:szCs w:val="21"/>
        </w:rPr>
        <w:t xml:space="preserve">.</w:t>
      </w:r>
      <w:r>
        <w:rPr>
          <w:szCs w:val="21"/>
        </w:rPr>
        <w:t xml:space="preserve">供应商具有较强的科研能力。</w:t>
      </w:r>
      <w:r/>
    </w:p>
    <w:p>
      <w:pPr>
        <w:ind w:firstLine="420"/>
        <w:rPr>
          <w:szCs w:val="21"/>
        </w:rPr>
      </w:pPr>
      <w:r>
        <w:rPr>
          <w:rFonts w:hint="eastAsia"/>
          <w:szCs w:val="21"/>
        </w:rPr>
        <w:t xml:space="preserve">（四）质量控制要求</w:t>
      </w:r>
      <w:r/>
    </w:p>
    <w:p>
      <w:pPr>
        <w:ind w:firstLine="420"/>
        <w:rPr>
          <w:szCs w:val="21"/>
        </w:rPr>
      </w:pPr>
      <w:r>
        <w:rPr>
          <w:szCs w:val="21"/>
        </w:rPr>
        <w:t xml:space="preserve">1</w:t>
      </w:r>
      <w:r>
        <w:rPr>
          <w:rFonts w:hint="eastAsia"/>
          <w:szCs w:val="21"/>
        </w:rPr>
        <w:t xml:space="preserve">.</w:t>
      </w:r>
      <w:r>
        <w:rPr>
          <w:szCs w:val="21"/>
        </w:rPr>
        <w:t xml:space="preserve">样品采集：①必须严格执行连续7天、每天连续24小时（每2小时采集一次）混合样的方式，每季度监测完成后需提交样品采集实施过程要求的证明材料；②采样工作不得出现委托、转包的行为，必须由中标服务商全权完成；③采样过程须有完备的样品真实性控制措施，如采样防干扰措施、样品防掉包措施等；④甲方在工作开展过程中采取飞行检查、抽查的形式对以上规定要求开展监督。</w:t>
      </w:r>
      <w:r/>
    </w:p>
    <w:p>
      <w:pPr>
        <w:ind w:firstLine="420"/>
        <w:rPr>
          <w:szCs w:val="21"/>
        </w:rPr>
      </w:pPr>
      <w:r>
        <w:rPr>
          <w:szCs w:val="21"/>
        </w:rPr>
        <w:t xml:space="preserve">2</w:t>
      </w:r>
      <w:r>
        <w:rPr>
          <w:rFonts w:hint="eastAsia"/>
          <w:szCs w:val="21"/>
        </w:rPr>
        <w:t xml:space="preserve">.</w:t>
      </w:r>
      <w:r>
        <w:rPr>
          <w:szCs w:val="21"/>
        </w:rPr>
        <w:t xml:space="preserve">样品分析：需完整保留样品分析过程中的原始记录、原始数据和色谱、质谱谱图；每个样品均要留有备份样，以作数据核实和备查。</w:t>
      </w:r>
      <w:r/>
    </w:p>
    <w:p>
      <w:pPr>
        <w:ind w:firstLine="420"/>
        <w:rPr>
          <w:szCs w:val="21"/>
        </w:rPr>
      </w:pPr>
      <w:r>
        <w:rPr>
          <w:szCs w:val="21"/>
        </w:rPr>
        <w:t xml:space="preserve">3</w:t>
      </w:r>
      <w:r>
        <w:rPr>
          <w:rFonts w:hint="eastAsia"/>
          <w:szCs w:val="21"/>
        </w:rPr>
        <w:t xml:space="preserve">.</w:t>
      </w:r>
      <w:r>
        <w:rPr>
          <w:szCs w:val="21"/>
        </w:rPr>
        <w:t xml:space="preserve">评估报告：提交准确、完备的评估报告，包括但不限于评估结果、区域情况、毒情对比、新毒情预警、制毒风险评价、实施过程、评估方法和原始数据，同时要提交评估数据的计算过程、原始分析文件等。</w:t>
      </w:r>
      <w:r/>
    </w:p>
    <w:p>
      <w:pPr>
        <w:pStyle w:val="916"/>
        <w:ind w:firstLine="422"/>
        <w:spacing w:line="360" w:lineRule="auto"/>
        <w:rPr>
          <w:rFonts w:hAnsi="宋体" w:cs="宋体"/>
          <w:b/>
          <w:bCs/>
          <w:sz w:val="21"/>
          <w:szCs w:val="21"/>
        </w:rPr>
      </w:pPr>
      <w:r>
        <w:rPr>
          <w:rFonts w:hint="eastAsia" w:hAnsi="宋体" w:cs="宋体"/>
          <w:b/>
          <w:bCs/>
          <w:sz w:val="21"/>
          <w:szCs w:val="21"/>
        </w:rPr>
        <w:t xml:space="preserve">四、其他</w:t>
      </w:r>
      <w:r/>
    </w:p>
    <w:p>
      <w:pPr>
        <w:pStyle w:val="916"/>
        <w:ind w:firstLine="420"/>
        <w:spacing w:line="360" w:lineRule="auto"/>
        <w:rPr>
          <w:rFonts w:hAnsi="宋体" w:cs="宋体"/>
          <w:sz w:val="21"/>
          <w:szCs w:val="21"/>
        </w:rPr>
      </w:pPr>
      <w:r>
        <w:rPr>
          <w:rFonts w:hint="eastAsia" w:hAnsi="宋体" w:cs="宋体"/>
          <w:sz w:val="21"/>
          <w:szCs w:val="21"/>
        </w:rPr>
        <w:t xml:space="preserve">1.管理要求：遵守国家有关法律、法规的规定，严格履行法定职责，没有违法、违规记录；具有健全的组织结构和内部管理制度，能独立完成整个项目。</w:t>
      </w:r>
      <w:r/>
    </w:p>
    <w:p>
      <w:pPr>
        <w:pStyle w:val="916"/>
        <w:ind w:firstLine="420"/>
        <w:spacing w:line="360" w:lineRule="auto"/>
        <w:rPr>
          <w:rFonts w:hAnsi="宋体" w:cs="宋体"/>
          <w:sz w:val="21"/>
          <w:szCs w:val="21"/>
        </w:rPr>
      </w:pPr>
      <w:r>
        <w:rPr>
          <w:rFonts w:hint="eastAsia" w:hAnsi="宋体" w:cs="宋体"/>
          <w:sz w:val="21"/>
          <w:szCs w:val="21"/>
        </w:rPr>
        <w:t xml:space="preserve">2.保密要求：本项目所有分析数据应严格保密，未经采购人允许不得以任何方式向第三方透露。</w:t>
      </w:r>
      <w:r/>
    </w:p>
    <w:p>
      <w:pPr>
        <w:ind w:firstLine="422"/>
        <w:rPr>
          <w:b/>
          <w:bCs/>
          <w:szCs w:val="21"/>
        </w:rPr>
      </w:pPr>
      <w:r>
        <w:rPr>
          <w:rFonts w:hint="eastAsia"/>
          <w:b/>
          <w:bCs/>
          <w:szCs w:val="21"/>
        </w:rPr>
        <w:t xml:space="preserve">五、综合说明及其他要求：</w:t>
      </w:r>
      <w:r/>
    </w:p>
    <w:p>
      <w:pPr>
        <w:ind w:firstLine="420"/>
        <w:rPr>
          <w:rFonts w:cs="宋体"/>
          <w:bCs/>
          <w:szCs w:val="21"/>
        </w:rPr>
      </w:pPr>
      <w:r>
        <w:rPr>
          <w:rFonts w:hint="eastAsia" w:cs="宋体"/>
          <w:bCs/>
          <w:szCs w:val="21"/>
        </w:rPr>
        <w:t xml:space="preserve">1.投标单位提供的服务能够至少达到以上要求，同时明确详细的服务方案。</w:t>
      </w:r>
      <w:r/>
    </w:p>
    <w:p>
      <w:pPr>
        <w:ind w:firstLine="420"/>
        <w:rPr>
          <w:rFonts w:cs="宋体"/>
          <w:bCs/>
          <w:szCs w:val="21"/>
        </w:rPr>
      </w:pPr>
      <w:r>
        <w:rPr>
          <w:rFonts w:hint="eastAsia" w:cs="宋体"/>
          <w:bCs/>
          <w:szCs w:val="21"/>
        </w:rPr>
        <w:t xml:space="preserve">2.本项目报价包括全部货物和服务内容，</w:t>
      </w:r>
      <w:r>
        <w:rPr>
          <w:rFonts w:hint="eastAsia" w:cs="宋体"/>
          <w:szCs w:val="21"/>
        </w:rPr>
        <w:t xml:space="preserve">包括人工费、试剂、耗材、管理、保险、利润、税金、政策性文件规定及合同包含的复测及所有风险、责任等各项应有费用</w:t>
      </w:r>
      <w:r>
        <w:rPr>
          <w:rFonts w:hint="eastAsia" w:cs="宋体"/>
          <w:bCs/>
          <w:szCs w:val="21"/>
        </w:rPr>
        <w:t xml:space="preserve">。合同期价格不因服务期延长、物价变动及规范性、指导性、政策性文件等发生变化等因素而调整。</w:t>
      </w:r>
      <w:r/>
    </w:p>
    <w:p>
      <w:pPr>
        <w:ind w:firstLine="420"/>
        <w:rPr>
          <w:rFonts w:cs="宋体"/>
          <w:b/>
          <w:szCs w:val="21"/>
        </w:rPr>
      </w:pPr>
      <w:r>
        <w:rPr>
          <w:rFonts w:hint="eastAsia" w:cs="宋体"/>
          <w:bCs/>
          <w:szCs w:val="21"/>
        </w:rPr>
        <w:t xml:space="preserve">3.投标单位必须承诺招标文件中提出的全部要求，如果以其中某些条款不响应时，应在文件中逐条列出，未列出的视同响应。</w:t>
      </w:r>
      <w:r/>
    </w:p>
    <w:p>
      <w:r>
        <w:br w:type="page" w:clear="all"/>
      </w:r>
      <w:r/>
    </w:p>
    <w:p>
      <w:pPr>
        <w:pStyle w:val="746"/>
      </w:pPr>
      <w:r/>
      <w:bookmarkStart w:id="54" w:name="_Toc12442"/>
      <w:r>
        <w:t xml:space="preserve">第五章 合同主要条款</w:t>
      </w:r>
      <w:bookmarkEnd w:id="54"/>
      <w:r/>
      <w:r/>
    </w:p>
    <w:p>
      <w:pPr>
        <w:ind w:firstLine="420"/>
        <w:spacing w:line="480" w:lineRule="exact"/>
        <w:rPr>
          <w:szCs w:val="21"/>
        </w:rPr>
      </w:pPr>
      <w:r>
        <w:rPr>
          <w:szCs w:val="21"/>
        </w:rPr>
        <w:t xml:space="preserve">根据</w:t>
      </w:r>
      <w:r>
        <w:rPr>
          <w:szCs w:val="21"/>
          <w:u w:val="single"/>
        </w:rPr>
        <w:t xml:space="preserve">  </w:t>
      </w:r>
      <w:r>
        <w:rPr>
          <w:rFonts w:hint="eastAsia"/>
          <w:szCs w:val="21"/>
          <w:u w:val="single"/>
        </w:rPr>
        <w:t xml:space="preserve">昆山市公安局</w:t>
      </w:r>
      <w:r>
        <w:rPr>
          <w:szCs w:val="21"/>
          <w:u w:val="single"/>
        </w:rPr>
        <w:t xml:space="preserve">  </w:t>
      </w:r>
      <w:r>
        <w:rPr>
          <w:szCs w:val="21"/>
        </w:rPr>
        <w:t xml:space="preserve">招标编号为</w:t>
      </w:r>
      <w:r>
        <w:rPr>
          <w:szCs w:val="21"/>
          <w:u w:val="single"/>
        </w:rPr>
        <w:t xml:space="preserve">  </w:t>
      </w:r>
      <w:r>
        <w:rPr>
          <w:rFonts w:hint="eastAsia"/>
          <w:szCs w:val="21"/>
          <w:u w:val="single"/>
        </w:rPr>
        <w:t xml:space="preserve">JSZC-320583-KSXJ-G2026-0002  </w:t>
      </w:r>
      <w:r>
        <w:rPr>
          <w:szCs w:val="21"/>
        </w:rPr>
        <w:t xml:space="preserve">的招标文件及该文件的投标文件和中标通知书，甲乙双方就</w:t>
      </w:r>
      <w:r>
        <w:rPr>
          <w:szCs w:val="21"/>
          <w:u w:val="single"/>
        </w:rPr>
        <w:t xml:space="preserve"> </w:t>
      </w:r>
      <w:r>
        <w:rPr>
          <w:rFonts w:hint="eastAsia"/>
          <w:szCs w:val="21"/>
          <w:u w:val="single"/>
        </w:rPr>
        <w:t xml:space="preserve">2026-2027年度城市污水毒品滥用监测服务</w:t>
      </w:r>
      <w:r>
        <w:rPr>
          <w:szCs w:val="21"/>
          <w:u w:val="single"/>
        </w:rPr>
        <w:t xml:space="preserve"> </w:t>
      </w:r>
      <w:r>
        <w:rPr>
          <w:rFonts w:hint="eastAsia"/>
          <w:szCs w:val="21"/>
        </w:rPr>
        <w:t xml:space="preserve">等工作</w:t>
      </w:r>
      <w:r>
        <w:rPr>
          <w:szCs w:val="21"/>
        </w:rPr>
        <w:t xml:space="preserve">，签订本合同书。</w:t>
      </w:r>
      <w:r/>
    </w:p>
    <w:p>
      <w:pPr>
        <w:spacing w:line="480" w:lineRule="exact"/>
        <w:rPr>
          <w:rFonts w:cs="宋体"/>
          <w:b/>
          <w:bCs/>
          <w:szCs w:val="21"/>
        </w:rPr>
      </w:pPr>
      <w:r>
        <w:rPr>
          <w:rFonts w:hint="eastAsia" w:cs="宋体"/>
          <w:b/>
          <w:bCs/>
          <w:szCs w:val="21"/>
        </w:rPr>
        <w:t xml:space="preserve">一</w:t>
      </w:r>
      <w:r>
        <w:rPr>
          <w:rFonts w:hint="eastAsia" w:cs="宋体"/>
          <w:b/>
          <w:bCs/>
          <w:szCs w:val="21"/>
          <w:lang w:val="zh-CN"/>
        </w:rPr>
        <w:t xml:space="preserve">、下列文件为本合同不可分割部分：</w:t>
      </w:r>
      <w:r/>
    </w:p>
    <w:p>
      <w:pPr>
        <w:ind w:firstLine="420"/>
        <w:spacing w:line="480" w:lineRule="exact"/>
        <w:rPr>
          <w:rFonts w:cs="宋体"/>
          <w:szCs w:val="21"/>
        </w:rPr>
      </w:pPr>
      <w:r>
        <w:rPr>
          <w:rFonts w:hint="eastAsia" w:cs="宋体"/>
          <w:szCs w:val="21"/>
          <w:lang w:val="zh-CN"/>
        </w:rPr>
        <w:t xml:space="preserve">①</w:t>
      </w:r>
      <w:r>
        <w:rPr>
          <w:rFonts w:hint="eastAsia" w:cs="宋体"/>
          <w:szCs w:val="21"/>
        </w:rPr>
        <w:t xml:space="preserve"> 中标</w:t>
      </w:r>
      <w:r>
        <w:rPr>
          <w:rFonts w:hint="eastAsia" w:cs="宋体"/>
          <w:szCs w:val="21"/>
          <w:lang w:val="zh-CN"/>
        </w:rPr>
        <w:t xml:space="preserve">通知书；</w:t>
      </w:r>
      <w:r/>
    </w:p>
    <w:p>
      <w:pPr>
        <w:ind w:firstLine="420"/>
        <w:spacing w:line="480" w:lineRule="exact"/>
        <w:rPr>
          <w:rFonts w:cs="宋体"/>
          <w:szCs w:val="21"/>
        </w:rPr>
      </w:pPr>
      <w:r>
        <w:rPr>
          <w:rFonts w:hint="eastAsia" w:cs="宋体"/>
          <w:szCs w:val="21"/>
          <w:lang w:val="zh-CN"/>
        </w:rPr>
        <w:t xml:space="preserve">②</w:t>
      </w:r>
      <w:r>
        <w:rPr>
          <w:rFonts w:hint="eastAsia" w:cs="宋体"/>
          <w:szCs w:val="21"/>
        </w:rPr>
        <w:t xml:space="preserve"> </w:t>
      </w:r>
      <w:r>
        <w:rPr>
          <w:rFonts w:hint="eastAsia" w:cs="宋体"/>
          <w:szCs w:val="21"/>
          <w:lang w:val="zh-CN"/>
        </w:rPr>
        <w:t xml:space="preserve">乙方的投标文件；</w:t>
      </w:r>
      <w:r/>
    </w:p>
    <w:p>
      <w:pPr>
        <w:ind w:firstLine="420"/>
        <w:spacing w:line="480" w:lineRule="exact"/>
        <w:rPr>
          <w:rFonts w:cs="宋体"/>
          <w:szCs w:val="21"/>
        </w:rPr>
      </w:pPr>
      <w:r>
        <w:rPr>
          <w:rFonts w:hint="eastAsia" w:cs="宋体"/>
          <w:szCs w:val="21"/>
          <w:lang w:val="zh-CN"/>
        </w:rPr>
        <w:t xml:space="preserve">③</w:t>
      </w:r>
      <w:r>
        <w:rPr>
          <w:rFonts w:hint="eastAsia" w:cs="宋体"/>
          <w:szCs w:val="21"/>
        </w:rPr>
        <w:t xml:space="preserve"> </w:t>
      </w:r>
      <w:r>
        <w:rPr>
          <w:rFonts w:hint="eastAsia" w:cs="宋体"/>
          <w:szCs w:val="21"/>
          <w:lang w:val="zh-CN"/>
        </w:rPr>
        <w:t xml:space="preserve">乙方在招投标过程中所作的其它承诺、声明、书面澄清等；</w:t>
      </w:r>
      <w:r/>
    </w:p>
    <w:p>
      <w:pPr>
        <w:ind w:firstLine="420"/>
        <w:spacing w:line="480" w:lineRule="exact"/>
        <w:rPr>
          <w:rFonts w:cs="宋体"/>
          <w:szCs w:val="21"/>
        </w:rPr>
      </w:pPr>
      <w:r>
        <w:rPr>
          <w:rFonts w:hint="eastAsia" w:cs="宋体"/>
          <w:szCs w:val="21"/>
          <w:lang w:val="zh-CN"/>
        </w:rPr>
        <w:t xml:space="preserve">④</w:t>
      </w:r>
      <w:r>
        <w:rPr>
          <w:rFonts w:hint="eastAsia" w:cs="宋体"/>
          <w:szCs w:val="21"/>
        </w:rPr>
        <w:t xml:space="preserve"> </w:t>
      </w:r>
      <w:r>
        <w:rPr>
          <w:rFonts w:hint="eastAsia" w:cs="宋体"/>
          <w:szCs w:val="21"/>
          <w:lang w:val="zh-CN"/>
        </w:rPr>
        <w:t xml:space="preserve">招标文件及其附件；</w:t>
      </w:r>
      <w:r/>
    </w:p>
    <w:p>
      <w:pPr>
        <w:ind w:firstLine="420"/>
        <w:spacing w:line="480" w:lineRule="exact"/>
        <w:rPr>
          <w:rFonts w:cs="宋体"/>
          <w:szCs w:val="21"/>
        </w:rPr>
      </w:pPr>
      <w:r>
        <w:rPr>
          <w:rFonts w:hint="eastAsia" w:cs="宋体"/>
          <w:szCs w:val="21"/>
        </w:rPr>
        <w:t xml:space="preserve">⑤ </w:t>
      </w:r>
      <w:r>
        <w:rPr>
          <w:rFonts w:hint="eastAsia" w:cs="宋体"/>
          <w:szCs w:val="21"/>
          <w:lang w:val="zh-CN"/>
        </w:rPr>
        <w:t xml:space="preserve">合同附件。</w:t>
      </w:r>
      <w:r/>
    </w:p>
    <w:p>
      <w:pPr>
        <w:ind w:firstLine="420"/>
        <w:spacing w:line="480" w:lineRule="exact"/>
        <w:rPr>
          <w:rFonts w:cs="宋体"/>
          <w:szCs w:val="21"/>
          <w:lang w:val="zh-CN"/>
        </w:rPr>
      </w:pPr>
      <w:r>
        <w:rPr>
          <w:rFonts w:hint="eastAsia" w:cs="宋体"/>
          <w:szCs w:val="21"/>
          <w:lang w:val="zh-CN"/>
        </w:rPr>
        <w:t xml:space="preserve">以上与本合同具有同等法律效力</w:t>
      </w:r>
      <w:r>
        <w:rPr>
          <w:rFonts w:hint="eastAsia" w:cs="宋体"/>
          <w:szCs w:val="21"/>
        </w:rPr>
        <w:t xml:space="preserve">；</w:t>
      </w:r>
      <w:r>
        <w:rPr>
          <w:rFonts w:hint="eastAsia" w:cs="宋体"/>
          <w:szCs w:val="21"/>
          <w:lang w:val="zh-CN"/>
        </w:rPr>
        <w:t xml:space="preserve">如上述文件与本合同内容存在冲突的，双方认可按照本合同约定内容执行。</w:t>
      </w:r>
      <w:r/>
    </w:p>
    <w:p>
      <w:pPr>
        <w:spacing w:line="480" w:lineRule="exact"/>
        <w:rPr>
          <w:rFonts w:cs="宋体"/>
          <w:b/>
          <w:bCs/>
          <w:szCs w:val="21"/>
        </w:rPr>
      </w:pPr>
      <w:r>
        <w:rPr>
          <w:rFonts w:hint="eastAsia" w:cs="宋体"/>
          <w:b/>
          <w:bCs/>
          <w:szCs w:val="21"/>
        </w:rPr>
        <w:t xml:space="preserve">二、项目地点</w:t>
      </w:r>
      <w:r/>
    </w:p>
    <w:p>
      <w:pPr>
        <w:ind w:firstLine="420"/>
        <w:spacing w:line="480" w:lineRule="exact"/>
        <w:rPr>
          <w:rFonts w:cs="宋体"/>
          <w:szCs w:val="21"/>
        </w:rPr>
      </w:pPr>
      <w:r>
        <w:rPr>
          <w:rFonts w:hint="eastAsia" w:cs="宋体"/>
          <w:szCs w:val="21"/>
        </w:rPr>
        <w:t xml:space="preserve">项目名称：</w:t>
      </w:r>
      <w:r>
        <w:rPr>
          <w:rFonts w:hint="eastAsia"/>
          <w:szCs w:val="22"/>
          <w:u w:val="single"/>
        </w:rPr>
        <w:t xml:space="preserve">2026-2027年度城市污水毒品滥用监测服务</w:t>
      </w:r>
      <w:r/>
    </w:p>
    <w:p>
      <w:pPr>
        <w:ind w:firstLine="420"/>
        <w:spacing w:line="480" w:lineRule="exact"/>
        <w:rPr>
          <w:rFonts w:cs="宋体"/>
          <w:szCs w:val="21"/>
        </w:rPr>
      </w:pPr>
      <w:r>
        <w:rPr>
          <w:rFonts w:hint="eastAsia" w:cs="宋体"/>
          <w:szCs w:val="21"/>
        </w:rPr>
        <w:t xml:space="preserve">项目地点：甲方指定地点</w:t>
      </w:r>
      <w:r/>
    </w:p>
    <w:p>
      <w:pPr>
        <w:spacing w:line="480" w:lineRule="exact"/>
        <w:rPr>
          <w:rFonts w:cs="宋体"/>
          <w:szCs w:val="21"/>
        </w:rPr>
      </w:pPr>
      <w:r>
        <w:rPr>
          <w:rFonts w:hint="eastAsia" w:cs="宋体"/>
          <w:b/>
          <w:bCs/>
          <w:szCs w:val="21"/>
        </w:rPr>
        <w:t xml:space="preserve">三、合同价：</w:t>
      </w:r>
      <w:r/>
    </w:p>
    <w:p>
      <w:pPr>
        <w:ind w:firstLine="420"/>
        <w:spacing w:line="480" w:lineRule="exact"/>
        <w:rPr>
          <w:rFonts w:cs="宋体"/>
          <w:szCs w:val="21"/>
        </w:rPr>
      </w:pPr>
      <w:r>
        <w:rPr>
          <w:rFonts w:hint="eastAsia" w:cs="Arial"/>
          <w:szCs w:val="21"/>
        </w:rPr>
        <w:t xml:space="preserve">1.</w:t>
      </w:r>
      <w:r>
        <w:rPr>
          <w:rFonts w:hint="eastAsia" w:cs="宋体"/>
          <w:szCs w:val="21"/>
        </w:rPr>
        <w:t xml:space="preserve">合同总价按此次中标金额执行： </w:t>
      </w:r>
      <w:r>
        <w:rPr>
          <w:rFonts w:hint="eastAsia" w:cs="宋体"/>
          <w:szCs w:val="21"/>
          <w:u w:val="single"/>
        </w:rPr>
        <w:t xml:space="preserve">大写：            ，小写：￥         </w:t>
      </w:r>
      <w:r>
        <w:rPr>
          <w:rFonts w:hint="eastAsia" w:hAnsi="Calibri"/>
        </w:rPr>
        <w:t xml:space="preserve">，</w:t>
      </w:r>
      <w:r>
        <w:rPr>
          <w:rFonts w:hint="eastAsia" w:cs="宋体"/>
          <w:szCs w:val="21"/>
        </w:rPr>
        <w:t xml:space="preserve">在本项目实施过程中，合同总价不予调整，采购人不再支付合同价格以外的任何费用</w:t>
      </w:r>
      <w:r>
        <w:rPr>
          <w:rFonts w:ascii="Arial" w:cs="Arial"/>
          <w:szCs w:val="21"/>
        </w:rPr>
        <w:t xml:space="preserve">。</w:t>
      </w:r>
      <w:r/>
    </w:p>
    <w:p>
      <w:pPr>
        <w:ind w:firstLine="420"/>
        <w:spacing w:line="480" w:lineRule="exact"/>
        <w:rPr>
          <w:rFonts w:cs="宋体"/>
          <w:szCs w:val="21"/>
        </w:rPr>
      </w:pPr>
      <w:r>
        <w:rPr>
          <w:rFonts w:hint="eastAsia" w:cs="宋体"/>
          <w:szCs w:val="21"/>
        </w:rPr>
        <w:t xml:space="preserve">2.合同总价</w:t>
      </w:r>
      <w:r>
        <w:rPr>
          <w:rFonts w:hint="eastAsia" w:cs="宋体"/>
          <w:bCs/>
          <w:szCs w:val="21"/>
        </w:rPr>
        <w:t xml:space="preserve">包括全部货物和服务内容、</w:t>
      </w:r>
      <w:r>
        <w:rPr>
          <w:rFonts w:hint="eastAsia" w:cs="宋体"/>
          <w:szCs w:val="21"/>
        </w:rPr>
        <w:t xml:space="preserve">包括人工费、试剂、耗材、管理、保险、利润、税金、政策性文件规定及合同包含的复测及所有风险、责任等各项应有费用。合同期价格不因服务期延长、物价变动及规范性、指导性、政策性文件等发生变化等因素而调整</w:t>
      </w:r>
      <w:r>
        <w:rPr>
          <w:rFonts w:hint="eastAsia" w:cs="宋体"/>
          <w:bCs/>
          <w:szCs w:val="21"/>
        </w:rPr>
        <w:t xml:space="preserve">。</w:t>
      </w:r>
      <w:r/>
    </w:p>
    <w:p>
      <w:pPr>
        <w:ind w:firstLine="420"/>
        <w:rPr>
          <w:rFonts w:cs="Arial"/>
          <w:szCs w:val="21"/>
        </w:rPr>
      </w:pPr>
      <w:r>
        <w:rPr>
          <w:rFonts w:hint="eastAsia" w:cs="Arial"/>
          <w:bCs/>
          <w:szCs w:val="21"/>
        </w:rPr>
        <w:t xml:space="preserve">3.</w:t>
      </w:r>
      <w:r>
        <w:rPr>
          <w:rFonts w:hint="eastAsia" w:cs="Arial"/>
          <w:szCs w:val="21"/>
        </w:rPr>
        <w:t xml:space="preserve">中国政府根据现行税法征收的与本合同有关的一切税费。</w:t>
      </w:r>
      <w:r/>
    </w:p>
    <w:p>
      <w:pPr>
        <w:rPr>
          <w:rFonts w:cs="Arial"/>
          <w:b/>
          <w:bCs/>
          <w:szCs w:val="21"/>
        </w:rPr>
      </w:pPr>
      <w:r>
        <w:rPr>
          <w:rFonts w:hint="eastAsia" w:cs="Arial"/>
          <w:b/>
          <w:bCs/>
          <w:szCs w:val="21"/>
        </w:rPr>
        <w:t xml:space="preserve">四、服务内容：</w:t>
      </w:r>
      <w:r/>
    </w:p>
    <w:p>
      <w:pPr>
        <w:ind w:firstLine="420"/>
        <w:rPr>
          <w:szCs w:val="21"/>
        </w:rPr>
      </w:pPr>
      <w:r>
        <w:rPr>
          <w:szCs w:val="21"/>
        </w:rPr>
        <w:t xml:space="preserve">1</w:t>
      </w:r>
      <w:r>
        <w:rPr>
          <w:rFonts w:hint="eastAsia"/>
          <w:szCs w:val="21"/>
        </w:rPr>
        <w:t xml:space="preserve">.</w:t>
      </w:r>
      <w:r>
        <w:rPr>
          <w:szCs w:val="21"/>
        </w:rPr>
        <w:t xml:space="preserve">监测内容：对辖区的20个污水监测点（污水处理厂）开展季度采样监测，</w:t>
      </w:r>
      <w:r>
        <w:rPr>
          <w:rFonts w:hint="eastAsia"/>
          <w:color w:val="ff0000"/>
          <w:szCs w:val="21"/>
        </w:rPr>
        <w:t xml:space="preserve">每</w:t>
      </w:r>
      <w:r>
        <w:rPr>
          <w:color w:val="ff0000"/>
          <w:szCs w:val="21"/>
        </w:rPr>
        <w:t xml:space="preserve">年</w:t>
      </w:r>
      <w:r>
        <w:rPr>
          <w:szCs w:val="21"/>
        </w:rPr>
        <w:t xml:space="preserve">共监测四次。</w:t>
      </w:r>
      <w:r/>
    </w:p>
    <w:p>
      <w:pPr>
        <w:ind w:firstLine="420"/>
        <w:rPr>
          <w:szCs w:val="21"/>
        </w:rPr>
      </w:pPr>
      <w:r>
        <w:rPr>
          <w:szCs w:val="21"/>
        </w:rPr>
        <w:t xml:space="preserve">2</w:t>
      </w:r>
      <w:r>
        <w:rPr>
          <w:rFonts w:hint="eastAsia"/>
          <w:szCs w:val="21"/>
        </w:rPr>
        <w:t xml:space="preserve">.</w:t>
      </w:r>
      <w:r>
        <w:rPr>
          <w:szCs w:val="21"/>
        </w:rPr>
        <w:t xml:space="preserve">样品采集：所有监测点配备全自动污水采集器，每个监测点每次连续采集7天，每天采集一个连续24小时混合样，每个样品留存不少于500mL的备份样，</w:t>
      </w:r>
      <w:r>
        <w:rPr>
          <w:rFonts w:hint="eastAsia"/>
          <w:color w:val="ff0000"/>
          <w:szCs w:val="21"/>
        </w:rPr>
        <w:t xml:space="preserve">每</w:t>
      </w:r>
      <w:r>
        <w:rPr>
          <w:color w:val="ff0000"/>
          <w:szCs w:val="21"/>
        </w:rPr>
        <w:t xml:space="preserve">年</w:t>
      </w:r>
      <w:r>
        <w:rPr>
          <w:szCs w:val="21"/>
        </w:rPr>
        <w:t xml:space="preserve">合计采集样品560例。</w:t>
      </w:r>
      <w:r/>
    </w:p>
    <w:p>
      <w:pPr>
        <w:ind w:firstLine="420"/>
        <w:rPr>
          <w:szCs w:val="21"/>
        </w:rPr>
      </w:pPr>
      <w:r>
        <w:rPr>
          <w:szCs w:val="21"/>
        </w:rPr>
        <w:t xml:space="preserve">3</w:t>
      </w:r>
      <w:r>
        <w:rPr>
          <w:rFonts w:hint="eastAsia"/>
          <w:szCs w:val="21"/>
        </w:rPr>
        <w:t xml:space="preserve">.</w:t>
      </w:r>
      <w:r>
        <w:rPr>
          <w:szCs w:val="21"/>
        </w:rPr>
        <w:t xml:space="preserve">监测毒品：分析监测的物质包括常见的毒品及其代谢产物和新精神活性物质。常见毒品及代谢物包括但不限于甲基苯丙胺、苯丙胺氯胺酮、去甲氯胺酮、吗啡、可待因、美沙酮、可卡因、摇头丸、大麻（四氢大麻酸）、氟胺酮；常见新精神活性物质包括但不限于PMMA、甲氧麻黄酮、MDPV、苄基哌嗪、甲卡西酮、依托咪酯 、替来他明、美托咪酯、（异）丙帕酯、依托咪酯酸、右美沙芬等。</w:t>
      </w:r>
      <w:r/>
    </w:p>
    <w:p>
      <w:pPr>
        <w:ind w:firstLine="420"/>
        <w:rPr>
          <w:szCs w:val="21"/>
        </w:rPr>
      </w:pPr>
      <w:r>
        <w:rPr>
          <w:szCs w:val="21"/>
        </w:rPr>
        <w:t xml:space="preserve">4</w:t>
      </w:r>
      <w:r>
        <w:rPr>
          <w:rFonts w:hint="eastAsia"/>
          <w:szCs w:val="21"/>
        </w:rPr>
        <w:t xml:space="preserve">.</w:t>
      </w:r>
      <w:r>
        <w:rPr>
          <w:szCs w:val="21"/>
        </w:rPr>
        <w:t xml:space="preserve">样品分析：样品的前处理采用过滤、固相萃取、氮吹、复溶等一系列实验专用技术对目标物进行净化、浓缩并使用液相色谱串联质谱进行样品分析，使污水中上述各类物质的分析检出限不高于2 ng/L。</w:t>
      </w:r>
      <w:r/>
    </w:p>
    <w:p>
      <w:pPr>
        <w:ind w:firstLine="420"/>
        <w:rPr>
          <w:szCs w:val="21"/>
        </w:rPr>
      </w:pPr>
      <w:r>
        <w:rPr>
          <w:szCs w:val="21"/>
        </w:rPr>
        <w:t xml:space="preserve">5</w:t>
      </w:r>
      <w:r>
        <w:rPr>
          <w:rFonts w:hint="eastAsia"/>
          <w:szCs w:val="21"/>
        </w:rPr>
        <w:t xml:space="preserve">.</w:t>
      </w:r>
      <w:r>
        <w:rPr>
          <w:szCs w:val="21"/>
        </w:rPr>
        <w:t xml:space="preserve">评估报告：根据监测结果确定监测区域主要滥用毒品及其总体滥用水平，确定毒品滥用相对显著的区域，并判断各监测区域是否有制毒行为；评估监测区域的毒情变化趋势，反映各区域禁毒工作成效和存在问题。</w:t>
      </w:r>
      <w:r/>
    </w:p>
    <w:p>
      <w:pPr>
        <w:ind w:firstLine="420"/>
        <w:rPr>
          <w:rFonts w:cs="Arial"/>
          <w:b/>
          <w:bCs/>
          <w:szCs w:val="21"/>
        </w:rPr>
      </w:pPr>
      <w:r>
        <w:rPr>
          <w:szCs w:val="21"/>
        </w:rPr>
        <w:t xml:space="preserve">6</w:t>
      </w:r>
      <w:r>
        <w:rPr>
          <w:rFonts w:hint="eastAsia"/>
          <w:szCs w:val="21"/>
        </w:rPr>
        <w:t xml:space="preserve">.</w:t>
      </w:r>
      <w:r>
        <w:rPr>
          <w:szCs w:val="21"/>
        </w:rPr>
        <w:t xml:space="preserve">结果解读：对各级禁毒部门及相关人员进行评估报告的解读，回答相关疑问。</w:t>
      </w:r>
      <w:r/>
    </w:p>
    <w:p>
      <w:pPr>
        <w:rPr>
          <w:rFonts w:cs="Arial"/>
          <w:szCs w:val="21"/>
        </w:rPr>
      </w:pPr>
      <w:r>
        <w:rPr>
          <w:rFonts w:hint="eastAsia" w:cs="Arial"/>
          <w:b/>
          <w:bCs/>
          <w:szCs w:val="21"/>
        </w:rPr>
        <w:t xml:space="preserve">五、服务期：自合同签订之日起</w:t>
      </w:r>
      <w:r>
        <w:rPr>
          <w:rFonts w:hint="eastAsia" w:cs="Arial"/>
          <w:b/>
          <w:bCs/>
          <w:color w:val="ff0000"/>
          <w:szCs w:val="21"/>
        </w:rPr>
        <w:t xml:space="preserve">两年</w:t>
      </w:r>
      <w:r>
        <w:rPr>
          <w:rFonts w:hint="eastAsia" w:cs="Arial"/>
          <w:szCs w:val="21"/>
        </w:rPr>
        <w:t xml:space="preserve">。</w:t>
      </w:r>
      <w:r/>
    </w:p>
    <w:p>
      <w:pPr>
        <w:pStyle w:val="717"/>
        <w:ind w:firstLine="0"/>
        <w:rPr>
          <w:rFonts w:eastAsia="宋体" w:cs="Arial"/>
          <w:b/>
          <w:bCs/>
          <w:sz w:val="21"/>
          <w:szCs w:val="21"/>
        </w:rPr>
      </w:pPr>
      <w:r>
        <w:rPr>
          <w:rFonts w:hint="eastAsia" w:eastAsia="宋体" w:cs="Arial"/>
          <w:b/>
          <w:bCs/>
          <w:sz w:val="21"/>
          <w:szCs w:val="21"/>
        </w:rPr>
        <w:t xml:space="preserve">六、服务承诺：</w:t>
      </w:r>
      <w:r/>
    </w:p>
    <w:p>
      <w:pPr>
        <w:ind w:firstLine="420"/>
        <w:rPr>
          <w:szCs w:val="21"/>
        </w:rPr>
      </w:pPr>
      <w:r>
        <w:rPr>
          <w:rFonts w:hint="eastAsia"/>
          <w:szCs w:val="21"/>
        </w:rPr>
        <w:t xml:space="preserve">1.乙方应当按照合同、招标文件所约定的标准和要求，严格遵照国家、地区、行业对污水检测的规定提供服务，应遵守甲方规定并接受甲方的管理和甲方监督。</w:t>
      </w:r>
      <w:r/>
    </w:p>
    <w:p>
      <w:pPr>
        <w:ind w:firstLine="420"/>
        <w:rPr>
          <w:szCs w:val="21"/>
        </w:rPr>
      </w:pPr>
      <w:r>
        <w:rPr>
          <w:rFonts w:hint="eastAsia"/>
          <w:szCs w:val="21"/>
        </w:rPr>
        <w:t xml:space="preserve">2.乙方在合同期未经甲方书面的书面同意不得分包、转包，不准擅自停业。</w:t>
      </w:r>
      <w:r/>
    </w:p>
    <w:p>
      <w:pPr>
        <w:ind w:firstLine="420"/>
        <w:rPr>
          <w:szCs w:val="21"/>
        </w:rPr>
      </w:pPr>
      <w:r>
        <w:rPr>
          <w:rFonts w:hint="eastAsia"/>
          <w:szCs w:val="21"/>
        </w:rPr>
        <w:t xml:space="preserve">3.乙方须确保自身及其技术人员具备相应的营业执照、检测机构资质证书等本服务项目所需要的专业资质。</w:t>
      </w:r>
      <w:r/>
    </w:p>
    <w:p>
      <w:pPr>
        <w:ind w:firstLine="420"/>
        <w:rPr>
          <w:szCs w:val="21"/>
        </w:rPr>
      </w:pPr>
      <w:r>
        <w:rPr>
          <w:rFonts w:hint="eastAsia"/>
          <w:szCs w:val="21"/>
        </w:rPr>
        <w:t xml:space="preserve">4.乙方应当使用专业的检测设备和技术，确保检测结果的准确性和可靠性。</w:t>
      </w:r>
      <w:r/>
    </w:p>
    <w:p>
      <w:pPr>
        <w:ind w:firstLine="420"/>
        <w:rPr>
          <w:szCs w:val="21"/>
        </w:rPr>
      </w:pPr>
      <w:r>
        <w:rPr>
          <w:rFonts w:hint="eastAsia"/>
          <w:szCs w:val="21"/>
        </w:rPr>
        <w:t xml:space="preserve">5.乙方应当按时提交检测报告，并对报告内容的真实性、准确性负责。</w:t>
      </w:r>
      <w:r/>
    </w:p>
    <w:p>
      <w:pPr>
        <w:spacing w:line="400" w:lineRule="exact"/>
        <w:rPr>
          <w:rFonts w:cs="宋体"/>
          <w:szCs w:val="21"/>
        </w:rPr>
      </w:pPr>
      <w:r>
        <w:rPr>
          <w:rFonts w:hint="eastAsia" w:cs="Arial"/>
          <w:b/>
          <w:bCs/>
          <w:szCs w:val="21"/>
        </w:rPr>
        <w:t xml:space="preserve">七、</w:t>
      </w:r>
      <w:r>
        <w:rPr>
          <w:rFonts w:hint="eastAsia" w:cs="Arial"/>
          <w:b/>
          <w:szCs w:val="21"/>
        </w:rPr>
        <w:t xml:space="preserve">付款方式： </w:t>
      </w:r>
      <w:r/>
    </w:p>
    <w:p>
      <w:pPr>
        <w:ind w:firstLine="420"/>
        <w:spacing w:line="400" w:lineRule="exact"/>
        <w:rPr>
          <w:rFonts w:cs="宋体"/>
          <w:szCs w:val="21"/>
          <w:highlight w:val="yellow"/>
        </w:rPr>
      </w:pPr>
      <w:r>
        <w:rPr>
          <w:rFonts w:hint="eastAsia" w:cs="宋体"/>
          <w:szCs w:val="21"/>
        </w:rPr>
        <w:t xml:space="preserve">1.付款方式：按季度付款，每季度支付合同总价的</w:t>
      </w:r>
      <w:r>
        <w:rPr>
          <w:rFonts w:hint="eastAsia" w:cs="宋体"/>
          <w:szCs w:val="21"/>
          <w:lang w:val="en-US" w:eastAsia="zh-CN"/>
        </w:rPr>
        <w:t xml:space="preserve">12.5</w:t>
      </w:r>
      <w:r>
        <w:rPr>
          <w:rFonts w:hint="eastAsia" w:cs="宋体"/>
          <w:szCs w:val="21"/>
        </w:rPr>
        <w:t xml:space="preserve">%；</w:t>
      </w:r>
      <w:bookmarkStart w:id="59" w:name="_GoBack"/>
      <w:r/>
      <w:bookmarkEnd w:id="59"/>
      <w:r/>
      <w:r/>
    </w:p>
    <w:p>
      <w:pPr>
        <w:ind w:firstLine="420"/>
        <w:spacing w:line="400" w:lineRule="exact"/>
        <w:rPr>
          <w:rFonts w:ascii="Arial" w:hAnsi="Arial" w:cs="Arial"/>
          <w:szCs w:val="21"/>
        </w:rPr>
      </w:pPr>
      <w:r>
        <w:rPr>
          <w:rFonts w:hint="eastAsia" w:cs="宋体"/>
          <w:szCs w:val="21"/>
        </w:rPr>
        <w:t xml:space="preserve">2.</w:t>
      </w:r>
      <w:r>
        <w:rPr>
          <w:rFonts w:hint="eastAsia" w:ascii="Arial" w:hAnsi="Arial" w:cs="Arial"/>
          <w:szCs w:val="21"/>
        </w:rPr>
        <w:t xml:space="preserve">付款前乙方需出具发票至甲方，否则甲方有权拒绝付款，并不承担违约责任。</w:t>
      </w:r>
      <w:r/>
    </w:p>
    <w:p>
      <w:pPr>
        <w:tabs>
          <w:tab w:val="left" w:pos="0" w:leader="none"/>
        </w:tabs>
        <w:rPr>
          <w:b/>
          <w:szCs w:val="21"/>
        </w:rPr>
      </w:pPr>
      <w:r>
        <w:rPr>
          <w:rFonts w:hint="eastAsia"/>
          <w:b/>
          <w:bCs/>
        </w:rPr>
        <w:t xml:space="preserve">八、</w:t>
      </w:r>
      <w:r>
        <w:rPr>
          <w:rFonts w:hint="eastAsia"/>
          <w:b/>
          <w:szCs w:val="21"/>
        </w:rPr>
        <w:t xml:space="preserve">违约责任：</w:t>
      </w:r>
      <w:r/>
    </w:p>
    <w:p>
      <w:pPr>
        <w:ind w:firstLine="420"/>
        <w:rPr>
          <w:szCs w:val="21"/>
        </w:rPr>
      </w:pPr>
      <w:r>
        <w:rPr>
          <w:rFonts w:hint="eastAsia"/>
          <w:szCs w:val="21"/>
        </w:rPr>
        <w:t xml:space="preserve">1.甲方违约责任</w:t>
      </w:r>
      <w:r/>
    </w:p>
    <w:p>
      <w:pPr>
        <w:ind w:firstLine="420"/>
        <w:rPr>
          <w:szCs w:val="21"/>
        </w:rPr>
      </w:pPr>
      <w:r>
        <w:rPr>
          <w:rFonts w:hint="eastAsia"/>
          <w:szCs w:val="21"/>
        </w:rPr>
        <w:t xml:space="preserve">（1）合同生效后，甲方无故要求停止服务的，应向乙方偿付合同总价款的5%作为违约金，违约金不足以补偿损失的，乙方有权要求甲方补足。</w:t>
      </w:r>
      <w:r/>
    </w:p>
    <w:p>
      <w:pPr>
        <w:ind w:firstLine="420"/>
        <w:rPr>
          <w:szCs w:val="21"/>
        </w:rPr>
      </w:pPr>
      <w:r>
        <w:rPr>
          <w:rFonts w:hint="eastAsia"/>
          <w:szCs w:val="21"/>
        </w:rPr>
        <w:t xml:space="preserve">（2）甲方逾期支付合同金额的，应按照逾期付款金额的每天万分之四支付逾期付款违约金。</w:t>
      </w:r>
      <w:r/>
    </w:p>
    <w:p>
      <w:pPr>
        <w:ind w:firstLine="420"/>
        <w:rPr>
          <w:szCs w:val="21"/>
        </w:rPr>
      </w:pPr>
      <w:r>
        <w:rPr>
          <w:rFonts w:hint="eastAsia"/>
          <w:szCs w:val="21"/>
        </w:rPr>
        <w:t xml:space="preserve">2.乙方违约责任</w:t>
      </w:r>
      <w:r/>
    </w:p>
    <w:p>
      <w:pPr>
        <w:ind w:firstLine="420"/>
        <w:rPr>
          <w:szCs w:val="21"/>
        </w:rPr>
      </w:pPr>
      <w:r>
        <w:rPr>
          <w:rFonts w:hint="eastAsia"/>
          <w:szCs w:val="21"/>
        </w:rPr>
        <w:t xml:space="preserve">（1）合同生效后，乙方不能履行服务，或不能按采购要求履行服务的，甲方有权要求乙方停止服务，乙方应向甲方偿付合同总价款5%作为违约金，违约金不足以补偿甲方损失的，甲方有权要求乙方补足。</w:t>
      </w:r>
      <w:r/>
    </w:p>
    <w:p>
      <w:pPr>
        <w:ind w:firstLine="420"/>
        <w:rPr>
          <w:szCs w:val="21"/>
        </w:rPr>
      </w:pPr>
      <w:r>
        <w:rPr>
          <w:rFonts w:hint="eastAsia"/>
          <w:szCs w:val="21"/>
        </w:rPr>
        <w:t xml:space="preserve">（2）乙方逾期完工的，应按照逾期完工部分价款每天万分之四支付逾期完工违约金，同时承担甲方因此遭受的损失费用。</w:t>
      </w:r>
      <w:r/>
    </w:p>
    <w:p>
      <w:pPr>
        <w:ind w:firstLine="420"/>
        <w:rPr>
          <w:szCs w:val="21"/>
        </w:rPr>
      </w:pPr>
      <w:r>
        <w:rPr>
          <w:rFonts w:hint="eastAsia"/>
          <w:szCs w:val="21"/>
        </w:rPr>
        <w:t xml:space="preserve">（3）乙方未经甲方同意，擅自转包分包或违反保密条款的，甲方有权立即解除合同，并要求乙方退还已支付的款项，并按照合同总金额的20%承担违约责任。违约金不足以弥补损失的，甲方有权继续追偿。</w:t>
      </w:r>
      <w:r/>
    </w:p>
    <w:p>
      <w:pPr>
        <w:ind w:firstLine="420"/>
        <w:rPr>
          <w:szCs w:val="21"/>
        </w:rPr>
      </w:pPr>
      <w:r>
        <w:rPr>
          <w:rFonts w:hint="eastAsia"/>
          <w:szCs w:val="21"/>
        </w:rPr>
        <w:t xml:space="preserve">（4）因乙方违约给甲方造成的全部损失由乙方承担，包括但不限于甲方支出的赔偿费用、其他经济损失、甲方为实现合法权益而支出的调查费、鉴定费、诉讼费用及律师费等。</w:t>
      </w:r>
      <w:r/>
    </w:p>
    <w:p>
      <w:pPr>
        <w:ind w:firstLine="420"/>
        <w:rPr>
          <w:szCs w:val="21"/>
        </w:rPr>
      </w:pPr>
      <w:r>
        <w:rPr>
          <w:rFonts w:hint="eastAsia"/>
          <w:szCs w:val="21"/>
        </w:rPr>
        <w:t xml:space="preserve">（5）本合同约定的违约金或其他应付费用，甲方有权在合同费中扣除，也有权要求乙方另外支付。</w:t>
      </w:r>
      <w:r/>
    </w:p>
    <w:p>
      <w:pPr>
        <w:ind w:firstLine="420"/>
        <w:rPr>
          <w:szCs w:val="21"/>
        </w:rPr>
      </w:pPr>
      <w:r>
        <w:rPr>
          <w:rFonts w:hint="eastAsia"/>
          <w:szCs w:val="21"/>
        </w:rPr>
        <w:t xml:space="preserve">（6）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p>
    <w:p>
      <w:pPr>
        <w:tabs>
          <w:tab w:val="left" w:pos="0" w:leader="none"/>
        </w:tabs>
        <w:rPr>
          <w:b/>
          <w:szCs w:val="21"/>
        </w:rPr>
      </w:pPr>
      <w:r>
        <w:rPr>
          <w:rFonts w:hint="eastAsia"/>
          <w:b/>
          <w:szCs w:val="21"/>
        </w:rPr>
        <w:t xml:space="preserve">九</w:t>
      </w:r>
      <w:r>
        <w:rPr>
          <w:b/>
          <w:szCs w:val="21"/>
        </w:rPr>
        <w:t xml:space="preserve">、不可抗力</w:t>
      </w:r>
      <w:r/>
    </w:p>
    <w:p>
      <w:pPr>
        <w:ind w:firstLine="420"/>
        <w:tabs>
          <w:tab w:val="left" w:pos="840" w:leader="none"/>
        </w:tabs>
        <w:rPr>
          <w:szCs w:val="21"/>
        </w:rPr>
      </w:pPr>
      <w:r>
        <w:rPr>
          <w:rFonts w:hint="eastAsia"/>
          <w:szCs w:val="21"/>
        </w:rPr>
        <w:t xml:space="preserve">1.</w:t>
      </w:r>
      <w:r>
        <w:rPr>
          <w:szCs w:val="21"/>
        </w:rPr>
        <w:t xml:space="preserve">因不可抗力（或甲、乙双方不能控制的原因）不能履行</w:t>
      </w:r>
      <w:r>
        <w:rPr>
          <w:rFonts w:hint="eastAsia"/>
          <w:szCs w:val="21"/>
        </w:rPr>
        <w:t xml:space="preserve">本</w:t>
      </w:r>
      <w:r>
        <w:rPr>
          <w:szCs w:val="21"/>
        </w:rPr>
        <w:t xml:space="preserve">合同的，根据不可抗力的影响，部分或者全部免除责任。但合同一方迟延履行</w:t>
      </w:r>
      <w:r>
        <w:rPr>
          <w:rFonts w:hint="eastAsia"/>
          <w:szCs w:val="21"/>
        </w:rPr>
        <w:t xml:space="preserve">合同义务</w:t>
      </w:r>
      <w:r>
        <w:rPr>
          <w:szCs w:val="21"/>
        </w:rPr>
        <w:t xml:space="preserve">后发生不可抗力的，</w:t>
      </w:r>
      <w:r>
        <w:rPr>
          <w:rFonts w:hint="eastAsia"/>
          <w:szCs w:val="21"/>
        </w:rPr>
        <w:t xml:space="preserve">违约方</w:t>
      </w:r>
      <w:r>
        <w:rPr>
          <w:szCs w:val="21"/>
        </w:rPr>
        <w:t xml:space="preserve">不能免除责任。</w:t>
      </w:r>
      <w:r/>
    </w:p>
    <w:p>
      <w:pPr>
        <w:ind w:firstLine="420"/>
        <w:tabs>
          <w:tab w:val="left" w:pos="840" w:leader="none"/>
        </w:tabs>
        <w:rPr>
          <w:szCs w:val="21"/>
        </w:rPr>
      </w:pPr>
      <w:r>
        <w:rPr>
          <w:rFonts w:hint="eastAsia"/>
          <w:szCs w:val="21"/>
        </w:rPr>
        <w:t xml:space="preserve">2.合同一方因不可抗力不能履行合同的，应当及时通知对方，以减轻可能给对方造成的损失，并应当在合理期限内提供证明。</w:t>
      </w:r>
      <w:r/>
    </w:p>
    <w:p>
      <w:pPr>
        <w:tabs>
          <w:tab w:val="left" w:pos="0" w:leader="none"/>
        </w:tabs>
        <w:rPr>
          <w:b/>
          <w:szCs w:val="21"/>
        </w:rPr>
      </w:pPr>
      <w:r>
        <w:rPr>
          <w:rFonts w:hint="eastAsia"/>
          <w:b/>
          <w:szCs w:val="21"/>
        </w:rPr>
        <w:t xml:space="preserve">十、索赔</w:t>
      </w:r>
      <w:r/>
    </w:p>
    <w:p>
      <w:pPr>
        <w:ind w:firstLine="420"/>
        <w:rPr>
          <w:szCs w:val="21"/>
        </w:rPr>
      </w:pPr>
      <w:r>
        <w:rPr>
          <w:rFonts w:hint="eastAsia"/>
          <w:szCs w:val="21"/>
        </w:rPr>
        <w:t xml:space="preserve">1.甲方有权根据当地有权部门出具的相关事故报告向乙方提出索赔。</w:t>
      </w:r>
      <w:r/>
    </w:p>
    <w:p>
      <w:pPr>
        <w:ind w:firstLine="420"/>
        <w:rPr>
          <w:szCs w:val="21"/>
        </w:rPr>
      </w:pPr>
      <w:r>
        <w:rPr>
          <w:rFonts w:hint="eastAsia"/>
          <w:szCs w:val="21"/>
        </w:rPr>
        <w:t xml:space="preserve">2.在本合同规定的服务期限内，如果乙方对甲方提出的索赔负有责任，则乙方应按甲方同意的方式解决索赔事宜；</w:t>
      </w:r>
      <w:r/>
    </w:p>
    <w:p>
      <w:pPr>
        <w:ind w:firstLine="420"/>
        <w:rPr>
          <w:szCs w:val="21"/>
        </w:rPr>
      </w:pPr>
      <w:r>
        <w:rPr>
          <w:rFonts w:hint="eastAsia"/>
          <w:szCs w:val="21"/>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tabs>
          <w:tab w:val="left" w:pos="0" w:leader="none"/>
        </w:tabs>
        <w:rPr>
          <w:b/>
          <w:szCs w:val="21"/>
        </w:rPr>
      </w:pPr>
      <w:r>
        <w:rPr>
          <w:rFonts w:hint="eastAsia"/>
          <w:b/>
          <w:szCs w:val="21"/>
        </w:rPr>
        <w:t xml:space="preserve">十一、合同的解除和转让</w:t>
      </w:r>
      <w:r/>
    </w:p>
    <w:p>
      <w:pPr>
        <w:ind w:firstLine="420"/>
        <w:rPr>
          <w:szCs w:val="21"/>
        </w:rPr>
      </w:pPr>
      <w:r>
        <w:rPr>
          <w:rFonts w:hint="eastAsia"/>
          <w:szCs w:val="21"/>
        </w:rPr>
        <w:t xml:space="preserve">（一）合同的解除</w:t>
      </w:r>
      <w:r/>
    </w:p>
    <w:p>
      <w:pPr>
        <w:ind w:firstLine="420"/>
        <w:rPr>
          <w:szCs w:val="21"/>
        </w:rPr>
      </w:pPr>
      <w:r>
        <w:rPr>
          <w:rFonts w:hint="eastAsia"/>
          <w:szCs w:val="21"/>
        </w:rPr>
        <w:t xml:space="preserve">1.</w:t>
      </w:r>
      <w:r>
        <w:rPr>
          <w:szCs w:val="21"/>
        </w:rPr>
        <w:t xml:space="preserve">甲方和乙方协商一致，可以解除合同。</w:t>
      </w:r>
      <w:r/>
    </w:p>
    <w:p>
      <w:pPr>
        <w:ind w:firstLine="420"/>
        <w:rPr>
          <w:szCs w:val="21"/>
        </w:rPr>
      </w:pPr>
      <w:r>
        <w:rPr>
          <w:rFonts w:hint="eastAsia"/>
          <w:szCs w:val="21"/>
        </w:rPr>
        <w:t xml:space="preserve">2.</w:t>
      </w:r>
      <w:r>
        <w:rPr>
          <w:szCs w:val="21"/>
        </w:rPr>
        <w:t xml:space="preserve">有下列情形之一，合同一方可以解除合同：</w:t>
      </w:r>
      <w:r/>
    </w:p>
    <w:p>
      <w:pPr>
        <w:ind w:firstLine="420"/>
        <w:rPr>
          <w:szCs w:val="21"/>
        </w:rPr>
      </w:pPr>
      <w:r>
        <w:rPr>
          <w:rFonts w:hint="eastAsia"/>
          <w:szCs w:val="21"/>
        </w:rPr>
        <w:t xml:space="preserve">3.</w:t>
      </w:r>
      <w:r>
        <w:rPr>
          <w:szCs w:val="21"/>
        </w:rPr>
        <w:t xml:space="preserve">因不可抗力致使不能实现合同目的，一方有权解除合同；</w:t>
      </w:r>
      <w:r/>
    </w:p>
    <w:p>
      <w:pPr>
        <w:ind w:firstLine="420"/>
        <w:rPr>
          <w:szCs w:val="21"/>
        </w:rPr>
      </w:pPr>
      <w:r>
        <w:rPr>
          <w:rFonts w:hint="eastAsia"/>
          <w:szCs w:val="21"/>
        </w:rPr>
        <w:t xml:space="preserve">4.</w:t>
      </w:r>
      <w:r>
        <w:rPr>
          <w:szCs w:val="21"/>
        </w:rPr>
        <w:t xml:space="preserve">因合同一方违约导致合同不能履行，另一方有权解除合同</w:t>
      </w:r>
      <w:r/>
    </w:p>
    <w:p>
      <w:pPr>
        <w:ind w:firstLine="420"/>
        <w:rPr>
          <w:szCs w:val="21"/>
        </w:rPr>
      </w:pPr>
      <w:r>
        <w:rPr>
          <w:rFonts w:hint="eastAsia"/>
          <w:szCs w:val="21"/>
        </w:rPr>
        <w:t xml:space="preserve">（二）合同的转让： 合同的部分和全部都不得转让。</w:t>
      </w:r>
      <w:r/>
    </w:p>
    <w:p>
      <w:pPr>
        <w:rPr>
          <w:rFonts w:cs="宋体"/>
          <w:color w:val="000000"/>
          <w:szCs w:val="21"/>
        </w:rPr>
      </w:pPr>
      <w:r>
        <w:rPr>
          <w:rFonts w:hint="eastAsia"/>
          <w:b/>
          <w:szCs w:val="21"/>
        </w:rPr>
        <w:t xml:space="preserve">十二、保密</w:t>
      </w:r>
      <w:r/>
    </w:p>
    <w:p>
      <w:pPr>
        <w:ind w:firstLine="420"/>
        <w:rPr>
          <w:b/>
          <w:szCs w:val="21"/>
        </w:rPr>
      </w:pPr>
      <w:r>
        <w:rPr>
          <w:rFonts w:hint="eastAsia" w:cs="宋体"/>
          <w:color w:val="000000"/>
          <w:szCs w:val="21"/>
        </w:rPr>
        <w:t xml:space="preserve">在本合同订立前、履行中、解除或终止后，乙方及乙方参与本合同履行的人员对履行本合同过程中获取的和甲方提供的资料、信息负有严格保密责任。未经甲方事先书面许可，乙方不得向第三方提供或者披露因本合同的签订和履行而得知的与对方业务有关的资料和信息，法律、法规、规章或监管要求另有规定或本合同另有约定的除外。乙方因执行本合同之必要，向其关联公司提供或披露与甲方业务有关的资料和信息的，不受此限。</w:t>
      </w:r>
      <w:r/>
    </w:p>
    <w:p>
      <w:pPr>
        <w:rPr>
          <w:b/>
          <w:szCs w:val="21"/>
        </w:rPr>
      </w:pPr>
      <w:r>
        <w:rPr>
          <w:rFonts w:hint="eastAsia"/>
          <w:b/>
          <w:szCs w:val="21"/>
        </w:rPr>
        <w:t xml:space="preserve">十二、特别条款</w:t>
      </w:r>
      <w:r/>
    </w:p>
    <w:p>
      <w:pPr>
        <w:ind w:firstLine="420"/>
        <w:rPr>
          <w:szCs w:val="21"/>
        </w:rPr>
      </w:pPr>
      <w:r>
        <w:rPr>
          <w:rFonts w:hint="eastAsia"/>
          <w:szCs w:val="21"/>
        </w:rPr>
        <w:t xml:space="preserve">1．双方签约人为各自法定代表人或被授权代表。</w:t>
      </w:r>
      <w:r/>
    </w:p>
    <w:p>
      <w:pPr>
        <w:ind w:firstLine="420"/>
        <w:rPr>
          <w:szCs w:val="21"/>
        </w:rPr>
      </w:pPr>
      <w:r>
        <w:rPr>
          <w:rFonts w:hint="eastAsia"/>
          <w:szCs w:val="21"/>
        </w:rPr>
        <w:t xml:space="preserve">2．本合同系指本文件及其附件中的所有部分；其中招标文件、中标的投标文件、中标单位在招标过程中的澄清、承诺等为本合同不可缺少的必要组成部分。</w:t>
      </w:r>
      <w:r/>
    </w:p>
    <w:p>
      <w:pPr>
        <w:rPr>
          <w:b/>
          <w:szCs w:val="21"/>
        </w:rPr>
      </w:pPr>
      <w:r>
        <w:rPr>
          <w:rFonts w:hint="eastAsia"/>
          <w:b/>
          <w:szCs w:val="21"/>
        </w:rPr>
        <w:t xml:space="preserve">十三、其它</w:t>
      </w:r>
      <w:r/>
    </w:p>
    <w:p>
      <w:pPr>
        <w:ind w:firstLine="420"/>
        <w:rPr>
          <w:szCs w:val="21"/>
        </w:rPr>
      </w:pPr>
      <w:r>
        <w:rPr>
          <w:rFonts w:hint="eastAsia"/>
          <w:szCs w:val="21"/>
        </w:rPr>
        <w:t xml:space="preserve">1.甲乙双方签字盖章后生效，合同签订后应在规定时间内报政府采购部门备案。</w:t>
      </w:r>
      <w:r/>
    </w:p>
    <w:p>
      <w:pPr>
        <w:ind w:firstLine="420"/>
        <w:rPr>
          <w:szCs w:val="21"/>
        </w:rPr>
      </w:pPr>
      <w:r>
        <w:rPr>
          <w:rFonts w:hint="eastAsia"/>
          <w:szCs w:val="21"/>
        </w:rPr>
        <w:t xml:space="preserve">2.本合同未尽事宜，本合同未尽事宜应按《中华人民共和国民法典》《中华人民共和国政府采购法》等与招标相关之法规规定解释。</w:t>
      </w:r>
      <w:r/>
    </w:p>
    <w:p>
      <w:pPr>
        <w:ind w:firstLine="420"/>
        <w:rPr>
          <w:szCs w:val="21"/>
        </w:rPr>
      </w:pPr>
      <w:r>
        <w:rPr>
          <w:rFonts w:hint="eastAsia"/>
          <w:szCs w:val="21"/>
        </w:rPr>
        <w:t xml:space="preserve">3.甲乙双方因合同发生争议，签约双方应友好协商解决。协商不成，任何一方均可向甲方所在人民法院提起诉讼。</w:t>
      </w:r>
      <w:r/>
    </w:p>
    <w:p>
      <w:pPr>
        <w:pStyle w:val="717"/>
        <w:jc w:val="center"/>
        <w:rPr>
          <w:rFonts w:eastAsia="宋体" w:cs="宋体"/>
          <w:sz w:val="21"/>
          <w:szCs w:val="21"/>
        </w:rPr>
      </w:pPr>
      <w:r>
        <w:rPr>
          <w:rFonts w:hint="eastAsia" w:eastAsia="宋体" w:cs="宋体"/>
          <w:sz w:val="21"/>
          <w:szCs w:val="21"/>
        </w:rPr>
        <w:t xml:space="preserve">（以下无正文）</w:t>
      </w:r>
      <w:r/>
    </w:p>
    <w:p>
      <w:pPr>
        <w:ind w:firstLine="420"/>
        <w:rPr>
          <w:rFonts w:cs="宋体"/>
          <w:szCs w:val="21"/>
        </w:rPr>
      </w:pPr>
      <w:r>
        <w:rPr>
          <w:rFonts w:cs="宋体"/>
          <w:szCs w:val="21"/>
        </w:rPr>
      </w:r>
      <w:r/>
    </w:p>
    <w:p>
      <w:pPr>
        <w:rPr>
          <w:rFonts w:cs="宋体"/>
          <w:szCs w:val="21"/>
        </w:rPr>
      </w:pPr>
      <w:r>
        <w:rPr>
          <w:rFonts w:cs="宋体"/>
          <w:szCs w:val="21"/>
        </w:rPr>
      </w:r>
      <w:r/>
    </w:p>
    <w:p>
      <w:pPr>
        <w:ind w:firstLine="405"/>
        <w:rPr>
          <w:rFonts w:cs="Arial"/>
          <w:szCs w:val="21"/>
        </w:rPr>
      </w:pPr>
      <w:r>
        <w:rPr>
          <w:rFonts w:hint="eastAsia" w:cs="Arial"/>
          <w:szCs w:val="21"/>
        </w:rPr>
        <w:t xml:space="preserve">甲方：                                         乙方：</w:t>
      </w:r>
      <w:r/>
    </w:p>
    <w:p>
      <w:pPr>
        <w:ind w:firstLine="405"/>
        <w:rPr>
          <w:rFonts w:cs="Arial"/>
          <w:szCs w:val="21"/>
        </w:rPr>
      </w:pPr>
      <w:r>
        <w:rPr>
          <w:rFonts w:hint="eastAsia"/>
          <w:szCs w:val="21"/>
        </w:rPr>
        <w:t xml:space="preserve">法人</w:t>
      </w:r>
      <w:r>
        <w:rPr>
          <w:rFonts w:hint="eastAsia" w:cs="Arial"/>
          <w:szCs w:val="21"/>
        </w:rPr>
        <w:t xml:space="preserve">（授权代表）：                              </w:t>
      </w:r>
      <w:r>
        <w:rPr>
          <w:rFonts w:hint="eastAsia"/>
          <w:szCs w:val="21"/>
        </w:rPr>
        <w:t xml:space="preserve">法人</w:t>
      </w:r>
      <w:r>
        <w:rPr>
          <w:rFonts w:hint="eastAsia" w:cs="Arial"/>
          <w:szCs w:val="21"/>
        </w:rPr>
        <w:t xml:space="preserve">（授权代表）：</w:t>
      </w:r>
      <w:r/>
    </w:p>
    <w:p>
      <w:pPr>
        <w:ind w:firstLine="405"/>
        <w:rPr>
          <w:rFonts w:cs="Arial"/>
          <w:szCs w:val="21"/>
        </w:rPr>
      </w:pPr>
      <w:r>
        <w:rPr>
          <w:rFonts w:hint="eastAsia" w:cs="Arial"/>
          <w:szCs w:val="21"/>
        </w:rPr>
        <w:t xml:space="preserve">开户行：                                       开户行：</w:t>
      </w:r>
      <w:r/>
    </w:p>
    <w:p>
      <w:pPr>
        <w:ind w:firstLine="405"/>
        <w:rPr>
          <w:rFonts w:cs="Arial"/>
          <w:szCs w:val="21"/>
        </w:rPr>
      </w:pPr>
      <w:r>
        <w:rPr>
          <w:rFonts w:hint="eastAsia" w:cs="Arial"/>
          <w:szCs w:val="21"/>
        </w:rPr>
        <w:t xml:space="preserve">帐户：                                         帐户：</w:t>
      </w:r>
      <w:r/>
    </w:p>
    <w:p>
      <w:pPr>
        <w:ind w:firstLine="405"/>
        <w:rPr>
          <w:rFonts w:cs="Arial"/>
          <w:szCs w:val="21"/>
        </w:rPr>
      </w:pPr>
      <w:r>
        <w:rPr>
          <w:rFonts w:hint="eastAsia" w:cs="Arial"/>
          <w:szCs w:val="21"/>
        </w:rPr>
        <w:t xml:space="preserve">签约日期：</w:t>
      </w:r>
      <w:r/>
    </w:p>
    <w:p>
      <w:pPr>
        <w:rPr>
          <w:rFonts w:cs="Arial"/>
          <w:szCs w:val="21"/>
        </w:rPr>
      </w:pPr>
      <w:r>
        <w:rPr>
          <w:rFonts w:cs="Arial"/>
          <w:szCs w:val="21"/>
        </w:rPr>
        <w:br w:type="page" w:clear="all"/>
      </w:r>
      <w:r/>
    </w:p>
    <w:p>
      <w:pPr>
        <w:pStyle w:val="746"/>
      </w:pPr>
      <w:r/>
      <w:bookmarkStart w:id="55" w:name="_Toc13943"/>
      <w:r>
        <w:t xml:space="preserve">第六章 评标方法、评分标准</w:t>
      </w:r>
      <w:bookmarkEnd w:id="55"/>
      <w:r/>
      <w:r/>
    </w:p>
    <w:p>
      <w:pPr>
        <w:ind w:firstLine="422"/>
        <w:rPr>
          <w:rFonts w:cs="宋体"/>
          <w:b/>
          <w:bCs/>
          <w:szCs w:val="21"/>
        </w:rPr>
      </w:pPr>
      <w:r>
        <w:rPr>
          <w:rFonts w:hint="eastAsia" w:cs="宋体"/>
          <w:b/>
          <w:szCs w:val="21"/>
        </w:rPr>
        <w:t xml:space="preserve">一、评标方法：</w:t>
      </w:r>
      <w:r/>
    </w:p>
    <w:p>
      <w:pPr>
        <w:ind w:firstLine="420"/>
        <w:rPr>
          <w:rFonts w:cs="宋体"/>
          <w:szCs w:val="21"/>
        </w:rPr>
      </w:pPr>
      <w:r>
        <w:rPr>
          <w:rFonts w:hint="eastAsia" w:cs="宋体"/>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rPr>
          <w:rFonts w:cs="宋体"/>
          <w:szCs w:val="21"/>
        </w:rPr>
      </w:pPr>
      <w:r>
        <w:rPr>
          <w:rFonts w:hint="eastAsia" w:cs="宋体"/>
          <w:szCs w:val="21"/>
        </w:rPr>
        <w:t xml:space="preserve">2.综合评分的主要因素为：价格、技术、方案、团队、服务、对招标文件的响应程度，以及相应的比重或者数值等。总分值100分，价格分值占总分值的比重为10%（权重），技术与质量及其它90%（权重）。</w:t>
      </w:r>
      <w:r/>
    </w:p>
    <w:p>
      <w:pPr>
        <w:pStyle w:val="91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en-US"/>
        </w:rPr>
        <w:t xml:space="preserve">.</w:t>
      </w:r>
      <w:r>
        <w:rPr>
          <w:rFonts w:hint="eastAsia" w:ascii="宋体" w:hAnsi="宋体" w:cs="宋体"/>
          <w:szCs w:val="21"/>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w:t>
      </w:r>
      <w:r/>
    </w:p>
    <w:p>
      <w:pPr>
        <w:ind w:firstLine="422"/>
        <w:rPr>
          <w:rFonts w:cs="宋体"/>
          <w:b/>
          <w:szCs w:val="21"/>
        </w:rPr>
      </w:pPr>
      <w:r>
        <w:rPr>
          <w:rFonts w:hint="eastAsia" w:cs="宋体"/>
          <w:b/>
          <w:szCs w:val="21"/>
        </w:rPr>
        <w:t xml:space="preserve">二、采购政策</w:t>
      </w:r>
      <w:r/>
    </w:p>
    <w:p>
      <w:pPr>
        <w:ind w:firstLine="420"/>
        <w:rPr>
          <w:szCs w:val="21"/>
        </w:rPr>
      </w:pPr>
      <w:r>
        <w:rPr>
          <w:szCs w:val="21"/>
        </w:rPr>
        <w:t xml:space="preserve">（一）</w:t>
      </w:r>
      <w:r>
        <w:rPr>
          <w:rFonts w:hint="eastAsia"/>
          <w:szCs w:val="21"/>
        </w:rPr>
        <w:t xml:space="preserve">中、</w:t>
      </w:r>
      <w:r>
        <w:rPr>
          <w:szCs w:val="21"/>
        </w:rPr>
        <w:t xml:space="preserve">小企业</w:t>
      </w:r>
      <w:r/>
    </w:p>
    <w:p>
      <w:pPr>
        <w:ind w:firstLine="420"/>
        <w:rPr>
          <w:b/>
          <w:bCs/>
          <w:szCs w:val="21"/>
        </w:rPr>
      </w:pPr>
      <w:r>
        <w:rPr>
          <w:rFonts w:hint="eastAsia"/>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b/>
          <w:szCs w:val="21"/>
        </w:rPr>
        <w:t xml:space="preserve">加盖公章后的《中小企业声明函》电子件放置于投标文件中提交，未提交则不享受预留采购份额政策。</w:t>
      </w:r>
      <w:r/>
    </w:p>
    <w:p>
      <w:pPr>
        <w:ind w:firstLine="420"/>
        <w:rPr>
          <w:szCs w:val="21"/>
        </w:rPr>
      </w:pPr>
      <w:r>
        <w:rPr>
          <w:szCs w:val="21"/>
        </w:rPr>
        <w:t xml:space="preserve">（二）残疾人福利性单位</w:t>
      </w:r>
      <w:r/>
    </w:p>
    <w:p>
      <w:pPr>
        <w:ind w:firstLine="420"/>
        <w:rPr>
          <w:b/>
          <w:szCs w:val="21"/>
        </w:rPr>
      </w:pPr>
      <w:r>
        <w:rPr>
          <w:rFonts w:hint="eastAsia"/>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b/>
          <w:bCs/>
          <w:szCs w:val="21"/>
        </w:rPr>
        <w:t xml:space="preserve">加盖公章后的《残疾人福利性单位声明函》电子件放置于投标文件中提交，未提交则不享受预留采购份额政策。</w:t>
      </w:r>
      <w:r/>
    </w:p>
    <w:p>
      <w:pPr>
        <w:ind w:firstLine="420"/>
        <w:rPr>
          <w:szCs w:val="21"/>
        </w:rPr>
      </w:pPr>
      <w:r>
        <w:rPr>
          <w:szCs w:val="21"/>
        </w:rPr>
        <w:t xml:space="preserve">（三）监狱企业</w:t>
      </w:r>
      <w:r/>
    </w:p>
    <w:p>
      <w:pPr>
        <w:ind w:firstLine="420"/>
        <w:rPr>
          <w:b/>
          <w:bCs/>
          <w:szCs w:val="21"/>
        </w:rPr>
      </w:pPr>
      <w:r>
        <w:rPr>
          <w:rFonts w:hint="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b/>
          <w:bCs/>
          <w:szCs w:val="21"/>
        </w:rPr>
        <w:t xml:space="preserve">证明文件电子件放置于投标文件中提交，未提交则不享受预留采购份额政策。</w:t>
      </w:r>
      <w:r/>
    </w:p>
    <w:p>
      <w:pPr>
        <w:ind w:firstLine="420"/>
        <w:rPr>
          <w:szCs w:val="21"/>
        </w:rPr>
      </w:pPr>
      <w:r>
        <w:rPr>
          <w:rFonts w:hint="eastAsia"/>
          <w:szCs w:val="21"/>
        </w:rPr>
        <w:t xml:space="preserve">（四）绿色采购</w:t>
      </w:r>
      <w:r/>
    </w:p>
    <w:p>
      <w:pPr>
        <w:ind w:firstLine="420"/>
        <w:rPr>
          <w:color w:val="000000"/>
          <w:szCs w:val="21"/>
        </w:rPr>
      </w:pPr>
      <w:r>
        <w:rPr>
          <w:color w:val="333333"/>
        </w:rPr>
        <w:t xml:space="preserve">根据《关于调整优化节能产品、环境标志产品政府采购执行机制的通知》（财库〔2019〕9号）等相关文件的规定，</w:t>
      </w:r>
      <w:r>
        <w:rPr>
          <w:rFonts w:hint="eastAsia"/>
          <w:color w:val="000000"/>
          <w:szCs w:val="21"/>
        </w:rPr>
        <w:t xml:space="preserve">若本次采购货物中包含有《节能产品政府采购品目清单》、</w:t>
      </w:r>
      <w:r>
        <w:rPr>
          <w:rFonts w:hint="eastAsia"/>
          <w:szCs w:val="21"/>
        </w:rPr>
        <w:t xml:space="preserve">《环境标志产品政府采购品目清单》</w:t>
      </w:r>
      <w:r>
        <w:rPr>
          <w:rFonts w:hint="eastAsia"/>
          <w:color w:val="000000"/>
          <w:szCs w:val="21"/>
        </w:rPr>
        <w:t xml:space="preserve">中规定的政府强制采购产品的，</w:t>
      </w:r>
      <w:r>
        <w:rPr>
          <w:rFonts w:hint="eastAsia"/>
          <w:b/>
          <w:color w:val="000000"/>
          <w:szCs w:val="21"/>
        </w:rPr>
        <w:t xml:space="preserve">投标人须在投标文件中提供产品有效期内的节能产品认证证书扫描件，否则将被认定为未实质性响应招标文件要求。</w:t>
      </w:r>
      <w:r/>
    </w:p>
    <w:p>
      <w:pPr>
        <w:ind w:firstLine="420"/>
        <w:rPr>
          <w:color w:val="000000"/>
          <w:szCs w:val="21"/>
        </w:rPr>
      </w:pPr>
      <w:r>
        <w:rPr>
          <w:rFonts w:hint="eastAsia"/>
          <w:color w:val="000000"/>
          <w:szCs w:val="21"/>
        </w:rPr>
        <w:t xml:space="preserve">如采购标的涉及包装的，投标人须按《商品包装政府采购需求标准（试行）》《快递包装政府采购需求标准（试行）〉》（财办库〔2020〕123号）执行。</w:t>
      </w:r>
      <w:r/>
    </w:p>
    <w:p>
      <w:pPr>
        <w:ind w:firstLine="420"/>
        <w:rPr>
          <w:szCs w:val="21"/>
        </w:rPr>
      </w:pPr>
      <w:r>
        <w:rPr>
          <w:rFonts w:hint="eastAsia"/>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rPr>
          <w:rFonts w:cs="宋体"/>
          <w:b/>
          <w:szCs w:val="21"/>
        </w:rPr>
      </w:pPr>
      <w:r>
        <w:rPr>
          <w:rFonts w:hint="eastAsia" w:cs="宋体"/>
          <w:b/>
          <w:szCs w:val="21"/>
        </w:rPr>
        <w:t xml:space="preserve">三、评分标准</w:t>
      </w:r>
      <w:r/>
    </w:p>
    <w:p>
      <w:pPr>
        <w:ind w:firstLine="420"/>
        <w:rPr>
          <w:rFonts w:cs="宋体"/>
          <w:szCs w:val="21"/>
        </w:rPr>
      </w:pPr>
      <w:r>
        <w:rPr>
          <w:rFonts w:hint="eastAsia" w:cs="宋体"/>
          <w:szCs w:val="21"/>
        </w:rPr>
        <w:t xml:space="preserve">（一）价格（10分）</w:t>
      </w:r>
      <w:r/>
    </w:p>
    <w:p>
      <w:pPr>
        <w:ind w:firstLine="420"/>
        <w:rPr>
          <w:rFonts w:cs="宋体"/>
          <w:szCs w:val="21"/>
        </w:rPr>
      </w:pPr>
      <w:r>
        <w:rPr>
          <w:rFonts w:hint="eastAsia" w:cs="宋体"/>
          <w:szCs w:val="21"/>
        </w:rPr>
        <w:t xml:space="preserve">1、</w:t>
      </w:r>
      <w:r>
        <w:rPr>
          <w:rFonts w:hint="eastAsia"/>
        </w:rPr>
        <w:t xml:space="preserve">投标价</w:t>
      </w:r>
      <w:r>
        <w:rPr>
          <w:rFonts w:hint="eastAsia" w:cs="宋体"/>
          <w:szCs w:val="21"/>
        </w:rPr>
        <w:t xml:space="preserve">低于或等于预算价格的，为有效投标报价。超预算的投标报价为无效投标报价。无效投标报价的投标文件不进行评审，也不得中标。</w:t>
      </w:r>
      <w:r/>
    </w:p>
    <w:p>
      <w:pPr>
        <w:ind w:firstLine="420"/>
        <w:rPr>
          <w:rFonts w:cs="宋体"/>
          <w:szCs w:val="21"/>
        </w:rPr>
      </w:pPr>
      <w:r>
        <w:rPr>
          <w:rFonts w:hint="eastAsia" w:cs="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2"/>
        <w:rPr>
          <w:b/>
          <w:color w:val="000000"/>
          <w:szCs w:val="21"/>
          <w:highlight w:val="yellow"/>
        </w:rPr>
      </w:pPr>
      <w:r>
        <w:rPr>
          <w:rFonts w:hint="eastAsia"/>
          <w:b/>
          <w:color w:val="000000"/>
          <w:szCs w:val="21"/>
          <w:highlight w:val="yellow"/>
        </w:rPr>
        <w:t xml:space="preserve">3、评审过程中出现下列情形之一的，评审委员会应当启动异常低价投标(响应）审查程序：</w:t>
      </w:r>
      <w:r/>
    </w:p>
    <w:p>
      <w:pPr>
        <w:ind w:firstLine="422"/>
        <w:rPr>
          <w:b/>
          <w:color w:val="000000"/>
          <w:szCs w:val="21"/>
          <w:highlight w:val="yellow"/>
        </w:rPr>
      </w:pPr>
      <w:r>
        <w:rPr>
          <w:rFonts w:hint="eastAsia"/>
          <w:b/>
          <w:color w:val="000000"/>
          <w:szCs w:val="21"/>
          <w:highlight w:val="yellow"/>
        </w:rPr>
        <w:t xml:space="preserve">3.1投标(响应)报价低于全部通过符合性审查供应商投标(响应)报价平均值50%的，即投标(响应)报价＜全部通过符合性审查供应商投标(响应)报价平均值*50%;</w:t>
      </w:r>
      <w:r/>
    </w:p>
    <w:p>
      <w:pPr>
        <w:ind w:firstLine="422"/>
        <w:rPr>
          <w:b/>
          <w:color w:val="000000"/>
          <w:szCs w:val="21"/>
          <w:highlight w:val="yellow"/>
        </w:rPr>
      </w:pPr>
      <w:r>
        <w:rPr>
          <w:rFonts w:hint="eastAsia"/>
          <w:b/>
          <w:color w:val="000000"/>
          <w:szCs w:val="21"/>
          <w:highlight w:val="yellow"/>
        </w:rPr>
        <w:t xml:space="preserve">3.2投标(响应)报价低于通过符合性审查的次低报价供应商投标(响应)报价50%的，即投标(响应)报价＜通过符合性审查的次低报价供应商投标(响应)报价*50%;</w:t>
      </w:r>
      <w:r/>
    </w:p>
    <w:p>
      <w:pPr>
        <w:ind w:firstLine="422"/>
        <w:rPr>
          <w:b/>
          <w:color w:val="000000"/>
          <w:szCs w:val="21"/>
          <w:highlight w:val="yellow"/>
        </w:rPr>
      </w:pPr>
      <w:r>
        <w:rPr>
          <w:rFonts w:hint="eastAsia"/>
          <w:b/>
          <w:color w:val="000000"/>
          <w:szCs w:val="21"/>
          <w:highlight w:val="yellow"/>
        </w:rPr>
        <w:t xml:space="preserve">3.3投标（响应）报价低于采购项目最高限价45%的，即投标（响应）报价＜采购项目最高限价*45%；</w:t>
      </w:r>
      <w:r/>
    </w:p>
    <w:p>
      <w:pPr>
        <w:ind w:firstLine="422"/>
        <w:rPr>
          <w:b/>
          <w:color w:val="000000"/>
          <w:szCs w:val="21"/>
          <w:highlight w:val="yellow"/>
        </w:rPr>
      </w:pPr>
      <w:r>
        <w:rPr>
          <w:rFonts w:hint="eastAsia"/>
          <w:b/>
          <w:color w:val="000000"/>
          <w:szCs w:val="21"/>
          <w:highlight w:val="yellow"/>
        </w:rPr>
        <w:t xml:space="preserve">3.4评审委员会基于专业判断，认为供应商报价过低，有可能影响产品质量或者不能诚信履约的其他情形。</w:t>
      </w:r>
      <w:r/>
    </w:p>
    <w:p>
      <w:pPr>
        <w:ind w:firstLine="422"/>
        <w:rPr>
          <w:b/>
          <w:color w:val="000000"/>
          <w:szCs w:val="21"/>
        </w:rPr>
      </w:pPr>
      <w:r>
        <w:rPr>
          <w:rFonts w:hint="eastAsia"/>
          <w:b/>
          <w:color w:val="000000"/>
          <w:szCs w:val="21"/>
          <w:highlight w:val="yellow"/>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cs="宋体"/>
          <w:szCs w:val="21"/>
        </w:rPr>
      </w:pPr>
      <w:r>
        <w:rPr>
          <w:rFonts w:hint="eastAsia" w:cs="宋体"/>
          <w:szCs w:val="21"/>
        </w:rPr>
        <w:t xml:space="preserve">4、价格分采用低价优先法计算，即满足招标文件要求且投标价格最低的投标报价为评标基准价，其价格分为满分10分。其他投标人的价格分统一按照下列公式计算：</w:t>
      </w:r>
      <w:r/>
    </w:p>
    <w:p>
      <w:pPr>
        <w:ind w:firstLine="420"/>
        <w:rPr>
          <w:rFonts w:cs="宋体"/>
          <w:szCs w:val="21"/>
        </w:rPr>
      </w:pPr>
      <w:r>
        <w:rPr>
          <w:rFonts w:hint="eastAsia" w:cs="宋体"/>
          <w:szCs w:val="21"/>
        </w:rPr>
        <w:t xml:space="preserve">投标报价得分=（评标基准价/投标报价）*价格权重*100，小数点后保留两位。</w:t>
      </w:r>
      <w:r/>
    </w:p>
    <w:p>
      <w:pPr>
        <w:ind w:firstLine="420"/>
        <w:rPr>
          <w:bCs/>
          <w:szCs w:val="21"/>
        </w:rPr>
      </w:pPr>
      <w:r>
        <w:rPr>
          <w:rFonts w:hint="eastAsia"/>
          <w:bCs/>
          <w:szCs w:val="21"/>
        </w:rPr>
        <w:t xml:space="preserve">（二）技术及其它（90分）：</w:t>
      </w:r>
      <w:r/>
    </w:p>
    <w:p>
      <w:pPr>
        <w:ind w:firstLine="420"/>
        <w:rPr>
          <w:rFonts w:cs="宋体"/>
          <w:b/>
          <w:szCs w:val="21"/>
        </w:rPr>
      </w:pPr>
      <w:r>
        <w:rPr>
          <w:rFonts w:hint="eastAsia" w:cs="宋体"/>
          <w:bCs/>
          <w:szCs w:val="21"/>
        </w:rPr>
        <w:t xml:space="preserve">初审评审指标</w:t>
      </w:r>
      <w:r/>
    </w:p>
    <w:tbl>
      <w:tblPr>
        <w:tblStyle w:val="716"/>
        <w:tblW w:w="8558" w:type="dxa"/>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gridCol w:w="868"/>
      </w:tblGrid>
      <w:tr>
        <w:trPr>
          <w:trHeight w:val="524"/>
        </w:trPr>
        <w:tc>
          <w:tcPr>
            <w:tcW w:w="3601" w:type="dxa"/>
            <w:vAlign w:val="center"/>
            <w:textDirection w:val="lrTb"/>
            <w:noWrap/>
          </w:tcPr>
          <w:p>
            <w:pPr>
              <w:jc w:val="center"/>
              <w:spacing w:line="240" w:lineRule="auto"/>
              <w:tabs>
                <w:tab w:val="center" w:pos="1752" w:leader="none"/>
                <w:tab w:val="right" w:pos="3385" w:leader="none"/>
              </w:tabs>
              <w:rPr>
                <w:rFonts w:cs="宋体"/>
                <w:szCs w:val="21"/>
              </w:rPr>
            </w:pPr>
            <w:r/>
            <w:bookmarkStart w:id="56" w:name="gpc_accord_horizontal_1"/>
            <w:r>
              <w:rPr>
                <w:rFonts w:hint="eastAsia" w:cs="宋体"/>
                <w:szCs w:val="21"/>
              </w:rPr>
              <w:t xml:space="preserve">指标</w:t>
            </w:r>
            <w:r/>
          </w:p>
        </w:tc>
        <w:tc>
          <w:tcPr>
            <w:tcW w:w="4089" w:type="dxa"/>
            <w:vAlign w:val="center"/>
            <w:textDirection w:val="lrTb"/>
            <w:noWrap/>
          </w:tcPr>
          <w:p>
            <w:pPr>
              <w:jc w:val="center"/>
              <w:spacing w:line="240" w:lineRule="auto"/>
              <w:rPr>
                <w:rFonts w:cs="宋体"/>
                <w:szCs w:val="21"/>
              </w:rPr>
            </w:pPr>
            <w:r>
              <w:rPr>
                <w:rFonts w:hint="eastAsia" w:cs="宋体"/>
                <w:szCs w:val="21"/>
              </w:rPr>
              <w:t xml:space="preserve">描述</w:t>
            </w:r>
            <w:r/>
          </w:p>
        </w:tc>
        <w:tc>
          <w:tcPr>
            <w:tcW w:w="868" w:type="dxa"/>
            <w:vAlign w:val="center"/>
            <w:textDirection w:val="lrTb"/>
            <w:noWrap/>
          </w:tcPr>
          <w:p>
            <w:pPr>
              <w:jc w:val="center"/>
              <w:spacing w:line="240" w:lineRule="auto"/>
              <w:rPr>
                <w:rFonts w:cs="宋体"/>
                <w:szCs w:val="21"/>
              </w:rPr>
            </w:pPr>
            <w:r>
              <w:rPr>
                <w:rFonts w:hint="eastAsia" w:cs="宋体"/>
                <w:szCs w:val="21"/>
              </w:rPr>
              <w:t xml:space="preserve">分值</w:t>
            </w:r>
            <w:r/>
          </w:p>
        </w:tc>
      </w:tr>
      <w:tr>
        <w:trPr>
          <w:trHeight w:val="522"/>
        </w:trPr>
        <w:tc>
          <w:tcPr>
            <w:tcW w:w="3601" w:type="dxa"/>
            <w:vAlign w:val="center"/>
            <w:textDirection w:val="lrTb"/>
            <w:noWrap/>
          </w:tcPr>
          <w:p>
            <w:pPr>
              <w:jc w:val="center"/>
              <w:spacing w:line="240" w:lineRule="auto"/>
              <w:rPr>
                <w:rFonts w:cs="宋体"/>
                <w:szCs w:val="21"/>
              </w:rPr>
            </w:pPr>
            <w:r>
              <w:rPr>
                <w:rFonts w:hint="eastAsia" w:cs="宋体"/>
                <w:szCs w:val="21"/>
              </w:rPr>
              <w:t xml:space="preserve">资格性检查</w:t>
            </w:r>
            <w:r/>
          </w:p>
        </w:tc>
        <w:tc>
          <w:tcPr>
            <w:tcW w:w="4089" w:type="dxa"/>
            <w:vAlign w:val="center"/>
            <w:textDirection w:val="lrTb"/>
            <w:noWrap/>
          </w:tcPr>
          <w:p>
            <w:pPr>
              <w:jc w:val="center"/>
              <w:spacing w:line="240" w:lineRule="auto"/>
              <w:rPr>
                <w:rFonts w:cs="宋体"/>
                <w:szCs w:val="21"/>
              </w:rPr>
            </w:pPr>
            <w:r>
              <w:rPr>
                <w:rFonts w:cs="宋体"/>
                <w:szCs w:val="21"/>
              </w:rPr>
            </w:r>
            <w:r/>
          </w:p>
        </w:tc>
        <w:tc>
          <w:tcPr>
            <w:tcW w:w="868" w:type="dxa"/>
            <w:vAlign w:val="center"/>
            <w:textDirection w:val="lrTb"/>
            <w:noWrap/>
          </w:tcPr>
          <w:p>
            <w:pPr>
              <w:jc w:val="center"/>
              <w:spacing w:line="240" w:lineRule="auto"/>
              <w:rPr>
                <w:rFonts w:cs="宋体"/>
                <w:szCs w:val="21"/>
              </w:rPr>
            </w:pPr>
            <w:r>
              <w:rPr>
                <w:rFonts w:cs="宋体"/>
                <w:szCs w:val="21"/>
              </w:rPr>
            </w:r>
            <w:r/>
          </w:p>
        </w:tc>
      </w:tr>
      <w:tr>
        <w:trPr>
          <w:trHeight w:val="634"/>
        </w:trPr>
        <w:tc>
          <w:tcPr>
            <w:tcW w:w="3601" w:type="dxa"/>
            <w:vAlign w:val="center"/>
            <w:textDirection w:val="lrTb"/>
            <w:noWrap/>
          </w:tcPr>
          <w:p>
            <w:pPr>
              <w:jc w:val="center"/>
              <w:spacing w:line="240" w:lineRule="auto"/>
              <w:rPr>
                <w:rFonts w:cs="宋体"/>
                <w:szCs w:val="21"/>
              </w:rPr>
            </w:pPr>
            <w:r>
              <w:rPr>
                <w:rFonts w:hint="eastAsia" w:cs="宋体"/>
                <w:szCs w:val="21"/>
              </w:rPr>
              <w:t xml:space="preserve">符合性检查</w:t>
            </w:r>
            <w:r/>
          </w:p>
        </w:tc>
        <w:tc>
          <w:tcPr>
            <w:tcW w:w="4089" w:type="dxa"/>
            <w:vAlign w:val="center"/>
            <w:textDirection w:val="lrTb"/>
            <w:noWrap/>
          </w:tcPr>
          <w:p>
            <w:pPr>
              <w:jc w:val="center"/>
              <w:spacing w:line="240" w:lineRule="auto"/>
              <w:rPr>
                <w:rFonts w:cs="宋体"/>
                <w:szCs w:val="21"/>
              </w:rPr>
            </w:pPr>
            <w:r>
              <w:rPr>
                <w:rFonts w:hint="eastAsia" w:cs="宋体"/>
                <w:szCs w:val="21"/>
              </w:rPr>
              <w:t xml:space="preserve">工期（服务期）、响应时间、质保期（如有）、付款方式、投标内容</w:t>
            </w:r>
            <w:bookmarkEnd w:id="56"/>
            <w:r/>
            <w:r/>
          </w:p>
        </w:tc>
        <w:tc>
          <w:tcPr>
            <w:tcW w:w="868" w:type="dxa"/>
            <w:vAlign w:val="center"/>
            <w:textDirection w:val="lrTb"/>
            <w:noWrap/>
          </w:tcPr>
          <w:p>
            <w:pPr>
              <w:jc w:val="center"/>
              <w:spacing w:line="240" w:lineRule="auto"/>
              <w:rPr>
                <w:rFonts w:cs="宋体"/>
                <w:szCs w:val="21"/>
              </w:rPr>
            </w:pPr>
            <w:r>
              <w:rPr>
                <w:rFonts w:cs="宋体"/>
                <w:szCs w:val="21"/>
              </w:rPr>
            </w:r>
            <w:r/>
          </w:p>
        </w:tc>
      </w:tr>
    </w:tbl>
    <w:p>
      <w:pPr>
        <w:ind w:firstLine="420"/>
        <w:rPr>
          <w:rFonts w:cs="宋体"/>
          <w:bCs/>
          <w:szCs w:val="21"/>
        </w:rPr>
      </w:pPr>
      <w:r>
        <w:rPr>
          <w:rFonts w:hint="eastAsia" w:cs="宋体"/>
          <w:bCs/>
          <w:szCs w:val="21"/>
        </w:rPr>
        <w:t xml:space="preserve">复审评审指标 </w:t>
      </w:r>
      <w:r/>
    </w:p>
    <w:tbl>
      <w:tblPr>
        <w:tblStyle w:val="716"/>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1530"/>
        <w:gridCol w:w="6044"/>
        <w:gridCol w:w="738"/>
      </w:tblGrid>
      <w:tr>
        <w:trPr>
          <w:jc w:val="center"/>
          <w:trHeight w:val="557"/>
        </w:trPr>
        <w:tc>
          <w:tcPr>
            <w:tcW w:w="1216" w:type="dxa"/>
            <w:vAlign w:val="center"/>
            <w:textDirection w:val="lrTb"/>
            <w:noWrap/>
          </w:tcPr>
          <w:p>
            <w:pPr>
              <w:ind w:firstLine="28"/>
              <w:jc w:val="center"/>
              <w:rPr>
                <w:rFonts w:cs="宋体"/>
                <w:bCs/>
                <w:szCs w:val="21"/>
              </w:rPr>
            </w:pPr>
            <w:r/>
            <w:bookmarkStart w:id="57" w:name="_Toc495914990"/>
            <w:r/>
            <w:bookmarkStart w:id="58" w:name="_Toc495915053"/>
            <w:r>
              <w:rPr>
                <w:rFonts w:hint="eastAsia" w:cs="宋体"/>
                <w:bCs/>
                <w:szCs w:val="21"/>
              </w:rPr>
              <w:t xml:space="preserve">序号</w:t>
            </w:r>
            <w:r/>
          </w:p>
        </w:tc>
        <w:tc>
          <w:tcPr>
            <w:tcW w:w="1530" w:type="dxa"/>
            <w:vAlign w:val="center"/>
            <w:textDirection w:val="lrTb"/>
            <w:noWrap/>
          </w:tcPr>
          <w:p>
            <w:pPr>
              <w:ind w:firstLine="28"/>
              <w:jc w:val="center"/>
              <w:rPr>
                <w:rFonts w:cs="宋体"/>
                <w:bCs/>
                <w:szCs w:val="21"/>
              </w:rPr>
            </w:pPr>
            <w:r>
              <w:rPr>
                <w:rFonts w:hint="eastAsia" w:cs="宋体"/>
                <w:bCs/>
                <w:szCs w:val="21"/>
              </w:rPr>
              <w:t xml:space="preserve">评分因素</w:t>
            </w:r>
            <w:r/>
          </w:p>
        </w:tc>
        <w:tc>
          <w:tcPr>
            <w:tcW w:w="6044" w:type="dxa"/>
            <w:vAlign w:val="center"/>
            <w:textDirection w:val="lrTb"/>
            <w:noWrap/>
          </w:tcPr>
          <w:p>
            <w:pPr>
              <w:ind w:firstLine="28"/>
              <w:jc w:val="center"/>
              <w:rPr>
                <w:rFonts w:cs="宋体"/>
                <w:bCs/>
                <w:szCs w:val="21"/>
              </w:rPr>
            </w:pPr>
            <w:r>
              <w:rPr>
                <w:rFonts w:hint="eastAsia" w:cs="宋体"/>
                <w:bCs/>
                <w:szCs w:val="21"/>
              </w:rPr>
              <w:t xml:space="preserve">评分标准</w:t>
            </w:r>
            <w:r/>
          </w:p>
        </w:tc>
        <w:tc>
          <w:tcPr>
            <w:tcW w:w="738" w:type="dxa"/>
            <w:vAlign w:val="center"/>
            <w:textDirection w:val="lrTb"/>
            <w:noWrap/>
          </w:tcPr>
          <w:p>
            <w:pPr>
              <w:ind w:firstLine="28"/>
              <w:jc w:val="center"/>
              <w:rPr>
                <w:rFonts w:cs="宋体"/>
                <w:bCs/>
                <w:szCs w:val="21"/>
              </w:rPr>
            </w:pPr>
            <w:r>
              <w:rPr>
                <w:rFonts w:hint="eastAsia" w:cs="宋体"/>
                <w:bCs/>
                <w:szCs w:val="21"/>
              </w:rPr>
              <w:t xml:space="preserve">分值</w:t>
            </w:r>
            <w:r/>
          </w:p>
        </w:tc>
      </w:tr>
      <w:tr>
        <w:trPr>
          <w:jc w:val="center"/>
          <w:trHeight w:val="557"/>
        </w:trPr>
        <w:tc>
          <w:tcPr>
            <w:tcW w:w="1216" w:type="dxa"/>
            <w:vAlign w:val="center"/>
            <w:textDirection w:val="lrTb"/>
            <w:noWrap/>
          </w:tcPr>
          <w:p>
            <w:pPr>
              <w:rPr>
                <w:rFonts w:cs="宋体"/>
                <w:bCs/>
                <w:szCs w:val="21"/>
              </w:rPr>
            </w:pPr>
            <w:r>
              <w:rPr>
                <w:rFonts w:hint="eastAsia" w:cs="宋体"/>
                <w:bCs/>
                <w:szCs w:val="21"/>
              </w:rPr>
              <w:t xml:space="preserve">价格部分（10分）</w:t>
            </w:r>
            <w:r/>
          </w:p>
        </w:tc>
        <w:tc>
          <w:tcPr>
            <w:tcW w:w="1530" w:type="dxa"/>
            <w:vAlign w:val="center"/>
            <w:textDirection w:val="lrTb"/>
            <w:noWrap/>
          </w:tcPr>
          <w:p>
            <w:pPr>
              <w:rPr>
                <w:rFonts w:cs="宋体"/>
                <w:bCs/>
                <w:szCs w:val="21"/>
              </w:rPr>
            </w:pPr>
            <w:r>
              <w:rPr>
                <w:rFonts w:hint="eastAsia" w:cs="宋体"/>
                <w:bCs/>
                <w:szCs w:val="21"/>
              </w:rPr>
              <w:t xml:space="preserve">价格评审指标</w:t>
            </w:r>
            <w:r/>
          </w:p>
        </w:tc>
        <w:tc>
          <w:tcPr>
            <w:tcW w:w="6044" w:type="dxa"/>
            <w:vAlign w:val="center"/>
            <w:textDirection w:val="lrTb"/>
            <w:noWrap/>
          </w:tcPr>
          <w:p>
            <w:pPr>
              <w:rPr>
                <w:rFonts w:cs="宋体"/>
                <w:bCs/>
                <w:szCs w:val="21"/>
              </w:rPr>
            </w:pPr>
            <w:r>
              <w:rPr>
                <w:rFonts w:hint="eastAsia" w:cs="宋体"/>
                <w:bCs/>
                <w:szCs w:val="21"/>
              </w:rPr>
              <w:t xml:space="preserve">（评标基准价／投标报价）×价格权值×100；（计算到小数点后二位）超预算的投标报价不进入评标程序。</w:t>
            </w:r>
            <w:r/>
          </w:p>
        </w:tc>
        <w:tc>
          <w:tcPr>
            <w:tcW w:w="738" w:type="dxa"/>
            <w:vAlign w:val="center"/>
            <w:textDirection w:val="lrTb"/>
            <w:noWrap/>
          </w:tcPr>
          <w:p>
            <w:pPr>
              <w:jc w:val="center"/>
              <w:rPr>
                <w:rFonts w:cs="宋体"/>
                <w:bCs/>
                <w:szCs w:val="21"/>
              </w:rPr>
            </w:pPr>
            <w:r>
              <w:rPr>
                <w:rFonts w:hint="eastAsia" w:cs="宋体"/>
                <w:bCs/>
                <w:szCs w:val="21"/>
              </w:rPr>
              <w:t xml:space="preserve">10</w:t>
            </w:r>
            <w:r/>
          </w:p>
        </w:tc>
      </w:tr>
      <w:tr>
        <w:trPr>
          <w:jc w:val="center"/>
          <w:trHeight w:val="1195"/>
        </w:trPr>
        <w:tc>
          <w:tcPr>
            <w:tcW w:w="1216" w:type="dxa"/>
            <w:vAlign w:val="center"/>
            <w:vMerge w:val="restart"/>
            <w:textDirection w:val="lrTb"/>
            <w:noWrap/>
          </w:tcPr>
          <w:p>
            <w:pPr>
              <w:ind w:firstLine="28"/>
              <w:jc w:val="center"/>
              <w:rPr>
                <w:rFonts w:cs="宋体"/>
                <w:bCs/>
                <w:szCs w:val="21"/>
              </w:rPr>
            </w:pPr>
            <w:r>
              <w:rPr>
                <w:rFonts w:hint="eastAsia" w:cs="宋体"/>
                <w:bCs/>
                <w:szCs w:val="21"/>
              </w:rPr>
              <w:t xml:space="preserve">技术部分（90分）</w:t>
            </w:r>
            <w:r/>
          </w:p>
        </w:tc>
        <w:tc>
          <w:tcPr>
            <w:tcW w:w="1530" w:type="dxa"/>
            <w:vAlign w:val="center"/>
            <w:textDirection w:val="lrTb"/>
            <w:noWrap/>
          </w:tcPr>
          <w:p>
            <w:pPr>
              <w:jc w:val="left"/>
              <w:spacing w:line="276" w:lineRule="auto"/>
              <w:rPr>
                <w:rFonts w:cs="宋体"/>
                <w:bCs/>
                <w:szCs w:val="21"/>
                <w:shd w:val="clear" w:color="auto" w:fill="ffffff"/>
              </w:rPr>
            </w:pPr>
            <w:r>
              <w:rPr>
                <w:rFonts w:hint="eastAsia" w:cs="宋体"/>
                <w:szCs w:val="21"/>
              </w:rPr>
              <w:t xml:space="preserve">工作方案、质量保证措施</w:t>
            </w:r>
            <w:r/>
          </w:p>
        </w:tc>
        <w:tc>
          <w:tcPr>
            <w:tcW w:w="6044" w:type="dxa"/>
            <w:vAlign w:val="center"/>
            <w:textDirection w:val="lrTb"/>
            <w:noWrap/>
          </w:tcPr>
          <w:p>
            <w:pPr>
              <w:jc w:val="left"/>
              <w:spacing w:line="360" w:lineRule="exact"/>
              <w:rPr>
                <w:rFonts w:cs="宋体"/>
                <w:b/>
                <w:szCs w:val="21"/>
              </w:rPr>
            </w:pPr>
            <w:r>
              <w:rPr>
                <w:rFonts w:hint="eastAsia" w:cs="宋体"/>
                <w:bCs/>
                <w:szCs w:val="21"/>
              </w:rPr>
              <w:t xml:space="preserve">根据供应商提供的工作方案、质量保证措施等进行综合评定，方案切实可行、科学合理、难点等分析到位的得12分；未作说明的不得分。</w:t>
            </w:r>
            <w:r/>
          </w:p>
        </w:tc>
        <w:tc>
          <w:tcPr>
            <w:tcW w:w="738" w:type="dxa"/>
            <w:vAlign w:val="center"/>
            <w:textDirection w:val="lrTb"/>
            <w:noWrap/>
          </w:tcPr>
          <w:p>
            <w:pPr>
              <w:jc w:val="center"/>
              <w:rPr>
                <w:rFonts w:cs="宋体"/>
                <w:bCs/>
                <w:szCs w:val="21"/>
              </w:rPr>
            </w:pPr>
            <w:r>
              <w:rPr>
                <w:rFonts w:hint="eastAsia" w:cs="宋体"/>
                <w:bCs/>
                <w:szCs w:val="21"/>
              </w:rPr>
              <w:t xml:space="preserve">12</w:t>
            </w:r>
            <w:r/>
          </w:p>
        </w:tc>
      </w:tr>
      <w:tr>
        <w:trPr>
          <w:jc w:val="center"/>
          <w:trHeight w:val="1025"/>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shd w:val="clear" w:color="auto" w:fill="auto"/>
            <w:tcW w:w="1530" w:type="dxa"/>
            <w:vAlign w:val="center"/>
            <w:textDirection w:val="lrTb"/>
            <w:noWrap/>
          </w:tcPr>
          <w:p>
            <w:pPr>
              <w:jc w:val="left"/>
              <w:spacing w:line="276" w:lineRule="auto"/>
              <w:rPr>
                <w:rFonts w:cs="宋体"/>
                <w:bCs/>
                <w:szCs w:val="21"/>
              </w:rPr>
            </w:pPr>
            <w:r>
              <w:rPr>
                <w:rFonts w:hint="eastAsia" w:cs="宋体"/>
                <w:szCs w:val="21"/>
              </w:rPr>
              <w:t xml:space="preserve">评估报告</w:t>
            </w:r>
            <w:r/>
          </w:p>
        </w:tc>
        <w:tc>
          <w:tcPr>
            <w:shd w:val="clear" w:color="auto" w:fill="auto"/>
            <w:tcW w:w="6044" w:type="dxa"/>
            <w:vAlign w:val="center"/>
            <w:textDirection w:val="lrTb"/>
            <w:noWrap/>
          </w:tcPr>
          <w:p>
            <w:r>
              <w:rPr>
                <w:rFonts w:hint="eastAsia"/>
              </w:rPr>
              <w:t xml:space="preserve">（1）报告时效：</w:t>
            </w:r>
            <w:r/>
          </w:p>
          <w:p>
            <w:r>
              <w:rPr>
                <w:rFonts w:hint="eastAsia"/>
              </w:rPr>
              <w:t xml:space="preserve">供应商在收到样品后，5个工作日内出具毒情评估报告的，得2 分；10个工作日内出具毒情评估报告的，得1分；超出10个工作日或未作说明的，不得分。</w:t>
            </w:r>
            <w:r/>
          </w:p>
          <w:p>
            <w:pPr>
              <w:rPr>
                <w:rFonts w:cs="宋体"/>
                <w:b/>
                <w:szCs w:val="21"/>
              </w:rPr>
            </w:pPr>
            <w:r>
              <w:rPr>
                <w:rFonts w:hint="eastAsia"/>
                <w:b/>
                <w:bCs/>
              </w:rPr>
              <w:t xml:space="preserve">注：供应商须提供相关承诺函并加盖供应商公章。</w:t>
            </w:r>
            <w:r/>
          </w:p>
          <w:p>
            <w:r>
              <w:rPr>
                <w:rFonts w:hint="eastAsia"/>
              </w:rPr>
              <w:t xml:space="preserve">（2）报告内容：</w:t>
            </w:r>
            <w:r/>
          </w:p>
          <w:p>
            <w:r>
              <w:rPr>
                <w:rFonts w:hint="eastAsia"/>
              </w:rPr>
              <w:t xml:space="preserve">根据供应商自2022年1月1日至今承担过的类似项目毒情分析报告情况进行评定，最高得6分。</w:t>
            </w:r>
            <w:r/>
          </w:p>
          <w:p>
            <w:r>
              <w:rPr>
                <w:rFonts w:hint="eastAsia"/>
              </w:rPr>
              <w:t xml:space="preserve">评定细则：</w:t>
            </w:r>
            <w:r/>
          </w:p>
          <w:p>
            <w:r>
              <w:rPr>
                <w:rFonts w:hint="eastAsia"/>
              </w:rPr>
              <w:t xml:space="preserve">报告内容详实、分析具体，结果呈现形式多样、分析层次多维的，得6分；</w:t>
            </w:r>
            <w:r/>
          </w:p>
          <w:p>
            <w:r>
              <w:rPr>
                <w:rFonts w:hint="eastAsia"/>
              </w:rPr>
              <w:t xml:space="preserve">报告内容较为完善、数据分析一般、结果呈现简单的，得3分；</w:t>
            </w:r>
            <w:r/>
          </w:p>
          <w:p>
            <w:r>
              <w:rPr>
                <w:rFonts w:hint="eastAsia"/>
              </w:rPr>
              <w:t xml:space="preserve">报告仅提供数据和总结情况而未提供分析报告的，得1分；</w:t>
            </w:r>
            <w:r/>
          </w:p>
          <w:p>
            <w:r>
              <w:rPr>
                <w:rFonts w:hint="eastAsia"/>
              </w:rPr>
              <w:t xml:space="preserve">未提供报告的，不得分。</w:t>
            </w:r>
            <w:r/>
          </w:p>
          <w:p>
            <w:pPr>
              <w:rPr>
                <w:rFonts w:cs="宋体"/>
                <w:bCs/>
                <w:szCs w:val="21"/>
              </w:rPr>
            </w:pPr>
            <w:r>
              <w:rPr>
                <w:rFonts w:hint="eastAsia"/>
                <w:b/>
                <w:bCs/>
              </w:rPr>
              <w:t xml:space="preserve">注：需提供相应业绩合同（至少包含合同首页、主要内容页、盖章页）和最终分析报告的复印件作为证明。</w:t>
            </w:r>
            <w:r/>
          </w:p>
        </w:tc>
        <w:tc>
          <w:tcPr>
            <w:shd w:val="clear" w:color="auto" w:fill="auto"/>
            <w:tcW w:w="738" w:type="dxa"/>
            <w:vAlign w:val="center"/>
            <w:textDirection w:val="lrTb"/>
            <w:noWrap/>
          </w:tcPr>
          <w:p>
            <w:pPr>
              <w:jc w:val="center"/>
              <w:rPr>
                <w:rFonts w:cs="宋体"/>
                <w:bCs/>
                <w:szCs w:val="21"/>
              </w:rPr>
            </w:pPr>
            <w:r>
              <w:rPr>
                <w:rFonts w:hint="eastAsia" w:cs="宋体"/>
                <w:bCs/>
                <w:szCs w:val="21"/>
              </w:rPr>
              <w:t xml:space="preserve">8</w:t>
            </w:r>
            <w:r/>
          </w:p>
        </w:tc>
      </w:tr>
      <w:tr>
        <w:trPr>
          <w:jc w:val="center"/>
          <w:trHeight w:val="1127"/>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shd w:val="clear" w:color="auto" w:fill="auto"/>
            <w:tcW w:w="1530" w:type="dxa"/>
            <w:vAlign w:val="center"/>
            <w:textDirection w:val="lrTb"/>
            <w:noWrap/>
          </w:tcPr>
          <w:p>
            <w:pPr>
              <w:pStyle w:val="918"/>
              <w:rPr>
                <w:rFonts w:ascii="宋体" w:hAnsi="宋体" w:cs="宋体"/>
                <w:szCs w:val="21"/>
              </w:rPr>
            </w:pPr>
            <w:r>
              <w:rPr>
                <w:rFonts w:hint="eastAsia" w:ascii="宋体" w:hAnsi="宋体" w:cs="宋体"/>
                <w:szCs w:val="21"/>
              </w:rPr>
              <w:t xml:space="preserve">保密工作</w:t>
            </w:r>
            <w:r/>
          </w:p>
        </w:tc>
        <w:tc>
          <w:tcPr>
            <w:shd w:val="clear" w:color="auto" w:fill="auto"/>
            <w:tcW w:w="6044" w:type="dxa"/>
            <w:vAlign w:val="center"/>
            <w:textDirection w:val="lrTb"/>
            <w:noWrap/>
          </w:tcPr>
          <w:p>
            <w:pPr>
              <w:rPr>
                <w:rFonts w:cs="宋体"/>
                <w:szCs w:val="21"/>
              </w:rPr>
            </w:pPr>
            <w:r>
              <w:rPr>
                <w:rFonts w:hint="eastAsia"/>
              </w:rPr>
              <w:t xml:space="preserve">有保密工作管理人员和管理制度，可保证检测分析数据的保密的得4分；有欠缺的得2分；不具有的不得分。</w:t>
            </w:r>
            <w:r/>
          </w:p>
        </w:tc>
        <w:tc>
          <w:tcPr>
            <w:shd w:val="clear" w:color="auto" w:fill="auto"/>
            <w:tcW w:w="738" w:type="dxa"/>
            <w:vAlign w:val="center"/>
            <w:textDirection w:val="lrTb"/>
            <w:noWrap/>
          </w:tcPr>
          <w:p>
            <w:pPr>
              <w:jc w:val="center"/>
              <w:rPr>
                <w:rFonts w:cs="宋体"/>
                <w:bCs/>
                <w:szCs w:val="21"/>
              </w:rPr>
            </w:pPr>
            <w:r>
              <w:rPr>
                <w:rFonts w:hint="eastAsia" w:cs="宋体"/>
                <w:bCs/>
                <w:szCs w:val="21"/>
              </w:rPr>
              <w:t xml:space="preserve">4</w:t>
            </w:r>
            <w:r/>
          </w:p>
        </w:tc>
      </w:tr>
      <w:tr>
        <w:trPr>
          <w:jc w:val="center"/>
          <w:trHeight w:val="1462"/>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jc w:val="left"/>
              <w:spacing w:line="276" w:lineRule="auto"/>
              <w:rPr>
                <w:rFonts w:cs="宋体"/>
                <w:bCs/>
                <w:szCs w:val="21"/>
                <w:shd w:val="clear" w:color="auto" w:fill="ffffff"/>
              </w:rPr>
            </w:pPr>
            <w:r>
              <w:rPr>
                <w:rFonts w:hint="eastAsia" w:cs="宋体"/>
                <w:bCs/>
                <w:szCs w:val="21"/>
                <w:shd w:val="clear" w:color="auto" w:fill="ffffff"/>
              </w:rPr>
              <w:t xml:space="preserve">拟用于本项目的设备情况</w:t>
            </w:r>
            <w:r/>
          </w:p>
        </w:tc>
        <w:tc>
          <w:tcPr>
            <w:tcW w:w="6044" w:type="dxa"/>
            <w:vAlign w:val="center"/>
            <w:textDirection w:val="lrTb"/>
            <w:noWrap/>
          </w:tcPr>
          <w:p>
            <w:r>
              <w:rPr>
                <w:rFonts w:hint="eastAsia"/>
              </w:rPr>
              <w:t xml:space="preserve">1.全自动采样器</w:t>
            </w:r>
            <w:r/>
          </w:p>
          <w:p>
            <w:r>
              <w:rPr>
                <w:rFonts w:hint="eastAsia"/>
              </w:rPr>
              <w:t xml:space="preserve">①具有远程操控功能，可通过移动端进行操控,并配套4G网络监控摄像头，具备GPS或北斗定位功能；</w:t>
            </w:r>
            <w:r/>
          </w:p>
          <w:p>
            <w:r>
              <w:rPr>
                <w:rFonts w:hint="eastAsia"/>
              </w:rPr>
              <w:t xml:space="preserve">②样品箱使用授权监控锁，具备异常开箱报警功能；</w:t>
            </w:r>
            <w:r/>
          </w:p>
          <w:p>
            <w:r>
              <w:rPr>
                <w:rFonts w:hint="eastAsia"/>
              </w:rPr>
              <w:t xml:space="preserve">③设备具有完备的工作状态监控及异常报警功能，并可实现-20℃冷冻进样功能；</w:t>
            </w:r>
            <w:r/>
          </w:p>
          <w:p>
            <w:r>
              <w:rPr>
                <w:rFonts w:hint="eastAsia"/>
              </w:rPr>
              <w:t xml:space="preserve">④样品瓶具有追溯码，可通过追溯码获取采样信息，具有防开功能；</w:t>
            </w:r>
            <w:r/>
          </w:p>
          <w:p>
            <w:r>
              <w:rPr>
                <w:rFonts w:hint="eastAsia"/>
              </w:rPr>
              <w:t xml:space="preserve">以上全自动采样器至少有20台（含）及以上。上述功能及需求全部满足得2分，少一项扣0.5分，扣完为止；未提供不得分。</w:t>
            </w:r>
            <w:r/>
          </w:p>
          <w:p>
            <w:pPr>
              <w:rPr>
                <w:b/>
                <w:bCs/>
              </w:rPr>
            </w:pPr>
            <w:r>
              <w:rPr>
                <w:rFonts w:hint="eastAsia"/>
                <w:b/>
                <w:bCs/>
              </w:rPr>
              <w:t xml:space="preserve">注：采样器需要由具备CMA或CNAS资质的第三方检测机构出具的检测报告，检测报告内需要明确产品性能指标。同时提供自动采样装置购置发票复印件或租用合同。</w:t>
            </w:r>
            <w:r/>
          </w:p>
          <w:p>
            <w:r>
              <w:rPr>
                <w:rFonts w:hint="eastAsia"/>
              </w:rPr>
              <w:t xml:space="preserve">2.用于本项目的关键设备液相色谱质谱联用仪数量，每提供一台得0.5分，最高得2分。</w:t>
            </w:r>
            <w:r/>
          </w:p>
          <w:p>
            <w:r>
              <w:rPr>
                <w:rFonts w:hint="eastAsia"/>
                <w:b/>
                <w:bCs/>
              </w:rPr>
              <w:t xml:space="preserve">注：需提供仪器型号、数量及固定资产登记信息等证明材料。</w:t>
            </w:r>
            <w:r/>
          </w:p>
        </w:tc>
        <w:tc>
          <w:tcPr>
            <w:tcW w:w="738" w:type="dxa"/>
            <w:vAlign w:val="center"/>
            <w:textDirection w:val="lrTb"/>
            <w:noWrap/>
          </w:tcPr>
          <w:p>
            <w:pPr>
              <w:jc w:val="center"/>
              <w:rPr>
                <w:rFonts w:cs="宋体"/>
                <w:bCs/>
                <w:szCs w:val="21"/>
              </w:rPr>
            </w:pPr>
            <w:r>
              <w:rPr>
                <w:rFonts w:hint="eastAsia" w:cs="宋体"/>
                <w:bCs/>
                <w:szCs w:val="21"/>
              </w:rPr>
              <w:t xml:space="preserve">4</w:t>
            </w:r>
            <w:r/>
          </w:p>
        </w:tc>
      </w:tr>
      <w:tr>
        <w:trPr>
          <w:jc w:val="center"/>
          <w:trHeight w:val="4885"/>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jc w:val="left"/>
              <w:spacing w:line="276" w:lineRule="auto"/>
              <w:rPr>
                <w:rFonts w:cs="宋体"/>
                <w:bCs/>
                <w:szCs w:val="21"/>
                <w:shd w:val="clear" w:color="auto" w:fill="ffffff"/>
              </w:rPr>
            </w:pPr>
            <w:r>
              <w:rPr>
                <w:rFonts w:hint="eastAsia" w:cs="宋体"/>
                <w:szCs w:val="21"/>
              </w:rPr>
              <w:t xml:space="preserve">监测分析能力</w:t>
            </w:r>
            <w:r/>
          </w:p>
        </w:tc>
        <w:tc>
          <w:tcPr>
            <w:tcW w:w="6044" w:type="dxa"/>
            <w:vAlign w:val="center"/>
            <w:textDirection w:val="lrTb"/>
            <w:noWrap/>
          </w:tcPr>
          <w:p>
            <w:r>
              <w:rPr>
                <w:rFonts w:hint="eastAsia"/>
              </w:rPr>
              <w:t xml:space="preserve">（1）监测内容：</w:t>
            </w:r>
            <w:r/>
          </w:p>
          <w:p>
            <w:r>
              <w:rPr>
                <w:rFonts w:hint="eastAsia"/>
              </w:rPr>
              <w:t xml:space="preserve">根据供应商对本项目毒品的测试目标物质种类进行综合评定，检测目标物质完全满足采购需求的得6分，不满足不得分；在采购需求基础上，每增加一种新精神活性物质（如合成大麻素类、芬太尼类、精麻药品等）得0.5分，最高16分。</w:t>
            </w:r>
            <w:r/>
          </w:p>
          <w:p>
            <w:r>
              <w:rPr>
                <w:rFonts w:hint="eastAsia"/>
                <w:b/>
                <w:bCs/>
              </w:rPr>
              <w:t xml:space="preserve">注：需提供相应的承诺函。</w:t>
            </w:r>
            <w:r/>
          </w:p>
          <w:p>
            <w:r>
              <w:rPr>
                <w:rFonts w:hint="eastAsia"/>
              </w:rPr>
              <w:t xml:space="preserve">（2）分析能力：</w:t>
            </w:r>
            <w:r/>
          </w:p>
          <w:p>
            <w:r>
              <w:fldChar w:fldCharType="begin"/>
            </w:r>
            <w:r>
              <w:instrText xml:space="preserve"> = 1 \* GB3 </w:instrText>
            </w:r>
            <w:r>
              <w:fldChar w:fldCharType="separate"/>
            </w:r>
            <w:r>
              <w:rPr>
                <w:rFonts w:hint="eastAsia"/>
              </w:rPr>
              <w:t xml:space="preserve">①</w:t>
            </w:r>
            <w:r>
              <w:rPr>
                <w:rFonts w:hint="eastAsia"/>
              </w:rPr>
              <w:fldChar w:fldCharType="end"/>
            </w:r>
            <w:r>
              <w:rPr>
                <w:rFonts w:hint="eastAsia"/>
              </w:rPr>
              <w:t xml:space="preserve">参加过省级以上政府部门（不包括协会等社会团体）组织的污水毒品样本实验室检测能力比对。检测毒品种类：吗啡、6-单乙酰吗啡、可待因、美沙酮、甲基苯丙胺、苯丙胺、氯胺酮、去甲氯胺酮、MDMA、MDA、可卡因、苯甲酰爱康宁、四氢大麻酸等13种毒品。根据比对结果通知书评定（复测结果通知书无效），所有比对项目都符合允许误差范围的得12分，相对误差超出允许范围的每一项扣3分，扣至0分为止。</w:t>
            </w:r>
            <w:r/>
          </w:p>
          <w:p>
            <w:pPr>
              <w:rPr>
                <w:b/>
                <w:bCs/>
              </w:rPr>
            </w:pPr>
            <w:r>
              <w:rPr>
                <w:rFonts w:hint="eastAsia"/>
                <w:b/>
                <w:bCs/>
              </w:rPr>
              <w:t xml:space="preserve">注：提供比对结果通知书扫描件。比对结果评判标准：目标物配置值浓度为0~50ng/L时允许误差范围为130%~65%（允许相对误差为-35%~+30%），目标物配置值浓度为50~500ng/L时允许误差为125%~70%（允许相对偏差为-30%~+25%）</w:t>
            </w:r>
            <w:r/>
          </w:p>
          <w:p>
            <w:r>
              <w:fldChar w:fldCharType="begin"/>
            </w:r>
            <w:r>
              <w:instrText xml:space="preserve"> = 2 \* GB3 </w:instrText>
            </w:r>
            <w:r>
              <w:fldChar w:fldCharType="separate"/>
            </w:r>
            <w:r>
              <w:rPr>
                <w:rFonts w:hint="eastAsia"/>
              </w:rPr>
              <w:t xml:space="preserve">②</w:t>
            </w:r>
            <w:r>
              <w:rPr>
                <w:rFonts w:hint="eastAsia"/>
              </w:rPr>
              <w:fldChar w:fldCharType="end"/>
            </w:r>
            <w:r>
              <w:rPr>
                <w:rFonts w:hint="eastAsia"/>
              </w:rPr>
              <w:t xml:space="preserve">参加过公安部禁毒情报技术中心组织的污水样品实验室检测能力比对，比对结果为通过的得4分，不通过不得分。</w:t>
            </w:r>
            <w:r/>
          </w:p>
          <w:p>
            <w:r>
              <w:rPr>
                <w:rFonts w:hint="eastAsia"/>
                <w:b/>
                <w:bCs/>
              </w:rPr>
              <w:t xml:space="preserve">注：提供比对结果证明材料扫描件。</w:t>
            </w:r>
            <w:r/>
          </w:p>
        </w:tc>
        <w:tc>
          <w:tcPr>
            <w:tcW w:w="738" w:type="dxa"/>
            <w:vAlign w:val="center"/>
            <w:textDirection w:val="lrTb"/>
            <w:noWrap/>
          </w:tcPr>
          <w:p>
            <w:pPr>
              <w:jc w:val="center"/>
              <w:rPr>
                <w:rFonts w:cs="宋体"/>
                <w:bCs/>
                <w:szCs w:val="21"/>
              </w:rPr>
            </w:pPr>
            <w:r>
              <w:rPr>
                <w:rFonts w:hint="eastAsia" w:cs="宋体"/>
                <w:bCs/>
                <w:szCs w:val="21"/>
              </w:rPr>
              <w:t xml:space="preserve">32</w:t>
            </w:r>
            <w:r/>
          </w:p>
        </w:tc>
      </w:tr>
      <w:tr>
        <w:trPr>
          <w:jc w:val="center"/>
          <w:trHeight w:val="917"/>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jc w:val="left"/>
              <w:spacing w:line="276" w:lineRule="auto"/>
              <w:rPr>
                <w:rFonts w:cs="宋体"/>
                <w:bCs/>
                <w:szCs w:val="21"/>
              </w:rPr>
            </w:pPr>
            <w:r>
              <w:rPr>
                <w:rFonts w:hint="eastAsia"/>
                <w:szCs w:val="21"/>
              </w:rPr>
              <w:t xml:space="preserve">拟派团队人员实力</w:t>
            </w:r>
            <w:r/>
          </w:p>
        </w:tc>
        <w:tc>
          <w:tcPr>
            <w:tcW w:w="6044" w:type="dxa"/>
            <w:vAlign w:val="center"/>
            <w:textDirection w:val="lrTb"/>
            <w:noWrap/>
          </w:tcPr>
          <w:p>
            <w:pPr>
              <w:jc w:val="left"/>
              <w:spacing w:line="276" w:lineRule="auto"/>
              <w:rPr>
                <w:rFonts w:cs="宋体"/>
                <w:szCs w:val="21"/>
              </w:rPr>
            </w:pPr>
            <w:r>
              <w:rPr>
                <w:rFonts w:hint="eastAsia" w:cs="宋体"/>
                <w:bCs/>
                <w:szCs w:val="21"/>
              </w:rPr>
              <w:t xml:space="preserve">1.项目负责人</w:t>
            </w:r>
            <w:r/>
          </w:p>
          <w:p>
            <w:pPr>
              <w:jc w:val="left"/>
              <w:spacing w:line="276" w:lineRule="auto"/>
              <w:rPr>
                <w:rFonts w:cs="宋体"/>
                <w:szCs w:val="21"/>
              </w:rPr>
            </w:pPr>
            <w:r>
              <w:rPr>
                <w:rFonts w:hint="eastAsia" w:cs="宋体"/>
                <w:szCs w:val="21"/>
              </w:rPr>
              <w:t xml:space="preserve">具有化学或环境资质证书，中级及以上职称，且有从事污水测毒工作 3 年（含）以上经验的，得 2 分。</w:t>
            </w:r>
            <w:r/>
          </w:p>
          <w:p>
            <w:pPr>
              <w:rPr>
                <w:rFonts w:cs="宋体"/>
                <w:szCs w:val="21"/>
              </w:rPr>
            </w:pPr>
            <w:r>
              <w:rPr>
                <w:rFonts w:hint="eastAsia" w:cs="宋体"/>
                <w:szCs w:val="21"/>
              </w:rPr>
              <w:t xml:space="preserve">2.项目组成员</w:t>
            </w:r>
            <w:r/>
          </w:p>
          <w:p>
            <w:r>
              <w:rPr>
                <w:rFonts w:hint="eastAsia"/>
              </w:rPr>
              <w:t xml:space="preserve">除项目负责人外，具有化学或环境专业资质证书，且有从事污水测毒工作2年（含）以上经验，满足以上条件人数为4人的，得2分；每增加1人，加0.5分；本项最多得4分。</w:t>
            </w:r>
            <w:r/>
          </w:p>
          <w:p>
            <w:r>
              <w:rPr>
                <w:rFonts w:hint="eastAsia"/>
                <w:b/>
                <w:bCs/>
              </w:rPr>
              <w:t xml:space="preserve">注：以上均提供人员相关证书、业绩情况一览表等证明材料。</w:t>
            </w:r>
            <w:r/>
          </w:p>
        </w:tc>
        <w:tc>
          <w:tcPr>
            <w:tcW w:w="738" w:type="dxa"/>
            <w:vAlign w:val="center"/>
            <w:textDirection w:val="lrTb"/>
            <w:noWrap/>
          </w:tcPr>
          <w:p>
            <w:pPr>
              <w:jc w:val="center"/>
              <w:spacing w:line="380" w:lineRule="exact"/>
              <w:rPr>
                <w:rFonts w:cs="宋体"/>
                <w:bCs/>
                <w:szCs w:val="21"/>
              </w:rPr>
            </w:pPr>
            <w:r>
              <w:rPr>
                <w:rFonts w:hint="eastAsia" w:cs="宋体"/>
                <w:bCs/>
                <w:szCs w:val="21"/>
              </w:rPr>
              <w:t xml:space="preserve">6</w:t>
            </w:r>
            <w:r/>
          </w:p>
        </w:tc>
      </w:tr>
      <w:tr>
        <w:trPr>
          <w:jc w:val="center"/>
          <w:trHeight w:val="2540"/>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pStyle w:val="918"/>
              <w:rPr>
                <w:rFonts w:ascii="宋体" w:hAnsi="宋体" w:cs="宋体"/>
                <w:bCs/>
                <w:szCs w:val="21"/>
              </w:rPr>
            </w:pPr>
            <w:r>
              <w:rPr>
                <w:rFonts w:hint="eastAsia" w:ascii="宋体" w:hAnsi="宋体" w:cs="宋体"/>
                <w:szCs w:val="21"/>
              </w:rPr>
              <w:t xml:space="preserve">管理体系</w:t>
            </w:r>
            <w:r/>
          </w:p>
        </w:tc>
        <w:tc>
          <w:tcPr>
            <w:tcW w:w="6044" w:type="dxa"/>
            <w:vAlign w:val="center"/>
            <w:textDirection w:val="lrTb"/>
            <w:noWrap/>
          </w:tcPr>
          <w:p>
            <w:r>
              <w:rPr>
                <w:rFonts w:hint="eastAsia"/>
              </w:rPr>
              <w:t xml:space="preserve">具有质量管理体系认证、环境管理体系认证、职业健康管理体系认证、知识产权管理体系认证的，且认证范围需包括环境样品分析检测领域的技术服务（城市污水毒品滥用评估）的，每提供一项得1.5分，满分6分；未提供的不得分。</w:t>
            </w:r>
            <w:r/>
          </w:p>
          <w:p>
            <w:pPr>
              <w:rPr>
                <w:rFonts w:cs="宋体"/>
                <w:bCs/>
                <w:szCs w:val="21"/>
              </w:rPr>
            </w:pPr>
            <w:r>
              <w:rPr>
                <w:rFonts w:hint="eastAsia"/>
                <w:b/>
                <w:bCs/>
              </w:rPr>
              <w:t xml:space="preserve">注：需提供有效期内的相关认证证书扫描件。</w:t>
            </w:r>
            <w:r/>
          </w:p>
        </w:tc>
        <w:tc>
          <w:tcPr>
            <w:tcW w:w="738" w:type="dxa"/>
            <w:vAlign w:val="center"/>
            <w:textDirection w:val="lrTb"/>
            <w:noWrap/>
          </w:tcPr>
          <w:p>
            <w:pPr>
              <w:jc w:val="center"/>
              <w:rPr>
                <w:rFonts w:cs="宋体"/>
                <w:bCs/>
                <w:color w:val="000000"/>
                <w:szCs w:val="21"/>
              </w:rPr>
            </w:pPr>
            <w:r>
              <w:rPr>
                <w:rFonts w:hint="eastAsia" w:cs="宋体"/>
                <w:bCs/>
                <w:color w:val="000000"/>
                <w:szCs w:val="21"/>
              </w:rPr>
              <w:t xml:space="preserve">6</w:t>
            </w:r>
            <w:r/>
          </w:p>
        </w:tc>
      </w:tr>
      <w:tr>
        <w:trPr>
          <w:jc w:val="center"/>
          <w:trHeight w:val="496"/>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ind w:firstLine="28"/>
              <w:jc w:val="left"/>
              <w:rPr>
                <w:rFonts w:cs="宋体"/>
                <w:bCs/>
                <w:color w:val="000000"/>
                <w:szCs w:val="21"/>
              </w:rPr>
            </w:pPr>
            <w:r>
              <w:rPr>
                <w:rFonts w:hint="eastAsia" w:cs="宋体"/>
                <w:bCs/>
                <w:color w:val="000000"/>
                <w:szCs w:val="21"/>
              </w:rPr>
              <w:t xml:space="preserve">相关业绩</w:t>
            </w:r>
            <w:r/>
          </w:p>
        </w:tc>
        <w:tc>
          <w:tcPr>
            <w:tcW w:w="6044" w:type="dxa"/>
            <w:vAlign w:val="center"/>
            <w:textDirection w:val="lrTb"/>
            <w:noWrap/>
          </w:tcPr>
          <w:p>
            <w:r>
              <w:rPr>
                <w:rFonts w:hint="eastAsia"/>
              </w:rPr>
              <w:t xml:space="preserve">自2022年1月1日以来（以合同签订时间为准），供应商承担过污水验毒类似项目业绩的，每提供一个业绩得1分，最高得10分，未提供则不得分（提供业绩合同原件复印件并加盖公章，如合同中无法反映合同签订时间、项目内容等评审因素的，另外提供业主单位加盖公章的相关证明材料复印件）。</w:t>
            </w:r>
            <w:r/>
          </w:p>
          <w:p>
            <w:pPr>
              <w:rPr>
                <w:rFonts w:cs="宋体"/>
                <w:bCs/>
                <w:szCs w:val="21"/>
              </w:rPr>
            </w:pPr>
            <w:r>
              <w:rPr>
                <w:rFonts w:hint="eastAsia"/>
                <w:b/>
                <w:bCs/>
              </w:rPr>
              <w:t xml:space="preserve">注：投标文件中需提供业绩合同。</w:t>
            </w:r>
            <w:r/>
          </w:p>
        </w:tc>
        <w:tc>
          <w:tcPr>
            <w:tcW w:w="738" w:type="dxa"/>
            <w:vAlign w:val="center"/>
            <w:textDirection w:val="lrTb"/>
            <w:noWrap/>
          </w:tcPr>
          <w:p>
            <w:pPr>
              <w:ind w:firstLine="28"/>
              <w:jc w:val="center"/>
              <w:rPr>
                <w:rFonts w:cs="宋体"/>
                <w:bCs/>
                <w:color w:val="000000"/>
                <w:szCs w:val="21"/>
                <w:highlight w:val="yellow"/>
              </w:rPr>
            </w:pPr>
            <w:r>
              <w:rPr>
                <w:rFonts w:hint="eastAsia" w:cs="宋体"/>
                <w:bCs/>
                <w:color w:val="000000"/>
                <w:szCs w:val="21"/>
              </w:rPr>
              <w:t xml:space="preserve">10</w:t>
            </w:r>
            <w:r/>
          </w:p>
        </w:tc>
      </w:tr>
      <w:tr>
        <w:trPr>
          <w:jc w:val="center"/>
          <w:trHeight w:val="496"/>
        </w:trPr>
        <w:tc>
          <w:tcPr>
            <w:tcW w:w="1216" w:type="dxa"/>
            <w:vAlign w:val="center"/>
            <w:vMerge w:val="continue"/>
            <w:textDirection w:val="lrTb"/>
            <w:noWrap/>
          </w:tcPr>
          <w:p>
            <w:pPr>
              <w:ind w:firstLine="28"/>
              <w:jc w:val="center"/>
              <w:rPr>
                <w:rFonts w:cs="宋体"/>
                <w:bCs/>
                <w:szCs w:val="21"/>
              </w:rPr>
            </w:pPr>
            <w:r>
              <w:rPr>
                <w:rFonts w:cs="宋体"/>
                <w:bCs/>
                <w:szCs w:val="21"/>
              </w:rPr>
            </w:r>
            <w:r/>
          </w:p>
        </w:tc>
        <w:tc>
          <w:tcPr>
            <w:tcW w:w="1530" w:type="dxa"/>
            <w:vAlign w:val="center"/>
            <w:textDirection w:val="lrTb"/>
            <w:noWrap/>
          </w:tcPr>
          <w:p>
            <w:pPr>
              <w:ind w:firstLine="28"/>
              <w:jc w:val="left"/>
              <w:rPr>
                <w:rFonts w:cs="宋体"/>
                <w:bCs/>
                <w:color w:val="000000"/>
                <w:szCs w:val="21"/>
              </w:rPr>
            </w:pPr>
            <w:r>
              <w:rPr>
                <w:rFonts w:hint="eastAsia" w:cs="宋体"/>
                <w:bCs/>
                <w:color w:val="000000"/>
                <w:szCs w:val="21"/>
              </w:rPr>
              <w:t xml:space="preserve">检验检测机构资质认定</w:t>
            </w:r>
            <w:r/>
          </w:p>
        </w:tc>
        <w:tc>
          <w:tcPr>
            <w:tcW w:w="6044" w:type="dxa"/>
            <w:vAlign w:val="center"/>
            <w:textDirection w:val="lrTb"/>
            <w:noWrap/>
          </w:tcPr>
          <w:p>
            <w:pPr>
              <w:jc w:val="left"/>
              <w:spacing w:line="360" w:lineRule="exact"/>
              <w:widowControl/>
              <w:rPr>
                <w:rFonts w:cs="宋体"/>
                <w:bCs/>
                <w:szCs w:val="21"/>
              </w:rPr>
            </w:pPr>
            <w:r>
              <w:rPr>
                <w:rFonts w:hint="eastAsia" w:cs="宋体"/>
                <w:bCs/>
                <w:szCs w:val="21"/>
              </w:rPr>
              <w:t xml:space="preserve">检验检测机构资质认定：</w:t>
            </w:r>
            <w:r/>
          </w:p>
          <w:p>
            <w:pPr>
              <w:jc w:val="left"/>
              <w:spacing w:line="360" w:lineRule="exact"/>
              <w:widowControl/>
              <w:rPr>
                <w:rFonts w:cs="宋体"/>
                <w:bCs/>
                <w:szCs w:val="21"/>
              </w:rPr>
            </w:pPr>
            <w:r>
              <w:rPr>
                <w:rFonts w:hint="eastAsia" w:cs="宋体"/>
                <w:bCs/>
                <w:szCs w:val="21"/>
              </w:rPr>
              <w:t xml:space="preserve">供应商具有检验检测机构资质认定（CMA）证书或中国合格评定国家认可委员会颁发的（CNAS）认证的，得8分；没有不得分。</w:t>
            </w:r>
            <w:r/>
          </w:p>
          <w:p>
            <w:pPr>
              <w:jc w:val="left"/>
              <w:spacing w:line="360" w:lineRule="exact"/>
              <w:widowControl/>
              <w:rPr>
                <w:rFonts w:cs="宋体"/>
                <w:b/>
                <w:szCs w:val="21"/>
              </w:rPr>
            </w:pPr>
            <w:r>
              <w:rPr>
                <w:rFonts w:hint="eastAsia" w:cs="宋体"/>
                <w:b/>
                <w:szCs w:val="21"/>
              </w:rPr>
              <w:t xml:space="preserve">注：投标文件中需提供相关证明材料扫描件。</w:t>
            </w:r>
            <w:r/>
          </w:p>
        </w:tc>
        <w:tc>
          <w:tcPr>
            <w:tcW w:w="738" w:type="dxa"/>
            <w:vAlign w:val="center"/>
            <w:textDirection w:val="lrTb"/>
            <w:noWrap/>
          </w:tcPr>
          <w:p>
            <w:pPr>
              <w:ind w:firstLine="28"/>
              <w:jc w:val="center"/>
              <w:rPr>
                <w:rFonts w:cs="宋体"/>
                <w:bCs/>
                <w:color w:val="000000"/>
                <w:szCs w:val="21"/>
                <w:highlight w:val="yellow"/>
              </w:rPr>
            </w:pPr>
            <w:r>
              <w:rPr>
                <w:rFonts w:hint="eastAsia" w:cs="宋体"/>
                <w:bCs/>
                <w:color w:val="000000"/>
                <w:szCs w:val="21"/>
              </w:rPr>
              <w:t xml:space="preserve">8</w:t>
            </w:r>
            <w:r/>
          </w:p>
        </w:tc>
      </w:tr>
    </w:tbl>
    <w:p>
      <w:pPr>
        <w:rPr>
          <w:rFonts w:cs="宋体"/>
          <w:szCs w:val="21"/>
        </w:rPr>
      </w:pPr>
      <w:r>
        <w:rPr>
          <w:rFonts w:hint="eastAsia" w:cs="宋体"/>
          <w:szCs w:val="21"/>
        </w:rPr>
        <w:t xml:space="preserve">备注：</w:t>
      </w:r>
      <w:bookmarkEnd w:id="57"/>
      <w:r/>
      <w:bookmarkEnd w:id="58"/>
      <w:r/>
      <w:r/>
    </w:p>
    <w:p>
      <w:pPr>
        <w:ind w:firstLine="420"/>
        <w:rPr>
          <w:rFonts w:cs="宋体"/>
          <w:szCs w:val="21"/>
        </w:rPr>
      </w:pPr>
      <w:r>
        <w:rPr>
          <w:rFonts w:hint="eastAsia" w:cs="宋体"/>
          <w:szCs w:val="21"/>
        </w:rPr>
        <w:t xml:space="preserve">1.涉及评审的资料均需电子件形式上传，本项目不收取纸质投标文件及相关原件等纸质材料，仅以投标单位提供的电子投标文件为准。</w:t>
      </w:r>
      <w:r/>
    </w:p>
    <w:p>
      <w:pPr>
        <w:ind w:firstLine="420"/>
        <w:rPr>
          <w:rFonts w:cs="宋体"/>
          <w:szCs w:val="21"/>
        </w:rPr>
      </w:pPr>
      <w:r>
        <w:rPr>
          <w:rFonts w:hint="eastAsia" w:cs="宋体"/>
          <w:szCs w:val="21"/>
        </w:rPr>
        <w:t xml:space="preserve">2.各投标单位必须通过“苏采云”进行该项目网上电子投标，否则视为无效投标.</w:t>
      </w:r>
      <w:r/>
    </w:p>
    <w:p>
      <w:pPr>
        <w:ind w:firstLine="420"/>
        <w:rPr>
          <w:rFonts w:cs="宋体"/>
          <w:szCs w:val="21"/>
        </w:rPr>
      </w:pPr>
      <w:r>
        <w:rPr>
          <w:rFonts w:hint="eastAsia" w:cs="宋体"/>
          <w:szCs w:val="21"/>
        </w:rPr>
        <w:t xml:space="preserve">3.针对评分标准中评分的每一条，投标人均应提供相关资料或作出相应说明供评委评判。</w:t>
      </w:r>
      <w:r/>
    </w:p>
    <w:p>
      <w:pPr>
        <w:ind w:firstLine="420"/>
        <w:rPr>
          <w:rFonts w:cs="宋体"/>
          <w:szCs w:val="21"/>
        </w:rPr>
      </w:pPr>
      <w:r>
        <w:rPr>
          <w:rFonts w:hint="eastAsia" w:cs="宋体"/>
          <w:szCs w:val="21"/>
        </w:rPr>
        <w:t xml:space="preserve">4.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left"/>
        <w:rPr>
          <w:szCs w:val="21"/>
        </w:rPr>
      </w:pPr>
      <w:r>
        <w:rPr>
          <w:rFonts w:hint="eastAsia" w:cs="宋体"/>
          <w:szCs w:val="21"/>
        </w:rPr>
        <w:t xml:space="preserve">    5.本项目由评委会经综合评标法确定中标单位，最低的报价或最高的优惠率并不能成为中标的唯一依据。                                                                       </w:t>
      </w:r>
      <w:r>
        <w:rPr>
          <w:szCs w:val="21"/>
        </w:rPr>
        <w:t xml:space="preserve">全文完</w:t>
      </w:r>
      <w:r/>
    </w:p>
    <w:sectPr>
      <w:headerReference w:type="default" r:id="rId8"/>
      <w:footerReference w:type="default" r:id="rId9"/>
      <w:footnotePr/>
      <w:endnotePr/>
      <w:type w:val="nextPage"/>
      <w:pgSz w:w="11906" w:h="16838" w:orient="portrait"/>
      <w:pgMar w:top="1440" w:right="1151" w:bottom="1440" w:left="115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Arial">
    <w:panose1 w:val="020B0604020202020204"/>
  </w:font>
  <w:font w:name="Courier New">
    <w:panose1 w:val="02070309020205020404"/>
  </w:font>
  <w:font w:name="黑体">
    <w:panose1 w:val="02010609060101010101"/>
  </w:font>
  <w:font w:name="Calibri">
    <w:panose1 w:val="020F0502020204030204"/>
  </w:font>
  <w:font w:name="方正大黑简体">
    <w:panose1 w:val="020B0503020202020204"/>
  </w:font>
  <w:font w:name="楷体_GB2312">
    <w:panose1 w:val="02010609060101010101"/>
  </w:font>
  <w:font w:name="Times New Roman">
    <w:panose1 w:val="02020603050405020304"/>
  </w:font>
  <w:font w:name="宋体">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6690" cy="2222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6690" cy="222250"/>
                      </a:xfrm>
                      <a:prstGeom prst="rect">
                        <a:avLst/>
                      </a:prstGeom>
                      <a:noFill/>
                      <a:ln>
                        <a:noFill/>
                        <a:miter/>
                      </a:ln>
                    </wps:spPr>
                    <wps:txbx>
                      <w:txbxContent>
                        <w:p>
                          <w:pPr>
                            <w:pStyle w:val="776"/>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7pt;height:17.5pt;mso-wrap-distance-left:9.0pt;mso-wrap-distance-top:0.0pt;mso-wrap-distance-right:9.0pt;mso-wrap-distance-bottom:0.0pt;visibility:visible;" filled="f" stroked="f">
              <v:textbox inset="0,0,0,0">
                <w:txbxContent>
                  <w:p>
                    <w:pPr>
                      <w:pStyle w:val="776"/>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76"/>
                            <w:jc w:val="center"/>
                          </w:p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6"/>
                      <w:jc w:val="center"/>
                    </w:pPr>
                    <w:r/>
                    <w:r/>
                  </w:p>
                  <w:p>
                    <w:r/>
                    <w:r/>
                  </w:p>
                </w:txbxContent>
              </v:textbox>
            </v:shape>
          </w:pict>
        </mc:Fallback>
      </mc:AlternateContent>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left" w:pos="1810" w:leader="none"/>
        <w:tab w:val="clear" w:pos="4153" w:leader="none"/>
      </w:tabs>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Title Char"/>
    <w:basedOn w:val="715"/>
    <w:link w:val="737"/>
    <w:uiPriority w:val="10"/>
    <w:rPr>
      <w:sz w:val="48"/>
      <w:szCs w:val="48"/>
    </w:rPr>
  </w:style>
  <w:style w:type="character" w:styleId="708">
    <w:name w:val="Subtitle Char"/>
    <w:basedOn w:val="715"/>
    <w:link w:val="731"/>
    <w:uiPriority w:val="11"/>
    <w:rPr>
      <w:sz w:val="24"/>
      <w:szCs w:val="24"/>
    </w:rPr>
  </w:style>
  <w:style w:type="character" w:styleId="709">
    <w:name w:val="Quote Char"/>
    <w:link w:val="767"/>
    <w:uiPriority w:val="29"/>
    <w:rPr>
      <w:i/>
    </w:rPr>
  </w:style>
  <w:style w:type="character" w:styleId="710">
    <w:name w:val="Intense Quote Char"/>
    <w:link w:val="769"/>
    <w:uiPriority w:val="30"/>
    <w:rPr>
      <w:i/>
    </w:rPr>
  </w:style>
  <w:style w:type="character" w:styleId="711">
    <w:name w:val="Footnote Text Char"/>
    <w:link w:val="732"/>
    <w:uiPriority w:val="99"/>
    <w:rPr>
      <w:sz w:val="18"/>
    </w:rPr>
  </w:style>
  <w:style w:type="character" w:styleId="712">
    <w:name w:val="Endnote Text Char"/>
    <w:link w:val="725"/>
    <w:uiPriority w:val="99"/>
    <w:rPr>
      <w:sz w:val="20"/>
    </w:rPr>
  </w:style>
  <w:style w:type="paragraph" w:styleId="713" w:default="1">
    <w:name w:val="Normal"/>
    <w:next w:val="717"/>
    <w:uiPriority w:val="0"/>
    <w:qFormat/>
    <w:pPr>
      <w:jc w:val="both"/>
      <w:spacing w:line="360" w:lineRule="auto"/>
      <w:widowControl w:val="off"/>
    </w:pPr>
    <w:rPr>
      <w:rFonts w:ascii="宋体" w:hAnsi="宋体" w:eastAsia="宋体" w:cs="Times New Roman"/>
      <w:sz w:val="21"/>
      <w:szCs w:val="24"/>
      <w:lang w:val="en-US" w:eastAsia="zh-CN" w:bidi="ar-SA"/>
    </w:rPr>
  </w:style>
  <w:style w:type="paragraph" w:styleId="714">
    <w:name w:val="Heading 1"/>
    <w:basedOn w:val="713"/>
    <w:next w:val="713"/>
    <w:link w:val="904"/>
    <w:uiPriority w:val="9"/>
    <w:qFormat/>
    <w:pPr>
      <w:keepLines/>
      <w:keepNext/>
      <w:spacing w:before="340" w:after="330" w:line="578" w:lineRule="auto"/>
      <w:outlineLvl w:val="0"/>
    </w:pPr>
    <w:rPr>
      <w:b/>
      <w:bCs/>
      <w:sz w:val="44"/>
      <w:szCs w:val="44"/>
    </w:rPr>
  </w:style>
  <w:style w:type="character" w:styleId="715" w:default="1">
    <w:name w:val="Default Paragraph Font"/>
    <w:uiPriority w:val="1"/>
    <w:semiHidden/>
    <w:unhideWhenUsed/>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Normal Indent"/>
    <w:basedOn w:val="713"/>
    <w:uiPriority w:val="0"/>
    <w:qFormat/>
    <w:pPr>
      <w:ind w:firstLine="420"/>
      <w:jc w:val="left"/>
    </w:pPr>
    <w:rPr>
      <w:rFonts w:eastAsia="楷体_GB2312"/>
      <w:sz w:val="24"/>
      <w:szCs w:val="20"/>
    </w:rPr>
  </w:style>
  <w:style w:type="paragraph" w:styleId="718">
    <w:name w:val="toc 7"/>
    <w:basedOn w:val="713"/>
    <w:next w:val="713"/>
    <w:uiPriority w:val="39"/>
    <w:unhideWhenUsed/>
    <w:pPr>
      <w:ind w:left="1701"/>
      <w:spacing w:after="57"/>
    </w:pPr>
  </w:style>
  <w:style w:type="paragraph" w:styleId="719">
    <w:name w:val="Document Map"/>
    <w:basedOn w:val="713"/>
    <w:link w:val="919"/>
    <w:uiPriority w:val="99"/>
    <w:semiHidden/>
    <w:unhideWhenUsed/>
    <w:qFormat/>
    <w:rPr>
      <w:sz w:val="18"/>
      <w:szCs w:val="18"/>
    </w:rPr>
  </w:style>
  <w:style w:type="paragraph" w:styleId="720">
    <w:name w:val="annotation text"/>
    <w:basedOn w:val="713"/>
    <w:link w:val="906"/>
    <w:uiPriority w:val="0"/>
    <w:qFormat/>
    <w:pPr>
      <w:jc w:val="left"/>
    </w:pPr>
  </w:style>
  <w:style w:type="paragraph" w:styleId="721">
    <w:name w:val="Body Text"/>
    <w:basedOn w:val="713"/>
    <w:link w:val="907"/>
    <w:uiPriority w:val="0"/>
    <w:qFormat/>
    <w:pPr>
      <w:jc w:val="center"/>
    </w:pPr>
    <w:rPr>
      <w:rFonts w:ascii="方正大黑简体" w:eastAsia="方正大黑简体"/>
      <w:position w:val="6"/>
      <w:sz w:val="30"/>
      <w:szCs w:val="20"/>
    </w:rPr>
  </w:style>
  <w:style w:type="paragraph" w:styleId="722">
    <w:name w:val="toc 5"/>
    <w:basedOn w:val="713"/>
    <w:next w:val="713"/>
    <w:uiPriority w:val="39"/>
    <w:unhideWhenUsed/>
    <w:pPr>
      <w:ind w:left="1134"/>
      <w:spacing w:after="57"/>
    </w:pPr>
  </w:style>
  <w:style w:type="paragraph" w:styleId="723">
    <w:name w:val="toc 3"/>
    <w:basedOn w:val="713"/>
    <w:next w:val="713"/>
    <w:uiPriority w:val="39"/>
    <w:unhideWhenUsed/>
    <w:pPr>
      <w:ind w:left="567"/>
      <w:spacing w:after="57"/>
    </w:pPr>
  </w:style>
  <w:style w:type="paragraph" w:styleId="724">
    <w:name w:val="toc 8"/>
    <w:basedOn w:val="713"/>
    <w:next w:val="713"/>
    <w:uiPriority w:val="39"/>
    <w:unhideWhenUsed/>
    <w:pPr>
      <w:ind w:left="1984"/>
      <w:spacing w:after="57"/>
    </w:pPr>
  </w:style>
  <w:style w:type="paragraph" w:styleId="725">
    <w:name w:val="endnote text"/>
    <w:basedOn w:val="713"/>
    <w:link w:val="903"/>
    <w:uiPriority w:val="99"/>
    <w:semiHidden/>
    <w:unhideWhenUsed/>
    <w:pPr>
      <w:spacing w:line="240" w:lineRule="auto"/>
    </w:pPr>
    <w:rPr>
      <w:sz w:val="20"/>
    </w:rPr>
  </w:style>
  <w:style w:type="paragraph" w:styleId="726">
    <w:name w:val="Balloon Text"/>
    <w:basedOn w:val="713"/>
    <w:link w:val="920"/>
    <w:uiPriority w:val="99"/>
    <w:semiHidden/>
    <w:unhideWhenUsed/>
    <w:qFormat/>
    <w:pPr>
      <w:spacing w:line="240" w:lineRule="auto"/>
    </w:pPr>
    <w:rPr>
      <w:sz w:val="18"/>
      <w:szCs w:val="18"/>
    </w:rPr>
  </w:style>
  <w:style w:type="paragraph" w:styleId="727">
    <w:name w:val="Footer"/>
    <w:basedOn w:val="713"/>
    <w:link w:val="744"/>
    <w:uiPriority w:val="99"/>
    <w:semiHidden/>
    <w:unhideWhenUsed/>
    <w:pPr>
      <w:jc w:val="left"/>
      <w:spacing w:line="240" w:lineRule="auto"/>
      <w:tabs>
        <w:tab w:val="center" w:pos="4153" w:leader="none"/>
        <w:tab w:val="right" w:pos="8306" w:leader="none"/>
      </w:tabs>
    </w:pPr>
    <w:rPr>
      <w:rFonts w:asciiTheme="minorHAnsi" w:hAnsiTheme="minorHAnsi" w:eastAsiaTheme="minorEastAsia" w:cstheme="minorBidi"/>
      <w:sz w:val="18"/>
      <w:szCs w:val="18"/>
    </w:rPr>
  </w:style>
  <w:style w:type="paragraph" w:styleId="728">
    <w:name w:val="Header"/>
    <w:basedOn w:val="713"/>
    <w:link w:val="743"/>
    <w:uiPriority w:val="99"/>
    <w:semiHidden/>
    <w:unhideWhenUsed/>
    <w:pPr>
      <w:jc w:val="center"/>
      <w:spacing w:line="240" w:lineRule="auto"/>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paragraph" w:styleId="729">
    <w:name w:val="toc 1"/>
    <w:basedOn w:val="713"/>
    <w:next w:val="713"/>
    <w:uiPriority w:val="0"/>
    <w:qFormat/>
    <w:rPr>
      <w:sz w:val="28"/>
    </w:rPr>
  </w:style>
  <w:style w:type="paragraph" w:styleId="730">
    <w:name w:val="toc 4"/>
    <w:basedOn w:val="713"/>
    <w:next w:val="713"/>
    <w:uiPriority w:val="39"/>
    <w:unhideWhenUsed/>
    <w:pPr>
      <w:ind w:left="850"/>
      <w:spacing w:after="57"/>
    </w:pPr>
  </w:style>
  <w:style w:type="paragraph" w:styleId="731">
    <w:name w:val="Subtitle"/>
    <w:basedOn w:val="713"/>
    <w:next w:val="713"/>
    <w:link w:val="766"/>
    <w:uiPriority w:val="11"/>
    <w:qFormat/>
    <w:pPr>
      <w:spacing w:before="200" w:after="200"/>
    </w:pPr>
    <w:rPr>
      <w:sz w:val="24"/>
    </w:rPr>
  </w:style>
  <w:style w:type="paragraph" w:styleId="732">
    <w:name w:val="footnote text"/>
    <w:basedOn w:val="713"/>
    <w:link w:val="902"/>
    <w:uiPriority w:val="99"/>
    <w:semiHidden/>
    <w:unhideWhenUsed/>
    <w:pPr>
      <w:spacing w:after="40" w:line="240" w:lineRule="auto"/>
    </w:pPr>
    <w:rPr>
      <w:sz w:val="18"/>
    </w:rPr>
  </w:style>
  <w:style w:type="paragraph" w:styleId="733">
    <w:name w:val="toc 6"/>
    <w:basedOn w:val="713"/>
    <w:next w:val="713"/>
    <w:uiPriority w:val="39"/>
    <w:unhideWhenUsed/>
    <w:pPr>
      <w:ind w:left="1417"/>
      <w:spacing w:after="57"/>
    </w:pPr>
  </w:style>
  <w:style w:type="paragraph" w:styleId="734">
    <w:name w:val="table of figures"/>
    <w:basedOn w:val="713"/>
    <w:next w:val="713"/>
    <w:uiPriority w:val="99"/>
    <w:unhideWhenUsed/>
  </w:style>
  <w:style w:type="paragraph" w:styleId="735">
    <w:name w:val="toc 2"/>
    <w:basedOn w:val="713"/>
    <w:next w:val="713"/>
    <w:uiPriority w:val="39"/>
    <w:unhideWhenUsed/>
    <w:pPr>
      <w:ind w:left="283"/>
      <w:spacing w:after="57"/>
    </w:pPr>
  </w:style>
  <w:style w:type="paragraph" w:styleId="736">
    <w:name w:val="toc 9"/>
    <w:basedOn w:val="713"/>
    <w:next w:val="713"/>
    <w:uiPriority w:val="39"/>
    <w:unhideWhenUsed/>
    <w:pPr>
      <w:ind w:left="2268"/>
      <w:spacing w:after="57"/>
    </w:pPr>
  </w:style>
  <w:style w:type="paragraph" w:styleId="737">
    <w:name w:val="Title"/>
    <w:basedOn w:val="713"/>
    <w:next w:val="713"/>
    <w:link w:val="765"/>
    <w:uiPriority w:val="10"/>
    <w:qFormat/>
    <w:pPr>
      <w:contextualSpacing/>
      <w:spacing w:before="300" w:after="200"/>
    </w:pPr>
    <w:rPr>
      <w:sz w:val="48"/>
      <w:szCs w:val="48"/>
    </w:rPr>
  </w:style>
  <w:style w:type="table" w:styleId="738">
    <w:name w:val="Table Grid"/>
    <w:basedOn w:val="716"/>
    <w:uiPriority w:val="59"/>
    <w:unhideWhenUsed/>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basedOn w:val="715"/>
    <w:uiPriority w:val="99"/>
    <w:semiHidden/>
    <w:unhideWhenUsed/>
    <w:rPr>
      <w:vertAlign w:val="superscript"/>
    </w:rPr>
  </w:style>
  <w:style w:type="character" w:styleId="740">
    <w:name w:val="HTML Typewriter"/>
    <w:uiPriority w:val="99"/>
    <w:qFormat/>
    <w:rPr>
      <w:rFonts w:ascii="黑体" w:hAnsi="Courier New" w:eastAsia="黑体" w:cs="Courier New"/>
      <w:sz w:val="14"/>
      <w:szCs w:val="14"/>
    </w:rPr>
  </w:style>
  <w:style w:type="character" w:styleId="741">
    <w:name w:val="Hyperlink"/>
    <w:uiPriority w:val="99"/>
    <w:unhideWhenUsed/>
    <w:rPr>
      <w:color w:val="0000ff" w:themeColor="hyperlink"/>
      <w:u w:val="single"/>
    </w:rPr>
  </w:style>
  <w:style w:type="character" w:styleId="742">
    <w:name w:val="footnote reference"/>
    <w:basedOn w:val="715"/>
    <w:uiPriority w:val="99"/>
    <w:unhideWhenUsed/>
    <w:rPr>
      <w:vertAlign w:val="superscript"/>
    </w:rPr>
  </w:style>
  <w:style w:type="character" w:styleId="743" w:customStyle="1">
    <w:name w:val="页眉 Char"/>
    <w:basedOn w:val="715"/>
    <w:link w:val="728"/>
    <w:uiPriority w:val="99"/>
    <w:semiHidden/>
    <w:rPr>
      <w:sz w:val="18"/>
      <w:szCs w:val="18"/>
    </w:rPr>
  </w:style>
  <w:style w:type="character" w:styleId="744" w:customStyle="1">
    <w:name w:val="页脚 Char"/>
    <w:basedOn w:val="715"/>
    <w:link w:val="727"/>
    <w:uiPriority w:val="99"/>
    <w:semiHidden/>
    <w:rPr>
      <w:sz w:val="18"/>
      <w:szCs w:val="18"/>
    </w:rPr>
  </w:style>
  <w:style w:type="character" w:styleId="745" w:customStyle="1">
    <w:name w:val="Heading 1 Char"/>
    <w:basedOn w:val="715"/>
    <w:link w:val="746"/>
    <w:uiPriority w:val="9"/>
    <w:rPr>
      <w:rFonts w:ascii="Arial" w:hAnsi="Arial" w:eastAsia="Arial" w:cs="Arial"/>
      <w:sz w:val="40"/>
      <w:szCs w:val="40"/>
    </w:rPr>
  </w:style>
  <w:style w:type="paragraph" w:styleId="746" w:customStyle="1">
    <w:name w:val="Heading 1"/>
    <w:basedOn w:val="713"/>
    <w:next w:val="713"/>
    <w:link w:val="745"/>
    <w:uiPriority w:val="9"/>
    <w:qFormat/>
    <w:pPr>
      <w:jc w:val="center"/>
      <w:keepLines/>
      <w:keepNext/>
      <w:spacing w:before="200" w:after="200"/>
      <w:outlineLvl w:val="0"/>
    </w:pPr>
    <w:rPr>
      <w:rFonts w:ascii="Arial" w:hAnsi="Arial" w:eastAsia="Arial" w:cs="Arial"/>
      <w:sz w:val="40"/>
      <w:szCs w:val="40"/>
    </w:rPr>
  </w:style>
  <w:style w:type="character" w:styleId="747" w:customStyle="1">
    <w:name w:val="Heading 2 Char"/>
    <w:basedOn w:val="715"/>
    <w:link w:val="748"/>
    <w:uiPriority w:val="9"/>
    <w:rPr>
      <w:rFonts w:ascii="Arial" w:hAnsi="Arial" w:eastAsia="Arial" w:cs="Arial"/>
      <w:sz w:val="34"/>
    </w:rPr>
  </w:style>
  <w:style w:type="paragraph" w:styleId="748" w:customStyle="1">
    <w:name w:val="Heading 2"/>
    <w:basedOn w:val="713"/>
    <w:next w:val="713"/>
    <w:link w:val="747"/>
    <w:uiPriority w:val="9"/>
    <w:qFormat/>
    <w:pPr>
      <w:keepLines/>
      <w:keepNext/>
      <w:outlineLvl w:val="1"/>
    </w:pPr>
    <w:rPr>
      <w:rFonts w:ascii="Arial" w:hAnsi="Arial" w:eastAsia="Arial" w:cs="Arial"/>
      <w:sz w:val="34"/>
      <w:szCs w:val="22"/>
    </w:rPr>
  </w:style>
  <w:style w:type="paragraph" w:styleId="749" w:customStyle="1">
    <w:name w:val="Heading 3"/>
    <w:basedOn w:val="713"/>
    <w:next w:val="713"/>
    <w:link w:val="750"/>
    <w:uiPriority w:val="9"/>
    <w:unhideWhenUsed/>
    <w:qFormat/>
    <w:pPr>
      <w:keepLines/>
      <w:keepNext/>
      <w:spacing w:before="320" w:after="200"/>
      <w:outlineLvl w:val="2"/>
    </w:pPr>
    <w:rPr>
      <w:rFonts w:ascii="Arial" w:hAnsi="Arial" w:eastAsia="Arial" w:cs="Arial"/>
      <w:sz w:val="30"/>
      <w:szCs w:val="30"/>
    </w:rPr>
  </w:style>
  <w:style w:type="character" w:styleId="750" w:customStyle="1">
    <w:name w:val="Heading 3 Char"/>
    <w:basedOn w:val="715"/>
    <w:link w:val="749"/>
    <w:uiPriority w:val="9"/>
    <w:rPr>
      <w:rFonts w:ascii="Arial" w:hAnsi="Arial" w:eastAsia="Arial" w:cs="Arial"/>
      <w:sz w:val="30"/>
      <w:szCs w:val="30"/>
    </w:rPr>
  </w:style>
  <w:style w:type="paragraph" w:styleId="751" w:customStyle="1">
    <w:name w:val="Heading 4"/>
    <w:basedOn w:val="713"/>
    <w:next w:val="713"/>
    <w:link w:val="752"/>
    <w:uiPriority w:val="9"/>
    <w:unhideWhenUsed/>
    <w:qFormat/>
    <w:pPr>
      <w:keepLines/>
      <w:keepNext/>
      <w:spacing w:before="320" w:after="200"/>
      <w:outlineLvl w:val="3"/>
    </w:pPr>
    <w:rPr>
      <w:rFonts w:ascii="Arial" w:hAnsi="Arial" w:eastAsia="Arial" w:cs="Arial"/>
      <w:b/>
      <w:bCs/>
      <w:sz w:val="26"/>
      <w:szCs w:val="26"/>
    </w:rPr>
  </w:style>
  <w:style w:type="character" w:styleId="752" w:customStyle="1">
    <w:name w:val="Heading 4 Char"/>
    <w:basedOn w:val="715"/>
    <w:link w:val="751"/>
    <w:uiPriority w:val="9"/>
    <w:rPr>
      <w:rFonts w:ascii="Arial" w:hAnsi="Arial" w:eastAsia="Arial" w:cs="Arial"/>
      <w:b/>
      <w:bCs/>
      <w:sz w:val="26"/>
      <w:szCs w:val="26"/>
    </w:rPr>
  </w:style>
  <w:style w:type="paragraph" w:styleId="753" w:customStyle="1">
    <w:name w:val="Heading 5"/>
    <w:basedOn w:val="713"/>
    <w:next w:val="713"/>
    <w:link w:val="754"/>
    <w:uiPriority w:val="9"/>
    <w:unhideWhenUsed/>
    <w:qFormat/>
    <w:pPr>
      <w:keepLines/>
      <w:keepNext/>
      <w:spacing w:before="320" w:after="200"/>
      <w:outlineLvl w:val="4"/>
    </w:pPr>
    <w:rPr>
      <w:rFonts w:ascii="Arial" w:hAnsi="Arial" w:eastAsia="Arial" w:cs="Arial"/>
      <w:b/>
      <w:bCs/>
      <w:sz w:val="24"/>
    </w:rPr>
  </w:style>
  <w:style w:type="character" w:styleId="754" w:customStyle="1">
    <w:name w:val="Heading 5 Char"/>
    <w:basedOn w:val="715"/>
    <w:link w:val="753"/>
    <w:uiPriority w:val="9"/>
    <w:rPr>
      <w:rFonts w:ascii="Arial" w:hAnsi="Arial" w:eastAsia="Arial" w:cs="Arial"/>
      <w:b/>
      <w:bCs/>
      <w:sz w:val="24"/>
      <w:szCs w:val="24"/>
    </w:rPr>
  </w:style>
  <w:style w:type="paragraph" w:styleId="755" w:customStyle="1">
    <w:name w:val="Heading 6"/>
    <w:basedOn w:val="713"/>
    <w:next w:val="713"/>
    <w:link w:val="756"/>
    <w:uiPriority w:val="9"/>
    <w:unhideWhenUsed/>
    <w:qFormat/>
    <w:pPr>
      <w:keepLines/>
      <w:keepNext/>
      <w:spacing w:before="320" w:after="200"/>
      <w:outlineLvl w:val="5"/>
    </w:pPr>
    <w:rPr>
      <w:rFonts w:ascii="Arial" w:hAnsi="Arial" w:eastAsia="Arial" w:cs="Arial"/>
      <w:b/>
      <w:bCs/>
      <w:sz w:val="22"/>
      <w:szCs w:val="22"/>
    </w:rPr>
  </w:style>
  <w:style w:type="character" w:styleId="756" w:customStyle="1">
    <w:name w:val="Heading 6 Char"/>
    <w:basedOn w:val="715"/>
    <w:link w:val="755"/>
    <w:uiPriority w:val="9"/>
    <w:rPr>
      <w:rFonts w:ascii="Arial" w:hAnsi="Arial" w:eastAsia="Arial" w:cs="Arial"/>
      <w:b/>
      <w:bCs/>
      <w:sz w:val="22"/>
    </w:rPr>
  </w:style>
  <w:style w:type="paragraph" w:styleId="757" w:customStyle="1">
    <w:name w:val="Heading 7"/>
    <w:basedOn w:val="713"/>
    <w:next w:val="71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customStyle="1">
    <w:name w:val="Heading 7 Char"/>
    <w:basedOn w:val="715"/>
    <w:link w:val="757"/>
    <w:uiPriority w:val="9"/>
    <w:rPr>
      <w:rFonts w:ascii="Arial" w:hAnsi="Arial" w:eastAsia="Arial" w:cs="Arial"/>
      <w:b/>
      <w:bCs/>
      <w:i/>
      <w:iCs/>
      <w:sz w:val="22"/>
    </w:rPr>
  </w:style>
  <w:style w:type="paragraph" w:styleId="759" w:customStyle="1">
    <w:name w:val="Heading 8"/>
    <w:basedOn w:val="713"/>
    <w:next w:val="713"/>
    <w:link w:val="760"/>
    <w:uiPriority w:val="9"/>
    <w:unhideWhenUsed/>
    <w:qFormat/>
    <w:pPr>
      <w:keepLines/>
      <w:keepNext/>
      <w:spacing w:before="320" w:after="200"/>
      <w:outlineLvl w:val="7"/>
    </w:pPr>
    <w:rPr>
      <w:rFonts w:ascii="Arial" w:hAnsi="Arial" w:eastAsia="Arial" w:cs="Arial"/>
      <w:i/>
      <w:iCs/>
      <w:sz w:val="22"/>
      <w:szCs w:val="22"/>
    </w:rPr>
  </w:style>
  <w:style w:type="character" w:styleId="760" w:customStyle="1">
    <w:name w:val="Heading 8 Char"/>
    <w:basedOn w:val="715"/>
    <w:link w:val="759"/>
    <w:uiPriority w:val="9"/>
    <w:rPr>
      <w:rFonts w:ascii="Arial" w:hAnsi="Arial" w:eastAsia="Arial" w:cs="Arial"/>
      <w:i/>
      <w:iCs/>
      <w:sz w:val="22"/>
    </w:rPr>
  </w:style>
  <w:style w:type="paragraph" w:styleId="761" w:customStyle="1">
    <w:name w:val="Heading 9"/>
    <w:basedOn w:val="713"/>
    <w:next w:val="713"/>
    <w:link w:val="762"/>
    <w:uiPriority w:val="9"/>
    <w:unhideWhenUsed/>
    <w:qFormat/>
    <w:pPr>
      <w:keepLines/>
      <w:keepNext/>
      <w:spacing w:before="320" w:after="200"/>
      <w:outlineLvl w:val="8"/>
    </w:pPr>
    <w:rPr>
      <w:rFonts w:ascii="Arial" w:hAnsi="Arial" w:eastAsia="Arial" w:cs="Arial"/>
      <w:i/>
      <w:iCs/>
      <w:szCs w:val="21"/>
    </w:rPr>
  </w:style>
  <w:style w:type="character" w:styleId="762" w:customStyle="1">
    <w:name w:val="Heading 9 Char"/>
    <w:basedOn w:val="715"/>
    <w:link w:val="761"/>
    <w:uiPriority w:val="9"/>
    <w:rPr>
      <w:rFonts w:ascii="Arial" w:hAnsi="Arial" w:eastAsia="Arial" w:cs="Arial"/>
      <w:i/>
      <w:iCs/>
      <w:szCs w:val="21"/>
    </w:rPr>
  </w:style>
  <w:style w:type="paragraph" w:styleId="763">
    <w:name w:val="List Paragraph"/>
    <w:basedOn w:val="713"/>
    <w:uiPriority w:val="34"/>
    <w:qFormat/>
    <w:pPr>
      <w:contextualSpacing/>
      <w:ind w:left="720"/>
    </w:pPr>
  </w:style>
  <w:style w:type="paragraph" w:styleId="764">
    <w:name w:val="No Spacing"/>
    <w:uiPriority w:val="1"/>
    <w:qFormat/>
    <w:rPr>
      <w:rFonts w:asciiTheme="minorHAnsi" w:hAnsiTheme="minorHAnsi" w:eastAsiaTheme="minorEastAsia" w:cstheme="minorBidi"/>
      <w:sz w:val="20"/>
      <w:szCs w:val="20"/>
      <w:lang w:val="en-US" w:eastAsia="zh-CN" w:bidi="ar-SA"/>
    </w:rPr>
  </w:style>
  <w:style w:type="character" w:styleId="765" w:customStyle="1">
    <w:name w:val="标题 Char"/>
    <w:basedOn w:val="715"/>
    <w:link w:val="737"/>
    <w:uiPriority w:val="10"/>
    <w:rPr>
      <w:rFonts w:ascii="宋体" w:hAnsi="宋体" w:eastAsia="宋体" w:cs="Times New Roman"/>
      <w:sz w:val="48"/>
      <w:szCs w:val="48"/>
    </w:rPr>
  </w:style>
  <w:style w:type="character" w:styleId="766" w:customStyle="1">
    <w:name w:val="副标题 Char"/>
    <w:basedOn w:val="715"/>
    <w:link w:val="731"/>
    <w:uiPriority w:val="11"/>
    <w:rPr>
      <w:rFonts w:ascii="宋体" w:hAnsi="宋体" w:eastAsia="宋体" w:cs="Times New Roman"/>
      <w:sz w:val="24"/>
      <w:szCs w:val="24"/>
    </w:rPr>
  </w:style>
  <w:style w:type="paragraph" w:styleId="767">
    <w:name w:val="Quote"/>
    <w:basedOn w:val="713"/>
    <w:next w:val="713"/>
    <w:link w:val="768"/>
    <w:uiPriority w:val="29"/>
    <w:qFormat/>
    <w:pPr>
      <w:ind w:left="720" w:right="720"/>
    </w:pPr>
    <w:rPr>
      <w:i/>
    </w:rPr>
  </w:style>
  <w:style w:type="character" w:styleId="768" w:customStyle="1">
    <w:name w:val="引用 Char"/>
    <w:basedOn w:val="715"/>
    <w:link w:val="767"/>
    <w:uiPriority w:val="29"/>
    <w:rPr>
      <w:rFonts w:ascii="宋体" w:hAnsi="宋体" w:eastAsia="宋体" w:cs="Times New Roman"/>
      <w:i/>
      <w:szCs w:val="24"/>
    </w:rPr>
  </w:style>
  <w:style w:type="paragraph" w:styleId="769">
    <w:name w:val="Intense Quote"/>
    <w:basedOn w:val="713"/>
    <w:next w:val="71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Char"/>
    <w:basedOn w:val="715"/>
    <w:link w:val="769"/>
    <w:uiPriority w:val="30"/>
    <w:rPr>
      <w:rFonts w:ascii="宋体" w:hAnsi="宋体" w:eastAsia="宋体" w:cs="Times New Roman"/>
      <w:i/>
      <w:szCs w:val="24"/>
      <w:shd w:val="clear" w:color="auto" w:fill="f2f2f2"/>
    </w:rPr>
  </w:style>
  <w:style w:type="character" w:styleId="771" w:customStyle="1">
    <w:name w:val="Header Char"/>
    <w:basedOn w:val="715"/>
    <w:link w:val="772"/>
    <w:uiPriority w:val="99"/>
    <w:rPr>
      <w:rFonts w:ascii="宋体" w:hAnsi="宋体" w:eastAsia="宋体" w:cs="Times New Roman"/>
      <w:sz w:val="18"/>
      <w:szCs w:val="24"/>
    </w:rPr>
  </w:style>
  <w:style w:type="paragraph" w:styleId="772" w:customStyle="1">
    <w:name w:val="Header"/>
    <w:basedOn w:val="713"/>
    <w:link w:val="771"/>
    <w:uiPriority w:val="99"/>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73" w:customStyle="1">
    <w:name w:val="Footer Char"/>
    <w:basedOn w:val="715"/>
    <w:uiPriority w:val="99"/>
  </w:style>
  <w:style w:type="paragraph" w:styleId="774" w:customStyle="1">
    <w:name w:val="Caption"/>
    <w:basedOn w:val="713"/>
    <w:next w:val="713"/>
    <w:uiPriority w:val="35"/>
    <w:semiHidden/>
    <w:unhideWhenUsed/>
    <w:qFormat/>
    <w:pPr>
      <w:spacing w:line="276" w:lineRule="auto"/>
    </w:pPr>
    <w:rPr>
      <w:b/>
      <w:bCs/>
      <w:color w:val="4f81bd" w:themeColor="accent1"/>
      <w:sz w:val="18"/>
      <w:szCs w:val="18"/>
    </w:rPr>
  </w:style>
  <w:style w:type="character" w:styleId="775" w:customStyle="1">
    <w:name w:val="Caption Char"/>
    <w:link w:val="776"/>
    <w:uiPriority w:val="99"/>
    <w:rPr>
      <w:rFonts w:ascii="宋体" w:hAnsi="宋体" w:eastAsia="宋体" w:cs="Times New Roman"/>
      <w:sz w:val="18"/>
      <w:szCs w:val="24"/>
    </w:rPr>
  </w:style>
  <w:style w:type="paragraph" w:styleId="776" w:customStyle="1">
    <w:name w:val="Footer"/>
    <w:basedOn w:val="713"/>
    <w:link w:val="775"/>
    <w:uiPriority w:val="99"/>
    <w:qFormat/>
    <w:pPr>
      <w:jc w:val="left"/>
      <w:tabs>
        <w:tab w:val="center" w:pos="4153" w:leader="none"/>
        <w:tab w:val="right" w:pos="8306" w:leader="none"/>
      </w:tabs>
    </w:pPr>
    <w:rPr>
      <w:sz w:val="18"/>
    </w:rPr>
  </w:style>
  <w:style w:type="table" w:styleId="777" w:customStyle="1">
    <w:name w:val="Table Grid Light"/>
    <w:basedOn w:val="716"/>
    <w:uiPriority w:val="59"/>
    <w:rPr>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Plain Table 1"/>
    <w:basedOn w:val="716"/>
    <w:uiPriority w:val="59"/>
    <w:rPr>
      <w:sz w:val="20"/>
      <w:szCs w:val="20"/>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16"/>
    <w:uiPriority w:val="59"/>
    <w:rPr>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16"/>
    <w:uiPriority w:val="99"/>
    <w:rPr>
      <w:sz w:val="20"/>
      <w:szCs w:val="20"/>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16"/>
    <w:uiPriority w:val="99"/>
    <w:rPr>
      <w:sz w:val="20"/>
      <w:szCs w:val="20"/>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16"/>
    <w:uiPriority w:val="99"/>
    <w:rPr>
      <w:sz w:val="20"/>
      <w:szCs w:val="20"/>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16"/>
    <w:uiPriority w:val="99"/>
    <w:rPr>
      <w:sz w:val="20"/>
      <w:szCs w:val="20"/>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16"/>
    <w:uiPriority w:val="99"/>
    <w:rPr>
      <w:sz w:val="20"/>
      <w:szCs w:val="20"/>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16"/>
    <w:uiPriority w:val="99"/>
    <w:rPr>
      <w:sz w:val="20"/>
      <w:szCs w:val="20"/>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16"/>
    <w:uiPriority w:val="99"/>
    <w:rPr>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16"/>
    <w:uiPriority w:val="99"/>
    <w:rPr>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16"/>
    <w:uiPriority w:val="99"/>
    <w:rPr>
      <w:sz w:val="20"/>
      <w:szCs w:val="20"/>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16"/>
    <w:uiPriority w:val="99"/>
    <w:rPr>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16"/>
    <w:uiPriority w:val="99"/>
    <w:rPr>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16"/>
    <w:uiPriority w:val="99"/>
    <w:rPr>
      <w:sz w:val="20"/>
      <w:szCs w:val="20"/>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16"/>
    <w:uiPriority w:val="99"/>
    <w:rPr>
      <w:sz w:val="20"/>
      <w:szCs w:val="20"/>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16"/>
    <w:uiPriority w:val="99"/>
    <w:rPr>
      <w:sz w:val="20"/>
      <w:szCs w:val="20"/>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16"/>
    <w:uiPriority w:val="99"/>
    <w:rPr>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16"/>
    <w:uiPriority w:val="99"/>
    <w:rPr>
      <w:sz w:val="20"/>
      <w:szCs w:val="20"/>
    </w:r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16"/>
    <w:uiPriority w:val="99"/>
    <w:rPr>
      <w:sz w:val="20"/>
      <w:szCs w:val="20"/>
    </w:r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16"/>
    <w:uiPriority w:val="99"/>
    <w:rPr>
      <w:sz w:val="20"/>
      <w:szCs w:val="20"/>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16"/>
    <w:uiPriority w:val="99"/>
    <w:rPr>
      <w:sz w:val="20"/>
      <w:szCs w:val="20"/>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16"/>
    <w:uiPriority w:val="99"/>
    <w:rPr>
      <w:sz w:val="20"/>
      <w:szCs w:val="20"/>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16"/>
    <w:uiPriority w:val="99"/>
    <w:rPr>
      <w:sz w:val="20"/>
      <w:szCs w:val="20"/>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16"/>
    <w:uiPriority w:val="99"/>
    <w:rPr>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16"/>
    <w:uiPriority w:val="99"/>
    <w:rPr>
      <w:sz w:val="20"/>
      <w:szCs w:val="20"/>
    </w:rPr>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16"/>
    <w:uiPriority w:val="99"/>
    <w:rPr>
      <w:sz w:val="20"/>
      <w:szCs w:val="20"/>
    </w:rPr>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16"/>
    <w:uiPriority w:val="59"/>
    <w:rPr>
      <w:sz w:val="20"/>
      <w:szCs w:val="20"/>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16"/>
    <w:uiPriority w:val="59"/>
    <w:rPr>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basedOn w:val="716"/>
    <w:uiPriority w:val="59"/>
    <w:rPr>
      <w:sz w:val="20"/>
      <w:szCs w:val="20"/>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basedOn w:val="716"/>
    <w:uiPriority w:val="59"/>
    <w:rPr>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basedOn w:val="716"/>
    <w:uiPriority w:val="59"/>
    <w:rPr>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16"/>
    <w:uiPriority w:val="59"/>
    <w:rPr>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16"/>
    <w:uiPriority w:val="59"/>
    <w:rPr>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16"/>
    <w:uiPriority w:val="99"/>
    <w:rPr>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16"/>
    <w:uiPriority w:val="99"/>
    <w:rPr>
      <w:sz w:val="20"/>
      <w:szCs w:val="20"/>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9" w:customStyle="1">
    <w:name w:val="Grid Table 6 Colorful - Accent 1"/>
    <w:basedOn w:val="716"/>
    <w:uiPriority w:val="99"/>
    <w:rPr>
      <w:sz w:val="20"/>
      <w:szCs w:val="20"/>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16"/>
    <w:uiPriority w:val="99"/>
    <w:rPr>
      <w:sz w:val="20"/>
      <w:szCs w:val="20"/>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1" w:customStyle="1">
    <w:name w:val="Grid Table 6 Colorful - Accent 3"/>
    <w:basedOn w:val="716"/>
    <w:uiPriority w:val="99"/>
    <w:rPr>
      <w:sz w:val="20"/>
      <w:szCs w:val="20"/>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2" w:customStyle="1">
    <w:name w:val="Grid Table 6 Colorful - Accent 4"/>
    <w:basedOn w:val="716"/>
    <w:uiPriority w:val="99"/>
    <w:rPr>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16"/>
    <w:uiPriority w:val="99"/>
    <w:rPr>
      <w:sz w:val="20"/>
      <w:szCs w:val="2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16"/>
    <w:uiPriority w:val="99"/>
    <w:rPr>
      <w:sz w:val="20"/>
      <w:szCs w:val="2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basedOn w:val="716"/>
    <w:uiPriority w:val="99"/>
    <w:rPr>
      <w:sz w:val="20"/>
      <w:szCs w:val="20"/>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basedOn w:val="716"/>
    <w:uiPriority w:val="99"/>
    <w:rPr>
      <w:sz w:val="20"/>
      <w:szCs w:val="20"/>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basedOn w:val="716"/>
    <w:uiPriority w:val="99"/>
    <w:rPr>
      <w:sz w:val="20"/>
      <w:szCs w:val="20"/>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basedOn w:val="716"/>
    <w:uiPriority w:val="99"/>
    <w:rPr>
      <w:sz w:val="20"/>
      <w:szCs w:val="20"/>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basedOn w:val="716"/>
    <w:uiPriority w:val="99"/>
    <w:rPr>
      <w:sz w:val="20"/>
      <w:szCs w:val="20"/>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basedOn w:val="716"/>
    <w:uiPriority w:val="99"/>
    <w:rPr>
      <w:sz w:val="20"/>
      <w:szCs w:val="20"/>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basedOn w:val="716"/>
    <w:uiPriority w:val="99"/>
    <w:rPr>
      <w:sz w:val="20"/>
      <w:szCs w:val="20"/>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List Table 1 Light"/>
    <w:basedOn w:val="716"/>
    <w:uiPriority w:val="99"/>
    <w:rPr>
      <w:sz w:val="20"/>
      <w:szCs w:val="20"/>
    </w:rPr>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16"/>
    <w:uiPriority w:val="99"/>
    <w:rPr>
      <w:sz w:val="20"/>
      <w:szCs w:val="20"/>
    </w:rPr>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16"/>
    <w:uiPriority w:val="99"/>
    <w:rPr>
      <w:sz w:val="20"/>
      <w:szCs w:val="20"/>
    </w:rPr>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16"/>
    <w:uiPriority w:val="99"/>
    <w:rPr>
      <w:sz w:val="20"/>
      <w:szCs w:val="20"/>
    </w:rPr>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16"/>
    <w:uiPriority w:val="99"/>
    <w:rPr>
      <w:sz w:val="20"/>
      <w:szCs w:val="20"/>
    </w:rPr>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16"/>
    <w:uiPriority w:val="99"/>
    <w:rPr>
      <w:sz w:val="20"/>
      <w:szCs w:val="20"/>
    </w:rPr>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16"/>
    <w:uiPriority w:val="99"/>
    <w:rPr>
      <w:sz w:val="20"/>
      <w:szCs w:val="20"/>
    </w:rPr>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16"/>
    <w:uiPriority w:val="99"/>
    <w:rPr>
      <w:sz w:val="20"/>
      <w:szCs w:val="20"/>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basedOn w:val="716"/>
    <w:uiPriority w:val="99"/>
    <w:rPr>
      <w:sz w:val="20"/>
      <w:szCs w:val="20"/>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16"/>
    <w:uiPriority w:val="99"/>
    <w:rPr>
      <w:sz w:val="20"/>
      <w:szCs w:val="20"/>
    </w:rPr>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basedOn w:val="716"/>
    <w:uiPriority w:val="99"/>
    <w:rPr>
      <w:sz w:val="20"/>
      <w:szCs w:val="20"/>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16"/>
    <w:uiPriority w:val="99"/>
    <w:rPr>
      <w:sz w:val="20"/>
      <w:szCs w:val="20"/>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16"/>
    <w:uiPriority w:val="99"/>
    <w:rPr>
      <w:sz w:val="20"/>
      <w:szCs w:val="20"/>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16"/>
    <w:uiPriority w:val="99"/>
    <w:rPr>
      <w:sz w:val="20"/>
      <w:szCs w:val="20"/>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16"/>
    <w:uiPriority w:val="99"/>
    <w:rPr>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16"/>
    <w:uiPriority w:val="99"/>
    <w:rPr>
      <w:sz w:val="20"/>
      <w:szCs w:val="20"/>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16"/>
    <w:uiPriority w:val="99"/>
    <w:rPr>
      <w:sz w:val="20"/>
      <w:szCs w:val="20"/>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16"/>
    <w:uiPriority w:val="99"/>
    <w:rPr>
      <w:sz w:val="20"/>
      <w:szCs w:val="20"/>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16"/>
    <w:uiPriority w:val="99"/>
    <w:rPr>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16"/>
    <w:uiPriority w:val="99"/>
    <w:rPr>
      <w:sz w:val="20"/>
      <w:szCs w:val="20"/>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16"/>
    <w:uiPriority w:val="99"/>
    <w:rPr>
      <w:sz w:val="20"/>
      <w:szCs w:val="20"/>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16"/>
    <w:uiPriority w:val="99"/>
    <w:rPr>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16"/>
    <w:uiPriority w:val="99"/>
    <w:rPr>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16"/>
    <w:uiPriority w:val="99"/>
    <w:rPr>
      <w:sz w:val="20"/>
      <w:szCs w:val="20"/>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16"/>
    <w:uiPriority w:val="99"/>
    <w:rPr>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16"/>
    <w:uiPriority w:val="99"/>
    <w:rPr>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16"/>
    <w:uiPriority w:val="99"/>
    <w:rPr>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16"/>
    <w:uiPriority w:val="99"/>
    <w:rPr>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16"/>
    <w:uiPriority w:val="99"/>
    <w:rPr>
      <w:sz w:val="20"/>
      <w:szCs w:val="20"/>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16"/>
    <w:uiPriority w:val="99"/>
    <w:rPr>
      <w:sz w:val="20"/>
      <w:szCs w:val="20"/>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16"/>
    <w:uiPriority w:val="99"/>
    <w:rPr>
      <w:sz w:val="20"/>
      <w:szCs w:val="20"/>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16"/>
    <w:uiPriority w:val="99"/>
    <w:rPr>
      <w:sz w:val="20"/>
      <w:szCs w:val="20"/>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16"/>
    <w:uiPriority w:val="99"/>
    <w:rPr>
      <w:sz w:val="20"/>
      <w:szCs w:val="20"/>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16"/>
    <w:uiPriority w:val="99"/>
    <w:rPr>
      <w:sz w:val="20"/>
      <w:szCs w:val="20"/>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16"/>
    <w:uiPriority w:val="99"/>
    <w:rPr>
      <w:sz w:val="20"/>
      <w:szCs w:val="20"/>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basedOn w:val="716"/>
    <w:uiPriority w:val="99"/>
    <w:rPr>
      <w:sz w:val="20"/>
      <w:szCs w:val="20"/>
    </w:rPr>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6 Colorful - Accent 1"/>
    <w:basedOn w:val="716"/>
    <w:uiPriority w:val="99"/>
    <w:rPr>
      <w:sz w:val="20"/>
      <w:szCs w:val="20"/>
    </w:rPr>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9" w:customStyle="1">
    <w:name w:val="List Table 6 Colorful - Accent 2"/>
    <w:basedOn w:val="716"/>
    <w:uiPriority w:val="99"/>
    <w:rPr>
      <w:sz w:val="20"/>
      <w:szCs w:val="20"/>
    </w:rPr>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0" w:customStyle="1">
    <w:name w:val="List Table 6 Colorful - Accent 3"/>
    <w:basedOn w:val="716"/>
    <w:uiPriority w:val="99"/>
    <w:rPr>
      <w:sz w:val="20"/>
      <w:szCs w:val="20"/>
    </w:rPr>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1" w:customStyle="1">
    <w:name w:val="List Table 6 Colorful - Accent 4"/>
    <w:basedOn w:val="716"/>
    <w:uiPriority w:val="99"/>
    <w:rPr>
      <w:sz w:val="20"/>
      <w:szCs w:val="20"/>
    </w:rPr>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16"/>
    <w:uiPriority w:val="99"/>
    <w:rPr>
      <w:sz w:val="20"/>
      <w:szCs w:val="20"/>
    </w:rPr>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16"/>
    <w:uiPriority w:val="99"/>
    <w:rPr>
      <w:sz w:val="20"/>
      <w:szCs w:val="20"/>
    </w:rPr>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basedOn w:val="716"/>
    <w:uiPriority w:val="99"/>
    <w:rPr>
      <w:sz w:val="20"/>
      <w:szCs w:val="20"/>
    </w:rPr>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basedOn w:val="716"/>
    <w:uiPriority w:val="99"/>
    <w:rPr>
      <w:sz w:val="20"/>
      <w:szCs w:val="20"/>
    </w:rPr>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basedOn w:val="716"/>
    <w:uiPriority w:val="99"/>
    <w:rPr>
      <w:sz w:val="20"/>
      <w:szCs w:val="20"/>
    </w:rPr>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basedOn w:val="716"/>
    <w:uiPriority w:val="99"/>
    <w:rPr>
      <w:sz w:val="20"/>
      <w:szCs w:val="20"/>
    </w:rPr>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basedOn w:val="716"/>
    <w:uiPriority w:val="99"/>
    <w:rPr>
      <w:sz w:val="20"/>
      <w:szCs w:val="20"/>
    </w:rPr>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basedOn w:val="716"/>
    <w:uiPriority w:val="99"/>
    <w:rPr>
      <w:sz w:val="20"/>
      <w:szCs w:val="20"/>
    </w:rPr>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basedOn w:val="716"/>
    <w:uiPriority w:val="99"/>
    <w:rPr>
      <w:sz w:val="20"/>
      <w:szCs w:val="20"/>
    </w:rPr>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16"/>
    <w:uiPriority w:val="99"/>
    <w:rPr>
      <w:color w:val="404040"/>
      <w:sz w:val="20"/>
      <w:szCs w:val="2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16"/>
    <w:uiPriority w:val="99"/>
    <w:rPr>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basedOn w:val="716"/>
    <w:uiPriority w:val="99"/>
    <w:rPr>
      <w:color w:val="404040"/>
      <w:sz w:val="20"/>
      <w:szCs w:val="2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basedOn w:val="716"/>
    <w:uiPriority w:val="99"/>
    <w:rPr>
      <w:color w:val="404040"/>
      <w:sz w:val="20"/>
      <w:szCs w:val="2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basedOn w:val="716"/>
    <w:uiPriority w:val="99"/>
    <w:rPr>
      <w:color w:val="404040"/>
      <w:sz w:val="20"/>
      <w:szCs w:val="2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basedOn w:val="716"/>
    <w:uiPriority w:val="99"/>
    <w:rPr>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16"/>
    <w:uiPriority w:val="99"/>
    <w:rPr>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16"/>
    <w:uiPriority w:val="99"/>
    <w:rPr>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16"/>
    <w:uiPriority w:val="99"/>
    <w:rPr>
      <w:sz w:val="20"/>
      <w:szCs w:val="20"/>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basedOn w:val="716"/>
    <w:uiPriority w:val="99"/>
    <w:rPr>
      <w:sz w:val="20"/>
      <w:szCs w:val="20"/>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16"/>
    <w:uiPriority w:val="99"/>
    <w:rPr>
      <w:sz w:val="20"/>
      <w:szCs w:val="20"/>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basedOn w:val="716"/>
    <w:uiPriority w:val="99"/>
    <w:rPr>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basedOn w:val="716"/>
    <w:uiPriority w:val="99"/>
    <w:rPr>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16"/>
    <w:uiPriority w:val="99"/>
    <w:rPr>
      <w:sz w:val="20"/>
      <w:szCs w:val="20"/>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16"/>
    <w:uiPriority w:val="99"/>
    <w:rPr>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Char"/>
    <w:basedOn w:val="715"/>
    <w:link w:val="732"/>
    <w:uiPriority w:val="99"/>
    <w:semiHidden/>
    <w:rPr>
      <w:rFonts w:ascii="宋体" w:hAnsi="宋体" w:eastAsia="宋体" w:cs="Times New Roman"/>
      <w:sz w:val="18"/>
      <w:szCs w:val="24"/>
    </w:rPr>
  </w:style>
  <w:style w:type="character" w:styleId="903" w:customStyle="1">
    <w:name w:val="尾注文本 Char"/>
    <w:basedOn w:val="715"/>
    <w:link w:val="725"/>
    <w:uiPriority w:val="99"/>
    <w:semiHidden/>
    <w:rPr>
      <w:rFonts w:ascii="宋体" w:hAnsi="宋体" w:eastAsia="宋体" w:cs="Times New Roman"/>
      <w:sz w:val="20"/>
      <w:szCs w:val="24"/>
    </w:rPr>
  </w:style>
  <w:style w:type="character" w:styleId="904" w:customStyle="1">
    <w:name w:val="标题 1 Char"/>
    <w:basedOn w:val="715"/>
    <w:link w:val="714"/>
    <w:uiPriority w:val="9"/>
    <w:rPr>
      <w:rFonts w:ascii="宋体" w:hAnsi="宋体" w:eastAsia="宋体" w:cs="Times New Roman"/>
      <w:b/>
      <w:bCs/>
      <w:sz w:val="44"/>
      <w:szCs w:val="44"/>
    </w:rPr>
  </w:style>
  <w:style w:type="paragraph" w:styleId="905" w:customStyle="1">
    <w:name w:val="TOC Heading"/>
    <w:uiPriority w:val="39"/>
    <w:unhideWhenUsed/>
    <w:rPr>
      <w:rFonts w:asciiTheme="minorHAnsi" w:hAnsiTheme="minorHAnsi" w:eastAsiaTheme="minorEastAsia" w:cstheme="minorBidi"/>
      <w:sz w:val="20"/>
      <w:szCs w:val="20"/>
      <w:lang w:val="en-US" w:eastAsia="zh-CN" w:bidi="ar-SA"/>
    </w:rPr>
  </w:style>
  <w:style w:type="character" w:styleId="906" w:customStyle="1">
    <w:name w:val="批注文字 Char"/>
    <w:basedOn w:val="715"/>
    <w:link w:val="720"/>
    <w:uiPriority w:val="0"/>
    <w:rPr>
      <w:rFonts w:ascii="宋体" w:hAnsi="宋体" w:eastAsia="宋体" w:cs="Times New Roman"/>
      <w:szCs w:val="24"/>
    </w:rPr>
  </w:style>
  <w:style w:type="character" w:styleId="907" w:customStyle="1">
    <w:name w:val="正文文本 Char"/>
    <w:basedOn w:val="715"/>
    <w:link w:val="721"/>
    <w:uiPriority w:val="0"/>
    <w:qFormat/>
    <w:rPr>
      <w:rFonts w:ascii="方正大黑简体" w:hAnsi="宋体" w:eastAsia="方正大黑简体" w:cs="Times New Roman"/>
      <w:position w:val="6"/>
      <w:sz w:val="30"/>
      <w:szCs w:val="20"/>
    </w:rPr>
  </w:style>
  <w:style w:type="character" w:styleId="908" w:customStyle="1">
    <w:name w:val="NormalCharacter"/>
    <w:uiPriority w:val="99"/>
    <w:qFormat/>
  </w:style>
  <w:style w:type="paragraph" w:styleId="909" w:customStyle="1">
    <w:name w:val="纯文本4"/>
    <w:basedOn w:val="713"/>
    <w:uiPriority w:val="0"/>
    <w:qFormat/>
    <w:rPr>
      <w:rFonts w:hAnsi="Courier New" w:eastAsia="楷体_GB2312"/>
      <w:sz w:val="28"/>
      <w:szCs w:val="20"/>
    </w:rPr>
  </w:style>
  <w:style w:type="paragraph" w:styleId="910" w:customStyle="1">
    <w:name w:val="纯文本1"/>
    <w:basedOn w:val="713"/>
    <w:uiPriority w:val="0"/>
    <w:qFormat/>
    <w:rPr>
      <w:rFonts w:hAnsi="Courier New" w:eastAsia="楷体_GB2312"/>
      <w:sz w:val="28"/>
      <w:szCs w:val="20"/>
    </w:rPr>
  </w:style>
  <w:style w:type="paragraph" w:styleId="911" w:customStyle="1">
    <w:name w:val="纯文本11"/>
    <w:basedOn w:val="713"/>
    <w:uiPriority w:val="0"/>
    <w:qFormat/>
    <w:rPr>
      <w:rFonts w:hAnsi="Courier New" w:eastAsia="楷体_GB2312"/>
      <w:sz w:val="28"/>
      <w:szCs w:val="20"/>
    </w:rPr>
  </w:style>
  <w:style w:type="paragraph" w:styleId="912" w:customStyle="1">
    <w:name w:val="标题 21"/>
    <w:basedOn w:val="713"/>
    <w:next w:val="713"/>
    <w:uiPriority w:val="0"/>
    <w:qFormat/>
    <w:pPr>
      <w:keepLines/>
      <w:keepNext/>
      <w:spacing w:before="260" w:after="260" w:line="416" w:lineRule="auto"/>
      <w:outlineLvl w:val="1"/>
    </w:pPr>
    <w:rPr>
      <w:rFonts w:ascii="Arial" w:hAnsi="Arial" w:eastAsia="黑体"/>
      <w:b/>
      <w:bCs/>
      <w:sz w:val="32"/>
      <w:szCs w:val="32"/>
    </w:rPr>
  </w:style>
  <w:style w:type="paragraph" w:styleId="913" w:customStyle="1">
    <w:name w:val="Plain Text12"/>
    <w:basedOn w:val="713"/>
    <w:uiPriority w:val="0"/>
    <w:qFormat/>
    <w:rPr>
      <w:rFonts w:hAnsi="Courier New" w:eastAsia="楷体_GB2312"/>
      <w:sz w:val="28"/>
      <w:szCs w:val="20"/>
    </w:rPr>
  </w:style>
  <w:style w:type="paragraph" w:styleId="914" w:customStyle="1">
    <w:name w:val="纯文本12"/>
    <w:basedOn w:val="713"/>
    <w:uiPriority w:val="0"/>
    <w:qFormat/>
    <w:rPr>
      <w:rFonts w:hint="eastAsia" w:hAnsi="Courier New" w:eastAsia="楷体_GB2312"/>
      <w:sz w:val="28"/>
      <w:szCs w:val="20"/>
    </w:rPr>
  </w:style>
  <w:style w:type="paragraph" w:styleId="915" w:customStyle="1">
    <w:name w:val="普通正文"/>
    <w:basedOn w:val="713"/>
    <w:uiPriority w:val="0"/>
    <w:qFormat/>
    <w:pPr>
      <w:ind w:firstLine="480"/>
      <w:jc w:val="left"/>
      <w:spacing w:before="120" w:after="120"/>
    </w:pPr>
    <w:rPr>
      <w:rFonts w:ascii="Arial" w:hAnsi="Arial"/>
      <w:sz w:val="24"/>
    </w:rPr>
  </w:style>
  <w:style w:type="paragraph" w:styleId="916" w:customStyle="1">
    <w:name w:val="正文1"/>
    <w:uiPriority w:val="99"/>
    <w:qFormat/>
    <w:pPr>
      <w:jc w:val="both"/>
      <w:spacing w:line="312" w:lineRule="atLeast"/>
      <w:widowControl w:val="off"/>
    </w:pPr>
    <w:rPr>
      <w:rFonts w:ascii="宋体" w:hAnsi="Times New Roman" w:eastAsia="宋体" w:cs="Times New Roman"/>
      <w:sz w:val="34"/>
      <w:szCs w:val="22"/>
      <w:lang w:val="en-US" w:eastAsia="zh-CN" w:bidi="ar-SA"/>
    </w:rPr>
  </w:style>
  <w:style w:type="paragraph" w:styleId="917" w:customStyle="1">
    <w:name w:val="首行缩进"/>
    <w:uiPriority w:val="0"/>
    <w:qFormat/>
    <w:pPr>
      <w:ind w:firstLine="480"/>
      <w:jc w:val="both"/>
      <w:widowControl w:val="off"/>
    </w:pPr>
    <w:rPr>
      <w:rFonts w:ascii="Times New Roman" w:hAnsi="Times New Roman" w:eastAsia="宋体" w:cs="Times New Roman"/>
      <w:sz w:val="21"/>
      <w:szCs w:val="20"/>
      <w:lang w:val="zh-CN" w:eastAsia="zh-CN" w:bidi="ar-SA"/>
    </w:rPr>
  </w:style>
  <w:style w:type="paragraph" w:styleId="918" w:customStyle="1">
    <w:name w:val="Table Paragraph"/>
    <w:basedOn w:val="713"/>
    <w:uiPriority w:val="1"/>
    <w:qFormat/>
    <w:pPr>
      <w:jc w:val="left"/>
      <w:widowControl/>
    </w:pPr>
    <w:rPr>
      <w:rFonts w:ascii="Times New Roman" w:hAnsi="Times New Roman"/>
      <w:szCs w:val="20"/>
    </w:rPr>
  </w:style>
  <w:style w:type="character" w:styleId="919" w:customStyle="1">
    <w:name w:val="文档结构图 Char"/>
    <w:basedOn w:val="715"/>
    <w:link w:val="719"/>
    <w:uiPriority w:val="99"/>
    <w:semiHidden/>
    <w:qFormat/>
    <w:rPr>
      <w:rFonts w:ascii="宋体" w:hAnsi="宋体" w:eastAsia="宋体" w:cs="Times New Roman"/>
      <w:sz w:val="18"/>
      <w:szCs w:val="18"/>
    </w:rPr>
  </w:style>
  <w:style w:type="character" w:styleId="920" w:customStyle="1">
    <w:name w:val="批注框文本 Char"/>
    <w:basedOn w:val="715"/>
    <w:link w:val="726"/>
    <w:uiPriority w:val="99"/>
    <w:semiHidden/>
    <w:qFormat/>
    <w:rPr>
      <w:rFonts w:ascii="宋体" w:hAnsi="宋体" w:eastAsia="宋体" w:cs="Times New Roman"/>
      <w:sz w:val="18"/>
      <w:szCs w:val="18"/>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Info spid="_x0000_s1025"/>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昆山欣杰经办</cp:lastModifiedBy>
  <cp:revision>23</cp:revision>
  <dcterms:created xsi:type="dcterms:W3CDTF">2026-03-12T06:51:00Z</dcterms:created>
  <dcterms:modified xsi:type="dcterms:W3CDTF">2026-04-09T08:55:52Z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eyJoZGlkIjoiZjMxNTMwMTI4ZjIwOTYxYzkxYTYxYjhhNmYwNTA1MmMiLCJ1c2VySWQiOiI5OTY0MzAyMjYifQ==</vt:lpwstr>
  </property>
  <property fmtid="{D5CDD505-2E9C-101B-9397-08002B2CF9AE}" pid="3" name="KSOProductBuildVer">
    <vt:lpwstr>2052-12.1.0.25225</vt:lpwstr>
  </property>
  <property fmtid="{D5CDD505-2E9C-101B-9397-08002B2CF9AE}" pid="4" name="ICV">
    <vt:lpwstr>A853FA0E0DCF4BB4A7762D7342FBE245_12</vt:lpwstr>
  </property>
</Properties>
</file>