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5"/>
        <w:jc w:val="center"/>
        <w:spacing w:line="360" w:lineRule="auto"/>
        <w:rPr>
          <w:rFonts w:hint="eastAsia" w:ascii="宋体" w:hAnsi="宋体" w:eastAsia="宋体" w:cs="宋体"/>
          <w:bCs/>
          <w:color w:val="000000"/>
          <w:sz w:val="84"/>
          <w:szCs w:val="84"/>
        </w:rPr>
      </w:pPr>
      <w:r>
        <w:rPr>
          <w:rFonts w:hint="eastAsia" w:ascii="宋体" w:hAnsi="宋体" w:eastAsia="宋体" w:cs="宋体"/>
          <w:bCs/>
          <w:color w:val="000000"/>
          <w:sz w:val="84"/>
          <w:szCs w:val="84"/>
        </w:rPr>
        <w:t xml:space="preserve">苏州市政府采购</w:t>
      </w:r>
      <w:r>
        <w:rPr>
          <w:rFonts w:hint="eastAsia" w:ascii="宋体" w:hAnsi="宋体" w:eastAsia="宋体" w:cs="宋体"/>
          <w:bCs/>
          <w:color w:val="000000"/>
          <w:sz w:val="84"/>
          <w:szCs w:val="84"/>
        </w:rPr>
      </w:r>
      <w:r/>
    </w:p>
    <w:p>
      <w:pPr>
        <w:pStyle w:val="945"/>
        <w:jc w:val="center"/>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84"/>
          <w:szCs w:val="84"/>
        </w:rPr>
        <w:t xml:space="preserve">竞争性磋商文件</w:t>
      </w:r>
      <w:r>
        <w:rPr>
          <w:rFonts w:hint="eastAsia" w:ascii="宋体" w:hAnsi="宋体" w:eastAsia="宋体" w:cs="宋体"/>
          <w:bCs/>
          <w:color w:val="000000"/>
          <w:sz w:val="32"/>
          <w:szCs w:val="32"/>
        </w:rPr>
      </w:r>
      <w:r/>
    </w:p>
    <w:p>
      <w:pPr>
        <w:pStyle w:val="945"/>
        <w:jc w:val="center"/>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945"/>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mc:AlternateContent>
          <mc:Choice Requires="wpg">
            <w:drawing>
              <wp:inline xmlns:wp="http://schemas.openxmlformats.org/drawingml/2006/wordprocessingDrawing" distT="0" distB="0" distL="0" distR="0">
                <wp:extent cx="1364742" cy="1370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5pt;height:10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Cs/>
          <w:color w:val="000000"/>
          <w:sz w:val="21"/>
          <w:szCs w:val="21"/>
        </w:rPr>
      </w:r>
      <w:r/>
    </w:p>
    <w:p>
      <w:pPr>
        <w:pStyle w:val="945"/>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945"/>
        <w:ind w:firstLine="900"/>
        <w:jc w:val="left"/>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采 购 人：苏州博物馆</w:t>
      </w:r>
      <w:r>
        <w:rPr>
          <w:rFonts w:hint="eastAsia" w:ascii="宋体" w:hAnsi="宋体" w:eastAsia="宋体" w:cs="宋体"/>
          <w:bCs/>
          <w:color w:val="000000"/>
          <w:sz w:val="30"/>
          <w:szCs w:val="30"/>
        </w:rPr>
      </w:r>
      <w:r/>
    </w:p>
    <w:p>
      <w:pPr>
        <w:pStyle w:val="945"/>
        <w:ind w:firstLine="900"/>
        <w:spacing w:line="360" w:lineRule="auto"/>
        <w:rPr>
          <w:rFonts w:hint="eastAsia" w:ascii="宋体" w:hAnsi="宋体" w:eastAsia="宋体" w:cs="宋体"/>
          <w:bCs/>
          <w:color w:val="000000"/>
          <w:sz w:val="30"/>
          <w:szCs w:val="30"/>
          <w:lang w:eastAsia="zh-CN"/>
        </w:rPr>
      </w:pPr>
      <w:r>
        <w:rPr>
          <w:rFonts w:hint="eastAsia" w:ascii="宋体" w:hAnsi="宋体" w:eastAsia="宋体" w:cs="宋体"/>
          <w:bCs/>
          <w:color w:val="000000"/>
          <w:sz w:val="30"/>
          <w:szCs w:val="30"/>
        </w:rPr>
        <w:t xml:space="preserve">项目编号：</w:t>
      </w:r>
      <w:r>
        <w:rPr>
          <w:rFonts w:hint="eastAsia" w:ascii="宋体" w:hAnsi="宋体" w:eastAsia="宋体" w:cs="宋体"/>
          <w:bCs/>
          <w:color w:val="000000"/>
          <w:sz w:val="30"/>
          <w:szCs w:val="30"/>
          <w:lang w:eastAsia="zh-CN"/>
        </w:rPr>
        <w:t xml:space="preserve">JSZC-320500-SZZJ-C2026-0008</w:t>
      </w:r>
      <w:r>
        <w:rPr>
          <w:rFonts w:hint="eastAsia" w:ascii="宋体" w:hAnsi="宋体" w:eastAsia="宋体" w:cs="宋体"/>
          <w:bCs/>
          <w:color w:val="000000"/>
          <w:sz w:val="30"/>
          <w:szCs w:val="30"/>
          <w:lang w:eastAsia="zh-CN"/>
        </w:rPr>
      </w:r>
      <w:r/>
    </w:p>
    <w:p>
      <w:pPr>
        <w:pStyle w:val="945"/>
        <w:ind w:firstLine="900"/>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项目名称：“从平凡到非凡：拿破仑与法兰西的变革时代”</w:t>
      </w:r>
      <w:r>
        <w:rPr>
          <w:rFonts w:hint="eastAsia" w:ascii="宋体" w:hAnsi="宋体" w:eastAsia="宋体" w:cs="宋体"/>
          <w:bCs/>
          <w:color w:val="000000"/>
          <w:sz w:val="30"/>
          <w:szCs w:val="30"/>
        </w:rPr>
      </w:r>
      <w:r/>
    </w:p>
    <w:p>
      <w:pPr>
        <w:pStyle w:val="945"/>
        <w:ind w:firstLine="2100"/>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（暂定名）展览策展引进服务</w:t>
      </w:r>
      <w:r>
        <w:rPr>
          <w:rFonts w:hint="eastAsia" w:ascii="宋体" w:hAnsi="宋体" w:eastAsia="宋体" w:cs="宋体"/>
          <w:bCs/>
          <w:color w:val="000000"/>
          <w:sz w:val="30"/>
          <w:szCs w:val="30"/>
        </w:rPr>
      </w:r>
      <w:r/>
    </w:p>
    <w:p>
      <w:pPr>
        <w:pStyle w:val="945"/>
        <w:ind w:firstLine="900"/>
        <w:jc w:val="left"/>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采购类别：服务类</w:t>
      </w:r>
      <w:r>
        <w:rPr>
          <w:rFonts w:hint="eastAsia" w:ascii="宋体" w:hAnsi="宋体" w:eastAsia="宋体" w:cs="宋体"/>
          <w:bCs/>
          <w:color w:val="000000"/>
          <w:sz w:val="30"/>
          <w:szCs w:val="30"/>
        </w:rPr>
      </w:r>
      <w:r/>
    </w:p>
    <w:p>
      <w:pPr>
        <w:pStyle w:val="945"/>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45"/>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45"/>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45"/>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苏州正杰招投标咨询服务有限公司</w:t>
      </w:r>
      <w:r>
        <w:rPr>
          <w:rFonts w:hint="eastAsia" w:ascii="宋体" w:hAnsi="宋体" w:eastAsia="宋体" w:cs="宋体"/>
          <w:bCs/>
          <w:color w:val="000000"/>
          <w:sz w:val="30"/>
          <w:szCs w:val="30"/>
        </w:rPr>
      </w:r>
      <w:r/>
    </w:p>
    <w:p>
      <w:pPr>
        <w:pStyle w:val="971"/>
        <w:ind w:firstLine="0"/>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2026年</w:t>
      </w:r>
      <w:r>
        <w:rPr>
          <w:rFonts w:hint="eastAsia" w:ascii="宋体" w:hAnsi="宋体" w:eastAsia="宋体" w:cs="宋体"/>
          <w:bCs/>
          <w:color w:val="000000"/>
          <w:sz w:val="30"/>
          <w:szCs w:val="30"/>
          <w:lang w:val="en-US" w:eastAsia="zh-CN"/>
        </w:rPr>
        <w:t xml:space="preserve">4</w:t>
      </w:r>
      <w:r>
        <w:rPr>
          <w:rFonts w:hint="eastAsia" w:ascii="宋体" w:hAnsi="宋体" w:eastAsia="宋体" w:cs="宋体"/>
          <w:bCs/>
          <w:color w:val="000000"/>
          <w:sz w:val="30"/>
          <w:szCs w:val="30"/>
        </w:rPr>
        <w:t xml:space="preserve">月</w:t>
      </w:r>
      <w:r>
        <w:rPr>
          <w:rFonts w:hint="eastAsia" w:ascii="宋体" w:hAnsi="宋体" w:eastAsia="宋体" w:cs="宋体"/>
          <w:bCs/>
          <w:color w:val="000000"/>
          <w:sz w:val="30"/>
          <w:szCs w:val="30"/>
        </w:rPr>
      </w:r>
      <w:r/>
    </w:p>
    <w:p>
      <w:pPr>
        <w:pStyle w:val="971"/>
        <w:ind w:firstLine="0"/>
        <w:jc w:val="center"/>
        <w:spacing w:line="360" w:lineRule="auto"/>
        <w:rPr>
          <w:rFonts w:hint="eastAsia" w:ascii="宋体" w:hAnsi="宋体" w:eastAsia="宋体" w:cs="宋体"/>
          <w:b/>
          <w:color w:val="000000"/>
          <w:sz w:val="32"/>
          <w:szCs w:val="32"/>
        </w:rPr>
        <w:sectPr>
          <w:headerReference w:type="default" r:id="rId9"/>
          <w:headerReference w:type="even" r:id="rId10"/>
          <w:footerReference w:type="default" r:id="rId11"/>
          <w:footerReference w:type="even" r:id="rId12"/>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rPr>
      </w:r>
      <w:r/>
    </w:p>
    <w:p>
      <w:pPr>
        <w:pStyle w:val="971"/>
        <w:ind w:firstLine="0"/>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t xml:space="preserve">目  录</w:t>
      </w:r>
      <w:r>
        <w:rPr>
          <w:rFonts w:hint="eastAsia" w:ascii="宋体" w:hAnsi="宋体" w:eastAsia="宋体" w:cs="宋体"/>
          <w:b/>
          <w:color w:val="000000"/>
          <w:sz w:val="52"/>
          <w:szCs w:val="52"/>
        </w:rPr>
      </w:r>
      <w:r/>
    </w:p>
    <w:p>
      <w:pPr>
        <w:pStyle w:val="971"/>
        <w:ind w:firstLine="0"/>
        <w:jc w:val="center"/>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1001"/>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fldChar w:fldCharType="begin"/>
      </w:r>
      <w:r>
        <w:rPr>
          <w:rFonts w:hint="eastAsia" w:ascii="宋体" w:hAnsi="宋体" w:eastAsia="宋体" w:cs="宋体"/>
          <w:bCs/>
          <w:color w:val="000000"/>
          <w:sz w:val="32"/>
          <w:szCs w:val="32"/>
        </w:rPr>
        <w:instrText xml:space="preserve"> TOC \o "1-1" </w:instrText>
      </w:r>
      <w:r>
        <w:rPr>
          <w:rFonts w:hint="eastAsia" w:ascii="宋体" w:hAnsi="宋体" w:eastAsia="宋体" w:cs="宋体"/>
          <w:bCs/>
          <w:color w:val="000000"/>
          <w:sz w:val="32"/>
          <w:szCs w:val="32"/>
        </w:rPr>
        <w:fldChar w:fldCharType="separate"/>
      </w:r>
      <w:r>
        <w:rPr>
          <w:rFonts w:hint="eastAsia" w:ascii="宋体" w:hAnsi="宋体" w:eastAsia="宋体" w:cs="宋体"/>
          <w:bCs/>
          <w:color w:val="000000"/>
          <w:sz w:val="32"/>
          <w:szCs w:val="32"/>
        </w:rPr>
        <w:t xml:space="preserve">第一章 竞争性磋商邀请函</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1"/>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第二章 响应须知</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1"/>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第三章 响应文件格式</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1"/>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第四章 采购需求</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1"/>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第五章 合同文本</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1"/>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第六章 评审方法及评审标准</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32"/>
          <w:szCs w:val="32"/>
        </w:rPr>
        <w:fldChar w:fldCharType="end"/>
      </w: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6"/>
        <w:jc w:val="center"/>
        <w:spacing w:line="360" w:lineRule="auto"/>
        <w:rPr>
          <w:rFonts w:hint="eastAsia" w:ascii="宋体" w:hAnsi="宋体" w:eastAsia="宋体" w:cs="宋体"/>
          <w:b w:val="0"/>
          <w:bCs/>
          <w:color w:val="000000"/>
          <w:sz w:val="52"/>
          <w:szCs w:val="52"/>
        </w:rPr>
        <w:sectPr>
          <w:footerReference w:type="default" r:id="rId13"/>
          <w:footerReference w:type="first" r:id="rId14"/>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rPr>
      </w:r>
      <w:r/>
    </w:p>
    <w:p>
      <w:pPr>
        <w:pStyle w:val="945"/>
        <w:ind w:firstLine="482"/>
        <w:jc w:val="center"/>
        <w:spacing w:line="360" w:lineRule="auto"/>
        <w:rPr>
          <w:rFonts w:hint="eastAsia" w:ascii="宋体" w:hAnsi="宋体" w:eastAsia="宋体" w:cs="宋体"/>
          <w:b/>
          <w:color w:val="000000"/>
          <w:sz w:val="24"/>
          <w:szCs w:val="24"/>
        </w:rPr>
      </w:pPr>
      <w:r/>
      <w:bookmarkEnd w:id="1"/>
      <w:r>
        <w:rPr>
          <w:rFonts w:hint="eastAsia" w:ascii="宋体" w:hAnsi="宋体" w:eastAsia="宋体" w:cs="宋体"/>
          <w:b/>
          <w:color w:val="000000"/>
          <w:sz w:val="24"/>
          <w:szCs w:val="24"/>
        </w:rPr>
        <w:t xml:space="preserve">第一章 竞争性磋商邀请函</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正杰招投标咨询服务有限公司受苏州博物馆的委托，就其所需的“从平凡到非凡：拿破仑与法兰西的变革时代”（暂定名）展览策展引进服务项目以竞争性磋商方式组织政府采购，欢迎符合条件的供应商参加。</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JSZC-320500-SZZJ-C2026-0008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项目名称：“从平凡到非凡：拿破仑与法兰西的变革时代”（暂定名）展览策展引进服务。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采购方式：竞争性磋商。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预算金额：2700000.00元。</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最高限价：2700000.00元。</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1、标的的名称：“从平凡到非凡：拿破仑与法兰西的变革时代”（暂定名）展览策展引进服务。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2、数量：1项。</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3、简要技术需求或服务要求等：苏州博物馆拟于2026年6月26日至</w:t>
      </w:r>
      <w:r>
        <w:rPr>
          <w:rFonts w:hint="eastAsia" w:ascii="宋体" w:hAnsi="宋体" w:eastAsia="宋体" w:cs="宋体"/>
          <w:bCs/>
          <w:color w:val="000000"/>
          <w:sz w:val="24"/>
          <w:szCs w:val="24"/>
        </w:rPr>
        <w:t xml:space="preserve">2026年</w:t>
      </w:r>
      <w:r>
        <w:rPr>
          <w:rFonts w:hint="eastAsia" w:ascii="宋体" w:hAnsi="宋体" w:eastAsia="宋体" w:cs="宋体"/>
          <w:color w:val="000000"/>
          <w:sz w:val="24"/>
          <w:szCs w:val="24"/>
        </w:rPr>
        <w:t xml:space="preserve">10月25日（暂定展览日期）引进拿破仑人物主题展览“从平凡到非凡：拿破仑与法兰西的变革时代”（暂定名）。该展览由拿破仑第十骑兵团协会策划并提供全部相应文物(以下简称:出借方)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总计展出文物不少于150组（约220件），并含相应辅助支架。</w:t>
      </w:r>
      <w:r>
        <w:rPr>
          <w:rFonts w:ascii="宋体" w:hAnsi="宋体" w:eastAsia="宋体" w:cs="宋体"/>
          <w:color w:val="000000"/>
          <w:sz w:val="24"/>
          <w:szCs w:val="24"/>
        </w:rPr>
        <w:t xml:space="preserve">服务内容</w:t>
      </w:r>
      <w:r>
        <w:rPr>
          <w:rFonts w:hint="eastAsia" w:ascii="宋体" w:hAnsi="宋体" w:eastAsia="宋体" w:cs="宋体"/>
          <w:color w:val="000000"/>
          <w:sz w:val="24"/>
          <w:szCs w:val="24"/>
        </w:rPr>
        <w:t xml:space="preserve">包括但不限于：展览借展及授权、保险服务、展品包装服务、单程运输（国际段＆国内段）、运输及布撤展期间人员服务等。</w:t>
      </w:r>
      <w:r>
        <w:rPr>
          <w:rFonts w:hint="eastAsia" w:ascii="宋体" w:hAnsi="宋体" w:eastAsia="宋体" w:cs="宋体"/>
          <w:bCs/>
          <w:color w:val="000000"/>
          <w:sz w:val="24"/>
          <w:szCs w:val="24"/>
        </w:rPr>
        <w:t xml:space="preserve">具体详见采购文件采购需求。</w:t>
      </w:r>
      <w:r>
        <w:rPr>
          <w:rFonts w:hint="eastAsia"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合同履行期限：以下为暂定时间，具体时间以采购人要求为准：</w:t>
      </w:r>
      <w:r>
        <w:rPr>
          <w:rFonts w:ascii="宋体" w:hAnsi="宋体" w:eastAsia="宋体" w:cs="宋体"/>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法国至苏州博物馆转运：预计2026年6月1日完成。</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（2）深圳保税区至苏州博物馆转运：预计2026年6月1日完成。</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（3）苏州博物馆布展：预计2026年6月24日前完成。</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（4）苏州博物馆展览：预计2026年6月26日至2026年10月25日。</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（5）苏州博物馆撤展：预计2026年10月26日至2026年11月5日。</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二、申请人的资格要求：</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（4）有依法缴纳税收和社会保障资金的良好记录；</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（5）参加政府采购活动前三年内，在经营活动中没有重大违法记录；</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（6）法律、行政法规规定的其他条件。</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2、落实政府采购政策需满足的资格要求：</w:t>
      </w:r>
      <w:r>
        <w:rPr>
          <w:rFonts w:hint="eastAsia" w:ascii="宋体" w:hAnsi="宋体" w:eastAsia="宋体" w:cs="宋体"/>
          <w:b/>
          <w:bCs/>
          <w:color w:val="000000"/>
          <w:sz w:val="24"/>
          <w:szCs w:val="24"/>
        </w:rPr>
        <w:t xml:space="preserve">根据《政府采购促进中小企业发展管理办法》的相关规定，本项目专门面向中小企业，所属行业为其他未列明行业，供应商应为中小微企业、监狱企业、残疾人福利性单位。</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3、本项目的特定资格要求：无。</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三、获取采购文件</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时间：自磋商文件公告发布之日起5个工作日。</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地点：“苏采云”系统自行下载采购文件。</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方式（网上报名）：</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（1）CA办理：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（2）参与采购活动：</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（3）电子投标准备：</w:t>
      </w:r>
      <w:r>
        <w:rPr>
          <w:rFonts w:hint="eastAsia" w:ascii="宋体" w:hAnsi="宋体" w:eastAsia="宋体" w:cs="宋体"/>
          <w:color w:val="000000"/>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在系统操作过程中如有疑问，请按以下方式联系：</w:t>
      </w:r>
      <w:r>
        <w:rPr>
          <w:rFonts w:hint="eastAsia" w:ascii="宋体" w:hAnsi="宋体" w:eastAsia="宋体" w:cs="宋体"/>
          <w:color w:val="000000"/>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注册咨询：13914088964；</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CA技术咨询服务电话：400-608-6099；</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电子签章技术咨询服务电话025-83633811、025-83633812、15380932027、15371015030；</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售价：本项目免费下载电子采购文件。</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四、响应文件提交</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1、截止时间：</w:t>
      </w:r>
      <w:r>
        <w:rPr>
          <w:rFonts w:hint="eastAsia" w:ascii="宋体" w:hAnsi="宋体" w:eastAsia="宋体" w:cs="宋体"/>
          <w:b/>
          <w:bCs/>
          <w:color w:val="000000"/>
          <w:sz w:val="24"/>
          <w:szCs w:val="24"/>
        </w:rPr>
        <w:t xml:space="preserve">2026年</w:t>
      </w:r>
      <w:r>
        <w:rPr>
          <w:rFonts w:hint="eastAsia" w:ascii="宋体" w:hAnsi="宋体" w:eastAsia="宋体" w:cs="宋体"/>
          <w:b/>
          <w:bCs/>
          <w:color w:val="000000"/>
          <w:sz w:val="24"/>
          <w:szCs w:val="24"/>
        </w:rPr>
        <w:t xml:space="preserve">4月20</w:t>
      </w:r>
      <w:r>
        <w:rPr>
          <w:rFonts w:hint="eastAsia" w:ascii="宋体" w:hAnsi="宋体" w:eastAsia="宋体" w:cs="宋体"/>
          <w:b/>
          <w:bCs/>
          <w:color w:val="000000"/>
          <w:sz w:val="24"/>
          <w:szCs w:val="24"/>
        </w:rPr>
        <w:t xml:space="preserve">日13点30分</w:t>
      </w:r>
      <w:r>
        <w:rPr>
          <w:rFonts w:hint="eastAsia" w:ascii="宋体" w:hAnsi="宋体" w:eastAsia="宋体" w:cs="宋体"/>
          <w:b/>
          <w:color w:val="000000"/>
          <w:sz w:val="24"/>
          <w:szCs w:val="24"/>
        </w:rPr>
        <w:t xml:space="preserve">（北京时间）。</w:t>
      </w:r>
      <w:r>
        <w:rPr>
          <w:rFonts w:hint="eastAsia" w:ascii="宋体" w:hAnsi="宋体" w:eastAsia="宋体" w:cs="宋体"/>
          <w:color w:val="000000"/>
          <w:sz w:val="24"/>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2、地点：“苏采云”系统（网址：</w:t>
      </w:r>
      <w:r>
        <w:rPr>
          <w:rFonts w:hint="eastAsia" w:ascii="宋体" w:hAnsi="宋体" w:eastAsia="宋体" w:cs="宋体"/>
          <w:color w:val="000000"/>
          <w:szCs w:val="24"/>
        </w:rPr>
        <w:fldChar w:fldCharType="begin"/>
      </w:r>
      <w:r>
        <w:rPr>
          <w:rFonts w:hint="eastAsia" w:ascii="宋体" w:hAnsi="宋体" w:eastAsia="宋体" w:cs="宋体"/>
          <w:color w:val="000000"/>
          <w:szCs w:val="24"/>
        </w:rPr>
        <w:instrText xml:space="preserve"> HYPERLINK "http://jszfcg.jsczt.cn/）\“开标大厅\”。" </w:instrText>
      </w:r>
      <w:r>
        <w:rPr>
          <w:rFonts w:hint="eastAsia" w:ascii="宋体" w:hAnsi="宋体" w:eastAsia="宋体" w:cs="宋体"/>
          <w:color w:val="000000"/>
          <w:szCs w:val="24"/>
        </w:rPr>
        <w:fldChar w:fldCharType="separate"/>
      </w:r>
      <w:r>
        <w:rPr>
          <w:rFonts w:hint="eastAsia" w:ascii="宋体" w:hAnsi="宋体" w:eastAsia="宋体" w:cs="宋体"/>
          <w:color w:val="000000"/>
          <w:szCs w:val="24"/>
        </w:rPr>
        <w:t xml:space="preserve">http：//jszfcg.jsczt.cn/）。</w:t>
      </w:r>
      <w:r>
        <w:rPr>
          <w:rFonts w:hint="eastAsia" w:ascii="宋体" w:hAnsi="宋体" w:eastAsia="宋体" w:cs="宋体"/>
          <w:color w:val="000000"/>
          <w:szCs w:val="24"/>
        </w:rPr>
        <w:fldChar w:fldCharType="end"/>
      </w:r>
      <w:r>
        <w:rPr>
          <w:rFonts w:hint="eastAsia" w:ascii="宋体" w:hAnsi="宋体" w:eastAsia="宋体" w:cs="宋体"/>
          <w:color w:val="000000"/>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3、方式：响应文件网上递交，不需要现场参加采购活动。</w:t>
      </w:r>
      <w:r>
        <w:rPr>
          <w:rFonts w:hint="eastAsia" w:ascii="宋体" w:hAnsi="宋体" w:eastAsia="宋体" w:cs="宋体"/>
          <w:color w:val="000000"/>
          <w:szCs w:val="24"/>
        </w:rPr>
      </w:r>
      <w:r/>
    </w:p>
    <w:p>
      <w:pPr>
        <w:pStyle w:val="971"/>
        <w:ind w:firstLine="482"/>
        <w:spacing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五、开启</w:t>
      </w:r>
      <w:r>
        <w:rPr>
          <w:rFonts w:hint="eastAsia" w:ascii="宋体" w:hAnsi="宋体" w:eastAsia="宋体" w:cs="宋体"/>
          <w:b/>
          <w:color w:val="000000"/>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eastAsia="宋体" w:cs="宋体"/>
          <w:b/>
          <w:bCs/>
          <w:color w:val="000000"/>
          <w:sz w:val="24"/>
          <w:szCs w:val="24"/>
        </w:rPr>
        <w:t xml:space="preserve">2026年4</w:t>
      </w:r>
      <w:r>
        <w:rPr>
          <w:rFonts w:hint="eastAsia" w:ascii="宋体" w:hAnsi="宋体" w:eastAsia="宋体" w:cs="宋体"/>
          <w:b/>
          <w:bCs/>
          <w:color w:val="000000"/>
          <w:sz w:val="24"/>
          <w:szCs w:val="24"/>
        </w:rPr>
        <w:t xml:space="preserve">月20</w:t>
      </w:r>
      <w:r>
        <w:rPr>
          <w:rFonts w:hint="eastAsia" w:ascii="宋体" w:hAnsi="宋体" w:eastAsia="宋体" w:cs="宋体"/>
          <w:b/>
          <w:bCs/>
          <w:color w:val="000000"/>
          <w:sz w:val="24"/>
          <w:szCs w:val="24"/>
        </w:rPr>
        <w:t xml:space="preserve">日</w:t>
      </w:r>
      <w:r>
        <w:rPr>
          <w:rFonts w:hint="eastAsia" w:ascii="宋体" w:hAnsi="宋体" w:eastAsia="宋体" w:cs="宋体"/>
          <w:b/>
          <w:bCs/>
          <w:color w:val="000000"/>
          <w:sz w:val="24"/>
          <w:szCs w:val="24"/>
        </w:rPr>
        <w:t xml:space="preserve">13点30分</w:t>
      </w:r>
      <w:r>
        <w:rPr>
          <w:rFonts w:hint="eastAsia" w:ascii="宋体" w:hAnsi="宋体" w:eastAsia="宋体" w:cs="宋体"/>
          <w:b/>
          <w:color w:val="000000"/>
          <w:sz w:val="24"/>
          <w:szCs w:val="24"/>
        </w:rPr>
        <w:t xml:space="preserve">（北京时间）</w:t>
      </w:r>
      <w:r>
        <w:rPr>
          <w:rFonts w:hint="eastAsia" w:ascii="宋体" w:hAnsi="宋体" w:eastAsia="宋体" w:cs="宋体"/>
          <w:color w:val="000000"/>
          <w:sz w:val="24"/>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2、地点：“苏采云”系统（网址：http：//jszfcg.jsczt.cn/）</w:t>
      </w:r>
      <w:r>
        <w:rPr>
          <w:rFonts w:hint="eastAsia" w:ascii="宋体" w:hAnsi="宋体" w:eastAsia="宋体" w:cs="宋体"/>
          <w:color w:val="000000"/>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3、线上参加开标（开启）会方式：供应商登录“苏采云”系统，点击“开标大厅”，选择对应项目，点击进入不见面开标系统。 </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本项目为不见面开标（开启）项目，</w:t>
      </w:r>
      <w:r>
        <w:rPr>
          <w:rFonts w:hint="eastAsia" w:ascii="宋体" w:hAnsi="宋体" w:eastAsia="宋体" w:cs="宋体"/>
          <w:b/>
          <w:bCs/>
          <w:color w:val="000000"/>
          <w:sz w:val="24"/>
          <w:szCs w:val="24"/>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bCs/>
          <w:color w:val="000000"/>
          <w:sz w:val="24"/>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六、公告期限</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七、其他补充事宜</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1、采购项目需要落实的政府采购政策：</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《关于政府采购支持监狱企业发展有关问题的通知》（财库〔2014〕68号）。</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《关于促进残疾人就业政府采购政策的通知》（财库〔2017〕141号）。</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5、政府采购监督电话：0512-68616651。</w:t>
      </w:r>
      <w:r>
        <w:rPr>
          <w:rFonts w:hint="eastAsia" w:ascii="宋体" w:hAnsi="宋体" w:eastAsia="宋体" w:cs="宋体"/>
          <w:b/>
          <w:bCs/>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八、凡对本次采购提出询问，请按以下方式联系。</w:t>
      </w:r>
      <w:r>
        <w:rPr>
          <w:rFonts w:hint="eastAsia" w:ascii="宋体" w:hAnsi="宋体" w:eastAsia="宋体" w:cs="宋体"/>
          <w:b/>
          <w:bCs/>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1、采购人信息：</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名称：苏州博物馆。</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地址：</w:t>
      </w:r>
      <w:r>
        <w:rPr>
          <w:rFonts w:hint="eastAsia" w:ascii="宋体" w:hAnsi="宋体" w:eastAsia="宋体" w:cs="宋体"/>
          <w:bCs/>
          <w:color w:val="000000"/>
          <w:sz w:val="24"/>
          <w:szCs w:val="24"/>
        </w:rPr>
        <w:t xml:space="preserve">苏州市东北街204号</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联系方式：电话0512-67576020。</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2、采购代理机构信息：</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名称：苏州正杰招投标咨询服务有限公司。</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地址：苏州市平泷路251号苏州城市生活广场B座1557室。</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联系方式：电话0512-62826523。</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3、项目联系方式</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（1）采购人：</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项目联系人：</w:t>
      </w:r>
      <w:r>
        <w:rPr>
          <w:rFonts w:hint="eastAsia" w:ascii="宋体" w:hAnsi="宋体" w:eastAsia="宋体" w:cs="宋体"/>
          <w:color w:val="000000"/>
          <w:sz w:val="24"/>
          <w:szCs w:val="24"/>
        </w:rPr>
        <w:t xml:space="preserve">吴嘉星</w:t>
      </w:r>
      <w:r>
        <w:rPr>
          <w:rFonts w:hint="eastAsia" w:ascii="宋体" w:hAnsi="宋体" w:eastAsia="宋体"/>
          <w:color w:val="000000"/>
          <w:sz w:val="24"/>
          <w:szCs w:val="24"/>
        </w:rPr>
        <w:t xml:space="preserve">、金霭冉。</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电话：0512-67576020。</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（2）采购代理机构：</w:t>
      </w:r>
      <w:r>
        <w:rPr>
          <w:rFonts w:ascii="宋体" w:hAnsi="宋体" w:eastAsia="宋体"/>
          <w:color w:val="000000"/>
          <w:sz w:val="24"/>
          <w:szCs w:val="24"/>
        </w:rPr>
      </w:r>
      <w:r/>
    </w:p>
    <w:p>
      <w:pPr>
        <w:pStyle w:val="945"/>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项目联系人：</w:t>
      </w:r>
      <w:r>
        <w:rPr>
          <w:rFonts w:hint="eastAsia" w:ascii="宋体" w:hAnsi="宋体" w:eastAsia="宋体" w:cs="宋体"/>
          <w:color w:val="000000"/>
          <w:sz w:val="24"/>
          <w:szCs w:val="24"/>
        </w:rPr>
        <w:t xml:space="preserve">沈鹰、陈晓梦、徐杰、刘木兰</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79"/>
        <w:ind w:firstLine="480"/>
        <w:spacing w:line="360" w:lineRule="auto"/>
        <w:rPr>
          <w:rFonts w:hint="eastAsia" w:ascii="宋体" w:hAnsi="宋体" w:eastAsia="宋体" w:cs="宋体"/>
          <w:b/>
          <w:bCs/>
          <w:color w:val="000000"/>
          <w:sz w:val="24"/>
          <w:szCs w:val="24"/>
        </w:rPr>
      </w:pPr>
      <w:r>
        <w:rPr>
          <w:rFonts w:hint="eastAsia" w:ascii="宋体" w:hAnsi="宋体" w:eastAsia="宋体"/>
          <w:color w:val="000000"/>
          <w:sz w:val="24"/>
          <w:szCs w:val="24"/>
        </w:rPr>
        <w:t xml:space="preserve">电话：0512-62826523。</w:t>
      </w:r>
      <w:r>
        <w:rPr>
          <w:rFonts w:hint="eastAsia" w:ascii="宋体" w:hAnsi="宋体" w:eastAsia="宋体" w:cs="宋体"/>
          <w:b/>
          <w:bCs/>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numPr>
          <w:ilvl w:val="0"/>
          <w:numId w:val="1"/>
        </w:num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响应须知</w:t>
      </w:r>
      <w:r>
        <w:rPr>
          <w:rFonts w:hint="eastAsia" w:ascii="宋体" w:hAnsi="宋体" w:eastAsia="宋体" w:cs="宋体"/>
          <w:b/>
          <w:bCs/>
          <w:color w:val="000000"/>
          <w:sz w:val="24"/>
          <w:szCs w:val="24"/>
        </w:rPr>
      </w:r>
      <w:r/>
    </w:p>
    <w:p>
      <w:pPr>
        <w:pStyle w:val="979"/>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1、总则</w:t>
      </w:r>
      <w:r>
        <w:rPr>
          <w:rFonts w:hint="eastAsia" w:ascii="宋体" w:hAnsi="宋体" w:eastAsia="宋体" w:cs="宋体"/>
          <w:b/>
          <w:bCs/>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1.1响应单位资格要求</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1.1.1详见第一章</w:t>
      </w:r>
      <w:r>
        <w:rPr>
          <w:rFonts w:hint="eastAsia" w:ascii="宋体" w:hAnsi="宋体" w:eastAsia="宋体" w:cs="宋体"/>
          <w:bCs/>
          <w:color w:val="000000"/>
          <w:sz w:val="24"/>
          <w:szCs w:val="24"/>
        </w:rPr>
        <w:t xml:space="preserve">竞争性磋商邀请函</w:t>
      </w:r>
      <w:r>
        <w:rPr>
          <w:rFonts w:hint="eastAsia" w:ascii="宋体" w:hAnsi="宋体" w:eastAsia="宋体" w:cs="宋体"/>
          <w:color w:val="000000"/>
          <w:sz w:val="24"/>
          <w:szCs w:val="24"/>
        </w:rPr>
        <w:t xml:space="preserve">中“二、申请人的资格要求”。</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1.1.2响应单位不得存在下列情形之一：</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（4）联合体各方应当共同与采购人签订采购合同，就采购合同约定的事项对采购人承担连带责任。</w:t>
      </w:r>
      <w:r>
        <w:rPr>
          <w:rFonts w:hint="eastAsia" w:ascii="宋体" w:hAnsi="宋体" w:eastAsia="宋体" w:cs="宋体"/>
          <w:color w:val="000000"/>
          <w:sz w:val="24"/>
          <w:szCs w:val="24"/>
        </w:rPr>
      </w:r>
      <w:r/>
    </w:p>
    <w:p>
      <w:pPr>
        <w:pStyle w:val="945"/>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 转包</w:t>
      </w:r>
      <w:r>
        <w:rPr>
          <w:rFonts w:hint="eastAsia" w:ascii="宋体" w:hAnsi="宋体" w:eastAsia="宋体" w:cs="宋体"/>
          <w:b/>
          <w:bCs/>
          <w:color w:val="000000"/>
          <w:sz w:val="24"/>
          <w:szCs w:val="24"/>
        </w:rPr>
      </w:r>
      <w:r/>
    </w:p>
    <w:p>
      <w:pPr>
        <w:pStyle w:val="945"/>
        <w:ind w:left="525"/>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本项目不允许转包。</w:t>
      </w:r>
      <w:r>
        <w:rPr>
          <w:rFonts w:hint="eastAsia" w:ascii="宋体" w:hAnsi="宋体" w:eastAsia="宋体" w:cs="宋体"/>
          <w:color w:val="000000"/>
          <w:sz w:val="24"/>
          <w:szCs w:val="24"/>
        </w:rPr>
      </w:r>
      <w:r/>
    </w:p>
    <w:p>
      <w:pPr>
        <w:pStyle w:val="945"/>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1.3投标费用</w:t>
      </w:r>
      <w:r>
        <w:rPr>
          <w:rFonts w:hint="eastAsia" w:ascii="宋体" w:hAnsi="宋体" w:eastAsia="宋体" w:cs="宋体"/>
          <w:b/>
          <w:bCs/>
          <w:color w:val="000000"/>
          <w:sz w:val="24"/>
          <w:szCs w:val="24"/>
        </w:rPr>
      </w:r>
      <w:r/>
    </w:p>
    <w:p>
      <w:pPr>
        <w:pStyle w:val="945"/>
        <w:ind w:left="525"/>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1.3.1供应商应自行承担所有准备及参加投标的相关费用。</w:t>
      </w:r>
      <w:r>
        <w:rPr>
          <w:rFonts w:hint="eastAsia" w:ascii="宋体" w:hAnsi="宋体" w:eastAsia="宋体" w:cs="宋体"/>
          <w:color w:val="000000"/>
          <w:sz w:val="24"/>
          <w:szCs w:val="24"/>
        </w:rPr>
      </w:r>
      <w:r/>
    </w:p>
    <w:p>
      <w:pPr>
        <w:pStyle w:val="945"/>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1.4 保密</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rPr>
      </w:r>
      <w:r/>
    </w:p>
    <w:p>
      <w:pPr>
        <w:pStyle w:val="945"/>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1.5 语言文字</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1.6计量单位</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除采购文件有特殊要求外，所有计量均采用中华人民共和国法定计量单位。</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1.7知识产权</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2.采购文件的说明</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2.1采购文件的获取</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见第一章竞争性磋商邀请函。</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2.2采购文件的询问</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2.3采购文件的澄清或修改</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2.3.4采购文件的澄清、修改、补充等内容均以苏州市政府采购网上发布的内容为准。</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3.响应文件说明</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3.1磋商保证金：无。</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3.2响应文件的组成</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3.2.1封面；</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3.2.2开标一览表（格式见第三章）；</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3.2.3磋商响应明细报价表（格式见第三章）；</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3.2.4资格审查响应文件：</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3.2.4.1供应商的资格要求：</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（2）具有良好的商业信誉和健全的财务会计制度的材料：包括但不限于法人提供2024年度或2025年度经审计的财务报告或基本开户银行在本年度内出具的资信证明复印件；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（3）具有履行合同所必需的设备和专业技术能力的证明材料复印件或承诺；</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（5）参加政府采购活动前三年内，在经营活动中没有出现重大违法记录的书面声明函；</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3.2.4.2其他有关资格证明的文件（若有）。</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3.2.5符合性审查响应文件：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3.2.5.1磋商响应函（格式见第三章）；</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3.2.5.2关于资格文件的声明函（格式见第三章）；</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3.2.5.3法定代表人身份证复印件；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3.2.5.4法定代表人授权委托书及授权委托人身份证复印件（如有授权，格式见第三章）；</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3.2.5.5未被“信用中国”、“信用江苏”及“中国政府采购网”列入失信被执行人、重大税收违法案件当事人名单、政府采购严重失信行为记录名单的查询记录页面截图；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3.2.5.7其他有关符合性证明的文件（若有）。</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3.2.6综合评审响应文件（见第六章）；</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3.2.7与本次采购相关的其他证明材料。</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以上3.2.2-3.2.3项为供应商报价的依据，响应供应商必须提供并加盖电子公章，否则，磋商响应文件将被认定为未实质性响应。</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以上3.2.5.1-3.2.5.4为符合性审查必须提供的资料，响应供应商必须提供并加盖电子公章，否则，磋商响应文件将被认定为未实质性响应。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制作电子响应文件时需与响应文件制作软件目录一一对应，将相关资料上传至相应模块。</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rPr>
      </w:r>
      <w:r/>
    </w:p>
    <w:p>
      <w:pPr>
        <w:pStyle w:val="945"/>
        <w:ind w:firstLine="472"/>
        <w:spacing w:line="360" w:lineRule="auto"/>
        <w:tabs>
          <w:tab w:val="left" w:pos="540" w:leader="none"/>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color w:val="000000"/>
        </w:rPr>
      </w:pPr>
      <w:r>
        <w:rPr>
          <w:rFonts w:hint="eastAsia" w:ascii="宋体" w:hAnsi="宋体" w:eastAsia="宋体" w:cs="宋体"/>
          <w:b/>
          <w:color w:val="000000"/>
          <w:sz w:val="24"/>
          <w:szCs w:val="24"/>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rPr>
      </w:r>
      <w:r/>
    </w:p>
    <w:p>
      <w:pPr>
        <w:pStyle w:val="945"/>
        <w:ind w:left="525"/>
        <w:spacing w:line="360" w:lineRule="auto"/>
        <w:tabs>
          <w:tab w:val="left" w:pos="142" w:leader="none"/>
          <w:tab w:val="left" w:pos="600" w:leader="none"/>
        </w:tabs>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3.3响应报价</w:t>
      </w:r>
      <w:r>
        <w:rPr>
          <w:rFonts w:hint="eastAsia" w:ascii="宋体" w:hAnsi="宋体" w:eastAsia="宋体" w:cs="宋体"/>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3.3.3供应商应对所投项目的全部内容进行报价，只对其中部分内容报价的，其响应无效。</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3.3.4一项采购内容只允许一个报价，任何有选择性响应报价的，其响应无效。</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3.2.5响应文件报价中的单价和总价全部采用人民币表示，除非另有规定。</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3.3.8报价的大写金额和小写金额不一致的，以大写金额为准。</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3.3.9单价金额小数点或者百分比有明显错位的，以该次报价总价为准。</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3.3.10总价金额与按单价汇总金额不一致的，以单价金额计算结果为准。</w:t>
      </w:r>
      <w:r>
        <w:rPr>
          <w:rFonts w:hint="eastAsia" w:ascii="宋体" w:hAnsi="宋体" w:eastAsia="宋体" w:cs="宋体"/>
          <w:color w:val="000000"/>
          <w:sz w:val="24"/>
          <w:szCs w:val="24"/>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3.4电子响应文件的编制与提交</w:t>
      </w:r>
      <w:r>
        <w:rPr>
          <w:rFonts w:hint="eastAsia" w:ascii="宋体" w:hAnsi="宋体" w:eastAsia="宋体" w:cs="宋体"/>
          <w:b/>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3.4.3响应文件未按照磋商文件要求加盖CA电子公章的，响应无效。</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3.5响应文件的开启（解密）</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3.5.1线上参加（观看）开标（开启）会方式：登录苏采云系统，点击“开标大厅”，选择对应项目。</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rPr>
        <w:t xml:space="preserve">否则导致的对供应商不利的后果由供应商自行承担。</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bookmarkStart w:id="2" w:name="_Hlk154589874"/>
      <w:r>
        <w:rPr>
          <w:rFonts w:hint="eastAsia" w:ascii="宋体" w:hAnsi="宋体" w:eastAsia="宋体" w:cs="宋体"/>
          <w:b/>
          <w:bCs/>
          <w:color w:val="000000"/>
          <w:sz w:val="24"/>
          <w:szCs w:val="24"/>
        </w:rPr>
        <w:t xml:space="preserve">3.5.3供应商在苏采云系统规定的时间内未成功解密电子响应文件的，响应无效。</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bookmarkEnd w:id="2"/>
      <w:r>
        <w:rPr>
          <w:rFonts w:hint="eastAsia" w:ascii="宋体" w:hAnsi="宋体" w:eastAsia="宋体" w:cs="宋体"/>
          <w:color w:val="000000"/>
          <w:sz w:val="24"/>
          <w:szCs w:val="24"/>
        </w:rPr>
        <w:t xml:space="preserve">3.5.5 CA技术咨询服务电话：400-608-6099；</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电子签章技术咨询服务电话025-83633811、025-83633812、15380932027、15371015030；</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3.6响应文件的修改和撤回</w:t>
      </w:r>
      <w:r>
        <w:rPr>
          <w:rFonts w:hint="eastAsia" w:ascii="宋体" w:hAnsi="宋体" w:eastAsia="宋体" w:cs="宋体"/>
          <w:b/>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4.磋商程序</w:t>
      </w:r>
      <w:r>
        <w:rPr>
          <w:rFonts w:hint="eastAsia" w:ascii="宋体" w:hAnsi="宋体" w:eastAsia="宋体" w:cs="宋体"/>
          <w:b/>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4.1磋商小组</w:t>
      </w:r>
      <w:r>
        <w:rPr>
          <w:rFonts w:hint="eastAsia" w:ascii="宋体" w:hAnsi="宋体" w:eastAsia="宋体" w:cs="宋体"/>
          <w:b/>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4.1.2磋商小组与参加采购活动的供应商存在下列利害关系之一的，应当回避：</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（二）与供应商的法定代表人或者负责人有夫妻、直系血亲、三代以内旁系血亲或者近姻亲关系；</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（三）与供应商有其他可能影响政府采购活动公平、公正进行的关系。</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4.2资格审查</w:t>
      </w:r>
      <w:r>
        <w:rPr>
          <w:rFonts w:hint="eastAsia" w:ascii="宋体" w:hAnsi="宋体" w:eastAsia="宋体" w:cs="宋体"/>
          <w:b/>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4.2.1由磋商小组按磋商文件的资格条件进行资格性审查，</w:t>
      </w:r>
      <w:r>
        <w:rPr>
          <w:rFonts w:hint="eastAsia" w:ascii="宋体" w:hAnsi="宋体" w:eastAsia="宋体" w:cs="宋体"/>
          <w:b/>
          <w:color w:val="000000"/>
          <w:sz w:val="24"/>
          <w:szCs w:val="24"/>
        </w:rPr>
        <w:t xml:space="preserve">未通过资格审查的响应无效。</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（1）查询时间：响应文件递交截止时间。</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（2）查询渠道：通过“信用中国”及“中国政府采购网” 上的信用信息查询供应商的信用记录。</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eastAsia="宋体" w:cs="宋体"/>
          <w:color w:val="000000"/>
          <w:sz w:val="24"/>
          <w:szCs w:val="24"/>
        </w:rPr>
      </w:r>
      <w:r/>
    </w:p>
    <w:p>
      <w:pPr>
        <w:pStyle w:val="945"/>
        <w:ind w:firstLine="42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rPr>
        <w:t xml:space="preserve">信用记录属于应依法拒绝供应商参加政府采购的失信信息，存在此类失信信息</w:t>
      </w:r>
      <w:r>
        <w:rPr>
          <w:rFonts w:hint="eastAsia" w:ascii="宋体" w:hAnsi="宋体" w:eastAsia="宋体" w:cs="宋体"/>
          <w:b/>
          <w:color w:val="000000"/>
          <w:sz w:val="24"/>
          <w:szCs w:val="24"/>
        </w:rPr>
        <w:t xml:space="preserve">的供应商的响应文件应按无效文件处理。</w:t>
      </w:r>
      <w:r>
        <w:rPr>
          <w:rFonts w:hint="eastAsia" w:ascii="宋体" w:hAnsi="宋体" w:eastAsia="宋体" w:cs="宋体"/>
          <w:b/>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4.3磋商</w:t>
      </w:r>
      <w:r>
        <w:rPr>
          <w:rFonts w:hint="eastAsia" w:ascii="宋体" w:hAnsi="宋体" w:eastAsia="宋体" w:cs="宋体"/>
          <w:b/>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lang w:val="zh-CN"/>
        </w:rPr>
        <w:t xml:space="preserve">具体操作方式见《操作手册》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4.3.2</w:t>
      </w:r>
      <w:r>
        <w:rPr>
          <w:rFonts w:hint="eastAsia" w:ascii="宋体" w:hAnsi="宋体" w:eastAsia="宋体" w:cs="宋体"/>
          <w:color w:val="000000"/>
          <w:sz w:val="24"/>
          <w:szCs w:val="24"/>
          <w:lang w:val="zh-CN"/>
        </w:rPr>
        <w:t xml:space="preserve">磋商小组认为有必要与供应商进行磋商的，</w:t>
      </w:r>
      <w:r>
        <w:rPr>
          <w:rFonts w:hint="eastAsia" w:ascii="宋体" w:hAnsi="宋体" w:eastAsia="宋体" w:cs="宋体"/>
          <w:color w:val="000000"/>
          <w:sz w:val="24"/>
          <w:szCs w:val="24"/>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lang w:val="zh-CN"/>
        </w:rPr>
        <w:t xml:space="preserve">未按要求重新提交响应文件的按响应无效处理。</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4.4澄清</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4.4.1本项目采用线上澄清。</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4.4.2</w:t>
      </w:r>
      <w:r>
        <w:rPr>
          <w:rFonts w:hint="eastAsia" w:ascii="宋体" w:hAnsi="宋体" w:eastAsia="宋体" w:cs="宋体"/>
          <w:color w:val="000000"/>
          <w:sz w:val="24"/>
          <w:szCs w:val="24"/>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4.5最后报价</w:t>
      </w:r>
      <w:r>
        <w:rPr>
          <w:rFonts w:hint="eastAsia" w:ascii="宋体" w:hAnsi="宋体" w:eastAsia="宋体" w:cs="宋体"/>
          <w:b/>
          <w:color w:val="000000"/>
          <w:sz w:val="24"/>
          <w:szCs w:val="24"/>
        </w:rPr>
      </w:r>
      <w:r/>
    </w:p>
    <w:p>
      <w:pPr>
        <w:pStyle w:val="945"/>
        <w:ind w:left="5" w:firstLine="518"/>
        <w:spacing w:line="360" w:lineRule="auto"/>
        <w:tabs>
          <w:tab w:val="left" w:pos="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lang w:val="zh-CN"/>
        </w:rPr>
        <w:t xml:space="preserve">最后报价是供应商响应文件的有效组成部分。</w:t>
      </w:r>
      <w:r>
        <w:rPr>
          <w:rFonts w:hint="eastAsia" w:ascii="宋体" w:hAnsi="宋体" w:eastAsia="宋体" w:cs="宋体"/>
          <w:color w:val="000000"/>
          <w:sz w:val="24"/>
          <w:szCs w:val="24"/>
          <w:lang w:val="zh-CN"/>
        </w:rPr>
      </w:r>
      <w:r/>
    </w:p>
    <w:p>
      <w:pPr>
        <w:pStyle w:val="945"/>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rPr>
      </w:r>
      <w:r/>
    </w:p>
    <w:p>
      <w:pPr>
        <w:pStyle w:val="945"/>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rPr>
      </w:r>
      <w:r/>
    </w:p>
    <w:p>
      <w:pPr>
        <w:pStyle w:val="945"/>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4.5.3</w:t>
      </w:r>
      <w:r>
        <w:rPr>
          <w:rFonts w:ascii="宋体" w:hAnsi="宋体" w:eastAsia="宋体" w:cs="宋体"/>
          <w:color w:val="000000"/>
          <w:sz w:val="24"/>
          <w:szCs w:val="24"/>
        </w:rPr>
        <w:t xml:space="preserve">评审过程中出现下列情形之一的，评审委员会</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应当启动异常低价投标（响应）审查程序：</w:t>
      </w:r>
      <w:r>
        <w:rPr>
          <w:rFonts w:ascii="宋体" w:hAnsi="宋体" w:eastAsia="宋体" w:cs="宋体"/>
          <w:color w:val="000000"/>
          <w:sz w:val="24"/>
          <w:szCs w:val="24"/>
        </w:rPr>
      </w:r>
      <w:r/>
    </w:p>
    <w:p>
      <w:pPr>
        <w:pStyle w:val="945"/>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rPr>
        <w:t xml:space="preserve">；</w:t>
      </w:r>
      <w:r>
        <w:rPr>
          <w:rFonts w:ascii="宋体" w:hAnsi="宋体" w:eastAsia="宋体" w:cs="宋体"/>
          <w:color w:val="000000"/>
          <w:sz w:val="24"/>
          <w:szCs w:val="24"/>
        </w:rPr>
      </w:r>
      <w:r/>
    </w:p>
    <w:p>
      <w:pPr>
        <w:pStyle w:val="945"/>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rPr>
        <w:t xml:space="preserve">； </w:t>
      </w:r>
      <w:r>
        <w:rPr>
          <w:rFonts w:ascii="宋体" w:hAnsi="宋体" w:eastAsia="宋体" w:cs="宋体"/>
          <w:color w:val="000000"/>
          <w:sz w:val="24"/>
          <w:szCs w:val="24"/>
        </w:rPr>
      </w:r>
      <w:r/>
    </w:p>
    <w:p>
      <w:pPr>
        <w:pStyle w:val="945"/>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③投标(响应)报价低于采购项目最高限价45％的，即投标(响应)报价＜采购项目最高限价×45％；</w:t>
      </w:r>
      <w:r>
        <w:rPr>
          <w:rFonts w:hint="eastAsia" w:ascii="宋体" w:hAnsi="宋体" w:eastAsia="宋体" w:cs="宋体"/>
          <w:color w:val="000000"/>
          <w:sz w:val="24"/>
          <w:szCs w:val="24"/>
        </w:rPr>
      </w:r>
      <w:r/>
    </w:p>
    <w:p>
      <w:pPr>
        <w:pStyle w:val="945"/>
        <w:ind w:left="5" w:firstLine="518"/>
        <w:spacing w:line="360" w:lineRule="auto"/>
        <w:tabs>
          <w:tab w:val="left" w:pos="0" w:leader="none"/>
        </w:tabs>
        <w:rPr>
          <w:rFonts w:ascii="宋体" w:hAnsi="宋体" w:eastAsia="宋体" w:cs="宋体"/>
          <w:color w:val="000000"/>
          <w:sz w:val="24"/>
          <w:szCs w:val="24"/>
        </w:rPr>
      </w:pPr>
      <w:r>
        <w:rPr>
          <w:rFonts w:ascii="宋体" w:hAnsi="宋体" w:eastAsia="宋体" w:cs="宋体"/>
          <w:color w:val="000000"/>
          <w:sz w:val="24"/>
          <w:szCs w:val="24"/>
        </w:rPr>
        <w:t xml:space="preserve">④评审委员会</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基于专业判断，认为供应商报价过低，有可能影响产品质量或者不能诚信履约的其他情形</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945"/>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4.5.6异常低价投标（响应）审查的启动原因、审查意见和审查结果应当在评审报告中记录，并随供应商提供的相关书面说明及证明材料等一并归档。</w:t>
      </w:r>
      <w:r>
        <w:rPr>
          <w:rFonts w:hint="eastAsia" w:ascii="宋体" w:hAnsi="宋体" w:eastAsia="宋体" w:cs="宋体"/>
          <w:color w:val="000000"/>
          <w:sz w:val="24"/>
          <w:szCs w:val="24"/>
        </w:rPr>
      </w:r>
      <w:r/>
    </w:p>
    <w:p>
      <w:pPr>
        <w:pStyle w:val="1087"/>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rPr>
      </w:r>
      <w:r/>
    </w:p>
    <w:p>
      <w:pPr>
        <w:pStyle w:val="1087"/>
        <w:ind w:left="42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4.5.8未在规定时间提交最后报价的，响应文件按无效处理。</w:t>
      </w:r>
      <w:r>
        <w:rPr>
          <w:rFonts w:hint="eastAsia" w:ascii="宋体" w:hAnsi="宋体" w:eastAsia="宋体" w:cs="宋体"/>
          <w:color w:val="000000"/>
          <w:sz w:val="24"/>
          <w:szCs w:val="24"/>
        </w:rPr>
      </w:r>
      <w:r/>
    </w:p>
    <w:p>
      <w:pPr>
        <w:pStyle w:val="1087"/>
        <w:ind w:left="42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4.5.9在规定时间内提交最后报价的供应商少于3家的，项目终止。</w:t>
      </w:r>
      <w:r>
        <w:rPr>
          <w:rFonts w:hint="eastAsia" w:ascii="宋体" w:hAnsi="宋体" w:eastAsia="宋体" w:cs="宋体"/>
          <w:color w:val="000000"/>
          <w:sz w:val="24"/>
          <w:szCs w:val="24"/>
        </w:rPr>
      </w:r>
      <w:r/>
    </w:p>
    <w:p>
      <w:pPr>
        <w:pStyle w:val="108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4.5.10如磋商过程中出现本磋商文件未尽事宜，由磋商小组根据政府采购有关法律、法规讨论决定。</w:t>
      </w:r>
      <w:r>
        <w:rPr>
          <w:rFonts w:hint="eastAsia" w:ascii="宋体" w:hAnsi="宋体" w:eastAsia="宋体" w:cs="宋体"/>
          <w:color w:val="000000"/>
          <w:sz w:val="24"/>
          <w:szCs w:val="24"/>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5.成交</w:t>
      </w:r>
      <w:r>
        <w:rPr>
          <w:rFonts w:hint="eastAsia" w:ascii="宋体" w:hAnsi="宋体" w:eastAsia="宋体" w:cs="宋体"/>
          <w:b/>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rPr>
      </w:r>
      <w:r/>
    </w:p>
    <w:p>
      <w:pPr>
        <w:pStyle w:val="108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5.2本项目由采购人书面授权磋商小组直接确定成交供应商，并将结果通知所有参加磋商的供应商。</w:t>
      </w:r>
      <w:r>
        <w:rPr>
          <w:rFonts w:hint="eastAsia" w:ascii="宋体" w:hAnsi="宋体" w:eastAsia="宋体" w:cs="宋体"/>
          <w:color w:val="000000"/>
          <w:sz w:val="24"/>
          <w:szCs w:val="24"/>
        </w:rPr>
      </w:r>
      <w:r/>
    </w:p>
    <w:p>
      <w:pPr>
        <w:pStyle w:val="108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rPr>
      </w:r>
      <w:r/>
    </w:p>
    <w:p>
      <w:pPr>
        <w:pStyle w:val="108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5.4采购人或采购代理机构根据相关规定发布成交公告，成交公告发出的同时应当向成交供应商发出《成交通知书》</w:t>
      </w:r>
      <w:bookmarkStart w:id="3" w:name="_Hlk132385599"/>
      <w:r/>
      <w:bookmarkStart w:id="4" w:name="_Hlk132389804"/>
      <w:r/>
      <w:bookmarkStart w:id="5" w:name="_Hlk132385577"/>
      <w:r>
        <w:rPr>
          <w:rFonts w:hint="eastAsia" w:ascii="宋体" w:hAnsi="宋体" w:eastAsia="宋体" w:cs="宋体"/>
          <w:color w:val="000000"/>
          <w:sz w:val="24"/>
          <w:szCs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rPr>
      </w:r>
      <w:r/>
    </w:p>
    <w:p>
      <w:pPr>
        <w:pStyle w:val="10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5.5成交通知书发出后，采购人不得违法改变成交结果，成交供应商无正当理由不得放弃成交。</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6.履约保证金：</w:t>
      </w:r>
      <w:r>
        <w:rPr>
          <w:rFonts w:hint="eastAsia" w:ascii="宋体" w:hAnsi="宋体" w:eastAsia="宋体" w:cs="宋体"/>
          <w:b/>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见第五章合同文本履约保证金条款。</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7.项目终止</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1、因情况变化，不再符合规定的竞争性磋商采购方式适用情形的；</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项目终止后，采购代理机构应当将项目终止的理由告知所有供应商。</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8.合同</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8.1采购人应当自成交通知书发出之日起15日内（最迟30日内</w:t>
      </w:r>
      <w:r>
        <w:rPr>
          <w:rFonts w:hint="eastAsia" w:ascii="宋体" w:hAnsi="宋体" w:eastAsia="宋体" w:cs="宋体"/>
          <w:color w:val="000000"/>
          <w:szCs w:val="21"/>
        </w:rPr>
        <w:t xml:space="preserve">）</w:t>
      </w:r>
      <w:r>
        <w:rPr>
          <w:rFonts w:hint="eastAsia" w:ascii="宋体" w:hAnsi="宋体" w:eastAsia="宋体" w:cs="宋体"/>
          <w:color w:val="000000"/>
          <w:sz w:val="24"/>
          <w:szCs w:val="24"/>
        </w:rPr>
        <w:t xml:space="preserve">，按照采购文件及响应文件规定与成交单位签订书面合同。</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8.5成交供应商无正当理由不得放弃成交。</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9.质疑</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9.1质疑及答复遵守《政府采购质疑和投诉办法》（中华人民共和国财政部令第94号）规定。</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9.5接收质疑函的方式为书面形式（当场送达或邮寄方式）</w:t>
      </w:r>
      <w:r>
        <w:rPr>
          <w:rFonts w:hint="eastAsia" w:ascii="宋体" w:hAnsi="宋体" w:eastAsia="宋体" w:cs="宋体"/>
          <w:bCs/>
          <w:color w:val="000000"/>
          <w:sz w:val="24"/>
          <w:szCs w:val="24"/>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rPr>
        <w:t xml:space="preserve">。供应商质疑函范本格式请参照“苏州市政府采购”网站——“下载中心”——“</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政府采购供应商质疑函范本</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5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10.响应文件的有效期</w:t>
      </w:r>
      <w:r>
        <w:rPr>
          <w:rFonts w:hint="eastAsia" w:ascii="宋体" w:hAnsi="宋体" w:eastAsia="宋体" w:cs="宋体"/>
          <w:b/>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rPr>
      </w:r>
      <w:r/>
    </w:p>
    <w:p>
      <w:pPr>
        <w:pStyle w:val="945"/>
        <w:ind w:firstLine="5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11.代理服务费：由成交供应商承担。</w:t>
      </w:r>
      <w:r>
        <w:rPr>
          <w:rFonts w:hint="eastAsia" w:ascii="宋体" w:hAnsi="宋体" w:eastAsia="宋体" w:cs="宋体"/>
          <w:b/>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11.1代理服务费以采购预算金额为基数依据，按如下规定的标准和差额定率累进法进行计算收取：</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预算金额100万元以下部分，费率为该部分预算金额的1.5％；</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预算金额100万元（含）－500万元部分，费率为该部分预算金额的1.1％；</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预算金额500万元（含）-1000万元部分，费率为该部分预算金额的0.8％；</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预算金额1000万元（含）-5000万元部分，费率为该部分预算金额的0.5％；</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预算金额5000万元以上部分，费率为该部分预算金额的0.25％。</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本项目代理服务费（人民币）：33700.00元。</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11.2采购代理机构服务费账号如下：</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收款单位：苏州正杰招投标咨询服务有限公司。</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银行账号：89190154740002582。</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开户银行：上海浦东发展银行苏州姑苏支行。</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11.3</w:t>
      </w:r>
      <w:r>
        <w:rPr>
          <w:rFonts w:hint="eastAsia" w:ascii="宋体" w:hAnsi="宋体" w:eastAsia="宋体" w:cs="宋体"/>
          <w:color w:val="000000"/>
          <w:sz w:val="24"/>
          <w:szCs w:val="24"/>
        </w:rPr>
        <w:t xml:space="preserve">代理服务费由成交供应商在领取成交通知书时一次性付清并含在其响应报价中。</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11.4成交单位如果未按上述规定缴纳成交服务费，采购代理机构将保留诉讼的权利。</w:t>
      </w:r>
      <w:r>
        <w:rPr>
          <w:rFonts w:hint="eastAsia" w:ascii="宋体" w:hAnsi="宋体" w:eastAsia="宋体" w:cs="宋体"/>
          <w:bCs/>
          <w:color w:val="000000"/>
          <w:sz w:val="24"/>
          <w:szCs w:val="24"/>
        </w:rPr>
      </w:r>
      <w:r/>
    </w:p>
    <w:p>
      <w:pPr>
        <w:pStyle w:val="945"/>
        <w:ind w:firstLine="5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12.其他事项</w:t>
      </w:r>
      <w:r>
        <w:rPr>
          <w:rFonts w:hint="eastAsia" w:ascii="宋体" w:hAnsi="宋体" w:eastAsia="宋体" w:cs="宋体"/>
          <w:b/>
          <w:color w:val="000000"/>
          <w:sz w:val="24"/>
          <w:szCs w:val="24"/>
        </w:rPr>
      </w:r>
      <w:r/>
    </w:p>
    <w:p>
      <w:pPr>
        <w:pStyle w:val="945"/>
        <w:ind w:firstLine="51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按《中华人民共和国政府采购法》及其他有关法律法规的规定执行。</w:t>
      </w:r>
      <w:r>
        <w:rPr>
          <w:rFonts w:hint="eastAsia" w:ascii="宋体" w:hAnsi="宋体" w:eastAsia="宋体" w:cs="宋体"/>
          <w:color w:val="000000"/>
          <w:sz w:val="24"/>
          <w:szCs w:val="24"/>
        </w:rPr>
      </w:r>
      <w:r/>
    </w:p>
    <w:p>
      <w:pPr>
        <w:pStyle w:val="971"/>
        <w:ind w:firstLine="0"/>
        <w:jc w:val="center"/>
        <w:spacing w:line="360" w:lineRule="auto"/>
        <w:rPr>
          <w:rFonts w:hint="eastAsia" w:ascii="宋体" w:hAnsi="宋体" w:eastAsia="宋体" w:cs="宋体"/>
          <w:b/>
          <w:color w:val="000000"/>
          <w:szCs w:val="24"/>
        </w:rPr>
        <w:sectPr>
          <w:footerReference w:type="default" r:id="rId15"/>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color w:val="000000"/>
          <w:szCs w:val="24"/>
        </w:rPr>
      </w:r>
      <w:r/>
    </w:p>
    <w:p>
      <w:pPr>
        <w:pStyle w:val="971"/>
        <w:ind w:firstLine="0"/>
        <w:jc w:val="center"/>
        <w:spacing w:line="360" w:lineRule="auto"/>
        <w:rPr>
          <w:rFonts w:hint="eastAsia" w:ascii="宋体" w:hAnsi="宋体" w:eastAsia="宋体" w:cs="宋体"/>
          <w:b/>
          <w:color w:val="000000"/>
          <w:szCs w:val="24"/>
          <w:lang w:val="zh-CN"/>
        </w:rPr>
      </w:pPr>
      <w:r>
        <w:rPr>
          <w:rFonts w:hint="eastAsia" w:ascii="宋体" w:hAnsi="宋体" w:eastAsia="宋体" w:cs="宋体"/>
          <w:b/>
          <w:color w:val="000000"/>
          <w:szCs w:val="24"/>
        </w:rPr>
        <w:t xml:space="preserve">第三章  </w:t>
      </w:r>
      <w:r>
        <w:rPr>
          <w:rFonts w:hint="eastAsia" w:ascii="宋体" w:hAnsi="宋体" w:eastAsia="宋体" w:cs="宋体"/>
          <w:b/>
          <w:color w:val="000000"/>
          <w:szCs w:val="24"/>
          <w:lang w:val="zh-CN"/>
        </w:rPr>
        <w:t xml:space="preserve">响应文件格式</w:t>
      </w:r>
      <w:r>
        <w:rPr>
          <w:rFonts w:hint="eastAsia" w:ascii="宋体" w:hAnsi="宋体" w:eastAsia="宋体" w:cs="宋体"/>
          <w:b/>
          <w:color w:val="000000"/>
          <w:szCs w:val="24"/>
          <w:lang w:val="zh-CN"/>
        </w:rPr>
      </w:r>
      <w:r/>
    </w:p>
    <w:p>
      <w:pPr>
        <w:pStyle w:val="971"/>
        <w:ind w:firstLine="0"/>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t xml:space="preserve">1、磋商响应函</w:t>
      </w:r>
      <w:r>
        <w:rPr>
          <w:rFonts w:hint="eastAsia" w:ascii="宋体" w:hAnsi="宋体" w:eastAsia="宋体" w:cs="宋体"/>
          <w:b/>
          <w:bCs/>
          <w:color w:val="000000"/>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苏州正杰招投标咨询服务有限公司：</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我们收到贵公司</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号采购文件，经仔细阅读和研究，我们决定参加采购活动。</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1、我们愿意按照采购文件的一切要求，提供完成该项目的全部内容，我们的报价包括完成所有采购内容以及本项目所需的劳务支出、配套费用、保险费、仓储费、包装费、运输费、保险费、税费、代理服务费及服务相关等所发生的全部费用以及企业利润、税金、和政策性文件规定及合同包含的所有风险、责任等各项应有费用。</w:t>
      </w:r>
      <w:r>
        <w:rPr>
          <w:rFonts w:hint="eastAsia" w:hAnsi="宋体" w:eastAsia="宋体" w:cs="宋体"/>
          <w:color w:val="000000"/>
          <w:sz w:val="24"/>
          <w:szCs w:val="24"/>
        </w:rPr>
      </w:r>
      <w:r/>
    </w:p>
    <w:p>
      <w:pPr>
        <w:pStyle w:val="1053"/>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2、如果我们的响应文件被接受，我们将严格履行采购文件中规定的每一项要求，按期、按质、按量履行合同的义务。</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3、我们同意按采购文件规定，响应文件有效期限为自</w:t>
      </w:r>
      <w:r>
        <w:rPr>
          <w:rFonts w:hint="eastAsia" w:hAnsi="宋体" w:eastAsia="宋体" w:cs="宋体"/>
          <w:bCs/>
          <w:color w:val="000000"/>
          <w:sz w:val="24"/>
          <w:szCs w:val="24"/>
          <w:lang w:val="zh-CN"/>
        </w:rPr>
        <w:t xml:space="preserve">响应文件提交截止之日</w:t>
      </w:r>
      <w:r>
        <w:rPr>
          <w:rFonts w:hint="eastAsia" w:hAnsi="宋体" w:eastAsia="宋体" w:cs="宋体"/>
          <w:color w:val="000000"/>
          <w:sz w:val="24"/>
          <w:szCs w:val="24"/>
        </w:rPr>
        <w:t xml:space="preserve">起</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天。如果我们在开标后规定的有效期内撤回，我们愿承担一切责任。</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5、我们认为你们有权决定供应商，还认为你们有权接受或拒绝所有的供应商。</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6、我们愿意遵守采购文件中所列的收费标准。</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7、我们承诺本响应文件在磋商开始后的全过程中保持有效，不作任何更改和变动。我们同意</w:t>
      </w:r>
      <w:r>
        <w:rPr>
          <w:rFonts w:hint="eastAsia" w:hAnsi="宋体" w:eastAsia="宋体" w:cs="宋体"/>
          <w:color w:val="000000"/>
          <w:sz w:val="24"/>
          <w:szCs w:val="24"/>
          <w:lang w:val="zh-CN"/>
        </w:rPr>
        <w:t xml:space="preserve">成交</w:t>
      </w:r>
      <w:r>
        <w:rPr>
          <w:rFonts w:hint="eastAsia" w:hAnsi="宋体" w:eastAsia="宋体" w:cs="宋体"/>
          <w:color w:val="000000"/>
          <w:sz w:val="24"/>
          <w:szCs w:val="24"/>
        </w:rPr>
        <w:t xml:space="preserve">后若不履行响应文件的内容要求和各项承诺及义务的即被视为违约，我们愿承担一切责任。</w:t>
      </w:r>
      <w:r>
        <w:rPr>
          <w:rFonts w:hint="eastAsia" w:hAnsi="宋体" w:eastAsia="宋体" w:cs="宋体"/>
          <w:color w:val="000000"/>
          <w:sz w:val="24"/>
          <w:szCs w:val="24"/>
        </w:rPr>
      </w:r>
      <w:r/>
    </w:p>
    <w:p>
      <w:pPr>
        <w:pStyle w:val="1053"/>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8、如果我们成交，我们愿意在签订合同时按采购文件的规定支付成交服务费。</w:t>
      </w:r>
      <w:r>
        <w:rPr>
          <w:rFonts w:hint="eastAsia" w:hAnsi="宋体" w:eastAsia="宋体" w:cs="宋体"/>
          <w:color w:val="000000"/>
          <w:sz w:val="24"/>
          <w:szCs w:val="24"/>
        </w:rPr>
      </w:r>
      <w:r/>
    </w:p>
    <w:p>
      <w:pPr>
        <w:pStyle w:val="1053"/>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9、本函填写的电子邮箱为我方此次采购活动中的授权邮箱，该邮箱发至采购人或代理机构的函件无论是否签字或盖章，均视为我方的意思表示，我方均予以承认并承担相应后果。</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10、与本次磋商有关的通讯地址：</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单位名称：                                 联系人员：</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单位地址：                                 邮政编码：</w:t>
      </w:r>
      <w:r>
        <w:rPr>
          <w:rFonts w:hint="eastAsia" w:hAnsi="宋体" w:eastAsia="宋体" w:cs="宋体"/>
          <w:color w:val="000000"/>
          <w:sz w:val="24"/>
          <w:szCs w:val="24"/>
        </w:rPr>
      </w:r>
      <w:r/>
    </w:p>
    <w:p>
      <w:pPr>
        <w:pStyle w:val="1053"/>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联系电话：                                 传真号码：</w:t>
      </w:r>
      <w:r>
        <w:rPr>
          <w:rFonts w:hint="eastAsia" w:hAnsi="宋体" w:eastAsia="宋体" w:cs="宋体"/>
          <w:color w:val="000000"/>
          <w:sz w:val="24"/>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供应商：（单位盖章）                       电子邮箱：</w:t>
      </w: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法定代表人或代理人：（签字或盖章）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rPr>
          <w:rFonts w:hint="eastAsia" w:ascii="宋体" w:hAnsi="宋体" w:eastAsia="宋体" w:cs="宋体"/>
          <w:color w:val="000000"/>
          <w:szCs w:val="24"/>
        </w:rPr>
      </w:r>
      <w:r/>
    </w:p>
    <w:p>
      <w:pPr>
        <w:pStyle w:val="945"/>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Cs w:val="21"/>
        </w:rPr>
        <w:br w:type="page" w:clear="all"/>
      </w:r>
      <w:r>
        <w:rPr>
          <w:rFonts w:hint="eastAsia" w:ascii="宋体" w:hAnsi="宋体" w:eastAsia="宋体" w:cs="宋体"/>
          <w:b/>
          <w:color w:val="000000"/>
          <w:szCs w:val="21"/>
        </w:rPr>
        <w:t xml:space="preserve">2、</w:t>
      </w:r>
      <w:r>
        <w:rPr>
          <w:rFonts w:hint="eastAsia" w:ascii="宋体" w:hAnsi="宋体" w:eastAsia="宋体" w:cs="宋体"/>
          <w:b/>
          <w:color w:val="000000"/>
          <w:sz w:val="24"/>
          <w:szCs w:val="24"/>
          <w:lang w:val="zh-CN"/>
        </w:rPr>
        <w:t xml:space="preserve">法定代表人授权委托书</w:t>
      </w:r>
      <w:r>
        <w:rPr>
          <w:rFonts w:hint="eastAsia" w:ascii="宋体" w:hAnsi="宋体" w:eastAsia="宋体" w:cs="宋体"/>
          <w:b/>
          <w:color w:val="000000"/>
          <w:sz w:val="24"/>
          <w:szCs w:val="24"/>
          <w:lang w:val="zh-CN"/>
        </w:rPr>
      </w:r>
      <w:r/>
    </w:p>
    <w:p>
      <w:pPr>
        <w:pStyle w:val="971"/>
        <w:ind w:firstLine="0"/>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76"/>
        <w:ind w:firstLine="48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本授权委托书声明：我</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（姓名）系</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（供应商名称）的法定代表人，现授权委托</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（姓名为我公司代理人，以本公司的名义参加</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（采购人名称）组织实施的编号为</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号的采购活动。代理人在投标、开标、评标、合同订立和履行过程中所签署的一切文件和处理与这有关的一切事务，我均予以承认。</w:t>
      </w:r>
      <w:r>
        <w:rPr>
          <w:rFonts w:hint="eastAsia" w:hAnsi="宋体" w:eastAsia="宋体" w:cs="宋体"/>
          <w:color w:val="000000"/>
          <w:sz w:val="24"/>
          <w:szCs w:val="24"/>
        </w:rPr>
      </w:r>
      <w:r/>
    </w:p>
    <w:p>
      <w:pPr>
        <w:pStyle w:val="1076"/>
        <w:ind w:firstLine="48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color w:val="000000"/>
          <w:sz w:val="24"/>
          <w:szCs w:val="24"/>
        </w:rPr>
      </w:r>
      <w:r/>
    </w:p>
    <w:p>
      <w:pPr>
        <w:pStyle w:val="1076"/>
        <w:ind w:firstLine="48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代理人无转委托权。特此委托。</w:t>
      </w:r>
      <w:r>
        <w:rPr>
          <w:rFonts w:hint="eastAsia" w:hAnsi="宋体" w:eastAsia="宋体" w:cs="宋体"/>
          <w:color w:val="000000"/>
          <w:sz w:val="24"/>
          <w:szCs w:val="24"/>
        </w:rPr>
      </w:r>
      <w:r/>
    </w:p>
    <w:p>
      <w:pPr>
        <w:pStyle w:val="1076"/>
        <w:ind w:firstLine="48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w:t>
      </w:r>
      <w:r>
        <w:rPr>
          <w:rFonts w:hint="eastAsia" w:hAnsi="宋体" w:eastAsia="宋体" w:cs="宋体"/>
          <w:color w:val="000000"/>
          <w:sz w:val="24"/>
          <w:szCs w:val="24"/>
        </w:rPr>
      </w:r>
      <w:r/>
    </w:p>
    <w:p>
      <w:pPr>
        <w:pStyle w:val="1017"/>
        <w:ind w:firstLine="480"/>
        <w:jc w:val="both"/>
        <w:spacing w:line="360" w:lineRule="auto"/>
        <w:rPr>
          <w:rFonts w:cs="宋体"/>
          <w:color w:val="000000"/>
        </w:rPr>
      </w:pPr>
      <w:r>
        <w:rPr>
          <w:rFonts w:cs="宋体"/>
          <w:color w:val="000000"/>
        </w:rPr>
        <w:t xml:space="preserve">供应商（单位盖章）：</w:t>
      </w:r>
      <w:r>
        <w:rPr>
          <w:rFonts w:cs="宋体"/>
          <w:color w:val="000000"/>
        </w:rPr>
      </w:r>
      <w:r/>
    </w:p>
    <w:p>
      <w:pPr>
        <w:pStyle w:val="1017"/>
        <w:ind w:firstLine="480"/>
        <w:jc w:val="both"/>
        <w:spacing w:line="360" w:lineRule="auto"/>
        <w:rPr>
          <w:rFonts w:cs="宋体"/>
          <w:color w:val="000000"/>
        </w:rPr>
      </w:pPr>
      <w:r>
        <w:rPr>
          <w:rFonts w:cs="宋体"/>
          <w:color w:val="000000"/>
        </w:rPr>
        <w:t xml:space="preserve">法定代表人（签字或盖章）：</w:t>
      </w:r>
      <w:r>
        <w:rPr>
          <w:rFonts w:cs="宋体"/>
          <w:color w:val="000000"/>
        </w:rPr>
      </w:r>
      <w:r/>
    </w:p>
    <w:p>
      <w:pPr>
        <w:pStyle w:val="1017"/>
        <w:ind w:firstLine="480"/>
        <w:jc w:val="both"/>
        <w:spacing w:line="360" w:lineRule="auto"/>
        <w:rPr>
          <w:rFonts w:cs="宋体"/>
          <w:color w:val="000000"/>
        </w:rPr>
      </w:pPr>
      <w:r>
        <w:rPr>
          <w:rFonts w:cs="宋体"/>
          <w:color w:val="000000"/>
        </w:rPr>
        <w:t xml:space="preserve">代理人（签字或盖章）：</w:t>
      </w:r>
      <w:r>
        <w:rPr>
          <w:rFonts w:cs="宋体"/>
          <w:color w:val="000000"/>
        </w:rPr>
      </w:r>
      <w:r/>
    </w:p>
    <w:p>
      <w:pPr>
        <w:pStyle w:val="1017"/>
        <w:ind w:firstLine="480"/>
        <w:jc w:val="both"/>
        <w:spacing w:line="360" w:lineRule="auto"/>
        <w:rPr>
          <w:rFonts w:cs="宋体"/>
          <w:color w:val="000000"/>
        </w:rPr>
      </w:pPr>
      <w:r>
        <w:rPr>
          <w:rFonts w:cs="宋体"/>
          <w:color w:val="000000"/>
        </w:rPr>
        <w:t xml:space="preserve">日 期： </w:t>
      </w:r>
      <w:r>
        <w:rPr>
          <w:rFonts w:cs="宋体"/>
          <w:color w:val="000000"/>
        </w:rPr>
      </w:r>
      <w:r/>
    </w:p>
    <w:p>
      <w:pPr>
        <w:pStyle w:val="945"/>
        <w:ind w:firstLine="52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71"/>
        <w:ind w:firstLine="482"/>
        <w:spacing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eastAsia="宋体" w:cs="宋体"/>
          <w:b/>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w:t>
      </w: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w:t>
      </w: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br w:type="page" w:clear="all"/>
      </w:r>
      <w:r>
        <w:rPr>
          <w:rFonts w:hint="eastAsia" w:ascii="宋体" w:hAnsi="宋体" w:eastAsia="宋体" w:cs="宋体"/>
          <w:b/>
          <w:bCs/>
          <w:color w:val="000000"/>
          <w:szCs w:val="24"/>
        </w:rPr>
        <w:t xml:space="preserve">3、关于资格文件的声明函</w:t>
      </w:r>
      <w:r>
        <w:rPr>
          <w:rFonts w:hint="eastAsia" w:ascii="宋体" w:hAnsi="宋体" w:eastAsia="宋体" w:cs="宋体"/>
          <w:b/>
          <w:bCs/>
          <w:color w:val="000000"/>
          <w:szCs w:val="24"/>
        </w:rPr>
      </w:r>
      <w:r/>
    </w:p>
    <w:p>
      <w:pPr>
        <w:pStyle w:val="971"/>
        <w:ind w:firstLine="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苏州正杰招投标咨询服务有限公司：</w:t>
      </w:r>
      <w:r>
        <w:rPr>
          <w:rFonts w:hint="eastAsia" w:ascii="宋体" w:hAnsi="宋体" w:eastAsia="宋体" w:cs="宋体"/>
          <w:color w:val="000000"/>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愿就由贵公司组织实施的项目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供应商（单位盖章）：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法定代表人或代理人（签字或盖章）；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1084"/>
        <w:spacing w:line="360" w:lineRule="auto"/>
        <w:rPr>
          <w:rFonts w:hint="eastAsia" w:hAnsi="宋体" w:eastAsia="宋体" w:cs="宋体"/>
          <w:color w:val="000000"/>
          <w:szCs w:val="24"/>
        </w:rPr>
      </w:pPr>
      <w:r>
        <w:rPr>
          <w:rFonts w:hint="eastAsia" w:hAnsi="宋体" w:eastAsia="宋体" w:cs="宋体"/>
          <w:color w:val="000000"/>
          <w:szCs w:val="24"/>
        </w:rPr>
      </w:r>
      <w:r/>
    </w:p>
    <w:p>
      <w:pPr>
        <w:pStyle w:val="971"/>
        <w:ind w:right="420" w:firstLine="0"/>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t xml:space="preserve">4、开标一览表</w:t>
      </w:r>
      <w:r>
        <w:rPr>
          <w:rFonts w:hint="eastAsia" w:ascii="宋体" w:hAnsi="宋体" w:eastAsia="宋体" w:cs="宋体"/>
          <w:b/>
          <w:bCs/>
          <w:color w:val="000000"/>
          <w:szCs w:val="24"/>
        </w:rPr>
      </w:r>
      <w:r/>
    </w:p>
    <w:p>
      <w:pPr>
        <w:pStyle w:val="945"/>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5"/>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开标一览表（投标总价）</w:t>
      </w:r>
      <w:r>
        <w:rPr>
          <w:rFonts w:hint="eastAsia" w:ascii="宋体" w:hAnsi="宋体" w:eastAsia="宋体" w:cs="宋体"/>
          <w:b/>
          <w:color w:val="000000"/>
          <w:sz w:val="24"/>
          <w:szCs w:val="24"/>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3638"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投标总价</w:t>
            </w:r>
            <w:r>
              <w:rPr>
                <w:rFonts w:hint="eastAsia" w:ascii="宋体" w:hAnsi="宋体" w:eastAsia="宋体" w:cs="宋体"/>
                <w:color w:val="000000"/>
                <w:sz w:val="24"/>
                <w:szCs w:val="24"/>
              </w:rPr>
            </w:r>
            <w:r/>
          </w:p>
        </w:tc>
      </w:tr>
      <w:tr>
        <w:trPr>
          <w:cantSplit/>
          <w:trHeight w:val="960"/>
        </w:trPr>
        <w:tc>
          <w:tcPr>
            <w:tcW w:w="1361" w:type="dxa"/>
            <w:vAlign w:val="center"/>
            <w:textDirection w:val="lrTb"/>
            <w:noWrap w:val="false"/>
          </w:tcPr>
          <w:p>
            <w:pPr>
              <w:pStyle w:val="945"/>
              <w:spacing w:line="360" w:lineRule="auto"/>
              <w:rPr>
                <w:rFonts w:hint="eastAsia" w:ascii="宋体" w:hAnsi="宋体" w:eastAsia="宋体" w:cs="宋体"/>
                <w:color w:val="000000"/>
                <w:sz w:val="24"/>
                <w:szCs w:val="24"/>
              </w:rPr>
            </w:pPr>
            <w:r/>
            <w:bookmarkStart w:id="6" w:name="XMMC"/>
            <w:r/>
            <w:bookmarkEnd w:id="6"/>
            <w:r>
              <w:rPr>
                <w:rFonts w:hint="eastAsia" w:ascii="宋体" w:hAnsi="宋体" w:eastAsia="宋体" w:cs="宋体"/>
                <w:color w:val="000000"/>
                <w:sz w:val="24"/>
                <w:szCs w:val="24"/>
              </w:rPr>
            </w:r>
            <w:r/>
          </w:p>
        </w:tc>
        <w:tc>
          <w:tcPr>
            <w:tcW w:w="3638" w:type="dxa"/>
            <w:vAlign w:val="center"/>
            <w:textDirection w:val="lrTb"/>
            <w:noWrap w:val="false"/>
          </w:tcPr>
          <w:p>
            <w:pPr>
              <w:pStyle w:val="94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人民币小写：</w:t>
            </w:r>
            <w:bookmarkStart w:id="7" w:name="JEXX"/>
            <w:r/>
            <w:bookmarkEnd w:id="7"/>
            <w:r>
              <w:rPr>
                <w:rFonts w:hint="eastAsia" w:ascii="宋体" w:hAnsi="宋体" w:eastAsia="宋体" w:cs="宋体"/>
                <w:color w:val="000000"/>
                <w:sz w:val="24"/>
                <w:szCs w:val="24"/>
              </w:rPr>
              <w:t xml:space="preserve">                                      （元）</w:t>
            </w:r>
            <w:r>
              <w:rPr>
                <w:rFonts w:hint="eastAsia" w:ascii="宋体" w:hAnsi="宋体" w:eastAsia="宋体" w:cs="宋体"/>
                <w:color w:val="000000"/>
                <w:sz w:val="24"/>
                <w:szCs w:val="24"/>
              </w:rPr>
            </w:r>
            <w:r/>
          </w:p>
        </w:tc>
      </w:tr>
    </w:tbl>
    <w:p>
      <w:pPr>
        <w:pStyle w:val="94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6"/>
        <w:ind w:firstLine="480"/>
        <w:jc w:val="left"/>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供应商（单位盖章）：</w:t>
      </w:r>
      <w:r>
        <w:rPr>
          <w:rFonts w:hint="eastAsia" w:hAnsi="宋体" w:eastAsia="宋体" w:cs="宋体"/>
          <w:color w:val="000000"/>
          <w:sz w:val="24"/>
          <w:szCs w:val="24"/>
        </w:rPr>
      </w:r>
      <w:r/>
    </w:p>
    <w:p>
      <w:pPr>
        <w:pStyle w:val="986"/>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法定代表人或代理人（签字或盖章）：</w:t>
      </w:r>
      <w:r>
        <w:rPr>
          <w:rFonts w:hint="eastAsia" w:hAnsi="宋体" w:eastAsia="宋体" w:cs="宋体"/>
          <w:color w:val="000000"/>
          <w:sz w:val="24"/>
          <w:szCs w:val="24"/>
        </w:rPr>
      </w:r>
      <w:r/>
    </w:p>
    <w:p>
      <w:pPr>
        <w:pStyle w:val="986"/>
        <w:ind w:firstLine="480"/>
        <w:spacing w:line="360" w:lineRule="auto"/>
        <w:rPr>
          <w:rFonts w:hint="eastAsia" w:hAnsi="宋体" w:eastAsia="宋体" w:cs="宋体"/>
          <w:color w:val="000000"/>
          <w:sz w:val="24"/>
          <w:szCs w:val="24"/>
          <w:lang w:val="zh-CN"/>
        </w:rPr>
      </w:pPr>
      <w:r>
        <w:rPr>
          <w:rFonts w:hint="eastAsia" w:hAnsi="宋体" w:eastAsia="宋体" w:cs="宋体"/>
          <w:color w:val="000000"/>
          <w:sz w:val="24"/>
          <w:szCs w:val="24"/>
        </w:rPr>
        <w:t xml:space="preserve">日期：     年     月     日</w:t>
      </w:r>
      <w:r>
        <w:rPr>
          <w:rFonts w:hint="eastAsia" w:hAnsi="宋体" w:eastAsia="宋体" w:cs="宋体"/>
          <w:color w:val="000000"/>
          <w:sz w:val="24"/>
          <w:szCs w:val="24"/>
          <w:lang w:val="zh-CN"/>
        </w:rPr>
      </w:r>
      <w:r/>
    </w:p>
    <w:p>
      <w:pPr>
        <w:pStyle w:val="1084"/>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84"/>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84"/>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84"/>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br w:type="page" w:clear="all"/>
      </w:r>
      <w:r>
        <w:rPr>
          <w:rFonts w:hint="eastAsia" w:hAnsi="宋体" w:eastAsia="宋体" w:cs="宋体"/>
          <w:b/>
          <w:bCs/>
          <w:color w:val="000000"/>
          <w:sz w:val="24"/>
          <w:szCs w:val="24"/>
        </w:rPr>
        <w:t xml:space="preserve">5、磋商响应明细报价表</w:t>
      </w:r>
      <w:r>
        <w:rPr>
          <w:rFonts w:hint="eastAsia" w:hAnsi="宋体" w:eastAsia="宋体" w:cs="宋体"/>
          <w:b/>
          <w:bCs/>
          <w:color w:val="000000"/>
          <w:sz w:val="24"/>
          <w:szCs w:val="24"/>
        </w:rPr>
      </w:r>
      <w:r/>
    </w:p>
    <w:p>
      <w:pPr>
        <w:pStyle w:val="1084"/>
        <w:jc w:val="center"/>
        <w:spacing w:line="360" w:lineRule="auto"/>
        <w:rPr>
          <w:rFonts w:hint="eastAsia" w:hAnsi="宋体" w:eastAsia="宋体" w:cs="宋体"/>
          <w:color w:val="000000"/>
          <w:sz w:val="24"/>
          <w:szCs w:val="24"/>
        </w:rPr>
      </w:pP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项目磋商响应明细报价表</w:t>
      </w:r>
      <w:r>
        <w:rPr>
          <w:rFonts w:hint="eastAsia" w:hAnsi="宋体" w:eastAsia="宋体" w:cs="宋体"/>
          <w:color w:val="000000"/>
          <w:sz w:val="24"/>
          <w:szCs w:val="24"/>
        </w:rPr>
      </w:r>
      <w:r/>
    </w:p>
    <w:tbl>
      <w:tblPr>
        <w:tblW w:w="96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3780"/>
        <w:gridCol w:w="870"/>
        <w:gridCol w:w="810"/>
        <w:gridCol w:w="990"/>
        <w:gridCol w:w="1050"/>
        <w:gridCol w:w="1189"/>
      </w:tblGrid>
      <w:tr>
        <w:trPr>
          <w:trHeight w:val="567"/>
        </w:trPr>
        <w:tc>
          <w:tcPr>
            <w:tcW w:w="965"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color w:val="000000"/>
                <w:sz w:val="24"/>
                <w:szCs w:val="24"/>
              </w:rPr>
            </w:r>
            <w:r/>
          </w:p>
        </w:tc>
        <w:tc>
          <w:tcPr>
            <w:tcW w:w="3780"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费用条目</w:t>
            </w:r>
            <w:r>
              <w:rPr>
                <w:rFonts w:hint="eastAsia" w:ascii="宋体" w:hAnsi="宋体" w:eastAsia="宋体" w:cs="宋体"/>
                <w:color w:val="000000"/>
                <w:sz w:val="24"/>
                <w:szCs w:val="24"/>
              </w:rPr>
            </w:r>
            <w:r/>
          </w:p>
        </w:tc>
        <w:tc>
          <w:tcPr>
            <w:tcW w:w="870"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单位</w:t>
            </w:r>
            <w:r>
              <w:rPr>
                <w:rFonts w:hint="eastAsia" w:ascii="宋体" w:hAnsi="宋体" w:eastAsia="宋体" w:cs="宋体"/>
                <w:color w:val="000000"/>
                <w:sz w:val="24"/>
                <w:szCs w:val="24"/>
              </w:rPr>
            </w:r>
            <w:r/>
          </w:p>
        </w:tc>
        <w:tc>
          <w:tcPr>
            <w:tcW w:w="810"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color w:val="000000"/>
                <w:sz w:val="24"/>
                <w:szCs w:val="24"/>
              </w:rPr>
            </w:r>
            <w:r/>
          </w:p>
        </w:tc>
        <w:tc>
          <w:tcPr>
            <w:tcW w:w="990"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单价</w:t>
            </w:r>
            <w:r>
              <w:rPr>
                <w:rFonts w:hint="eastAsia" w:ascii="宋体" w:hAnsi="宋体" w:eastAsia="宋体" w:cs="宋体"/>
                <w:color w:val="000000"/>
                <w:sz w:val="24"/>
                <w:szCs w:val="24"/>
              </w:rPr>
            </w:r>
            <w:r/>
          </w:p>
        </w:tc>
        <w:tc>
          <w:tcPr>
            <w:tcW w:w="1050"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总价</w:t>
            </w:r>
            <w:r>
              <w:rPr>
                <w:rFonts w:hint="eastAsia" w:ascii="宋体" w:hAnsi="宋体" w:eastAsia="宋体" w:cs="宋体"/>
                <w:color w:val="000000"/>
                <w:sz w:val="24"/>
                <w:szCs w:val="24"/>
              </w:rPr>
            </w:r>
            <w:r/>
          </w:p>
        </w:tc>
        <w:tc>
          <w:tcPr>
            <w:tcW w:w="1189"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备注</w:t>
            </w:r>
            <w:r>
              <w:rPr>
                <w:rFonts w:hint="eastAsia" w:ascii="宋体" w:hAnsi="宋体" w:eastAsia="宋体" w:cs="宋体"/>
                <w:color w:val="000000"/>
                <w:sz w:val="24"/>
                <w:szCs w:val="24"/>
              </w:rPr>
            </w:r>
            <w:r/>
          </w:p>
        </w:tc>
      </w:tr>
      <w:tr>
        <w:trPr>
          <w:trHeight w:val="567"/>
        </w:trPr>
        <w:tc>
          <w:tcPr>
            <w:tcW w:w="965" w:type="dxa"/>
            <w:vAlign w:val="center"/>
            <w:textDirection w:val="lrTb"/>
            <w:noWrap w:val="false"/>
          </w:tcPr>
          <w:p>
            <w:pPr>
              <w:pStyle w:val="945"/>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r>
            <w:r/>
          </w:p>
        </w:tc>
        <w:tc>
          <w:tcPr>
            <w:tcW w:w="378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展览借展及授权</w:t>
            </w:r>
            <w:r>
              <w:rPr>
                <w:rFonts w:hint="eastAsia" w:ascii="宋体" w:hAnsi="宋体" w:eastAsia="宋体" w:cs="宋体"/>
                <w:bCs/>
                <w:color w:val="000000"/>
                <w:sz w:val="24"/>
                <w:szCs w:val="24"/>
              </w:rPr>
            </w:r>
            <w:r/>
          </w:p>
        </w:tc>
        <w:tc>
          <w:tcPr>
            <w:tcW w:w="87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1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5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89"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965" w:type="dxa"/>
            <w:vAlign w:val="center"/>
            <w:textDirection w:val="lrTb"/>
            <w:noWrap w:val="false"/>
          </w:tcPr>
          <w:p>
            <w:pPr>
              <w:pStyle w:val="945"/>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r>
            <w:r/>
          </w:p>
        </w:tc>
        <w:tc>
          <w:tcPr>
            <w:tcW w:w="378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保险</w:t>
            </w:r>
            <w:r>
              <w:rPr>
                <w:rFonts w:hint="eastAsia" w:ascii="宋体" w:hAnsi="宋体" w:eastAsia="宋体" w:cs="宋体"/>
                <w:bCs/>
                <w:color w:val="000000"/>
                <w:sz w:val="24"/>
                <w:szCs w:val="24"/>
              </w:rPr>
            </w:r>
            <w:r/>
          </w:p>
        </w:tc>
        <w:tc>
          <w:tcPr>
            <w:tcW w:w="87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1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5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89"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965" w:type="dxa"/>
            <w:vAlign w:val="center"/>
            <w:textDirection w:val="lrTb"/>
            <w:noWrap w:val="false"/>
          </w:tcPr>
          <w:p>
            <w:pPr>
              <w:pStyle w:val="945"/>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ascii="宋体" w:hAnsi="宋体" w:eastAsia="宋体" w:cs="宋体"/>
                <w:bCs/>
                <w:color w:val="000000"/>
                <w:sz w:val="24"/>
                <w:szCs w:val="24"/>
              </w:rPr>
            </w:r>
            <w:r/>
          </w:p>
        </w:tc>
        <w:tc>
          <w:tcPr>
            <w:tcW w:w="378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展品包装</w:t>
            </w:r>
            <w:r>
              <w:rPr>
                <w:rFonts w:hint="eastAsia" w:ascii="宋体" w:hAnsi="宋体" w:eastAsia="宋体" w:cs="宋体"/>
                <w:bCs/>
                <w:color w:val="000000"/>
                <w:sz w:val="24"/>
                <w:szCs w:val="24"/>
              </w:rPr>
            </w:r>
            <w:r/>
          </w:p>
        </w:tc>
        <w:tc>
          <w:tcPr>
            <w:tcW w:w="87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1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5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89"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965" w:type="dxa"/>
            <w:vAlign w:val="center"/>
            <w:textDirection w:val="lrTb"/>
            <w:noWrap w:val="false"/>
          </w:tcPr>
          <w:p>
            <w:pPr>
              <w:pStyle w:val="945"/>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ascii="宋体" w:hAnsi="宋体" w:eastAsia="宋体" w:cs="宋体"/>
                <w:bCs/>
                <w:color w:val="000000"/>
                <w:sz w:val="24"/>
                <w:szCs w:val="24"/>
              </w:rPr>
            </w:r>
            <w:r/>
          </w:p>
        </w:tc>
        <w:tc>
          <w:tcPr>
            <w:tcW w:w="378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单程运输（国际段＆国内段）</w:t>
            </w:r>
            <w:r>
              <w:rPr>
                <w:rFonts w:hint="eastAsia" w:ascii="宋体" w:hAnsi="宋体" w:eastAsia="宋体" w:cs="宋体"/>
                <w:bCs/>
                <w:color w:val="000000"/>
                <w:sz w:val="24"/>
                <w:szCs w:val="24"/>
              </w:rPr>
            </w:r>
            <w:r/>
          </w:p>
        </w:tc>
        <w:tc>
          <w:tcPr>
            <w:tcW w:w="87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1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5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89"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965" w:type="dxa"/>
            <w:vAlign w:val="center"/>
            <w:textDirection w:val="lrTb"/>
            <w:noWrap w:val="false"/>
          </w:tcPr>
          <w:p>
            <w:pPr>
              <w:pStyle w:val="945"/>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w:t>
            </w:r>
            <w:r>
              <w:rPr>
                <w:rFonts w:ascii="宋体" w:hAnsi="宋体" w:eastAsia="宋体" w:cs="宋体"/>
                <w:bCs/>
                <w:color w:val="000000"/>
                <w:sz w:val="24"/>
                <w:szCs w:val="24"/>
              </w:rPr>
            </w:r>
            <w:r/>
          </w:p>
        </w:tc>
        <w:tc>
          <w:tcPr>
            <w:tcW w:w="378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运输及布撤展期间人员</w:t>
            </w:r>
            <w:r>
              <w:rPr>
                <w:rFonts w:hint="eastAsia" w:ascii="宋体" w:hAnsi="宋体" w:eastAsia="宋体" w:cs="宋体"/>
                <w:bCs/>
                <w:color w:val="000000"/>
                <w:sz w:val="24"/>
                <w:szCs w:val="24"/>
              </w:rPr>
            </w:r>
            <w:r/>
          </w:p>
        </w:tc>
        <w:tc>
          <w:tcPr>
            <w:tcW w:w="87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1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5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89"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965"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r>
            <w:r/>
          </w:p>
        </w:tc>
        <w:tc>
          <w:tcPr>
            <w:tcW w:w="378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7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81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99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50"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89" w:type="dxa"/>
            <w:vAlign w:val="center"/>
            <w:textDirection w:val="lrTb"/>
            <w:noWrap w:val="false"/>
          </w:tcPr>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gridSpan w:val="2"/>
            <w:tcW w:w="4745" w:type="dxa"/>
            <w:vAlign w:val="center"/>
            <w:textDirection w:val="lrTb"/>
            <w:noWrap w:val="false"/>
          </w:tcPr>
          <w:p>
            <w:pPr>
              <w:pStyle w:val="971"/>
              <w:ind w:right="420" w:firstLine="0"/>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合计金额</w:t>
            </w:r>
            <w:r>
              <w:rPr>
                <w:rFonts w:hint="eastAsia" w:ascii="宋体" w:hAnsi="宋体" w:eastAsia="宋体" w:cs="宋体"/>
                <w:color w:val="000000"/>
                <w:szCs w:val="24"/>
              </w:rPr>
            </w:r>
            <w:r/>
          </w:p>
        </w:tc>
        <w:tc>
          <w:tcPr>
            <w:gridSpan w:val="5"/>
            <w:tcW w:w="4909" w:type="dxa"/>
            <w:vAlign w:val="center"/>
            <w:textDirection w:val="lrTb"/>
            <w:noWrap w:val="false"/>
          </w:tcPr>
          <w:p>
            <w:pPr>
              <w:pStyle w:val="971"/>
              <w:ind w:right="420" w:firstLine="0"/>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人民币</w:t>
            </w:r>
            <w:r>
              <w:rPr>
                <w:rFonts w:hint="eastAsia" w:ascii="宋体" w:hAnsi="宋体" w:eastAsia="宋体" w:cs="宋体"/>
                <w:color w:val="000000"/>
                <w:szCs w:val="24"/>
                <w:u w:val="single"/>
              </w:rPr>
              <w:t xml:space="preserve">（大写）</w:t>
            </w:r>
            <w:r>
              <w:rPr>
                <w:rFonts w:hint="eastAsia" w:ascii="宋体" w:hAnsi="宋体" w:eastAsia="宋体" w:cs="宋体"/>
                <w:color w:val="000000"/>
                <w:szCs w:val="24"/>
              </w:rPr>
              <w:t xml:space="preserve">元（¥</w:t>
            </w:r>
            <w:r>
              <w:rPr>
                <w:rFonts w:hint="eastAsia" w:ascii="宋体" w:hAnsi="宋体" w:eastAsia="宋体" w:cs="宋体"/>
                <w:color w:val="000000"/>
                <w:szCs w:val="24"/>
                <w:u w:val="single"/>
              </w:rPr>
              <w:t xml:space="preserve">（小写）</w:t>
            </w:r>
            <w:r>
              <w:rPr>
                <w:rFonts w:hint="eastAsia" w:ascii="宋体" w:hAnsi="宋体" w:eastAsia="宋体" w:cs="宋体"/>
                <w:color w:val="000000"/>
                <w:szCs w:val="24"/>
              </w:rPr>
              <w:t xml:space="preserve">元）</w:t>
            </w:r>
            <w:r>
              <w:rPr>
                <w:rFonts w:hint="eastAsia" w:ascii="宋体" w:hAnsi="宋体" w:eastAsia="宋体" w:cs="宋体"/>
                <w:color w:val="000000"/>
                <w:szCs w:val="24"/>
              </w:rPr>
            </w:r>
            <w:r/>
          </w:p>
        </w:tc>
      </w:tr>
    </w:tbl>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注：</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1、供应商应根据此表格式按项目分别填写报价详细清单，如表格内容不够，可自行添加。</w:t>
      </w:r>
      <w:r>
        <w:rPr>
          <w:rFonts w:hint="eastAsia" w:ascii="宋体" w:hAnsi="宋体" w:eastAsia="宋体" w:cs="宋体"/>
          <w:color w:val="000000"/>
          <w:szCs w:val="24"/>
        </w:rPr>
      </w:r>
      <w:r/>
    </w:p>
    <w:p>
      <w:pPr>
        <w:pStyle w:val="971"/>
        <w:ind w:right="118"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2、供应商须对全部采购内容进行报价。本表中合计金额应与“开标一览表”投标总价一致，否则，以《开标一览表》为准。</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报价包括完成所有采购内容以及本项目所需的劳务支出、配套费用、保险费、仓储费、包装费、运输费、保险费、税费、代理服务费及服务相关等所发生的全部费用以及企业利润、税金、和政策性文件规定及合同包含的所有风险、责任等各项应有费用。</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供应商（单位盖章）：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法定代表人或代理人（签字或盖章）：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rPr>
          <w:rFonts w:hint="eastAsia" w:ascii="宋体" w:hAnsi="宋体" w:eastAsia="宋体" w:cs="宋体"/>
          <w:color w:val="000000"/>
          <w:szCs w:val="24"/>
        </w:rPr>
      </w:r>
      <w:r/>
    </w:p>
    <w:p>
      <w:pPr>
        <w:pStyle w:val="986"/>
        <w:ind w:firstLine="480"/>
        <w:jc w:val="left"/>
        <w:spacing w:line="360" w:lineRule="auto"/>
        <w:rPr>
          <w:rFonts w:hint="eastAsia" w:hAnsi="宋体" w:eastAsia="宋体" w:cs="宋体"/>
          <w:color w:val="000000"/>
          <w:sz w:val="24"/>
          <w:szCs w:val="24"/>
          <w:lang w:val="zh-CN"/>
        </w:rPr>
      </w:pPr>
      <w:r>
        <w:rPr>
          <w:rFonts w:hint="eastAsia" w:hAnsi="宋体" w:eastAsia="宋体" w:cs="宋体"/>
          <w:color w:val="000000"/>
          <w:sz w:val="24"/>
          <w:szCs w:val="24"/>
          <w:lang w:val="zh-CN"/>
        </w:rPr>
      </w:r>
      <w:r/>
    </w:p>
    <w:p>
      <w:pPr>
        <w:pStyle w:val="986"/>
        <w:jc w:val="left"/>
        <w:spacing w:line="360" w:lineRule="auto"/>
        <w:rPr>
          <w:rFonts w:hint="eastAsia" w:hAnsi="宋体" w:eastAsia="宋体" w:cs="宋体"/>
          <w:b/>
          <w:color w:val="000000"/>
          <w:sz w:val="24"/>
          <w:szCs w:val="24"/>
        </w:rPr>
      </w:pPr>
      <w:r>
        <w:rPr>
          <w:rFonts w:hint="eastAsia" w:hAnsi="宋体" w:eastAsia="宋体" w:cs="宋体"/>
          <w:b/>
          <w:color w:val="000000"/>
          <w:sz w:val="24"/>
          <w:szCs w:val="24"/>
        </w:rPr>
      </w:r>
      <w:r/>
    </w:p>
    <w:p>
      <w:pPr>
        <w:pStyle w:val="986"/>
        <w:jc w:val="left"/>
        <w:spacing w:line="360" w:lineRule="auto"/>
        <w:rPr>
          <w:rFonts w:hint="eastAsia" w:hAnsi="宋体" w:eastAsia="宋体" w:cs="宋体"/>
          <w:b/>
          <w:bCs/>
          <w:color w:val="000000"/>
          <w:sz w:val="24"/>
          <w:szCs w:val="24"/>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hAnsi="宋体" w:eastAsia="宋体" w:cs="宋体"/>
          <w:b/>
          <w:bCs/>
          <w:color w:val="000000"/>
          <w:sz w:val="24"/>
          <w:szCs w:val="24"/>
        </w:rPr>
      </w:r>
      <w:r/>
    </w:p>
    <w:p>
      <w:pPr>
        <w:pStyle w:val="986"/>
        <w:jc w:val="left"/>
        <w:spacing w:line="360" w:lineRule="auto"/>
        <w:rPr>
          <w:rFonts w:hint="eastAsia" w:hAnsi="宋体" w:eastAsia="宋体" w:cs="宋体"/>
          <w:b/>
          <w:color w:val="000000"/>
          <w:sz w:val="24"/>
          <w:szCs w:val="24"/>
          <w:lang w:val="zh-CN"/>
        </w:rPr>
      </w:pPr>
      <w:r>
        <w:rPr>
          <w:rFonts w:hint="eastAsia" w:hAnsi="宋体" w:eastAsia="宋体" w:cs="宋体"/>
          <w:b/>
          <w:color w:val="000000"/>
          <w:sz w:val="24"/>
          <w:szCs w:val="24"/>
        </w:rPr>
        <w:t xml:space="preserve">6</w:t>
      </w:r>
      <w:r>
        <w:rPr>
          <w:rFonts w:hint="eastAsia" w:hAnsi="宋体" w:eastAsia="宋体" w:cs="宋体"/>
          <w:b/>
          <w:color w:val="000000"/>
          <w:sz w:val="24"/>
          <w:szCs w:val="24"/>
          <w:lang w:val="zh-CN"/>
        </w:rPr>
        <w:t xml:space="preserve">、中小企业声明函</w:t>
      </w:r>
      <w:r>
        <w:rPr>
          <w:rFonts w:hint="eastAsia" w:hAnsi="宋体" w:eastAsia="宋体" w:cs="宋体"/>
          <w:b/>
          <w:color w:val="000000"/>
          <w:sz w:val="24"/>
          <w:szCs w:val="24"/>
          <w:lang w:val="zh-CN"/>
        </w:rPr>
      </w:r>
      <w:r/>
    </w:p>
    <w:p>
      <w:pPr>
        <w:pStyle w:val="945"/>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苏州正杰招投标咨询服务有限公司</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本公司郑重声明，根据《政府采购促进中小企业发展管理办法》（财库﹝2020﹞46 号）的规定，本公司参加</w:t>
      </w:r>
      <w:r>
        <w:rPr>
          <w:rFonts w:hint="eastAsia" w:ascii="宋体" w:hAnsi="宋体" w:eastAsia="宋体" w:cs="宋体"/>
          <w:color w:val="000000"/>
          <w:sz w:val="24"/>
          <w:szCs w:val="24"/>
          <w:u w:val="single"/>
          <w:lang w:val="zh-CN"/>
        </w:rPr>
        <w:t xml:space="preserve">（单位名称）</w:t>
      </w:r>
      <w:r>
        <w:rPr>
          <w:rFonts w:hint="eastAsia" w:ascii="宋体" w:hAnsi="宋体" w:eastAsia="宋体" w:cs="宋体"/>
          <w:color w:val="000000"/>
          <w:sz w:val="24"/>
          <w:szCs w:val="24"/>
          <w:lang w:val="zh-CN"/>
        </w:rPr>
        <w:t xml:space="preserve">的</w:t>
      </w:r>
      <w:r>
        <w:rPr>
          <w:rFonts w:hint="eastAsia" w:ascii="宋体" w:hAnsi="宋体" w:eastAsia="宋体" w:cs="宋体"/>
          <w:color w:val="000000"/>
          <w:sz w:val="24"/>
          <w:szCs w:val="24"/>
          <w:u w:val="single"/>
          <w:lang w:val="zh-CN"/>
        </w:rPr>
        <w:t xml:space="preserve">（项目名称）</w:t>
      </w:r>
      <w:r>
        <w:rPr>
          <w:rFonts w:hint="eastAsia" w:ascii="宋体" w:hAnsi="宋体" w:eastAsia="宋体" w:cs="宋体"/>
          <w:color w:val="000000"/>
          <w:sz w:val="24"/>
          <w:szCs w:val="24"/>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u w:val="single"/>
          <w:lang w:val="zh-CN"/>
        </w:rPr>
        <w:t xml:space="preserve">（标的名称）</w:t>
      </w:r>
      <w:r>
        <w:rPr>
          <w:rFonts w:hint="eastAsia" w:ascii="宋体" w:hAnsi="宋体" w:eastAsia="宋体" w:cs="宋体"/>
          <w:color w:val="000000"/>
          <w:sz w:val="24"/>
          <w:szCs w:val="24"/>
          <w:lang w:val="zh-CN"/>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zh-CN"/>
        </w:rPr>
        <w:t xml:space="preserve">（采购文件中明确的所属行业）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；承接企业为</w:t>
      </w:r>
      <w:r>
        <w:rPr>
          <w:rFonts w:hint="eastAsia" w:ascii="宋体" w:hAnsi="宋体" w:eastAsia="宋体" w:cs="宋体"/>
          <w:color w:val="000000"/>
          <w:sz w:val="24"/>
          <w:szCs w:val="24"/>
          <w:u w:val="single"/>
          <w:lang w:val="zh-CN"/>
        </w:rPr>
        <w:t xml:space="preserve">（企业名称）</w:t>
      </w:r>
      <w:r>
        <w:rPr>
          <w:rFonts w:hint="eastAsia" w:ascii="宋体" w:hAnsi="宋体" w:eastAsia="宋体" w:cs="宋体"/>
          <w:color w:val="000000"/>
          <w:sz w:val="24"/>
          <w:szCs w:val="24"/>
          <w:lang w:val="zh-CN"/>
        </w:rPr>
        <w:t xml:space="preserve">，从业人员</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人，营业收入为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万元，资产总额为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万元，属于</w:t>
      </w:r>
      <w:r>
        <w:rPr>
          <w:rFonts w:hint="eastAsia" w:ascii="宋体" w:hAnsi="宋体" w:eastAsia="宋体" w:cs="宋体"/>
          <w:color w:val="000000"/>
          <w:sz w:val="24"/>
          <w:szCs w:val="24"/>
          <w:u w:val="single"/>
          <w:lang w:val="zh-CN"/>
        </w:rPr>
        <w:t xml:space="preserve">      （中型企业、小型企业、微型企业）</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u w:val="single"/>
          <w:lang w:val="zh-CN"/>
        </w:rPr>
        <w:t xml:space="preserve">（标的名称）</w:t>
      </w:r>
      <w:r>
        <w:rPr>
          <w:rFonts w:hint="eastAsia" w:ascii="宋体" w:hAnsi="宋体" w:eastAsia="宋体" w:cs="宋体"/>
          <w:color w:val="000000"/>
          <w:sz w:val="24"/>
          <w:szCs w:val="24"/>
          <w:lang w:val="zh-CN"/>
        </w:rPr>
        <w:t xml:space="preserve">，属于</w:t>
      </w:r>
      <w:r>
        <w:rPr>
          <w:rFonts w:hint="eastAsia" w:ascii="宋体" w:hAnsi="宋体" w:eastAsia="宋体" w:cs="宋体"/>
          <w:color w:val="000000"/>
          <w:sz w:val="24"/>
          <w:szCs w:val="24"/>
          <w:u w:val="single"/>
          <w:lang w:val="zh-CN"/>
        </w:rPr>
        <w:t xml:space="preserve">（采购文件中明确的所属行业）</w:t>
      </w:r>
      <w:r>
        <w:rPr>
          <w:rFonts w:hint="eastAsia" w:ascii="宋体" w:hAnsi="宋体" w:eastAsia="宋体" w:cs="宋体"/>
          <w:color w:val="000000"/>
          <w:sz w:val="24"/>
          <w:szCs w:val="24"/>
          <w:lang w:val="zh-CN"/>
        </w:rPr>
        <w:t xml:space="preserve">；承接企业为</w:t>
      </w:r>
      <w:r>
        <w:rPr>
          <w:rFonts w:hint="eastAsia" w:ascii="宋体" w:hAnsi="宋体" w:eastAsia="宋体" w:cs="宋体"/>
          <w:color w:val="000000"/>
          <w:sz w:val="24"/>
          <w:szCs w:val="24"/>
          <w:u w:val="single"/>
          <w:lang w:val="zh-CN"/>
        </w:rPr>
        <w:t xml:space="preserve">（企业名称）</w:t>
      </w:r>
      <w:r>
        <w:rPr>
          <w:rFonts w:hint="eastAsia" w:ascii="宋体" w:hAnsi="宋体" w:eastAsia="宋体" w:cs="宋体"/>
          <w:color w:val="000000"/>
          <w:sz w:val="24"/>
          <w:szCs w:val="24"/>
          <w:lang w:val="zh-CN"/>
        </w:rPr>
        <w:t xml:space="preserve">，从业人员</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人，营业收入为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万元，资产总额为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万元，属于</w:t>
      </w:r>
      <w:r>
        <w:rPr>
          <w:rFonts w:hint="eastAsia" w:ascii="宋体" w:hAnsi="宋体" w:eastAsia="宋体" w:cs="宋体"/>
          <w:color w:val="000000"/>
          <w:sz w:val="24"/>
          <w:szCs w:val="24"/>
          <w:u w:val="single"/>
          <w:lang w:val="zh-CN"/>
        </w:rPr>
        <w:t xml:space="preserve">       （中型企业、小型企业、微型企业）</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45"/>
        <w:ind w:firstLine="7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45"/>
        <w:ind w:firstLine="7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lang w:val="zh-CN"/>
        </w:rPr>
      </w:r>
      <w:r/>
    </w:p>
    <w:p>
      <w:pPr>
        <w:pStyle w:val="945"/>
        <w:ind w:firstLine="7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本企业对上述声明内容的真实性负责。如有虚假，将依法承担相应责任。</w:t>
      </w:r>
      <w:r>
        <w:rPr>
          <w:rFonts w:hint="eastAsia" w:ascii="宋体" w:hAnsi="宋体" w:eastAsia="宋体" w:cs="宋体"/>
          <w:color w:val="000000"/>
          <w:sz w:val="24"/>
          <w:szCs w:val="24"/>
          <w:lang w:val="zh-CN"/>
        </w:rPr>
      </w:r>
      <w:r/>
    </w:p>
    <w:p>
      <w:pPr>
        <w:pStyle w:val="945"/>
        <w:ind w:firstLine="49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企业名称（盖章）：</w:t>
      </w:r>
      <w:r>
        <w:rPr>
          <w:rFonts w:hint="eastAsia" w:ascii="宋体" w:hAnsi="宋体" w:eastAsia="宋体" w:cs="宋体"/>
          <w:color w:val="000000"/>
          <w:sz w:val="24"/>
          <w:szCs w:val="24"/>
          <w:lang w:val="zh-CN"/>
        </w:rPr>
      </w:r>
      <w:r/>
    </w:p>
    <w:p>
      <w:pPr>
        <w:pStyle w:val="945"/>
        <w:ind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日期：</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lang w:val="zh-CN"/>
        </w:rPr>
      </w:r>
      <w:r/>
    </w:p>
    <w:p>
      <w:pPr>
        <w:pStyle w:val="945"/>
        <w:ind w:firstLine="480"/>
        <w:spacing w:line="44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5、成交供应商为中小企业的，《中小企业声明函》将随成交结果同时公告。</w:t>
      </w:r>
      <w:r>
        <w:rPr>
          <w:rFonts w:hint="eastAsia" w:ascii="宋体" w:hAnsi="宋体" w:eastAsia="宋体" w:cs="宋体"/>
          <w:color w:val="000000"/>
          <w:sz w:val="24"/>
          <w:szCs w:val="24"/>
        </w:rPr>
        <w:br w:type="page" w:clear="all"/>
      </w:r>
      <w:r>
        <w:rPr>
          <w:rFonts w:hint="eastAsia" w:ascii="宋体" w:hAnsi="宋体" w:eastAsia="宋体" w:cs="宋体"/>
          <w:b/>
          <w:color w:val="000000"/>
          <w:sz w:val="24"/>
          <w:szCs w:val="24"/>
        </w:rPr>
        <w:t xml:space="preserve">附：中小企业划型标准规定</w:t>
      </w:r>
      <w:r>
        <w:rPr>
          <w:rFonts w:hint="eastAsia" w:ascii="宋体" w:hAnsi="宋体" w:eastAsia="宋体" w:cs="宋体"/>
          <w:b/>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（一）农、林、牧、渔业。</w:t>
      </w:r>
      <w:r>
        <w:rPr>
          <w:rFonts w:hint="eastAsia" w:ascii="宋体" w:hAnsi="宋体" w:eastAsia="宋体" w:cs="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（二）工业。</w:t>
      </w:r>
      <w:r>
        <w:rPr>
          <w:rFonts w:hint="eastAsia" w:ascii="宋体" w:hAnsi="宋体" w:eastAsia="宋体" w:cs="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（三）建筑业。</w:t>
      </w:r>
      <w:r>
        <w:rPr>
          <w:rFonts w:hint="eastAsia" w:ascii="宋体" w:hAnsi="宋体" w:eastAsia="宋体" w:cs="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（四）批发业。</w:t>
      </w:r>
      <w:r>
        <w:rPr>
          <w:rFonts w:hint="eastAsia" w:ascii="宋体" w:hAnsi="宋体" w:eastAsia="宋体" w:cs="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（五）零售业。</w:t>
      </w:r>
      <w:r>
        <w:rPr>
          <w:rFonts w:hint="eastAsia" w:ascii="宋体" w:hAnsi="宋体" w:eastAsia="宋体" w:cs="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（六）交通运输业。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（七）仓储业。</w:t>
      </w:r>
      <w:r>
        <w:rPr>
          <w:rFonts w:hint="eastAsia" w:ascii="宋体" w:hAnsi="宋体" w:eastAsia="宋体" w:cs="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（八）邮政业。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（九）住宿业。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（十）餐饮业。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（十一）信息传输业。</w:t>
      </w:r>
      <w:r>
        <w:rPr>
          <w:rFonts w:hint="eastAsia" w:ascii="宋体" w:hAnsi="宋体" w:eastAsia="宋体" w:cs="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（十二）软件和信息技术服务业。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（十三）房地产开发经营。</w:t>
      </w:r>
      <w:r>
        <w:rPr>
          <w:rFonts w:hint="eastAsia" w:ascii="宋体" w:hAnsi="宋体" w:eastAsia="宋体" w:cs="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（十四）物业管理。</w:t>
      </w:r>
      <w:r>
        <w:rPr>
          <w:rFonts w:hint="eastAsia" w:ascii="宋体" w:hAnsi="宋体" w:eastAsia="宋体" w:cs="宋体"/>
          <w:color w:val="000000"/>
          <w:sz w:val="24"/>
          <w:szCs w:val="24"/>
        </w:rPr>
        <w:t xml:space="preserve">从业人员1000人以下或营业收入5000万元以下的为中小微型企业。其中，从业人员</w:t>
      </w:r>
      <w:r>
        <w:rPr>
          <w:rFonts w:hint="eastAsia" w:ascii="宋体" w:hAnsi="宋体" w:eastAsia="宋体" w:cs="宋体"/>
          <w:color w:val="000000"/>
          <w:sz w:val="24"/>
          <w:szCs w:val="24"/>
        </w:rPr>
      </w:r>
      <w:r/>
    </w:p>
    <w:p>
      <w:pPr>
        <w:pStyle w:val="945"/>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（十五）租赁和商务服务业。</w:t>
      </w:r>
      <w:r>
        <w:rPr>
          <w:rFonts w:hint="eastAsia" w:ascii="宋体" w:hAnsi="宋体" w:eastAsia="宋体" w:cs="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（十六）其他未列明行业。</w:t>
      </w:r>
      <w:r>
        <w:rPr>
          <w:rFonts w:hint="eastAsia" w:ascii="宋体" w:hAnsi="宋体" w:eastAsia="宋体" w:cs="宋体"/>
          <w:color w:val="000000"/>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rPr>
      </w:r>
      <w:r/>
    </w:p>
    <w:p>
      <w:pPr>
        <w:pStyle w:val="945"/>
        <w:spacing w:line="360" w:lineRule="auto"/>
        <w:rPr>
          <w:rFonts w:hint="eastAsia" w:ascii="宋体" w:hAnsi="宋体" w:eastAsia="宋体" w:cs="宋体"/>
          <w:b/>
          <w:bCs/>
          <w:color w:val="000000"/>
          <w:sz w:val="24"/>
          <w:szCs w:val="24"/>
        </w:rPr>
        <w:outlineLvl w:val="0"/>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7、残疾人福利性单位声明函</w:t>
      </w:r>
      <w:r>
        <w:rPr>
          <w:rFonts w:hint="eastAsia" w:ascii="宋体" w:hAnsi="宋体" w:eastAsia="宋体" w:cs="宋体"/>
          <w:b/>
          <w:bCs/>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或者提供其他残疾人福利性单位制造的货物（不包括使用非残疾人福利性单位注册商标的货物）。</w:t>
      </w:r>
      <w:r>
        <w:rPr>
          <w:rFonts w:hint="eastAsia" w:ascii="宋体" w:hAnsi="宋体" w:eastAsia="宋体" w:cs="宋体"/>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本单位对上述声明的真实性负责。如有虚假，将依法承担相应责任。</w:t>
      </w:r>
      <w:r>
        <w:rPr>
          <w:rFonts w:hint="eastAsia" w:ascii="宋体" w:hAnsi="宋体" w:eastAsia="宋体" w:cs="宋体"/>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供应商（单位盖章）：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法定代表人或代理人（签字或盖章）：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rPr>
          <w:rFonts w:hint="eastAsia" w:ascii="宋体" w:hAnsi="宋体" w:eastAsia="宋体" w:cs="宋体"/>
          <w:color w:val="000000"/>
          <w:szCs w:val="24"/>
        </w:rPr>
      </w:r>
      <w:r/>
    </w:p>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color w:val="000000"/>
          <w:sz w:val="24"/>
          <w:szCs w:val="24"/>
        </w:rPr>
        <w:t xml:space="preserve">第四章 采购需求</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color w:val="000000"/>
          <w:sz w:val="24"/>
          <w:szCs w:val="24"/>
        </w:rPr>
      </w:pPr>
      <w:r/>
      <w:bookmarkStart w:id="8" w:name="_Toc13642116"/>
      <w:r>
        <w:rPr>
          <w:rFonts w:hint="eastAsia" w:ascii="宋体" w:hAnsi="宋体" w:eastAsia="宋体" w:cs="宋体"/>
          <w:bCs/>
          <w:color w:val="000000"/>
          <w:sz w:val="24"/>
          <w:szCs w:val="24"/>
        </w:rPr>
        <w:t xml:space="preserve">苏州正杰招投标咨询服务有限公司受苏州博物馆的委托，就其所需的</w:t>
      </w:r>
      <w:r>
        <w:rPr>
          <w:rFonts w:hint="eastAsia" w:ascii="宋体" w:hAnsi="宋体" w:eastAsia="宋体" w:cs="宋体"/>
          <w:color w:val="000000"/>
          <w:sz w:val="24"/>
          <w:szCs w:val="24"/>
        </w:rPr>
        <w:t xml:space="preserve">“从平凡到非凡：拿破仑与法兰西的变革时代”（暂定名）展览策展引进服务项目</w:t>
      </w:r>
      <w:r>
        <w:rPr>
          <w:rFonts w:hint="eastAsia" w:ascii="宋体" w:hAnsi="宋体" w:eastAsia="宋体" w:cs="宋体"/>
          <w:bCs/>
          <w:color w:val="000000"/>
          <w:sz w:val="24"/>
          <w:szCs w:val="24"/>
        </w:rPr>
        <w:t xml:space="preserve">以竞争性磋商方式组织政府采购，欢迎符合条件的供应商参加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一、项目编号：</w:t>
      </w:r>
      <w:r>
        <w:rPr>
          <w:rFonts w:hint="eastAsia" w:ascii="宋体" w:hAnsi="宋体" w:eastAsia="宋体" w:cs="宋体"/>
          <w:b/>
          <w:bCs/>
          <w:color w:val="000000"/>
          <w:sz w:val="24"/>
          <w:szCs w:val="24"/>
          <w:lang w:eastAsia="zh-CN"/>
        </w:rPr>
        <w:t xml:space="preserve">JSZC-320500-SZZJ-C2026-0008</w:t>
      </w:r>
      <w:r>
        <w:rPr>
          <w:rFonts w:hint="eastAsia" w:ascii="宋体" w:hAnsi="宋体" w:eastAsia="宋体" w:cs="宋体"/>
          <w:b/>
          <w:bCs/>
          <w:color w:val="000000"/>
          <w:sz w:val="24"/>
          <w:szCs w:val="24"/>
        </w:rPr>
        <w:t xml:space="preserve">号。</w:t>
      </w:r>
      <w:r>
        <w:rPr>
          <w:rFonts w:hint="eastAsia" w:ascii="宋体" w:hAnsi="宋体" w:eastAsia="宋体" w:cs="宋体"/>
          <w:b/>
          <w:bCs/>
          <w:color w:val="000000"/>
          <w:sz w:val="24"/>
          <w:szCs w:val="24"/>
        </w:rPr>
      </w:r>
      <w:r/>
    </w:p>
    <w:p>
      <w:pPr>
        <w:pStyle w:val="945"/>
        <w:ind w:firstLine="472"/>
        <w:spacing w:line="360" w:lineRule="auto"/>
        <w:rPr>
          <w:rFonts w:hint="eastAsia" w:ascii="宋体" w:hAnsi="宋体" w:eastAsia="宋体" w:cs="宋体"/>
          <w:b/>
          <w:bCs/>
          <w:color w:val="000000"/>
          <w:sz w:val="24"/>
          <w:szCs w:val="24"/>
        </w:rPr>
      </w:pPr>
      <w:r/>
      <w:bookmarkEnd w:id="8"/>
      <w:r>
        <w:rPr>
          <w:rFonts w:hint="eastAsia" w:ascii="宋体" w:hAnsi="宋体" w:eastAsia="宋体" w:cs="宋体"/>
          <w:b/>
          <w:bCs/>
          <w:color w:val="000000"/>
          <w:sz w:val="24"/>
          <w:szCs w:val="24"/>
        </w:rPr>
        <w:t xml:space="preserve">二、采购需求：</w:t>
      </w:r>
      <w:r>
        <w:rPr>
          <w:rFonts w:hint="eastAsia" w:ascii="宋体" w:hAnsi="宋体" w:eastAsia="宋体" w:cs="宋体"/>
          <w:b/>
          <w:bCs/>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（一）项目概况：</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苏州博物馆拟于2026年6月26日至</w:t>
      </w:r>
      <w:r>
        <w:rPr>
          <w:rFonts w:hint="eastAsia" w:ascii="宋体" w:hAnsi="宋体" w:eastAsia="宋体" w:cs="宋体"/>
          <w:bCs/>
          <w:color w:val="000000"/>
          <w:sz w:val="24"/>
          <w:szCs w:val="24"/>
        </w:rPr>
        <w:t xml:space="preserve">2026年</w:t>
      </w:r>
      <w:r>
        <w:rPr>
          <w:rFonts w:hint="eastAsia" w:ascii="宋体" w:hAnsi="宋体" w:eastAsia="宋体" w:cs="宋体"/>
          <w:color w:val="000000"/>
          <w:sz w:val="24"/>
          <w:szCs w:val="24"/>
        </w:rPr>
        <w:t xml:space="preserve">10月25日（暂定展览日期）引进拿破仑人物主题展览“从平凡到非凡：拿破仑与法兰西的变革时代”（暂定名）。该展览由拿破仑第十骑兵团协会策划并提供全部相应文物(以下简称:出借方)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总计展出文物不少于150组（约220件），并含相应辅助支架。</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（二）项目目标和采购内容：</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提供本项目全流程一体化服务，确保展览顺利落地并达到预期效果，具体核心服务内容如下：</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1、展览借展及授权：</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全展期文物借展费，包括内容设计、文物准备及囊匣制作等方面；取得拿破仑第十骑兵团协会对拿破仑人物主题展览“从平凡到非凡：拿破仑与法兰西的变革时代”（暂定名）展览在苏州博物馆展出的合法授权，确保授权内容完整有效，涵盖展览名称、设计风格、展项内容、多媒体素材等，解决授权相关的所有法律问题。</w:t>
      </w:r>
      <w:r>
        <w:rPr>
          <w:rFonts w:hint="eastAsia" w:ascii="宋体" w:hAnsi="宋体" w:eastAsia="宋体" w:cs="宋体"/>
          <w:color w:val="000000"/>
          <w:sz w:val="24"/>
          <w:szCs w:val="24"/>
        </w:rPr>
      </w:r>
      <w:r/>
    </w:p>
    <w:p>
      <w:pPr>
        <w:pStyle w:val="945"/>
        <w:ind w:firstLine="47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注：供应商须承诺成交后取得境外借展单位对本项目的授权，并在响应文件中提供承诺书，否则视为未实质性响应，作无效投标处理。</w:t>
      </w:r>
      <w:r>
        <w:rPr>
          <w:rFonts w:hint="eastAsia" w:ascii="宋体" w:hAnsi="宋体" w:eastAsia="宋体" w:cs="宋体"/>
          <w:b/>
          <w:bCs/>
          <w:color w:val="000000"/>
          <w:sz w:val="24"/>
          <w:szCs w:val="24"/>
        </w:rPr>
      </w:r>
      <w:r/>
    </w:p>
    <w:p>
      <w:pPr>
        <w:pStyle w:val="945"/>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2、保险服务：</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（1）承担所有文物的全程保险费用。</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（2）保险期限：预计为2026年5月18日至2026年11月30日（具体时间以采购人要求为准）。</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保范围：保险期间内非保单除外责任所致的保险标的在运输（包括转移和不超过60天的临时仓库）和全部展览过程中（“钉到钉”）所遭受的一切实体损坏或灭失（包括由于第三方引起的损失或损坏，及由物质损坏引起的贬值损失）。</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（4）出借方及其实体的受托人、高级管理人员、董事、代理及雇员，以及借用方，共同列入被保险人。</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（5）覆盖战争保险条款、恐怖活动扩展条款、罢工、暴动或民众骚乱扩展条款、放弃代位追偿扩展条款并特别约定。</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（6）在保险公司规定时效内完成付款，不延误保险生效时间，从而延误文物运输进度。</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供应商须在服务方案中提供针对本项目的承保方案，供应商需承诺成交后提供由正规保险公司出具的、受出借方及采购方共同认可的正式承保方案。若承保方案不能完整实现采购人要求的“保单保障范围”，供应商须承担由此造成的全部责任。</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3、展品包装服务：</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（1）提供符合出借方及文物运输包装要求的木箱、囊匣、必要的填充物、包装材料等，根据实际情况完成内外包装箱制作。</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（2）提供的包装箱符合文物运输的正规车辆、航空包板运输并经出借方相关人员认可；对特殊文物，如超重、特殊包装文物提前制定采购方认可的可行性方案。</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根据展品外包装箱尺寸，提前制作合理装车图，以避免多次装卸对展品造成伤害。展品轻拿轻放；在搬运前确认沿途没有障碍物，防止展品在搬运途中跌落、破损。展品装卸时采用人工操作；人工操作时必须保持箱体平衡。为保障文物安全，协助藏品操作的人员须为经验丰富的专业人员。针对特殊尺寸、重量的大型文物，提供专门的搬运设备和运输预案。</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（4）不对展品包装箱进行任何特殊标注（除装箱单标签）、涂画或改变内部布局。包装箱上不得出现博物馆的名称或任何能够说明内为文物展品的字样。</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（5）提供出借方指定要求的布展撤展材料及工具。</w:t>
      </w:r>
      <w:r>
        <w:rPr>
          <w:rFonts w:hint="eastAsia" w:ascii="宋体" w:hAnsi="宋体" w:eastAsia="宋体" w:cs="宋体"/>
          <w:color w:val="000000"/>
          <w:sz w:val="24"/>
          <w:szCs w:val="24"/>
        </w:rPr>
      </w:r>
      <w:r/>
    </w:p>
    <w:p>
      <w:pPr>
        <w:pStyle w:val="945"/>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单程运输（国际段&amp;国内段）要求：从法国到苏州，包括境外陆运、国际空运、国内陆运、清关等服务；从深圳保税区到苏州，包括国内陆运、清关等服务。根据馆方要求提取展品以及所需文物的包装、装卸、运输、保险、布撤展等相关配套服务，本项目总计展出文物不少于150组（约220件），具体实际展品数量以馆方借展清单为准（详见附件一）。</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（1）展品运输：</w:t>
      </w:r>
      <w:r>
        <w:rPr>
          <w:rFonts w:hint="eastAsia" w:ascii="宋体" w:hAnsi="宋体" w:eastAsia="宋体" w:cs="宋体"/>
          <w:color w:val="000000"/>
          <w:sz w:val="24"/>
          <w:szCs w:val="24"/>
        </w:rPr>
      </w:r>
      <w:r/>
    </w:p>
    <w:p>
      <w:pPr>
        <w:pStyle w:val="945"/>
        <w:ind w:firstLine="47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①出借方至境外机场（拟暂定法国巴黎戴高乐机场）陆运：全程监督操作、装卸运输、押运员协助、协助文物进出审核管理处办理审核手续、报关、报检及延期手续、进出海关监管库费等。</w:t>
      </w:r>
      <w:r>
        <w:rPr>
          <w:rFonts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②境外机场（拟暂定法国巴黎戴高乐机场）至上海浦东国际机场国际空运：巴黎至上海国际空运（直航、文物展览品高货值优先等级）。</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上海浦东国际机场至苏州博物馆陆运：境内机场监督操作、上海浦东国际机场至苏州博物馆装卸运输、押运员协助、协助文物进出审核管理处办理审核手续、报关、报检及延期手续、进出海关监管库费及苏州博物馆点交、布展。</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④深圳保税区至</w:t>
      </w:r>
      <w:r>
        <w:rPr>
          <w:rFonts w:hint="eastAsia" w:ascii="宋体" w:hAnsi="宋体" w:eastAsia="宋体" w:cs="宋体"/>
          <w:bCs/>
          <w:color w:val="000000"/>
          <w:sz w:val="24"/>
          <w:szCs w:val="24"/>
        </w:rPr>
        <w:t xml:space="preserve">苏州博物馆转运：</w:t>
      </w:r>
      <w:r>
        <w:rPr>
          <w:rFonts w:hint="eastAsia" w:ascii="宋体" w:hAnsi="宋体" w:eastAsia="宋体" w:cs="宋体"/>
          <w:color w:val="000000"/>
          <w:sz w:val="24"/>
          <w:szCs w:val="24"/>
        </w:rPr>
        <w:t xml:space="preserve">现场监督操作、深圳保税区至苏州博物馆装卸运输、押运员协助、协助文物进出审核管理处办理审核手续、报关、报检及延期手续、进出海关监管库费及苏州博物馆点交、布展。</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⑤苏州博物馆撤展：包括苏州博物馆撤展、包装、协助文物进出审核管理处办理审核手续、报关、报检及延期手续、进出海关监管库费等。</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注：</w:t>
      </w:r>
      <w:r>
        <w:rPr>
          <w:rFonts w:hint="eastAsia" w:ascii="宋体" w:hAnsi="宋体" w:eastAsia="宋体" w:cs="宋体"/>
          <w:color w:val="000000"/>
          <w:sz w:val="24"/>
          <w:szCs w:val="24"/>
        </w:rPr>
        <w:t xml:space="preserve">运离苏州博物馆：待撤展完成后，至迟不超过2026年11月30日须将所有展品运离苏州博物馆。</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（2）中国境内承运单位须具备自行办理国内、国际运输（陆运、空运）全部手续的能力。文物在中国境外的运输须为专业艺术品运输公司，受到出借方及借用方双方认可。</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境内外陆路运输全程须使用符合文物运输的正规车辆。陆运车辆必须为自有车辆，使用封闭式空调卡车，配备空气悬挂装置和全球定位系统跟踪，配备减震气垫、自动升降尾板装卸设备、车厢内独立运转温湿控设备、车厢内独立冷光源监控设备、整车可视化监控系统（车厢内及车厢外）、GPS定位系统、全轴气动悬架系统、安全中心控制室监控、手机实时监控、轨迹记录、防火设施、防滑设施等。陆运运输文物车辆应配备至少2名司机及1名技术人员。确保从起运地至场馆途中不会有停留点或保证文物始终有人看管。</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（4）境内运输车辆须具备海关监管资质，集装箱式货车车厢批准证明书及对应车辆在海关的备案号。</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（5）巴黎至上海国际空运，根据展览操作时间和法方确定运输线路、直航、文物展览品高货值优先等级、空运集装板整板不叠货。文物展品配载航班配合出借方押运人员乘坐的指定航班。</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（6）境内机场地面操作及监督按照文物展览品高货值优先等级操作。为押运人员办理境内外货站工作证，保证押运人员在境内外机场进行监督，供应商须全程配合。</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（7）在海关清关方面具有充分的经验，提供支持采购人完成文物及布展物料在中法双边进出境、延期、跨关区申报、协助文物进出审核管理处办理审核手续。</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（8）须指派一名经验丰富的</w:t>
      </w:r>
      <w:r>
        <w:rPr>
          <w:rFonts w:hint="eastAsia" w:ascii="宋体" w:hAnsi="宋体" w:eastAsia="宋体" w:cs="宋体"/>
          <w:color w:val="000000"/>
          <w:sz w:val="24"/>
          <w:szCs w:val="24"/>
        </w:rPr>
        <w:t xml:space="preserve">展品运输</w:t>
      </w:r>
      <w:r>
        <w:rPr>
          <w:rFonts w:hint="eastAsia" w:ascii="宋体" w:hAnsi="宋体" w:eastAsia="宋体" w:cs="宋体"/>
          <w:bCs/>
          <w:color w:val="000000"/>
          <w:sz w:val="24"/>
          <w:szCs w:val="24"/>
        </w:rPr>
        <w:t xml:space="preserve">负责人，负责与借用方及出借方的沟通、协调，确保信息畅通，并配备不少于6人的专业知识和经验的运输执行团队。</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（9）制定详细的项目进度表、风险预案，并定期向采购人汇报项目进展。</w:t>
      </w:r>
      <w:r>
        <w:rPr>
          <w:rFonts w:hint="eastAsia" w:ascii="宋体" w:hAnsi="宋体" w:eastAsia="宋体" w:cs="宋体"/>
          <w:bCs/>
          <w:color w:val="000000"/>
          <w:sz w:val="24"/>
          <w:szCs w:val="24"/>
        </w:rPr>
      </w:r>
      <w:r/>
    </w:p>
    <w:p>
      <w:pPr>
        <w:pStyle w:val="945"/>
        <w:ind w:firstLine="47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（10）起运前，运输方案须报经采购人审批同意后方可实施。</w:t>
      </w:r>
      <w:r>
        <w:rPr>
          <w:rFonts w:hint="eastAsia" w:ascii="宋体" w:hAnsi="宋体" w:eastAsia="宋体" w:cs="宋体"/>
          <w:b/>
          <w:bCs/>
          <w:color w:val="000000"/>
          <w:sz w:val="24"/>
          <w:szCs w:val="24"/>
        </w:rPr>
      </w:r>
      <w:r/>
    </w:p>
    <w:p>
      <w:pPr>
        <w:pStyle w:val="945"/>
        <w:ind w:firstLine="47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（11）供应商须在响应文件中提供承运单位的承运工作服务承诺和道路运输经营许可证，上述资料如有缺失、不符或不提供者，其响应文件将被拒绝。</w:t>
      </w:r>
      <w:r>
        <w:rPr>
          <w:rFonts w:hint="eastAsia" w:ascii="宋体" w:hAnsi="宋体" w:eastAsia="宋体" w:cs="宋体"/>
          <w:b/>
          <w:bCs/>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5、运输及布撤展期间人员服务要求：</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涵盖运输及报关期间所有布撤展法方押运员一切可能产生的住宿费用，包括在境外产生的住宿、上海至苏州运输期间可能产生的住宿、上海清关期间可能产生的住宿、在苏州布撤展期间的住宿，以及其他项目期间可能产生的住宿费用。</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（2）按规定文物进出境审核管理处两次审查所产生的所有费用，具体费用支出以实际情况为准。</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（3）布撤展人员需涵盖的费用包括：</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①提供所有布展押运员和撤展押运员全程的津贴费用（包括在途天数），每日津贴标准以出借方要求为准。</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②承担除个人支出外，超出每日津贴的费用，包括必要的当地交通费用、布撤展人员国内段地面交通费用，承担押运员的签证费等出入境杂费。</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③为所有布撤展押运员购买全程往返国际机票（具体舱位按合同要求执行）。</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④法方布撤展人员在境内外陆路运输全程押运随行，为押运人员提供全程协助工作。</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⑤法方布撤展押运员差旅费用及安排事宜等。</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（4）须配备1名全程法语翻译协助运输及布撤展工作。</w:t>
      </w:r>
      <w:r>
        <w:rPr>
          <w:rFonts w:hint="eastAsia" w:ascii="宋体" w:hAnsi="宋体" w:eastAsia="宋体" w:cs="宋体"/>
          <w:color w:val="000000"/>
          <w:sz w:val="24"/>
          <w:szCs w:val="24"/>
        </w:rPr>
      </w:r>
      <w:r/>
    </w:p>
    <w:p>
      <w:pPr>
        <w:pStyle w:val="945"/>
        <w:ind w:firstLine="480"/>
        <w:spacing w:line="360" w:lineRule="auto"/>
        <w:tabs>
          <w:tab w:val="left" w:pos="56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6、邀请法国拿破仑文化研究重点机构的专家举办一场专业配套学术讲座。</w:t>
      </w:r>
      <w:r>
        <w:rPr>
          <w:rFonts w:hint="eastAsia" w:ascii="宋体" w:hAnsi="宋体" w:eastAsia="宋体" w:cs="宋体"/>
          <w:color w:val="000000"/>
          <w:sz w:val="24"/>
          <w:szCs w:val="24"/>
          <w:lang w:val="en-US" w:eastAsia="zh-CN"/>
        </w:rPr>
      </w:r>
      <w:r/>
    </w:p>
    <w:p>
      <w:pPr>
        <w:pStyle w:val="945"/>
        <w:ind w:firstLine="480"/>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供应商须为本项目配备1名项目负责人，在项目实施过程中及时向采购人提供服务过程中的各项信息反馈，设计及实施等人员须满足实际需求，由采购人统一协调工作任务，并配备专业艺术品操作团队协助布撤展。</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三、综合说明：</w:t>
      </w:r>
      <w:r>
        <w:rPr>
          <w:rFonts w:hint="eastAsia" w:ascii="宋体" w:hAnsi="宋体" w:eastAsia="宋体" w:cs="宋体"/>
          <w:b/>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所提供的相关货物或服务应符合国家有关标准和规范，并遵循采购文件的要求，应达到或优于采购要求，并提供详细说明。若采购要求中涉及品牌或品牌导向，则仅作参考。响应文件必须如实进行实质性响应，量化指标必须列明具体数值。供应商在其响应文件中对于采购文件已提供以及未提供的货物或服务情况均须进行完整的阐述和说明，否则其响应文件将有被拒绝的可能。</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3、供应商应保证</w:t>
      </w:r>
      <w:r>
        <w:rPr>
          <w:rFonts w:hint="eastAsia" w:ascii="宋体" w:hAnsi="宋体" w:eastAsia="宋体" w:cs="宋体"/>
          <w:color w:val="000000"/>
          <w:sz w:val="24"/>
          <w:szCs w:val="24"/>
          <w:lang w:val="zh-CN"/>
        </w:rPr>
        <w:t xml:space="preserve">对所提供货物</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lang w:val="zh-CN"/>
        </w:rPr>
        <w:t xml:space="preserve">服务等知识产权方面的一切产权关系负全部责任</w:t>
      </w:r>
      <w:r>
        <w:rPr>
          <w:rFonts w:hint="eastAsia" w:ascii="宋体" w:hAnsi="宋体" w:eastAsia="宋体" w:cs="宋体"/>
          <w:color w:val="000000"/>
          <w:sz w:val="24"/>
          <w:szCs w:val="24"/>
        </w:rPr>
        <w:t xml:space="preserve">，不会产生因第三方提出侵犯其专利权、商标权或其它知识产权而引起的法律和经济纠纷，如因专利权、商标权或其它知识产权而引起法律和经济纠纷，由供应商承担所有相关责任。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需编制本项目的技术方案，包括但不限于：提供针对本项目的借展方案及其保障措施的说明；提供与出借方和借用方的对接衔接措施的说明；提供项目内容设计、文物准备及其保障措施的说明；提供展品包装方案及其安全保障措施的说明；提供运输方案及保障措施的说明；提供项目实施进度控制及其保障措施的说明；提供项目承保方案的说明；项目布展、撤展和配合展览实施及其保障措施的说明；提供项目运输及布撤展期间人员保障措施的说明；项目成员配备的说明；项目质量、服务、安全保障和突发应急处理措施的说明。</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5、供应商拟投入本项目的团队需具有履约能力，有服务项目人员，便于项目实施。</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6、供应商需有丰富的类似项目经验等内容。</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7、供应商在项目实施期间应无条件的接受采购人的监督管理，提出的质量问题要及时整改，整改完毕后通知采购人检查验收，合格后书面报送采购人备案。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8、与本次采购项目有关的质量、安全问题均由成交供应商终生负责，相关的人员、财产责任风险均由供应商全部承担，与他人无涉。</w:t>
      </w:r>
      <w:r>
        <w:rPr>
          <w:rFonts w:hint="eastAsia" w:ascii="宋体" w:hAnsi="宋体" w:eastAsia="宋体" w:cs="宋体"/>
          <w:bCs/>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9、项目地点：采购人指定地点（苏州大市范围内）。</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服务要求：</w:t>
      </w:r>
      <w:r>
        <w:rPr>
          <w:rFonts w:hint="eastAsia" w:ascii="宋体" w:hAnsi="宋体" w:eastAsia="宋体"/>
          <w:color w:val="000000"/>
          <w:sz w:val="24"/>
          <w:szCs w:val="24"/>
        </w:rPr>
        <w:t xml:space="preserve">对于采购人提出的服务情况，须在1小时以内响应，2小时内解决问题。在展览结束前提供项目整体免费质保</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45"/>
        <w:ind w:firstLine="480"/>
        <w:jc w:val="left"/>
        <w:spacing w:line="360" w:lineRule="auto"/>
        <w:rPr>
          <w:color w:val="000000"/>
        </w:rPr>
      </w:pPr>
      <w:r>
        <w:rPr>
          <w:rFonts w:hint="eastAsia" w:ascii="宋体" w:hAnsi="宋体" w:eastAsia="宋体" w:cs="宋体"/>
          <w:color w:val="000000"/>
          <w:sz w:val="24"/>
          <w:szCs w:val="24"/>
        </w:rPr>
        <w:t xml:space="preserve">11、验收要求：标的物须符合我国</w:t>
      </w:r>
      <w:r>
        <w:rPr>
          <w:rFonts w:hint="eastAsia" w:ascii="宋体" w:hAnsi="宋体" w:eastAsia="宋体" w:cs="宋体"/>
          <w:color w:val="000000"/>
          <w:sz w:val="24"/>
          <w:szCs w:val="24"/>
        </w:rPr>
        <w:t xml:space="preserve">最新颁布的与之相关的技术规范与标准，并同时满足采购文件要求和成交供应商所作承诺。在供应商完成全部采购内容并交付验收时，采购人应当自标的物交付验收之日起七个工作日内组织验收，并在验收通过后出具一份验收合格报告以作为采购人的验收依据，但不作为有关标的物质量、规格、数量或性能的最终检验结果。供应商须在其响应文件中提供一份验收办法，但此标准不得对抗相关部门的验收和采购文件中的验收要求，未提供验收办法的响应文件将被视为非实质性响应。供应商对货物或服务缺陷不予更正，采购人有权另请其他单位更正，所发生的费用由供应商承担。</w:t>
      </w:r>
      <w:r>
        <w:rPr>
          <w:color w:val="000000"/>
        </w:rPr>
      </w:r>
      <w:r/>
    </w:p>
    <w:p>
      <w:pPr>
        <w:pStyle w:val="979"/>
        <w:jc w:val="cente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12、凡涉及采购文件的补充说明和修改，均以苏州市政府采购网上公示信息为准。</w:t>
      </w: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第五章 合同主要条款</w:t>
      </w:r>
      <w:r>
        <w:rPr>
          <w:rFonts w:hint="eastAsia" w:ascii="宋体" w:hAnsi="宋体" w:eastAsia="宋体" w:cs="宋体"/>
          <w:b/>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项目名称：                       </w:t>
      </w:r>
      <w:r>
        <w:rPr>
          <w:rFonts w:hint="eastAsia" w:ascii="宋体" w:hAnsi="宋体" w:eastAsia="宋体" w:cs="宋体"/>
          <w:b/>
          <w:color w:val="000000"/>
          <w:sz w:val="24"/>
          <w:szCs w:val="24"/>
        </w:rPr>
      </w:r>
      <w:r/>
    </w:p>
    <w:p>
      <w:pPr>
        <w:pStyle w:val="945"/>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项目编号：</w:t>
      </w:r>
      <w:r>
        <w:rPr>
          <w:rFonts w:hint="eastAsia" w:ascii="宋体" w:hAnsi="宋体" w:eastAsia="宋体" w:cs="宋体"/>
          <w:color w:val="000000"/>
          <w:sz w:val="24"/>
          <w:szCs w:val="24"/>
        </w:rPr>
      </w:r>
      <w:r/>
    </w:p>
    <w:p>
      <w:pPr>
        <w:pStyle w:val="945"/>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5"/>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甲方（项目采购人）：</w:t>
      </w:r>
      <w:r>
        <w:rPr>
          <w:rFonts w:hint="eastAsia" w:ascii="宋体" w:hAnsi="宋体" w:eastAsia="宋体" w:cs="宋体"/>
          <w:b/>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p>
      <w:pPr>
        <w:pStyle w:val="945"/>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5"/>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乙方（成交供应商）：</w:t>
      </w:r>
      <w:r>
        <w:rPr>
          <w:rFonts w:hint="eastAsia" w:ascii="宋体" w:hAnsi="宋体" w:eastAsia="宋体" w:cs="宋体"/>
          <w:b/>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p>
      <w:pPr>
        <w:pStyle w:val="945"/>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甲方所需</w:t>
      </w:r>
      <w:r>
        <w:rPr>
          <w:rFonts w:hint="eastAsia" w:ascii="宋体" w:hAnsi="宋体" w:eastAsia="宋体" w:cs="宋体"/>
          <w:color w:val="000000"/>
          <w:sz w:val="24"/>
          <w:szCs w:val="24"/>
          <w:u w:val="single"/>
        </w:rPr>
        <w:t xml:space="preserve">“从平凡到非凡：拿破仑与法兰西的变革时代”（暂定名）展览策展引进服务</w:t>
      </w:r>
      <w:r>
        <w:rPr>
          <w:rFonts w:hint="eastAsia" w:ascii="宋体" w:hAnsi="宋体" w:eastAsia="宋体" w:cs="宋体"/>
          <w:color w:val="000000"/>
          <w:sz w:val="24"/>
          <w:szCs w:val="24"/>
        </w:rPr>
        <w:t xml:space="preserve">项目经</w:t>
      </w:r>
      <w:r>
        <w:rPr>
          <w:rFonts w:hint="eastAsia" w:ascii="宋体" w:hAnsi="宋体" w:eastAsia="宋体" w:cs="宋体"/>
          <w:color w:val="000000"/>
          <w:sz w:val="24"/>
          <w:szCs w:val="24"/>
          <w:u w:val="single"/>
        </w:rPr>
        <w:t xml:space="preserve">苏州正杰招投标咨询服务有限公司</w:t>
      </w:r>
      <w:r>
        <w:rPr>
          <w:rFonts w:hint="eastAsia" w:ascii="宋体" w:hAnsi="宋体" w:eastAsia="宋体" w:cs="宋体"/>
          <w:color w:val="000000"/>
          <w:sz w:val="24"/>
          <w:szCs w:val="24"/>
        </w:rPr>
        <w:t xml:space="preserve">以竞争性磋商方式进行采购，并依法确定乙方为成交供应商。根据《中华人民共和国民法典》和《中华人民共和国政府采购法》等有关法律法规，为明确甲方和乙方采购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一、合同文件</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以下文件是构成本合同不可分割的部分：</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（一）本项目采购文件；</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（二）乙方响应文件；</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（三）合同条款；</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（四）乙方做出的有关澄清、说明或者补正文件（若有）；</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（五）确定乙方的文件（包括但不限于成交通知书等）；</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（六）本合同附件（若有）。</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二、服务要求</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本合同项下乙方所提供的服务内容为：详见采购文件中的采购需求。</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三、合同金额</w:t>
      </w:r>
      <w:r>
        <w:rPr>
          <w:rFonts w:hint="eastAsia" w:ascii="宋体" w:hAnsi="宋体" w:eastAsia="宋体" w:cs="宋体"/>
          <w:b/>
          <w:color w:val="000000"/>
          <w:sz w:val="24"/>
          <w:szCs w:val="24"/>
        </w:rPr>
      </w:r>
      <w:r/>
    </w:p>
    <w:p>
      <w:pPr>
        <w:pStyle w:val="945"/>
        <w:ind w:firstLine="482"/>
        <w:spacing w:line="360" w:lineRule="auto"/>
        <w:rPr>
          <w:rFonts w:hint="eastAsia" w:ascii="宋体" w:hAnsi="宋体" w:eastAsia="宋体" w:cs="宋体"/>
          <w:b/>
          <w:color w:val="000000"/>
          <w:sz w:val="24"/>
          <w:szCs w:val="24"/>
          <w:u w:val="single"/>
        </w:rPr>
      </w:pPr>
      <w:r/>
      <w:bookmarkStart w:id="9" w:name="_Hlk56427584"/>
      <w:r>
        <w:rPr>
          <w:rFonts w:hint="eastAsia" w:ascii="宋体" w:hAnsi="宋体" w:eastAsia="宋体" w:cs="宋体"/>
          <w:b/>
          <w:color w:val="000000"/>
          <w:sz w:val="24"/>
          <w:szCs w:val="24"/>
        </w:rPr>
        <w:t xml:space="preserve">合同总金额为</w:t>
      </w:r>
      <w:r>
        <w:rPr>
          <w:rFonts w:hint="eastAsia" w:ascii="宋体" w:hAnsi="宋体" w:eastAsia="宋体" w:cs="宋体"/>
          <w:b/>
          <w:color w:val="000000"/>
          <w:sz w:val="24"/>
          <w:szCs w:val="24"/>
          <w:u w:val="single"/>
        </w:rPr>
        <w:t xml:space="preserve">人民币          元，大写：        。</w:t>
      </w:r>
      <w:r>
        <w:rPr>
          <w:rFonts w:hint="eastAsia" w:ascii="宋体" w:hAnsi="宋体" w:eastAsia="宋体" w:cs="宋体"/>
          <w:b/>
          <w:color w:val="000000"/>
          <w:sz w:val="24"/>
          <w:szCs w:val="24"/>
          <w:u w:val="single"/>
        </w:rPr>
      </w:r>
      <w:r/>
    </w:p>
    <w:p>
      <w:pPr>
        <w:pStyle w:val="1053"/>
        <w:ind w:firstLine="482"/>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t xml:space="preserve">合同总金额包括完成所有采购内容以及本项目所需的劳务支出、配套费用、保险费、仓储费、包装费、运输费、保险费、税费、代理服务费及服务相关等所发生的全部费用以及乙方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hAnsi="宋体" w:eastAsia="宋体" w:cs="宋体"/>
          <w:b/>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四、付款约定</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bookmarkEnd w:id="9"/>
      <w:r>
        <w:rPr>
          <w:rFonts w:hint="eastAsia" w:ascii="宋体" w:hAnsi="宋体" w:eastAsia="宋体" w:cs="宋体"/>
          <w:bCs/>
          <w:color w:val="000000"/>
          <w:sz w:val="24"/>
          <w:szCs w:val="24"/>
        </w:rPr>
        <w:t xml:space="preserve">1、甲方根据乙方在本合同中所提供银行开户信息转账支付。</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乙方开户名称：</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银行账号：</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2、付款步骤：</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合同生效后，由甲方在15个工作日内向乙方支付合同金额的30％作为预付款；</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（2）待展览开幕后，由甲方在15个工作日内向乙方支付合同金额的20％；</w:t>
      </w:r>
      <w:r>
        <w:rPr>
          <w:rFonts w:hint="eastAsia" w:ascii="宋体" w:hAnsi="宋体" w:eastAsia="宋体" w:cs="宋体"/>
          <w:bCs/>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（3）待文物撤展工作完成</w:t>
      </w:r>
      <w:r>
        <w:rPr>
          <w:rFonts w:hint="eastAsia" w:ascii="宋体" w:hAnsi="宋体" w:eastAsia="宋体" w:cs="宋体"/>
          <w:bCs/>
          <w:color w:val="000000"/>
          <w:sz w:val="24"/>
          <w:szCs w:val="24"/>
          <w:lang w:eastAsia="zh-CN"/>
        </w:rPr>
        <w:t xml:space="preserve">，经甲方验收合格</w:t>
      </w:r>
      <w:r>
        <w:rPr>
          <w:rFonts w:hint="eastAsia" w:ascii="宋体" w:hAnsi="宋体" w:eastAsia="宋体" w:cs="宋体"/>
          <w:bCs/>
          <w:color w:val="000000"/>
          <w:sz w:val="24"/>
          <w:szCs w:val="24"/>
        </w:rPr>
        <w:t xml:space="preserve">且无质量问题遗留后，由甲方在15个工作日内向乙方支付合同金额的50％。</w:t>
      </w:r>
      <w:r>
        <w:rPr>
          <w:rFonts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注：甲方每次付款前，乙方均应当向甲方开具等额、合法的发票，否则甲方有权延迟付款且无须承担任何责任。</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五、服务履行地点、期限</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1、服务履行地点：</w:t>
      </w:r>
      <w:r>
        <w:rPr>
          <w:rFonts w:hint="eastAsia" w:ascii="宋体" w:hAnsi="宋体" w:eastAsia="宋体" w:cs="宋体"/>
          <w:color w:val="000000"/>
          <w:sz w:val="24"/>
          <w:szCs w:val="24"/>
        </w:rPr>
        <w:t xml:space="preserve">甲方指定地点（苏州大市范围内）</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2、服务期限：</w:t>
      </w:r>
      <w:r>
        <w:rPr>
          <w:rFonts w:hint="eastAsia" w:ascii="宋体" w:hAnsi="宋体" w:eastAsia="宋体" w:cs="宋体"/>
          <w:color w:val="000000"/>
          <w:sz w:val="24"/>
          <w:szCs w:val="24"/>
        </w:rPr>
        <w:t xml:space="preserve">以下为暂定时间，具体时间以甲方要求为准：</w:t>
      </w:r>
      <w:r>
        <w:rPr>
          <w:rFonts w:ascii="宋体" w:hAnsi="宋体" w:eastAsia="宋体" w:cs="宋体"/>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法国至苏州博物馆转运：预计2026年6月1日完成。</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（2）深圳保税区至苏州博物馆转运：预计2026年6月1日完成。</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（3）苏州博物馆布展：预计2026年6月24日前完成。</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（4）苏州博物馆展览：预计2026年6月26日至2026年10月25日。</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（5）苏州博物馆撤展：预计2026年10月26日至2026年11月5日。</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六、服务要求</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olor w:val="000000"/>
          <w:sz w:val="24"/>
          <w:szCs w:val="24"/>
        </w:rPr>
        <w:t xml:space="preserve">对于甲方提出的服务情况，须在1小时以内响应，2小时内解决问题。在展览结束前提供项目整体免费质保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七、验收</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1、验收要求参照《江苏省政府采购履约验收管理办法》相关要求执行。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2、验收标准：本合同政府采购招标文件中项目招标书的各项标准和要求。</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3、任一项验收不合格的，乙方应负责在甲方限定的期限内完成整改，因整改而导致的费用和损失由乙方自行承担，若导致项目逾期的，乙方承担逾期违约责任。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4、甲方所有验收意见将以书面形式做出并加盖甲方公章，因此除非甲方书面明示通过验收，否则任何其他行为均不代表甲方已验收合格。</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八、服务质量</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1、乙方应保证提供给甲方的服务完全符合本项目采购文件规定的服务标准。</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3、乙方保证提供的服务符合中华人民共和国国家及行业的安全质量标准、环保标准中之较高者。</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hint="eastAsia" w:ascii="宋体" w:hAnsi="宋体" w:eastAsia="宋体" w:cs="宋体"/>
          <w:bCs/>
          <w:color w:val="000000"/>
          <w:sz w:val="24"/>
          <w:szCs w:val="24"/>
        </w:rPr>
      </w:r>
      <w:r/>
    </w:p>
    <w:p>
      <w:pPr>
        <w:pStyle w:val="945"/>
        <w:ind w:firstLine="482"/>
        <w:spacing w:line="360" w:lineRule="auto"/>
        <w:rPr>
          <w:rFonts w:ascii="宋体" w:hAnsi="宋体" w:eastAsia="宋体" w:cs="宋体"/>
          <w:bCs/>
          <w:color w:val="000000"/>
          <w:sz w:val="24"/>
          <w:szCs w:val="24"/>
        </w:rPr>
      </w:pPr>
      <w:r>
        <w:rPr>
          <w:rFonts w:hint="eastAsia" w:ascii="宋体" w:hAnsi="宋体" w:eastAsia="宋体" w:cs="宋体"/>
          <w:b/>
          <w:color w:val="000000"/>
          <w:sz w:val="24"/>
          <w:szCs w:val="24"/>
        </w:rPr>
        <w:t xml:space="preserve">九、履约保证金：无。</w:t>
      </w:r>
      <w:r>
        <w:rPr>
          <w:rFonts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十、违约责任</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合同一方不履行合同义务或者履行合同义务不符合约定的，应当承担继续履行、采取补救措施或者赔偿损失等违约责任。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1、甲方违约责任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在合同生效后，甲方无故要求终止服务的，应向乙方偿付合同总价款的5％，作为违约金，违约金不足以补偿损失的，乙方有权要求甲方补足。</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甲方逾期付款的应按照逾期付款金额的每天万分之四支付逾期付款违约金。</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 甲方违反合同约定，拒绝接受乙方交付的合格服务的，应当承担乙方由此造成的损失。</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2、乙方违约责任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 乙方不能服务（逾期超过24小时视为不能服务），或服务不合格从而影响甲方按期正常使用的，甲方有权解除合同，乙方向甲方赔偿合同总价款5％的违约金，违约金不足以补偿损失的甲方有权要求乙方补足。</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3、如果出现政府采购监管部门在处理投诉事项期间，通知甲方暂停采购活动的情形，或者询问或质疑事项可能影响最终成交结果的，导致甲方中止履行合同的情形，均不视为甲方违约。</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十一、合同的解除和转让</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1、甲方和乙方协商一致，可以解除合同。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2、有下列情形之一，合同一方可以解除合同：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（1）因不可抗力致使不能实现合同目的，未受不可抗力影响的一方有权解除合同；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（2）采购文件约定的解除合同的情形。</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3、政府采购合同继续履行将损害国家利益和社会公共利益，甲方有权变更、中止或者终止、解除合同。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4、乙方提交的投标材料虚假，或者乙方故意隐瞒足以导致不能中标的事实被发现的，甲方可以单方解除本合同，由此造成甲方的损失由乙方承担赔偿（包括但不限于诉讼费、合理律师费等）。</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5、本合同不得以任何形式转让，否则视为乙方违约，甲方可以单方解除本合同，由此造成甲方的损失由乙方承担赔偿（包括但不限于诉讼费、合理律师费等）。</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6、本合同未经甲方书面同意不得分包，否则视为乙方违约，甲方可以单方解除本合同，由此造成甲方的损失由乙方承担赔偿（包括但不限于诉讼费、合理律师费等）。</w:t>
      </w:r>
      <w:r>
        <w:rPr>
          <w:rFonts w:hint="eastAsia" w:ascii="宋体" w:hAnsi="宋体" w:eastAsia="宋体" w:cs="宋体"/>
          <w:bCs/>
          <w:color w:val="000000"/>
          <w:sz w:val="24"/>
          <w:szCs w:val="24"/>
        </w:rPr>
      </w:r>
      <w:r/>
    </w:p>
    <w:p>
      <w:pPr>
        <w:pStyle w:val="1041"/>
        <w:ind w:firstLine="480"/>
        <w:rPr>
          <w:rFonts w:hint="eastAsia" w:hAnsi="宋体" w:cs="宋体"/>
          <w:color w:val="000000"/>
        </w:rPr>
      </w:pPr>
      <w:r>
        <w:rPr>
          <w:rFonts w:hint="eastAsia" w:hAnsi="宋体" w:cs="宋体"/>
          <w:color w:val="000000"/>
          <w:szCs w:val="24"/>
        </w:rPr>
        <w:t xml:space="preserve">7、有权解除合同的一方，应当在违约事实或不可抗力发生之后三十天内书面通知对方以主张解除合同，合同在书面通知到达对方时解除。</w:t>
      </w:r>
      <w:r>
        <w:rPr>
          <w:rFonts w:hint="eastAsia" w:hAnsi="宋体" w:cs="宋体"/>
          <w:color w:val="000000"/>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十二、不可抗力</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1、不可抗力指下列事件：战争、动乱、瘟疫、严重火灾、洪水、地震、风暴或其他自然灾害，以及本合同各方不可预见、不可防止并不能避免或克服的一切其他因素及事件。</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4、合同各方应根据不可抗力对本合同履行的影响程度，协商确定是否终止本合同，或是继续履行本合同。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本合同在执行过程中如遇政府征用土地（本合同中规定的养护地点）或其他甲方不能预见的情形发生致使本合同无法履行，应视为不可抗力事件，甲方免责。本合同终止后甲方应支付乙方实际履行时间（天数）的服务款项（单价不予调整）。</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十三、保密条款</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1、任何一方对其获知的本合同及附件中其他各方的商业秘密和国家秘密等非公开信息负有保密义务。</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十四、联系方式</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3、上述发出通知、回复的费用由发出一方承担。</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bookmarkStart w:id="10" w:name="_Toc18683"/>
      <w:r/>
      <w:bookmarkStart w:id="11" w:name="_Toc32454"/>
      <w:r/>
      <w:bookmarkStart w:id="12" w:name="_Toc26807"/>
      <w:r/>
      <w:bookmarkStart w:id="13" w:name="_Toc30329"/>
      <w:r/>
      <w:bookmarkStart w:id="14" w:name="_Toc9497"/>
      <w:r/>
      <w:bookmarkStart w:id="15" w:name="_Toc51257766"/>
      <w:r>
        <w:rPr>
          <w:rFonts w:hint="eastAsia" w:ascii="宋体" w:hAnsi="宋体" w:eastAsia="宋体" w:cs="宋体"/>
          <w:b/>
          <w:color w:val="000000"/>
          <w:sz w:val="24"/>
          <w:szCs w:val="24"/>
        </w:rPr>
        <w:t xml:space="preserve">十五、争议的解决</w:t>
      </w:r>
      <w:bookmarkEnd w:id="10"/>
      <w:r/>
      <w:bookmarkEnd w:id="11"/>
      <w:r/>
      <w:bookmarkEnd w:id="12"/>
      <w:r/>
      <w:bookmarkEnd w:id="13"/>
      <w:r/>
      <w:bookmarkEnd w:id="14"/>
      <w:r/>
      <w:bookmarkEnd w:id="15"/>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与本合同有关的一切争议，双方应通过友好协商解决。如果经协商不能达成协议，可以向甲方所在地有管辖权的人民法院起诉。</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十六、合同生效及其他</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1、本合同经甲乙双方签字盖章之日起生效。</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合同系指本文件及其附件中的所有部分，采购文件、成交的响应文件、成交通知书、乙方在招标过程中的澄清和承诺等为本合同不可缺少的组成部分。本合同履行过程中发生相关修改内容，须符合《中华人民共和国政府采购法》和相关法律法规规定；补充协议作为本合同不可分割的一部分。</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3、本合同壹式肆份，甲乙双方各执壹份，采购代理机构贰份，具有同等法律效力。</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4、本合同应按照中华人民共和国的现行法律进行解释。</w:t>
      </w:r>
      <w:r>
        <w:rPr>
          <w:rFonts w:hint="eastAsia" w:ascii="宋体" w:hAnsi="宋体" w:eastAsia="宋体" w:cs="宋体"/>
          <w:bCs/>
          <w:color w:val="000000"/>
          <w:sz w:val="24"/>
          <w:szCs w:val="24"/>
        </w:rPr>
      </w:r>
      <w:r/>
    </w:p>
    <w:p>
      <w:pPr>
        <w:pStyle w:val="97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    方：                                乙    方：</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名称（公章）：                              名称（公章）：</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法定代表人/负责人：                       法定代表人/负责人：</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或授权代理人                              或授权代理人：</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（签字）                                 （签字）</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sz w:val="24"/>
          <w:szCs w:val="24"/>
        </w:rPr>
        <w:t xml:space="preserve">签订日期：                                签订日期：</w:t>
      </w:r>
      <w:r>
        <w:rPr>
          <w:rFonts w:hint="eastAsia" w:ascii="宋体" w:hAnsi="宋体" w:eastAsia="宋体" w:cs="宋体"/>
          <w:b/>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第六章 评审方法及评审标准</w:t>
      </w:r>
      <w:r>
        <w:rPr>
          <w:rFonts w:hint="eastAsia" w:ascii="宋体" w:hAnsi="宋体" w:eastAsia="宋体" w:cs="宋体"/>
          <w:b/>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一、评审方法</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15％（权重），技术与质量及其它占85％（权重）。</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6、磋商小组对最后报价进行复核，报价以大写为准。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rPr>
          <w:rFonts w:hint="eastAsia" w:ascii="宋体" w:hAnsi="宋体" w:eastAsia="宋体" w:cs="宋体"/>
          <w:b/>
          <w:bCs/>
          <w:color w:val="000000"/>
          <w:sz w:val="24"/>
          <w:szCs w:val="24"/>
        </w:rPr>
        <w:t xml:space="preserve">评分标准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rPr>
      </w:pPr>
      <w:r>
        <w:rPr>
          <w:rFonts w:hint="eastAsia" w:ascii="宋体" w:hAnsi="宋体" w:eastAsia="宋体" w:cs="宋体"/>
          <w:color w:val="000000"/>
          <w:sz w:val="24"/>
          <w:szCs w:val="24"/>
        </w:rPr>
        <w:t xml:space="preserve">总分值为100分，评审因素及各比重如下：价格分值占总分值的比重为15％（权重），技术及其他分值占总分值的比重为85％（权重）。</w:t>
      </w:r>
      <w:r>
        <w:rPr>
          <w:rFonts w:hint="eastAsia" w:ascii="宋体" w:hAnsi="宋体" w:eastAsia="宋体" w:cs="宋体"/>
          <w:color w:val="000000"/>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（一）价格得分（15分）</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第一步：响应报价（最终报价）不超过采购预算价格及最高限价的为有效报价，超出此范围的响应报价视为无效，其响应文件不进行评审，也不得标。</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第二步：以满足采购文件实质性要求且响应价格最低的有效报价为评标基准价，其价格分为满分，其他有效报价的价格分统一按照下列公式计算（计算结果四舍五入保留两位小数）：</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响应报价得分＝（评标基准价/最终报价）×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（二）技术及其他分值：85分</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1、提供针对本项目的借展</w:t>
      </w:r>
      <w:r>
        <w:rPr>
          <w:rFonts w:hint="eastAsia" w:ascii="宋体" w:hAnsi="宋体" w:eastAsia="宋体" w:cs="宋体"/>
          <w:color w:val="000000"/>
          <w:sz w:val="24"/>
          <w:szCs w:val="24"/>
        </w:rPr>
        <w:t xml:space="preserve">方案</w:t>
      </w:r>
      <w:r>
        <w:rPr>
          <w:rFonts w:hint="eastAsia" w:ascii="宋体" w:hAnsi="宋体" w:eastAsia="宋体"/>
          <w:color w:val="000000"/>
          <w:sz w:val="24"/>
          <w:szCs w:val="24"/>
        </w:rPr>
        <w:t xml:space="preserve">及其保障措施的</w:t>
      </w:r>
      <w:r>
        <w:rPr>
          <w:rFonts w:hint="eastAsia" w:ascii="宋体" w:hAnsi="宋体" w:eastAsia="宋体" w:cs="宋体"/>
          <w:color w:val="000000"/>
          <w:sz w:val="24"/>
          <w:szCs w:val="24"/>
        </w:rPr>
        <w:t xml:space="preserve">说明（8</w:t>
      </w:r>
      <w:r>
        <w:rPr>
          <w:rFonts w:ascii="宋体" w:hAnsi="宋体" w:eastAsia="宋体" w:cs="宋体"/>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方案内容详细完整、针对性可行性强、各项措施标准规范的得8分；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方案内容较为完整、针对性可行性一般、各项措施基本规范的5分；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方案内容简单笼统、针对性可行性弱、各项措施规范性不足的2分。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本项最高8分，未提供内容的不得分。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2、提供与出借方和借用方的对接衔接措施的说明</w:t>
      </w: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方案考虑全面、安全可靠、衔接畅通、针对性强，各项措施标准规范的得8分，</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方案较为全面、基本安全、衔接较为畅通、针对性一般，各项措施基本规范的5分；</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方案简单笼统、安全性衔接性弱，各项措施规范性不足的2分。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本项最8分，不提供内容的不得分。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3、提供项目内容设计、文物准备及其保障措施的说明</w:t>
      </w: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方案内容详细完整、针对性可行性强、各项措施标准规范的得8分；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方案内容较为完整、针对性可行性一般、各项措施基本规范的5分；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方案内容简单笼统、针对性可行性弱、各项措施规范性不足的2分。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本项最高8分，未提供内容的不得分。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4、提供展品包装方案及其安全保障措施的说明</w:t>
      </w: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方案内容详细完整、针对性可行性强、保障措施规范</w:t>
      </w:r>
      <w:r>
        <w:rPr>
          <w:rFonts w:hint="eastAsia" w:ascii="宋体" w:hAnsi="宋体" w:eastAsia="宋体"/>
          <w:color w:val="000000"/>
          <w:sz w:val="24"/>
          <w:szCs w:val="24"/>
        </w:rPr>
        <w:t xml:space="preserve">的得8分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方案内容较为完整、针对性可行性一般、保障措施基本规范的得5分；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方案内容简单笼统、针对性可行性弱、保障措施规范性不足的得2分；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本项最高8分，</w:t>
      </w:r>
      <w:r>
        <w:rPr>
          <w:rFonts w:hint="eastAsia" w:ascii="宋体" w:hAnsi="宋体" w:eastAsia="宋体"/>
          <w:color w:val="000000"/>
          <w:sz w:val="24"/>
          <w:szCs w:val="24"/>
        </w:rPr>
        <w:t xml:space="preserve">不提供内容的不得分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5、提供运输方案及保障措施</w:t>
      </w:r>
      <w:r>
        <w:rPr>
          <w:rFonts w:hint="eastAsia" w:ascii="宋体" w:hAnsi="宋体" w:eastAsia="宋体"/>
          <w:color w:val="000000"/>
          <w:sz w:val="24"/>
          <w:szCs w:val="24"/>
        </w:rPr>
        <w:t xml:space="preserve">的说明，须包括但不限于</w:t>
      </w:r>
      <w:r>
        <w:rPr>
          <w:rFonts w:hint="eastAsia" w:ascii="宋体" w:hAnsi="宋体" w:eastAsia="宋体" w:cs="宋体"/>
          <w:color w:val="000000"/>
          <w:sz w:val="24"/>
          <w:szCs w:val="24"/>
        </w:rPr>
        <w:t xml:space="preserve">文物的运输方案、运输</w:t>
      </w:r>
      <w:r>
        <w:rPr>
          <w:rFonts w:hint="eastAsia" w:ascii="宋体" w:hAnsi="宋体" w:eastAsia="宋体" w:cs="宋体"/>
          <w:bCs/>
          <w:color w:val="000000"/>
          <w:sz w:val="24"/>
          <w:szCs w:val="24"/>
        </w:rPr>
        <w:t xml:space="preserve">计划</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搬运装卸方案</w:t>
      </w:r>
      <w:r>
        <w:rPr>
          <w:rFonts w:hint="eastAsia" w:ascii="宋体" w:hAnsi="宋体" w:eastAsia="宋体" w:cs="宋体"/>
          <w:color w:val="000000"/>
          <w:sz w:val="24"/>
          <w:szCs w:val="24"/>
        </w:rPr>
        <w:t xml:space="preserve">等</w:t>
      </w:r>
      <w:r>
        <w:rPr>
          <w:rFonts w:hint="eastAsia" w:ascii="宋体" w:hAnsi="宋体" w:eastAsia="宋体"/>
          <w:color w:val="000000"/>
          <w:sz w:val="24"/>
          <w:szCs w:val="24"/>
        </w:rPr>
        <w:t xml:space="preserve">（</w:t>
      </w:r>
      <w:r>
        <w:rPr>
          <w:rFonts w:ascii="宋体" w:hAnsi="宋体" w:eastAsia="宋体"/>
          <w:color w:val="000000"/>
          <w:sz w:val="24"/>
          <w:szCs w:val="24"/>
        </w:rPr>
        <w:t xml:space="preserve">10</w:t>
      </w:r>
      <w:r>
        <w:rPr>
          <w:rFonts w:hint="eastAsia" w:ascii="宋体" w:hAnsi="宋体" w:eastAsia="宋体"/>
          <w:color w:val="000000"/>
          <w:sz w:val="24"/>
          <w:szCs w:val="24"/>
        </w:rPr>
        <w:t xml:space="preserve">分）：</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方案内容详细完整、针对性可行性强、保障措施规范</w:t>
      </w:r>
      <w:r>
        <w:rPr>
          <w:rFonts w:hint="eastAsia" w:ascii="宋体" w:hAnsi="宋体" w:eastAsia="宋体"/>
          <w:color w:val="000000"/>
          <w:sz w:val="24"/>
          <w:szCs w:val="24"/>
        </w:rPr>
        <w:t xml:space="preserve">的得</w:t>
      </w:r>
      <w:r>
        <w:rPr>
          <w:rFonts w:ascii="宋体" w:hAnsi="宋体" w:eastAsia="宋体"/>
          <w:color w:val="000000"/>
          <w:sz w:val="24"/>
          <w:szCs w:val="24"/>
        </w:rPr>
        <w:t xml:space="preserve">1</w:t>
      </w:r>
      <w:r>
        <w:rPr>
          <w:rFonts w:hint="eastAsia" w:ascii="宋体" w:hAnsi="宋体" w:eastAsia="宋体"/>
          <w:color w:val="000000"/>
          <w:sz w:val="24"/>
          <w:szCs w:val="24"/>
        </w:rPr>
        <w:t xml:space="preserve">0分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方案内容较为完整、针对性可行性一般、保障措施基本规范的得7分；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方案内容简单笼统、针对性可行性弱、保障措施规范性不足的得4分；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本项最高10分，</w:t>
      </w:r>
      <w:r>
        <w:rPr>
          <w:rFonts w:hint="eastAsia" w:ascii="宋体" w:hAnsi="宋体" w:eastAsia="宋体"/>
          <w:color w:val="000000"/>
          <w:sz w:val="24"/>
          <w:szCs w:val="24"/>
        </w:rPr>
        <w:t xml:space="preserve">不提供内容的不得分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6、提供项目实施进度</w:t>
      </w:r>
      <w:r>
        <w:rPr>
          <w:rFonts w:hint="eastAsia" w:ascii="宋体" w:hAnsi="宋体" w:eastAsia="宋体" w:cs="宋体"/>
          <w:color w:val="000000"/>
          <w:sz w:val="24"/>
          <w:szCs w:val="24"/>
        </w:rPr>
        <w:t xml:space="preserve">控制</w:t>
      </w:r>
      <w:r>
        <w:rPr>
          <w:rFonts w:hint="eastAsia" w:ascii="宋体" w:hAnsi="宋体" w:eastAsia="宋体"/>
          <w:color w:val="000000"/>
          <w:sz w:val="24"/>
          <w:szCs w:val="24"/>
        </w:rPr>
        <w:t xml:space="preserve">及其保障措施的说明</w:t>
      </w:r>
      <w:r>
        <w:rPr>
          <w:rFonts w:hint="eastAsia" w:ascii="宋体" w:hAnsi="宋体" w:eastAsia="宋体" w:cs="宋体"/>
          <w:color w:val="000000"/>
          <w:sz w:val="24"/>
          <w:szCs w:val="24"/>
        </w:rPr>
        <w:t xml:space="preserve">（6</w:t>
      </w:r>
      <w:r>
        <w:rPr>
          <w:rFonts w:ascii="宋体" w:hAnsi="宋体" w:eastAsia="宋体" w:cs="宋体"/>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方案详细完整、进度控制科学性合理性强、进度保障措施有力的得6分；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方案较为完整、进度控制科学性合理性一般、进度保障措施一般的得4分；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方案简单笼统、进度控制科学性合理性弱、进度保障措施不足的得2分；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本项最高6分，不提供内容的不得分。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7、提供项目承保方案的说明</w:t>
      </w:r>
      <w:r>
        <w:rPr>
          <w:rFonts w:hint="eastAsia" w:ascii="宋体" w:hAnsi="宋体" w:eastAsia="宋体" w:cs="宋体"/>
          <w:color w:val="000000"/>
          <w:sz w:val="24"/>
          <w:szCs w:val="24"/>
        </w:rPr>
        <w:t xml:space="preserve">（6</w:t>
      </w:r>
      <w:r>
        <w:rPr>
          <w:rFonts w:ascii="宋体" w:hAnsi="宋体" w:eastAsia="宋体" w:cs="宋体"/>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方案内容详细完整、针对性可行性强、保障措施规范</w:t>
      </w:r>
      <w:r>
        <w:rPr>
          <w:rFonts w:hint="eastAsia" w:ascii="宋体" w:hAnsi="宋体" w:eastAsia="宋体"/>
          <w:color w:val="000000"/>
          <w:sz w:val="24"/>
          <w:szCs w:val="24"/>
        </w:rPr>
        <w:t xml:space="preserve">的得6分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方案内容较为完整、针对性可行性一般、保障措施基本规范的得4分；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方案内容简单笼统、针对性可行性弱、保障措施规范性不足的得2分；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本项最高6分，</w:t>
      </w:r>
      <w:r>
        <w:rPr>
          <w:rFonts w:hint="eastAsia" w:ascii="宋体" w:hAnsi="宋体" w:eastAsia="宋体"/>
          <w:color w:val="000000"/>
          <w:sz w:val="24"/>
          <w:szCs w:val="24"/>
        </w:rPr>
        <w:t xml:space="preserve">不提供内容的不得分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8、项目布展、撤展和配合展览实施</w:t>
      </w:r>
      <w:r>
        <w:rPr>
          <w:rFonts w:hint="eastAsia" w:ascii="宋体" w:hAnsi="宋体" w:eastAsia="宋体"/>
          <w:color w:val="000000"/>
          <w:sz w:val="24"/>
          <w:szCs w:val="24"/>
        </w:rPr>
        <w:t xml:space="preserve">及其保障措施的</w:t>
      </w:r>
      <w:r>
        <w:rPr>
          <w:rFonts w:hint="eastAsia" w:ascii="宋体" w:hAnsi="宋体" w:eastAsia="宋体" w:cs="宋体"/>
          <w:color w:val="000000"/>
          <w:sz w:val="24"/>
          <w:szCs w:val="24"/>
        </w:rPr>
        <w:t xml:space="preserve">说明（8分）：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方案内容详细完整、针对性可行性强、各项措施标准规范的得8分；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方案内容较为完整、针对性可行性一般、各项措施基本规范的5分；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方案内容简单笼统、针对性可行性弱、各项措施规范性不足的2分。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本项最高8分，未提供内容的不得分。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9、提供项目运输及布撤展期间人员保障措施的说明（6</w:t>
      </w:r>
      <w:r>
        <w:rPr>
          <w:rFonts w:ascii="宋体" w:hAnsi="宋体" w:eastAsia="宋体" w:cs="宋体"/>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45"/>
        <w:ind w:firstLine="482"/>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方案详细完整、措施针对性可行性强、保障有力的的得6分；</w:t>
      </w:r>
      <w:r>
        <w:rPr>
          <w:rFonts w:ascii="宋体" w:hAnsi="宋体" w:eastAsia="宋体" w:cs="宋体"/>
          <w:color w:val="000000"/>
          <w:sz w:val="24"/>
          <w:szCs w:val="24"/>
        </w:rPr>
      </w:r>
      <w:r/>
    </w:p>
    <w:p>
      <w:pPr>
        <w:pStyle w:val="945"/>
        <w:ind w:firstLine="482"/>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方案较为完整、措施针对性可行性一般、保障一般的得4分；</w:t>
      </w:r>
      <w:r>
        <w:rPr>
          <w:rFonts w:ascii="宋体" w:hAnsi="宋体" w:eastAsia="宋体" w:cs="宋体"/>
          <w:color w:val="000000"/>
          <w:sz w:val="24"/>
          <w:szCs w:val="24"/>
        </w:rPr>
      </w:r>
      <w:r/>
    </w:p>
    <w:p>
      <w:pPr>
        <w:pStyle w:val="945"/>
        <w:ind w:firstLine="482"/>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方案简单笼统、措施针对性可行性弱、保障不足的得2分；</w:t>
      </w:r>
      <w:r>
        <w:rPr>
          <w:rFonts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本项最高6分，</w:t>
      </w:r>
      <w:r>
        <w:rPr>
          <w:rFonts w:hint="eastAsia" w:ascii="宋体" w:hAnsi="宋体" w:eastAsia="宋体"/>
          <w:color w:val="000000"/>
          <w:sz w:val="24"/>
          <w:szCs w:val="24"/>
        </w:rPr>
        <w:t xml:space="preserve">不提供内容的不得分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10、项目成员配备的说明（6分）：</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人员配备合理、专业类别齐全、从业经验丰富、完全符合服务需要的得6分；</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人员配备较为合理、专业类别基本齐全、有过从业经验、基本满足服务需要的得4分；</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人员配备简单、专业类别不全、无从业经验、未能完全达到服务需要的得2分；</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本项最高6分，不提供内容的不得分。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11、项目质量、服务、安全保障和突发应急处理措施的说明（5分）：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方案详细完整、措施针对性可行性强、保障有力的的得5分；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方案较为完整、措施针对性可行性一般、保障一般的得3分；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方案简单笼统、措施针对性可行性弱、保障不足的得1分；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本项最高5分，不提供内容的不得分。</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12、提供自2023年1月1日至今（以合同签订日期为准），由供应商独立承担的类似项目业绩合同，响应文件中必须提供采购合同复印件，每份2分，最高得6分。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评审说明：其他评审未尽事宜由评审委员会根据有关规定讨论决定。</w:t>
      </w:r>
      <w:r>
        <w:rPr>
          <w:rFonts w:hint="eastAsia" w:ascii="宋体" w:hAnsi="宋体" w:eastAsia="宋体" w:cs="宋体"/>
          <w:color w:val="000000"/>
          <w:sz w:val="24"/>
          <w:szCs w:val="24"/>
        </w:rPr>
      </w:r>
      <w:r/>
    </w:p>
    <w:p>
      <w:pPr>
        <w:pStyle w:val="945"/>
        <w:ind w:firstLine="482"/>
        <w:spacing w:line="360" w:lineRule="auto"/>
        <w:rPr>
          <w:rStyle w:val="1132"/>
          <w:rFonts w:hint="eastAsia" w:ascii="宋体" w:hAnsi="宋体" w:eastAsia="宋体" w:cs="宋体"/>
          <w:b/>
          <w:color w:val="000000"/>
          <w:sz w:val="24"/>
          <w:szCs w:val="24"/>
        </w:rPr>
      </w:pPr>
      <w:r>
        <w:rPr>
          <w:rStyle w:val="1132"/>
          <w:rFonts w:hint="eastAsia" w:ascii="宋体" w:hAnsi="宋体" w:eastAsia="宋体" w:cs="宋体"/>
          <w:b/>
          <w:color w:val="000000"/>
          <w:sz w:val="24"/>
          <w:szCs w:val="24"/>
        </w:rPr>
        <w:t xml:space="preserve">三、政府采购政策： </w:t>
      </w:r>
      <w:r>
        <w:rPr>
          <w:rStyle w:val="1132"/>
          <w:rFonts w:hint="eastAsia" w:ascii="宋体" w:hAnsi="宋体" w:eastAsia="宋体" w:cs="宋体"/>
          <w:b/>
          <w:color w:val="000000"/>
          <w:sz w:val="24"/>
          <w:szCs w:val="24"/>
        </w:rPr>
      </w:r>
      <w:r/>
    </w:p>
    <w:p>
      <w:pPr>
        <w:pStyle w:val="945"/>
        <w:ind w:firstLine="480"/>
        <w:spacing w:line="360" w:lineRule="auto"/>
        <w:tabs>
          <w:tab w:val="left" w:pos="287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1、针对中小型企业的评审：</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（1）本项目专门面向中小企业采购。</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（3）本项目采购标的对应的中小企业划型标准规定所属行业为：</w:t>
      </w:r>
      <w:r>
        <w:rPr>
          <w:rFonts w:hint="eastAsia" w:ascii="宋体" w:hAnsi="宋体" w:eastAsia="宋体" w:cs="宋体"/>
          <w:b/>
          <w:bCs/>
          <w:color w:val="000000"/>
          <w:sz w:val="24"/>
          <w:szCs w:val="24"/>
        </w:rPr>
        <w:t xml:space="preserve">其他未列明行业</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Style w:val="1132"/>
          <w:rFonts w:hint="eastAsia" w:ascii="宋体" w:hAnsi="宋体" w:eastAsia="宋体" w:cs="宋体"/>
          <w:bCs/>
          <w:color w:val="000000"/>
          <w:sz w:val="24"/>
          <w:szCs w:val="24"/>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3、针对监狱企业的评审：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根据财政部、司法部《关于政府采购支持监狱企业发展有关问题的通知》（财库〔2014〕68号）的规定，对属于监狱企业的供应商给予评审：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4、针对残疾人福利性单位的评审：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根据财政部、民政部、中国残疾人联合会《关于促进残疾人就业政府采购政策的通知》（财库〔2017〕141号）</w:t>
      </w:r>
      <w:r>
        <w:rPr>
          <w:rFonts w:hint="eastAsia" w:ascii="宋体" w:hAnsi="宋体" w:eastAsia="宋体" w:cs="宋体"/>
          <w:bCs/>
          <w:color w:val="000000"/>
          <w:sz w:val="24"/>
          <w:szCs w:val="24"/>
        </w:rPr>
        <w:t xml:space="preserve">的规定</w:t>
      </w:r>
      <w:r>
        <w:rPr>
          <w:rFonts w:hint="eastAsia" w:ascii="宋体" w:hAnsi="宋体" w:eastAsia="宋体" w:cs="宋体"/>
          <w:color w:val="000000"/>
          <w:sz w:val="24"/>
          <w:szCs w:val="24"/>
        </w:rPr>
        <w:t xml:space="preserve">，对属于残疾人福利性单位的供应商给予评审：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根据供应商提供的《残疾人福利性单位声明函》。</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5、上述针对中小型企业、监狱企业和残疾人福利性单位的评审政策不重复享受。</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附件一：借展清单</w:t>
      </w:r>
      <w:r>
        <w:rPr>
          <w:rFonts w:hint="eastAsia" w:ascii="宋体" w:hAnsi="宋体" w:eastAsia="宋体" w:cs="宋体"/>
          <w:color w:val="000000"/>
          <w:sz w:val="24"/>
          <w:szCs w:val="24"/>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3165"/>
        <w:gridCol w:w="1065"/>
        <w:gridCol w:w="1230"/>
        <w:gridCol w:w="1110"/>
        <w:gridCol w:w="2306"/>
      </w:tblGrid>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名称</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材质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货值</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尺寸</w:t>
            </w:r>
            <w:r>
              <w:rPr>
                <w:rFonts w:hint="eastAsia" w:ascii="宋体" w:hAnsi="宋体" w:eastAsia="宋体" w:cs="宋体"/>
                <w:color w:val="000000"/>
                <w:sz w:val="24"/>
                <w:szCs w:val="24"/>
              </w:rPr>
            </w:r>
            <w:r/>
          </w:p>
        </w:tc>
      </w:tr>
      <w:tr>
        <w:trPr>
          <w:trHeight w:val="567"/>
        </w:trPr>
        <w:tc>
          <w:tcPr>
            <w:gridSpan w:val="6"/>
            <w:tcW w:w="9638" w:type="dxa"/>
            <w:vAlign w:val="center"/>
            <w:textDirection w:val="lrTb"/>
            <w:noWrap w:val="false"/>
          </w:tcPr>
          <w:p>
            <w:pPr>
              <w:pStyle w:val="945"/>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 xml:space="preserve">一：境内起运展品</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军服饰品</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20*12*3cm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军队帽子饰品</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15*13*3cm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军队帽子饰品</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4大2小</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14*11cm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调味篮</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玻璃银器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26*22cm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糖缸</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玻璃银器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14*10cm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酱料罐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玻璃银器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h11cm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酱料罐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玻璃银器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酱料罐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玻璃银器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果酱罐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玻璃银器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26*22cm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咖啡壶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银器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H28cm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糖缸</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银器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H15cm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奶壶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22*14cm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塞夫勒瓷盘子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拿破仑半身像（高迪撒作）</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34*25*15cm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拿破仑半身像（科隆坡作）</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57*45*20cm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根据皮埃尔的作品制作的沉睡的艾里安娜</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5600€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54*66*26cm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时间和金钱的寓言</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H：60cm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军官佩剑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三女神果盘</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45*35cm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一套两件康比涅城堡的瓷杯</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15*12*10cm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塞维利亚帝国时期的瓷杯一个</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6cm高</w:t>
            </w:r>
            <w:r>
              <w:rPr>
                <w:rFonts w:hint="eastAsia" w:ascii="宋体" w:hAnsi="宋体" w:eastAsia="宋体" w:cs="宋体"/>
                <w:color w:val="000000"/>
                <w:sz w:val="24"/>
                <w:szCs w:val="24"/>
              </w:rPr>
            </w:r>
            <w:r/>
          </w:p>
        </w:tc>
      </w:tr>
      <w:tr>
        <w:trPr>
          <w:trHeight w:val="567"/>
        </w:trPr>
        <w:tc>
          <w:tcPr>
            <w:gridSpan w:val="6"/>
            <w:tcW w:w="9638" w:type="dxa"/>
            <w:vAlign w:val="center"/>
            <w:textDirection w:val="lrTb"/>
            <w:noWrap w:val="false"/>
          </w:tcPr>
          <w:p>
            <w:pPr>
              <w:pStyle w:val="945"/>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 xml:space="preserve">二：境外起运展品</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瓜斯塔拉女公爵</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61*45</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《风雅的场面》</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水彩</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34*43.5CM</w:t>
            </w:r>
            <w:r>
              <w:rPr>
                <w:rFonts w:hint="eastAsia" w:ascii="宋体" w:hAnsi="宋体" w:eastAsia="宋体" w:cs="宋体"/>
                <w:color w:val="000000"/>
                <w:sz w:val="24"/>
                <w:szCs w:val="24"/>
              </w:rPr>
            </w:r>
            <w:r/>
          </w:p>
        </w:tc>
      </w:tr>
      <w:tr>
        <w:trPr>
          <w:trHeight w:val="59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轻骑兵官兵扁皮袋</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丝绒、金丝线</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33.3*29.5</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拿破仑皇帝迷你画</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25*21cm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弗里德兰战役</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61*50</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加冕场景</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92*69cm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奥地利瓦尔格纳战役</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106*82cm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法国之战</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96*70.5cm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弗鲁兰德战役</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58.5*56cm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艾斯林战役</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73*63cm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穿越阿尔卑斯山山脉的拿破仑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52*72.5cm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传奇的拿破仑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73*107cm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拿破仑与罗马王</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52*45.5cm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拿破仑亲笔信</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21*29cm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战争集结宣传单</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66*55cm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拿破仑与它的时代</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30*20cm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巴黎大区防卫图</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纸张</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88*61cm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迎接拿破仑灵柩回国</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24.1*41cm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约瑟芬皇后城堡</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26*35cm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执政时期的拿破仑立像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47cm*38cm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执政时期的拿破仑半身像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38.5*52</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拿破仑半身陶像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陶</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35*14*14cm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战马上的拿破仑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青铜大理石</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41*28</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拿破仑与约瑟芬</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19*15.5cm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拿破仑与露易丝</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21.5*22.5cm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迷你画拿破仑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青铜和银水晶</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高等国家安全部军官佩剑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白铜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100*14cm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轻骑兵军官佩剑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107*13cm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近卫军三星剑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100*14cm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骑兵挎包</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金属、皮革</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54*20*9cm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雄鸡旗杆装饰</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h29.5cm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雄鸡旗杆装饰</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黄铜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h26cm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士兵帽子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皮革</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44*15*14</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法国荣誉军团勋章</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8.9*6cm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迷你望远镜</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3.5*4cm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拿破仑公文包</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皮革</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34*29*2</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普鲁士元帅与威灵顿将军会面图b</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织锦</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18*6cm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拿破仑迷你画</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7.2*6.5</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红衣主教</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油画、铜框</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20*13cm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轻骑兵</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铜版画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37*32cm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拿破仑法典</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纸张</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13.5*9*3.5cm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杜伊勒丽宫草图</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纸张</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48*31cm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拿破仑兵种的服装设计</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纸张</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26.5*35cm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滑铁卢战役地图</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纸张</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17*11</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拿破仑圣赫纳拉岛纪念物</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织物、木质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33*27cm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风景高足糖缸</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风景高足大碗</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风景茶壶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风景奶壶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风景茶杯</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风景茶托</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宽12.7cm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皇家瓷器工坊人物茶壶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27.5h</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人物奶壶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人物大碗</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人物糖缸</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人物奶缸</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人物茶杯</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人物茶托</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拿破仑赛尔夫尔瓷瓶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宫廷钟表</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宫廷花瓶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宫廷花瓶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39cm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庇护七世教皇咖啡杯</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6*6cm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杯托</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宫廷盘子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12.5*7</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宫廷杯子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9*10cm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美帝奇花瓶</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38*16cm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宫廷香炉</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青铜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帝国时期画框</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木质描金</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30*25</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版画木雕</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木刻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12.5*10.5cm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迷你盒子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直径8.3</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将领们日常生活装外套</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纺织品</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100*45</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将领日常生活装外套</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纺织品</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100*45</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将领日常生活装外套</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纺织品</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110*50cm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将领日常生活装马甲</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纺织品</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57*67cm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贵族礼服</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1套3件</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丝绸</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上衣长68cm，宽36cm；内裙长：117cm，内裙宽：68cm；外裙长：80cm，外裙宽：87cm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宫廷装饰布</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织物</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64*426cm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主教弥撒装饰绶带</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金线织物</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73*15cm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圣赫纳拉岛回忆录</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27*18*5</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约瑟芬女皇与皇后</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纸张</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25*32*6</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拿破仑的历史</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35*22</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双星海军上将肩章和佩剑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金线织物，铜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15*8cm，1025*13cm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汉法拉丁文三语字典</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纸张</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30*31.5*1.2</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拿破仑一生</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纸张</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23*27cm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法国荣誉军团勋章</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维也纳约瑟芬瓷盘</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R=25cm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公安部佩剑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白铜</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100*14cm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宫廷挂镜子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木泥金</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184*84.5cm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红釉描金漆瓷瓶一对</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38*20cm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红釉描金高足碗</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红釉描金糖罐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h11.5*R9</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红釉描金茶杯</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R5.5*h7cm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红釉描金茶托盘</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R11.5cm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宫廷装饰瓷器</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48*50</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宫廷屏风</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木镀金</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69.5*62cm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夏尔-路易-拿破仑·波拿巴</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金属、大理石</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32*18cm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拿破仑皇帝一世半身雕像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大理石</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h58cm*45cm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拿破仑浮雕</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大理石</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42*31</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军队帽子模型</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皮革</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6*13cm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军队弹夹带</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皮革</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6*13cm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拿破仑近卫军帽</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皮革金属</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28.5cm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士兵帽子及盒子</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皮革与木制箱子</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44*15*14</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红釉描金大托盘</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瓷器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R48cm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钢琴</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木质</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215*140*62cm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跨越阿尔卑斯山圣伯纳隘口的拿破仑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83*99cm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63*79cm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拿破仑身着轻骑兵上校制服的肖像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37.5*42.5cm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27*21.5cm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拿破仑睡衣</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棉</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40*60cm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拿破仑时期宫庭椅</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实木、丝绸</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60*90cm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侍从武官肖像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水彩画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15.5*16.5cm（外框）</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9.5*10.5cm（画面）</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卡罗琳·穆拉王后肖像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纸板绘画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8.5*7.5cm（外框）</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5*4cm（画面）</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莫斯科河战役（博罗季诺战役）前夕的拿破仑半身像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74*87cm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59*72cm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拿破仑身着帝国卫队骑兵猎装</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木板画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30*25cm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20*15cm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拿破仑在雷根斯堡战役中脚部受伤习作</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81*97cm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着加冕礼服的拿破仑</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223.8*145cm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意大利国王拿破仑在米兰大教堂前的肖像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99*73.5cm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庇护七世肖像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116*92cm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87*72cm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那不勒斯女王卡洛琳·穆拉肖像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66*76cm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43*53cm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约阿希姆·缪拉骑马肖像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45.7*38cm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博阿尔内·欧仁亲王肖像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71.2*56.3cm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141</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身着帝国卫队骑兵制服的弗朗克</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152*120cm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95*128cm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142</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一位母亲和她的五个孩子的肖像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137*109cm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113*86cm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143</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波尔西亚公主的画像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61*78cm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144</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画家在画室中的自画像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35.5*44cm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145</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约瑟夫·富歇，奥特朗特公爵肖像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90*70cm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146</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一位细密画女画家的肖像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70*86cm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59*74cm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147</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博福尔特·埃勒芒家族肖像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98*128cm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148</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女高音歌唱家普菲弗的肖像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120*103cm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80*98cm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149</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拉德蓬特侯爵夫人与子女们</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195*142cm</w:t>
            </w:r>
            <w:r>
              <w:rPr>
                <w:rFonts w:hint="eastAsia" w:ascii="宋体" w:hAnsi="宋体" w:eastAsia="宋体" w:cs="宋体"/>
                <w:color w:val="000000"/>
                <w:sz w:val="24"/>
                <w:szCs w:val="24"/>
              </w:rPr>
            </w:r>
            <w:r/>
          </w:p>
        </w:tc>
      </w:tr>
      <w:tr>
        <w:trPr>
          <w:trHeight w:val="567"/>
        </w:trPr>
        <w:tc>
          <w:tcPr>
            <w:tcW w:w="762"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rPr>
                <w:rFonts w:hint="eastAsia" w:ascii="宋体" w:hAnsi="宋体" w:eastAsia="宋体" w:cs="宋体"/>
                <w:color w:val="000000"/>
                <w:sz w:val="24"/>
                <w:szCs w:val="24"/>
              </w:rPr>
            </w:r>
            <w:r/>
          </w:p>
        </w:tc>
        <w:tc>
          <w:tcPr>
            <w:tcW w:w="31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竖琴演奏家保琳·博耶的肖像</w:t>
            </w:r>
            <w:r>
              <w:rPr>
                <w:rFonts w:hint="eastAsia" w:ascii="宋体" w:hAnsi="宋体" w:eastAsia="宋体" w:cs="宋体"/>
                <w:color w:val="000000"/>
                <w:sz w:val="24"/>
                <w:szCs w:val="24"/>
              </w:rPr>
            </w:r>
            <w:r/>
          </w:p>
        </w:tc>
        <w:tc>
          <w:tcPr>
            <w:tcW w:w="1065"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油画</w:t>
            </w:r>
            <w:r>
              <w:rPr>
                <w:rFonts w:hint="eastAsia" w:ascii="宋体" w:hAnsi="宋体" w:eastAsia="宋体" w:cs="宋体"/>
                <w:color w:val="000000"/>
                <w:sz w:val="24"/>
                <w:szCs w:val="24"/>
              </w:rPr>
            </w:r>
            <w:r/>
          </w:p>
        </w:tc>
        <w:tc>
          <w:tcPr>
            <w:tcW w:w="1110"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50000€</w:t>
            </w:r>
            <w:r>
              <w:rPr>
                <w:rFonts w:hint="eastAsia" w:ascii="宋体" w:hAnsi="宋体" w:eastAsia="宋体" w:cs="宋体"/>
                <w:color w:val="000000"/>
                <w:sz w:val="24"/>
                <w:szCs w:val="24"/>
              </w:rPr>
            </w:r>
            <w:r/>
          </w:p>
        </w:tc>
        <w:tc>
          <w:tcPr>
            <w:tcW w:w="2306" w:type="dxa"/>
            <w:vAlign w:val="center"/>
            <w:textDirection w:val="lrTb"/>
            <w:noWrap w:val="false"/>
          </w:tcPr>
          <w:p>
            <w:pPr>
              <w:pStyle w:val="9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250*160cm</w:t>
            </w:r>
            <w:r>
              <w:rPr>
                <w:rFonts w:hint="eastAsia" w:ascii="宋体" w:hAnsi="宋体" w:eastAsia="宋体" w:cs="宋体"/>
                <w:color w:val="000000"/>
                <w:sz w:val="24"/>
                <w:szCs w:val="24"/>
              </w:rPr>
            </w:r>
            <w:r/>
          </w:p>
        </w:tc>
      </w:tr>
    </w:tbl>
    <w:p>
      <w:pPr>
        <w:pStyle w:val="945"/>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4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1906" w:h="16838" w:orient="portrait"/>
      <w:pgMar w:top="1134" w:right="1134" w:bottom="1134" w:left="1134" w:header="851"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Batang">
    <w:panose1 w:val="02010600040101010101"/>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政府采购文件                                              </w:t>
    </w:r>
    <w:r>
      <w:rPr>
        <w:rFonts w:hint="eastAsia" w:ascii="宋体" w:hAnsi="宋体" w:cs="宋体"/>
        <w:lang w:val="en-US" w:eastAsia="zh-CN"/>
      </w:rPr>
      <w:t xml:space="preserve"> </w:t>
    </w:r>
    <w:r>
      <w:rPr>
        <w:rFonts w:hint="eastAsia" w:ascii="宋体" w:hAnsi="宋体" w:cs="宋体"/>
      </w:rPr>
      <w:t xml:space="preserve">          </w:t>
    </w:r>
    <w:r>
      <w:rPr>
        <w:rFonts w:ascii="宋体" w:hAnsi="宋体"/>
      </w:rPr>
      <w:t xml:space="preserve"> </w:t>
    </w:r>
    <w:r>
      <w:rPr>
        <w:rFonts w:hint="eastAsia" w:ascii="宋体" w:hAnsi="宋体"/>
      </w:rPr>
      <w:t xml:space="preserve">项目编号：</w:t>
    </w:r>
    <w:r>
      <w:rPr>
        <w:rFonts w:hint="eastAsia" w:ascii="宋体" w:hAnsi="宋体" w:cs="宋体"/>
        <w:lang w:eastAsia="zh-CN"/>
      </w:rPr>
      <w:t xml:space="preserve">JSZC-320500-SZZJ-C2026-0008</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5"/>
    <w:next w:val="945"/>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5"/>
    <w:next w:val="945"/>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5"/>
    <w:next w:val="945"/>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5"/>
    <w:next w:val="945"/>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5"/>
    <w:next w:val="945"/>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5"/>
    <w:next w:val="945"/>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5"/>
    <w:next w:val="945"/>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5"/>
    <w:next w:val="945"/>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5"/>
    <w:next w:val="945"/>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57"/>
    <w:link w:val="945"/>
    <w:qFormat/>
    <w:pPr>
      <w:jc w:val="both"/>
      <w:widowControl w:val="off"/>
    </w:pPr>
    <w:rPr>
      <w:rFonts w:eastAsia="楷体_GB2312"/>
      <w:sz w:val="26"/>
      <w:lang w:val="en-US" w:eastAsia="zh-CN" w:bidi="ar-SA"/>
    </w:rPr>
  </w:style>
  <w:style w:type="paragraph" w:styleId="946">
    <w:name w:val="标题 1"/>
    <w:basedOn w:val="945"/>
    <w:next w:val="945"/>
    <w:link w:val="959"/>
    <w:qFormat/>
    <w:pPr>
      <w:keepLines/>
      <w:keepNext/>
      <w:spacing w:before="340" w:after="330" w:line="578" w:lineRule="auto"/>
      <w:outlineLvl w:val="0"/>
    </w:pPr>
    <w:rPr>
      <w:b/>
      <w:sz w:val="44"/>
    </w:rPr>
  </w:style>
  <w:style w:type="paragraph" w:styleId="947">
    <w:name w:val="标题 2"/>
    <w:basedOn w:val="945"/>
    <w:next w:val="945"/>
    <w:link w:val="960"/>
    <w:qFormat/>
    <w:pPr>
      <w:jc w:val="left"/>
      <w:keepLines/>
      <w:keepNext/>
      <w:outlineLvl w:val="1"/>
    </w:pPr>
    <w:rPr>
      <w:rFonts w:ascii="宋体" w:hAnsi="宋体"/>
      <w:b/>
    </w:rPr>
  </w:style>
  <w:style w:type="paragraph" w:styleId="948">
    <w:name w:val="标题 3"/>
    <w:basedOn w:val="945"/>
    <w:next w:val="945"/>
    <w:link w:val="961"/>
    <w:qFormat/>
    <w:pPr>
      <w:jc w:val="left"/>
      <w:keepLines/>
      <w:keepNext/>
      <w:outlineLvl w:val="2"/>
    </w:pPr>
    <w:rPr>
      <w:b/>
    </w:rPr>
  </w:style>
  <w:style w:type="paragraph" w:styleId="949">
    <w:name w:val="标题 4"/>
    <w:basedOn w:val="945"/>
    <w:next w:val="945"/>
    <w:link w:val="962"/>
    <w:qFormat/>
    <w:pPr>
      <w:keepLines/>
      <w:keepNext/>
      <w:spacing w:before="280" w:after="290" w:line="376" w:lineRule="auto"/>
      <w:outlineLvl w:val="3"/>
    </w:pPr>
    <w:rPr>
      <w:rFonts w:ascii="Arial" w:hAnsi="Arial" w:eastAsia="黑体"/>
      <w:b/>
      <w:bCs/>
      <w:sz w:val="28"/>
      <w:szCs w:val="28"/>
    </w:rPr>
  </w:style>
  <w:style w:type="paragraph" w:styleId="950">
    <w:name w:val="标题 5"/>
    <w:basedOn w:val="945"/>
    <w:next w:val="945"/>
    <w:link w:val="963"/>
    <w:qFormat/>
    <w:pPr>
      <w:jc w:val="left"/>
      <w:keepLines/>
      <w:keepNext/>
      <w:spacing w:before="280" w:after="290" w:line="376" w:lineRule="atLeast"/>
      <w:outlineLvl w:val="4"/>
    </w:pPr>
    <w:rPr>
      <w:rFonts w:ascii="宋体" w:hAnsi="Tms Rmn" w:eastAsia="宋体"/>
      <w:b/>
      <w:sz w:val="28"/>
    </w:rPr>
  </w:style>
  <w:style w:type="paragraph" w:styleId="951">
    <w:name w:val="标题 6"/>
    <w:basedOn w:val="945"/>
    <w:next w:val="945"/>
    <w:link w:val="964"/>
    <w:qFormat/>
    <w:pPr>
      <w:jc w:val="left"/>
      <w:keepLines/>
      <w:keepNext/>
      <w:spacing w:before="240" w:after="64" w:line="320" w:lineRule="atLeast"/>
      <w:outlineLvl w:val="5"/>
    </w:pPr>
    <w:rPr>
      <w:rFonts w:ascii="黑体" w:hAnsi="Tms Rmn" w:eastAsia="黑体"/>
      <w:b/>
      <w:sz w:val="24"/>
    </w:rPr>
  </w:style>
  <w:style w:type="paragraph" w:styleId="952">
    <w:name w:val="标题 7"/>
    <w:basedOn w:val="945"/>
    <w:next w:val="945"/>
    <w:link w:val="965"/>
    <w:qFormat/>
    <w:pPr>
      <w:jc w:val="left"/>
      <w:keepLines/>
      <w:keepNext/>
      <w:spacing w:before="240" w:after="64" w:line="320" w:lineRule="atLeast"/>
      <w:outlineLvl w:val="6"/>
    </w:pPr>
    <w:rPr>
      <w:rFonts w:ascii="宋体" w:hAnsi="Tms Rmn" w:eastAsia="宋体"/>
      <w:b/>
      <w:sz w:val="24"/>
    </w:rPr>
  </w:style>
  <w:style w:type="paragraph" w:styleId="953">
    <w:name w:val="标题 8"/>
    <w:basedOn w:val="945"/>
    <w:next w:val="945"/>
    <w:link w:val="966"/>
    <w:qFormat/>
    <w:pPr>
      <w:keepLines/>
      <w:keepNext/>
      <w:spacing w:before="240" w:after="64" w:line="320" w:lineRule="auto"/>
      <w:outlineLvl w:val="7"/>
    </w:pPr>
    <w:rPr>
      <w:rFonts w:ascii="Arial" w:hAnsi="Arial" w:eastAsia="黑体"/>
      <w:sz w:val="24"/>
      <w:szCs w:val="24"/>
    </w:rPr>
  </w:style>
  <w:style w:type="paragraph" w:styleId="954">
    <w:name w:val="标题 9"/>
    <w:basedOn w:val="945"/>
    <w:next w:val="945"/>
    <w:link w:val="967"/>
    <w:qFormat/>
    <w:pPr>
      <w:keepLines/>
      <w:keepNext/>
      <w:spacing w:before="240" w:after="64" w:line="320" w:lineRule="auto"/>
      <w:outlineLvl w:val="8"/>
    </w:pPr>
    <w:rPr>
      <w:rFonts w:ascii="Arial" w:hAnsi="Arial" w:eastAsia="黑体"/>
      <w:sz w:val="24"/>
      <w:szCs w:val="21"/>
    </w:rPr>
  </w:style>
  <w:style w:type="character" w:styleId="955">
    <w:name w:val="默认段落字体"/>
    <w:next w:val="955"/>
    <w:link w:val="945"/>
    <w:rPr>
      <w:rFonts w:ascii="Tahoma" w:hAnsi="Tahoma" w:eastAsia="宋体"/>
      <w:sz w:val="24"/>
    </w:rPr>
  </w:style>
  <w:style w:type="table" w:styleId="956">
    <w:name w:val="普通表格"/>
    <w:next w:val="956"/>
    <w:link w:val="945"/>
    <w:uiPriority w:val="99"/>
    <w:unhideWhenUsed/>
    <w:tblPr/>
  </w:style>
  <w:style w:type="paragraph" w:styleId="957">
    <w:name w:val="正文文本缩进"/>
    <w:basedOn w:val="945"/>
    <w:next w:val="945"/>
    <w:link w:val="958"/>
    <w:pPr>
      <w:ind w:left="570"/>
      <w:spacing w:line="520" w:lineRule="exact"/>
    </w:pPr>
    <w:rPr>
      <w:rFonts w:ascii="方正仿宋简体" w:hAnsi="创艺简仿宋" w:eastAsia="方正仿宋简体"/>
      <w:sz w:val="24"/>
    </w:rPr>
  </w:style>
  <w:style w:type="character" w:styleId="958">
    <w:name w:val="正文文本缩进 字符"/>
    <w:next w:val="958"/>
    <w:link w:val="957"/>
    <w:rPr>
      <w:rFonts w:ascii="方正仿宋简体" w:hAnsi="创艺简仿宋" w:eastAsia="方正仿宋简体" w:cs="Times New Roman"/>
      <w:sz w:val="24"/>
      <w:szCs w:val="20"/>
    </w:rPr>
  </w:style>
  <w:style w:type="character" w:styleId="959">
    <w:name w:val="标题 1 字符"/>
    <w:next w:val="959"/>
    <w:link w:val="946"/>
    <w:rPr>
      <w:rFonts w:ascii="Times New Roman" w:hAnsi="Times New Roman" w:eastAsia="楷体_GB2312" w:cs="Times New Roman"/>
      <w:b/>
      <w:sz w:val="44"/>
      <w:szCs w:val="20"/>
    </w:rPr>
  </w:style>
  <w:style w:type="character" w:styleId="960">
    <w:name w:val="标题 2 字符"/>
    <w:next w:val="960"/>
    <w:link w:val="947"/>
    <w:rPr>
      <w:rFonts w:ascii="宋体" w:hAnsi="宋体" w:eastAsia="楷体_GB2312" w:cs="Times New Roman"/>
      <w:b/>
      <w:sz w:val="26"/>
      <w:szCs w:val="20"/>
    </w:rPr>
  </w:style>
  <w:style w:type="character" w:styleId="961">
    <w:name w:val="标题 3 字符"/>
    <w:next w:val="961"/>
    <w:link w:val="948"/>
    <w:rPr>
      <w:rFonts w:ascii="Times New Roman" w:hAnsi="Times New Roman" w:eastAsia="楷体_GB2312" w:cs="Times New Roman"/>
      <w:b/>
      <w:sz w:val="26"/>
      <w:szCs w:val="20"/>
    </w:rPr>
  </w:style>
  <w:style w:type="character" w:styleId="962">
    <w:name w:val="标题 4 字符"/>
    <w:next w:val="962"/>
    <w:link w:val="949"/>
    <w:rPr>
      <w:rFonts w:ascii="Arial" w:hAnsi="Arial" w:eastAsia="黑体" w:cs="Times New Roman"/>
      <w:b/>
      <w:bCs/>
      <w:sz w:val="28"/>
      <w:szCs w:val="28"/>
    </w:rPr>
  </w:style>
  <w:style w:type="character" w:styleId="963">
    <w:name w:val="标题 5 字符"/>
    <w:next w:val="963"/>
    <w:link w:val="950"/>
    <w:rPr>
      <w:rFonts w:ascii="宋体" w:hAnsi="Tms Rmn" w:eastAsia="宋体" w:cs="Times New Roman"/>
      <w:b/>
      <w:sz w:val="28"/>
      <w:szCs w:val="20"/>
    </w:rPr>
  </w:style>
  <w:style w:type="character" w:styleId="964">
    <w:name w:val="标题 6 字符"/>
    <w:next w:val="964"/>
    <w:link w:val="951"/>
    <w:rPr>
      <w:rFonts w:ascii="黑体" w:hAnsi="Tms Rmn" w:eastAsia="黑体" w:cs="Times New Roman"/>
      <w:b/>
      <w:sz w:val="24"/>
      <w:szCs w:val="20"/>
    </w:rPr>
  </w:style>
  <w:style w:type="character" w:styleId="965">
    <w:name w:val="标题 7 字符"/>
    <w:next w:val="965"/>
    <w:link w:val="952"/>
    <w:rPr>
      <w:rFonts w:ascii="宋体" w:hAnsi="Tms Rmn" w:eastAsia="宋体" w:cs="Times New Roman"/>
      <w:b/>
      <w:sz w:val="24"/>
      <w:szCs w:val="20"/>
    </w:rPr>
  </w:style>
  <w:style w:type="character" w:styleId="966">
    <w:name w:val="标题 8 字符"/>
    <w:next w:val="966"/>
    <w:link w:val="953"/>
    <w:rPr>
      <w:rFonts w:ascii="Arial" w:hAnsi="Arial" w:eastAsia="黑体" w:cs="Times New Roman"/>
      <w:sz w:val="24"/>
      <w:szCs w:val="24"/>
    </w:rPr>
  </w:style>
  <w:style w:type="character" w:styleId="967">
    <w:name w:val="标题 9 字符"/>
    <w:next w:val="967"/>
    <w:link w:val="954"/>
    <w:rPr>
      <w:rFonts w:ascii="Arial" w:hAnsi="Arial" w:eastAsia="黑体" w:cs="Times New Roman"/>
      <w:sz w:val="24"/>
      <w:szCs w:val="21"/>
    </w:rPr>
  </w:style>
  <w:style w:type="paragraph" w:styleId="968">
    <w:name w:val="目录 7"/>
    <w:basedOn w:val="946"/>
    <w:next w:val="945"/>
    <w:link w:val="945"/>
    <w:pPr>
      <w:ind w:left="2520"/>
    </w:pPr>
  </w:style>
  <w:style w:type="paragraph" w:styleId="969">
    <w:name w:val="索引 8"/>
    <w:basedOn w:val="945"/>
    <w:next w:val="945"/>
    <w:link w:val="945"/>
    <w:pPr>
      <w:ind w:left="2940"/>
    </w:pPr>
  </w:style>
  <w:style w:type="paragraph" w:styleId="970">
    <w:name w:val="列表编号"/>
    <w:basedOn w:val="945"/>
    <w:next w:val="970"/>
    <w:link w:val="945"/>
    <w:pPr>
      <w:ind w:left="1125" w:hanging="555"/>
      <w:tabs>
        <w:tab w:val="left" w:pos="1125" w:leader="none"/>
      </w:tabs>
    </w:pPr>
    <w:rPr>
      <w:rFonts w:eastAsia="宋体"/>
      <w:sz w:val="21"/>
      <w:szCs w:val="24"/>
    </w:rPr>
  </w:style>
  <w:style w:type="paragraph" w:styleId="971">
    <w:name w:val="正文缩进"/>
    <w:basedOn w:val="945"/>
    <w:next w:val="945"/>
    <w:link w:val="972"/>
    <w:qFormat/>
    <w:pPr>
      <w:ind w:firstLine="420"/>
      <w:jc w:val="left"/>
    </w:pPr>
    <w:rPr>
      <w:sz w:val="24"/>
    </w:rPr>
  </w:style>
  <w:style w:type="character" w:styleId="972">
    <w:name w:val="正文缩进 字符"/>
    <w:next w:val="972"/>
    <w:link w:val="971"/>
    <w:qFormat/>
    <w:rPr>
      <w:rFonts w:eastAsia="楷体_GB2312"/>
      <w:sz w:val="24"/>
    </w:rPr>
  </w:style>
  <w:style w:type="paragraph" w:styleId="973">
    <w:name w:val="索引 5"/>
    <w:basedOn w:val="945"/>
    <w:next w:val="945"/>
    <w:link w:val="945"/>
    <w:pPr>
      <w:ind w:left="1680"/>
    </w:pPr>
  </w:style>
  <w:style w:type="paragraph" w:styleId="974">
    <w:name w:val="文档结构图"/>
    <w:basedOn w:val="945"/>
    <w:next w:val="974"/>
    <w:link w:val="975"/>
    <w:pPr>
      <w:shd w:val="clear" w:color="auto" w:fill="000080"/>
    </w:pPr>
    <w:rPr>
      <w:rFonts w:eastAsia="宋体"/>
      <w:sz w:val="24"/>
      <w:shd w:val="clear" w:color="auto" w:fill="000080"/>
    </w:rPr>
  </w:style>
  <w:style w:type="character" w:styleId="975">
    <w:name w:val="文档结构图 字符"/>
    <w:next w:val="975"/>
    <w:link w:val="974"/>
    <w:rPr>
      <w:rFonts w:ascii="Times New Roman" w:hAnsi="Times New Roman" w:eastAsia="宋体" w:cs="Times New Roman"/>
      <w:sz w:val="24"/>
      <w:szCs w:val="20"/>
      <w:shd w:val="clear" w:color="auto" w:fill="000080"/>
    </w:rPr>
  </w:style>
  <w:style w:type="paragraph" w:styleId="976">
    <w:name w:val="批注文字"/>
    <w:basedOn w:val="945"/>
    <w:next w:val="976"/>
    <w:link w:val="977"/>
    <w:pPr>
      <w:jc w:val="left"/>
    </w:pPr>
  </w:style>
  <w:style w:type="character" w:styleId="977">
    <w:name w:val="批注文字 字符1"/>
    <w:next w:val="977"/>
    <w:link w:val="976"/>
    <w:rPr>
      <w:rFonts w:ascii="Times New Roman" w:hAnsi="Times New Roman" w:eastAsia="楷体_GB2312" w:cs="Times New Roman"/>
      <w:sz w:val="26"/>
      <w:szCs w:val="20"/>
    </w:rPr>
  </w:style>
  <w:style w:type="paragraph" w:styleId="978">
    <w:name w:val="索引 6"/>
    <w:basedOn w:val="945"/>
    <w:next w:val="945"/>
    <w:link w:val="945"/>
    <w:pPr>
      <w:ind w:left="2100"/>
    </w:pPr>
  </w:style>
  <w:style w:type="paragraph" w:styleId="979">
    <w:name w:val="正文文本"/>
    <w:basedOn w:val="945"/>
    <w:next w:val="979"/>
    <w:link w:val="980"/>
    <w:pPr>
      <w:spacing w:line="400" w:lineRule="exact"/>
    </w:pPr>
    <w:rPr>
      <w:rFonts w:ascii="楷体_GB2312"/>
      <w:sz w:val="28"/>
    </w:rPr>
  </w:style>
  <w:style w:type="character" w:styleId="980">
    <w:name w:val="正文文本 字符"/>
    <w:next w:val="980"/>
    <w:link w:val="979"/>
    <w:rPr>
      <w:rFonts w:ascii="楷体_GB2312" w:hAnsi="Times New Roman" w:eastAsia="楷体_GB2312" w:cs="Times New Roman"/>
      <w:sz w:val="28"/>
      <w:szCs w:val="20"/>
    </w:rPr>
  </w:style>
  <w:style w:type="paragraph" w:styleId="981">
    <w:name w:val="列表 2"/>
    <w:basedOn w:val="946"/>
    <w:next w:val="968"/>
    <w:link w:val="945"/>
    <w:qFormat/>
    <w:pPr>
      <w:ind w:left="100" w:firstLine="3640"/>
      <w:spacing w:before="0" w:after="0" w:line="240" w:lineRule="auto"/>
    </w:pPr>
    <w:rPr>
      <w:rFonts w:ascii="Times New Roman" w:hAnsi="Times New Roman" w:cs="Times New Roman"/>
    </w:rPr>
  </w:style>
  <w:style w:type="paragraph" w:styleId="982">
    <w:name w:val="文本块"/>
    <w:basedOn w:val="945"/>
    <w:next w:val="982"/>
    <w:link w:val="945"/>
    <w:pPr>
      <w:ind w:left="630" w:right="-609" w:firstLine="420"/>
      <w:spacing w:line="360" w:lineRule="auto"/>
    </w:pPr>
    <w:rPr>
      <w:rFonts w:ascii="仿宋_GB2312" w:eastAsia="仿宋_GB2312"/>
      <w:sz w:val="21"/>
    </w:rPr>
  </w:style>
  <w:style w:type="paragraph" w:styleId="983">
    <w:name w:val="索引 4"/>
    <w:basedOn w:val="945"/>
    <w:next w:val="945"/>
    <w:link w:val="945"/>
    <w:pPr>
      <w:ind w:left="1260"/>
    </w:pPr>
  </w:style>
  <w:style w:type="paragraph" w:styleId="984">
    <w:name w:val="目录 5"/>
    <w:basedOn w:val="945"/>
    <w:next w:val="945"/>
    <w:link w:val="945"/>
    <w:pPr>
      <w:ind w:left="1680"/>
    </w:pPr>
  </w:style>
  <w:style w:type="paragraph" w:styleId="985">
    <w:name w:val="目录 3"/>
    <w:basedOn w:val="945"/>
    <w:next w:val="945"/>
    <w:link w:val="945"/>
    <w:pPr>
      <w:ind w:left="840"/>
    </w:pPr>
  </w:style>
  <w:style w:type="paragraph" w:styleId="986">
    <w:name w:val="纯文本"/>
    <w:basedOn w:val="945"/>
    <w:next w:val="986"/>
    <w:link w:val="987"/>
    <w:qFormat/>
    <w:rPr>
      <w:rFonts w:ascii="宋体" w:hAnsi="Courier New"/>
    </w:rPr>
  </w:style>
  <w:style w:type="character" w:styleId="987">
    <w:name w:val="纯文本 字符"/>
    <w:next w:val="987"/>
    <w:link w:val="986"/>
    <w:qFormat/>
    <w:rPr>
      <w:rFonts w:ascii="宋体" w:hAnsi="Courier New" w:eastAsia="楷体_GB2312"/>
      <w:sz w:val="26"/>
    </w:rPr>
  </w:style>
  <w:style w:type="paragraph" w:styleId="988">
    <w:name w:val="目录 8"/>
    <w:basedOn w:val="945"/>
    <w:next w:val="945"/>
    <w:link w:val="945"/>
    <w:pPr>
      <w:ind w:left="2940"/>
    </w:pPr>
  </w:style>
  <w:style w:type="paragraph" w:styleId="989">
    <w:name w:val="索引 3"/>
    <w:basedOn w:val="945"/>
    <w:next w:val="945"/>
    <w:link w:val="945"/>
    <w:pPr>
      <w:ind w:left="840"/>
    </w:pPr>
  </w:style>
  <w:style w:type="paragraph" w:styleId="990">
    <w:name w:val="日期"/>
    <w:basedOn w:val="945"/>
    <w:next w:val="945"/>
    <w:link w:val="991"/>
    <w:rPr>
      <w:rFonts w:ascii="宋体" w:hAnsi="宋体"/>
      <w:sz w:val="24"/>
    </w:rPr>
  </w:style>
  <w:style w:type="character" w:styleId="991">
    <w:name w:val="日期 字符"/>
    <w:next w:val="991"/>
    <w:link w:val="990"/>
    <w:rPr>
      <w:rFonts w:ascii="宋体" w:hAnsi="宋体" w:eastAsia="楷体_GB2312" w:cs="Times New Roman"/>
      <w:sz w:val="24"/>
      <w:szCs w:val="20"/>
    </w:rPr>
  </w:style>
  <w:style w:type="paragraph" w:styleId="992">
    <w:name w:val="正文文本缩进 2"/>
    <w:basedOn w:val="945"/>
    <w:next w:val="992"/>
    <w:link w:val="993"/>
    <w:pPr>
      <w:ind w:firstLine="502"/>
      <w:spacing w:line="360" w:lineRule="auto"/>
      <w:tabs>
        <w:tab w:val="left" w:pos="0" w:leader="none"/>
      </w:tabs>
    </w:pPr>
    <w:rPr>
      <w:rFonts w:ascii="宋体" w:eastAsia="宋体"/>
      <w:b/>
      <w:bCs/>
      <w:sz w:val="24"/>
    </w:rPr>
  </w:style>
  <w:style w:type="character" w:styleId="993">
    <w:name w:val="正文文本缩进 2 字符"/>
    <w:next w:val="993"/>
    <w:link w:val="992"/>
    <w:rPr>
      <w:rFonts w:ascii="宋体" w:hAnsi="Times New Roman" w:eastAsia="宋体" w:cs="Times New Roman"/>
      <w:b/>
      <w:bCs/>
      <w:sz w:val="24"/>
      <w:szCs w:val="20"/>
    </w:rPr>
  </w:style>
  <w:style w:type="paragraph" w:styleId="994">
    <w:name w:val="批注框文本"/>
    <w:basedOn w:val="945"/>
    <w:next w:val="994"/>
    <w:link w:val="995"/>
    <w:rPr>
      <w:sz w:val="18"/>
      <w:szCs w:val="18"/>
    </w:rPr>
  </w:style>
  <w:style w:type="character" w:styleId="995">
    <w:name w:val="批注框文本 字符"/>
    <w:next w:val="995"/>
    <w:link w:val="994"/>
    <w:rPr>
      <w:rFonts w:ascii="Times New Roman" w:hAnsi="Times New Roman" w:eastAsia="楷体_GB2312" w:cs="Times New Roman"/>
      <w:sz w:val="18"/>
      <w:szCs w:val="18"/>
    </w:rPr>
  </w:style>
  <w:style w:type="paragraph" w:styleId="996">
    <w:name w:val="页脚"/>
    <w:basedOn w:val="945"/>
    <w:next w:val="996"/>
    <w:link w:val="997"/>
    <w:uiPriority w:val="99"/>
    <w:pPr>
      <w:jc w:val="left"/>
      <w:tabs>
        <w:tab w:val="center" w:pos="4153" w:leader="none"/>
        <w:tab w:val="right" w:pos="8306" w:leader="none"/>
      </w:tabs>
    </w:pPr>
    <w:rPr>
      <w:rFonts w:ascii="Tahoma" w:hAnsi="Tahoma" w:eastAsia="宋体"/>
      <w:sz w:val="18"/>
      <w:szCs w:val="18"/>
    </w:rPr>
  </w:style>
  <w:style w:type="character" w:styleId="997">
    <w:name w:val="页脚 字符"/>
    <w:next w:val="997"/>
    <w:link w:val="996"/>
    <w:uiPriority w:val="99"/>
    <w:rPr>
      <w:rFonts w:ascii="Tahoma" w:hAnsi="Tahoma" w:eastAsia="宋体"/>
      <w:sz w:val="18"/>
      <w:szCs w:val="18"/>
    </w:rPr>
  </w:style>
  <w:style w:type="paragraph" w:styleId="998">
    <w:name w:val="寄信人地址"/>
    <w:basedOn w:val="945"/>
    <w:next w:val="998"/>
    <w:link w:val="945"/>
    <w:qFormat/>
    <w:rPr>
      <w:rFonts w:ascii="Arial" w:hAnsi="Arial"/>
    </w:rPr>
  </w:style>
  <w:style w:type="paragraph" w:styleId="999">
    <w:name w:val="页眉"/>
    <w:basedOn w:val="945"/>
    <w:next w:val="999"/>
    <w:link w:val="1000"/>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1000">
    <w:name w:val="页眉 字符"/>
    <w:next w:val="1000"/>
    <w:link w:val="999"/>
    <w:qFormat/>
    <w:rPr>
      <w:rFonts w:ascii="Tahoma" w:hAnsi="Tahoma" w:eastAsia="宋体"/>
      <w:sz w:val="18"/>
      <w:szCs w:val="18"/>
    </w:rPr>
  </w:style>
  <w:style w:type="paragraph" w:styleId="1001">
    <w:name w:val="目录 1"/>
    <w:basedOn w:val="945"/>
    <w:next w:val="945"/>
    <w:link w:val="945"/>
    <w:pPr>
      <w:ind w:firstLine="751"/>
      <w:jc w:val="left"/>
      <w:spacing w:line="360" w:lineRule="auto"/>
      <w:tabs>
        <w:tab w:val="right" w:pos="9538" w:leader="dot"/>
      </w:tabs>
    </w:pPr>
    <w:rPr>
      <w:sz w:val="24"/>
    </w:rPr>
  </w:style>
  <w:style w:type="paragraph" w:styleId="1002">
    <w:name w:val="目录 4"/>
    <w:basedOn w:val="945"/>
    <w:next w:val="945"/>
    <w:link w:val="945"/>
    <w:pPr>
      <w:ind w:left="1260"/>
    </w:pPr>
  </w:style>
  <w:style w:type="paragraph" w:styleId="1003">
    <w:name w:val="索引标题"/>
    <w:basedOn w:val="945"/>
    <w:next w:val="1004"/>
    <w:link w:val="945"/>
  </w:style>
  <w:style w:type="paragraph" w:styleId="1004">
    <w:name w:val="索引 1"/>
    <w:basedOn w:val="945"/>
    <w:next w:val="945"/>
    <w:link w:val="945"/>
  </w:style>
  <w:style w:type="paragraph" w:styleId="1005">
    <w:name w:val="脚注文本"/>
    <w:basedOn w:val="945"/>
    <w:next w:val="1005"/>
    <w:link w:val="1006"/>
    <w:pPr>
      <w:jc w:val="left"/>
    </w:pPr>
    <w:rPr>
      <w:sz w:val="18"/>
    </w:rPr>
  </w:style>
  <w:style w:type="character" w:styleId="1006">
    <w:name w:val="脚注文本 字符"/>
    <w:next w:val="1006"/>
    <w:link w:val="1005"/>
    <w:rPr>
      <w:rFonts w:ascii="Times New Roman" w:hAnsi="Times New Roman" w:eastAsia="楷体_GB2312" w:cs="Times New Roman"/>
      <w:sz w:val="18"/>
      <w:szCs w:val="20"/>
    </w:rPr>
  </w:style>
  <w:style w:type="paragraph" w:styleId="1007">
    <w:name w:val="目录 6"/>
    <w:basedOn w:val="945"/>
    <w:next w:val="945"/>
    <w:link w:val="945"/>
    <w:pPr>
      <w:ind w:left="2100"/>
    </w:pPr>
  </w:style>
  <w:style w:type="paragraph" w:styleId="1008">
    <w:name w:val="正文文本缩进 3"/>
    <w:basedOn w:val="945"/>
    <w:next w:val="1008"/>
    <w:link w:val="1009"/>
    <w:pPr>
      <w:ind w:firstLine="617"/>
      <w:spacing w:line="360" w:lineRule="auto"/>
    </w:pPr>
    <w:rPr>
      <w:rFonts w:eastAsia="宋体"/>
      <w:sz w:val="24"/>
      <w:szCs w:val="24"/>
    </w:rPr>
  </w:style>
  <w:style w:type="character" w:styleId="1009">
    <w:name w:val="正文文本缩进 3 字符"/>
    <w:next w:val="1009"/>
    <w:link w:val="1008"/>
    <w:rPr>
      <w:rFonts w:ascii="Times New Roman" w:hAnsi="Times New Roman" w:eastAsia="宋体" w:cs="Times New Roman"/>
      <w:sz w:val="24"/>
      <w:szCs w:val="24"/>
    </w:rPr>
  </w:style>
  <w:style w:type="paragraph" w:styleId="1010">
    <w:name w:val="索引 7"/>
    <w:basedOn w:val="945"/>
    <w:next w:val="945"/>
    <w:link w:val="945"/>
    <w:pPr>
      <w:ind w:left="2520"/>
    </w:pPr>
  </w:style>
  <w:style w:type="paragraph" w:styleId="1011">
    <w:name w:val="索引 9"/>
    <w:basedOn w:val="945"/>
    <w:next w:val="945"/>
    <w:link w:val="945"/>
    <w:pPr>
      <w:ind w:left="3360"/>
    </w:pPr>
  </w:style>
  <w:style w:type="paragraph" w:styleId="1012">
    <w:name w:val="图表目录"/>
    <w:basedOn w:val="945"/>
    <w:next w:val="945"/>
    <w:link w:val="945"/>
    <w:pPr>
      <w:ind w:left="420" w:hanging="420"/>
      <w:jc w:val="left"/>
    </w:pPr>
    <w:rPr>
      <w:smallCaps/>
      <w:sz w:val="24"/>
    </w:rPr>
  </w:style>
  <w:style w:type="paragraph" w:styleId="1013">
    <w:name w:val="目录 2"/>
    <w:basedOn w:val="945"/>
    <w:next w:val="945"/>
    <w:link w:val="945"/>
    <w:pPr>
      <w:ind w:left="420"/>
    </w:pPr>
  </w:style>
  <w:style w:type="paragraph" w:styleId="1014">
    <w:name w:val="目录 9"/>
    <w:basedOn w:val="945"/>
    <w:next w:val="945"/>
    <w:link w:val="945"/>
    <w:pPr>
      <w:ind w:left="3360"/>
    </w:pPr>
  </w:style>
  <w:style w:type="paragraph" w:styleId="1015">
    <w:name w:val="HTML 预设格式"/>
    <w:basedOn w:val="945"/>
    <w:next w:val="1015"/>
    <w:link w:val="10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16">
    <w:name w:val="HTML 预设格式 字符"/>
    <w:next w:val="1016"/>
    <w:link w:val="1015"/>
    <w:rPr>
      <w:rFonts w:ascii="黑体" w:hAnsi="Courier New" w:eastAsia="黑体" w:cs="楷体_GB2312"/>
      <w:sz w:val="20"/>
      <w:szCs w:val="20"/>
    </w:rPr>
  </w:style>
  <w:style w:type="paragraph" w:styleId="1017">
    <w:name w:val="普通(网站)"/>
    <w:basedOn w:val="945"/>
    <w:next w:val="981"/>
    <w:link w:val="945"/>
    <w:uiPriority w:val="99"/>
    <w:qFormat/>
    <w:pPr>
      <w:jc w:val="left"/>
      <w:spacing w:before="100" w:beforeAutospacing="1" w:after="100" w:afterAutospacing="1"/>
      <w:widowControl/>
    </w:pPr>
    <w:rPr>
      <w:rFonts w:hint="eastAsia" w:ascii="宋体" w:hAnsi="宋体" w:eastAsia="宋体"/>
      <w:sz w:val="24"/>
      <w:szCs w:val="24"/>
    </w:rPr>
  </w:style>
  <w:style w:type="paragraph" w:styleId="1018">
    <w:name w:val="索引 2"/>
    <w:basedOn w:val="945"/>
    <w:next w:val="945"/>
    <w:link w:val="945"/>
    <w:pPr>
      <w:ind w:left="420"/>
    </w:pPr>
  </w:style>
  <w:style w:type="paragraph" w:styleId="1019">
    <w:name w:val="批注主题"/>
    <w:basedOn w:val="976"/>
    <w:next w:val="976"/>
    <w:link w:val="1020"/>
    <w:rPr>
      <w:b/>
      <w:bCs/>
    </w:rPr>
  </w:style>
  <w:style w:type="character" w:styleId="1020">
    <w:name w:val="批注主题 字符"/>
    <w:next w:val="1020"/>
    <w:link w:val="1019"/>
    <w:rPr>
      <w:rFonts w:ascii="Times New Roman" w:hAnsi="Times New Roman" w:eastAsia="楷体_GB2312" w:cs="Times New Roman"/>
      <w:b/>
      <w:bCs/>
      <w:sz w:val="26"/>
      <w:szCs w:val="20"/>
    </w:rPr>
  </w:style>
  <w:style w:type="paragraph" w:styleId="1021">
    <w:name w:val="正文首行缩进"/>
    <w:basedOn w:val="979"/>
    <w:next w:val="1021"/>
    <w:link w:val="1022"/>
    <w:pPr>
      <w:ind w:firstLine="420"/>
      <w:spacing w:after="120" w:line="240" w:lineRule="auto"/>
    </w:pPr>
    <w:rPr>
      <w:rFonts w:ascii="Times New Roman"/>
      <w:sz w:val="26"/>
    </w:rPr>
  </w:style>
  <w:style w:type="character" w:styleId="1022">
    <w:name w:val="正文文本首行缩进 字符"/>
    <w:next w:val="1022"/>
    <w:link w:val="1021"/>
    <w:rPr>
      <w:rFonts w:ascii="Times New Roman" w:hAnsi="Times New Roman" w:eastAsia="楷体_GB2312" w:cs="Times New Roman"/>
      <w:sz w:val="26"/>
      <w:szCs w:val="20"/>
    </w:rPr>
  </w:style>
  <w:style w:type="paragraph" w:styleId="1023">
    <w:name w:val="正文首行缩进 2"/>
    <w:basedOn w:val="957"/>
    <w:next w:val="1023"/>
    <w:link w:val="945"/>
    <w:qFormat/>
    <w:pPr>
      <w:ind w:firstLine="420"/>
    </w:pPr>
  </w:style>
  <w:style w:type="table" w:styleId="1024">
    <w:name w:val="网格型"/>
    <w:basedOn w:val="956"/>
    <w:next w:val="1024"/>
    <w:link w:val="945"/>
    <w:uiPriority w:val="59"/>
    <w:unhideWhenUsed/>
    <w:qFormat/>
    <w:pPr>
      <w:jc w:val="both"/>
      <w:widowControl w:val="off"/>
    </w:pPr>
    <w:tblPr/>
  </w:style>
  <w:style w:type="character" w:styleId="1025">
    <w:name w:val="要点"/>
    <w:next w:val="1025"/>
    <w:link w:val="945"/>
    <w:qFormat/>
    <w:rPr>
      <w:rFonts w:ascii="Tahoma" w:hAnsi="Tahoma" w:eastAsia="宋体"/>
      <w:b/>
      <w:sz w:val="24"/>
    </w:rPr>
  </w:style>
  <w:style w:type="character" w:styleId="1026">
    <w:name w:val="页码"/>
    <w:next w:val="1026"/>
    <w:link w:val="945"/>
  </w:style>
  <w:style w:type="character" w:styleId="1027">
    <w:name w:val="强调"/>
    <w:next w:val="1027"/>
    <w:link w:val="945"/>
    <w:uiPriority w:val="20"/>
    <w:qFormat/>
    <w:rPr>
      <w:b/>
      <w:bCs/>
      <w:i w:val="0"/>
      <w:iCs w:val="0"/>
    </w:rPr>
  </w:style>
  <w:style w:type="character" w:styleId="1028">
    <w:name w:val="HTML 定义"/>
    <w:next w:val="1028"/>
    <w:link w:val="945"/>
    <w:uiPriority w:val="99"/>
    <w:unhideWhenUsed/>
    <w:rPr>
      <w:i w:val="0"/>
      <w:iCs w:val="0"/>
    </w:rPr>
  </w:style>
  <w:style w:type="character" w:styleId="1029">
    <w:name w:val="HTML 打字机"/>
    <w:next w:val="1029"/>
    <w:link w:val="945"/>
    <w:uiPriority w:val="99"/>
    <w:unhideWhenUsed/>
    <w:rPr>
      <w:rFonts w:ascii="monospace" w:hAnsi="monospace" w:eastAsia="monospace" w:cs="monospace"/>
      <w:sz w:val="20"/>
    </w:rPr>
  </w:style>
  <w:style w:type="character" w:styleId="1030">
    <w:name w:val="HTML 缩写"/>
    <w:next w:val="1030"/>
    <w:link w:val="945"/>
    <w:uiPriority w:val="99"/>
    <w:unhideWhenUsed/>
  </w:style>
  <w:style w:type="character" w:styleId="1031">
    <w:name w:val="HTML 变量"/>
    <w:next w:val="1031"/>
    <w:link w:val="945"/>
    <w:uiPriority w:val="99"/>
    <w:unhideWhenUsed/>
    <w:rPr>
      <w:i w:val="0"/>
      <w:iCs w:val="0"/>
    </w:rPr>
  </w:style>
  <w:style w:type="character" w:styleId="1032">
    <w:name w:val="超链接"/>
    <w:next w:val="1032"/>
    <w:link w:val="945"/>
    <w:rPr>
      <w:color w:val="0000ff"/>
      <w:u w:val="none"/>
    </w:rPr>
  </w:style>
  <w:style w:type="character" w:styleId="1033">
    <w:name w:val="HTML 代码"/>
    <w:next w:val="1033"/>
    <w:link w:val="945"/>
    <w:uiPriority w:val="99"/>
    <w:unhideWhenUsed/>
    <w:rPr>
      <w:rFonts w:ascii="monospace" w:hAnsi="monospace" w:eastAsia="monospace" w:cs="monospace"/>
      <w:i w:val="0"/>
      <w:iCs w:val="0"/>
      <w:sz w:val="20"/>
    </w:rPr>
  </w:style>
  <w:style w:type="character" w:styleId="1034">
    <w:name w:val="批注引用"/>
    <w:next w:val="1034"/>
    <w:link w:val="945"/>
    <w:rPr>
      <w:sz w:val="21"/>
      <w:szCs w:val="21"/>
    </w:rPr>
  </w:style>
  <w:style w:type="character" w:styleId="1035">
    <w:name w:val="HTML 引文"/>
    <w:next w:val="1035"/>
    <w:link w:val="945"/>
    <w:uiPriority w:val="99"/>
    <w:unhideWhenUsed/>
    <w:rPr>
      <w:i w:val="0"/>
      <w:iCs w:val="0"/>
    </w:rPr>
  </w:style>
  <w:style w:type="character" w:styleId="1036">
    <w:name w:val="脚注引用"/>
    <w:next w:val="1036"/>
    <w:link w:val="945"/>
    <w:rPr>
      <w:vertAlign w:val="superscript"/>
    </w:rPr>
  </w:style>
  <w:style w:type="character" w:styleId="1037">
    <w:name w:val="HTML 键盘"/>
    <w:next w:val="1037"/>
    <w:link w:val="945"/>
    <w:uiPriority w:val="99"/>
    <w:unhideWhenUsed/>
    <w:rPr>
      <w:rFonts w:ascii="monospace" w:hAnsi="monospace" w:eastAsia="monospace" w:cs="monospace"/>
      <w:sz w:val="20"/>
    </w:rPr>
  </w:style>
  <w:style w:type="character" w:styleId="1038">
    <w:name w:val="HTML 样本"/>
    <w:next w:val="1038"/>
    <w:link w:val="945"/>
    <w:uiPriority w:val="99"/>
    <w:unhideWhenUsed/>
    <w:rPr>
      <w:rFonts w:ascii="monospace" w:hAnsi="monospace" w:eastAsia="monospace" w:cs="monospace"/>
    </w:rPr>
  </w:style>
  <w:style w:type="paragraph" w:styleId="1039">
    <w:name w:val="正文首行缩进 211"/>
    <w:basedOn w:val="1040"/>
    <w:next w:val="1039"/>
    <w:link w:val="945"/>
    <w:qFormat/>
    <w:pPr>
      <w:ind w:left="420"/>
      <w:spacing w:after="120" w:line="240" w:lineRule="auto"/>
    </w:pPr>
    <w:rPr>
      <w:rFonts w:ascii="Times New Roman" w:hAnsi="Times New Roman"/>
      <w:sz w:val="21"/>
      <w:szCs w:val="20"/>
      <w:lang w:val="en-US" w:eastAsia="zh-CN"/>
    </w:rPr>
  </w:style>
  <w:style w:type="paragraph" w:styleId="1040">
    <w:name w:val="正文文本缩进11"/>
    <w:basedOn w:val="945"/>
    <w:next w:val="945"/>
    <w:link w:val="945"/>
    <w:qFormat/>
    <w:pPr>
      <w:ind w:firstLine="420"/>
      <w:spacing w:line="360" w:lineRule="exact"/>
    </w:pPr>
    <w:rPr>
      <w:sz w:val="24"/>
    </w:rPr>
  </w:style>
  <w:style w:type="paragraph" w:styleId="1041">
    <w:name w:val="段"/>
    <w:next w:val="945"/>
    <w:link w:val="945"/>
    <w:uiPriority w:val="99"/>
    <w:pPr>
      <w:ind w:firstLine="200"/>
      <w:jc w:val="both"/>
      <w:spacing w:line="360" w:lineRule="auto"/>
    </w:pPr>
    <w:rPr>
      <w:rFonts w:ascii="宋体" w:hAnsi="Calibri"/>
      <w:sz w:val="24"/>
      <w:szCs w:val="22"/>
      <w:lang w:val="en-US" w:eastAsia="zh-CN" w:bidi="ar-SA"/>
    </w:rPr>
  </w:style>
  <w:style w:type="character" w:styleId="1042">
    <w:name w:val="font121"/>
    <w:next w:val="1042"/>
    <w:link w:val="945"/>
    <w:rPr>
      <w:rFonts w:ascii="微软雅黑" w:hAnsi="微软雅黑" w:eastAsia="微软雅黑" w:cs="微软雅黑"/>
      <w:i w:val="0"/>
      <w:color w:val="000000"/>
      <w:sz w:val="21"/>
      <w:szCs w:val="21"/>
      <w:u w:val="none"/>
    </w:rPr>
  </w:style>
  <w:style w:type="character" w:styleId="1043">
    <w:name w:val="font91"/>
    <w:next w:val="1043"/>
    <w:link w:val="945"/>
    <w:rPr>
      <w:rFonts w:ascii="微软雅黑" w:hAnsi="微软雅黑" w:eastAsia="微软雅黑" w:cs="微软雅黑"/>
      <w:i w:val="0"/>
      <w:color w:val="ff0000"/>
      <w:sz w:val="21"/>
      <w:szCs w:val="21"/>
      <w:u w:val="none"/>
    </w:rPr>
  </w:style>
  <w:style w:type="character" w:styleId="1044">
    <w:name w:val="font191"/>
    <w:next w:val="1044"/>
    <w:link w:val="945"/>
    <w:rPr>
      <w:rFonts w:hint="eastAsia" w:ascii="宋体" w:hAnsi="宋体" w:eastAsia="宋体" w:cs="宋体"/>
      <w:i w:val="0"/>
      <w:color w:val="000000"/>
      <w:sz w:val="21"/>
      <w:szCs w:val="21"/>
      <w:u w:val="none"/>
    </w:rPr>
  </w:style>
  <w:style w:type="character" w:styleId="1045">
    <w:name w:val="纯文本 Char1"/>
    <w:next w:val="1045"/>
    <w:link w:val="945"/>
    <w:rPr>
      <w:rFonts w:ascii="宋体" w:hAnsi="Courier New" w:eastAsia="宋体" w:cs="Courier New"/>
      <w:sz w:val="24"/>
      <w:szCs w:val="21"/>
    </w:rPr>
  </w:style>
  <w:style w:type="character" w:styleId="1046">
    <w:name w:val="font161"/>
    <w:next w:val="1046"/>
    <w:link w:val="945"/>
    <w:rPr>
      <w:rFonts w:hint="eastAsia" w:ascii="宋体" w:hAnsi="宋体" w:eastAsia="宋体" w:cs="宋体"/>
      <w:i w:val="0"/>
      <w:color w:val="333333"/>
      <w:sz w:val="20"/>
      <w:szCs w:val="20"/>
      <w:u w:val="none"/>
    </w:rPr>
  </w:style>
  <w:style w:type="character" w:styleId="1047">
    <w:name w:val="font51"/>
    <w:next w:val="1047"/>
    <w:link w:val="945"/>
    <w:rPr>
      <w:rFonts w:ascii="Times New Roman" w:hAnsi="Times New Roman" w:eastAsia="宋体" w:cs="Times New Roman"/>
      <w:i w:val="0"/>
      <w:color w:val="000000"/>
      <w:sz w:val="21"/>
      <w:szCs w:val="21"/>
      <w:u w:val="none"/>
    </w:rPr>
  </w:style>
  <w:style w:type="character" w:styleId="1048">
    <w:name w:val="font101"/>
    <w:next w:val="1048"/>
    <w:link w:val="945"/>
    <w:rPr>
      <w:rFonts w:hint="eastAsia" w:ascii="宋体" w:hAnsi="宋体" w:eastAsia="宋体" w:cs="宋体"/>
      <w:i w:val="0"/>
      <w:color w:val="000000"/>
      <w:sz w:val="21"/>
      <w:szCs w:val="21"/>
      <w:u w:val="none"/>
    </w:rPr>
  </w:style>
  <w:style w:type="character" w:styleId="1049">
    <w:name w:val="font151"/>
    <w:next w:val="1049"/>
    <w:link w:val="945"/>
    <w:rPr>
      <w:rFonts w:ascii="Times New Roman" w:hAnsi="Times New Roman" w:eastAsia="宋体" w:cs="Times New Roman"/>
      <w:i w:val="0"/>
      <w:color w:val="dd0806"/>
      <w:sz w:val="21"/>
      <w:szCs w:val="21"/>
      <w:u w:val="none"/>
    </w:rPr>
  </w:style>
  <w:style w:type="character" w:styleId="1050">
    <w:name w:val="font31"/>
    <w:next w:val="1050"/>
    <w:link w:val="945"/>
    <w:rPr>
      <w:rFonts w:ascii="微软雅黑" w:hAnsi="微软雅黑" w:eastAsia="微软雅黑" w:cs="微软雅黑"/>
      <w:i w:val="0"/>
      <w:color w:val="000000"/>
      <w:sz w:val="21"/>
      <w:szCs w:val="21"/>
      <w:u w:val="none"/>
    </w:rPr>
  </w:style>
  <w:style w:type="character" w:styleId="1051">
    <w:name w:val="mini-outputtext1"/>
    <w:next w:val="1051"/>
    <w:link w:val="945"/>
  </w:style>
  <w:style w:type="character" w:styleId="1052">
    <w:name w:val="Plain Text Char1"/>
    <w:next w:val="1052"/>
    <w:link w:val="1053"/>
    <w:qFormat/>
    <w:rPr>
      <w:rFonts w:ascii="宋体" w:hAnsi="Courier New" w:eastAsia="楷体_GB2312"/>
      <w:sz w:val="26"/>
    </w:rPr>
  </w:style>
  <w:style w:type="paragraph" w:styleId="1053">
    <w:name w:val="纯文本1"/>
    <w:basedOn w:val="945"/>
    <w:next w:val="1053"/>
    <w:link w:val="1052"/>
    <w:qFormat/>
    <w:rPr>
      <w:rFonts w:ascii="宋体" w:hAnsi="Courier New"/>
    </w:rPr>
  </w:style>
  <w:style w:type="character" w:styleId="1054">
    <w:name w:val="font71"/>
    <w:next w:val="1054"/>
    <w:link w:val="945"/>
    <w:rPr>
      <w:rFonts w:ascii="Times New Roman" w:hAnsi="Times New Roman" w:eastAsia="宋体" w:cs="Times New Roman"/>
      <w:i w:val="0"/>
      <w:color w:val="000000"/>
      <w:sz w:val="21"/>
      <w:szCs w:val="21"/>
      <w:u w:val="none"/>
    </w:rPr>
  </w:style>
  <w:style w:type="character" w:styleId="1055">
    <w:name w:val="批注文字 字符"/>
    <w:next w:val="1055"/>
    <w:link w:val="945"/>
    <w:rPr>
      <w:rFonts w:ascii="Times New Roman" w:hAnsi="Times New Roman" w:eastAsia="楷体_GB2312" w:cs="Times New Roman"/>
      <w:sz w:val="26"/>
      <w:szCs w:val="20"/>
    </w:rPr>
  </w:style>
  <w:style w:type="character" w:styleId="1056">
    <w:name w:val="font81"/>
    <w:next w:val="1056"/>
    <w:link w:val="945"/>
    <w:rPr>
      <w:rFonts w:ascii="微软雅黑" w:hAnsi="微软雅黑" w:eastAsia="微软雅黑" w:cs="微软雅黑"/>
      <w:i w:val="0"/>
      <w:color w:val="000000"/>
      <w:sz w:val="21"/>
      <w:szCs w:val="21"/>
      <w:u w:val="none"/>
    </w:rPr>
  </w:style>
  <w:style w:type="character" w:styleId="1057">
    <w:name w:val="font181"/>
    <w:next w:val="1057"/>
    <w:link w:val="945"/>
    <w:rPr>
      <w:rFonts w:ascii="Times New Roman" w:hAnsi="Times New Roman" w:eastAsia="宋体" w:cs="Times New Roman"/>
      <w:i w:val="0"/>
      <w:color w:val="000000"/>
      <w:sz w:val="21"/>
      <w:szCs w:val="21"/>
      <w:u w:val="none"/>
      <w:vertAlign w:val="subscript"/>
    </w:rPr>
  </w:style>
  <w:style w:type="character" w:styleId="1058">
    <w:name w:val="apple-style-span"/>
    <w:next w:val="1058"/>
    <w:link w:val="945"/>
  </w:style>
  <w:style w:type="character" w:styleId="1059">
    <w:name w:val="font21"/>
    <w:next w:val="1059"/>
    <w:link w:val="945"/>
    <w:rPr>
      <w:rFonts w:hint="eastAsia" w:ascii="宋体" w:hAnsi="宋体" w:eastAsia="宋体" w:cs="宋体"/>
      <w:b/>
      <w:i w:val="0"/>
      <w:color w:val="000000"/>
      <w:sz w:val="22"/>
      <w:szCs w:val="22"/>
      <w:u w:val="none"/>
    </w:rPr>
  </w:style>
  <w:style w:type="character" w:styleId="1060">
    <w:name w:val="hover2"/>
    <w:next w:val="1060"/>
    <w:link w:val="945"/>
    <w:rPr>
      <w:color w:val="2590eb"/>
    </w:rPr>
  </w:style>
  <w:style w:type="character" w:styleId="1061">
    <w:name w:val="font171"/>
    <w:next w:val="1061"/>
    <w:link w:val="945"/>
    <w:rPr>
      <w:rFonts w:ascii="微软雅黑" w:hAnsi="微软雅黑" w:eastAsia="微软雅黑" w:cs="微软雅黑"/>
      <w:i w:val="0"/>
      <w:color w:val="000000"/>
      <w:sz w:val="21"/>
      <w:szCs w:val="21"/>
      <w:u w:val="none"/>
    </w:rPr>
  </w:style>
  <w:style w:type="character" w:styleId="1062">
    <w:name w:val="font01"/>
    <w:next w:val="1062"/>
    <w:link w:val="945"/>
    <w:rPr>
      <w:rFonts w:hint="eastAsia" w:ascii="宋体" w:hAnsi="宋体" w:eastAsia="宋体" w:cs="宋体"/>
      <w:i w:val="0"/>
      <w:color w:val="333333"/>
      <w:sz w:val="24"/>
      <w:szCs w:val="24"/>
      <w:u w:val="none"/>
    </w:rPr>
  </w:style>
  <w:style w:type="character" w:styleId="1063">
    <w:name w:val="font131"/>
    <w:next w:val="1063"/>
    <w:link w:val="945"/>
    <w:rPr>
      <w:rFonts w:ascii="Times New Roman" w:hAnsi="Times New Roman" w:eastAsia="宋体" w:cs="Times New Roman"/>
      <w:i w:val="0"/>
      <w:color w:val="333333"/>
      <w:sz w:val="20"/>
      <w:szCs w:val="20"/>
      <w:u w:val="none"/>
    </w:rPr>
  </w:style>
  <w:style w:type="character" w:styleId="1064">
    <w:name w:val="font11"/>
    <w:next w:val="1064"/>
    <w:link w:val="945"/>
    <w:rPr>
      <w:rFonts w:hint="eastAsia" w:ascii="宋体" w:hAnsi="宋体" w:eastAsia="宋体" w:cs="宋体"/>
      <w:i w:val="0"/>
      <w:color w:val="000000"/>
      <w:sz w:val="24"/>
      <w:szCs w:val="24"/>
      <w:u w:val="none"/>
    </w:rPr>
  </w:style>
  <w:style w:type="character" w:styleId="1065">
    <w:name w:val="hover1"/>
    <w:next w:val="1065"/>
    <w:link w:val="945"/>
    <w:rPr>
      <w:color w:val="2590eb"/>
    </w:rPr>
  </w:style>
  <w:style w:type="character" w:styleId="1066">
    <w:name w:val="无间隔 字符"/>
    <w:next w:val="1066"/>
    <w:link w:val="1067"/>
    <w:rPr>
      <w:sz w:val="22"/>
      <w:szCs w:val="22"/>
      <w:lang w:val="en-US" w:eastAsia="en-US" w:bidi="ar-SA"/>
    </w:rPr>
  </w:style>
  <w:style w:type="paragraph" w:styleId="1067">
    <w:name w:val="无间隔"/>
    <w:next w:val="1067"/>
    <w:link w:val="1066"/>
    <w:qFormat/>
    <w:rPr>
      <w:sz w:val="22"/>
      <w:szCs w:val="22"/>
      <w:lang w:val="en-US" w:eastAsia="en-US" w:bidi="ar-SA"/>
    </w:rPr>
  </w:style>
  <w:style w:type="character" w:styleId="1068">
    <w:name w:val="hover"/>
    <w:next w:val="1068"/>
    <w:link w:val="945"/>
  </w:style>
  <w:style w:type="character" w:styleId="1069">
    <w:name w:val="font61"/>
    <w:next w:val="1069"/>
    <w:link w:val="945"/>
    <w:rPr>
      <w:rFonts w:ascii="Batang" w:hAnsi="Batang" w:eastAsia="Batang" w:cs="Batang"/>
      <w:i w:val="0"/>
      <w:color w:val="000000"/>
      <w:sz w:val="21"/>
      <w:szCs w:val="21"/>
      <w:u w:val="none"/>
    </w:rPr>
  </w:style>
  <w:style w:type="character" w:styleId="1070">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70"/>
    <w:link w:val="945"/>
    <w:qFormat/>
    <w:rPr>
      <w:rFonts w:ascii="楷体_GB2312" w:hAnsi="Tahoma" w:eastAsia="宋体"/>
      <w:sz w:val="21"/>
      <w:lang w:val="en-US" w:eastAsia="zh-CN" w:bidi="ar-SA"/>
    </w:rPr>
  </w:style>
  <w:style w:type="character" w:styleId="1071">
    <w:name w:val="font141"/>
    <w:next w:val="1071"/>
    <w:link w:val="945"/>
    <w:rPr>
      <w:rFonts w:ascii="Times New Roman" w:hAnsi="Times New Roman" w:eastAsia="宋体" w:cs="Times New Roman"/>
      <w:i w:val="0"/>
      <w:color w:val="000000"/>
      <w:sz w:val="21"/>
      <w:szCs w:val="21"/>
      <w:u w:val="none"/>
      <w:vertAlign w:val="superscript"/>
    </w:rPr>
  </w:style>
  <w:style w:type="character" w:styleId="1072">
    <w:name w:val="font111"/>
    <w:next w:val="1072"/>
    <w:link w:val="945"/>
    <w:rPr>
      <w:rFonts w:ascii="Times New Roman" w:hAnsi="Times New Roman" w:eastAsia="宋体" w:cs="Times New Roman"/>
      <w:i w:val="0"/>
      <w:color w:val="000000"/>
      <w:sz w:val="21"/>
      <w:szCs w:val="21"/>
      <w:u w:val="none"/>
      <w:vertAlign w:val="subscript"/>
    </w:rPr>
  </w:style>
  <w:style w:type="character" w:styleId="1073">
    <w:name w:val="font41"/>
    <w:next w:val="1073"/>
    <w:link w:val="945"/>
    <w:qFormat/>
    <w:rPr>
      <w:rFonts w:hint="eastAsia" w:ascii="宋体" w:hAnsi="宋体" w:eastAsia="宋体" w:cs="宋体"/>
      <w:color w:val="000000"/>
      <w:sz w:val="18"/>
      <w:szCs w:val="18"/>
      <w:u w:val="none"/>
    </w:rPr>
  </w:style>
  <w:style w:type="paragraph" w:styleId="1074">
    <w:name w:val="xl54"/>
    <w:basedOn w:val="945"/>
    <w:next w:val="1074"/>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5">
    <w:name w:val="Char Char Char1 Char Char Char Char"/>
    <w:basedOn w:val="945"/>
    <w:next w:val="1075"/>
    <w:link w:val="945"/>
    <w:pPr>
      <w:jc w:val="left"/>
      <w:spacing w:after="160" w:line="240" w:lineRule="exact"/>
      <w:widowControl/>
    </w:pPr>
    <w:rPr>
      <w:rFonts w:eastAsia="宋体"/>
      <w:sz w:val="24"/>
      <w:szCs w:val="24"/>
    </w:rPr>
  </w:style>
  <w:style w:type="paragraph" w:styleId="1076">
    <w:name w:val="纯文本4"/>
    <w:basedOn w:val="945"/>
    <w:next w:val="1076"/>
    <w:link w:val="945"/>
    <w:qFormat/>
    <w:rPr>
      <w:rFonts w:ascii="宋体" w:hAnsi="Courier New" w:eastAsia="楷体_GB2312"/>
      <w:sz w:val="26"/>
      <w:szCs w:val="20"/>
    </w:rPr>
  </w:style>
  <w:style w:type="paragraph" w:styleId="1077">
    <w:name w:val="Char Char1 Char Char Char Char Char Char Char Char Char Char Char Char Char Char Char Char"/>
    <w:basedOn w:val="945"/>
    <w:next w:val="1077"/>
    <w:link w:val="945"/>
    <w:pPr>
      <w:jc w:val="left"/>
      <w:spacing w:after="160" w:line="240" w:lineRule="exact"/>
      <w:widowControl/>
    </w:pPr>
    <w:rPr>
      <w:rFonts w:ascii="Verdana" w:hAnsi="Verdana" w:eastAsia="宋体"/>
      <w:sz w:val="20"/>
      <w:lang w:eastAsia="en-US"/>
    </w:rPr>
  </w:style>
  <w:style w:type="paragraph" w:styleId="1078">
    <w:name w:val="msolistparagraph"/>
    <w:basedOn w:val="945"/>
    <w:next w:val="1078"/>
    <w:link w:val="945"/>
    <w:qFormat/>
    <w:pPr>
      <w:ind w:firstLine="420"/>
    </w:pPr>
    <w:rPr>
      <w:szCs w:val="21"/>
    </w:rPr>
  </w:style>
  <w:style w:type="paragraph" w:styleId="1079">
    <w:name w:val="xl66"/>
    <w:basedOn w:val="945"/>
    <w:next w:val="1079"/>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0">
    <w:name w:val="xl65"/>
    <w:basedOn w:val="945"/>
    <w:next w:val="1080"/>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1">
    <w:name w:val="Plain Text"/>
    <w:basedOn w:val="945"/>
    <w:next w:val="1081"/>
    <w:link w:val="945"/>
    <w:rPr>
      <w:rFonts w:ascii="宋体" w:hAnsi="Courier New"/>
      <w:sz w:val="28"/>
    </w:rPr>
  </w:style>
  <w:style w:type="paragraph" w:styleId="1082">
    <w:name w:val="分标题"/>
    <w:basedOn w:val="945"/>
    <w:next w:val="971"/>
    <w:link w:val="945"/>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83">
    <w:name w:val="xl47"/>
    <w:basedOn w:val="945"/>
    <w:next w:val="1083"/>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4">
    <w:name w:val="纯文本2"/>
    <w:basedOn w:val="945"/>
    <w:next w:val="1084"/>
    <w:link w:val="945"/>
    <w:qFormat/>
    <w:rPr>
      <w:rFonts w:ascii="宋体" w:hAnsi="Courier New"/>
      <w:sz w:val="28"/>
    </w:rPr>
  </w:style>
  <w:style w:type="paragraph" w:styleId="1085">
    <w:name w:val="+正文"/>
    <w:basedOn w:val="945"/>
    <w:next w:val="1085"/>
    <w:link w:val="945"/>
    <w:pPr>
      <w:ind w:firstLine="200"/>
      <w:spacing w:line="360" w:lineRule="auto"/>
    </w:pPr>
    <w:rPr>
      <w:rFonts w:eastAsia="宋体"/>
      <w:sz w:val="24"/>
      <w:szCs w:val="28"/>
    </w:rPr>
  </w:style>
  <w:style w:type="paragraph" w:styleId="1086">
    <w:name w:val="000左齐平"/>
    <w:basedOn w:val="945"/>
    <w:next w:val="1086"/>
    <w:link w:val="945"/>
    <w:qFormat/>
    <w:pPr>
      <w:ind w:firstLine="0"/>
      <w:jc w:val="left"/>
    </w:pPr>
    <w:rPr>
      <w:color w:val="000000"/>
    </w:rPr>
  </w:style>
  <w:style w:type="paragraph" w:styleId="1087">
    <w:name w:val="列表段落"/>
    <w:basedOn w:val="945"/>
    <w:next w:val="1087"/>
    <w:link w:val="945"/>
    <w:qFormat/>
    <w:pPr>
      <w:ind w:firstLine="420"/>
    </w:pPr>
  </w:style>
  <w:style w:type="paragraph" w:styleId="1088">
    <w:name w:val="xl52"/>
    <w:basedOn w:val="945"/>
    <w:next w:val="1088"/>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9">
    <w:name w:val="xl62"/>
    <w:basedOn w:val="945"/>
    <w:next w:val="1089"/>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0">
    <w:name w:val="并列样式"/>
    <w:basedOn w:val="945"/>
    <w:next w:val="945"/>
    <w:link w:val="945"/>
    <w:pPr>
      <w:ind w:left="839" w:hanging="419"/>
      <w:spacing w:before="120" w:after="120" w:line="360" w:lineRule="exact"/>
      <w:tabs>
        <w:tab w:val="left" w:pos="839" w:leader="none"/>
      </w:tabs>
    </w:pPr>
    <w:rPr>
      <w:rFonts w:eastAsia="宋体"/>
      <w:sz w:val="24"/>
    </w:rPr>
  </w:style>
  <w:style w:type="paragraph" w:styleId="1091">
    <w:name w:val="xl61"/>
    <w:basedOn w:val="945"/>
    <w:next w:val="1091"/>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2">
    <w:name w:val="正文 A"/>
    <w:next w:val="1092"/>
    <w:link w:val="94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93">
    <w:name w:val="Char Char1 Char Char Char Char Char Char Char"/>
    <w:basedOn w:val="945"/>
    <w:next w:val="1093"/>
    <w:link w:val="945"/>
  </w:style>
  <w:style w:type="paragraph" w:styleId="1094">
    <w:name w:val="小四 段落 宋体 Char Char Char Char Char Char"/>
    <w:next w:val="1094"/>
    <w:link w:val="945"/>
    <w:pPr>
      <w:ind w:firstLine="480"/>
    </w:pPr>
    <w:rPr>
      <w:rFonts w:ascii="宋体" w:hAnsi="宋体"/>
      <w:lang w:val="en-US" w:eastAsia="zh-CN" w:bidi="ar-SA"/>
    </w:rPr>
  </w:style>
  <w:style w:type="paragraph" w:styleId="1095">
    <w:name w:val="xl45"/>
    <w:basedOn w:val="945"/>
    <w:next w:val="1095"/>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6">
    <w:name w:val="xl53"/>
    <w:basedOn w:val="945"/>
    <w:next w:val="1096"/>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7">
    <w:name w:val="节标题"/>
    <w:basedOn w:val="945"/>
    <w:next w:val="971"/>
    <w:link w:val="945"/>
    <w:pPr>
      <w:ind w:left="420" w:hanging="420"/>
      <w:spacing w:before="120" w:after="120" w:line="360" w:lineRule="exact"/>
      <w:tabs>
        <w:tab w:val="left" w:pos="420" w:leader="none"/>
      </w:tabs>
      <w:outlineLvl w:val="1"/>
    </w:pPr>
    <w:rPr>
      <w:rFonts w:eastAsia="宋体"/>
      <w:b/>
      <w:bCs/>
      <w:sz w:val="28"/>
    </w:rPr>
  </w:style>
  <w:style w:type="paragraph" w:styleId="1098">
    <w:name w:val="Andy_正文"/>
    <w:basedOn w:val="945"/>
    <w:next w:val="1098"/>
    <w:link w:val="945"/>
    <w:qFormat/>
    <w:pPr>
      <w:ind w:firstLine="480"/>
      <w:spacing w:line="360" w:lineRule="auto"/>
    </w:pPr>
    <w:rPr>
      <w:rFonts w:ascii="Calibri" w:hAnsi="Calibri" w:eastAsia="宋体"/>
      <w:sz w:val="24"/>
      <w:szCs w:val="24"/>
    </w:rPr>
  </w:style>
  <w:style w:type="paragraph" w:styleId="1099">
    <w:name w:val="xl51"/>
    <w:basedOn w:val="945"/>
    <w:next w:val="1099"/>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0">
    <w:name w:val="_Style 12"/>
    <w:basedOn w:val="974"/>
    <w:next w:val="1100"/>
    <w:link w:val="945"/>
    <w:pPr>
      <w:jc w:val="left"/>
      <w:spacing w:line="360" w:lineRule="auto"/>
      <w:widowControl/>
    </w:pPr>
    <w:rPr>
      <w:sz w:val="24"/>
    </w:rPr>
  </w:style>
  <w:style w:type="paragraph" w:styleId="1101">
    <w:name w:val="修订"/>
    <w:next w:val="1101"/>
    <w:link w:val="945"/>
    <w:uiPriority w:val="99"/>
    <w:unhideWhenUsed/>
    <w:rPr>
      <w:rFonts w:eastAsia="楷体_GB2312"/>
      <w:sz w:val="26"/>
      <w:lang w:val="en-US" w:eastAsia="zh-CN" w:bidi="ar-SA"/>
    </w:rPr>
  </w:style>
  <w:style w:type="paragraph" w:styleId="1102">
    <w:name w:val="Default"/>
    <w:next w:val="1102"/>
    <w:link w:val="945"/>
    <w:qFormat/>
    <w:pPr>
      <w:widowControl w:val="off"/>
    </w:pPr>
    <w:rPr>
      <w:rFonts w:ascii="宋体" w:hAnsi="Calibri" w:cs="宋体"/>
      <w:color w:val="000000"/>
      <w:sz w:val="24"/>
      <w:szCs w:val="24"/>
      <w:lang w:val="en-US" w:eastAsia="zh-CN" w:bidi="ar-SA"/>
    </w:rPr>
  </w:style>
  <w:style w:type="paragraph" w:styleId="1103">
    <w:name w:val="xl57"/>
    <w:basedOn w:val="945"/>
    <w:next w:val="1103"/>
    <w:link w:val="9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4">
    <w:name w:val="xl49"/>
    <w:basedOn w:val="945"/>
    <w:next w:val="1104"/>
    <w:link w:val="945"/>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5">
    <w:name w:val="Char Char Char"/>
    <w:basedOn w:val="945"/>
    <w:next w:val="1105"/>
    <w:link w:val="945"/>
    <w:rPr>
      <w:rFonts w:ascii="Tahoma" w:hAnsi="Tahoma" w:eastAsia="宋体"/>
      <w:sz w:val="24"/>
    </w:rPr>
  </w:style>
  <w:style w:type="paragraph" w:styleId="1106">
    <w:name w:val="xl59"/>
    <w:basedOn w:val="945"/>
    <w:next w:val="1106"/>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7">
    <w:name w:val="xl63"/>
    <w:basedOn w:val="945"/>
    <w:next w:val="1107"/>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08">
    <w:name w:val="Char Char Char Char Char Char Char"/>
    <w:basedOn w:val="945"/>
    <w:next w:val="1108"/>
    <w:link w:val="945"/>
    <w:pPr>
      <w:ind w:left="432" w:hanging="432"/>
      <w:tabs>
        <w:tab w:val="left" w:pos="432" w:leader="none"/>
      </w:tabs>
    </w:pPr>
    <w:rPr>
      <w:rFonts w:ascii="Tahoma" w:hAnsi="Tahoma" w:eastAsia="宋体"/>
      <w:sz w:val="24"/>
    </w:rPr>
  </w:style>
  <w:style w:type="paragraph" w:styleId="1109">
    <w:name w:val="font5"/>
    <w:basedOn w:val="945"/>
    <w:next w:val="1109"/>
    <w:link w:val="945"/>
    <w:pPr>
      <w:jc w:val="left"/>
      <w:spacing w:before="100" w:beforeAutospacing="1" w:after="100" w:afterAutospacing="1"/>
      <w:widowControl/>
    </w:pPr>
    <w:rPr>
      <w:rFonts w:hint="eastAsia" w:ascii="宋体" w:hAnsi="宋体" w:eastAsia="宋体"/>
      <w:sz w:val="18"/>
      <w:szCs w:val="18"/>
    </w:rPr>
  </w:style>
  <w:style w:type="paragraph" w:styleId="1110">
    <w:name w:val="Char"/>
    <w:basedOn w:val="945"/>
    <w:next w:val="1110"/>
    <w:link w:val="945"/>
    <w:rPr>
      <w:rFonts w:ascii="Tahoma" w:hAnsi="Tahoma" w:eastAsia="宋体"/>
      <w:sz w:val="24"/>
    </w:rPr>
  </w:style>
  <w:style w:type="paragraph" w:styleId="1111">
    <w:name w:val="Blockquote"/>
    <w:basedOn w:val="945"/>
    <w:next w:val="1111"/>
    <w:link w:val="945"/>
    <w:qFormat/>
    <w:pPr>
      <w:ind w:left="360" w:right="360"/>
      <w:jc w:val="left"/>
      <w:spacing w:before="100" w:after="100"/>
    </w:pPr>
    <w:rPr>
      <w:sz w:val="24"/>
    </w:rPr>
  </w:style>
  <w:style w:type="paragraph" w:styleId="1112">
    <w:name w:val="Char Char Char Char Char Char Char Char Char1 Char"/>
    <w:basedOn w:val="974"/>
    <w:next w:val="1112"/>
    <w:link w:val="945"/>
    <w:pPr>
      <w:spacing w:line="360" w:lineRule="auto"/>
    </w:pPr>
    <w:rPr>
      <w:rFonts w:ascii="Tahoma" w:hAnsi="Tahoma"/>
      <w:sz w:val="24"/>
      <w:szCs w:val="24"/>
    </w:rPr>
  </w:style>
  <w:style w:type="paragraph" w:styleId="1113">
    <w:name w:val="font6"/>
    <w:basedOn w:val="945"/>
    <w:next w:val="1113"/>
    <w:link w:val="945"/>
    <w:pPr>
      <w:jc w:val="left"/>
      <w:spacing w:before="100" w:beforeAutospacing="1" w:after="100" w:afterAutospacing="1"/>
      <w:widowControl/>
    </w:pPr>
    <w:rPr>
      <w:rFonts w:hint="eastAsia" w:ascii="宋体" w:hAnsi="宋体" w:eastAsia="宋体" w:cs="Arial Unicode MS"/>
      <w:b/>
      <w:bCs/>
      <w:sz w:val="18"/>
      <w:szCs w:val="18"/>
    </w:rPr>
  </w:style>
  <w:style w:type="paragraph" w:styleId="1114">
    <w:name w:val="xl46"/>
    <w:basedOn w:val="945"/>
    <w:next w:val="1114"/>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5">
    <w:name w:val="xl58"/>
    <w:basedOn w:val="945"/>
    <w:next w:val="1115"/>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6">
    <w:name w:val="_Style 1"/>
    <w:basedOn w:val="945"/>
    <w:next w:val="1116"/>
    <w:link w:val="945"/>
    <w:uiPriority w:val="34"/>
    <w:qFormat/>
    <w:pPr>
      <w:ind w:firstLine="420"/>
    </w:pPr>
    <w:rPr>
      <w:rFonts w:ascii="Calibri" w:hAnsi="Calibri"/>
      <w:szCs w:val="22"/>
    </w:rPr>
  </w:style>
  <w:style w:type="paragraph" w:styleId="1117">
    <w:name w:val="xl64"/>
    <w:basedOn w:val="945"/>
    <w:next w:val="1117"/>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8">
    <w:name w:val="List Paragraph"/>
    <w:basedOn w:val="945"/>
    <w:next w:val="1118"/>
    <w:link w:val="945"/>
    <w:qFormat/>
    <w:pPr>
      <w:ind w:firstLine="420"/>
    </w:pPr>
  </w:style>
  <w:style w:type="paragraph" w:styleId="1119">
    <w:name w:val="xl55"/>
    <w:basedOn w:val="945"/>
    <w:next w:val="1119"/>
    <w:link w:val="94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0">
    <w:name w:val="xl56"/>
    <w:basedOn w:val="945"/>
    <w:next w:val="112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1">
    <w:name w:val="xl60"/>
    <w:basedOn w:val="945"/>
    <w:next w:val="1121"/>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2">
    <w:name w:val="分层标题"/>
    <w:basedOn w:val="945"/>
    <w:next w:val="971"/>
    <w:link w:val="945"/>
    <w:pPr>
      <w:ind w:left="709" w:hanging="709"/>
      <w:spacing w:before="120" w:after="120" w:line="360" w:lineRule="exact"/>
      <w:tabs>
        <w:tab w:val="left" w:pos="1080" w:leader="none"/>
      </w:tabs>
      <w:outlineLvl w:val="4"/>
    </w:pPr>
    <w:rPr>
      <w:rFonts w:eastAsia="宋体"/>
      <w:b/>
      <w:sz w:val="24"/>
      <w:szCs w:val="24"/>
    </w:rPr>
  </w:style>
  <w:style w:type="paragraph" w:styleId="1123">
    <w:name w:val="xl50"/>
    <w:basedOn w:val="945"/>
    <w:next w:val="1123"/>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24">
    <w:name w:val="xl48"/>
    <w:basedOn w:val="945"/>
    <w:next w:val="1124"/>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5">
    <w:name w:val="正文样式"/>
    <w:basedOn w:val="945"/>
    <w:next w:val="1125"/>
    <w:link w:val="945"/>
    <w:qFormat/>
    <w:pPr>
      <w:ind w:firstLine="584"/>
    </w:pPr>
    <w:rPr>
      <w:rFonts w:ascii="仿宋_GB2312" w:eastAsia="仿宋_GB2312"/>
      <w:spacing w:val="-4"/>
      <w:sz w:val="30"/>
      <w:szCs w:val="30"/>
    </w:rPr>
  </w:style>
  <w:style w:type="paragraph" w:styleId="1126">
    <w:name w:val="纯文本11"/>
    <w:basedOn w:val="945"/>
    <w:next w:val="1126"/>
    <w:link w:val="945"/>
    <w:uiPriority w:val="99"/>
    <w:qFormat/>
    <w:rPr>
      <w:rFonts w:ascii="宋体" w:hAnsi="Courier New" w:eastAsia="宋体"/>
      <w:sz w:val="21"/>
      <w:szCs w:val="22"/>
    </w:rPr>
  </w:style>
  <w:style w:type="paragraph" w:styleId="1127">
    <w:name w:val="首行缩进"/>
    <w:basedOn w:val="945"/>
    <w:next w:val="1127"/>
    <w:link w:val="945"/>
    <w:qFormat/>
    <w:pPr>
      <w:ind w:firstLine="480"/>
    </w:pPr>
    <w:rPr>
      <w:rFonts w:ascii="Times New Roman" w:hAnsi="Times New Roman"/>
      <w:szCs w:val="20"/>
      <w:lang w:val="zh-CN"/>
    </w:rPr>
  </w:style>
  <w:style w:type="paragraph" w:styleId="1128">
    <w:name w:val="默认段落字体 Para Char Char Char Char Char Char Char"/>
    <w:basedOn w:val="945"/>
    <w:next w:val="1128"/>
    <w:link w:val="945"/>
    <w:pPr>
      <w:spacing w:line="360" w:lineRule="auto"/>
    </w:pPr>
    <w:rPr>
      <w:rFonts w:ascii="Tahoma" w:hAnsi="Tahoma" w:eastAsia="宋体"/>
      <w:sz w:val="24"/>
    </w:rPr>
  </w:style>
  <w:style w:type="paragraph" w:styleId="1129">
    <w:name w:val="批注框文本1"/>
    <w:basedOn w:val="945"/>
    <w:next w:val="1129"/>
    <w:link w:val="945"/>
    <w:uiPriority w:val="1668"/>
    <w:semiHidden/>
    <w:qFormat/>
    <w:rPr>
      <w:sz w:val="18"/>
      <w:szCs w:val="18"/>
    </w:rPr>
  </w:style>
  <w:style w:type="paragraph" w:styleId="1130">
    <w:name w:val="p0"/>
    <w:basedOn w:val="945"/>
    <w:next w:val="1130"/>
    <w:link w:val="945"/>
    <w:qFormat/>
    <w:rPr>
      <w:rFonts w:hint="eastAsia"/>
    </w:rPr>
  </w:style>
  <w:style w:type="paragraph" w:styleId="1131">
    <w:name w:val="小四 段落 宋体 Char"/>
    <w:basedOn w:val="970"/>
    <w:next w:val="1131"/>
    <w:link w:val="945"/>
    <w:pPr>
      <w:ind w:left="0" w:right="-33" w:firstLine="480"/>
      <w:jc w:val="left"/>
      <w:spacing w:line="360" w:lineRule="auto"/>
      <w:tabs>
        <w:tab w:val="clear" w:pos="1125" w:leader="none"/>
      </w:tabs>
    </w:pPr>
    <w:rPr>
      <w:sz w:val="24"/>
    </w:rPr>
  </w:style>
  <w:style w:type="character" w:styleId="1132">
    <w:name w:val="NormalCharacter1"/>
    <w:next w:val="1132"/>
    <w:link w:val="1133"/>
    <w:semiHidden/>
    <w:qFormat/>
    <w:rPr>
      <w:sz w:val="20"/>
    </w:rPr>
  </w:style>
  <w:style w:type="paragraph" w:styleId="1133">
    <w:name w:val="UserStyle_4"/>
    <w:basedOn w:val="945"/>
    <w:next w:val="1133"/>
    <w:link w:val="1132"/>
    <w:qFormat/>
    <w:rPr>
      <w:rFonts w:eastAsia="宋体"/>
      <w:sz w:val="20"/>
    </w:rPr>
  </w:style>
  <w:style w:type="paragraph" w:styleId="1134">
    <w:name w:val="纯文本3"/>
    <w:basedOn w:val="945"/>
    <w:next w:val="1134"/>
    <w:link w:val="945"/>
    <w:qFormat/>
    <w:pPr>
      <w:jc w:val="both"/>
      <w:widowControl w:val="off"/>
    </w:pPr>
    <w:rPr>
      <w:rFonts w:ascii="宋体" w:hAnsi="Courier New"/>
      <w:sz w:val="21"/>
    </w:rPr>
  </w:style>
  <w:style w:type="paragraph" w:styleId="1135">
    <w:name w:val="列出段落2"/>
    <w:basedOn w:val="945"/>
    <w:next w:val="1135"/>
    <w:link w:val="945"/>
    <w:uiPriority w:val="34"/>
    <w:qFormat/>
    <w:pPr>
      <w:ind w:firstLine="420"/>
    </w:pPr>
    <w:rPr>
      <w:rFonts w:ascii="宋体" w:hAnsi="宋体"/>
      <w:sz w:val="24"/>
      <w:szCs w:val="24"/>
    </w:rPr>
  </w:style>
  <w:style w:type="paragraph" w:styleId="1136">
    <w:name w:val="表格正文"/>
    <w:next w:val="1136"/>
    <w:link w:val="945"/>
    <w:qFormat/>
    <w:pPr>
      <w:spacing w:before="20" w:after="20"/>
    </w:pPr>
    <w:rPr>
      <w:i/>
      <w:iCs/>
      <w:color w:val="0070c0"/>
      <w:sz w:val="24"/>
      <w:szCs w:val="22"/>
      <w:lang w:val="en-US" w:eastAsia="zh-CN" w:bidi="ar-SA"/>
    </w:rPr>
  </w:style>
  <w:style w:type="paragraph" w:styleId="1137">
    <w:name w:val="A 正文内容"/>
    <w:basedOn w:val="945"/>
    <w:next w:val="1137"/>
    <w:link w:val="945"/>
    <w:qFormat/>
    <w:pPr>
      <w:ind w:firstLine="480"/>
    </w:pPr>
    <w:rPr>
      <w:rFonts w:ascii="宋体" w:hAnsi="宋体"/>
    </w:rPr>
  </w:style>
  <w:style w:type="paragraph" w:styleId="1138">
    <w:name w:val="正文1"/>
    <w:next w:val="945"/>
    <w:link w:val="945"/>
    <w:qFormat/>
    <w:pPr>
      <w:jc w:val="both"/>
      <w:spacing w:line="360" w:lineRule="atLeast"/>
      <w:widowControl w:val="off"/>
    </w:pPr>
    <w:rPr>
      <w:lang w:val="en-US" w:eastAsia="zh-CN" w:bidi="ar-SA"/>
    </w:rPr>
  </w:style>
  <w:style w:type="paragraph" w:styleId="1139">
    <w:name w:val="Table Paragraph"/>
    <w:basedOn w:val="945"/>
    <w:next w:val="1139"/>
    <w:link w:val="945"/>
    <w:uiPriority w:val="1"/>
    <w:qFormat/>
    <w:rPr>
      <w:rFonts w:ascii="仿宋" w:hAnsi="仿宋" w:eastAsia="仿宋" w:cs="仿宋"/>
      <w:lang w:val="zh-CN" w:bidi="zh-CN"/>
    </w:rPr>
  </w:style>
  <w:style w:type="character" w:styleId="1140" w:default="1">
    <w:name w:val="Default Paragraph Font"/>
    <w:uiPriority w:val="1"/>
    <w:semiHidden/>
    <w:unhideWhenUsed/>
  </w:style>
  <w:style w:type="numbering" w:styleId="1141" w:default="1">
    <w:name w:val="No List"/>
    <w:uiPriority w:val="99"/>
    <w:semiHidden/>
    <w:unhideWhenUsed/>
  </w:style>
  <w:style w:type="table" w:styleId="11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5</cp:revision>
  <dcterms:created xsi:type="dcterms:W3CDTF">2023-04-15T01:25:00Z</dcterms:created>
  <dcterms:modified xsi:type="dcterms:W3CDTF">2026-04-08T08:12:34Z</dcterms:modified>
</cp:coreProperties>
</file>