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4"/>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4"/>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4"/>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4"/>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4"/>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4"/>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4"/>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4"/>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4"/>
        <w:ind w:left="2832" w:hanging="1900"/>
        <w:jc w:val="left"/>
        <w:spacing w:line="360" w:lineRule="auto"/>
        <w:tabs>
          <w:tab w:val="left" w:pos="3240" w:leader="none"/>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服务器、交换机等维保项目</w:t>
      </w:r>
      <w:r>
        <w:rPr>
          <w:rFonts w:hint="eastAsia" w:ascii="宋体" w:hAnsi="宋体"/>
          <w:bCs/>
          <w:color w:val="000000"/>
          <w:sz w:val="36"/>
          <w:szCs w:val="36"/>
          <w:highlight w:val="none"/>
        </w:rPr>
      </w:r>
      <w:r/>
    </w:p>
    <w:p>
      <w:pPr>
        <w:pStyle w:val="1074"/>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项目编号/包号：</w:t>
      </w:r>
      <w:r>
        <w:rPr>
          <w:rFonts w:hint="eastAsia" w:ascii="宋体" w:hAnsi="宋体"/>
          <w:bCs/>
          <w:color w:val="000000"/>
          <w:sz w:val="36"/>
          <w:szCs w:val="36"/>
          <w:highlight w:val="none"/>
        </w:rPr>
        <w:t xml:space="preserve">JSZC-320400-CTZB-G2026-0036</w:t>
      </w:r>
      <w:r>
        <w:rPr>
          <w:rFonts w:ascii="宋体" w:hAnsi="宋体"/>
          <w:bCs/>
          <w:color w:val="000000"/>
          <w:sz w:val="36"/>
          <w:szCs w:val="36"/>
          <w:highlight w:val="none"/>
        </w:rPr>
      </w:r>
      <w:r/>
    </w:p>
    <w:p>
      <w:pPr>
        <w:pStyle w:val="1074"/>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常州市肿瘤医院</w:t>
      </w:r>
      <w:r>
        <w:rPr>
          <w:rFonts w:ascii="宋体" w:hAnsi="宋体"/>
          <w:bCs/>
          <w:color w:val="000000"/>
          <w:sz w:val="36"/>
          <w:szCs w:val="36"/>
          <w:highlight w:val="none"/>
        </w:rPr>
      </w:r>
      <w:r/>
    </w:p>
    <w:p>
      <w:pPr>
        <w:pStyle w:val="1074"/>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4"/>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4"/>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4"/>
        <w:rPr>
          <w:rFonts w:ascii="宋体" w:hAnsi="宋体"/>
          <w:color w:val="000000"/>
          <w:highlight w:val="none"/>
        </w:rPr>
      </w:pPr>
      <w:r>
        <w:rPr>
          <w:rFonts w:ascii="宋体" w:hAnsi="宋体"/>
          <w:color w:val="000000"/>
          <w:highlight w:val="none"/>
        </w:rPr>
      </w:r>
      <w:r/>
    </w:p>
    <w:p>
      <w:pPr>
        <w:pStyle w:val="1074"/>
        <w:rPr>
          <w:rFonts w:ascii="宋体" w:hAnsi="宋体"/>
          <w:color w:val="000000"/>
          <w:highlight w:val="none"/>
        </w:rPr>
      </w:pPr>
      <w:r>
        <w:rPr>
          <w:rFonts w:ascii="宋体" w:hAnsi="宋体"/>
          <w:color w:val="000000"/>
          <w:highlight w:val="none"/>
        </w:rPr>
      </w:r>
      <w:r/>
    </w:p>
    <w:p>
      <w:pPr>
        <w:pStyle w:val="1074"/>
        <w:rPr>
          <w:rFonts w:ascii="宋体" w:hAnsi="宋体"/>
          <w:color w:val="000000"/>
          <w:highlight w:val="none"/>
        </w:rPr>
      </w:pPr>
      <w:r>
        <w:rPr>
          <w:rFonts w:ascii="宋体" w:hAnsi="宋体"/>
          <w:color w:val="000000"/>
          <w:highlight w:val="none"/>
        </w:rPr>
      </w:r>
      <w:r/>
    </w:p>
    <w:p>
      <w:pPr>
        <w:pStyle w:val="1126"/>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9"/>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9"/>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9"/>
          <w:color w:val="000000"/>
          <w:sz w:val="32"/>
          <w:szCs w:val="32"/>
          <w:highlight w:val="none"/>
        </w:rPr>
        <w:t xml:space="preserve">第三章   资</w:t>
      </w:r>
      <w:bookmarkStart w:id="1" w:name="_Hlt100754117"/>
      <w:r>
        <w:rPr>
          <w:rStyle w:val="1149"/>
          <w:color w:val="000000"/>
          <w:sz w:val="32"/>
          <w:szCs w:val="32"/>
          <w:highlight w:val="none"/>
        </w:rPr>
        <w:t xml:space="preserve">格</w:t>
      </w:r>
      <w:bookmarkEnd w:id="1"/>
      <w:r>
        <w:rPr>
          <w:rStyle w:val="1149"/>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9"/>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9"/>
          <w:color w:val="000000"/>
          <w:sz w:val="32"/>
          <w:szCs w:val="32"/>
          <w:highlight w:val="none"/>
        </w:rPr>
        <w:t xml:space="preserve">第五章   采购</w:t>
      </w:r>
      <w:bookmarkStart w:id="2" w:name="_Hlt100754103"/>
      <w:r/>
      <w:bookmarkStart w:id="3" w:name="_Hlt100754102"/>
      <w:r>
        <w:rPr>
          <w:rStyle w:val="1149"/>
          <w:color w:val="000000"/>
          <w:sz w:val="32"/>
          <w:szCs w:val="32"/>
          <w:highlight w:val="none"/>
        </w:rPr>
        <w:t xml:space="preserve">需</w:t>
      </w:r>
      <w:bookmarkEnd w:id="2"/>
      <w:r/>
      <w:bookmarkEnd w:id="3"/>
      <w:r>
        <w:rPr>
          <w:rStyle w:val="1149"/>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9"/>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9"/>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4"/>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4"/>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常州市肿瘤医院服务器、交换机等维保项目的潜在投标人应在“苏采云”政府采购一体化平台获取招标文件，并于</w:t>
      </w:r>
      <w:r>
        <w:rPr>
          <w:rFonts w:hint="eastAsia" w:ascii="仿宋" w:hAnsi="仿宋" w:eastAsia="仿宋"/>
          <w:b/>
          <w:bCs/>
          <w:color w:val="000000"/>
          <w:sz w:val="32"/>
          <w:szCs w:val="32"/>
          <w:highlight w:val="none"/>
        </w:rPr>
        <w:t xml:space="preserve">2026年04月24日14点00分</w:t>
      </w:r>
      <w:r>
        <w:rPr>
          <w:rFonts w:hint="eastAsia" w:ascii="仿宋" w:hAnsi="仿宋" w:eastAsia="仿宋" w:cs="宋体"/>
          <w:b/>
          <w:bCs/>
          <w:color w:val="000000"/>
          <w:sz w:val="32"/>
          <w:szCs w:val="32"/>
          <w:highlight w:val="none"/>
        </w:rPr>
        <w:t xml:space="preserve">（北京时间）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6"/>
        <w:ind w:firstLine="643"/>
        <w:jc w:val="left"/>
        <w:spacing w:before="240" w:line="360" w:lineRule="auto"/>
        <w:rPr>
          <w:rFonts w:ascii="仿宋" w:hAnsi="仿宋" w:eastAsia="仿宋"/>
          <w:color w:val="000000"/>
          <w:sz w:val="32"/>
          <w:szCs w:val="32"/>
          <w:highlight w:val="none"/>
        </w:rPr>
      </w:pPr>
      <w:r/>
      <w:bookmarkStart w:id="5" w:name="_Toc35393621"/>
      <w:r/>
      <w:bookmarkStart w:id="6" w:name="_Toc35393790"/>
      <w:r/>
      <w:bookmarkStart w:id="7" w:name="_Toc28359079"/>
      <w:r/>
      <w:bookmarkStart w:id="8" w:name="_Toc28359002"/>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1.项目编号/包号：</w:t>
      </w:r>
      <w:r>
        <w:rPr>
          <w:rFonts w:hint="eastAsia" w:ascii="仿宋" w:hAnsi="仿宋" w:eastAsia="仿宋"/>
          <w:color w:val="000000"/>
          <w:sz w:val="32"/>
          <w:szCs w:val="32"/>
          <w:highlight w:val="none"/>
        </w:rPr>
        <w:t xml:space="preserve">JSZC-320400-CTZB-G2026-0036</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bookmarkStart w:id="10" w:name="OLE_LINK5"/>
      <w:r>
        <w:rPr>
          <w:rFonts w:hint="eastAsia" w:ascii="仿宋" w:hAnsi="仿宋" w:eastAsia="仿宋"/>
          <w:color w:val="000000"/>
          <w:sz w:val="32"/>
          <w:szCs w:val="32"/>
          <w:highlight w:val="none"/>
        </w:rPr>
        <w:t xml:space="preserve">常州市肿瘤医院服务器、交换机等维保项目</w:t>
      </w:r>
      <w:bookmarkEnd w:id="10"/>
      <w:r>
        <w:rPr>
          <w:rFonts w:ascii="仿宋" w:hAnsi="仿宋" w:eastAsia="仿宋"/>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bCs/>
          <w:color w:val="000000"/>
          <w:sz w:val="32"/>
          <w:szCs w:val="32"/>
          <w:highlight w:val="none"/>
        </w:rPr>
        <w:t xml:space="preserve">165</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t xml:space="preserve">/三年</w:t>
      </w:r>
      <w:r>
        <w:rPr>
          <w:rFonts w:hint="eastAsia"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项目最高限价（如有）：</w:t>
      </w:r>
      <w:r>
        <w:rPr>
          <w:rFonts w:hint="eastAsia" w:ascii="仿宋" w:hAnsi="仿宋" w:eastAsia="仿宋"/>
          <w:bCs/>
          <w:color w:val="000000"/>
          <w:sz w:val="32"/>
          <w:szCs w:val="32"/>
          <w:highlight w:val="none"/>
        </w:rPr>
        <w:t xml:space="preserve">165</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t xml:space="preserve">/三年</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1"/>
        <w:gridCol w:w="996"/>
        <w:gridCol w:w="4277"/>
      </w:tblGrid>
      <w:tr>
        <w:trPr>
          <w:trHeight w:val="454"/>
        </w:trPr>
        <w:tc>
          <w:tcPr>
            <w:tcW w:w="382" w:type="dxa"/>
            <w:vAlign w:val="center"/>
            <w:textDirection w:val="lrTb"/>
            <w:noWrap w:val="false"/>
          </w:tcPr>
          <w:p>
            <w:pPr>
              <w:pStyle w:val="1074"/>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4"/>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4"/>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4"/>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4"/>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4" w:type="dxa"/>
            <w:vAlign w:val="center"/>
            <w:textDirection w:val="lrTb"/>
            <w:noWrap w:val="false"/>
          </w:tcPr>
          <w:p>
            <w:pPr>
              <w:pStyle w:val="1074"/>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4"/>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4"/>
              <w:jc w:val="center"/>
              <w:rPr>
                <w:rFonts w:hint="eastAsia" w:ascii="仿宋" w:hAnsi="仿宋" w:eastAsia="仿宋"/>
                <w:bCs/>
                <w:color w:val="000000"/>
                <w:sz w:val="32"/>
                <w:szCs w:val="32"/>
                <w:highlight w:val="none"/>
              </w:rPr>
            </w:pPr>
            <w:r>
              <w:rPr>
                <w:rFonts w:hint="eastAsia" w:ascii="仿宋" w:hAnsi="仿宋" w:eastAsia="仿宋"/>
                <w:color w:val="000000"/>
                <w:sz w:val="32"/>
                <w:szCs w:val="32"/>
                <w:highlight w:val="none"/>
              </w:rPr>
              <w:t xml:space="preserve">服务器、交换机等维保</w:t>
            </w:r>
            <w:r>
              <w:rPr>
                <w:rFonts w:hint="eastAsia" w:ascii="仿宋" w:hAnsi="仿宋" w:eastAsia="仿宋"/>
                <w:bCs/>
                <w:color w:val="000000"/>
                <w:sz w:val="32"/>
                <w:szCs w:val="32"/>
                <w:highlight w:val="none"/>
              </w:rPr>
            </w:r>
            <w:r/>
          </w:p>
        </w:tc>
        <w:tc>
          <w:tcPr>
            <w:tcW w:w="920" w:type="dxa"/>
            <w:vAlign w:val="center"/>
            <w:textDirection w:val="lrTb"/>
            <w:noWrap w:val="false"/>
          </w:tcPr>
          <w:p>
            <w:pPr>
              <w:pStyle w:val="1074"/>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165</w:t>
            </w:r>
            <w:r>
              <w:rPr>
                <w:rFonts w:ascii="仿宋" w:hAnsi="仿宋" w:eastAsia="仿宋"/>
                <w:bCs/>
                <w:color w:val="000000"/>
                <w:sz w:val="32"/>
                <w:szCs w:val="32"/>
                <w:highlight w:val="none"/>
              </w:rPr>
            </w:r>
            <w:r/>
          </w:p>
        </w:tc>
        <w:tc>
          <w:tcPr>
            <w:tcW w:w="539" w:type="dxa"/>
            <w:vAlign w:val="center"/>
            <w:textDirection w:val="lrTb"/>
            <w:noWrap w:val="false"/>
          </w:tcPr>
          <w:p>
            <w:pPr>
              <w:pStyle w:val="1074"/>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3年</w:t>
            </w:r>
            <w:r>
              <w:rPr>
                <w:rFonts w:ascii="仿宋" w:hAnsi="仿宋" w:eastAsia="仿宋"/>
                <w:bCs/>
                <w:color w:val="000000"/>
                <w:sz w:val="32"/>
                <w:szCs w:val="32"/>
                <w:highlight w:val="none"/>
              </w:rPr>
            </w:r>
            <w:r/>
          </w:p>
        </w:tc>
        <w:tc>
          <w:tcPr>
            <w:tcW w:w="2314" w:type="dxa"/>
            <w:vAlign w:val="center"/>
            <w:textDirection w:val="lrTb"/>
            <w:noWrap w:val="false"/>
          </w:tcPr>
          <w:p>
            <w:pPr>
              <w:pStyle w:val="1074"/>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对服务器、交换机等进行维保</w:t>
            </w:r>
            <w:r>
              <w:rPr>
                <w:rFonts w:ascii="仿宋" w:hAnsi="仿宋" w:eastAsia="仿宋"/>
                <w:color w:val="000000"/>
                <w:sz w:val="32"/>
                <w:szCs w:val="32"/>
                <w:highlight w:val="none"/>
              </w:rPr>
            </w:r>
            <w:r/>
          </w:p>
        </w:tc>
      </w:tr>
    </w:tbl>
    <w:p>
      <w:pPr>
        <w:pStyle w:val="1074"/>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合同履行期限：三年。</w:t>
      </w:r>
      <w:r>
        <w:rPr>
          <w:rFonts w:ascii="仿宋" w:hAnsi="仿宋" w:eastAsia="仿宋"/>
          <w:color w:val="000000"/>
          <w:sz w:val="32"/>
          <w:szCs w:val="32"/>
          <w:highlight w:val="none"/>
          <w:u w:val="singl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6"/>
        <w:ind w:firstLine="643"/>
        <w:jc w:val="left"/>
        <w:spacing w:before="0" w:line="360" w:lineRule="auto"/>
        <w:rPr>
          <w:rFonts w:ascii="仿宋" w:hAnsi="仿宋" w:eastAsia="仿宋"/>
          <w:color w:val="000000"/>
          <w:sz w:val="32"/>
          <w:szCs w:val="32"/>
          <w:highlight w:val="none"/>
        </w:rPr>
      </w:pPr>
      <w:r/>
      <w:bookmarkStart w:id="11" w:name="_Toc28359080"/>
      <w:r/>
      <w:bookmarkStart w:id="12" w:name="_Toc28359003"/>
      <w:r/>
      <w:bookmarkStart w:id="13" w:name="_Toc35393622"/>
      <w:r/>
      <w:bookmarkStart w:id="14" w:name="_Toc35393791"/>
      <w:r>
        <w:rPr>
          <w:rFonts w:ascii="仿宋" w:hAnsi="仿宋" w:eastAsia="仿宋"/>
          <w:color w:val="000000"/>
          <w:sz w:val="32"/>
          <w:szCs w:val="32"/>
          <w:highlight w:val="none"/>
        </w:rPr>
        <w:t xml:space="preserve">二、申请人的资格要求（须同时满足）</w:t>
      </w:r>
      <w:bookmarkEnd w:id="11"/>
      <w:r/>
      <w:bookmarkEnd w:id="12"/>
      <w:r/>
      <w:bookmarkEnd w:id="13"/>
      <w:r/>
      <w:bookmarkEnd w:id="14"/>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bookmarkStart w:id="15" w:name="_Toc28359004"/>
      <w:r/>
      <w:bookmarkStart w:id="16" w:name="_Toc28359081"/>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4"/>
        <w:ind w:firstLine="640"/>
        <w:spacing w:line="360" w:lineRule="auto"/>
        <w:rPr>
          <w:rFonts w:ascii="仿宋" w:hAnsi="仿宋" w:eastAsia="仿宋"/>
          <w:b/>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本项目专门面向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中小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小微企业  采购。即：</w:t>
      </w:r>
      <w:r>
        <w:rPr>
          <w:rFonts w:ascii="仿宋" w:hAnsi="仿宋" w:eastAsia="仿宋"/>
          <w:b/>
          <w:color w:val="000000"/>
          <w:sz w:val="32"/>
          <w:szCs w:val="32"/>
          <w:highlight w:val="none"/>
        </w:rPr>
        <w:t xml:space="preserve">提供的服务全部由符合政策要求的中小/小微企业承接。</w:t>
      </w:r>
      <w:r>
        <w:rPr>
          <w:rFonts w:ascii="仿宋" w:hAnsi="仿宋" w:eastAsia="仿宋"/>
          <w:b/>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4"/>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4"/>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4"/>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4"/>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4"/>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4"/>
        <w:ind w:firstLine="640"/>
        <w:spacing w:line="360" w:lineRule="auto"/>
        <w:tabs>
          <w:tab w:val="left" w:pos="900" w:leader="none"/>
          <w:tab w:val="left" w:pos="1134" w:leader="none"/>
          <w:tab w:val="left" w:pos="1589" w:leader="none"/>
          <w:tab w:val="left" w:pos="5521" w:leader="none"/>
        </w:tabs>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3.3其他特定资格要求：</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i/>
          <w:iCs/>
          <w:color w:val="000000"/>
          <w:sz w:val="32"/>
          <w:szCs w:val="32"/>
          <w:highlight w:val="none"/>
          <w:u w:val="single"/>
        </w:rPr>
      </w:r>
      <w:r/>
    </w:p>
    <w:p>
      <w:pPr>
        <w:pStyle w:val="1076"/>
        <w:ind w:firstLine="643"/>
        <w:jc w:val="left"/>
        <w:spacing w:before="0" w:line="360" w:lineRule="auto"/>
        <w:widowControl/>
        <w:rPr>
          <w:rFonts w:ascii="仿宋" w:hAnsi="仿宋" w:eastAsia="仿宋"/>
          <w:color w:val="000000"/>
          <w:sz w:val="32"/>
          <w:szCs w:val="32"/>
          <w:highlight w:val="none"/>
        </w:rPr>
      </w:pPr>
      <w:r/>
      <w:bookmarkEnd w:id="15"/>
      <w:r/>
      <w:bookmarkEnd w:id="16"/>
      <w:r/>
      <w:bookmarkStart w:id="17" w:name="_Toc35393792"/>
      <w:r/>
      <w:bookmarkStart w:id="18" w:name="_Toc35393623"/>
      <w:r>
        <w:rPr>
          <w:rFonts w:ascii="仿宋" w:hAnsi="仿宋" w:eastAsia="仿宋"/>
          <w:color w:val="000000"/>
          <w:sz w:val="32"/>
          <w:szCs w:val="32"/>
          <w:highlight w:val="none"/>
        </w:rPr>
        <w:t xml:space="preserve">三、获取招标文件</w:t>
      </w:r>
      <w:bookmarkEnd w:id="17"/>
      <w:r/>
      <w:bookmarkEnd w:id="18"/>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04</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03</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04</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10</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4"/>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4"/>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6"/>
        <w:ind w:firstLine="643"/>
        <w:jc w:val="left"/>
        <w:spacing w:before="0" w:line="360" w:lineRule="auto"/>
        <w:widowControl/>
        <w:rPr>
          <w:rFonts w:ascii="仿宋" w:hAnsi="仿宋" w:eastAsia="仿宋"/>
          <w:color w:val="000000"/>
          <w:sz w:val="32"/>
          <w:szCs w:val="32"/>
          <w:highlight w:val="none"/>
        </w:rPr>
      </w:pPr>
      <w:r/>
      <w:bookmarkStart w:id="19" w:name="_Toc28359082"/>
      <w:r/>
      <w:bookmarkStart w:id="20" w:name="_Toc28359005"/>
      <w:r/>
      <w:bookmarkStart w:id="21" w:name="_Toc35393793"/>
      <w:r/>
      <w:bookmarkStart w:id="22" w:name="_Toc35393624"/>
      <w:r>
        <w:rPr>
          <w:rFonts w:ascii="仿宋" w:hAnsi="仿宋" w:eastAsia="仿宋"/>
          <w:color w:val="000000"/>
          <w:sz w:val="32"/>
          <w:szCs w:val="32"/>
          <w:highlight w:val="none"/>
        </w:rPr>
        <w:t xml:space="preserve">四、提交投标文件</w:t>
      </w:r>
      <w:bookmarkEnd w:id="19"/>
      <w:r/>
      <w:bookmarkEnd w:id="20"/>
      <w:r>
        <w:rPr>
          <w:rFonts w:ascii="仿宋" w:hAnsi="仿宋" w:eastAsia="仿宋"/>
          <w:color w:val="000000"/>
          <w:sz w:val="32"/>
          <w:szCs w:val="32"/>
          <w:highlight w:val="none"/>
        </w:rPr>
        <w:t xml:space="preserve">截止时间、开标时间和地点</w:t>
      </w:r>
      <w:bookmarkEnd w:id="21"/>
      <w:r/>
      <w:bookmarkEnd w:id="22"/>
      <w:r>
        <w:rPr>
          <w:rFonts w:ascii="仿宋" w:hAnsi="仿宋" w:eastAsia="仿宋"/>
          <w:color w:val="000000"/>
          <w:sz w:val="32"/>
          <w:szCs w:val="32"/>
          <w:highlight w:val="none"/>
        </w:rPr>
      </w:r>
      <w:r/>
    </w:p>
    <w:p>
      <w:pPr>
        <w:pStyle w:val="1074"/>
        <w:ind w:firstLine="643"/>
        <w:spacing w:line="360" w:lineRule="auto"/>
        <w:rPr>
          <w:rFonts w:ascii="仿宋" w:hAnsi="仿宋" w:eastAsia="仿宋"/>
          <w:bCs/>
          <w:color w:val="000000"/>
          <w:sz w:val="32"/>
          <w:szCs w:val="32"/>
          <w:highlight w:val="none"/>
          <w:u w:val="single"/>
        </w:rPr>
      </w:pPr>
      <w:r>
        <w:rPr>
          <w:rFonts w:ascii="仿宋" w:hAnsi="仿宋" w:eastAsia="仿宋"/>
          <w:b/>
          <w:bCs/>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rPr>
        <w:t xml:space="preserve">2026年04月24日14点00分</w:t>
      </w:r>
      <w:r>
        <w:rPr>
          <w:rFonts w:hint="eastAsia" w:ascii="仿宋" w:hAnsi="仿宋" w:eastAsia="仿宋" w:cs="宋体"/>
          <w:b/>
          <w:bCs/>
          <w:color w:val="000000"/>
          <w:sz w:val="32"/>
          <w:szCs w:val="32"/>
          <w:highlight w:val="none"/>
        </w:rPr>
        <w:t xml:space="preserve">（北京时间）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4"/>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6"/>
        <w:ind w:firstLine="643"/>
        <w:jc w:val="left"/>
        <w:spacing w:before="0" w:line="360" w:lineRule="auto"/>
        <w:rPr>
          <w:rFonts w:ascii="仿宋" w:hAnsi="仿宋" w:eastAsia="仿宋"/>
          <w:color w:val="000000"/>
          <w:sz w:val="32"/>
          <w:szCs w:val="32"/>
          <w:highlight w:val="none"/>
        </w:rPr>
      </w:pPr>
      <w:r/>
      <w:bookmarkStart w:id="23" w:name="_Toc35393625"/>
      <w:r/>
      <w:bookmarkStart w:id="24" w:name="_Toc28359084"/>
      <w:r/>
      <w:bookmarkStart w:id="25" w:name="_Toc28359007"/>
      <w:r/>
      <w:bookmarkStart w:id="26" w:name="_Toc35393794"/>
      <w:r>
        <w:rPr>
          <w:rFonts w:ascii="仿宋" w:hAnsi="仿宋" w:eastAsia="仿宋"/>
          <w:color w:val="000000"/>
          <w:sz w:val="32"/>
          <w:szCs w:val="32"/>
          <w:highlight w:val="none"/>
        </w:rPr>
        <w:t xml:space="preserve">五、公告期限</w:t>
      </w:r>
      <w:bookmarkEnd w:id="23"/>
      <w:r/>
      <w:bookmarkEnd w:id="24"/>
      <w:r/>
      <w:bookmarkEnd w:id="25"/>
      <w:r/>
      <w:bookmarkEnd w:id="26"/>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6"/>
        <w:ind w:firstLine="643"/>
        <w:jc w:val="left"/>
        <w:spacing w:before="0" w:line="360" w:lineRule="auto"/>
        <w:rPr>
          <w:rFonts w:ascii="仿宋" w:hAnsi="仿宋" w:eastAsia="仿宋"/>
          <w:color w:val="000000"/>
          <w:sz w:val="32"/>
          <w:szCs w:val="32"/>
          <w:highlight w:val="none"/>
        </w:rPr>
      </w:pPr>
      <w:r/>
      <w:bookmarkStart w:id="27" w:name="_Toc35393626"/>
      <w:r/>
      <w:bookmarkStart w:id="28" w:name="_Toc35393795"/>
      <w:r>
        <w:rPr>
          <w:rFonts w:ascii="仿宋" w:hAnsi="仿宋" w:eastAsia="仿宋"/>
          <w:color w:val="000000"/>
          <w:sz w:val="32"/>
          <w:szCs w:val="32"/>
          <w:highlight w:val="none"/>
        </w:rPr>
        <w:t xml:space="preserve">六、其他补充事宜</w:t>
      </w:r>
      <w:bookmarkEnd w:id="27"/>
      <w:r/>
      <w:bookmarkEnd w:id="28"/>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4"/>
        <w:ind w:firstLine="640"/>
        <w:jc w:val="left"/>
        <w:spacing w:line="360" w:lineRule="auto"/>
        <w:rPr>
          <w:rFonts w:hint="eastAsia" w:ascii="仿宋" w:hAnsi="仿宋" w:eastAsia="仿宋"/>
          <w:color w:val="000000"/>
          <w:sz w:val="32"/>
          <w:szCs w:val="32"/>
          <w:highlight w:val="none"/>
          <w:lang w:bidi="ar"/>
        </w:rPr>
      </w:pPr>
      <w:r>
        <w:rPr>
          <w:rFonts w:ascii="仿宋" w:hAnsi="仿宋" w:eastAsia="仿宋"/>
          <w:color w:val="000000"/>
          <w:sz w:val="32"/>
          <w:szCs w:val="32"/>
          <w:highlight w:val="none"/>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4"/>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4"/>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4"/>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6"/>
        <w:ind w:firstLine="643"/>
        <w:jc w:val="left"/>
        <w:spacing w:before="0" w:line="360" w:lineRule="auto"/>
        <w:rPr>
          <w:rFonts w:ascii="仿宋" w:hAnsi="仿宋" w:eastAsia="仿宋"/>
          <w:color w:val="000000"/>
          <w:sz w:val="32"/>
          <w:szCs w:val="32"/>
          <w:highlight w:val="none"/>
        </w:rPr>
      </w:pPr>
      <w:r/>
      <w:bookmarkStart w:id="29" w:name="_Toc28359008"/>
      <w:r/>
      <w:bookmarkStart w:id="30" w:name="_Toc28359085"/>
      <w:r/>
      <w:bookmarkStart w:id="31" w:name="_Toc35393627"/>
      <w:r/>
      <w:bookmarkStart w:id="32" w:name="_Toc35393796"/>
      <w:r>
        <w:rPr>
          <w:rFonts w:ascii="仿宋" w:hAnsi="仿宋" w:eastAsia="仿宋"/>
          <w:color w:val="000000"/>
          <w:sz w:val="32"/>
          <w:szCs w:val="32"/>
          <w:highlight w:val="none"/>
        </w:rPr>
        <w:t xml:space="preserve">七、对本次招标提出询问，请按以下方式联系。</w:t>
      </w:r>
      <w:bookmarkEnd w:id="29"/>
      <w:r/>
      <w:bookmarkEnd w:id="30"/>
      <w:r/>
      <w:bookmarkEnd w:id="31"/>
      <w:r/>
      <w:bookmarkEnd w:id="32"/>
      <w:r>
        <w:rPr>
          <w:rFonts w:ascii="仿宋" w:hAnsi="仿宋" w:eastAsia="仿宋"/>
          <w:color w:val="000000"/>
          <w:sz w:val="32"/>
          <w:szCs w:val="32"/>
          <w:highlight w:val="none"/>
        </w:rPr>
      </w:r>
      <w:r/>
    </w:p>
    <w:p>
      <w:pPr>
        <w:pStyle w:val="1074"/>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4"/>
        <w:ind w:firstLine="640"/>
        <w:jc w:val="left"/>
        <w:spacing w:line="360" w:lineRule="auto"/>
        <w:rPr>
          <w:rFonts w:ascii="仿宋" w:hAnsi="仿宋" w:eastAsia="仿宋"/>
          <w:color w:val="000000"/>
          <w:sz w:val="32"/>
          <w:szCs w:val="32"/>
          <w:highlight w:val="none"/>
        </w:rPr>
      </w:pPr>
      <w:r/>
      <w:bookmarkStart w:id="33" w:name="_Toc28359086"/>
      <w:r/>
      <w:bookmarkStart w:id="34" w:name="_Toc28359009"/>
      <w:r>
        <w:rPr>
          <w:rFonts w:hint="eastAsia" w:ascii="仿宋" w:hAnsi="仿宋" w:eastAsia="仿宋"/>
          <w:color w:val="000000"/>
          <w:sz w:val="32"/>
          <w:szCs w:val="32"/>
          <w:highlight w:val="none"/>
        </w:rPr>
        <w:t xml:space="preserve">名    称：常州市肿瘤医院</w:t>
      </w:r>
      <w:r>
        <w:rPr>
          <w:rFonts w:ascii="仿宋" w:hAnsi="仿宋" w:eastAsia="仿宋"/>
          <w:color w:val="000000"/>
          <w:sz w:val="32"/>
          <w:szCs w:val="32"/>
          <w:highlight w:val="none"/>
        </w:rPr>
      </w:r>
      <w:r/>
    </w:p>
    <w:p>
      <w:pPr>
        <w:pStyle w:val="1074"/>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址：常州市新北区红河路68号</w:t>
      </w:r>
      <w:r>
        <w:rPr>
          <w:rFonts w:hint="eastAsia" w:ascii="仿宋" w:hAnsi="仿宋" w:eastAsia="仿宋"/>
          <w:color w:val="000000"/>
          <w:sz w:val="32"/>
          <w:szCs w:val="32"/>
          <w:highlight w:val="none"/>
        </w:rPr>
      </w:r>
      <w:r/>
    </w:p>
    <w:p>
      <w:pPr>
        <w:pStyle w:val="1074"/>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联系方式：刘老师  0519-69807043</w:t>
      </w:r>
      <w:r>
        <w:rPr>
          <w:rFonts w:hint="eastAsia" w:ascii="仿宋" w:hAnsi="仿宋" w:eastAsia="仿宋"/>
          <w:color w:val="000000"/>
          <w:sz w:val="32"/>
          <w:szCs w:val="32"/>
          <w:highlight w:val="none"/>
        </w:rPr>
      </w:r>
      <w:r/>
    </w:p>
    <w:p>
      <w:pPr>
        <w:pStyle w:val="1074"/>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3"/>
      <w:r/>
      <w:bookmarkEnd w:id="34"/>
      <w:r>
        <w:rPr>
          <w:rFonts w:ascii="仿宋" w:hAnsi="仿宋" w:eastAsia="仿宋"/>
          <w:b/>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rPr>
      </w:pPr>
      <w:r/>
      <w:bookmarkStart w:id="35" w:name="_Toc28359087"/>
      <w:r/>
      <w:bookmarkStart w:id="36"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4"/>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4"/>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5"/>
      <w:r/>
      <w:bookmarkEnd w:id="36"/>
      <w:r>
        <w:rPr>
          <w:rFonts w:hint="eastAsia" w:ascii="仿宋" w:hAnsi="仿宋" w:eastAsia="仿宋"/>
          <w:b/>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项目联系人：彭艳</w:t>
      </w:r>
      <w:r>
        <w:rPr>
          <w:rFonts w:hint="eastAsia" w:ascii="仿宋" w:hAnsi="仿宋" w:eastAsia="仿宋"/>
          <w:color w:val="000000"/>
          <w:sz w:val="32"/>
          <w:szCs w:val="32"/>
          <w:highlight w:val="none"/>
        </w:rPr>
      </w:r>
      <w:r/>
    </w:p>
    <w:p>
      <w:pPr>
        <w:pStyle w:val="1074"/>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81580192（转分机号6034）</w:t>
      </w:r>
      <w:r>
        <w:rPr>
          <w:rFonts w:ascii="仿宋" w:hAnsi="仿宋" w:eastAsia="仿宋"/>
          <w:color w:val="000000"/>
          <w:sz w:val="24"/>
          <w:highlight w:val="none"/>
        </w:rPr>
      </w:r>
      <w:r/>
    </w:p>
    <w:p>
      <w:pPr>
        <w:pStyle w:val="1074"/>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7" w:name="_Toc305158854"/>
      <w:r/>
      <w:bookmarkStart w:id="38" w:name="_Toc150774783"/>
      <w:r/>
      <w:bookmarkStart w:id="39" w:name="_Toc265228423"/>
      <w:r/>
      <w:bookmarkStart w:id="40" w:name="_Toc127151777"/>
      <w:r/>
      <w:bookmarkStart w:id="41" w:name="_Toc305158928"/>
      <w:r/>
      <w:bookmarkStart w:id="42" w:name="_Toc195842950"/>
      <w:r/>
      <w:bookmarkStart w:id="43" w:name="_Toc99301420"/>
      <w:r/>
      <w:bookmarkStart w:id="44" w:name="_Toc264969275"/>
      <w:r/>
      <w:bookmarkStart w:id="45" w:name="_Toc353873938"/>
      <w:r/>
      <w:bookmarkStart w:id="46" w:name="_Toc512937850"/>
      <w:r/>
      <w:bookmarkStart w:id="47" w:name="_Toc353825548"/>
      <w:r/>
      <w:bookmarkStart w:id="48" w:name="_Toc127161488"/>
      <w:r/>
      <w:bookmarkStart w:id="49" w:name="_Toc226965856"/>
      <w:r>
        <w:rPr>
          <w:rFonts w:ascii="宋体" w:hAnsi="宋体"/>
          <w:b/>
          <w:color w:val="000000"/>
          <w:sz w:val="36"/>
          <w:szCs w:val="36"/>
          <w:highlight w:val="none"/>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Fonts w:ascii="宋体" w:hAnsi="宋体"/>
          <w:b/>
          <w:color w:val="000000"/>
          <w:sz w:val="32"/>
          <w:szCs w:val="32"/>
          <w:highlight w:val="none"/>
        </w:rPr>
      </w:r>
      <w:r/>
    </w:p>
    <w:p>
      <w:pPr>
        <w:pStyle w:val="1076"/>
        <w:spacing w:before="0" w:line="360" w:lineRule="auto"/>
        <w:tabs>
          <w:tab w:val="center" w:pos="4592" w:leader="none"/>
          <w:tab w:val="left" w:pos="7860" w:leader="none"/>
        </w:tabs>
        <w:rPr>
          <w:rFonts w:ascii="宋体" w:hAnsi="宋体" w:eastAsia="宋体"/>
          <w:color w:val="000000"/>
          <w:sz w:val="28"/>
          <w:highlight w:val="none"/>
        </w:rPr>
      </w:pPr>
      <w:r/>
      <w:bookmarkStart w:id="50" w:name="_Toc150480757"/>
      <w:r/>
      <w:bookmarkStart w:id="51" w:name="_Toc127161433"/>
      <w:r/>
      <w:bookmarkStart w:id="52" w:name="_Toc149720812"/>
      <w:r/>
      <w:bookmarkStart w:id="53" w:name="_Toc164608633"/>
      <w:r/>
      <w:bookmarkStart w:id="54" w:name="_Toc151193833"/>
      <w:r/>
      <w:bookmarkStart w:id="55" w:name="_Toc226337215"/>
      <w:r/>
      <w:bookmarkStart w:id="56" w:name="_Toc164351613"/>
      <w:r/>
      <w:bookmarkStart w:id="57" w:name="_Toc151193907"/>
      <w:r/>
      <w:bookmarkStart w:id="58" w:name="_Toc151193617"/>
      <w:r/>
      <w:bookmarkStart w:id="59" w:name="_Toc150509270"/>
      <w:r/>
      <w:bookmarkStart w:id="60" w:name="_Toc226965792"/>
      <w:r/>
      <w:bookmarkStart w:id="61" w:name="_Toc226309763"/>
      <w:r/>
      <w:bookmarkStart w:id="62" w:name="_Toc226965709"/>
      <w:r/>
      <w:bookmarkStart w:id="63" w:name="_Toc150774724"/>
      <w:r/>
      <w:bookmarkStart w:id="64" w:name="_Toc127151720"/>
      <w:r/>
      <w:bookmarkStart w:id="65" w:name="_Toc151193761"/>
      <w:r/>
      <w:bookmarkStart w:id="66" w:name="_Toc151190146"/>
      <w:r/>
      <w:bookmarkStart w:id="67" w:name="_Toc164608788"/>
      <w:r/>
      <w:bookmarkStart w:id="68" w:name="_Toc127151519"/>
      <w:r/>
      <w:bookmarkStart w:id="69" w:name="_Toc150774619"/>
      <w:r/>
      <w:bookmarkStart w:id="70" w:name="_Toc142311021"/>
      <w:r/>
      <w:bookmarkStart w:id="71" w:name="_Toc520356144"/>
      <w:r/>
      <w:bookmarkStart w:id="72" w:name="_Toc164229214"/>
      <w:r/>
      <w:bookmarkStart w:id="73" w:name="_Toc151193689"/>
      <w:r/>
      <w:bookmarkStart w:id="74" w:name="_Toc195842884"/>
      <w:r/>
      <w:bookmarkStart w:id="75" w:name="_Toc164229360"/>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4"/>
        <w:jc w:val="center"/>
        <w:rPr>
          <w:rFonts w:ascii="宋体" w:hAnsi="宋体"/>
          <w:b/>
          <w:color w:val="000000"/>
          <w:sz w:val="28"/>
          <w:szCs w:val="28"/>
          <w:highlight w:val="none"/>
        </w:rPr>
      </w:pPr>
      <w:r>
        <w:rPr>
          <w:rFonts w:ascii="宋体" w:hAnsi="宋体"/>
          <w:b/>
          <w:color w:val="000000"/>
          <w:sz w:val="28"/>
          <w:szCs w:val="28"/>
          <w:highlight w:val="none"/>
        </w:rPr>
      </w:r>
      <w:r/>
    </w:p>
    <w:p>
      <w:pPr>
        <w:pStyle w:val="107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4"/>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4"/>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4"/>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13"/>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13"/>
              <w:rPr>
                <w:rFonts w:hAnsi="宋体" w:cs="宋体"/>
                <w:color w:val="000000"/>
                <w:sz w:val="24"/>
                <w:szCs w:val="24"/>
                <w:highlight w:val="none"/>
              </w:rPr>
            </w:pPr>
            <w:r>
              <w:rPr>
                <w:rFonts w:hAnsi="宋体" w:cs="宋体"/>
                <w:color w:val="000000"/>
                <w:sz w:val="24"/>
                <w:szCs w:val="24"/>
                <w:highlight w:val="none"/>
              </w:rPr>
              <w:t xml:space="preserve">□本项目__包为单一产品采购项目。</w:t>
            </w:r>
            <w:r>
              <w:rPr>
                <w:rFonts w:hAnsi="宋体" w:cs="宋体"/>
                <w:color w:val="000000"/>
                <w:sz w:val="24"/>
                <w:szCs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4"/>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13"/>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□需要，具体要求如下：</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本项目采购标的对应的中小企业划分标准所属行业：其他未列明行业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74"/>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74"/>
              <w:jc w:val="left"/>
              <w:spacing w:line="360" w:lineRule="exact"/>
              <w:rPr>
                <w:rFonts w:hint="eastAsia" w:ascii="宋体" w:hAnsi="宋体" w:cs="宋体"/>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ascii="Wingdings 2" w:hAnsi="Wingdings 2" w:eastAsia="Wingdings 2" w:cs="Wingdings 2"/>
                <w:color w:val="000000"/>
                <w:sz w:val="24"/>
                <w:highlight w:val="none"/>
              </w:rPr>
              <w:t xml:space="preserve">£</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04</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13</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81580192（转分机号6034）；</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74"/>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
                <w:color w:val="000000"/>
                <w:sz w:val="24"/>
                <w:highlight w:val="none"/>
              </w:rPr>
            </w:r>
            <w:r/>
          </w:p>
          <w:p>
            <w:pPr>
              <w:pStyle w:val="1074"/>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成交供应商须按其成交金额的0.9%计算并支付代理费，代理费不足人民币3000元的，按人民币3000元收取。</w: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b/>
                <w:color w:val="000000"/>
                <w:sz w:val="24"/>
                <w:highlight w:val="none"/>
              </w:rPr>
              <w:t xml:space="preserve">（三）缴纳时间：</w:t>
            </w:r>
            <w:r>
              <w:rPr>
                <w:rFonts w:hint="eastAsia" w:ascii="宋体" w:hAnsi="宋体" w:cs="宋体"/>
                <w:color w:val="000000"/>
                <w:sz w:val="24"/>
                <w:highlight w:val="none"/>
              </w:rPr>
              <w:t xml:space="preserve">中标人应在领取中标通知书时将三年代理费支付至常州市城投建设工程招标有限公司账户。</w:t>
            </w:r>
            <w:r>
              <w:rPr>
                <w:rFonts w:hint="eastAsia" w:ascii="宋体" w:hAnsi="宋体" w:cs="宋体"/>
                <w:color w:val="000000"/>
                <w:sz w:val="24"/>
                <w:highlight w:val="none"/>
              </w:rPr>
            </w:r>
            <w:r/>
          </w:p>
          <w:p>
            <w:pPr>
              <w:pStyle w:val="1074"/>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4"/>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4"/>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4"/>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4"/>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4"/>
        <w:jc w:val="center"/>
        <w:spacing w:before="240" w:after="240"/>
        <w:rPr>
          <w:rFonts w:hint="eastAsia" w:ascii="宋体" w:hAnsi="宋体" w:cs="宋体"/>
          <w:b/>
          <w:color w:val="000000"/>
          <w:sz w:val="28"/>
          <w:szCs w:val="28"/>
          <w:highlight w:val="none"/>
        </w:rPr>
      </w:pPr>
      <w:r/>
      <w:bookmarkStart w:id="76" w:name="_Toc127151517"/>
      <w:r/>
      <w:bookmarkStart w:id="77" w:name="_Toc353873932"/>
      <w:r/>
      <w:bookmarkStart w:id="78" w:name="_Toc150774722"/>
      <w:r/>
      <w:bookmarkStart w:id="79" w:name="_Toc265228355"/>
      <w:r/>
      <w:bookmarkStart w:id="80" w:name="_Toc195842882"/>
      <w:r/>
      <w:bookmarkStart w:id="81" w:name="_Toc353825542"/>
      <w:r/>
      <w:bookmarkStart w:id="82" w:name="_Toc305158859"/>
      <w:r/>
      <w:bookmarkStart w:id="83" w:name="_Toc226965790"/>
      <w:r/>
      <w:bookmarkStart w:id="84" w:name="_Toc150480755"/>
      <w:r/>
      <w:bookmarkStart w:id="85" w:name="_Toc142311019"/>
      <w:r/>
      <w:bookmarkStart w:id="86" w:name="_Toc353873662"/>
      <w:r/>
      <w:bookmarkStart w:id="87" w:name="_Toc305158785"/>
      <w:r/>
      <w:bookmarkStart w:id="88" w:name="_Toc264969207"/>
      <w:r/>
      <w:bookmarkStart w:id="89" w:name="_Toc226337213"/>
      <w:r>
        <w:rPr>
          <w:rFonts w:hint="eastAsia" w:ascii="宋体" w:hAnsi="宋体" w:cs="宋体"/>
          <w:b/>
          <w:color w:val="000000"/>
          <w:sz w:val="28"/>
          <w:szCs w:val="28"/>
          <w:highlight w:val="none"/>
        </w:rPr>
        <w:t xml:space="preserve">投标人须知</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hint="eastAsia" w:ascii="宋体" w:hAnsi="宋体" w:cs="宋体"/>
          <w:b/>
          <w:color w:val="000000"/>
          <w:sz w:val="28"/>
          <w:szCs w:val="28"/>
          <w:highlight w:val="none"/>
        </w:rPr>
      </w:r>
      <w:r/>
    </w:p>
    <w:p>
      <w:pPr>
        <w:pStyle w:val="1076"/>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90" w:name="_Toc520356143"/>
      <w:r/>
      <w:bookmarkStart w:id="91" w:name="_Toc127151518"/>
      <w:r>
        <w:rPr>
          <w:rFonts w:hint="eastAsia" w:ascii="宋体" w:hAnsi="宋体" w:eastAsia="宋体" w:cs="宋体"/>
          <w:color w:val="000000"/>
          <w:sz w:val="28"/>
          <w:highlight w:val="none"/>
        </w:rPr>
        <w:tab/>
      </w:r>
      <w:bookmarkStart w:id="92" w:name="_Toc305158786"/>
      <w:r/>
      <w:bookmarkStart w:id="93" w:name="_Toc226309762"/>
      <w:r/>
      <w:bookmarkStart w:id="94" w:name="_Toc226965791"/>
      <w:r/>
      <w:bookmarkStart w:id="95" w:name="_Toc150509269"/>
      <w:r/>
      <w:bookmarkStart w:id="96" w:name="_Toc151193906"/>
      <w:r/>
      <w:bookmarkStart w:id="97" w:name="_Toc151193832"/>
      <w:r/>
      <w:bookmarkStart w:id="98" w:name="_Toc305158860"/>
      <w:r/>
      <w:bookmarkStart w:id="99" w:name="_Toc195842883"/>
      <w:r/>
      <w:bookmarkStart w:id="100" w:name="_Toc226337214"/>
      <w:r/>
      <w:bookmarkStart w:id="101" w:name="_Toc151190145"/>
      <w:r/>
      <w:bookmarkStart w:id="102" w:name="_Toc150774723"/>
      <w:r/>
      <w:bookmarkStart w:id="103" w:name="_Toc142311020"/>
      <w:r/>
      <w:bookmarkStart w:id="104" w:name="_Toc150480756"/>
      <w:r/>
      <w:bookmarkStart w:id="105" w:name="_Toc264969208"/>
      <w:r/>
      <w:bookmarkStart w:id="106" w:name="_Toc265228356"/>
      <w:r/>
      <w:bookmarkStart w:id="107" w:name="_Toc151193616"/>
      <w:r/>
      <w:bookmarkStart w:id="108" w:name="_Toc150774618"/>
      <w:r/>
      <w:bookmarkStart w:id="109" w:name="_Toc151193760"/>
      <w:r/>
      <w:bookmarkStart w:id="110" w:name="_Toc151193688"/>
      <w:r/>
      <w:bookmarkStart w:id="111" w:name="_Toc226965708"/>
      <w:r>
        <w:rPr>
          <w:rFonts w:hint="eastAsia" w:ascii="宋体" w:hAnsi="宋体" w:eastAsia="宋体" w:cs="宋体"/>
          <w:color w:val="000000"/>
          <w:sz w:val="28"/>
          <w:highlight w:val="none"/>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12" w:name="_Toc264969209"/>
      <w:r/>
      <w:bookmarkStart w:id="113" w:name="_Toc265228357"/>
      <w:r/>
      <w:bookmarkStart w:id="114" w:name="_Toc305158861"/>
      <w:r/>
      <w:bookmarkStart w:id="115" w:name="_Toc305158787"/>
      <w:r>
        <w:rPr>
          <w:rFonts w:hint="eastAsia" w:ascii="宋体" w:hAnsi="宋体" w:cs="宋体"/>
          <w:b/>
          <w:color w:val="000000"/>
          <w:sz w:val="24"/>
          <w:highlight w:val="none"/>
        </w:rPr>
        <w:t xml:space="preserve">采购人、采购代理机构、投标人</w:t>
      </w:r>
      <w:bookmarkEnd w:id="112"/>
      <w:r/>
      <w:bookmarkEnd w:id="113"/>
      <w:r/>
      <w:bookmarkEnd w:id="114"/>
      <w:r/>
      <w:bookmarkEnd w:id="115"/>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16" w:name="_Toc149720813"/>
      <w:r/>
      <w:bookmarkStart w:id="117" w:name="_Toc150480758"/>
      <w:r/>
      <w:bookmarkStart w:id="118" w:name="_Toc226309764"/>
      <w:r/>
      <w:bookmarkStart w:id="119" w:name="_Toc151193908"/>
      <w:r/>
      <w:bookmarkStart w:id="120" w:name="_Toc265228358"/>
      <w:r/>
      <w:bookmarkStart w:id="121" w:name="_Toc127161434"/>
      <w:r/>
      <w:bookmarkStart w:id="122" w:name="_Toc151190147"/>
      <w:r/>
      <w:bookmarkStart w:id="123" w:name="_Toc164608634"/>
      <w:r/>
      <w:bookmarkStart w:id="124" w:name="_Toc150774725"/>
      <w:r/>
      <w:bookmarkStart w:id="125" w:name="_Toc195842885"/>
      <w:r/>
      <w:bookmarkStart w:id="126" w:name="_Toc151193690"/>
      <w:r/>
      <w:bookmarkStart w:id="127" w:name="_Toc142311022"/>
      <w:r/>
      <w:bookmarkStart w:id="128" w:name="_Toc151193834"/>
      <w:r/>
      <w:bookmarkStart w:id="129" w:name="_Toc127151520"/>
      <w:r/>
      <w:bookmarkStart w:id="130" w:name="_Toc151193762"/>
      <w:r/>
      <w:bookmarkStart w:id="131" w:name="_Toc305158788"/>
      <w:r/>
      <w:bookmarkStart w:id="132" w:name="_Toc305158862"/>
      <w:r/>
      <w:bookmarkStart w:id="133" w:name="_Toc164608789"/>
      <w:r/>
      <w:bookmarkStart w:id="134" w:name="_Toc151193618"/>
      <w:r/>
      <w:bookmarkStart w:id="135" w:name="_Toc164351614"/>
      <w:r/>
      <w:bookmarkStart w:id="136" w:name="_Toc226965793"/>
      <w:r/>
      <w:bookmarkStart w:id="137" w:name="_Toc226965710"/>
      <w:r/>
      <w:bookmarkStart w:id="138" w:name="_Toc164229215"/>
      <w:r/>
      <w:bookmarkStart w:id="139" w:name="_Toc226337216"/>
      <w:r/>
      <w:bookmarkStart w:id="140" w:name="_Toc127151721"/>
      <w:r/>
      <w:bookmarkStart w:id="141" w:name="_Toc164229361"/>
      <w:r/>
      <w:bookmarkStart w:id="142" w:name="_Toc150509271"/>
      <w:r/>
      <w:bookmarkStart w:id="143" w:name="_Toc150774620"/>
      <w:r/>
      <w:bookmarkStart w:id="144" w:name="_Toc264969210"/>
      <w:r>
        <w:rPr>
          <w:rFonts w:hint="eastAsia" w:ascii="宋体" w:hAnsi="宋体" w:cs="宋体"/>
          <w:b/>
          <w:color w:val="000000"/>
          <w:sz w:val="24"/>
          <w:highlight w:val="none"/>
        </w:rPr>
        <w:t xml:space="preserve">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5" w:name="_Toc151193620"/>
      <w:r/>
      <w:bookmarkStart w:id="146" w:name="_Toc226309766"/>
      <w:r/>
      <w:bookmarkStart w:id="147" w:name="_Toc305158790"/>
      <w:r/>
      <w:bookmarkStart w:id="148" w:name="_Toc151190149"/>
      <w:r/>
      <w:bookmarkStart w:id="149" w:name="_Toc265228360"/>
      <w:r/>
      <w:bookmarkStart w:id="150" w:name="_Toc150774622"/>
      <w:r/>
      <w:bookmarkStart w:id="151" w:name="_Toc127151522"/>
      <w:r/>
      <w:bookmarkStart w:id="152" w:name="_Toc264969212"/>
      <w:r/>
      <w:bookmarkStart w:id="153" w:name="_Toc142311024"/>
      <w:r/>
      <w:bookmarkStart w:id="154" w:name="_Toc151193692"/>
      <w:r/>
      <w:bookmarkStart w:id="155" w:name="_Toc150509273"/>
      <w:r/>
      <w:bookmarkStart w:id="156" w:name="_Toc150774727"/>
      <w:r/>
      <w:bookmarkStart w:id="157" w:name="_Toc226965712"/>
      <w:r/>
      <w:bookmarkStart w:id="158" w:name="_Toc150480760"/>
      <w:r/>
      <w:bookmarkStart w:id="159" w:name="_Toc151193764"/>
      <w:r/>
      <w:bookmarkStart w:id="160" w:name="_Toc195842887"/>
      <w:r/>
      <w:bookmarkStart w:id="161" w:name="_Toc305158864"/>
      <w:r/>
      <w:bookmarkStart w:id="162" w:name="_Toc226965795"/>
      <w:r/>
      <w:bookmarkStart w:id="163" w:name="_Toc151193910"/>
      <w:r/>
      <w:bookmarkStart w:id="164" w:name="_Toc151193836"/>
      <w:r/>
      <w:bookmarkStart w:id="165" w:name="_Toc520356146"/>
      <w:r/>
      <w:bookmarkStart w:id="166" w:name="_Toc226337218"/>
      <w:r>
        <w:rPr>
          <w:rFonts w:hint="eastAsia" w:ascii="宋体" w:hAnsi="宋体" w:cs="宋体"/>
          <w:color w:val="000000"/>
          <w:sz w:val="28"/>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4"/>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4"/>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4"/>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8"/>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2"/>
          <w:numId w:val="9"/>
        </w:numPr>
        <w:ind w:left="0" w:firstLine="480"/>
        <w:spacing w:line="360" w:lineRule="auto"/>
        <w:tabs>
          <w:tab w:val="left" w:pos="1276"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4"/>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4"/>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4"/>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4"/>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4"/>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4"/>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4"/>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4"/>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4"/>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8"/>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4"/>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4"/>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4"/>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4"/>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4"/>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4"/>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4"/>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4"/>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4"/>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4"/>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4"/>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4"/>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4"/>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4"/>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4"/>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4"/>
        <w:ind w:firstLine="480"/>
        <w:spacing w:line="360" w:lineRule="auto"/>
        <w:rPr>
          <w:rFonts w:hint="eastAsia" w:ascii="宋体" w:hAnsi="宋体" w:cs="宋体"/>
          <w:b/>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color w:val="000000"/>
          <w:sz w:val="24"/>
          <w:highlight w:val="none"/>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4"/>
        <w:ind w:firstLine="560"/>
        <w:spacing w:line="360" w:lineRule="auto"/>
        <w:tabs>
          <w:tab w:val="left" w:pos="1080" w:leader="none"/>
        </w:tabs>
        <w:rPr>
          <w:rFonts w:hint="eastAsia" w:ascii="宋体" w:hAnsi="宋体" w:cs="宋体"/>
          <w:color w:val="000000"/>
          <w:sz w:val="28"/>
          <w:highlight w:val="none"/>
        </w:rPr>
      </w:pPr>
      <w:r/>
      <w:bookmarkStart w:id="167" w:name="_1.8_计量单位"/>
      <w:r/>
      <w:bookmarkEnd w:id="167"/>
      <w:r>
        <w:rPr>
          <w:rFonts w:hint="eastAsia" w:ascii="宋体" w:hAnsi="宋体" w:cs="宋体"/>
          <w:color w:val="000000"/>
          <w:sz w:val="28"/>
          <w:highlight w:val="none"/>
        </w:rPr>
      </w:r>
      <w:r/>
    </w:p>
    <w:p>
      <w:pPr>
        <w:pStyle w:val="1076"/>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hint="eastAsia" w:ascii="宋体" w:hAnsi="宋体" w:eastAsia="宋体" w:cs="宋体"/>
          <w:color w:val="000000"/>
          <w:sz w:val="28"/>
          <w:highlight w:val="none"/>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8" w:name="_Toc264969213"/>
      <w:r/>
      <w:bookmarkStart w:id="169" w:name="_Toc151190150"/>
      <w:r/>
      <w:bookmarkStart w:id="170" w:name="_Toc150509274"/>
      <w:r/>
      <w:bookmarkStart w:id="171" w:name="_Toc151193911"/>
      <w:r/>
      <w:bookmarkStart w:id="172" w:name="_Toc164351617"/>
      <w:r/>
      <w:bookmarkStart w:id="173" w:name="_Toc305158865"/>
      <w:r/>
      <w:bookmarkStart w:id="174" w:name="_Toc164229364"/>
      <w:r/>
      <w:bookmarkStart w:id="175" w:name="_Toc127151724"/>
      <w:r/>
      <w:bookmarkStart w:id="176" w:name="_Toc151193621"/>
      <w:r/>
      <w:bookmarkStart w:id="177" w:name="_Toc195842888"/>
      <w:r/>
      <w:bookmarkStart w:id="178" w:name="_Toc164229218"/>
      <w:r/>
      <w:bookmarkStart w:id="179" w:name="_Toc226965796"/>
      <w:r/>
      <w:bookmarkStart w:id="180" w:name="_Toc164608637"/>
      <w:r/>
      <w:bookmarkStart w:id="181" w:name="_Toc127161437"/>
      <w:r/>
      <w:bookmarkStart w:id="182" w:name="_Toc150480761"/>
      <w:r/>
      <w:bookmarkStart w:id="183" w:name="_Toc151193837"/>
      <w:r/>
      <w:bookmarkStart w:id="184" w:name="_Toc142311025"/>
      <w:r/>
      <w:bookmarkStart w:id="185" w:name="_Toc149720816"/>
      <w:r/>
      <w:bookmarkStart w:id="186" w:name="_Toc164608792"/>
      <w:r/>
      <w:bookmarkStart w:id="187" w:name="_Toc127151523"/>
      <w:r/>
      <w:bookmarkStart w:id="188" w:name="_Toc226337219"/>
      <w:r/>
      <w:bookmarkStart w:id="189" w:name="_Toc265228361"/>
      <w:r/>
      <w:bookmarkStart w:id="190" w:name="_Toc151193765"/>
      <w:r/>
      <w:bookmarkStart w:id="191" w:name="_Toc150774623"/>
      <w:r/>
      <w:bookmarkStart w:id="192" w:name="_Toc150774728"/>
      <w:r/>
      <w:bookmarkStart w:id="193" w:name="_Toc151193693"/>
      <w:r/>
      <w:bookmarkStart w:id="194" w:name="_Toc305158791"/>
      <w:r/>
      <w:bookmarkStart w:id="195" w:name="_Toc226965713"/>
      <w:r/>
      <w:bookmarkStart w:id="196" w:name="_Toc520356147"/>
      <w:r/>
      <w:bookmarkStart w:id="197" w:name="_Toc226309767"/>
      <w:r>
        <w:rPr>
          <w:rFonts w:hint="eastAsia" w:ascii="宋体" w:hAnsi="宋体" w:cs="宋体"/>
          <w:b/>
          <w:color w:val="000000"/>
          <w:sz w:val="24"/>
          <w:highlight w:val="none"/>
        </w:rPr>
        <w:t xml:space="preserve">招标文件构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4"/>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4"/>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4"/>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4"/>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4"/>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4"/>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4"/>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4"/>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6"/>
        <w:ind w:firstLine="562"/>
        <w:spacing w:before="0" w:line="360" w:lineRule="auto"/>
        <w:rPr>
          <w:rFonts w:hint="eastAsia" w:ascii="宋体" w:hAnsi="宋体" w:eastAsia="宋体" w:cs="宋体"/>
          <w:color w:val="000000"/>
          <w:sz w:val="28"/>
          <w:highlight w:val="none"/>
        </w:rPr>
      </w:pPr>
      <w:r/>
      <w:bookmarkStart w:id="198" w:name="_Toc264969216"/>
      <w:r/>
      <w:bookmarkStart w:id="199" w:name="_Toc150774626"/>
      <w:r/>
      <w:bookmarkStart w:id="200" w:name="_Toc142311028"/>
      <w:r/>
      <w:bookmarkStart w:id="201" w:name="_Toc226337222"/>
      <w:r/>
      <w:bookmarkStart w:id="202" w:name="_Toc151193914"/>
      <w:r/>
      <w:bookmarkStart w:id="203" w:name="_Toc195842891"/>
      <w:r/>
      <w:bookmarkStart w:id="204" w:name="_Toc305158868"/>
      <w:r/>
      <w:bookmarkStart w:id="205" w:name="_Toc520356150"/>
      <w:r/>
      <w:bookmarkStart w:id="206" w:name="_Toc226965799"/>
      <w:r/>
      <w:bookmarkStart w:id="207" w:name="_Toc305158794"/>
      <w:r/>
      <w:bookmarkStart w:id="208" w:name="_Toc150774731"/>
      <w:r/>
      <w:bookmarkStart w:id="209" w:name="_Toc127151526"/>
      <w:r/>
      <w:bookmarkStart w:id="210" w:name="_Toc226965716"/>
      <w:r/>
      <w:bookmarkStart w:id="211" w:name="_Toc516367020"/>
      <w:r/>
      <w:bookmarkStart w:id="212" w:name="_Toc265228364"/>
      <w:r/>
      <w:bookmarkStart w:id="213" w:name="_Toc151193696"/>
      <w:r/>
      <w:bookmarkStart w:id="214" w:name="_Toc151193840"/>
      <w:r/>
      <w:bookmarkStart w:id="215" w:name="_Toc226309770"/>
      <w:r/>
      <w:bookmarkStart w:id="216" w:name="_Toc150480764"/>
      <w:r/>
      <w:bookmarkStart w:id="217" w:name="_Toc150509277"/>
      <w:r/>
      <w:bookmarkStart w:id="218" w:name="_Toc151190153"/>
      <w:r/>
      <w:bookmarkStart w:id="219" w:name="_Toc151193768"/>
      <w:r/>
      <w:bookmarkStart w:id="220" w:name="_Toc151193624"/>
      <w:r>
        <w:rPr>
          <w:rFonts w:hint="eastAsia" w:ascii="宋体" w:hAnsi="宋体" w:eastAsia="宋体" w:cs="宋体"/>
          <w:color w:val="000000"/>
          <w:sz w:val="28"/>
          <w:highlight w:val="none"/>
        </w:rPr>
        <w:t xml:space="preserve">三   投标文件</w:t>
      </w:r>
      <w:bookmarkEnd w:id="211"/>
      <w:r>
        <w:rPr>
          <w:rFonts w:hint="eastAsia" w:ascii="宋体" w:hAnsi="宋体" w:eastAsia="宋体" w:cs="宋体"/>
          <w:color w:val="000000"/>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2"/>
      <w:r/>
      <w:bookmarkEnd w:id="213"/>
      <w:r/>
      <w:bookmarkEnd w:id="214"/>
      <w:r/>
      <w:bookmarkEnd w:id="215"/>
      <w:r/>
      <w:bookmarkEnd w:id="216"/>
      <w:r/>
      <w:bookmarkEnd w:id="217"/>
      <w:r/>
      <w:bookmarkEnd w:id="218"/>
      <w:r/>
      <w:bookmarkEnd w:id="219"/>
      <w:r/>
      <w:bookmarkEnd w:id="220"/>
      <w:r>
        <w:rPr>
          <w:rFonts w:hint="eastAsia" w:ascii="宋体" w:hAnsi="宋体" w:eastAsia="宋体" w:cs="宋体"/>
          <w:color w:val="000000"/>
          <w:sz w:val="28"/>
          <w:highlight w:val="none"/>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1" w:name="_Toc150509278"/>
      <w:r/>
      <w:bookmarkStart w:id="222" w:name="_Toc164229368"/>
      <w:r/>
      <w:bookmarkStart w:id="223" w:name="_Toc151193841"/>
      <w:r/>
      <w:bookmarkStart w:id="224" w:name="_Toc151193625"/>
      <w:r/>
      <w:bookmarkStart w:id="225" w:name="_Toc265228365"/>
      <w:r/>
      <w:bookmarkStart w:id="226" w:name="_Toc150774732"/>
      <w:r/>
      <w:bookmarkStart w:id="227" w:name="_Toc305158795"/>
      <w:r/>
      <w:bookmarkStart w:id="228" w:name="_Toc151193697"/>
      <w:r/>
      <w:bookmarkStart w:id="229" w:name="_Toc151190154"/>
      <w:r/>
      <w:bookmarkStart w:id="230" w:name="_Toc226309771"/>
      <w:r/>
      <w:bookmarkStart w:id="231" w:name="_Toc516367021"/>
      <w:r/>
      <w:bookmarkStart w:id="232" w:name="_Toc164229222"/>
      <w:r/>
      <w:bookmarkStart w:id="233" w:name="_Toc127151527"/>
      <w:r/>
      <w:bookmarkStart w:id="234" w:name="_Toc520356151"/>
      <w:r/>
      <w:bookmarkStart w:id="235" w:name="_Toc151193769"/>
      <w:r/>
      <w:bookmarkStart w:id="236" w:name="_Toc142311029"/>
      <w:r/>
      <w:bookmarkStart w:id="237" w:name="_Toc164351621"/>
      <w:r/>
      <w:bookmarkStart w:id="238" w:name="_Toc305158869"/>
      <w:r/>
      <w:bookmarkStart w:id="239" w:name="_Toc226337223"/>
      <w:r/>
      <w:bookmarkStart w:id="240" w:name="_Toc127151728"/>
      <w:r/>
      <w:bookmarkStart w:id="241" w:name="_Toc150480765"/>
      <w:r/>
      <w:bookmarkStart w:id="242" w:name="_Toc151193915"/>
      <w:r/>
      <w:bookmarkStart w:id="243" w:name="_Toc127161441"/>
      <w:r/>
      <w:bookmarkStart w:id="244" w:name="_Toc164608641"/>
      <w:r/>
      <w:bookmarkStart w:id="245" w:name="_Toc226965717"/>
      <w:r/>
      <w:bookmarkStart w:id="246" w:name="_Toc150774627"/>
      <w:r/>
      <w:bookmarkStart w:id="247" w:name="_Toc149720820"/>
      <w:r/>
      <w:bookmarkStart w:id="248" w:name="_Toc195842892"/>
      <w:r/>
      <w:bookmarkStart w:id="249" w:name="_Toc226965800"/>
      <w:r/>
      <w:bookmarkStart w:id="250" w:name="_Toc164608796"/>
      <w:r/>
      <w:bookmarkStart w:id="251" w:name="_Toc264969217"/>
      <w:r>
        <w:rPr>
          <w:rFonts w:hint="eastAsia" w:ascii="宋体" w:hAnsi="宋体" w:cs="宋体"/>
          <w:b/>
          <w:color w:val="000000"/>
          <w:sz w:val="24"/>
          <w:highlight w:val="none"/>
        </w:rPr>
        <w:t xml:space="preserve">投标范围、投标文件中计量单位的使用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2" w:name="_Toc151193626"/>
      <w:r/>
      <w:bookmarkStart w:id="253" w:name="_Toc127151528"/>
      <w:r/>
      <w:bookmarkStart w:id="254" w:name="_Toc151193770"/>
      <w:r/>
      <w:bookmarkStart w:id="255" w:name="_Toc151193842"/>
      <w:r/>
      <w:bookmarkStart w:id="256" w:name="_Toc127161442"/>
      <w:r/>
      <w:bookmarkStart w:id="257" w:name="_Toc264969218"/>
      <w:r/>
      <w:bookmarkStart w:id="258" w:name="_Toc226309772"/>
      <w:r/>
      <w:bookmarkStart w:id="259" w:name="_Toc516367022"/>
      <w:r/>
      <w:bookmarkStart w:id="260" w:name="_Ref467306676"/>
      <w:r/>
      <w:bookmarkStart w:id="261" w:name="_Ref467306195"/>
      <w:r/>
      <w:bookmarkStart w:id="262" w:name="_Toc164229223"/>
      <w:r/>
      <w:bookmarkStart w:id="263" w:name="_Toc305158870"/>
      <w:r/>
      <w:bookmarkStart w:id="264" w:name="_Toc164229369"/>
      <w:r/>
      <w:bookmarkStart w:id="265" w:name="_Toc150774733"/>
      <w:r/>
      <w:bookmarkStart w:id="266" w:name="_Toc150509279"/>
      <w:r/>
      <w:bookmarkStart w:id="267" w:name="_Toc195842893"/>
      <w:r/>
      <w:bookmarkStart w:id="268" w:name="_Toc265228366"/>
      <w:r/>
      <w:bookmarkStart w:id="269" w:name="_Toc305158796"/>
      <w:r/>
      <w:bookmarkStart w:id="270" w:name="_Toc151193698"/>
      <w:r/>
      <w:bookmarkStart w:id="271" w:name="_Toc151190155"/>
      <w:r/>
      <w:bookmarkStart w:id="272" w:name="_Toc150480766"/>
      <w:r/>
      <w:bookmarkStart w:id="273" w:name="_Toc226965718"/>
      <w:r/>
      <w:bookmarkStart w:id="274" w:name="_Toc142311030"/>
      <w:r/>
      <w:bookmarkStart w:id="275" w:name="_Toc151193916"/>
      <w:r/>
      <w:bookmarkStart w:id="276" w:name="_Toc226337224"/>
      <w:r/>
      <w:bookmarkStart w:id="277" w:name="_Toc164351622"/>
      <w:r/>
      <w:bookmarkStart w:id="278" w:name="_Toc164608642"/>
      <w:r/>
      <w:bookmarkStart w:id="279" w:name="_Toc149720821"/>
      <w:r/>
      <w:bookmarkStart w:id="280" w:name="_Toc127151729"/>
      <w:r/>
      <w:bookmarkStart w:id="281" w:name="_Toc164608797"/>
      <w:r/>
      <w:bookmarkStart w:id="282" w:name="_Toc226965801"/>
      <w:r/>
      <w:bookmarkStart w:id="283" w:name="_Toc520356152"/>
      <w:r/>
      <w:bookmarkStart w:id="284" w:name="_Toc150774628"/>
      <w:r>
        <w:rPr>
          <w:rFonts w:hint="eastAsia" w:ascii="宋体" w:hAnsi="宋体" w:cs="宋体"/>
          <w:b/>
          <w:color w:val="000000"/>
          <w:sz w:val="24"/>
          <w:highlight w:val="none"/>
        </w:rPr>
        <w:t xml:space="preserve">投标文件</w:t>
      </w:r>
      <w:bookmarkEnd w:id="259"/>
      <w:r/>
      <w:bookmarkEnd w:id="260"/>
      <w:r/>
      <w:bookmarkEnd w:id="261"/>
      <w:r>
        <w:rPr>
          <w:rFonts w:hint="eastAsia" w:ascii="宋体" w:hAnsi="宋体" w:cs="宋体"/>
          <w:b/>
          <w:color w:val="000000"/>
          <w:sz w:val="24"/>
          <w:highlight w:val="none"/>
        </w:rPr>
        <w:t xml:space="preserve">构成</w:t>
      </w:r>
      <w:bookmarkEnd w:id="252"/>
      <w:r/>
      <w:bookmarkEnd w:id="253"/>
      <w:r/>
      <w:bookmarkEnd w:id="254"/>
      <w:r/>
      <w:bookmarkEnd w:id="255"/>
      <w:r/>
      <w:bookmarkEnd w:id="256"/>
      <w:r/>
      <w:bookmarkEnd w:id="257"/>
      <w:r/>
      <w:bookmarkEnd w:id="258"/>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Pr>
          <w:rFonts w:hint="eastAsia" w:ascii="宋体" w:hAnsi="宋体" w:cs="宋体"/>
          <w:b/>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5"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5"/>
      <w:r>
        <w:rPr>
          <w:rFonts w:hint="eastAsia" w:ascii="宋体" w:hAnsi="宋体" w:cs="宋体"/>
          <w:color w:val="000000"/>
          <w:sz w:val="24"/>
          <w:highlight w:val="none"/>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6" w:name="_Toc150774735"/>
      <w:r/>
      <w:bookmarkStart w:id="287" w:name="_Toc164608799"/>
      <w:r/>
      <w:bookmarkStart w:id="288" w:name="_Toc151193700"/>
      <w:r/>
      <w:bookmarkStart w:id="289" w:name="_Toc164229371"/>
      <w:r/>
      <w:bookmarkStart w:id="290" w:name="_Toc151193772"/>
      <w:r/>
      <w:bookmarkStart w:id="291" w:name="_Toc127161444"/>
      <w:r/>
      <w:bookmarkStart w:id="292" w:name="_Toc195842895"/>
      <w:r/>
      <w:bookmarkStart w:id="293" w:name="_Toc150509281"/>
      <w:r/>
      <w:bookmarkStart w:id="294" w:name="_Toc150480768"/>
      <w:r/>
      <w:bookmarkStart w:id="295" w:name="_Toc164229225"/>
      <w:r/>
      <w:bookmarkStart w:id="296" w:name="_Toc164351624"/>
      <w:r/>
      <w:bookmarkStart w:id="297" w:name="_Toc520356155"/>
      <w:r/>
      <w:bookmarkStart w:id="298" w:name="_Toc127151530"/>
      <w:r/>
      <w:bookmarkStart w:id="299" w:name="_Toc127151731"/>
      <w:r/>
      <w:bookmarkStart w:id="300" w:name="_Toc164608644"/>
      <w:r/>
      <w:bookmarkStart w:id="301" w:name="_Toc142311032"/>
      <w:r/>
      <w:bookmarkStart w:id="302" w:name="_Toc151193844"/>
      <w:r/>
      <w:bookmarkStart w:id="303" w:name="_Toc151193628"/>
      <w:r/>
      <w:bookmarkStart w:id="304" w:name="_Toc149720823"/>
      <w:r/>
      <w:bookmarkStart w:id="305" w:name="_Toc151190157"/>
      <w:r/>
      <w:bookmarkStart w:id="306" w:name="_Toc150774630"/>
      <w:r/>
      <w:bookmarkStart w:id="307" w:name="_Toc151193918"/>
      <w:r>
        <w:rPr>
          <w:rFonts w:hint="eastAsia" w:ascii="宋体" w:hAnsi="宋体" w:cs="宋体"/>
          <w:b/>
          <w:color w:val="000000"/>
          <w:sz w:val="24"/>
          <w:highlight w:val="none"/>
        </w:rPr>
        <w:t xml:space="preserve">投标报价</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rFonts w:hint="eastAsia" w:ascii="宋体" w:hAnsi="宋体" w:cs="宋体"/>
          <w:b/>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8" w:name="_Toc264969221"/>
      <w:r/>
      <w:bookmarkStart w:id="309" w:name="_Toc151193773"/>
      <w:r/>
      <w:bookmarkStart w:id="310" w:name="_Toc151193629"/>
      <w:r/>
      <w:bookmarkStart w:id="311" w:name="_Toc226965721"/>
      <w:r/>
      <w:bookmarkStart w:id="312" w:name="_Toc127161445"/>
      <w:r/>
      <w:bookmarkStart w:id="313" w:name="_Toc164229372"/>
      <w:r/>
      <w:bookmarkStart w:id="314" w:name="_Toc520356156"/>
      <w:r/>
      <w:bookmarkStart w:id="315" w:name="_Toc150774631"/>
      <w:r/>
      <w:bookmarkStart w:id="316" w:name="_Toc150480769"/>
      <w:r/>
      <w:bookmarkStart w:id="317" w:name="_Toc265228369"/>
      <w:r/>
      <w:bookmarkStart w:id="318" w:name="_Toc164351625"/>
      <w:r/>
      <w:bookmarkStart w:id="319" w:name="_Toc151190158"/>
      <w:r/>
      <w:bookmarkStart w:id="320" w:name="_Toc127151531"/>
      <w:r/>
      <w:bookmarkStart w:id="321" w:name="_Toc151193919"/>
      <w:r/>
      <w:bookmarkStart w:id="322" w:name="_Toc127151732"/>
      <w:r/>
      <w:bookmarkStart w:id="323" w:name="_Toc195842896"/>
      <w:r/>
      <w:bookmarkStart w:id="324" w:name="_Ref467306513"/>
      <w:r/>
      <w:bookmarkStart w:id="325" w:name="_Toc164229226"/>
      <w:r/>
      <w:bookmarkStart w:id="326" w:name="_Toc226309775"/>
      <w:r/>
      <w:bookmarkStart w:id="327" w:name="_Toc149720824"/>
      <w:r/>
      <w:bookmarkStart w:id="328" w:name="_Toc142311033"/>
      <w:r/>
      <w:bookmarkStart w:id="329" w:name="_Toc151193845"/>
      <w:r/>
      <w:bookmarkStart w:id="330" w:name="_Toc150509282"/>
      <w:r/>
      <w:bookmarkStart w:id="331" w:name="_Toc305158873"/>
      <w:r/>
      <w:bookmarkStart w:id="332" w:name="_Toc164608800"/>
      <w:r/>
      <w:bookmarkStart w:id="333" w:name="_Toc151193701"/>
      <w:r/>
      <w:bookmarkStart w:id="334" w:name="_Toc164608645"/>
      <w:r/>
      <w:bookmarkStart w:id="335" w:name="_Toc226965804"/>
      <w:r/>
      <w:bookmarkStart w:id="336" w:name="_Toc226337227"/>
      <w:r/>
      <w:bookmarkStart w:id="337" w:name="_Toc305158799"/>
      <w:r/>
      <w:bookmarkStart w:id="338" w:name="_Toc150774736"/>
      <w:r>
        <w:rPr>
          <w:rFonts w:hint="eastAsia" w:ascii="宋体" w:hAnsi="宋体" w:cs="宋体"/>
          <w:b/>
          <w:color w:val="000000"/>
          <w:sz w:val="24"/>
          <w:highlight w:val="none"/>
        </w:rPr>
        <w:t xml:space="preserve">投标保证金</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Pr>
          <w:rFonts w:hint="eastAsia" w:ascii="宋体" w:hAnsi="宋体" w:cs="宋体"/>
          <w:b/>
          <w:color w:val="000000"/>
          <w:sz w:val="24"/>
          <w:highlight w:val="none"/>
        </w:rPr>
      </w:r>
      <w:r/>
    </w:p>
    <w:p>
      <w:pPr>
        <w:pStyle w:val="1074"/>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9" w:name="_Toc226965722"/>
      <w:r/>
      <w:bookmarkStart w:id="340" w:name="_Toc150509283"/>
      <w:r/>
      <w:bookmarkStart w:id="341" w:name="_Toc149720825"/>
      <w:r/>
      <w:bookmarkStart w:id="342" w:name="_Toc150774737"/>
      <w:r/>
      <w:bookmarkStart w:id="343" w:name="_Toc195842897"/>
      <w:r/>
      <w:bookmarkStart w:id="344" w:name="_Toc164351626"/>
      <w:r/>
      <w:bookmarkStart w:id="345" w:name="_Toc264969222"/>
      <w:r/>
      <w:bookmarkStart w:id="346" w:name="_Toc151193702"/>
      <w:r/>
      <w:bookmarkStart w:id="347" w:name="_Toc164229227"/>
      <w:r/>
      <w:bookmarkStart w:id="348" w:name="_Toc226337228"/>
      <w:r/>
      <w:bookmarkStart w:id="349" w:name="_Toc265228370"/>
      <w:r/>
      <w:bookmarkStart w:id="350" w:name="_Toc127151733"/>
      <w:r/>
      <w:bookmarkStart w:id="351" w:name="_Toc151193846"/>
      <w:r/>
      <w:bookmarkStart w:id="352" w:name="_Toc164229373"/>
      <w:r/>
      <w:bookmarkStart w:id="353" w:name="_Toc226309776"/>
      <w:r/>
      <w:bookmarkStart w:id="354" w:name="_Toc305158874"/>
      <w:r/>
      <w:bookmarkStart w:id="355" w:name="_Toc127161446"/>
      <w:r/>
      <w:bookmarkStart w:id="356" w:name="_Toc151193920"/>
      <w:r/>
      <w:bookmarkStart w:id="357" w:name="_Toc164608646"/>
      <w:r/>
      <w:bookmarkStart w:id="358" w:name="_Toc150774632"/>
      <w:r/>
      <w:bookmarkStart w:id="359" w:name="_Toc142311034"/>
      <w:r/>
      <w:bookmarkStart w:id="360" w:name="_Toc151193774"/>
      <w:r/>
      <w:bookmarkStart w:id="361" w:name="_Toc305158800"/>
      <w:r/>
      <w:bookmarkStart w:id="362" w:name="_Toc226965805"/>
      <w:r/>
      <w:bookmarkStart w:id="363" w:name="_Toc164608801"/>
      <w:r/>
      <w:bookmarkStart w:id="364" w:name="_Toc520356157"/>
      <w:r/>
      <w:bookmarkStart w:id="365" w:name="_Toc151190159"/>
      <w:r/>
      <w:bookmarkStart w:id="366" w:name="_Toc150480770"/>
      <w:r/>
      <w:bookmarkStart w:id="367" w:name="_Toc151193630"/>
      <w:r/>
      <w:bookmarkStart w:id="368" w:name="_Toc127151532"/>
      <w:r>
        <w:rPr>
          <w:rFonts w:hint="eastAsia" w:ascii="宋体" w:hAnsi="宋体" w:cs="宋体"/>
          <w:b/>
          <w:color w:val="000000"/>
          <w:sz w:val="24"/>
          <w:highlight w:val="none"/>
        </w:rPr>
        <w:t xml:space="preserve">投标有效期</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rFonts w:hint="eastAsia" w:ascii="宋体" w:hAnsi="宋体" w:cs="宋体"/>
          <w:b/>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9" w:name="_Toc127151734"/>
      <w:r/>
      <w:bookmarkStart w:id="370" w:name="_Toc164608647"/>
      <w:r/>
      <w:bookmarkStart w:id="371" w:name="_Toc150774633"/>
      <w:r/>
      <w:bookmarkStart w:id="372" w:name="_Toc151193775"/>
      <w:r/>
      <w:bookmarkStart w:id="373" w:name="_Toc151193921"/>
      <w:r/>
      <w:bookmarkStart w:id="374" w:name="_Toc142311035"/>
      <w:r/>
      <w:bookmarkStart w:id="375" w:name="_Toc150509284"/>
      <w:r/>
      <w:bookmarkStart w:id="376" w:name="_Toc264969223"/>
      <w:r/>
      <w:bookmarkStart w:id="377" w:name="_Toc151193847"/>
      <w:r/>
      <w:bookmarkStart w:id="378" w:name="_Toc226965806"/>
      <w:r/>
      <w:bookmarkStart w:id="379" w:name="_Toc226965723"/>
      <w:r/>
      <w:bookmarkStart w:id="380" w:name="_Toc195842898"/>
      <w:r/>
      <w:bookmarkStart w:id="381" w:name="_Toc164229228"/>
      <w:r/>
      <w:bookmarkStart w:id="382" w:name="_Toc164351627"/>
      <w:r/>
      <w:bookmarkStart w:id="383" w:name="_Toc520356158"/>
      <w:r/>
      <w:bookmarkStart w:id="384" w:name="_Toc151193703"/>
      <w:r/>
      <w:bookmarkStart w:id="385" w:name="_Toc150480771"/>
      <w:r/>
      <w:bookmarkStart w:id="386" w:name="_Toc164229374"/>
      <w:r/>
      <w:bookmarkStart w:id="387" w:name="_Toc151193631"/>
      <w:r/>
      <w:bookmarkStart w:id="388" w:name="_Toc149720826"/>
      <w:r/>
      <w:bookmarkStart w:id="389" w:name="_Toc151190160"/>
      <w:r/>
      <w:bookmarkStart w:id="390" w:name="_Toc226337229"/>
      <w:r/>
      <w:bookmarkStart w:id="391" w:name="_Toc305158801"/>
      <w:r/>
      <w:bookmarkStart w:id="392" w:name="_Toc305158875"/>
      <w:r/>
      <w:bookmarkStart w:id="393" w:name="_Toc226309777"/>
      <w:r/>
      <w:bookmarkStart w:id="394" w:name="_Toc150774738"/>
      <w:r/>
      <w:bookmarkStart w:id="395" w:name="_Toc127151533"/>
      <w:r/>
      <w:bookmarkStart w:id="396" w:name="_Toc164608802"/>
      <w:r/>
      <w:bookmarkStart w:id="397" w:name="_Toc265228371"/>
      <w:r/>
      <w:bookmarkStart w:id="398" w:name="_Toc127161447"/>
      <w:r>
        <w:rPr>
          <w:rFonts w:hint="eastAsia" w:ascii="宋体" w:hAnsi="宋体" w:cs="宋体"/>
          <w:b/>
          <w:color w:val="000000"/>
          <w:sz w:val="24"/>
          <w:highlight w:val="none"/>
        </w:rPr>
        <w:t xml:space="preserve">投标文件的签署</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9" w:name="_Toc305158802"/>
      <w:r/>
      <w:bookmarkStart w:id="400" w:name="_Toc150774739"/>
      <w:r/>
      <w:bookmarkStart w:id="401" w:name="_Toc150480772"/>
      <w:r/>
      <w:bookmarkStart w:id="402" w:name="_Toc142311036"/>
      <w:r/>
      <w:bookmarkStart w:id="403" w:name="_Toc264969224"/>
      <w:r/>
      <w:bookmarkStart w:id="404" w:name="_Toc150509285"/>
      <w:r/>
      <w:bookmarkStart w:id="405" w:name="_Toc151193776"/>
      <w:r/>
      <w:bookmarkStart w:id="406" w:name="_Toc150774634"/>
      <w:r/>
      <w:bookmarkStart w:id="407" w:name="_Toc151193848"/>
      <w:r/>
      <w:bookmarkStart w:id="408" w:name="_Toc127151534"/>
      <w:r/>
      <w:bookmarkStart w:id="409" w:name="_Toc226965724"/>
      <w:r/>
      <w:bookmarkStart w:id="410" w:name="_Toc520356159"/>
      <w:r/>
      <w:bookmarkStart w:id="411" w:name="_Toc226965807"/>
      <w:r/>
      <w:bookmarkStart w:id="412" w:name="_Toc305158876"/>
      <w:r/>
      <w:bookmarkStart w:id="413" w:name="_Toc151190161"/>
      <w:r/>
      <w:bookmarkStart w:id="414" w:name="_Toc151193704"/>
      <w:r/>
      <w:bookmarkStart w:id="415" w:name="_Toc151193632"/>
      <w:r/>
      <w:bookmarkStart w:id="416" w:name="_Toc265228372"/>
      <w:r/>
      <w:bookmarkStart w:id="417" w:name="_Toc226337230"/>
      <w:r/>
      <w:bookmarkStart w:id="418" w:name="_Toc226309778"/>
      <w:r/>
      <w:bookmarkStart w:id="419" w:name="_Toc151193922"/>
      <w:r/>
      <w:bookmarkStart w:id="420" w:name="_Toc195842899"/>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4"/>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6"/>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hint="eastAsia" w:ascii="宋体" w:hAnsi="宋体" w:eastAsia="宋体" w:cs="宋体"/>
          <w:color w:val="000000"/>
          <w:sz w:val="28"/>
          <w:highlight w:val="none"/>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1" w:name="_Toc164229376"/>
      <w:r/>
      <w:bookmarkStart w:id="422" w:name="_Toc127161449"/>
      <w:r/>
      <w:bookmarkStart w:id="423" w:name="_Toc226965808"/>
      <w:r/>
      <w:bookmarkStart w:id="424" w:name="_Toc142311037"/>
      <w:r/>
      <w:bookmarkStart w:id="425" w:name="_Toc164229230"/>
      <w:r/>
      <w:bookmarkStart w:id="426" w:name="_Toc149720828"/>
      <w:r/>
      <w:bookmarkStart w:id="427" w:name="_Toc226309779"/>
      <w:r/>
      <w:bookmarkStart w:id="428" w:name="_Toc151193849"/>
      <w:r/>
      <w:bookmarkStart w:id="429" w:name="_Toc520356160"/>
      <w:r/>
      <w:bookmarkStart w:id="430" w:name="_Toc150509286"/>
      <w:r/>
      <w:bookmarkStart w:id="431" w:name="_Toc164608649"/>
      <w:r/>
      <w:bookmarkStart w:id="432" w:name="_Toc151190162"/>
      <w:r/>
      <w:bookmarkStart w:id="433" w:name="_Toc127151736"/>
      <w:r/>
      <w:bookmarkStart w:id="434" w:name="_Toc305158803"/>
      <w:r/>
      <w:bookmarkStart w:id="435" w:name="_Toc226965725"/>
      <w:r/>
      <w:bookmarkStart w:id="436" w:name="_Toc195842900"/>
      <w:r/>
      <w:bookmarkStart w:id="437" w:name="_Toc150480773"/>
      <w:r/>
      <w:bookmarkStart w:id="438" w:name="_Toc150774740"/>
      <w:r/>
      <w:bookmarkStart w:id="439" w:name="_Toc151193705"/>
      <w:r/>
      <w:bookmarkStart w:id="440" w:name="_Toc150774635"/>
      <w:r/>
      <w:bookmarkStart w:id="441" w:name="_Toc264969225"/>
      <w:r/>
      <w:bookmarkStart w:id="442" w:name="_Toc164351629"/>
      <w:r/>
      <w:bookmarkStart w:id="443" w:name="_Toc151193923"/>
      <w:r/>
      <w:bookmarkStart w:id="444" w:name="_Toc305158877"/>
      <w:r/>
      <w:bookmarkStart w:id="445" w:name="_Toc127151535"/>
      <w:r/>
      <w:bookmarkStart w:id="446" w:name="_Toc151193777"/>
      <w:r/>
      <w:bookmarkStart w:id="447" w:name="_Toc265228373"/>
      <w:r/>
      <w:bookmarkStart w:id="448" w:name="_Toc164608804"/>
      <w:r/>
      <w:bookmarkStart w:id="449" w:name="_Toc226337231"/>
      <w:r/>
      <w:bookmarkStart w:id="450" w:name="_Toc151193633"/>
      <w:r>
        <w:rPr>
          <w:rFonts w:hint="eastAsia" w:ascii="宋体" w:hAnsi="宋体" w:cs="宋体"/>
          <w:b/>
          <w:color w:val="000000"/>
          <w:sz w:val="24"/>
          <w:highlight w:val="none"/>
        </w:rPr>
        <w:t xml:space="preserve">投标文件的</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1" w:name="_Toc164229377"/>
      <w:r/>
      <w:bookmarkStart w:id="452" w:name="_Toc149720829"/>
      <w:r/>
      <w:bookmarkStart w:id="453" w:name="_Toc520356161"/>
      <w:r/>
      <w:bookmarkStart w:id="454" w:name="_Toc226965809"/>
      <w:r/>
      <w:bookmarkStart w:id="455" w:name="_Toc150774636"/>
      <w:r/>
      <w:bookmarkStart w:id="456" w:name="_Toc226965726"/>
      <w:r/>
      <w:bookmarkStart w:id="457" w:name="_Toc151193850"/>
      <w:r/>
      <w:bookmarkStart w:id="458" w:name="_Toc164351630"/>
      <w:r/>
      <w:bookmarkStart w:id="459" w:name="_Toc151190163"/>
      <w:r/>
      <w:bookmarkStart w:id="460" w:name="_Toc265228374"/>
      <w:r/>
      <w:bookmarkStart w:id="461" w:name="_Toc150774741"/>
      <w:r/>
      <w:bookmarkStart w:id="462" w:name="_Toc151193924"/>
      <w:r/>
      <w:bookmarkStart w:id="463" w:name="_Toc142311038"/>
      <w:r/>
      <w:bookmarkStart w:id="464" w:name="_Toc164229231"/>
      <w:r/>
      <w:bookmarkStart w:id="465" w:name="_Toc264969226"/>
      <w:r/>
      <w:bookmarkStart w:id="466" w:name="_Toc151193634"/>
      <w:r/>
      <w:bookmarkStart w:id="467" w:name="_Toc151193706"/>
      <w:r/>
      <w:bookmarkStart w:id="468" w:name="_Toc127151737"/>
      <w:r/>
      <w:bookmarkStart w:id="469" w:name="_Toc226337232"/>
      <w:r/>
      <w:bookmarkStart w:id="470" w:name="_Toc305158878"/>
      <w:r/>
      <w:bookmarkStart w:id="471" w:name="_Toc150480774"/>
      <w:r/>
      <w:bookmarkStart w:id="472" w:name="_Toc305158804"/>
      <w:r/>
      <w:bookmarkStart w:id="473" w:name="_Toc164608805"/>
      <w:r/>
      <w:bookmarkStart w:id="474" w:name="_Toc164608650"/>
      <w:r/>
      <w:bookmarkStart w:id="475" w:name="_Toc150509287"/>
      <w:r/>
      <w:bookmarkStart w:id="476" w:name="_Toc151193778"/>
      <w:r/>
      <w:bookmarkStart w:id="477" w:name="_Toc127161450"/>
      <w:r/>
      <w:bookmarkStart w:id="478" w:name="_Toc127151536"/>
      <w:r/>
      <w:bookmarkStart w:id="479" w:name="_Toc195842901"/>
      <w:r/>
      <w:bookmarkStart w:id="480" w:name="_Toc226309780"/>
      <w:r>
        <w:rPr>
          <w:rFonts w:hint="eastAsia" w:ascii="宋体" w:hAnsi="宋体" w:cs="宋体"/>
          <w:b/>
          <w:color w:val="000000"/>
          <w:sz w:val="24"/>
          <w:highlight w:val="none"/>
        </w:rPr>
        <w:t xml:space="preserve">投标截止</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1" w:name="_Toc305158805"/>
      <w:r/>
      <w:bookmarkStart w:id="482" w:name="_Toc164229378"/>
      <w:r/>
      <w:bookmarkStart w:id="483" w:name="_Toc226965810"/>
      <w:r/>
      <w:bookmarkStart w:id="484" w:name="_Toc150509288"/>
      <w:r/>
      <w:bookmarkStart w:id="485" w:name="_Toc151193707"/>
      <w:r/>
      <w:bookmarkStart w:id="486" w:name="_Toc151193851"/>
      <w:r/>
      <w:bookmarkStart w:id="487" w:name="_Toc151190164"/>
      <w:r/>
      <w:bookmarkStart w:id="488" w:name="_Toc195842902"/>
      <w:r/>
      <w:bookmarkStart w:id="489" w:name="_Toc164351631"/>
      <w:r/>
      <w:bookmarkStart w:id="490" w:name="_Toc305158879"/>
      <w:r/>
      <w:bookmarkStart w:id="491" w:name="_Toc226309781"/>
      <w:r/>
      <w:bookmarkStart w:id="492" w:name="_Toc150480775"/>
      <w:r/>
      <w:bookmarkStart w:id="493" w:name="_Toc226337233"/>
      <w:r/>
      <w:bookmarkStart w:id="494" w:name="_Toc127151738"/>
      <w:r/>
      <w:bookmarkStart w:id="495" w:name="_Toc150774742"/>
      <w:r/>
      <w:bookmarkStart w:id="496" w:name="_Toc265228375"/>
      <w:r/>
      <w:bookmarkStart w:id="497" w:name="_Toc164229232"/>
      <w:r/>
      <w:bookmarkStart w:id="498" w:name="_Toc164608651"/>
      <w:r/>
      <w:bookmarkStart w:id="499" w:name="_Toc151193779"/>
      <w:r/>
      <w:bookmarkStart w:id="500" w:name="_Toc226965727"/>
      <w:r/>
      <w:bookmarkStart w:id="501" w:name="_Toc127151537"/>
      <w:r/>
      <w:bookmarkStart w:id="502" w:name="_Toc264969227"/>
      <w:r/>
      <w:bookmarkStart w:id="503" w:name="_Toc142311039"/>
      <w:r/>
      <w:bookmarkStart w:id="504" w:name="_Toc151193635"/>
      <w:r/>
      <w:bookmarkStart w:id="505" w:name="_Toc151193925"/>
      <w:r/>
      <w:bookmarkStart w:id="506" w:name="_Toc149720830"/>
      <w:r/>
      <w:bookmarkStart w:id="507" w:name="_Toc520356162"/>
      <w:r/>
      <w:bookmarkStart w:id="508" w:name="_Toc164608806"/>
      <w:r/>
      <w:bookmarkStart w:id="509" w:name="_Toc127161451"/>
      <w:r/>
      <w:bookmarkStart w:id="510" w:name="_Toc150774637"/>
      <w:r>
        <w:rPr>
          <w:rFonts w:hint="eastAsia" w:ascii="宋体" w:hAnsi="宋体" w:cs="宋体"/>
          <w:b/>
          <w:color w:val="000000"/>
          <w:sz w:val="24"/>
          <w:highlight w:val="none"/>
        </w:rPr>
        <w:t xml:space="preserve">投标文件的修改与撤回</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rFonts w:hint="eastAsia" w:ascii="宋体" w:hAnsi="宋体" w:cs="宋体"/>
          <w:b/>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6"/>
        <w:ind w:firstLine="562"/>
        <w:spacing w:before="0" w:line="360" w:lineRule="auto"/>
        <w:rPr>
          <w:rFonts w:hint="eastAsia" w:ascii="宋体" w:hAnsi="宋体" w:eastAsia="宋体" w:cs="宋体"/>
          <w:color w:val="000000"/>
          <w:sz w:val="28"/>
          <w:highlight w:val="none"/>
        </w:rPr>
      </w:pPr>
      <w:r/>
      <w:bookmarkStart w:id="511" w:name="_Toc226337234"/>
      <w:r/>
      <w:bookmarkStart w:id="512" w:name="_Toc142311040"/>
      <w:r/>
      <w:bookmarkStart w:id="513" w:name="_Toc151193708"/>
      <w:r/>
      <w:bookmarkStart w:id="514" w:name="_Toc151193852"/>
      <w:r/>
      <w:bookmarkStart w:id="515" w:name="_Toc264969228"/>
      <w:r/>
      <w:bookmarkStart w:id="516" w:name="_Toc150774743"/>
      <w:r/>
      <w:bookmarkStart w:id="517" w:name="_Toc265228376"/>
      <w:r/>
      <w:bookmarkStart w:id="518" w:name="_Toc305158880"/>
      <w:r/>
      <w:bookmarkStart w:id="519" w:name="_Toc151193780"/>
      <w:r/>
      <w:bookmarkStart w:id="520" w:name="_Toc226965811"/>
      <w:r/>
      <w:bookmarkStart w:id="521" w:name="_Toc151193636"/>
      <w:r/>
      <w:bookmarkStart w:id="522" w:name="_Toc226309782"/>
      <w:r/>
      <w:bookmarkStart w:id="523" w:name="_Toc151190165"/>
      <w:r/>
      <w:bookmarkStart w:id="524" w:name="_Toc127151538"/>
      <w:r/>
      <w:bookmarkStart w:id="525" w:name="_Toc226965728"/>
      <w:r/>
      <w:bookmarkStart w:id="526" w:name="_Toc150774638"/>
      <w:r/>
      <w:bookmarkStart w:id="527" w:name="_Toc150509289"/>
      <w:r/>
      <w:bookmarkStart w:id="528" w:name="_Toc151193926"/>
      <w:r/>
      <w:bookmarkStart w:id="529" w:name="_Toc150480776"/>
      <w:r/>
      <w:bookmarkStart w:id="530" w:name="_Toc520356163"/>
      <w:r/>
      <w:bookmarkStart w:id="531" w:name="_Toc195842903"/>
      <w:r/>
      <w:bookmarkStart w:id="532" w:name="_Toc305158806"/>
      <w:r>
        <w:rPr>
          <w:rFonts w:hint="eastAsia" w:ascii="宋体" w:hAnsi="宋体" w:eastAsia="宋体" w:cs="宋体"/>
          <w:color w:val="000000"/>
          <w:sz w:val="28"/>
          <w:highlight w:val="none"/>
        </w:rPr>
        <w:t xml:space="preserve">五   开标、资格审查及评标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Pr>
          <w:rFonts w:hint="eastAsia" w:ascii="宋体" w:hAnsi="宋体" w:eastAsia="宋体" w:cs="宋体"/>
          <w:color w:val="000000"/>
          <w:sz w:val="28"/>
          <w:highlight w:val="none"/>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3" w:name="_Toc226337235"/>
      <w:r/>
      <w:bookmarkStart w:id="534" w:name="_Toc164351633"/>
      <w:r/>
      <w:bookmarkStart w:id="535" w:name="_Toc150774639"/>
      <w:r/>
      <w:bookmarkStart w:id="536" w:name="_Toc149720832"/>
      <w:r/>
      <w:bookmarkStart w:id="537" w:name="_Toc226309783"/>
      <w:r/>
      <w:bookmarkStart w:id="538" w:name="_Toc127151539"/>
      <w:r/>
      <w:bookmarkStart w:id="539" w:name="_Toc142311041"/>
      <w:r/>
      <w:bookmarkStart w:id="540" w:name="_Toc150509290"/>
      <w:r/>
      <w:bookmarkStart w:id="541" w:name="_Toc151193709"/>
      <w:r/>
      <w:bookmarkStart w:id="542" w:name="_Toc151193853"/>
      <w:r/>
      <w:bookmarkStart w:id="543" w:name="_Toc127151740"/>
      <w:r/>
      <w:bookmarkStart w:id="544" w:name="_Toc226965729"/>
      <w:r/>
      <w:bookmarkStart w:id="545" w:name="_Toc151193927"/>
      <w:r/>
      <w:bookmarkStart w:id="546" w:name="_Toc164608653"/>
      <w:r/>
      <w:bookmarkStart w:id="547" w:name="_Toc151193781"/>
      <w:r/>
      <w:bookmarkStart w:id="548" w:name="_Toc164608808"/>
      <w:r/>
      <w:bookmarkStart w:id="549" w:name="_Toc305158807"/>
      <w:r/>
      <w:bookmarkStart w:id="550" w:name="_Toc151193637"/>
      <w:r/>
      <w:bookmarkStart w:id="551" w:name="_Toc150480777"/>
      <w:r/>
      <w:bookmarkStart w:id="552" w:name="_Toc520356164"/>
      <w:r/>
      <w:bookmarkStart w:id="553" w:name="_Toc150774744"/>
      <w:r/>
      <w:bookmarkStart w:id="554" w:name="_Toc164229234"/>
      <w:r/>
      <w:bookmarkStart w:id="555" w:name="_Toc195842904"/>
      <w:r/>
      <w:bookmarkStart w:id="556" w:name="_Toc265228377"/>
      <w:r/>
      <w:bookmarkStart w:id="557" w:name="_Toc226965812"/>
      <w:r/>
      <w:bookmarkStart w:id="558" w:name="_Toc164229380"/>
      <w:r/>
      <w:bookmarkStart w:id="559" w:name="_Toc264969229"/>
      <w:r/>
      <w:bookmarkStart w:id="560" w:name="_Toc127161453"/>
      <w:r/>
      <w:bookmarkStart w:id="561" w:name="_Toc305158881"/>
      <w:r/>
      <w:bookmarkStart w:id="562" w:name="_Toc151190166"/>
      <w:r>
        <w:rPr>
          <w:rFonts w:hint="eastAsia" w:ascii="宋体" w:hAnsi="宋体" w:cs="宋体"/>
          <w:b/>
          <w:color w:val="000000"/>
          <w:sz w:val="24"/>
          <w:highlight w:val="none"/>
        </w:rPr>
        <w:t xml:space="preserve">开标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rFonts w:hint="eastAsia" w:ascii="宋体" w:hAnsi="宋体" w:cs="宋体"/>
          <w:b/>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3"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4"/>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4"/>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3"/>
      <w:r/>
      <w:bookmarkStart w:id="564" w:name="_Toc127151540"/>
      <w:r/>
      <w:bookmarkStart w:id="565" w:name="_Toc151193928"/>
      <w:r/>
      <w:bookmarkStart w:id="566" w:name="_Toc151193638"/>
      <w:r/>
      <w:bookmarkStart w:id="567" w:name="_Toc305158808"/>
      <w:r/>
      <w:bookmarkStart w:id="568" w:name="_Toc164229381"/>
      <w:r/>
      <w:bookmarkStart w:id="569" w:name="_Toc150774745"/>
      <w:r/>
      <w:bookmarkStart w:id="570" w:name="_Toc150480778"/>
      <w:r/>
      <w:bookmarkStart w:id="571" w:name="_Toc305158882"/>
      <w:r/>
      <w:bookmarkStart w:id="572" w:name="_Toc195842905"/>
      <w:r/>
      <w:bookmarkStart w:id="573" w:name="_Toc265228378"/>
      <w:r/>
      <w:bookmarkStart w:id="574" w:name="_Toc151190167"/>
      <w:r/>
      <w:bookmarkStart w:id="575" w:name="_Toc164351634"/>
      <w:r/>
      <w:bookmarkStart w:id="576" w:name="_Toc164229235"/>
      <w:r/>
      <w:bookmarkStart w:id="577" w:name="_Toc151193782"/>
      <w:r/>
      <w:bookmarkStart w:id="578" w:name="_Toc151193854"/>
      <w:r/>
      <w:bookmarkStart w:id="579" w:name="_Toc164608809"/>
      <w:r/>
      <w:bookmarkStart w:id="580" w:name="_Toc142311042"/>
      <w:r/>
      <w:bookmarkStart w:id="581" w:name="_Toc149720833"/>
      <w:r/>
      <w:bookmarkStart w:id="582" w:name="_Toc226965813"/>
      <w:r/>
      <w:bookmarkStart w:id="583" w:name="_Toc150774640"/>
      <w:r/>
      <w:bookmarkStart w:id="584" w:name="_Toc151193710"/>
      <w:r/>
      <w:bookmarkStart w:id="585" w:name="_Toc164608654"/>
      <w:r/>
      <w:bookmarkStart w:id="586" w:name="_Toc150509291"/>
      <w:r/>
      <w:bookmarkStart w:id="587" w:name="_Toc226965730"/>
      <w:r/>
      <w:bookmarkStart w:id="588" w:name="_Toc226309784"/>
      <w:r/>
      <w:bookmarkStart w:id="589" w:name="_Toc264969230"/>
      <w:r/>
      <w:bookmarkStart w:id="590" w:name="_Toc127161454"/>
      <w:r/>
      <w:bookmarkStart w:id="591" w:name="_Toc127151741"/>
      <w:r/>
      <w:bookmarkStart w:id="592" w:name="_Toc226337236"/>
      <w:r>
        <w:rPr>
          <w:rFonts w:hint="eastAsia" w:ascii="宋体" w:hAnsi="宋体" w:cs="宋体"/>
          <w:b/>
          <w:color w:val="000000"/>
          <w:sz w:val="24"/>
          <w:highlight w:val="none"/>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cs="宋体"/>
          <w:b/>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3" w:name="_Toc520356166"/>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3"/>
      <w:r/>
      <w:bookmarkStart w:id="594" w:name="_Toc520356169"/>
      <w:r>
        <w:rPr>
          <w:rFonts w:hint="eastAsia" w:ascii="宋体" w:hAnsi="宋体" w:cs="宋体"/>
          <w:color w:val="000000"/>
          <w:sz w:val="24"/>
          <w:highlight w:val="none"/>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4"/>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6"/>
        <w:ind w:firstLine="562"/>
        <w:spacing w:before="0" w:line="360" w:lineRule="auto"/>
        <w:rPr>
          <w:rFonts w:hint="eastAsia" w:ascii="宋体" w:hAnsi="宋体" w:eastAsia="宋体" w:cs="宋体"/>
          <w:color w:val="000000"/>
          <w:sz w:val="28"/>
          <w:highlight w:val="none"/>
        </w:rPr>
      </w:pPr>
      <w:r/>
      <w:bookmarkStart w:id="595" w:name="_Toc195842910"/>
      <w:r/>
      <w:bookmarkStart w:id="596" w:name="_Toc151193643"/>
      <w:r/>
      <w:bookmarkStart w:id="597" w:name="_Toc226965735"/>
      <w:r/>
      <w:bookmarkStart w:id="598" w:name="_Toc226337241"/>
      <w:r/>
      <w:bookmarkStart w:id="599" w:name="_Toc127151545"/>
      <w:r/>
      <w:bookmarkStart w:id="600" w:name="_Toc264969235"/>
      <w:r/>
      <w:bookmarkStart w:id="601" w:name="_Toc150509296"/>
      <w:r/>
      <w:bookmarkStart w:id="602" w:name="_Toc151193933"/>
      <w:r/>
      <w:bookmarkStart w:id="603" w:name="_Toc151193787"/>
      <w:r/>
      <w:bookmarkStart w:id="604" w:name="_Toc226309789"/>
      <w:r/>
      <w:bookmarkStart w:id="605" w:name="_Toc305158813"/>
      <w:r/>
      <w:bookmarkStart w:id="606" w:name="_Toc150480783"/>
      <w:r/>
      <w:bookmarkStart w:id="607" w:name="_Toc265228383"/>
      <w:r/>
      <w:bookmarkStart w:id="608" w:name="_Toc151193715"/>
      <w:r/>
      <w:bookmarkStart w:id="609" w:name="_Toc226965818"/>
      <w:r/>
      <w:bookmarkStart w:id="610" w:name="_Toc142311047"/>
      <w:r/>
      <w:bookmarkStart w:id="611" w:name="_Toc151193859"/>
      <w:r/>
      <w:bookmarkStart w:id="612" w:name="_Toc150774645"/>
      <w:r/>
      <w:bookmarkStart w:id="613" w:name="_Toc305158887"/>
      <w:r/>
      <w:bookmarkStart w:id="614" w:name="_Toc150774750"/>
      <w:r/>
      <w:bookmarkStart w:id="615" w:name="_Toc151190172"/>
      <w:r>
        <w:rPr>
          <w:rFonts w:hint="eastAsia" w:ascii="宋体" w:hAnsi="宋体" w:eastAsia="宋体" w:cs="宋体"/>
          <w:color w:val="000000"/>
          <w:sz w:val="28"/>
          <w:highlight w:val="none"/>
        </w:rPr>
        <w:t xml:space="preserve">六   </w:t>
      </w:r>
      <w:bookmarkEnd w:id="594"/>
      <w:r>
        <w:rPr>
          <w:rFonts w:hint="eastAsia" w:ascii="宋体" w:hAnsi="宋体" w:eastAsia="宋体" w:cs="宋体"/>
          <w:color w:val="000000"/>
          <w:sz w:val="28"/>
          <w:highlight w:val="none"/>
        </w:rPr>
        <w:t xml:space="preserve">确定中标</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Start w:id="616" w:name="_Toc151193717"/>
      <w:r/>
      <w:bookmarkStart w:id="617" w:name="_Toc151193645"/>
      <w:r/>
      <w:bookmarkStart w:id="618" w:name="_Toc305158889"/>
      <w:r/>
      <w:bookmarkStart w:id="619" w:name="_Toc150774752"/>
      <w:r/>
      <w:bookmarkStart w:id="620" w:name="_Toc151193935"/>
      <w:r/>
      <w:bookmarkStart w:id="621" w:name="_Toc226965820"/>
      <w:r/>
      <w:bookmarkStart w:id="622" w:name="_Toc226309791"/>
      <w:r/>
      <w:bookmarkStart w:id="623" w:name="_Toc305158815"/>
      <w:r/>
      <w:bookmarkStart w:id="624" w:name="_Toc164229388"/>
      <w:r/>
      <w:bookmarkStart w:id="625" w:name="_Toc226337243"/>
      <w:r/>
      <w:bookmarkStart w:id="626" w:name="_Toc164351641"/>
      <w:r/>
      <w:bookmarkStart w:id="627" w:name="_Toc127151547"/>
      <w:r/>
      <w:bookmarkStart w:id="628" w:name="_Toc149720840"/>
      <w:r/>
      <w:bookmarkStart w:id="629" w:name="_Toc195842912"/>
      <w:r/>
      <w:bookmarkStart w:id="630" w:name="_Toc150774647"/>
      <w:r/>
      <w:bookmarkStart w:id="631" w:name="_Toc164608661"/>
      <w:r/>
      <w:bookmarkStart w:id="632" w:name="_Toc142311049"/>
      <w:r/>
      <w:bookmarkStart w:id="633" w:name="_Toc151193861"/>
      <w:r/>
      <w:bookmarkStart w:id="634" w:name="_Toc150480785"/>
      <w:r/>
      <w:bookmarkStart w:id="635" w:name="_Toc127161461"/>
      <w:r/>
      <w:bookmarkStart w:id="636" w:name="_Toc151193789"/>
      <w:r/>
      <w:bookmarkStart w:id="637" w:name="_Toc264969237"/>
      <w:r/>
      <w:bookmarkStart w:id="638" w:name="_Toc226965737"/>
      <w:r/>
      <w:bookmarkStart w:id="639" w:name="_Toc164229242"/>
      <w:r/>
      <w:bookmarkStart w:id="640" w:name="_Toc265228385"/>
      <w:r/>
      <w:bookmarkStart w:id="641" w:name="_Toc151190174"/>
      <w:r/>
      <w:bookmarkStart w:id="642" w:name="_Toc127151748"/>
      <w:r/>
      <w:bookmarkStart w:id="643" w:name="_Toc150509298"/>
      <w:r/>
      <w:bookmarkStart w:id="644" w:name="_Toc164608816"/>
      <w:r>
        <w:rPr>
          <w:rFonts w:hint="eastAsia" w:ascii="宋体" w:hAnsi="宋体" w:eastAsia="宋体" w:cs="宋体"/>
          <w:color w:val="000000"/>
          <w:sz w:val="28"/>
          <w:highlight w:val="none"/>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Pr>
          <w:rFonts w:hint="eastAsia" w:ascii="宋体" w:hAnsi="宋体" w:cs="宋体"/>
          <w:b/>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5" w:name="_Toc127161463"/>
      <w:r/>
      <w:bookmarkStart w:id="646" w:name="_Toc226337245"/>
      <w:r/>
      <w:bookmarkStart w:id="647" w:name="_Toc151190176"/>
      <w:r/>
      <w:bookmarkStart w:id="648" w:name="_Toc164229390"/>
      <w:r/>
      <w:bookmarkStart w:id="649" w:name="_Toc151193719"/>
      <w:r/>
      <w:bookmarkStart w:id="650" w:name="_Toc265228387"/>
      <w:r/>
      <w:bookmarkStart w:id="651" w:name="_Toc305158817"/>
      <w:r/>
      <w:bookmarkStart w:id="652" w:name="_Toc150774754"/>
      <w:r/>
      <w:bookmarkStart w:id="653" w:name="_Ref467307090"/>
      <w:r/>
      <w:bookmarkStart w:id="654" w:name="_Toc520356176"/>
      <w:r/>
      <w:bookmarkStart w:id="655" w:name="_Ref467306425"/>
      <w:r/>
      <w:bookmarkStart w:id="656" w:name="_Toc150480787"/>
      <w:r/>
      <w:bookmarkStart w:id="657" w:name="_Toc151193937"/>
      <w:r/>
      <w:bookmarkStart w:id="658" w:name="_Toc150774649"/>
      <w:r/>
      <w:bookmarkStart w:id="659" w:name="_Toc264969239"/>
      <w:r/>
      <w:bookmarkStart w:id="660" w:name="_Toc142311051"/>
      <w:r/>
      <w:bookmarkStart w:id="661" w:name="_Toc226965739"/>
      <w:r/>
      <w:bookmarkStart w:id="662" w:name="_Toc305158891"/>
      <w:r/>
      <w:bookmarkStart w:id="663" w:name="_Toc226965822"/>
      <w:r/>
      <w:bookmarkStart w:id="664" w:name="_Toc164229244"/>
      <w:r/>
      <w:bookmarkStart w:id="665" w:name="_Toc151193863"/>
      <w:r/>
      <w:bookmarkStart w:id="666" w:name="_Toc164608663"/>
      <w:r/>
      <w:bookmarkStart w:id="667" w:name="_Toc151193647"/>
      <w:r/>
      <w:bookmarkStart w:id="668" w:name="_Toc149720842"/>
      <w:r/>
      <w:bookmarkStart w:id="669" w:name="_Toc164608818"/>
      <w:r/>
      <w:bookmarkStart w:id="670" w:name="_Toc127151549"/>
      <w:r/>
      <w:bookmarkStart w:id="671" w:name="_Toc127151750"/>
      <w:r/>
      <w:bookmarkStart w:id="672" w:name="_Toc164351643"/>
      <w:r/>
      <w:bookmarkStart w:id="673" w:name="_Toc151193791"/>
      <w:r/>
      <w:bookmarkStart w:id="674" w:name="_Toc150509300"/>
      <w:r/>
      <w:bookmarkStart w:id="675" w:name="_Toc195842914"/>
      <w:r/>
      <w:bookmarkStart w:id="676" w:name="_Toc226309793"/>
      <w:r>
        <w:rPr>
          <w:rFonts w:hint="eastAsia" w:ascii="宋体" w:hAnsi="宋体" w:cs="宋体"/>
          <w:b/>
          <w:color w:val="000000"/>
          <w:sz w:val="24"/>
          <w:highlight w:val="none"/>
        </w:rPr>
        <w:t xml:space="preserve">中标公告与中标通知书</w:t>
      </w:r>
      <w:bookmarkEnd w:id="651"/>
      <w:r/>
      <w:bookmarkEnd w:id="662"/>
      <w:r>
        <w:rPr>
          <w:rFonts w:hint="eastAsia" w:ascii="宋体" w:hAnsi="宋体" w:cs="宋体"/>
          <w:b/>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4"/>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5"/>
      <w:r/>
      <w:bookmarkEnd w:id="646"/>
      <w:r/>
      <w:bookmarkEnd w:id="647"/>
      <w:r/>
      <w:bookmarkEnd w:id="648"/>
      <w:r/>
      <w:bookmarkEnd w:id="649"/>
      <w:r/>
      <w:bookmarkEnd w:id="650"/>
      <w:r/>
      <w:bookmarkEnd w:id="652"/>
      <w:r/>
      <w:bookmarkEnd w:id="656"/>
      <w:r/>
      <w:bookmarkEnd w:id="657"/>
      <w:r/>
      <w:bookmarkEnd w:id="658"/>
      <w:r/>
      <w:bookmarkEnd w:id="659"/>
      <w:r/>
      <w:bookmarkEnd w:id="660"/>
      <w:r/>
      <w:bookmarkEnd w:id="661"/>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Start w:id="677" w:name="_Toc127151751"/>
      <w:r/>
      <w:bookmarkStart w:id="678" w:name="_Toc164229391"/>
      <w:r/>
      <w:bookmarkStart w:id="679" w:name="_Toc164608664"/>
      <w:r/>
      <w:bookmarkStart w:id="680" w:name="_Toc151193938"/>
      <w:r/>
      <w:bookmarkStart w:id="681" w:name="_Toc265228388"/>
      <w:r/>
      <w:bookmarkStart w:id="682" w:name="_Toc149720843"/>
      <w:r/>
      <w:bookmarkStart w:id="683" w:name="_Toc150774650"/>
      <w:r/>
      <w:bookmarkStart w:id="684" w:name="_Ref467307062"/>
      <w:r/>
      <w:bookmarkStart w:id="685" w:name="_Toc150480788"/>
      <w:r/>
      <w:bookmarkStart w:id="686" w:name="_Toc226337246"/>
      <w:r/>
      <w:bookmarkStart w:id="687" w:name="_Toc150774755"/>
      <w:r/>
      <w:bookmarkStart w:id="688" w:name="_Toc164608819"/>
      <w:r/>
      <w:bookmarkStart w:id="689" w:name="_Toc151193648"/>
      <w:r/>
      <w:bookmarkStart w:id="690" w:name="_Toc127151550"/>
      <w:r/>
      <w:bookmarkStart w:id="691" w:name="_Toc151190177"/>
      <w:r/>
      <w:bookmarkStart w:id="692" w:name="_Toc127161464"/>
      <w:r/>
      <w:bookmarkStart w:id="693" w:name="_Toc150509301"/>
      <w:r/>
      <w:bookmarkStart w:id="694" w:name="_Toc305158818"/>
      <w:r/>
      <w:bookmarkStart w:id="695" w:name="_Ref467306978"/>
      <w:r/>
      <w:bookmarkStart w:id="696" w:name="_Toc226965740"/>
      <w:r/>
      <w:bookmarkStart w:id="697" w:name="_Toc305158892"/>
      <w:r/>
      <w:bookmarkStart w:id="698" w:name="_Toc264969240"/>
      <w:r/>
      <w:bookmarkStart w:id="699" w:name="_Toc520356175"/>
      <w:r/>
      <w:bookmarkStart w:id="700" w:name="_Toc226965823"/>
      <w:r/>
      <w:bookmarkStart w:id="701" w:name="_Toc151193864"/>
      <w:r/>
      <w:bookmarkStart w:id="702" w:name="_Toc226309794"/>
      <w:r/>
      <w:bookmarkStart w:id="703" w:name="_Ref467307204"/>
      <w:r/>
      <w:bookmarkStart w:id="704" w:name="_Toc151193720"/>
      <w:r/>
      <w:bookmarkStart w:id="705" w:name="_Ref467306377"/>
      <w:r/>
      <w:bookmarkStart w:id="706" w:name="_Toc164229245"/>
      <w:r/>
      <w:bookmarkStart w:id="707" w:name="_Toc142311052"/>
      <w:r/>
      <w:bookmarkStart w:id="708" w:name="_Toc164351644"/>
      <w:r/>
      <w:bookmarkStart w:id="709" w:name="_Toc195842915"/>
      <w:r/>
      <w:bookmarkStart w:id="710" w:name="_Toc151193792"/>
      <w:r>
        <w:rPr>
          <w:rFonts w:hint="eastAsia" w:ascii="宋体" w:hAnsi="宋体" w:cs="宋体"/>
          <w:b/>
          <w:color w:val="000000"/>
          <w:sz w:val="24"/>
          <w:highlight w:val="none"/>
        </w:rPr>
        <w:t xml:space="preserve">签订合同</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Pr>
          <w:rFonts w:hint="eastAsia" w:ascii="宋体" w:hAnsi="宋体" w:cs="宋体"/>
          <w:b/>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3"/>
      <w:r/>
      <w:bookmarkEnd w:id="654"/>
      <w:r/>
      <w:bookmarkEnd w:id="655"/>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4"/>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9"/>
          <w:rFonts w:hint="eastAsia" w:ascii="宋体" w:hAnsi="宋体" w:cs="宋体"/>
          <w:color w:val="000000"/>
          <w:highlight w:val="none"/>
        </w:rPr>
        <w:t xml:space="preserve">http://gk</w:t>
      </w:r>
      <w:bookmarkStart w:id="711" w:name="_Hlt100654014"/>
      <w:r>
        <w:rPr>
          <w:rStyle w:val="1149"/>
          <w:rFonts w:hint="eastAsia" w:ascii="宋体" w:hAnsi="宋体" w:cs="宋体"/>
          <w:color w:val="000000"/>
          <w:highlight w:val="none"/>
        </w:rPr>
        <w:t xml:space="preserve">s</w:t>
      </w:r>
      <w:bookmarkEnd w:id="711"/>
      <w:r>
        <w:rPr>
          <w:rStyle w:val="1149"/>
          <w:rFonts w:hint="eastAsia" w:ascii="宋体" w:hAnsi="宋体" w:cs="宋体"/>
          <w:color w:val="000000"/>
          <w:highlight w:val="none"/>
        </w:rPr>
        <w:t xml:space="preserve">.m</w:t>
      </w:r>
      <w:bookmarkStart w:id="712" w:name="_Hlt100653993"/>
      <w:r/>
      <w:bookmarkStart w:id="713" w:name="_Hlt100653994"/>
      <w:r>
        <w:rPr>
          <w:rStyle w:val="1149"/>
          <w:rFonts w:hint="eastAsia" w:ascii="宋体" w:hAnsi="宋体" w:cs="宋体"/>
          <w:color w:val="000000"/>
          <w:highlight w:val="none"/>
        </w:rPr>
        <w:t xml:space="preserve">o</w:t>
      </w:r>
      <w:bookmarkEnd w:id="712"/>
      <w:r/>
      <w:bookmarkEnd w:id="713"/>
      <w:r>
        <w:rPr>
          <w:rStyle w:val="1149"/>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4"/>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4"/>
        <w:jc w:val="center"/>
        <w:spacing w:line="360" w:lineRule="auto"/>
        <w:rPr>
          <w:rFonts w:hint="eastAsia" w:ascii="宋体" w:hAnsi="宋体" w:cs="宋体"/>
          <w:b/>
          <w:color w:val="000000"/>
          <w:sz w:val="36"/>
          <w:szCs w:val="36"/>
          <w:highlight w:val="none"/>
        </w:rPr>
        <w:outlineLvl w:val="0"/>
      </w:pPr>
      <w:r/>
      <w:bookmarkStart w:id="714" w:name="_Toc226965827"/>
      <w:r/>
      <w:bookmarkStart w:id="715" w:name="_Toc150774759"/>
      <w:r/>
      <w:bookmarkStart w:id="716" w:name="_Toc353825544"/>
      <w:r/>
      <w:bookmarkStart w:id="717" w:name="_Toc305158896"/>
      <w:r/>
      <w:bookmarkStart w:id="718" w:name="_Toc305158822"/>
      <w:r/>
      <w:bookmarkStart w:id="719" w:name="_Toc264969244"/>
      <w:r/>
      <w:bookmarkStart w:id="720" w:name="_Toc353873934"/>
      <w:r/>
      <w:bookmarkStart w:id="721" w:name="_Toc226337250"/>
      <w:r/>
      <w:bookmarkStart w:id="722" w:name="_Toc265228392"/>
      <w:r/>
      <w:bookmarkStart w:id="723" w:name="_Toc150480792"/>
      <w:r/>
      <w:bookmarkStart w:id="724" w:name="_Toc142311056"/>
      <w:r/>
      <w:bookmarkStart w:id="725" w:name="_Toc353873664"/>
      <w:r/>
      <w:bookmarkStart w:id="726" w:name="_Toc127151554"/>
      <w:r>
        <w:rPr>
          <w:rFonts w:hint="eastAsia" w:ascii="宋体" w:hAnsi="宋体" w:cs="宋体"/>
          <w:color w:val="000000"/>
          <w:sz w:val="24"/>
          <w:highlight w:val="none"/>
        </w:rPr>
        <w:br w:type="page" w:clear="all"/>
      </w:r>
      <w:bookmarkStart w:id="727" w:name="_Toc99301421"/>
      <w:r>
        <w:rPr>
          <w:rFonts w:hint="eastAsia" w:ascii="宋体" w:hAnsi="宋体" w:cs="宋体"/>
          <w:b/>
          <w:color w:val="000000"/>
          <w:sz w:val="36"/>
          <w:szCs w:val="36"/>
          <w:highlight w:val="none"/>
        </w:rPr>
        <w:t xml:space="preserve">第三章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rFonts w:hint="eastAsia" w:ascii="宋体" w:hAnsi="宋体" w:cs="宋体"/>
          <w:b/>
          <w:color w:val="000000"/>
          <w:sz w:val="36"/>
          <w:szCs w:val="36"/>
          <w:highlight w:val="none"/>
        </w:rPr>
        <w:t xml:space="preserve">资格审查</w:t>
      </w:r>
      <w:bookmarkEnd w:id="727"/>
      <w:r/>
      <w:bookmarkStart w:id="728" w:name="_Toc487900382"/>
      <w:r>
        <w:rPr>
          <w:rFonts w:hint="eastAsia" w:ascii="宋体" w:hAnsi="宋体" w:cs="宋体"/>
          <w:b/>
          <w:color w:val="000000"/>
          <w:sz w:val="36"/>
          <w:szCs w:val="36"/>
          <w:highlight w:val="none"/>
        </w:rPr>
      </w:r>
      <w:r/>
    </w:p>
    <w:p>
      <w:pPr>
        <w:pStyle w:val="1074"/>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9" w:name="_Toc99301422"/>
      <w:r>
        <w:rPr>
          <w:rFonts w:hint="eastAsia" w:ascii="宋体" w:hAnsi="宋体" w:cs="宋体"/>
          <w:b/>
          <w:color w:val="000000"/>
          <w:sz w:val="24"/>
          <w:highlight w:val="none"/>
        </w:rPr>
        <w:t xml:space="preserve">一、资格审查程序</w:t>
      </w:r>
      <w:bookmarkEnd w:id="729"/>
      <w:r>
        <w:rPr>
          <w:rFonts w:hint="eastAsia" w:ascii="宋体" w:hAnsi="宋体" w:cs="宋体"/>
          <w:b/>
          <w:color w:val="000000"/>
          <w:sz w:val="24"/>
          <w:highlight w:val="none"/>
        </w:rPr>
      </w:r>
      <w:r/>
    </w:p>
    <w:p>
      <w:pPr>
        <w:pStyle w:val="1074"/>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4"/>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4"/>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4"/>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1074"/>
              <w:jc w:val="center"/>
              <w:tabs>
                <w:tab w:val="left" w:pos="1080" w:leader="none"/>
              </w:tabs>
              <w:rPr>
                <w:rFonts w:hint="eastAsia" w:ascii="宋体" w:hAnsi="宋体" w:cs="宋体"/>
                <w:b/>
                <w:color w:val="000000"/>
                <w:sz w:val="24"/>
                <w:highlight w:val="none"/>
              </w:rPr>
            </w:pPr>
            <w:r/>
            <w:bookmarkStart w:id="730" w:name="_Hlt487972895"/>
            <w:r/>
            <w:bookmarkEnd w:id="730"/>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4"/>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4"/>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4"/>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4"/>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90"/>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是否接受联合体投标</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本项目不接受联合体投标，投标人不得为联合体。</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提供《联合协议》原件的电子件</w:t>
            </w:r>
            <w:r>
              <w:rPr>
                <w:rFonts w:hint="eastAsia" w:ascii="宋体" w:hAnsi="宋体" w:cs="宋体"/>
                <w:color w:val="000000"/>
                <w:sz w:val="24"/>
                <w:highlight w:val="none"/>
              </w:rPr>
            </w:r>
            <w:r/>
          </w:p>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4"/>
        <w:jc w:val="left"/>
        <w:widowControl/>
        <w:rPr>
          <w:rFonts w:hint="eastAsia" w:ascii="宋体" w:hAnsi="宋体" w:cs="宋体"/>
          <w:color w:val="000000"/>
          <w:sz w:val="24"/>
          <w:highlight w:val="none"/>
        </w:rPr>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28"/>
      <w:r/>
      <w:bookmarkStart w:id="731" w:name="_Toc353873940"/>
      <w:r/>
      <w:bookmarkStart w:id="732" w:name="_Toc353825550"/>
      <w:r/>
      <w:bookmarkStart w:id="733" w:name="_Toc127161490"/>
      <w:r/>
      <w:bookmarkStart w:id="734" w:name="_Toc127151779"/>
      <w:r/>
      <w:bookmarkStart w:id="735" w:name="_Toc226965858"/>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4"/>
        <w:jc w:val="center"/>
        <w:spacing w:line="360" w:lineRule="auto"/>
        <w:rPr>
          <w:rFonts w:hint="eastAsia" w:ascii="宋体" w:hAnsi="宋体" w:cs="宋体"/>
          <w:b/>
          <w:color w:val="000000"/>
          <w:sz w:val="36"/>
          <w:szCs w:val="36"/>
          <w:highlight w:val="none"/>
        </w:rPr>
        <w:outlineLvl w:val="0"/>
      </w:pPr>
      <w:r/>
      <w:bookmarkStart w:id="736" w:name="_Toc99301423"/>
      <w:r>
        <w:rPr>
          <w:rFonts w:hint="eastAsia" w:ascii="宋体" w:hAnsi="宋体" w:cs="宋体"/>
          <w:b/>
          <w:color w:val="000000"/>
          <w:sz w:val="36"/>
          <w:szCs w:val="36"/>
          <w:highlight w:val="none"/>
        </w:rPr>
        <w:t xml:space="preserve">第四章   </w:t>
      </w:r>
      <w:bookmarkEnd w:id="731"/>
      <w:r/>
      <w:bookmarkEnd w:id="732"/>
      <w:r/>
      <w:bookmarkEnd w:id="733"/>
      <w:r/>
      <w:bookmarkEnd w:id="734"/>
      <w:r/>
      <w:bookmarkEnd w:id="735"/>
      <w:r/>
      <w:bookmarkStart w:id="737" w:name="_Hlt164229061"/>
      <w:r/>
      <w:bookmarkEnd w:id="737"/>
      <w:r>
        <w:rPr>
          <w:rFonts w:hint="eastAsia" w:ascii="宋体" w:hAnsi="宋体" w:cs="宋体"/>
          <w:b/>
          <w:color w:val="000000"/>
          <w:sz w:val="36"/>
          <w:szCs w:val="36"/>
          <w:highlight w:val="none"/>
        </w:rPr>
        <w:t xml:space="preserve">评标程序、评标方法和评标标准</w:t>
      </w:r>
      <w:bookmarkEnd w:id="736"/>
      <w:r>
        <w:rPr>
          <w:rFonts w:hint="eastAsia" w:ascii="宋体" w:hAnsi="宋体" w:cs="宋体"/>
          <w:b/>
          <w:color w:val="000000"/>
          <w:sz w:val="36"/>
          <w:szCs w:val="36"/>
          <w:highlight w:val="none"/>
        </w:rPr>
      </w:r>
      <w:r/>
    </w:p>
    <w:p>
      <w:pPr>
        <w:pStyle w:val="1074"/>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4"/>
        <w:numPr>
          <w:ilvl w:val="0"/>
          <w:numId w:val="12"/>
        </w:numPr>
        <w:ind w:left="0" w:firstLine="482"/>
        <w:spacing w:line="360" w:lineRule="auto"/>
        <w:tabs>
          <w:tab w:val="left" w:pos="360" w:leader="none"/>
          <w:tab w:val="left" w:pos="851" w:leader="none"/>
          <w:tab w:val="left" w:pos="900" w:leader="none"/>
        </w:tabs>
        <w:rPr>
          <w:rFonts w:hint="eastAsia" w:ascii="宋体" w:hAnsi="宋体" w:cs="宋体"/>
          <w:b/>
          <w:color w:val="000000"/>
          <w:sz w:val="24"/>
          <w:highlight w:val="none"/>
        </w:rPr>
        <w:outlineLvl w:val="1"/>
      </w:pPr>
      <w:r/>
      <w:bookmarkStart w:id="738" w:name="_Toc195842906"/>
      <w:r/>
      <w:bookmarkStart w:id="739" w:name="_Toc151193639"/>
      <w:r/>
      <w:bookmarkStart w:id="740" w:name="_Toc226965731"/>
      <w:r/>
      <w:bookmarkStart w:id="741" w:name="_Toc164608655"/>
      <w:r/>
      <w:bookmarkStart w:id="742" w:name="_Toc264969231"/>
      <w:r/>
      <w:bookmarkStart w:id="743" w:name="_Toc150509292"/>
      <w:r/>
      <w:bookmarkStart w:id="744" w:name="_Toc150774641"/>
      <w:r/>
      <w:bookmarkStart w:id="745" w:name="_Toc127151541"/>
      <w:r/>
      <w:bookmarkStart w:id="746" w:name="_Toc265228379"/>
      <w:r/>
      <w:bookmarkStart w:id="747" w:name="_Toc151193855"/>
      <w:r/>
      <w:bookmarkStart w:id="748" w:name="_Toc151190168"/>
      <w:r/>
      <w:bookmarkStart w:id="749" w:name="_Toc164229382"/>
      <w:r/>
      <w:bookmarkStart w:id="750" w:name="_Toc151193711"/>
      <w:r/>
      <w:bookmarkStart w:id="751" w:name="_Toc151193783"/>
      <w:r/>
      <w:bookmarkStart w:id="752" w:name="_Toc142311043"/>
      <w:r/>
      <w:bookmarkStart w:id="753" w:name="_Toc151193929"/>
      <w:r/>
      <w:bookmarkStart w:id="754" w:name="_Toc226965814"/>
      <w:r/>
      <w:bookmarkStart w:id="755" w:name="_Toc164608810"/>
      <w:r/>
      <w:bookmarkStart w:id="756" w:name="_Toc150774746"/>
      <w:r/>
      <w:bookmarkStart w:id="757" w:name="_Toc149720834"/>
      <w:r/>
      <w:bookmarkStart w:id="758" w:name="_Toc150480779"/>
      <w:r/>
      <w:bookmarkStart w:id="759" w:name="_Toc164351635"/>
      <w:r/>
      <w:bookmarkStart w:id="760" w:name="_Toc164229236"/>
      <w:r/>
      <w:bookmarkStart w:id="761" w:name="_Toc226337237"/>
      <w:r/>
      <w:bookmarkStart w:id="762" w:name="_Toc127151742"/>
      <w:r/>
      <w:bookmarkStart w:id="763" w:name="_Toc226309785"/>
      <w:r/>
      <w:bookmarkStart w:id="764" w:name="_Toc305158809"/>
      <w:r/>
      <w:bookmarkStart w:id="765" w:name="_Toc305158883"/>
      <w:r/>
      <w:bookmarkStart w:id="766" w:name="_Toc127161455"/>
      <w:r/>
      <w:bookmarkStart w:id="767" w:name="_Toc353825551"/>
      <w:r/>
      <w:bookmarkStart w:id="768" w:name="_Toc353873941"/>
      <w:r/>
      <w:bookmarkStart w:id="769" w:name="_Toc195842920"/>
      <w:r/>
      <w:bookmarkStart w:id="770" w:name="_Toc353873665"/>
      <w:r/>
      <w:bookmarkStart w:id="771" w:name="_Toc305158897"/>
      <w:r/>
      <w:bookmarkStart w:id="772" w:name="_Toc226337251"/>
      <w:r/>
      <w:bookmarkStart w:id="773" w:name="_Toc265228393"/>
      <w:r/>
      <w:bookmarkStart w:id="774" w:name="_Toc127151555"/>
      <w:r/>
      <w:bookmarkStart w:id="775" w:name="_Toc264969245"/>
      <w:r/>
      <w:bookmarkStart w:id="776" w:name="_Toc142311057"/>
      <w:r/>
      <w:bookmarkStart w:id="777" w:name="_Toc150480793"/>
      <w:r/>
      <w:bookmarkStart w:id="778" w:name="_Toc150774760"/>
      <w:r/>
      <w:bookmarkStart w:id="779" w:name="_Toc226965828"/>
      <w:r/>
      <w:bookmarkStart w:id="780" w:name="_Toc305158823"/>
      <w:r/>
      <w:bookmarkStart w:id="781" w:name="_Toc353873935"/>
      <w:r/>
      <w:bookmarkStart w:id="782" w:name="_Toc353825545"/>
      <w:r>
        <w:rPr>
          <w:rFonts w:hint="eastAsia" w:ascii="宋体" w:hAnsi="宋体" w:cs="宋体"/>
          <w:b/>
          <w:color w:val="000000"/>
          <w:sz w:val="24"/>
          <w:highlight w:val="none"/>
        </w:rPr>
        <w:t xml:space="preserve">投标文件的符合性审查</w:t>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rPr>
          <w:rFonts w:hint="eastAsia" w:ascii="宋体" w:hAnsi="宋体" w:cs="宋体"/>
          <w:b/>
          <w:color w:val="000000"/>
          <w:sz w:val="24"/>
          <w:highlight w:val="none"/>
        </w:rPr>
      </w:r>
      <w:r/>
    </w:p>
    <w:p>
      <w:pPr>
        <w:pStyle w:val="1074"/>
        <w:numPr>
          <w:ilvl w:val="1"/>
          <w:numId w:val="12"/>
        </w:numPr>
        <w:ind w:left="0" w:firstLine="480"/>
        <w:spacing w:line="360" w:lineRule="auto"/>
        <w:tabs>
          <w:tab w:val="left" w:pos="993"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3" w:name="_Toc520356167"/>
      <w:r>
        <w:rPr>
          <w:rFonts w:hint="eastAsia" w:ascii="宋体" w:hAnsi="宋体" w:cs="宋体"/>
          <w:color w:val="000000"/>
          <w:sz w:val="24"/>
          <w:highlight w:val="none"/>
        </w:rPr>
      </w:r>
      <w:r/>
    </w:p>
    <w:p>
      <w:pPr>
        <w:pStyle w:val="1074"/>
        <w:numPr>
          <w:ilvl w:val="1"/>
          <w:numId w:val="12"/>
        </w:numPr>
        <w:ind w:left="0" w:firstLine="480"/>
        <w:spacing w:line="360" w:lineRule="auto"/>
        <w:tabs>
          <w:tab w:val="left" w:pos="993"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3"/>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4"/>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4"/>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4"/>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813"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6725"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1813"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6725"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1813"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6725"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4"/>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4"/>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1"/>
          <w:numId w:val="12"/>
        </w:numPr>
        <w:ind w:left="0" w:firstLine="420"/>
        <w:spacing w:line="360" w:lineRule="auto"/>
        <w:tabs>
          <w:tab w:val="left" w:pos="0" w:leader="none"/>
          <w:tab w:val="left" w:pos="420" w:leader="none"/>
          <w:tab w:val="left" w:pos="1589" w:leader="none"/>
        </w:tabs>
        <w:rPr>
          <w:rFonts w:hint="eastAsia" w:ascii="宋体" w:hAnsi="宋体" w:cs="宋体"/>
          <w:color w:val="000000"/>
          <w:sz w:val="24"/>
          <w:highlight w:val="none"/>
        </w:rPr>
      </w:pPr>
      <w:r/>
      <w:bookmarkEnd w:id="767"/>
      <w:r/>
      <w:bookmarkEnd w:id="768"/>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74"/>
        <w:numPr>
          <w:ilvl w:val="2"/>
          <w:numId w:val="12"/>
        </w:numPr>
        <w:ind w:left="0" w:firstLine="420"/>
        <w:spacing w:line="360" w:lineRule="auto"/>
        <w:tabs>
          <w:tab w:val="left" w:pos="0" w:leader="none"/>
          <w:tab w:val="left" w:pos="42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74"/>
        <w:numPr>
          <w:ilvl w:val="2"/>
          <w:numId w:val="12"/>
        </w:numPr>
        <w:ind w:left="0" w:firstLine="420"/>
        <w:spacing w:line="360" w:lineRule="auto"/>
        <w:tabs>
          <w:tab w:val="left" w:pos="0" w:leader="none"/>
          <w:tab w:val="left" w:pos="42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74"/>
        <w:numPr>
          <w:ilvl w:val="2"/>
          <w:numId w:val="12"/>
        </w:numPr>
        <w:ind w:left="0" w:firstLine="420"/>
        <w:spacing w:line="360" w:lineRule="auto"/>
        <w:tabs>
          <w:tab w:val="left" w:pos="0" w:leader="none"/>
          <w:tab w:val="left" w:pos="42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74"/>
        <w:numPr>
          <w:ilvl w:val="2"/>
          <w:numId w:val="12"/>
        </w:numPr>
        <w:ind w:left="0" w:firstLine="420"/>
        <w:spacing w:line="360" w:lineRule="auto"/>
        <w:tabs>
          <w:tab w:val="left" w:pos="0" w:leader="none"/>
          <w:tab w:val="left" w:pos="42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74"/>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74"/>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74"/>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74"/>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7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4"/>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4"/>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4"/>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4"/>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4"/>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4"/>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4"/>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74"/>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74"/>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4"/>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4"/>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4"/>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4"/>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4"/>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4"/>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4"/>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4"/>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4"/>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4"/>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74"/>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4"/>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4"/>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olor w:val="000000"/>
          <w:sz w:val="24"/>
          <w:highlight w:val="none"/>
        </w:rPr>
      </w:r>
      <w:r/>
    </w:p>
    <w:p>
      <w:pPr>
        <w:pStyle w:val="1074"/>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4"/>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r>
        <w:rPr>
          <w:rFonts w:hint="eastAsia" w:ascii="宋体" w:hAnsi="宋体" w:cs="宋体"/>
          <w:b/>
          <w:color w:val="000000"/>
          <w:sz w:val="24"/>
          <w:highlight w:val="none"/>
        </w:rPr>
      </w:r>
      <w:r/>
    </w:p>
    <w:p>
      <w:pPr>
        <w:pStyle w:val="107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4"/>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4"/>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4"/>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4" w:name="_Toc164229387"/>
      <w:r/>
      <w:bookmarkStart w:id="785" w:name="_Ref467307010"/>
      <w:r/>
      <w:bookmarkStart w:id="786" w:name="_Toc164608815"/>
      <w:r/>
      <w:bookmarkStart w:id="787" w:name="_Toc226965736"/>
      <w:r/>
      <w:bookmarkStart w:id="788" w:name="_Toc150774751"/>
      <w:r/>
      <w:bookmarkStart w:id="789" w:name="_Toc127151546"/>
      <w:r/>
      <w:bookmarkStart w:id="790" w:name="_Toc164608660"/>
      <w:r/>
      <w:bookmarkStart w:id="791" w:name="_Toc151193716"/>
      <w:r/>
      <w:bookmarkStart w:id="792" w:name="_Toc264969236"/>
      <w:r/>
      <w:bookmarkStart w:id="793" w:name="_Toc151193788"/>
      <w:r/>
      <w:bookmarkStart w:id="794" w:name="_Toc149720839"/>
      <w:r/>
      <w:bookmarkStart w:id="795" w:name="_Toc150509297"/>
      <w:r/>
      <w:bookmarkStart w:id="796" w:name="_Toc142311048"/>
      <w:r/>
      <w:bookmarkStart w:id="797" w:name="_Toc127151747"/>
      <w:r/>
      <w:bookmarkStart w:id="798" w:name="_Toc150480784"/>
      <w:r/>
      <w:bookmarkStart w:id="799" w:name="_Toc164229241"/>
      <w:r/>
      <w:bookmarkStart w:id="800" w:name="_Toc226337242"/>
      <w:r/>
      <w:bookmarkStart w:id="801" w:name="_Toc151193644"/>
      <w:r/>
      <w:bookmarkStart w:id="802" w:name="_Toc226309790"/>
      <w:r/>
      <w:bookmarkStart w:id="803" w:name="_Toc151193934"/>
      <w:r/>
      <w:bookmarkStart w:id="804" w:name="_Toc151190173"/>
      <w:r/>
      <w:bookmarkStart w:id="805" w:name="_Toc305158888"/>
      <w:r/>
      <w:bookmarkStart w:id="806" w:name="_Toc151193860"/>
      <w:r/>
      <w:bookmarkStart w:id="807" w:name="_Toc195842911"/>
      <w:r/>
      <w:bookmarkStart w:id="808" w:name="_Toc265228384"/>
      <w:r/>
      <w:bookmarkStart w:id="809" w:name="_Toc305158814"/>
      <w:r/>
      <w:bookmarkStart w:id="810" w:name="_Toc150774646"/>
      <w:r/>
      <w:bookmarkStart w:id="811" w:name="_Toc127161460"/>
      <w:r/>
      <w:bookmarkStart w:id="812" w:name="_Toc520356170"/>
      <w:r/>
      <w:bookmarkStart w:id="813" w:name="_Toc226965819"/>
      <w:r/>
      <w:bookmarkStart w:id="814" w:name="_Toc164351640"/>
      <w:r>
        <w:rPr>
          <w:rFonts w:hint="eastAsia" w:ascii="宋体" w:hAnsi="宋体" w:cs="宋体"/>
          <w:b/>
          <w:color w:val="000000"/>
          <w:sz w:val="24"/>
          <w:highlight w:val="none"/>
        </w:rPr>
        <w:t xml:space="preserve">中标候选人名单</w:t>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rPr>
          <w:rFonts w:hint="eastAsia" w:ascii="宋体" w:hAnsi="宋体" w:cs="宋体"/>
          <w:b/>
          <w:color w:val="000000"/>
          <w:sz w:val="24"/>
          <w:highlight w:val="none"/>
        </w:rPr>
      </w:r>
      <w:r/>
    </w:p>
    <w:p>
      <w:pPr>
        <w:pStyle w:val="107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13"/>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3"/>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4"/>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4"/>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4"/>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74"/>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pStyle w:val="1074"/>
              <w:ind w:firstLine="28"/>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462" w:type="dxa"/>
            <w:vAlign w:val="center"/>
            <w:textDirection w:val="lrTb"/>
            <w:noWrap w:val="false"/>
          </w:tcPr>
          <w:p>
            <w:pPr>
              <w:pStyle w:val="1074"/>
              <w:ind w:firstLine="28"/>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评分因素</w:t>
            </w:r>
            <w:r>
              <w:rPr>
                <w:rFonts w:hint="eastAsia" w:ascii="宋体" w:hAnsi="宋体" w:cs="宋体"/>
                <w:b/>
                <w:color w:val="000000"/>
                <w:sz w:val="24"/>
                <w:highlight w:val="none"/>
              </w:rPr>
            </w:r>
            <w:r/>
          </w:p>
        </w:tc>
        <w:tc>
          <w:tcPr>
            <w:tcW w:w="913" w:type="dxa"/>
            <w:vAlign w:val="center"/>
            <w:textDirection w:val="lrTb"/>
            <w:noWrap w:val="false"/>
          </w:tcPr>
          <w:p>
            <w:pPr>
              <w:pStyle w:val="1074"/>
              <w:ind w:firstLine="28"/>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分值</w:t>
            </w:r>
            <w:r>
              <w:rPr>
                <w:rFonts w:hint="eastAsia" w:ascii="宋体" w:hAnsi="宋体" w:cs="宋体"/>
                <w:b/>
                <w:color w:val="000000"/>
                <w:sz w:val="24"/>
                <w:highlight w:val="none"/>
              </w:rPr>
            </w:r>
            <w:r/>
          </w:p>
        </w:tc>
        <w:tc>
          <w:tcPr>
            <w:tcW w:w="3978" w:type="dxa"/>
            <w:vAlign w:val="center"/>
            <w:textDirection w:val="lrTb"/>
            <w:noWrap w:val="false"/>
          </w:tcPr>
          <w:p>
            <w:pPr>
              <w:pStyle w:val="1074"/>
              <w:ind w:firstLine="28"/>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评分标准</w:t>
            </w:r>
            <w:r>
              <w:rPr>
                <w:rFonts w:hint="eastAsia" w:ascii="宋体" w:hAnsi="宋体" w:cs="宋体"/>
                <w:b/>
                <w:color w:val="000000"/>
                <w:sz w:val="24"/>
                <w:highlight w:val="none"/>
              </w:rPr>
            </w:r>
            <w:r/>
          </w:p>
        </w:tc>
        <w:tc>
          <w:tcPr>
            <w:tcW w:w="2440" w:type="dxa"/>
            <w:vAlign w:val="center"/>
            <w:textDirection w:val="lrTb"/>
            <w:noWrap w:val="false"/>
          </w:tcPr>
          <w:p>
            <w:pPr>
              <w:pStyle w:val="1318"/>
              <w:spacing w:before="0" w:after="0" w:line="24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说明</w:t>
            </w:r>
            <w:r>
              <w:rPr>
                <w:rFonts w:hint="eastAsia" w:ascii="宋体" w:hAnsi="宋体" w:eastAsia="宋体" w:cs="宋体"/>
                <w:color w:val="000000"/>
                <w:szCs w:val="24"/>
                <w:highlight w:val="none"/>
              </w:rPr>
            </w:r>
            <w:r/>
          </w:p>
        </w:tc>
      </w:tr>
      <w:tr>
        <w:trPr>
          <w:trHeight w:val="631"/>
        </w:trPr>
        <w:tc>
          <w:tcPr>
            <w:tcW w:w="835" w:type="dxa"/>
            <w:vAlign w:val="center"/>
            <w:textDirection w:val="lrTb"/>
            <w:noWrap w:val="false"/>
          </w:tcPr>
          <w:p>
            <w:pPr>
              <w:pStyle w:val="1074"/>
              <w:ind w:firstLine="28"/>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1</w:t>
            </w:r>
            <w:r>
              <w:rPr>
                <w:rFonts w:hint="eastAsia" w:ascii="宋体" w:hAnsi="宋体" w:cs="宋体"/>
                <w:b/>
                <w:color w:val="000000"/>
                <w:sz w:val="24"/>
                <w:highlight w:val="none"/>
              </w:rPr>
            </w:r>
            <w:r/>
          </w:p>
        </w:tc>
        <w:tc>
          <w:tcPr>
            <w:tcW w:w="1462"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价格分</w:t>
            </w:r>
            <w:r>
              <w:rPr>
                <w:rFonts w:hint="eastAsia" w:ascii="宋体" w:hAnsi="宋体" w:cs="宋体"/>
                <w:color w:val="000000"/>
                <w:sz w:val="24"/>
                <w:highlight w:val="none"/>
              </w:rPr>
            </w:r>
            <w:r/>
          </w:p>
        </w:tc>
        <w:tc>
          <w:tcPr>
            <w:tcW w:w="913"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3978" w:type="dxa"/>
            <w:vAlign w:val="center"/>
            <w:textDirection w:val="lrTb"/>
            <w:noWrap w:val="false"/>
          </w:tcPr>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满足招标文件要求且投标价格最低的投标报价为评标基准价，其价格分为满分。其他投标人的价格分统一按照下列公式计算：</w:t>
            </w:r>
            <w:r>
              <w:rPr>
                <w:rFonts w:hint="eastAsia" w:ascii="宋体" w:hAnsi="宋体" w:cs="宋体"/>
                <w:color w:val="000000"/>
                <w:sz w:val="24"/>
                <w:highlight w:val="none"/>
              </w:rPr>
            </w:r>
            <w:r/>
          </w:p>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投标报价得分＝（评标基准价/投标报价）×分值。</w:t>
            </w:r>
            <w:r>
              <w:rPr>
                <w:rFonts w:hint="eastAsia" w:ascii="宋体" w:hAnsi="宋体" w:cs="宋体"/>
                <w:color w:val="000000"/>
                <w:sz w:val="24"/>
                <w:highlight w:val="none"/>
              </w:rPr>
            </w:r>
            <w:r/>
          </w:p>
        </w:tc>
        <w:tc>
          <w:tcPr>
            <w:tcW w:w="2440" w:type="dxa"/>
            <w:vAlign w:val="center"/>
            <w:textDirection w:val="lrTb"/>
            <w:noWrap w:val="false"/>
          </w:tcPr>
          <w:p>
            <w:pPr>
              <w:pStyle w:val="1074"/>
              <w:ind w:left="-38"/>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此处投标报价指经过报价修正，及因落实政府采购政策进行价格调整后的报价，详见第三章《评标方法和评标标准》2.4及2.5。</w:t>
            </w:r>
            <w:r>
              <w:rPr>
                <w:rFonts w:hint="eastAsia" w:ascii="宋体" w:hAnsi="宋体" w:cs="宋体"/>
                <w:color w:val="000000"/>
                <w:sz w:val="24"/>
                <w:highlight w:val="none"/>
              </w:rPr>
            </w:r>
            <w:r/>
          </w:p>
        </w:tc>
      </w:tr>
      <w:tr>
        <w:trPr/>
        <w:tc>
          <w:tcPr>
            <w:tcW w:w="835"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462"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主观分</w:t>
            </w:r>
            <w:r>
              <w:rPr>
                <w:rFonts w:hint="eastAsia" w:ascii="宋体" w:hAnsi="宋体" w:cs="宋体"/>
                <w:color w:val="000000"/>
                <w:sz w:val="24"/>
                <w:highlight w:val="none"/>
              </w:rPr>
            </w:r>
            <w:r/>
          </w:p>
        </w:tc>
        <w:tc>
          <w:tcPr>
            <w:tcW w:w="913"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rPr>
            </w:r>
            <w:r/>
          </w:p>
        </w:tc>
        <w:tc>
          <w:tcPr>
            <w:tcW w:w="3978" w:type="dxa"/>
            <w:vAlign w:val="center"/>
            <w:textDirection w:val="lrTb"/>
            <w:noWrap w:val="false"/>
          </w:tcPr>
          <w:p>
            <w:pPr>
              <w:pStyle w:val="1074"/>
              <w:rPr>
                <w:rFonts w:hint="eastAsia" w:ascii="宋体" w:hAnsi="宋体" w:cs="宋体"/>
                <w:color w:val="000000"/>
                <w:sz w:val="24"/>
                <w:highlight w:val="none"/>
              </w:rPr>
            </w:pPr>
            <w:r>
              <w:rPr>
                <w:rFonts w:hint="eastAsia" w:ascii="宋体" w:hAnsi="宋体" w:cs="宋体"/>
                <w:color w:val="000000"/>
                <w:sz w:val="24"/>
                <w:highlight w:val="none"/>
              </w:rPr>
            </w:r>
            <w:r/>
          </w:p>
        </w:tc>
        <w:tc>
          <w:tcPr>
            <w:tcW w:w="2440" w:type="dxa"/>
            <w:vAlign w:val="center"/>
            <w:textDirection w:val="lrTb"/>
            <w:noWrap w:val="false"/>
          </w:tcPr>
          <w:p>
            <w:pPr>
              <w:pStyle w:val="1074"/>
              <w:ind w:left="-38"/>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35" w:type="dxa"/>
            <w:vAlign w:val="center"/>
            <w:textDirection w:val="lrTb"/>
            <w:noWrap w:val="false"/>
          </w:tcPr>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rPr>
            </w:r>
            <w:r/>
          </w:p>
        </w:tc>
        <w:tc>
          <w:tcPr>
            <w:tcW w:w="1462"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服务方案</w:t>
            </w:r>
            <w:r>
              <w:rPr>
                <w:rFonts w:hint="eastAsia" w:ascii="宋体" w:hAnsi="宋体" w:cs="宋体"/>
                <w:color w:val="000000"/>
                <w:sz w:val="24"/>
                <w:highlight w:val="none"/>
              </w:rPr>
            </w:r>
            <w:r/>
          </w:p>
        </w:tc>
        <w:tc>
          <w:tcPr>
            <w:tcW w:w="913"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3978" w:type="dxa"/>
            <w:vAlign w:val="center"/>
            <w:textDirection w:val="lrTb"/>
            <w:noWrap w:val="false"/>
          </w:tcPr>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投标人根据本项目实际需求及自身情况提供服务方案，包括维修保养规章制度与操作规范、维护保养范围和维护保养计划等。对项目总体认识全面深刻，对设备维护保养工作把握准确，有较强的系统性、经济性和完全响应性得5分；</w:t>
            </w:r>
            <w:r>
              <w:rPr>
                <w:rFonts w:hint="eastAsia" w:ascii="宋体" w:hAnsi="宋体" w:cs="宋体"/>
                <w:color w:val="000000"/>
                <w:sz w:val="24"/>
                <w:highlight w:val="none"/>
              </w:rPr>
            </w:r>
            <w:r/>
          </w:p>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对项目总体认识全面，对设备维护保养工作规范可行、完全响应采购人要求得3分；</w:t>
            </w:r>
            <w:r>
              <w:rPr>
                <w:rFonts w:hint="eastAsia" w:ascii="宋体" w:hAnsi="宋体" w:cs="宋体"/>
                <w:color w:val="000000"/>
                <w:sz w:val="24"/>
                <w:highlight w:val="none"/>
              </w:rPr>
            </w:r>
            <w:r/>
          </w:p>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对项目总体认识基本正确，对设备维护保养工作基本合理、基本响应采购人要求得1分；</w:t>
            </w:r>
            <w:r>
              <w:rPr>
                <w:rFonts w:hint="eastAsia" w:ascii="宋体" w:hAnsi="宋体" w:cs="宋体"/>
                <w:color w:val="000000"/>
                <w:sz w:val="24"/>
                <w:highlight w:val="none"/>
              </w:rPr>
            </w:r>
            <w:r/>
          </w:p>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未提供不得分。</w:t>
            </w:r>
            <w:r>
              <w:rPr>
                <w:rFonts w:hint="eastAsia" w:ascii="宋体" w:hAnsi="宋体" w:cs="宋体"/>
                <w:color w:val="000000"/>
                <w:sz w:val="24"/>
                <w:highlight w:val="none"/>
              </w:rPr>
            </w:r>
            <w:r/>
          </w:p>
        </w:tc>
        <w:tc>
          <w:tcPr>
            <w:tcW w:w="2440" w:type="dxa"/>
            <w:vAlign w:val="center"/>
            <w:textDirection w:val="lrTb"/>
            <w:noWrap w:val="false"/>
          </w:tcPr>
          <w:p>
            <w:pPr>
              <w:pStyle w:val="1074"/>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35" w:type="dxa"/>
            <w:vAlign w:val="center"/>
            <w:textDirection w:val="lrTb"/>
            <w:noWrap w:val="false"/>
          </w:tcPr>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2.2</w:t>
            </w:r>
            <w:r>
              <w:rPr>
                <w:rFonts w:hint="eastAsia" w:ascii="宋体" w:hAnsi="宋体" w:cs="宋体"/>
                <w:color w:val="000000"/>
                <w:sz w:val="24"/>
                <w:highlight w:val="none"/>
              </w:rPr>
            </w:r>
            <w:r/>
          </w:p>
        </w:tc>
        <w:tc>
          <w:tcPr>
            <w:tcW w:w="1462"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日常维护方案</w:t>
            </w:r>
            <w:r>
              <w:rPr>
                <w:rFonts w:hint="eastAsia" w:ascii="宋体" w:hAnsi="宋体" w:cs="宋体"/>
                <w:color w:val="000000"/>
                <w:sz w:val="24"/>
                <w:highlight w:val="none"/>
              </w:rPr>
            </w:r>
            <w:r/>
          </w:p>
        </w:tc>
        <w:tc>
          <w:tcPr>
            <w:tcW w:w="913"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3978" w:type="dxa"/>
            <w:vAlign w:val="center"/>
            <w:textDirection w:val="lrTb"/>
            <w:noWrap w:val="false"/>
          </w:tcPr>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投标人根据本项目实际需求及自身情况提供日常维护方案，包括维护服务流程、服务标准、服务管理、服务措施、安全保障措施、重大故障处理等等。</w:t>
            </w:r>
            <w:r>
              <w:rPr>
                <w:rFonts w:hint="eastAsia" w:ascii="宋体" w:hAnsi="宋体" w:cs="宋体"/>
                <w:color w:val="000000"/>
                <w:sz w:val="24"/>
                <w:highlight w:val="none"/>
              </w:rPr>
            </w:r>
            <w:r/>
          </w:p>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方案完整详实、科学合理、具备针对性且切实可行、满足采购人实际需求的得8分；</w:t>
            </w:r>
            <w:r>
              <w:rPr>
                <w:rFonts w:hint="eastAsia" w:ascii="宋体" w:hAnsi="宋体" w:cs="宋体"/>
                <w:color w:val="000000"/>
                <w:sz w:val="24"/>
                <w:highlight w:val="none"/>
              </w:rPr>
            </w:r>
            <w:r/>
          </w:p>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方案基本完整、较为科学合理，基本满足采购人实际需求的得6分；</w:t>
            </w:r>
            <w:r>
              <w:rPr>
                <w:rFonts w:hint="eastAsia" w:ascii="宋体" w:hAnsi="宋体" w:cs="宋体"/>
                <w:color w:val="000000"/>
                <w:sz w:val="24"/>
                <w:highlight w:val="none"/>
              </w:rPr>
            </w:r>
            <w:r/>
          </w:p>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方案完整性、合理性、针对性、可行性欠缺，与采购人实际需求存在差距得4分；</w:t>
            </w:r>
            <w:r>
              <w:rPr>
                <w:rFonts w:hint="eastAsia" w:ascii="宋体" w:hAnsi="宋体" w:cs="宋体"/>
                <w:color w:val="000000"/>
                <w:sz w:val="24"/>
                <w:highlight w:val="none"/>
              </w:rPr>
            </w:r>
            <w:r/>
          </w:p>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未提供不得分。</w:t>
            </w:r>
            <w:r>
              <w:rPr>
                <w:rFonts w:hint="eastAsia" w:ascii="宋体" w:hAnsi="宋体" w:cs="宋体"/>
                <w:color w:val="000000"/>
                <w:sz w:val="24"/>
                <w:highlight w:val="none"/>
              </w:rPr>
            </w:r>
            <w:r/>
          </w:p>
        </w:tc>
        <w:tc>
          <w:tcPr>
            <w:tcW w:w="2440" w:type="dxa"/>
            <w:vAlign w:val="center"/>
            <w:textDirection w:val="lrTb"/>
            <w:noWrap w:val="false"/>
          </w:tcPr>
          <w:p>
            <w:pPr>
              <w:pStyle w:val="1074"/>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070"/>
        </w:trPr>
        <w:tc>
          <w:tcPr>
            <w:tcW w:w="835" w:type="dxa"/>
            <w:vAlign w:val="center"/>
            <w:textDirection w:val="lrTb"/>
            <w:noWrap w:val="false"/>
          </w:tcPr>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462"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应急维护方案</w:t>
            </w:r>
            <w:r>
              <w:rPr>
                <w:rFonts w:hint="eastAsia" w:ascii="宋体" w:hAnsi="宋体" w:cs="宋体"/>
                <w:color w:val="000000"/>
                <w:sz w:val="24"/>
                <w:highlight w:val="none"/>
              </w:rPr>
            </w:r>
            <w:r/>
          </w:p>
        </w:tc>
        <w:tc>
          <w:tcPr>
            <w:tcW w:w="913"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3978" w:type="dxa"/>
            <w:vAlign w:val="center"/>
            <w:textDirection w:val="lrTb"/>
            <w:noWrap w:val="false"/>
          </w:tcPr>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投标人根据本项目实际需求及自身情况提供应急维护方案，投标人拟定项目服务过程中可能发生的问题，能够结合业务现状和特点，面对突发情况有完善的应急处置预案及处置能力提供有效可行的应急方案，以保障正常运行。</w:t>
            </w:r>
            <w:r>
              <w:rPr>
                <w:rFonts w:hint="eastAsia" w:ascii="宋体" w:hAnsi="宋体" w:cs="宋体"/>
                <w:color w:val="000000"/>
                <w:sz w:val="24"/>
                <w:highlight w:val="none"/>
              </w:rPr>
            </w:r>
            <w:r/>
          </w:p>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方案完整详实、科学合理、具备针对性且切实可行、满足采购人实际需求的得8分；</w:t>
            </w:r>
            <w:r>
              <w:rPr>
                <w:rFonts w:hint="eastAsia" w:ascii="宋体" w:hAnsi="宋体" w:cs="宋体"/>
                <w:color w:val="000000"/>
                <w:sz w:val="24"/>
                <w:highlight w:val="none"/>
              </w:rPr>
            </w:r>
            <w:r/>
          </w:p>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方案基本完整、较为科学合理，基本满足采购人实际需求的得6分；</w:t>
            </w:r>
            <w:r>
              <w:rPr>
                <w:rFonts w:hint="eastAsia" w:ascii="宋体" w:hAnsi="宋体" w:cs="宋体"/>
                <w:color w:val="000000"/>
                <w:sz w:val="24"/>
                <w:highlight w:val="none"/>
              </w:rPr>
            </w:r>
            <w:r/>
          </w:p>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方案完整性、合理性、针对性、可行性较差，与采购人实际需求存在较大差距的得4分；</w:t>
            </w:r>
            <w:r>
              <w:rPr>
                <w:rFonts w:hint="eastAsia" w:ascii="宋体" w:hAnsi="宋体" w:cs="宋体"/>
                <w:color w:val="000000"/>
                <w:sz w:val="24"/>
                <w:highlight w:val="none"/>
              </w:rPr>
            </w:r>
            <w:r/>
          </w:p>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未提供不得分。</w:t>
            </w:r>
            <w:r>
              <w:rPr>
                <w:rFonts w:hint="eastAsia" w:ascii="宋体" w:hAnsi="宋体" w:cs="宋体"/>
                <w:color w:val="000000"/>
                <w:sz w:val="24"/>
                <w:highlight w:val="none"/>
              </w:rPr>
            </w:r>
            <w:r/>
          </w:p>
        </w:tc>
        <w:tc>
          <w:tcPr>
            <w:tcW w:w="2440" w:type="dxa"/>
            <w:vAlign w:val="center"/>
            <w:textDirection w:val="lrTb"/>
            <w:noWrap w:val="false"/>
          </w:tcPr>
          <w:p>
            <w:pPr>
              <w:pStyle w:val="1074"/>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35" w:type="dxa"/>
            <w:vAlign w:val="center"/>
            <w:textDirection w:val="lrTb"/>
            <w:noWrap w:val="false"/>
          </w:tcPr>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462"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客观分</w:t>
            </w:r>
            <w:r>
              <w:rPr>
                <w:rFonts w:hint="eastAsia" w:ascii="宋体" w:hAnsi="宋体" w:cs="宋体"/>
                <w:color w:val="000000"/>
                <w:sz w:val="24"/>
                <w:highlight w:val="none"/>
              </w:rPr>
            </w:r>
            <w:r/>
          </w:p>
        </w:tc>
        <w:tc>
          <w:tcPr>
            <w:tcW w:w="913"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69</w:t>
            </w:r>
            <w:r>
              <w:rPr>
                <w:rFonts w:hint="eastAsia" w:ascii="宋体" w:hAnsi="宋体" w:cs="宋体"/>
                <w:color w:val="000000"/>
                <w:sz w:val="24"/>
                <w:highlight w:val="none"/>
              </w:rPr>
            </w:r>
            <w:r/>
          </w:p>
        </w:tc>
        <w:tc>
          <w:tcPr>
            <w:tcW w:w="3978" w:type="dxa"/>
            <w:vAlign w:val="center"/>
            <w:textDirection w:val="lrTb"/>
            <w:noWrap w:val="false"/>
          </w:tcPr>
          <w:p>
            <w:pPr>
              <w:pStyle w:val="1074"/>
              <w:rPr>
                <w:rFonts w:hint="eastAsia" w:ascii="宋体" w:hAnsi="宋体" w:cs="宋体"/>
                <w:color w:val="000000"/>
                <w:sz w:val="24"/>
                <w:highlight w:val="none"/>
              </w:rPr>
            </w:pPr>
            <w:r>
              <w:rPr>
                <w:rFonts w:hint="eastAsia" w:ascii="宋体" w:hAnsi="宋体" w:cs="宋体"/>
                <w:color w:val="000000"/>
                <w:sz w:val="24"/>
                <w:highlight w:val="none"/>
              </w:rPr>
            </w:r>
            <w:r/>
          </w:p>
        </w:tc>
        <w:tc>
          <w:tcPr>
            <w:tcW w:w="2440" w:type="dxa"/>
            <w:vAlign w:val="center"/>
            <w:textDirection w:val="lrTb"/>
            <w:noWrap w:val="false"/>
          </w:tcPr>
          <w:p>
            <w:pPr>
              <w:pStyle w:val="1074"/>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35" w:type="dxa"/>
            <w:vAlign w:val="center"/>
            <w:textDirection w:val="lrTb"/>
            <w:noWrap w:val="false"/>
          </w:tcPr>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1462" w:type="dxa"/>
            <w:vAlign w:val="center"/>
            <w:textDirection w:val="lrTb"/>
            <w:noWrap w:val="false"/>
          </w:tcPr>
          <w:p>
            <w:pPr>
              <w:pStyle w:val="1074"/>
              <w:jc w:val="center"/>
              <w:rPr>
                <w:rFonts w:ascii="宋体" w:hAnsi="宋体" w:cs="宋体"/>
                <w:color w:val="000000"/>
                <w:sz w:val="24"/>
                <w:highlight w:val="none"/>
              </w:rPr>
            </w:pPr>
            <w:r>
              <w:rPr>
                <w:rFonts w:hint="eastAsia" w:ascii="宋体" w:hAnsi="宋体" w:cs="宋体"/>
                <w:color w:val="000000"/>
                <w:sz w:val="24"/>
                <w:highlight w:val="none"/>
              </w:rPr>
              <w:t xml:space="preserve">维保服务团队</w:t>
            </w:r>
            <w:r>
              <w:rPr>
                <w:rFonts w:ascii="宋体" w:hAnsi="宋体" w:cs="宋体"/>
                <w:color w:val="000000"/>
                <w:sz w:val="24"/>
                <w:highlight w:val="none"/>
              </w:rPr>
            </w:r>
            <w:r/>
          </w:p>
        </w:tc>
        <w:tc>
          <w:tcPr>
            <w:tcW w:w="913" w:type="dxa"/>
            <w:vAlign w:val="center"/>
            <w:textDirection w:val="lrTb"/>
            <w:noWrap w:val="false"/>
          </w:tcPr>
          <w:p>
            <w:pPr>
              <w:pStyle w:val="1074"/>
              <w:jc w:val="center"/>
              <w:rPr>
                <w:rFonts w:ascii="宋体" w:hAnsi="宋体" w:cs="宋体"/>
                <w:color w:val="000000"/>
                <w:sz w:val="24"/>
                <w:highlight w:val="none"/>
              </w:rPr>
            </w:pPr>
            <w:r>
              <w:rPr>
                <w:rFonts w:hint="eastAsia" w:ascii="宋体" w:hAnsi="宋体" w:cs="宋体"/>
                <w:color w:val="000000"/>
                <w:sz w:val="24"/>
                <w:highlight w:val="none"/>
              </w:rPr>
              <w:t xml:space="preserve">30</w:t>
            </w:r>
            <w:r>
              <w:rPr>
                <w:rFonts w:ascii="宋体" w:hAnsi="宋体" w:cs="宋体"/>
                <w:color w:val="000000"/>
                <w:sz w:val="24"/>
                <w:highlight w:val="none"/>
              </w:rPr>
            </w:r>
            <w:r/>
          </w:p>
        </w:tc>
        <w:tc>
          <w:tcPr>
            <w:tcW w:w="3978" w:type="dxa"/>
            <w:vAlign w:val="center"/>
            <w:textDirection w:val="lrTb"/>
            <w:noWrap w:val="false"/>
          </w:tcPr>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1、具有高级工程师职称证书（电子信息专业），得4分；</w:t>
            </w:r>
            <w:r>
              <w:rPr>
                <w:rFonts w:hint="eastAsia" w:ascii="宋体" w:hAnsi="宋体" w:cs="宋体"/>
                <w:color w:val="000000"/>
                <w:sz w:val="24"/>
                <w:highlight w:val="none"/>
              </w:rPr>
            </w:r>
            <w:r/>
          </w:p>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2、具有工程师职称证书（电子信息专业），每有1名得3分，最高得12分；</w:t>
            </w:r>
            <w:r>
              <w:rPr>
                <w:rFonts w:hint="eastAsia" w:ascii="宋体" w:hAnsi="宋体" w:cs="宋体"/>
                <w:color w:val="000000"/>
                <w:sz w:val="24"/>
                <w:highlight w:val="none"/>
              </w:rPr>
            </w:r>
            <w:r/>
          </w:p>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3、具有HCIE、CCIE或H3CIE认证工程师有1名得2分，最高得4分；</w:t>
            </w:r>
            <w:r>
              <w:rPr>
                <w:rFonts w:hint="eastAsia" w:ascii="宋体" w:hAnsi="宋体" w:cs="宋体"/>
                <w:color w:val="000000"/>
                <w:sz w:val="24"/>
                <w:highlight w:val="none"/>
              </w:rPr>
            </w:r>
            <w:r/>
          </w:p>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4、具有CISAW-安全运维信息安全保障人员，得2分；</w:t>
            </w:r>
            <w:r>
              <w:rPr>
                <w:rFonts w:hint="eastAsia" w:ascii="宋体" w:hAnsi="宋体" w:cs="宋体"/>
                <w:color w:val="000000"/>
                <w:sz w:val="24"/>
                <w:highlight w:val="none"/>
              </w:rPr>
            </w:r>
            <w:r/>
          </w:p>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5、具有CISAW-应急管理信息安全保障人员，得2分；</w:t>
            </w:r>
            <w:r>
              <w:rPr>
                <w:rFonts w:hint="eastAsia" w:ascii="宋体" w:hAnsi="宋体" w:cs="宋体"/>
                <w:color w:val="000000"/>
                <w:sz w:val="24"/>
                <w:highlight w:val="none"/>
              </w:rPr>
            </w:r>
            <w:r/>
          </w:p>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6、具有CISAW-风险评估信息安全保障人员，得2分；</w:t>
            </w:r>
            <w:r>
              <w:rPr>
                <w:rFonts w:hint="eastAsia" w:ascii="宋体" w:hAnsi="宋体" w:cs="宋体"/>
                <w:color w:val="000000"/>
                <w:sz w:val="24"/>
                <w:highlight w:val="none"/>
              </w:rPr>
            </w:r>
            <w:r/>
          </w:p>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7、具有信息系统项目管理师，得2分；</w:t>
            </w:r>
            <w:r>
              <w:rPr>
                <w:rFonts w:hint="eastAsia" w:ascii="宋体" w:hAnsi="宋体" w:cs="宋体"/>
                <w:color w:val="000000"/>
                <w:sz w:val="24"/>
                <w:highlight w:val="none"/>
              </w:rPr>
            </w:r>
            <w:r/>
          </w:p>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8、具有IT服务项目经理，得2分；</w:t>
            </w:r>
            <w:r>
              <w:rPr>
                <w:rFonts w:hint="eastAsia" w:ascii="宋体" w:hAnsi="宋体" w:cs="宋体"/>
                <w:color w:val="000000"/>
                <w:sz w:val="24"/>
                <w:highlight w:val="none"/>
              </w:rPr>
            </w:r>
            <w:r/>
          </w:p>
          <w:p>
            <w:pPr>
              <w:pStyle w:val="1074"/>
              <w:rPr>
                <w:rFonts w:ascii="宋体" w:hAnsi="宋体" w:cs="宋体"/>
                <w:color w:val="000000"/>
                <w:sz w:val="24"/>
                <w:highlight w:val="none"/>
              </w:rPr>
            </w:pPr>
            <w:r>
              <w:rPr>
                <w:rFonts w:hint="eastAsia" w:ascii="宋体" w:hAnsi="宋体" w:cs="宋体"/>
                <w:color w:val="000000"/>
                <w:sz w:val="24"/>
                <w:highlight w:val="none"/>
              </w:rPr>
              <w:t xml:space="preserve">注：上述人员不得重复得分，一人多证仅计取一次。</w:t>
            </w:r>
            <w:r>
              <w:rPr>
                <w:rFonts w:ascii="宋体" w:hAnsi="宋体" w:cs="宋体"/>
                <w:color w:val="000000"/>
                <w:sz w:val="24"/>
                <w:highlight w:val="none"/>
              </w:rPr>
            </w:r>
            <w:r/>
          </w:p>
        </w:tc>
        <w:tc>
          <w:tcPr>
            <w:tcW w:w="2440" w:type="dxa"/>
            <w:vAlign w:val="center"/>
            <w:textDirection w:val="lrTb"/>
            <w:noWrap w:val="false"/>
          </w:tcPr>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该人员必须为投标人的正式员工，投标文件中提供人员证书及近三个月任意一个月投标人为上述人员缴纳的社保证明材料并加盖公章，否则不得分。</w:t>
            </w:r>
            <w:r>
              <w:rPr>
                <w:rFonts w:hint="eastAsia" w:ascii="宋体" w:hAnsi="宋体" w:cs="宋体"/>
                <w:color w:val="000000"/>
                <w:sz w:val="24"/>
                <w:highlight w:val="none"/>
              </w:rPr>
            </w:r>
            <w:r/>
          </w:p>
        </w:tc>
      </w:tr>
      <w:tr>
        <w:trPr>
          <w:trHeight w:val="4416"/>
        </w:trPr>
        <w:tc>
          <w:tcPr>
            <w:tcW w:w="835" w:type="dxa"/>
            <w:vAlign w:val="center"/>
            <w:textDirection w:val="lrTb"/>
            <w:noWrap w:val="false"/>
          </w:tcPr>
          <w:p>
            <w:pPr>
              <w:pStyle w:val="1074"/>
              <w:rPr>
                <w:rFonts w:ascii="宋体" w:hAnsi="宋体" w:cs="宋体"/>
                <w:color w:val="000000"/>
                <w:sz w:val="24"/>
                <w:highlight w:val="none"/>
              </w:rPr>
            </w:pPr>
            <w:r>
              <w:rPr>
                <w:rFonts w:hint="eastAsia" w:ascii="宋体" w:hAnsi="宋体" w:cs="宋体"/>
                <w:color w:val="000000"/>
                <w:sz w:val="24"/>
                <w:highlight w:val="none"/>
              </w:rPr>
              <w:t xml:space="preserve">3.2</w:t>
            </w:r>
            <w:r>
              <w:rPr>
                <w:rFonts w:ascii="宋体" w:hAnsi="宋体" w:cs="宋体"/>
                <w:color w:val="000000"/>
                <w:sz w:val="24"/>
                <w:highlight w:val="none"/>
              </w:rPr>
            </w:r>
            <w:r/>
          </w:p>
        </w:tc>
        <w:tc>
          <w:tcPr>
            <w:tcW w:w="1462" w:type="dxa"/>
            <w:vAlign w:val="center"/>
            <w:textDirection w:val="lrTb"/>
            <w:noWrap w:val="false"/>
          </w:tcPr>
          <w:p>
            <w:pPr>
              <w:pStyle w:val="1074"/>
              <w:jc w:val="center"/>
              <w:rPr>
                <w:rFonts w:ascii="宋体" w:hAnsi="宋体" w:cs="宋体"/>
                <w:color w:val="000000"/>
                <w:sz w:val="24"/>
                <w:highlight w:val="none"/>
              </w:rPr>
            </w:pPr>
            <w:r>
              <w:rPr>
                <w:rFonts w:hint="eastAsia" w:ascii="宋体" w:hAnsi="宋体" w:cs="宋体"/>
                <w:color w:val="000000"/>
                <w:sz w:val="24"/>
                <w:highlight w:val="none"/>
              </w:rPr>
              <w:t xml:space="preserve">认证证书</w:t>
            </w:r>
            <w:r>
              <w:rPr>
                <w:rFonts w:ascii="宋体" w:hAnsi="宋体" w:cs="宋体"/>
                <w:color w:val="000000"/>
                <w:sz w:val="24"/>
                <w:highlight w:val="none"/>
              </w:rPr>
            </w:r>
            <w:r/>
          </w:p>
        </w:tc>
        <w:tc>
          <w:tcPr>
            <w:tcW w:w="913" w:type="dxa"/>
            <w:vAlign w:val="center"/>
            <w:textDirection w:val="lrTb"/>
            <w:noWrap w:val="false"/>
          </w:tcPr>
          <w:p>
            <w:pPr>
              <w:pStyle w:val="1074"/>
              <w:jc w:val="center"/>
              <w:rPr>
                <w:rFonts w:ascii="宋体" w:hAnsi="宋体" w:cs="宋体"/>
                <w:color w:val="000000"/>
                <w:sz w:val="24"/>
                <w:highlight w:val="none"/>
              </w:rPr>
            </w:pPr>
            <w:r>
              <w:rPr>
                <w:rFonts w:hint="eastAsia" w:ascii="宋体" w:hAnsi="宋体" w:cs="宋体"/>
                <w:color w:val="000000"/>
                <w:sz w:val="24"/>
                <w:highlight w:val="none"/>
              </w:rPr>
              <w:t xml:space="preserve">24</w:t>
            </w:r>
            <w:r>
              <w:rPr>
                <w:rFonts w:ascii="宋体" w:hAnsi="宋体" w:cs="宋体"/>
                <w:color w:val="000000"/>
                <w:sz w:val="24"/>
                <w:highlight w:val="none"/>
              </w:rPr>
            </w:r>
            <w:r/>
          </w:p>
        </w:tc>
        <w:tc>
          <w:tcPr>
            <w:tcW w:w="3978" w:type="dxa"/>
            <w:vAlign w:val="center"/>
            <w:textDirection w:val="lrTb"/>
            <w:noWrap w:val="false"/>
          </w:tcPr>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1、投标人具有有效的质量管理体系认证证书得3分；</w:t>
            </w:r>
            <w:r>
              <w:rPr>
                <w:rFonts w:hint="eastAsia" w:ascii="宋体" w:hAnsi="宋体" w:cs="宋体"/>
                <w:color w:val="000000"/>
                <w:sz w:val="24"/>
                <w:highlight w:val="none"/>
              </w:rPr>
            </w:r>
            <w:r/>
          </w:p>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2、投标人具有有效的信息技术服务管理体系认证证书得3分；</w:t>
            </w:r>
            <w:r>
              <w:rPr>
                <w:rFonts w:hint="eastAsia" w:ascii="宋体" w:hAnsi="宋体" w:cs="宋体"/>
                <w:color w:val="000000"/>
                <w:sz w:val="24"/>
                <w:highlight w:val="none"/>
              </w:rPr>
            </w:r>
            <w:r/>
          </w:p>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3、投标人具有有效的信息安全管理体系认证证书得3分；</w:t>
            </w:r>
            <w:r>
              <w:rPr>
                <w:rFonts w:hint="eastAsia" w:ascii="宋体" w:hAnsi="宋体" w:cs="宋体"/>
                <w:color w:val="000000"/>
                <w:sz w:val="24"/>
                <w:highlight w:val="none"/>
              </w:rPr>
            </w:r>
            <w:r/>
          </w:p>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4、投标人具有有效的环境管理体系认证证书得3分；</w:t>
            </w:r>
            <w:r>
              <w:rPr>
                <w:rFonts w:hint="eastAsia" w:ascii="宋体" w:hAnsi="宋体" w:cs="宋体"/>
                <w:color w:val="000000"/>
                <w:sz w:val="24"/>
                <w:highlight w:val="none"/>
              </w:rPr>
            </w:r>
            <w:r/>
          </w:p>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5、投标人具有有效的职业健康安全管理体系认证证书得3分；</w:t>
            </w:r>
            <w:r>
              <w:rPr>
                <w:rFonts w:hint="eastAsia" w:ascii="宋体" w:hAnsi="宋体" w:cs="宋体"/>
                <w:color w:val="000000"/>
                <w:sz w:val="24"/>
                <w:highlight w:val="none"/>
              </w:rPr>
            </w:r>
            <w:r/>
          </w:p>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6、投标人具有ITSS（信息技术服务运行维护标准）符合性证书二级及以上得3分；</w:t>
            </w:r>
            <w:r>
              <w:rPr>
                <w:rFonts w:hint="eastAsia" w:ascii="宋体" w:hAnsi="宋体" w:cs="宋体"/>
                <w:color w:val="000000"/>
                <w:sz w:val="24"/>
                <w:highlight w:val="none"/>
              </w:rPr>
            </w:r>
            <w:r/>
          </w:p>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7、投标人具有CCRC有信息系统安全集成服务资质证书三级及以上证书得3分。</w:t>
            </w:r>
            <w:r>
              <w:rPr>
                <w:rFonts w:hint="eastAsia" w:ascii="宋体" w:hAnsi="宋体" w:cs="宋体"/>
                <w:color w:val="000000"/>
                <w:sz w:val="24"/>
                <w:highlight w:val="none"/>
              </w:rPr>
            </w:r>
            <w:r/>
          </w:p>
          <w:p>
            <w:pPr>
              <w:pStyle w:val="1074"/>
              <w:rPr>
                <w:rFonts w:ascii="宋体" w:hAnsi="宋体" w:cs="宋体"/>
                <w:color w:val="000000"/>
                <w:sz w:val="24"/>
                <w:highlight w:val="none"/>
              </w:rPr>
            </w:pPr>
            <w:r>
              <w:rPr>
                <w:rFonts w:hint="eastAsia" w:ascii="宋体" w:hAnsi="宋体" w:cs="宋体"/>
                <w:color w:val="000000"/>
                <w:sz w:val="24"/>
                <w:highlight w:val="none"/>
              </w:rPr>
              <w:t xml:space="preserve">8、投标人具有信息系统服务交付能力三级证书及以上资质证书得3分。</w:t>
            </w:r>
            <w:r>
              <w:rPr>
                <w:rFonts w:ascii="宋体" w:hAnsi="宋体" w:cs="宋体"/>
                <w:color w:val="000000"/>
                <w:sz w:val="24"/>
                <w:highlight w:val="none"/>
              </w:rPr>
            </w:r>
            <w:r/>
          </w:p>
        </w:tc>
        <w:tc>
          <w:tcPr>
            <w:tcW w:w="2440" w:type="dxa"/>
            <w:vAlign w:val="center"/>
            <w:textDirection w:val="lrTb"/>
            <w:noWrap w:val="false"/>
          </w:tcPr>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1.提供证书复印件并加盖投标人公章。</w:t>
            </w:r>
            <w:r>
              <w:rPr>
                <w:rFonts w:hint="eastAsia" w:ascii="宋体" w:hAnsi="宋体" w:cs="宋体"/>
                <w:color w:val="000000"/>
                <w:sz w:val="24"/>
                <w:highlight w:val="none"/>
              </w:rPr>
            </w:r>
            <w:r/>
          </w:p>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2.提供1-5项管理体系认证证书在国家认证认可监督管理委员会官网查询的截图并加盖投标人公章。</w:t>
            </w:r>
            <w:r>
              <w:rPr>
                <w:rFonts w:hint="eastAsia" w:ascii="宋体" w:hAnsi="宋体" w:cs="宋体"/>
                <w:color w:val="000000"/>
                <w:sz w:val="24"/>
                <w:highlight w:val="none"/>
              </w:rPr>
            </w:r>
            <w:r/>
          </w:p>
        </w:tc>
      </w:tr>
      <w:tr>
        <w:trPr/>
        <w:tc>
          <w:tcPr>
            <w:tcW w:w="835" w:type="dxa"/>
            <w:vAlign w:val="center"/>
            <w:textDirection w:val="lrTb"/>
            <w:noWrap w:val="false"/>
          </w:tcPr>
          <w:p>
            <w:pPr>
              <w:pStyle w:val="1074"/>
              <w:rPr>
                <w:rFonts w:ascii="宋体" w:hAnsi="宋体" w:cs="宋体"/>
                <w:color w:val="000000"/>
                <w:sz w:val="24"/>
                <w:highlight w:val="none"/>
              </w:rPr>
            </w:pPr>
            <w:r>
              <w:rPr>
                <w:rFonts w:hint="eastAsia" w:ascii="宋体" w:hAnsi="宋体" w:cs="宋体"/>
                <w:color w:val="000000"/>
                <w:sz w:val="24"/>
                <w:highlight w:val="none"/>
              </w:rPr>
              <w:t xml:space="preserve">3.3</w:t>
            </w:r>
            <w:r>
              <w:rPr>
                <w:rFonts w:ascii="宋体" w:hAnsi="宋体" w:cs="宋体"/>
                <w:color w:val="000000"/>
                <w:sz w:val="24"/>
                <w:highlight w:val="none"/>
              </w:rPr>
            </w:r>
            <w:r/>
          </w:p>
        </w:tc>
        <w:tc>
          <w:tcPr>
            <w:tcW w:w="1462"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业绩</w:t>
            </w:r>
            <w:r>
              <w:rPr>
                <w:rFonts w:hint="eastAsia" w:ascii="宋体" w:hAnsi="宋体" w:cs="宋体"/>
                <w:color w:val="000000"/>
                <w:sz w:val="24"/>
                <w:highlight w:val="none"/>
              </w:rPr>
            </w:r>
            <w:r/>
          </w:p>
        </w:tc>
        <w:tc>
          <w:tcPr>
            <w:tcW w:w="913" w:type="dxa"/>
            <w:vAlign w:val="center"/>
            <w:textDirection w:val="lrTb"/>
            <w:noWrap w:val="false"/>
          </w:tcPr>
          <w:p>
            <w:pPr>
              <w:pStyle w:val="1074"/>
              <w:jc w:val="center"/>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3978" w:type="dxa"/>
            <w:vAlign w:val="center"/>
            <w:textDirection w:val="lrTb"/>
            <w:noWrap w:val="false"/>
          </w:tcPr>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投标人具有</w:t>
            </w:r>
            <w:r>
              <w:rPr>
                <w:rFonts w:hint="eastAsia" w:ascii="宋体" w:hAnsi="宋体" w:cs="宋体"/>
                <w:color w:val="000000"/>
                <w:sz w:val="24"/>
                <w:highlight w:val="none"/>
              </w:rPr>
              <w:t xml:space="preserve">2023年1月1日</w:t>
            </w:r>
            <w:r>
              <w:rPr>
                <w:rFonts w:hint="eastAsia" w:ascii="宋体" w:hAnsi="宋体" w:cs="宋体"/>
                <w:color w:val="000000"/>
                <w:sz w:val="24"/>
                <w:highlight w:val="none"/>
              </w:rPr>
              <w:t xml:space="preserve">以来类似维保项目，每一份合同得2分，最高10分。</w:t>
            </w:r>
            <w:r>
              <w:rPr>
                <w:rFonts w:hint="eastAsia" w:ascii="宋体" w:hAnsi="宋体" w:cs="宋体"/>
                <w:color w:val="000000"/>
                <w:sz w:val="24"/>
                <w:highlight w:val="none"/>
              </w:rPr>
            </w:r>
            <w:r/>
          </w:p>
        </w:tc>
        <w:tc>
          <w:tcPr>
            <w:tcW w:w="2440" w:type="dxa"/>
            <w:vAlign w:val="center"/>
            <w:textDirection w:val="lrTb"/>
            <w:noWrap w:val="false"/>
          </w:tcPr>
          <w:p>
            <w:pPr>
              <w:pStyle w:val="1074"/>
              <w:ind w:firstLine="28"/>
              <w:jc w:val="left"/>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1、提供合同复印件</w:t>
            </w:r>
            <w:r>
              <w:rPr>
                <w:rFonts w:hint="eastAsia" w:ascii="宋体" w:hAnsi="宋体" w:cs="宋体"/>
                <w:color w:val="000000"/>
                <w:sz w:val="24"/>
                <w:highlight w:val="none"/>
              </w:rPr>
            </w:r>
            <w:r/>
          </w:p>
          <w:p>
            <w:pPr>
              <w:pStyle w:val="1074"/>
              <w:ind w:firstLine="28"/>
              <w:jc w:val="left"/>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2、时间以合同签订时间为准</w:t>
            </w:r>
            <w:r>
              <w:rPr>
                <w:rFonts w:hint="eastAsia" w:ascii="宋体" w:hAnsi="宋体" w:cs="宋体"/>
                <w:color w:val="000000"/>
                <w:sz w:val="24"/>
                <w:highlight w:val="none"/>
              </w:rPr>
            </w:r>
            <w:r/>
          </w:p>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3、合同甲方应为最终实际使用合同标的的一方。</w:t>
            </w:r>
            <w:r>
              <w:rPr>
                <w:rFonts w:hint="eastAsia" w:ascii="宋体" w:hAnsi="宋体" w:cs="宋体"/>
                <w:color w:val="000000"/>
                <w:sz w:val="24"/>
                <w:highlight w:val="none"/>
              </w:rPr>
            </w:r>
            <w:r/>
          </w:p>
        </w:tc>
      </w:tr>
      <w:tr>
        <w:trPr/>
        <w:tc>
          <w:tcPr>
            <w:tcW w:w="835" w:type="dxa"/>
            <w:vAlign w:val="center"/>
            <w:textDirection w:val="lrTb"/>
            <w:noWrap w:val="false"/>
          </w:tcPr>
          <w:p>
            <w:pPr>
              <w:pStyle w:val="1074"/>
              <w:rPr>
                <w:rFonts w:ascii="宋体" w:hAnsi="宋体" w:cs="宋体"/>
                <w:color w:val="000000"/>
                <w:sz w:val="24"/>
                <w:highlight w:val="none"/>
              </w:rPr>
            </w:pPr>
            <w:r>
              <w:rPr>
                <w:rFonts w:hint="eastAsia" w:ascii="宋体" w:hAnsi="宋体" w:cs="宋体"/>
                <w:color w:val="000000"/>
                <w:sz w:val="24"/>
                <w:highlight w:val="none"/>
              </w:rPr>
              <w:t xml:space="preserve">3.4</w:t>
            </w:r>
            <w:r>
              <w:rPr>
                <w:rFonts w:ascii="宋体" w:hAnsi="宋体" w:cs="宋体"/>
                <w:color w:val="000000"/>
                <w:sz w:val="24"/>
                <w:highlight w:val="none"/>
              </w:rPr>
            </w:r>
            <w:r/>
          </w:p>
        </w:tc>
        <w:tc>
          <w:tcPr>
            <w:tcW w:w="1462"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运维管理能力</w:t>
            </w:r>
            <w:r>
              <w:rPr>
                <w:rFonts w:hint="eastAsia" w:ascii="宋体" w:hAnsi="宋体" w:cs="宋体"/>
                <w:color w:val="000000"/>
                <w:sz w:val="24"/>
                <w:highlight w:val="none"/>
              </w:rPr>
            </w:r>
            <w:r/>
          </w:p>
        </w:tc>
        <w:tc>
          <w:tcPr>
            <w:tcW w:w="913"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3978" w:type="dxa"/>
            <w:vAlign w:val="center"/>
            <w:textDirection w:val="lrTb"/>
            <w:noWrap w:val="false"/>
          </w:tcPr>
          <w:p>
            <w:pPr>
              <w:pStyle w:val="1074"/>
              <w:rPr>
                <w:rFonts w:hint="eastAsia" w:ascii="宋体" w:hAnsi="宋体" w:cs="宋体"/>
                <w:color w:val="000000"/>
                <w:sz w:val="24"/>
                <w:highlight w:val="none"/>
              </w:rPr>
            </w:pPr>
            <w:r>
              <w:rPr>
                <w:rFonts w:hint="eastAsia" w:ascii="宋体" w:hAnsi="宋体" w:cs="宋体"/>
                <w:color w:val="000000"/>
                <w:sz w:val="24"/>
                <w:highlight w:val="none"/>
              </w:rPr>
              <w:t xml:space="preserve">投标人具有运维管理系统著作权得5分，著作权名称不同的，提供功能说明，由评委判定。</w:t>
            </w:r>
            <w:r>
              <w:rPr>
                <w:rFonts w:hint="eastAsia" w:ascii="宋体" w:hAnsi="宋体" w:cs="宋体"/>
                <w:color w:val="000000"/>
                <w:sz w:val="24"/>
                <w:highlight w:val="none"/>
              </w:rPr>
            </w:r>
            <w:r/>
          </w:p>
        </w:tc>
        <w:tc>
          <w:tcPr>
            <w:tcW w:w="2440" w:type="dxa"/>
            <w:vAlign w:val="center"/>
            <w:textDirection w:val="lrTb"/>
            <w:noWrap w:val="false"/>
          </w:tcPr>
          <w:p>
            <w:pPr>
              <w:pStyle w:val="1074"/>
              <w:rPr>
                <w:rFonts w:ascii="宋体" w:hAnsi="宋体" w:cs="宋体"/>
                <w:color w:val="000000"/>
                <w:sz w:val="24"/>
                <w:highlight w:val="none"/>
              </w:rPr>
            </w:pPr>
            <w:r>
              <w:rPr>
                <w:rFonts w:ascii="宋体" w:hAnsi="宋体" w:cs="宋体"/>
                <w:color w:val="000000"/>
                <w:sz w:val="24"/>
                <w:highlight w:val="none"/>
              </w:rPr>
            </w:r>
            <w:r/>
          </w:p>
        </w:tc>
      </w:tr>
      <w:tr>
        <w:trPr/>
        <w:tc>
          <w:tcPr>
            <w:gridSpan w:val="2"/>
            <w:tcW w:w="2297"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合计</w:t>
            </w:r>
            <w:r>
              <w:rPr>
                <w:rFonts w:hint="eastAsia" w:ascii="宋体" w:hAnsi="宋体" w:cs="宋体"/>
                <w:color w:val="000000"/>
                <w:sz w:val="24"/>
                <w:highlight w:val="none"/>
              </w:rPr>
            </w:r>
            <w:r/>
          </w:p>
        </w:tc>
        <w:tc>
          <w:tcPr>
            <w:tcW w:w="913"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100</w:t>
            </w:r>
            <w:r>
              <w:rPr>
                <w:rFonts w:hint="eastAsia" w:ascii="宋体" w:hAnsi="宋体" w:cs="宋体"/>
                <w:color w:val="000000"/>
                <w:sz w:val="24"/>
                <w:highlight w:val="none"/>
              </w:rPr>
            </w:r>
            <w:r/>
          </w:p>
        </w:tc>
        <w:tc>
          <w:tcPr>
            <w:gridSpan w:val="2"/>
            <w:tcW w:w="6418" w:type="dxa"/>
            <w:vAlign w:val="center"/>
            <w:textDirection w:val="lrTb"/>
            <w:noWrap w:val="false"/>
          </w:tcPr>
          <w:p>
            <w:pPr>
              <w:pStyle w:val="1074"/>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4"/>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4"/>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4"/>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5" w:name="_Toc99301424"/>
      <w:r>
        <w:rPr>
          <w:rFonts w:ascii="宋体" w:hAnsi="宋体"/>
          <w:b/>
          <w:color w:val="000000"/>
          <w:sz w:val="36"/>
          <w:szCs w:val="36"/>
          <w:highlight w:val="none"/>
        </w:rPr>
        <w:t xml:space="preserve">第五章   采购需求</w:t>
      </w:r>
      <w:bookmarkEnd w:id="815"/>
      <w:r>
        <w:rPr>
          <w:rFonts w:ascii="宋体" w:hAnsi="宋体"/>
          <w:b/>
          <w:color w:val="000000"/>
          <w:sz w:val="36"/>
          <w:szCs w:val="36"/>
          <w:highlight w:val="none"/>
        </w:rPr>
      </w:r>
      <w:r/>
    </w:p>
    <w:p>
      <w:pPr>
        <w:pStyle w:val="1074"/>
        <w:contextualSpacing/>
        <w:spacing w:line="360" w:lineRule="auto"/>
        <w:rPr>
          <w:rFonts w:ascii="宋体" w:hAnsi="宋体"/>
          <w:color w:val="000000"/>
          <w:sz w:val="24"/>
          <w:highlight w:val="none"/>
        </w:rPr>
      </w:pPr>
      <w:r>
        <w:rPr>
          <w:rFonts w:ascii="宋体" w:hAnsi="宋体"/>
          <w:color w:val="000000"/>
          <w:sz w:val="24"/>
          <w:highlight w:val="none"/>
        </w:rPr>
      </w:r>
      <w:r/>
    </w:p>
    <w:p>
      <w:pPr>
        <w:pStyle w:val="1168"/>
        <w:contextualSpacing/>
        <w:ind w:left="-2" w:firstLine="482"/>
        <w:spacing w:line="360" w:lineRule="auto"/>
        <w:tabs>
          <w:tab w:val="left" w:pos="567" w:leader="none"/>
        </w:tabs>
        <w:rPr>
          <w:rFonts w:ascii="宋体" w:hAnsi="宋体"/>
          <w:bCs/>
          <w:color w:val="000000"/>
          <w:sz w:val="24"/>
          <w:szCs w:val="24"/>
          <w:highlight w:val="none"/>
        </w:rPr>
      </w:pPr>
      <w:r>
        <w:rPr>
          <w:rFonts w:ascii="宋体" w:hAnsi="宋体"/>
          <w:b/>
          <w:color w:val="000000"/>
          <w:sz w:val="24"/>
          <w:szCs w:val="24"/>
          <w:highlight w:val="none"/>
        </w:rPr>
        <w:t xml:space="preserve">一、</w:t>
      </w:r>
      <w:r>
        <w:rPr>
          <w:rFonts w:hint="eastAsia" w:ascii="宋体" w:hAnsi="宋体"/>
          <w:b/>
          <w:color w:val="000000"/>
          <w:sz w:val="24"/>
          <w:szCs w:val="24"/>
          <w:highlight w:val="none"/>
        </w:rPr>
        <w:t xml:space="preserve">项目概况</w:t>
      </w:r>
      <w:r>
        <w:rPr>
          <w:rFonts w:ascii="宋体" w:hAnsi="宋体"/>
          <w:bCs/>
          <w:color w:val="000000"/>
          <w:sz w:val="24"/>
          <w:szCs w:val="24"/>
          <w:highlight w:val="none"/>
        </w:rPr>
      </w:r>
      <w:r/>
    </w:p>
    <w:p>
      <w:pPr>
        <w:pStyle w:val="1168"/>
        <w:contextualSpacing/>
        <w:ind w:left="-2" w:firstLine="480"/>
        <w:spacing w:line="360" w:lineRule="auto"/>
        <w:tabs>
          <w:tab w:val="left" w:pos="567"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常州市肿瘤医院信息化平台经过多年建设，已经具备一定规模，医院通过信息化程度的提高、业务种类的分化，极大的方便了各项医疗工作的开展。现部分业务系统的服务器、交换机硬件设备采购时间比较久远，原厂保修服务已经到期。</w:t>
      </w:r>
      <w:r>
        <w:rPr>
          <w:rFonts w:hint="eastAsia" w:ascii="宋体" w:hAnsi="宋体"/>
          <w:bCs/>
          <w:color w:val="000000"/>
          <w:sz w:val="24"/>
          <w:szCs w:val="24"/>
          <w:highlight w:val="none"/>
        </w:rPr>
        <w:t xml:space="preserve">为全面筑牢医院信息化系统</w:t>
      </w:r>
      <w:r>
        <w:rPr>
          <w:rFonts w:hint="eastAsia" w:ascii="宋体" w:hAnsi="宋体"/>
          <w:bCs/>
          <w:color w:val="000000"/>
          <w:sz w:val="24"/>
          <w:szCs w:val="24"/>
          <w:highlight w:val="none"/>
        </w:rPr>
        <w:t xml:space="preserve">安全防线，保障各项业务系统不间断、高质量运行，严守医疗信息安全管理规范，同时秉持科学管控成本、优化资源配置的原则，避免因设备故障造成更大的经济损失与运营风险，现拟对医院业务系统内已超出原厂保修期的服务器、交换机、安全硬件设备及相关系统软件，采购专业维保服务。本次维保服务采购，将严格按照医院采购管理相关规定执行，优选具备专业资质、技术实力雄厚、服务响应及时的供应商，提供设备日常巡检、故障维修、系统维护、安全防护、技术支持等全方位维保服务，全力保障信息化设备与系统平稳运行，为医院高质量发展提供可靠的信息化保障。</w:t>
      </w:r>
      <w:r>
        <w:rPr>
          <w:rFonts w:hint="eastAsia" w:ascii="宋体" w:hAnsi="宋体"/>
          <w:bCs/>
          <w:color w:val="000000"/>
          <w:sz w:val="24"/>
          <w:szCs w:val="24"/>
          <w:highlight w:val="none"/>
        </w:rPr>
      </w:r>
      <w:r/>
    </w:p>
    <w:p>
      <w:pPr>
        <w:pStyle w:val="1168"/>
        <w:numPr>
          <w:ilvl w:val="0"/>
          <w:numId w:val="14"/>
        </w:numPr>
        <w:contextualSpacing/>
        <w:ind w:left="-2" w:firstLine="482"/>
        <w:spacing w:line="360" w:lineRule="auto"/>
        <w:tabs>
          <w:tab w:val="left" w:pos="567" w:leader="none"/>
        </w:tabs>
        <w:rPr>
          <w:rFonts w:hint="eastAsia" w:ascii="宋体" w:hAnsi="宋体"/>
          <w:b/>
          <w:color w:val="000000"/>
          <w:sz w:val="24"/>
          <w:szCs w:val="24"/>
          <w:highlight w:val="none"/>
        </w:rPr>
      </w:pPr>
      <w:r>
        <w:rPr>
          <w:rFonts w:hint="eastAsia" w:ascii="宋体" w:hAnsi="宋体"/>
          <w:b/>
          <w:color w:val="000000"/>
          <w:sz w:val="24"/>
          <w:szCs w:val="24"/>
          <w:highlight w:val="none"/>
        </w:rPr>
        <w:t xml:space="preserve">维保清单</w:t>
      </w:r>
      <w:r>
        <w:rPr>
          <w:rFonts w:hint="eastAsia" w:ascii="宋体" w:hAnsi="宋体"/>
          <w:b/>
          <w:color w:val="000000"/>
          <w:sz w:val="24"/>
          <w:szCs w:val="24"/>
          <w:highlight w:val="none"/>
        </w:rPr>
      </w:r>
      <w:r/>
    </w:p>
    <w:tbl>
      <w:tblPr>
        <w:tblW w:w="4968" w:type="pct"/>
        <w:tblInd w:w="-108" w:type="dxa"/>
        <w:tblLayout w:type="autofit"/>
        <w:tblCellMar>
          <w:left w:w="108" w:type="dxa"/>
          <w:top w:w="0" w:type="dxa"/>
          <w:right w:w="108" w:type="dxa"/>
          <w:bottom w:w="0" w:type="dxa"/>
        </w:tblCellMar>
        <w:tblLook w:val="04A0" w:firstRow="1" w:lastRow="0" w:firstColumn="1" w:lastColumn="0" w:noHBand="0" w:noVBand="1"/>
      </w:tblPr>
      <w:tblGrid>
        <w:gridCol w:w="975"/>
        <w:gridCol w:w="3105"/>
        <w:gridCol w:w="2881"/>
        <w:gridCol w:w="2268"/>
      </w:tblGrid>
      <w:tr>
        <w:trPr>
          <w:trHeight w:val="504"/>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设备名称</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型号</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数量</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1</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IBM x3850x5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2</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IBM x3850x5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3</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IBM x3850x5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4</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IBM x3850x5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IBM x3850x5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6</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IBM x3850x5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7</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IBM x3850x6</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8</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浪潮NF5280M4</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9</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浪潮NF5280M4</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10</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浪潮NF5280M4</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11</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浪潮NF5280M4</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12</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IBM X3850 X6</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13</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IBM X3850 X6</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14</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华为2288HV5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15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华为2288HV5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16</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华为2288HV5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17</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华为2288HV5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18</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华为2288HV5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19</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交换机</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华为S5720S-52X-LI-AC</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20</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交换机</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华为S5720S-52X-LI-AC</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21</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交换机</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IBM光交 2498-B24</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22</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交换机</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IBM光交  2498-B24</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23</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交换机</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华为光交SNS2224</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24</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交换机</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华为光交SNS2224</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25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交换机</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华为CE6855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26</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交换机</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华为CE6855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27</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防火墙（安全设备）</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华为Secospace USG6000</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 w:val="22"/>
                <w:szCs w:val="22"/>
                <w:highlight w:val="none"/>
              </w:rPr>
              <w:t xml:space="preserve">28</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 w:val="22"/>
                <w:szCs w:val="22"/>
                <w:highlight w:val="none"/>
              </w:rPr>
              <w:t xml:space="preserve">防火墙（安全设备）</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Cs w:val="21"/>
                <w:highlight w:val="none"/>
              </w:rPr>
              <w:t xml:space="preserve">华为Secospace USG6000</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Cs w:val="21"/>
                <w:highlight w:val="none"/>
              </w:rPr>
              <w:t xml:space="preserve">1</w:t>
            </w:r>
            <w:r>
              <w:rPr>
                <w:rFonts w:hint="eastAsia"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 w:val="22"/>
                <w:szCs w:val="22"/>
                <w:highlight w:val="none"/>
              </w:rPr>
              <w:t xml:space="preserve">29</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highlight w:val="none"/>
              </w:rPr>
              <w:t xml:space="preserve">日志审计（安全设备）</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highlight w:val="none"/>
              </w:rPr>
              <w:t xml:space="preserve">LOGBASE</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 w:val="22"/>
                <w:szCs w:val="22"/>
                <w:highlight w:val="none"/>
              </w:rPr>
              <w:t xml:space="preserve">1</w:t>
            </w:r>
            <w:r>
              <w:rPr>
                <w:rFonts w:hint="eastAsia"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 w:val="22"/>
                <w:szCs w:val="22"/>
                <w:highlight w:val="none"/>
              </w:rPr>
              <w:t xml:space="preserve">30</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highlight w:val="none"/>
              </w:rPr>
              <w:t xml:space="preserve">服务器</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highlight w:val="none"/>
              </w:rPr>
              <w:t xml:space="preserve">深信服服务器</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 w:val="22"/>
                <w:szCs w:val="22"/>
                <w:highlight w:val="none"/>
              </w:rPr>
              <w:t xml:space="preserve">1</w:t>
            </w:r>
            <w:r>
              <w:rPr>
                <w:rFonts w:hint="eastAsia"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 w:val="22"/>
                <w:szCs w:val="22"/>
                <w:highlight w:val="none"/>
              </w:rPr>
              <w:t xml:space="preserve">31</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highlight w:val="none"/>
              </w:rPr>
              <w:t xml:space="preserve">服务器</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highlight w:val="none"/>
              </w:rPr>
              <w:t xml:space="preserve">深信服服务器</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 w:val="22"/>
                <w:szCs w:val="22"/>
                <w:highlight w:val="none"/>
              </w:rPr>
              <w:t xml:space="preserve">1</w:t>
            </w:r>
            <w:r>
              <w:rPr>
                <w:rFonts w:hint="eastAsia"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 w:val="22"/>
                <w:szCs w:val="22"/>
                <w:highlight w:val="none"/>
              </w:rPr>
              <w:t xml:space="preserve">32</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highlight w:val="none"/>
              </w:rPr>
              <w:t xml:space="preserve">服务器</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highlight w:val="none"/>
              </w:rPr>
              <w:t xml:space="preserve">深信服服务器</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 w:val="22"/>
                <w:szCs w:val="22"/>
                <w:highlight w:val="none"/>
              </w:rPr>
              <w:t xml:space="preserve">1</w:t>
            </w:r>
            <w:r>
              <w:rPr>
                <w:rFonts w:hint="eastAsia"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 w:val="22"/>
                <w:szCs w:val="22"/>
                <w:highlight w:val="none"/>
              </w:rPr>
              <w:t xml:space="preserve">33</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highlight w:val="none"/>
              </w:rPr>
              <w:t xml:space="preserve">交换机</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highlight w:val="none"/>
              </w:rPr>
              <w:t xml:space="preserve">RS6300</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 w:val="22"/>
                <w:szCs w:val="22"/>
                <w:highlight w:val="none"/>
              </w:rPr>
              <w:t xml:space="preserve">1</w:t>
            </w:r>
            <w:r>
              <w:rPr>
                <w:rFonts w:hint="eastAsia"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 w:val="22"/>
                <w:szCs w:val="22"/>
                <w:highlight w:val="none"/>
              </w:rPr>
              <w:t xml:space="preserve">34</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highlight w:val="none"/>
              </w:rPr>
              <w:t xml:space="preserve">交换机</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highlight w:val="none"/>
              </w:rPr>
              <w:t xml:space="preserve">RS6300</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 w:val="22"/>
                <w:szCs w:val="22"/>
                <w:highlight w:val="none"/>
              </w:rPr>
              <w:t xml:space="preserve">1</w:t>
            </w:r>
            <w:r>
              <w:rPr>
                <w:rFonts w:hint="eastAsia"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hint="eastAsia"/>
                <w:color w:val="000000"/>
                <w:sz w:val="22"/>
                <w:szCs w:val="22"/>
                <w:highlight w:val="none"/>
              </w:rPr>
            </w:pPr>
            <w:r>
              <w:rPr>
                <w:rFonts w:hint="eastAsia"/>
                <w:color w:val="000000"/>
                <w:sz w:val="22"/>
                <w:szCs w:val="22"/>
                <w:highlight w:val="none"/>
              </w:rPr>
              <w:t xml:space="preserve">35</w:t>
            </w:r>
            <w:r>
              <w:rPr>
                <w:rFonts w:hint="eastAsia"/>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hint="eastAsia"/>
                <w:color w:val="000000"/>
                <w:highlight w:val="none"/>
              </w:rPr>
            </w:pPr>
            <w:r>
              <w:rPr>
                <w:rFonts w:hint="eastAsia"/>
                <w:color w:val="000000"/>
                <w:highlight w:val="none"/>
              </w:rPr>
              <w:t xml:space="preserve">交换机</w:t>
            </w:r>
            <w:r>
              <w:rPr>
                <w:rFonts w:hint="eastAsia"/>
                <w:color w:val="000000"/>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highlight w:val="none"/>
              </w:rPr>
              <w:t xml:space="preserve">H3C-S6520X-54</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 w:val="22"/>
                <w:szCs w:val="22"/>
                <w:highlight w:val="none"/>
              </w:rPr>
              <w:t xml:space="preserve">1</w:t>
            </w:r>
            <w:r>
              <w:rPr>
                <w:rFonts w:hint="eastAsia"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36</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81"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highlight w:val="none"/>
              </w:rPr>
              <w:t xml:space="preserve">交换机</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highlight w:val="none"/>
              </w:rPr>
              <w:t xml:space="preserve">H3C-S6520X-54</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28"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1</w:t>
            </w:r>
            <w:r>
              <w:rPr>
                <w:rFonts w:ascii="宋体" w:hAnsi="宋体" w:cs="宋体"/>
                <w:color w:val="000000"/>
                <w:sz w:val="24"/>
                <w:highlight w:val="none"/>
              </w:rPr>
            </w:r>
            <w:r/>
          </w:p>
        </w:tc>
      </w:tr>
    </w:tbl>
    <w:p>
      <w:pPr>
        <w:pStyle w:val="1168"/>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三、</w:t>
      </w:r>
      <w:r>
        <w:rPr>
          <w:rFonts w:hint="eastAsia" w:ascii="宋体" w:hAnsi="宋体"/>
          <w:b/>
          <w:color w:val="000000"/>
          <w:sz w:val="24"/>
          <w:szCs w:val="24"/>
          <w:highlight w:val="none"/>
        </w:rPr>
        <w:t xml:space="preserve">技术</w:t>
      </w:r>
      <w:r>
        <w:rPr>
          <w:rFonts w:ascii="宋体" w:hAnsi="宋体"/>
          <w:b/>
          <w:color w:val="000000"/>
          <w:sz w:val="24"/>
          <w:szCs w:val="24"/>
          <w:highlight w:val="none"/>
        </w:rPr>
        <w:t xml:space="preserve">要求</w:t>
      </w:r>
      <w:r>
        <w:rPr>
          <w:rFonts w:ascii="宋体" w:hAnsi="宋体"/>
          <w:b/>
          <w:color w:val="000000"/>
          <w:sz w:val="24"/>
          <w:szCs w:val="24"/>
          <w:highlight w:val="none"/>
        </w:rPr>
      </w:r>
      <w:r/>
    </w:p>
    <w:p>
      <w:pPr>
        <w:pStyle w:val="1168"/>
        <w:contextualSpacing/>
        <w:ind w:left="-2" w:firstLine="480"/>
        <w:spacing w:line="360" w:lineRule="auto"/>
        <w:tabs>
          <w:tab w:val="left" w:pos="567"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1.故障解决要求</w:t>
      </w:r>
      <w:r>
        <w:rPr>
          <w:rFonts w:hint="eastAsia" w:ascii="宋体" w:hAnsi="宋体"/>
          <w:bCs/>
          <w:color w:val="000000"/>
          <w:sz w:val="24"/>
          <w:szCs w:val="24"/>
          <w:highlight w:val="none"/>
        </w:rPr>
      </w:r>
      <w:r/>
    </w:p>
    <w:p>
      <w:pPr>
        <w:pStyle w:val="1168"/>
        <w:contextualSpacing/>
        <w:ind w:left="-2" w:firstLine="480"/>
        <w:spacing w:line="360" w:lineRule="auto"/>
        <w:tabs>
          <w:tab w:val="left" w:pos="567"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人需提供7*24小时响应服务；服务器及相关设备发生故障后半小时到达现场服务。对于系统软件故障在到达现场后4小时内解决，并恢复系统正常运行；对于硬件故障，常用备件6小时内更换完成并恢复系统正常运行，硬件问题需原厂提供备件的，相关备件24小时内更换完成并恢复系统正常运行。如果对故障原因不确定或确定有多种故障原因，且不能在短时间内解决的，投标人应在24小时内免费提供备用设备，保证恢复系统的正常工作。故障解决时间不得超过7天。</w:t>
      </w:r>
      <w:r>
        <w:rPr>
          <w:rFonts w:ascii="宋体" w:hAnsi="宋体"/>
          <w:bCs/>
          <w:color w:val="000000"/>
          <w:sz w:val="24"/>
          <w:szCs w:val="24"/>
          <w:highlight w:val="none"/>
        </w:rPr>
      </w:r>
      <w:r/>
    </w:p>
    <w:p>
      <w:pPr>
        <w:pStyle w:val="1168"/>
        <w:contextualSpacing/>
        <w:ind w:left="-2" w:firstLine="480"/>
        <w:spacing w:line="360" w:lineRule="auto"/>
        <w:tabs>
          <w:tab w:val="left" w:pos="567"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如出现硬件故障中标人须提供备机/备件先行服务保障，确保业务不中断。</w:t>
      </w:r>
      <w:r>
        <w:rPr>
          <w:rFonts w:hint="eastAsia" w:ascii="宋体" w:hAnsi="宋体"/>
          <w:bCs/>
          <w:color w:val="000000"/>
          <w:sz w:val="24"/>
          <w:szCs w:val="24"/>
          <w:highlight w:val="none"/>
        </w:rPr>
      </w:r>
      <w:r/>
    </w:p>
    <w:p>
      <w:pPr>
        <w:pStyle w:val="1168"/>
        <w:contextualSpacing/>
        <w:ind w:left="-2" w:firstLine="480"/>
        <w:spacing w:line="360" w:lineRule="auto"/>
        <w:tabs>
          <w:tab w:val="left" w:pos="567"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2.日常维护要求</w:t>
      </w:r>
      <w:r>
        <w:rPr>
          <w:rFonts w:hint="eastAsia" w:ascii="宋体" w:hAnsi="宋体"/>
          <w:bCs/>
          <w:color w:val="000000"/>
          <w:sz w:val="24"/>
          <w:szCs w:val="24"/>
          <w:highlight w:val="none"/>
        </w:rPr>
      </w:r>
      <w:r/>
    </w:p>
    <w:p>
      <w:pPr>
        <w:pStyle w:val="1168"/>
        <w:contextualSpacing/>
        <w:ind w:left="-2" w:firstLine="480"/>
        <w:spacing w:line="360" w:lineRule="auto"/>
        <w:tabs>
          <w:tab w:val="left" w:pos="567"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2.1 投标人应提供每月不少于1次的定期巡检，对相关服务器软硬件进行性能、安全等方面的评估，巡检内容包括服务器的光通路诊断分析、</w:t>
      </w:r>
      <w:r>
        <w:rPr>
          <w:rFonts w:hint="eastAsia" w:ascii="宋体" w:hAnsi="宋体"/>
          <w:bCs/>
          <w:color w:val="000000"/>
          <w:sz w:val="24"/>
          <w:szCs w:val="24"/>
          <w:highlight w:val="none"/>
        </w:rPr>
        <w:t xml:space="preserve">DSA日志分析、RAID卡日志分析、操作系统日志分析、系统资源占用情况分析等。从而及早发现服务器存在的问题，并通过计划内的停机维护，使故障造成的影响降到最小；在故障后应提供的电话或现场支持服务，且次数不限。服务期限内投标人负责修补系统软件最新补丁(包括操作系统以及服务器相关插件、驱动程序等)，提供系统软件咨询服务，包括系统升级扩充方案，系统软件运行过程中的各种技术问题等。提供磁盘空间整理，日志文件的分析，以及系统健康检查，性能分析及调整优化，确保常州市肿瘤医院相关业务系统服务器功能正常、数据安全、系统稳定。</w:t>
      </w:r>
      <w:r>
        <w:rPr>
          <w:rFonts w:ascii="宋体" w:hAnsi="宋体"/>
          <w:bCs/>
          <w:color w:val="000000"/>
          <w:sz w:val="24"/>
          <w:szCs w:val="24"/>
          <w:highlight w:val="none"/>
        </w:rPr>
      </w:r>
      <w:r/>
    </w:p>
    <w:p>
      <w:pPr>
        <w:pStyle w:val="1168"/>
        <w:contextualSpacing/>
        <w:ind w:left="-2" w:firstLine="480"/>
        <w:spacing w:line="360" w:lineRule="auto"/>
        <w:tabs>
          <w:tab w:val="left" w:pos="567"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2.2 提供数据库平台的硬件以及相应软件的维保服务；</w:t>
      </w:r>
      <w:r>
        <w:rPr>
          <w:rFonts w:ascii="宋体" w:hAnsi="宋体"/>
          <w:bCs/>
          <w:color w:val="000000"/>
          <w:sz w:val="24"/>
          <w:szCs w:val="24"/>
          <w:highlight w:val="none"/>
        </w:rPr>
      </w:r>
      <w:r/>
    </w:p>
    <w:p>
      <w:pPr>
        <w:pStyle w:val="1168"/>
        <w:contextualSpacing/>
        <w:ind w:left="-2" w:firstLine="480"/>
        <w:spacing w:line="360" w:lineRule="auto"/>
        <w:tabs>
          <w:tab w:val="left" w:pos="567"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2.3 为保障清单中的设备能够正常运行，中标人在确保医院业务不中断的情况对某些软件进行免费更换（需书面申请并经甲方同意），更换的软件功能不能低于现有软件功能，不能有授权限制，在超过本次服务期后仍可正常运行并且不能出现卡脖子情况、维保费上涨情况。</w:t>
      </w:r>
      <w:r>
        <w:rPr>
          <w:rFonts w:ascii="宋体" w:hAnsi="宋体"/>
          <w:bCs/>
          <w:color w:val="000000"/>
          <w:sz w:val="24"/>
          <w:szCs w:val="24"/>
          <w:highlight w:val="none"/>
        </w:rPr>
      </w:r>
      <w:r/>
    </w:p>
    <w:p>
      <w:pPr>
        <w:pStyle w:val="1168"/>
        <w:contextualSpacing/>
        <w:ind w:left="-2" w:firstLine="480"/>
        <w:spacing w:line="360" w:lineRule="auto"/>
        <w:tabs>
          <w:tab w:val="left" w:pos="567"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2.4 服务期限内投标人负责修补系统软件最新补丁(包括操作系统以及服务器相关插件、驱动程序等)，</w:t>
      </w:r>
      <w:r>
        <w:rPr>
          <w:rFonts w:hint="eastAsia" w:ascii="宋体" w:hAnsi="宋体"/>
          <w:bCs/>
          <w:color w:val="000000"/>
          <w:sz w:val="24"/>
          <w:szCs w:val="24"/>
          <w:highlight w:val="none"/>
        </w:rPr>
        <w:t xml:space="preserve">配合完成漏洞修复、安全加固、策略优化等工作</w:t>
      </w:r>
      <w:r>
        <w:rPr>
          <w:rFonts w:hint="eastAsia" w:ascii="宋体" w:hAnsi="宋体"/>
          <w:bCs/>
          <w:color w:val="000000"/>
          <w:sz w:val="24"/>
          <w:szCs w:val="24"/>
          <w:highlight w:val="none"/>
        </w:rPr>
        <w:t xml:space="preserve">。提供系统软件咨询服务，包括系统升级扩充方案，系统软件运行过程中的各种技术问题等。</w:t>
      </w:r>
      <w:r>
        <w:rPr>
          <w:rFonts w:hint="eastAsia" w:ascii="宋体" w:hAnsi="宋体"/>
          <w:bCs/>
          <w:color w:val="000000"/>
          <w:sz w:val="24"/>
          <w:szCs w:val="24"/>
          <w:highlight w:val="none"/>
        </w:rPr>
      </w:r>
      <w:r/>
    </w:p>
    <w:p>
      <w:pPr>
        <w:pStyle w:val="1168"/>
        <w:contextualSpacing/>
        <w:ind w:left="-2" w:firstLine="480"/>
        <w:spacing w:line="360" w:lineRule="auto"/>
        <w:tabs>
          <w:tab w:val="left" w:pos="567"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2.5 投标人应该根据常州市肿瘤医院服务器维保需求提供相应的投标方案，在投标方案中需要就设备详细报价、故障现场响应时间、故障处理及恢复时间、公司服务体系及维保服务内容等方面提供详细说明。</w:t>
      </w:r>
      <w:r>
        <w:rPr>
          <w:rFonts w:hint="eastAsia" w:ascii="宋体" w:hAnsi="宋体"/>
          <w:bCs/>
          <w:color w:val="000000"/>
          <w:sz w:val="24"/>
          <w:szCs w:val="24"/>
          <w:highlight w:val="none"/>
        </w:rPr>
      </w:r>
      <w:r/>
    </w:p>
    <w:p>
      <w:pPr>
        <w:pStyle w:val="1168"/>
        <w:contextualSpacing/>
        <w:ind w:left="-2" w:firstLine="482"/>
        <w:spacing w:line="360" w:lineRule="auto"/>
        <w:tabs>
          <w:tab w:val="left" w:pos="567" w:leader="none"/>
        </w:tabs>
        <w:rPr>
          <w:rFonts w:hint="eastAsia" w:ascii="宋体" w:hAnsi="宋体"/>
          <w:b/>
          <w:color w:val="000000"/>
          <w:sz w:val="24"/>
          <w:szCs w:val="24"/>
          <w:highlight w:val="none"/>
        </w:rPr>
      </w:pPr>
      <w:r>
        <w:rPr>
          <w:rFonts w:hint="eastAsia" w:ascii="宋体" w:hAnsi="宋体"/>
          <w:b/>
          <w:i/>
          <w:iCs/>
          <w:color w:val="000000"/>
          <w:sz w:val="24"/>
          <w:szCs w:val="24"/>
          <w:highlight w:val="none"/>
        </w:rPr>
        <w:t xml:space="preserve">★</w:t>
      </w:r>
      <w:r>
        <w:rPr>
          <w:rFonts w:hint="eastAsia" w:ascii="宋体" w:hAnsi="宋体"/>
          <w:b/>
          <w:color w:val="000000"/>
          <w:sz w:val="24"/>
          <w:szCs w:val="24"/>
          <w:highlight w:val="none"/>
        </w:rPr>
        <w:t xml:space="preserve">3.维保要求</w:t>
      </w:r>
      <w:r>
        <w:rPr>
          <w:rFonts w:hint="eastAsia" w:ascii="宋体" w:hAnsi="宋体"/>
          <w:b/>
          <w:i/>
          <w:iCs/>
          <w:color w:val="000000"/>
          <w:sz w:val="24"/>
          <w:szCs w:val="24"/>
          <w:highlight w:val="none"/>
        </w:rPr>
        <w:t xml:space="preserve">（提供承诺函加盖供应商公章。本项为实质性要求，必须响应并满足，否则投标无效）</w:t>
      </w:r>
      <w:r>
        <w:rPr>
          <w:rFonts w:hint="eastAsia" w:ascii="宋体" w:hAnsi="宋体"/>
          <w:b/>
          <w:color w:val="000000"/>
          <w:sz w:val="24"/>
          <w:szCs w:val="24"/>
          <w:highlight w:val="none"/>
        </w:rPr>
      </w:r>
      <w:r/>
    </w:p>
    <w:p>
      <w:pPr>
        <w:pStyle w:val="1168"/>
        <w:contextualSpacing/>
        <w:ind w:left="-2" w:firstLine="480"/>
        <w:spacing w:line="360" w:lineRule="auto"/>
        <w:tabs>
          <w:tab w:val="left" w:pos="567"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3.1 投标人承诺：由华为原厂工程师提供服务器、交换机、安全设备的服务，关键时刻现场值守服务，更换维护工程师应事先征得常州市肿瘤医院同意。</w:t>
      </w:r>
      <w:r>
        <w:rPr>
          <w:rFonts w:ascii="宋体" w:hAnsi="宋体"/>
          <w:bCs/>
          <w:color w:val="000000"/>
          <w:sz w:val="24"/>
          <w:szCs w:val="24"/>
          <w:highlight w:val="none"/>
        </w:rPr>
      </w:r>
      <w:r/>
    </w:p>
    <w:p>
      <w:pPr>
        <w:pStyle w:val="1168"/>
        <w:contextualSpacing/>
        <w:ind w:left="-2" w:firstLine="480"/>
        <w:spacing w:line="360" w:lineRule="auto"/>
        <w:tabs>
          <w:tab w:val="left" w:pos="567"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3.2 </w:t>
      </w:r>
      <w:bookmarkStart w:id="816" w:name="OLE_LINK4"/>
      <w:r>
        <w:rPr>
          <w:rFonts w:hint="eastAsia" w:ascii="宋体" w:hAnsi="宋体"/>
          <w:bCs/>
          <w:color w:val="000000"/>
          <w:sz w:val="24"/>
          <w:szCs w:val="24"/>
          <w:highlight w:val="none"/>
        </w:rPr>
        <w:t xml:space="preserve">投标人须为维保范围内的华为服务器、交换机、防火墙设备及日志审计设备提供原厂三年维保服务，服务内容包含硬件保修、系统软件升级、特征库/规则库升级、故障处理、技术支持等。（提供安全特征库、攻击特征库、病毒库、日志规则库的实时更新与升级服务，确保设备具备最新安全防护与审计能力。）</w:t>
      </w:r>
      <w:r>
        <w:rPr>
          <w:rFonts w:hint="eastAsia" w:ascii="宋体" w:hAnsi="宋体"/>
          <w:bCs/>
          <w:color w:val="000000"/>
          <w:sz w:val="24"/>
          <w:szCs w:val="24"/>
          <w:highlight w:val="none"/>
        </w:rPr>
      </w:r>
      <w:r/>
    </w:p>
    <w:p>
      <w:pPr>
        <w:pStyle w:val="1168"/>
        <w:contextualSpacing/>
        <w:ind w:left="-2" w:firstLine="480"/>
        <w:spacing w:line="360" w:lineRule="auto"/>
        <w:tabs>
          <w:tab w:val="left" w:pos="567"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中标人须在中标后一周内向甲方提供华为服务器、交换机、防火墙设备及日志审计设备三年原厂质保函。</w:t>
      </w:r>
      <w:bookmarkEnd w:id="816"/>
      <w:r>
        <w:rPr>
          <w:rFonts w:ascii="宋体" w:hAnsi="宋体"/>
          <w:bCs/>
          <w:color w:val="000000"/>
          <w:sz w:val="24"/>
          <w:szCs w:val="24"/>
          <w:highlight w:val="none"/>
        </w:rPr>
      </w:r>
      <w:r/>
    </w:p>
    <w:p>
      <w:pPr>
        <w:pStyle w:val="1168"/>
        <w:contextualSpacing/>
        <w:ind w:left="-2" w:firstLine="482"/>
        <w:spacing w:line="360" w:lineRule="auto"/>
        <w:tabs>
          <w:tab w:val="left" w:pos="567" w:leader="none"/>
        </w:tabs>
        <w:rPr>
          <w:rFonts w:hint="eastAsia" w:ascii="宋体" w:hAnsi="宋体"/>
          <w:b/>
          <w:i/>
          <w:iCs/>
          <w:color w:val="000000"/>
          <w:sz w:val="24"/>
          <w:szCs w:val="24"/>
          <w:highlight w:val="none"/>
        </w:rPr>
      </w:pPr>
      <w:r>
        <w:rPr>
          <w:rFonts w:hint="eastAsia" w:ascii="宋体" w:hAnsi="宋体"/>
          <w:b/>
          <w:i/>
          <w:iCs/>
          <w:color w:val="000000"/>
          <w:sz w:val="24"/>
          <w:szCs w:val="24"/>
          <w:highlight w:val="none"/>
        </w:rPr>
        <w:t xml:space="preserve">★4、现场服务要求（提供承诺函加盖供应商公章。本项为实质性要求，必须响应并满足，否则投标无效）</w:t>
      </w:r>
      <w:r>
        <w:rPr>
          <w:rFonts w:hint="eastAsia" w:ascii="宋体" w:hAnsi="宋体"/>
          <w:b/>
          <w:i/>
          <w:iCs/>
          <w:color w:val="000000"/>
          <w:sz w:val="24"/>
          <w:szCs w:val="24"/>
          <w:highlight w:val="none"/>
        </w:rPr>
      </w:r>
      <w:r/>
    </w:p>
    <w:p>
      <w:pPr>
        <w:pStyle w:val="1168"/>
        <w:contextualSpacing/>
        <w:ind w:left="-2" w:firstLine="480"/>
        <w:spacing w:line="360" w:lineRule="auto"/>
        <w:tabs>
          <w:tab w:val="left" w:pos="567"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4.1 考虑到常州市肿瘤医院业务的实时性要求，保障相关业务系统发生故障后能够及时处理，确保各信息系统的7*24小时高可用性，并能在周末和节假日能够做</w:t>
      </w:r>
      <w:r>
        <w:rPr>
          <w:rFonts w:hint="eastAsia" w:ascii="宋体" w:hAnsi="宋体"/>
          <w:bCs/>
          <w:color w:val="000000"/>
          <w:sz w:val="24"/>
          <w:szCs w:val="24"/>
          <w:highlight w:val="none"/>
        </w:rPr>
        <w:t xml:space="preserve">好用户现场保障工作，因此，投标人应专门指派一名通过华为DATACOM方向HCIP或者HCIE级别的华为认证工程师在用户工作时间，在常州市肿瘤医院信息中心机房提供现场服务（注：中途更换人员需提前一个月告知用户，待用户批准后才可更换，更换的人员必须具有同等档次证书）。在现场进行维保软硬件设备管理和监测，及时排查故障，对需要调整的配置经授权同意后进行修改，定期给出信息系统运行报告。参与本次维保的公司需要熟悉医院业务，熟悉Oracle 数据库、VMware虚拟化等应用软件，从而确保业务系统的日常维护及故障处理速度。</w:t>
      </w:r>
      <w:r>
        <w:rPr>
          <w:rFonts w:hint="eastAsia" w:ascii="宋体" w:hAnsi="宋体"/>
          <w:bCs/>
          <w:color w:val="000000"/>
          <w:sz w:val="24"/>
          <w:szCs w:val="24"/>
          <w:highlight w:val="none"/>
        </w:rPr>
      </w:r>
      <w:r/>
    </w:p>
    <w:p>
      <w:pPr>
        <w:pStyle w:val="1168"/>
        <w:contextualSpacing/>
        <w:ind w:left="-2" w:firstLine="480"/>
        <w:spacing w:line="360" w:lineRule="auto"/>
        <w:tabs>
          <w:tab w:val="left" w:pos="567"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4.2 投标人应承诺保持指派人员的连续性和稳定性；指派人员必须服从采购人的管理，包括工作时间、工作安排；指派人员根据工作需要，在市区内的差旅费用由成交投标人统一支付；指派人员调整更换必须经医院同意。成交投标人对指派人员必须进行相关安全保密教育，签订保密协议，有</w:t>
      </w:r>
      <w:bookmarkStart w:id="817" w:name="OLE_LINK3"/>
      <w:r>
        <w:rPr>
          <w:rFonts w:hint="eastAsia" w:ascii="宋体" w:hAnsi="宋体"/>
          <w:bCs/>
          <w:color w:val="000000"/>
          <w:sz w:val="24"/>
          <w:szCs w:val="24"/>
          <w:highlight w:val="none"/>
        </w:rPr>
        <w:t xml:space="preserve">履行保密的责任和义务</w:t>
      </w:r>
      <w:bookmarkEnd w:id="817"/>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1168"/>
        <w:contextualSpacing/>
        <w:ind w:left="-2" w:firstLine="480"/>
        <w:spacing w:line="360" w:lineRule="auto"/>
        <w:tabs>
          <w:tab w:val="left" w:pos="567"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4.3 指派的技术人员在维护工作中，有义务对代维设备作好标签制定、技术文件入档编辑、配置版本的保留和归档、软件版本的保留和归档、线缆的整理等。</w:t>
      </w:r>
      <w:r>
        <w:rPr>
          <w:rFonts w:hint="eastAsia" w:ascii="宋体" w:hAnsi="宋体"/>
          <w:bCs/>
          <w:color w:val="000000"/>
          <w:sz w:val="24"/>
          <w:szCs w:val="24"/>
          <w:highlight w:val="none"/>
        </w:rPr>
      </w:r>
      <w:r/>
    </w:p>
    <w:p>
      <w:pPr>
        <w:pStyle w:val="1168"/>
        <w:contextualSpacing/>
        <w:ind w:left="-2" w:firstLine="480"/>
        <w:spacing w:line="360" w:lineRule="auto"/>
        <w:tabs>
          <w:tab w:val="left" w:pos="567"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4.4 指派的技术人员须负责把需要公司出面处理的事物信息及时反馈到公司，解决代维的设备维修以及厂商的技术及设备的配合。</w:t>
      </w:r>
      <w:r>
        <w:rPr>
          <w:rFonts w:hint="eastAsia" w:ascii="宋体" w:hAnsi="宋体"/>
          <w:bCs/>
          <w:color w:val="000000"/>
          <w:sz w:val="24"/>
          <w:szCs w:val="24"/>
          <w:highlight w:val="none"/>
        </w:rPr>
      </w:r>
      <w:r/>
    </w:p>
    <w:p>
      <w:pPr>
        <w:pStyle w:val="1168"/>
        <w:contextualSpacing/>
        <w:ind w:left="-2" w:firstLine="482"/>
        <w:spacing w:line="360" w:lineRule="auto"/>
        <w:tabs>
          <w:tab w:val="left" w:pos="567" w:leader="none"/>
        </w:tabs>
        <w:rPr>
          <w:rFonts w:hint="eastAsia" w:ascii="宋体" w:hAnsi="宋体"/>
          <w:b/>
          <w:i/>
          <w:iCs/>
          <w:color w:val="000000"/>
          <w:sz w:val="24"/>
          <w:szCs w:val="24"/>
          <w:highlight w:val="none"/>
        </w:rPr>
      </w:pPr>
      <w:r>
        <w:rPr>
          <w:rFonts w:hint="eastAsia" w:ascii="宋体" w:hAnsi="宋体"/>
          <w:b/>
          <w:i/>
          <w:iCs/>
          <w:color w:val="000000"/>
          <w:sz w:val="24"/>
          <w:szCs w:val="24"/>
          <w:highlight w:val="none"/>
        </w:rPr>
        <w:t xml:space="preserve">★5、其他要求（提供承诺函加盖供应商公章。本项为实质性要求，必须响应并满足，否则投标无效）</w:t>
      </w:r>
      <w:r>
        <w:rPr>
          <w:rFonts w:hint="eastAsia" w:ascii="宋体" w:hAnsi="宋体"/>
          <w:b/>
          <w:i/>
          <w:iCs/>
          <w:color w:val="000000"/>
          <w:sz w:val="24"/>
          <w:szCs w:val="24"/>
          <w:highlight w:val="none"/>
        </w:rPr>
      </w:r>
      <w:r/>
    </w:p>
    <w:p>
      <w:pPr>
        <w:pStyle w:val="1168"/>
        <w:contextualSpacing/>
        <w:ind w:left="-2" w:firstLine="482"/>
        <w:spacing w:line="360" w:lineRule="auto"/>
        <w:tabs>
          <w:tab w:val="left" w:pos="567" w:leader="none"/>
        </w:tabs>
        <w:rPr>
          <w:rFonts w:hint="eastAsia" w:ascii="宋体" w:hAnsi="宋体"/>
          <w:b/>
          <w:i/>
          <w:iCs/>
          <w:color w:val="000000"/>
          <w:sz w:val="24"/>
          <w:szCs w:val="24"/>
          <w:highlight w:val="none"/>
        </w:rPr>
      </w:pPr>
      <w:r>
        <w:rPr>
          <w:rFonts w:hint="eastAsia" w:ascii="宋体" w:hAnsi="宋体"/>
          <w:b/>
          <w:i/>
          <w:iCs/>
          <w:color w:val="000000"/>
          <w:sz w:val="24"/>
          <w:szCs w:val="24"/>
          <w:highlight w:val="none"/>
        </w:rPr>
        <w:t xml:space="preserve">(1)需提供专门的技术人员对代维软硬件设备按照需求免费进行补丁升级。</w:t>
      </w:r>
      <w:r>
        <w:rPr>
          <w:rFonts w:hint="eastAsia" w:ascii="宋体" w:hAnsi="宋体"/>
          <w:b/>
          <w:i/>
          <w:iCs/>
          <w:color w:val="000000"/>
          <w:sz w:val="24"/>
          <w:szCs w:val="24"/>
          <w:highlight w:val="none"/>
        </w:rPr>
      </w:r>
      <w:r/>
    </w:p>
    <w:p>
      <w:pPr>
        <w:pStyle w:val="1168"/>
        <w:contextualSpacing/>
        <w:ind w:left="-2" w:firstLine="482"/>
        <w:spacing w:line="360" w:lineRule="auto"/>
        <w:tabs>
          <w:tab w:val="left" w:pos="567" w:leader="none"/>
        </w:tabs>
        <w:rPr>
          <w:rFonts w:hint="eastAsia" w:ascii="宋体" w:hAnsi="宋体"/>
          <w:b/>
          <w:i/>
          <w:iCs/>
          <w:color w:val="000000"/>
          <w:sz w:val="24"/>
          <w:szCs w:val="24"/>
          <w:highlight w:val="none"/>
        </w:rPr>
      </w:pPr>
      <w:r>
        <w:rPr>
          <w:rFonts w:hint="eastAsia" w:ascii="宋体" w:hAnsi="宋体"/>
          <w:b/>
          <w:i/>
          <w:iCs/>
          <w:color w:val="000000"/>
          <w:sz w:val="24"/>
          <w:szCs w:val="24"/>
          <w:highlight w:val="none"/>
        </w:rPr>
        <w:t xml:space="preserve">(2)在业务系统性能低下的时候，协助应用开发商制定业务系统级的优化方案，并免费对信息系统性能进行系统级调优，提高业务系统运行性能。</w:t>
      </w:r>
      <w:r>
        <w:rPr>
          <w:rFonts w:hint="eastAsia" w:ascii="宋体" w:hAnsi="宋体"/>
          <w:b/>
          <w:i/>
          <w:iCs/>
          <w:color w:val="000000"/>
          <w:sz w:val="24"/>
          <w:szCs w:val="24"/>
          <w:highlight w:val="none"/>
        </w:rPr>
      </w:r>
      <w:r/>
    </w:p>
    <w:p>
      <w:pPr>
        <w:pStyle w:val="1168"/>
        <w:contextualSpacing/>
        <w:ind w:left="-2" w:firstLine="482"/>
        <w:spacing w:line="360" w:lineRule="auto"/>
        <w:tabs>
          <w:tab w:val="left" w:pos="567" w:leader="none"/>
        </w:tabs>
        <w:rPr>
          <w:rFonts w:hint="eastAsia" w:ascii="宋体" w:hAnsi="宋体"/>
          <w:b/>
          <w:i/>
          <w:iCs/>
          <w:color w:val="000000"/>
          <w:sz w:val="24"/>
          <w:szCs w:val="24"/>
          <w:highlight w:val="none"/>
        </w:rPr>
      </w:pPr>
      <w:r>
        <w:rPr>
          <w:rFonts w:hint="eastAsia" w:ascii="宋体" w:hAnsi="宋体"/>
          <w:b/>
          <w:i/>
          <w:iCs/>
          <w:color w:val="000000"/>
          <w:sz w:val="24"/>
          <w:szCs w:val="24"/>
          <w:highlight w:val="none"/>
        </w:rPr>
        <w:t xml:space="preserve">(3)在用户方需要的情况下，投标人应无偿配合用户方进行应急演练、系统调整、升级等非故障性事务的处理。</w:t>
      </w:r>
      <w:r>
        <w:rPr>
          <w:rFonts w:hint="eastAsia" w:ascii="宋体" w:hAnsi="宋体"/>
          <w:b/>
          <w:i/>
          <w:iCs/>
          <w:color w:val="000000"/>
          <w:sz w:val="24"/>
          <w:szCs w:val="24"/>
          <w:highlight w:val="none"/>
        </w:rPr>
      </w:r>
      <w:r/>
    </w:p>
    <w:p>
      <w:pPr>
        <w:pStyle w:val="1168"/>
        <w:contextualSpacing/>
        <w:ind w:left="-2" w:firstLine="482"/>
        <w:spacing w:line="360" w:lineRule="auto"/>
        <w:tabs>
          <w:tab w:val="left" w:pos="567" w:leader="none"/>
        </w:tabs>
        <w:rPr>
          <w:rFonts w:hint="eastAsia" w:ascii="宋体" w:hAnsi="宋体"/>
          <w:b/>
          <w:i/>
          <w:iCs/>
          <w:color w:val="000000"/>
          <w:sz w:val="24"/>
          <w:szCs w:val="24"/>
          <w:highlight w:val="none"/>
        </w:rPr>
      </w:pPr>
      <w:r>
        <w:rPr>
          <w:rFonts w:hint="eastAsia" w:ascii="宋体" w:hAnsi="宋体"/>
          <w:b/>
          <w:i/>
          <w:iCs/>
          <w:color w:val="000000"/>
          <w:sz w:val="24"/>
          <w:szCs w:val="24"/>
          <w:highlight w:val="none"/>
        </w:rPr>
        <w:t xml:space="preserve">(4)代维设备如果出现故障，不能工作或者部分有问题需要维修，在任何时间派技术人员半小时内抵达现场，检测问题，及时更换损坏备件，确保业务系统运行；如果核心部件故障后导致业务系统停止服务，需要在24小时内提供备机服务。</w:t>
      </w:r>
      <w:r>
        <w:rPr>
          <w:rFonts w:hint="eastAsia" w:ascii="宋体" w:hAnsi="宋体"/>
          <w:b/>
          <w:i/>
          <w:iCs/>
          <w:color w:val="000000"/>
          <w:sz w:val="24"/>
          <w:szCs w:val="24"/>
          <w:highlight w:val="none"/>
        </w:rPr>
      </w:r>
      <w:r/>
    </w:p>
    <w:p>
      <w:pPr>
        <w:pStyle w:val="1168"/>
        <w:contextualSpacing/>
        <w:ind w:left="-2" w:firstLine="482"/>
        <w:spacing w:line="360" w:lineRule="auto"/>
        <w:tabs>
          <w:tab w:val="left" w:pos="567" w:leader="none"/>
        </w:tabs>
        <w:rPr>
          <w:rFonts w:hint="eastAsia" w:ascii="宋体" w:hAnsi="宋体"/>
          <w:b/>
          <w:i/>
          <w:iCs/>
          <w:color w:val="000000"/>
          <w:sz w:val="24"/>
          <w:szCs w:val="24"/>
          <w:highlight w:val="none"/>
        </w:rPr>
      </w:pPr>
      <w:r>
        <w:rPr>
          <w:rFonts w:hint="eastAsia" w:ascii="宋体" w:hAnsi="宋体"/>
          <w:b/>
          <w:i/>
          <w:iCs/>
          <w:color w:val="000000"/>
          <w:sz w:val="24"/>
          <w:szCs w:val="24"/>
          <w:highlight w:val="none"/>
        </w:rPr>
        <w:t xml:space="preserve">(5)对需要维修的设备如果设备在保修时间外，负责设备的一切维修商务流程，把设备维修价格向用户方确认，得到允许维修的授权后再送修，直至把维修好的设备运输到用户现场；</w:t>
      </w:r>
      <w:r>
        <w:rPr>
          <w:rFonts w:hint="eastAsia" w:ascii="宋体" w:hAnsi="宋体"/>
          <w:b/>
          <w:i/>
          <w:iCs/>
          <w:color w:val="000000"/>
          <w:sz w:val="24"/>
          <w:szCs w:val="24"/>
          <w:highlight w:val="none"/>
        </w:rPr>
      </w:r>
      <w:r/>
    </w:p>
    <w:p>
      <w:pPr>
        <w:pStyle w:val="1168"/>
        <w:contextualSpacing/>
        <w:ind w:left="-2" w:firstLine="482"/>
        <w:spacing w:line="360" w:lineRule="auto"/>
        <w:tabs>
          <w:tab w:val="left" w:pos="567" w:leader="none"/>
        </w:tabs>
        <w:rPr>
          <w:rFonts w:hint="eastAsia" w:ascii="宋体" w:hAnsi="宋体"/>
          <w:b/>
          <w:i/>
          <w:iCs/>
          <w:color w:val="000000"/>
          <w:sz w:val="24"/>
          <w:szCs w:val="24"/>
          <w:highlight w:val="none"/>
        </w:rPr>
      </w:pPr>
      <w:r>
        <w:rPr>
          <w:rFonts w:hint="eastAsia" w:ascii="宋体" w:hAnsi="宋体"/>
          <w:b/>
          <w:i/>
          <w:iCs/>
          <w:color w:val="000000"/>
          <w:sz w:val="24"/>
          <w:szCs w:val="24"/>
          <w:highlight w:val="none"/>
        </w:rPr>
        <w:t xml:space="preserve">(6)投标人应承诺，所更换的配件均为原厂配件；</w:t>
      </w:r>
      <w:r>
        <w:rPr>
          <w:rFonts w:hint="eastAsia" w:ascii="宋体" w:hAnsi="宋体"/>
          <w:b/>
          <w:i/>
          <w:iCs/>
          <w:color w:val="000000"/>
          <w:sz w:val="24"/>
          <w:szCs w:val="24"/>
          <w:highlight w:val="none"/>
        </w:rPr>
      </w:r>
      <w:r/>
    </w:p>
    <w:p>
      <w:pPr>
        <w:pStyle w:val="1168"/>
        <w:contextualSpacing/>
        <w:ind w:left="-2" w:firstLine="482"/>
        <w:spacing w:line="360" w:lineRule="auto"/>
        <w:tabs>
          <w:tab w:val="left" w:pos="567" w:leader="none"/>
        </w:tabs>
        <w:rPr>
          <w:rFonts w:hint="eastAsia" w:ascii="宋体" w:hAnsi="宋体"/>
          <w:bCs/>
          <w:color w:val="000000"/>
          <w:sz w:val="24"/>
          <w:szCs w:val="24"/>
          <w:highlight w:val="none"/>
        </w:rPr>
      </w:pPr>
      <w:r>
        <w:rPr>
          <w:rFonts w:hint="eastAsia" w:ascii="宋体" w:hAnsi="宋体"/>
          <w:b/>
          <w:i/>
          <w:iCs/>
          <w:color w:val="000000"/>
          <w:sz w:val="24"/>
          <w:szCs w:val="24"/>
          <w:highlight w:val="none"/>
        </w:rPr>
        <w:t xml:space="preserve">(7)投标人应承诺，在接到指派人员无法及时解决的故障处理报告后，应及时调集相关技术力量予以解决，确保系统正常运行，响应时间小于30分钟；遇到4小时内仍无法解决的系统故障，投标人须提出应急处理方案，保证系统稳定性和整体安全；在故障处理结束后24小时内应向招标单位提出书面故障处理报告；在投标人对故障无法排除的情况下，由投标人协调原厂解决，所涉及的费用由投标人承担。</w:t>
      </w:r>
      <w:r>
        <w:rPr>
          <w:rFonts w:hint="eastAsia" w:ascii="宋体" w:hAnsi="宋体"/>
          <w:bCs/>
          <w:color w:val="000000"/>
          <w:sz w:val="24"/>
          <w:szCs w:val="24"/>
          <w:highlight w:val="none"/>
        </w:rPr>
      </w:r>
      <w:r/>
    </w:p>
    <w:p>
      <w:pPr>
        <w:pStyle w:val="1168"/>
        <w:contextualSpacing/>
        <w:ind w:left="-2" w:firstLine="482"/>
        <w:spacing w:line="360" w:lineRule="auto"/>
        <w:tabs>
          <w:tab w:val="left" w:pos="567" w:leader="none"/>
        </w:tabs>
        <w:rPr>
          <w:rFonts w:hint="eastAsia" w:ascii="宋体" w:hAnsi="宋体"/>
          <w:b/>
          <w:color w:val="000000"/>
          <w:sz w:val="24"/>
          <w:szCs w:val="24"/>
          <w:highlight w:val="none"/>
        </w:rPr>
      </w:pPr>
      <w:r>
        <w:rPr>
          <w:rFonts w:hint="eastAsia" w:ascii="宋体" w:hAnsi="宋体"/>
          <w:b/>
          <w:color w:val="000000"/>
          <w:sz w:val="24"/>
          <w:szCs w:val="24"/>
          <w:highlight w:val="none"/>
        </w:rPr>
        <w:t xml:space="preserve">四、报价要求</w:t>
      </w:r>
      <w:r>
        <w:rPr>
          <w:rFonts w:hint="eastAsia" w:ascii="宋体" w:hAnsi="宋体"/>
          <w:b/>
          <w:color w:val="000000"/>
          <w:sz w:val="24"/>
          <w:szCs w:val="24"/>
          <w:highlight w:val="none"/>
        </w:rPr>
      </w:r>
      <w:r/>
    </w:p>
    <w:p>
      <w:pPr>
        <w:pStyle w:val="1168"/>
        <w:contextualSpacing/>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本项目报价为</w:t>
      </w:r>
      <w:r>
        <w:rPr>
          <w:rFonts w:hint="eastAsia" w:ascii="宋体" w:hAnsi="宋体" w:cs="宋体"/>
          <w:b/>
          <w:bCs/>
          <w:color w:val="000000"/>
          <w:sz w:val="24"/>
          <w:szCs w:val="24"/>
          <w:highlight w:val="none"/>
          <w:u w:val="single"/>
        </w:rPr>
        <w:t xml:space="preserve">固定总价</w:t>
      </w:r>
      <w:r>
        <w:rPr>
          <w:rFonts w:hint="eastAsia" w:ascii="宋体" w:hAnsi="宋体" w:cs="宋体"/>
          <w:color w:val="000000"/>
          <w:sz w:val="24"/>
          <w:szCs w:val="24"/>
          <w:highlight w:val="none"/>
        </w:rPr>
        <w:t xml:space="preserve">，投标总价应包括招标文件所确定的采购范围相应服务的提供、人员（包括工资和补贴）、配件费、技术费、工时费、差旅费、物流费、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cs="宋体"/>
          <w:color w:val="000000"/>
          <w:sz w:val="24"/>
          <w:szCs w:val="24"/>
          <w:highlight w:val="none"/>
        </w:rPr>
      </w:r>
      <w:r/>
    </w:p>
    <w:p>
      <w:pPr>
        <w:pStyle w:val="1168"/>
        <w:contextualSpacing/>
        <w:ind w:left="-2" w:firstLine="480"/>
        <w:jc w:val="left"/>
        <w:spacing w:line="360" w:lineRule="auto"/>
        <w:tabs>
          <w:tab w:val="left" w:pos="567"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报价货币为人民币，评审时以人民币为准。</w:t>
      </w:r>
      <w:r>
        <w:rPr>
          <w:rFonts w:hint="eastAsia" w:ascii="宋体" w:hAnsi="宋体" w:cs="宋体"/>
          <w:color w:val="000000"/>
          <w:sz w:val="24"/>
          <w:szCs w:val="24"/>
          <w:highlight w:val="none"/>
        </w:rPr>
      </w:r>
      <w:r/>
    </w:p>
    <w:p>
      <w:pPr>
        <w:pStyle w:val="1168"/>
        <w:numPr>
          <w:ilvl w:val="0"/>
          <w:numId w:val="15"/>
        </w:numPr>
        <w:contextualSpacing/>
        <w:ind w:left="-2" w:firstLine="482"/>
        <w:jc w:val="left"/>
        <w:spacing w:line="360" w:lineRule="auto"/>
        <w:tabs>
          <w:tab w:val="left" w:pos="567"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付款方式</w:t>
      </w:r>
      <w:r>
        <w:rPr>
          <w:rFonts w:hint="eastAsia" w:ascii="宋体" w:hAnsi="宋体" w:cs="宋体"/>
          <w:b/>
          <w:bCs/>
          <w:color w:val="000000"/>
          <w:sz w:val="24"/>
          <w:szCs w:val="24"/>
          <w:highlight w:val="none"/>
        </w:rPr>
      </w:r>
      <w:r/>
    </w:p>
    <w:p>
      <w:pPr>
        <w:pStyle w:val="1168"/>
        <w:contextualSpacing/>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维保费用按年度支付。每年度服务期开始后30天内，支付本年度维保费用的50%；当年度服务期满后30天内，支付其余50%的维保费用。</w:t>
      </w:r>
      <w:r>
        <w:rPr>
          <w:rFonts w:hint="eastAsia" w:ascii="宋体" w:hAnsi="宋体" w:cs="宋体"/>
          <w:color w:val="000000"/>
          <w:sz w:val="24"/>
          <w:szCs w:val="24"/>
          <w:highlight w:val="none"/>
        </w:rPr>
      </w:r>
      <w:r/>
    </w:p>
    <w:p>
      <w:pPr>
        <w:pStyle w:val="1168"/>
        <w:contextualSpacing/>
        <w:ind w:left="-2" w:firstLine="480"/>
        <w:jc w:val="left"/>
        <w:spacing w:line="360" w:lineRule="auto"/>
        <w:tabs>
          <w:tab w:val="left" w:pos="567" w:leader="none"/>
        </w:tabs>
        <w:rPr>
          <w:rFonts w:ascii="宋体" w:hAnsi="宋体" w:cs="宋体"/>
          <w:color w:val="000000"/>
          <w:sz w:val="24"/>
          <w:szCs w:val="24"/>
          <w:highlight w:val="none"/>
        </w:rPr>
      </w:pPr>
      <w:r>
        <w:rPr>
          <w:rFonts w:ascii="宋体" w:hAnsi="宋体" w:cs="宋体"/>
          <w:color w:val="000000"/>
          <w:sz w:val="24"/>
          <w:szCs w:val="24"/>
          <w:highlight w:val="none"/>
        </w:rPr>
      </w:r>
      <w:r/>
    </w:p>
    <w:p>
      <w:pPr>
        <w:pStyle w:val="1168"/>
        <w:contextualSpacing/>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74"/>
        <w:spacing w:line="440" w:lineRule="exact"/>
        <w:rPr>
          <w:rFonts w:ascii="宋体" w:hAnsi="宋体"/>
          <w:b/>
          <w:color w:val="000000"/>
          <w:highlight w:val="none"/>
        </w:rPr>
      </w:pPr>
      <w:r>
        <w:rPr>
          <w:rFonts w:ascii="宋体" w:hAnsi="宋体"/>
          <w:b/>
          <w:color w:val="000000"/>
          <w:highlight w:val="none"/>
        </w:rPr>
      </w:r>
      <w:r/>
    </w:p>
    <w:p>
      <w:pPr>
        <w:pStyle w:val="1074"/>
        <w:rPr>
          <w:rFonts w:ascii="宋体" w:hAnsi="宋体"/>
          <w:bCs/>
          <w:color w:val="000000"/>
          <w:highlight w:val="none"/>
        </w:rPr>
      </w:pPr>
      <w:r>
        <w:rPr>
          <w:rFonts w:ascii="宋体" w:hAnsi="宋体"/>
          <w:bCs/>
          <w:color w:val="000000"/>
          <w:highlight w:val="none"/>
        </w:rPr>
      </w:r>
      <w:r/>
    </w:p>
    <w:p>
      <w:pPr>
        <w:pStyle w:val="1074"/>
        <w:rPr>
          <w:rFonts w:ascii="宋体" w:hAnsi="宋体"/>
          <w:color w:val="000000"/>
          <w:highlight w:val="none"/>
        </w:rPr>
      </w:pPr>
      <w:r>
        <w:rPr>
          <w:rFonts w:ascii="宋体" w:hAnsi="宋体"/>
          <w:color w:val="000000"/>
          <w:highlight w:val="none"/>
        </w:rPr>
      </w:r>
      <w:r/>
    </w:p>
    <w:p>
      <w:pPr>
        <w:pStyle w:val="1074"/>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4"/>
        <w:jc w:val="center"/>
        <w:spacing w:line="360" w:lineRule="auto"/>
        <w:rPr>
          <w:rFonts w:ascii="宋体" w:hAnsi="宋体"/>
          <w:b/>
          <w:color w:val="000000"/>
          <w:sz w:val="36"/>
          <w:szCs w:val="36"/>
          <w:highlight w:val="none"/>
        </w:rPr>
        <w:outlineLvl w:val="0"/>
      </w:pPr>
      <w:r/>
      <w:bookmarkStart w:id="818" w:name="_Toc99301425"/>
      <w:r>
        <w:rPr>
          <w:rFonts w:ascii="宋体" w:hAnsi="宋体"/>
          <w:b/>
          <w:color w:val="000000"/>
          <w:sz w:val="36"/>
          <w:szCs w:val="36"/>
          <w:highlight w:val="none"/>
        </w:rPr>
        <w:t xml:space="preserve">第六章   拟签订的合同文本</w:t>
      </w:r>
      <w:bookmarkEnd w:id="818"/>
      <w:r>
        <w:rPr>
          <w:rFonts w:ascii="宋体" w:hAnsi="宋体"/>
          <w:b/>
          <w:color w:val="000000"/>
          <w:sz w:val="36"/>
          <w:szCs w:val="36"/>
          <w:highlight w:val="none"/>
        </w:rPr>
      </w:r>
      <w:r/>
    </w:p>
    <w:p>
      <w:pPr>
        <w:pStyle w:val="1113"/>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13"/>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投标人（</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88"/>
        <w:ind w:firstLine="552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13"/>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13"/>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p>
      <w:pPr>
        <w:pStyle w:val="1074"/>
        <w:ind w:firstLine="48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乙方根据甲方需求提供</w:t>
      </w:r>
      <w:r>
        <w:rPr>
          <w:rFonts w:hint="eastAsia" w:ascii="宋体" w:hAnsi="宋体"/>
          <w:bCs/>
          <w:color w:val="000000"/>
          <w:sz w:val="24"/>
          <w:highlight w:val="none"/>
        </w:rPr>
        <w:t xml:space="preserve">服务器、交换机等维保</w:t>
      </w:r>
      <w:r>
        <w:rPr>
          <w:rFonts w:hint="eastAsia" w:ascii="宋体" w:hAnsi="宋体" w:cs="宋体"/>
          <w:color w:val="000000"/>
          <w:sz w:val="24"/>
          <w:highlight w:val="none"/>
          <w:lang w:val="zh-CN"/>
        </w:rPr>
        <w:t xml:space="preserve">服务，</w:t>
      </w:r>
      <w:r>
        <w:rPr>
          <w:rFonts w:hint="eastAsia" w:ascii="宋体" w:hAnsi="宋体" w:cs="宋体"/>
          <w:color w:val="000000"/>
          <w:sz w:val="24"/>
          <w:highlight w:val="none"/>
        </w:rPr>
        <w:t xml:space="preserve">系指根据合同规定乙方须承担与服务有关的所有辅助服务</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1074"/>
        <w:ind w:firstLine="48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一</w:t>
      </w:r>
      <w:r>
        <w:rPr>
          <w:rFonts w:hint="eastAsia" w:ascii="宋体" w:hAnsi="宋体" w:cs="宋体"/>
          <w:color w:val="000000"/>
          <w:sz w:val="24"/>
          <w:highlight w:val="none"/>
          <w:lang w:val="zh-CN"/>
        </w:rPr>
        <w:t xml:space="preserve">）</w:t>
      </w:r>
      <w:r>
        <w:rPr>
          <w:rFonts w:hint="eastAsia" w:ascii="宋体" w:hAnsi="宋体"/>
          <w:b/>
          <w:color w:val="000000"/>
          <w:sz w:val="24"/>
          <w:highlight w:val="none"/>
        </w:rPr>
        <w:t xml:space="preserve">维保清单</w:t>
      </w:r>
      <w:r>
        <w:rPr>
          <w:rFonts w:hint="eastAsia" w:ascii="宋体" w:hAnsi="宋体" w:cs="宋体"/>
          <w:color w:val="000000"/>
          <w:sz w:val="24"/>
          <w:highlight w:val="none"/>
          <w:lang w:val="zh-CN"/>
        </w:rPr>
      </w:r>
      <w:r/>
    </w:p>
    <w:tbl>
      <w:tblPr>
        <w:tblW w:w="4968" w:type="pct"/>
        <w:tblInd w:w="-108" w:type="dxa"/>
        <w:tblLayout w:type="autofit"/>
        <w:tblCellMar>
          <w:left w:w="108" w:type="dxa"/>
          <w:top w:w="0" w:type="dxa"/>
          <w:right w:w="108" w:type="dxa"/>
          <w:bottom w:w="0" w:type="dxa"/>
        </w:tblCellMar>
        <w:tblLook w:val="04A0" w:firstRow="1" w:lastRow="0" w:firstColumn="1" w:lastColumn="0" w:noHBand="0" w:noVBand="1"/>
      </w:tblPr>
      <w:tblGrid>
        <w:gridCol w:w="1000"/>
        <w:gridCol w:w="2388"/>
        <w:gridCol w:w="3516"/>
        <w:gridCol w:w="2325"/>
      </w:tblGrid>
      <w:tr>
        <w:trPr>
          <w:trHeight w:val="504"/>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93"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设备名称</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型号</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数量</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1</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IBM x3850x5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2</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IBM x3850x5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3</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IBM x3850x5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4</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IBM x3850x5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IBM x3850x5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6</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IBM x3850x5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7</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IBM x3850x6</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8</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浪潮NF5280M4</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9</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浪潮NF5280M4</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10</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浪潮NF5280M4</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11</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浪潮NF5280M4</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12</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IBM X3850 X6</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13</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IBM X3850 X6</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14</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华为2288HV5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15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华为2288HV5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16</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华为2288HV5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17</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华为2288HV5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18</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服务器</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华为2288HV5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19</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交换机</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华为S5720S-52X-LI-AC</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20</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交换机</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华为S5720S-52X-LI-AC</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21</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交换机</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IBM光交 2498-B24</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22</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交换机</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IBM光交  2498-B24</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23</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交换机</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华为光交SNS2224</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24</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交换机</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华为光交SNS2224</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25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交换机</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华为CE6855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26</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交换机</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华为CE6855</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ascii="宋体" w:hAnsi="宋体" w:cs="宋体"/>
                <w:color w:val="000000"/>
                <w:sz w:val="24"/>
                <w:highlight w:val="none"/>
              </w:rPr>
            </w:pPr>
            <w:r/>
            <w:bookmarkStart w:id="819" w:name="OLE_LINK1"/>
            <w:r/>
            <w:bookmarkStart w:id="820" w:name="OLE_LINK2"/>
            <w:r/>
            <w:bookmarkStart w:id="821" w:name="_Hlk225175765"/>
            <w:r>
              <w:rPr>
                <w:rFonts w:hint="eastAsia"/>
                <w:color w:val="000000"/>
                <w:sz w:val="22"/>
                <w:szCs w:val="22"/>
                <w:highlight w:val="none"/>
              </w:rPr>
              <w:t xml:space="preserve">27</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防火墙（安全设备）</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华为Secospace USG6000</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Cs w:val="21"/>
                <w:highlight w:val="none"/>
              </w:rPr>
              <w:t xml:space="preserve">1</w:t>
            </w:r>
            <w:r>
              <w:rPr>
                <w:rFonts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 w:val="22"/>
                <w:szCs w:val="22"/>
                <w:highlight w:val="none"/>
              </w:rPr>
              <w:t xml:space="preserve">28</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bottom"/>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 w:val="22"/>
                <w:szCs w:val="22"/>
                <w:highlight w:val="none"/>
              </w:rPr>
              <w:t xml:space="preserve">防火墙（安全设备）</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Cs w:val="21"/>
                <w:highlight w:val="none"/>
              </w:rPr>
              <w:t xml:space="preserve">华为Secospace USG6000</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Cs w:val="21"/>
                <w:highlight w:val="none"/>
              </w:rPr>
              <w:t xml:space="preserve">1</w:t>
            </w:r>
            <w:r>
              <w:rPr>
                <w:rFonts w:hint="eastAsia"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 w:val="22"/>
                <w:szCs w:val="22"/>
                <w:highlight w:val="none"/>
              </w:rPr>
              <w:t xml:space="preserve">29</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highlight w:val="none"/>
              </w:rPr>
              <w:t xml:space="preserve">日志审计（安全设备）</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highlight w:val="none"/>
              </w:rPr>
              <w:t xml:space="preserve">LOGBASE</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 w:val="22"/>
                <w:szCs w:val="22"/>
                <w:highlight w:val="none"/>
              </w:rPr>
              <w:t xml:space="preserve">1</w:t>
            </w:r>
            <w:r>
              <w:rPr>
                <w:rFonts w:hint="eastAsia"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hint="eastAsia" w:ascii="宋体" w:hAnsi="宋体" w:cs="宋体"/>
                <w:color w:val="000000"/>
                <w:sz w:val="24"/>
                <w:highlight w:val="none"/>
              </w:rPr>
            </w:pPr>
            <w:r/>
            <w:bookmarkEnd w:id="819"/>
            <w:r/>
            <w:bookmarkEnd w:id="820"/>
            <w:r/>
            <w:bookmarkEnd w:id="821"/>
            <w:r>
              <w:rPr>
                <w:rFonts w:hint="eastAsia"/>
                <w:color w:val="000000"/>
                <w:sz w:val="22"/>
                <w:szCs w:val="22"/>
                <w:highlight w:val="none"/>
              </w:rPr>
              <w:t xml:space="preserve">30</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highlight w:val="none"/>
              </w:rPr>
              <w:t xml:space="preserve">服务器</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highlight w:val="none"/>
              </w:rPr>
              <w:t xml:space="preserve">深信服服务器</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 w:val="22"/>
                <w:szCs w:val="22"/>
                <w:highlight w:val="none"/>
              </w:rPr>
              <w:t xml:space="preserve">1</w:t>
            </w:r>
            <w:r>
              <w:rPr>
                <w:rFonts w:hint="eastAsia"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 w:val="22"/>
                <w:szCs w:val="22"/>
                <w:highlight w:val="none"/>
              </w:rPr>
              <w:t xml:space="preserve">31</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highlight w:val="none"/>
              </w:rPr>
              <w:t xml:space="preserve">服务器</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highlight w:val="none"/>
              </w:rPr>
              <w:t xml:space="preserve">深信服服务器</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 w:val="22"/>
                <w:szCs w:val="22"/>
                <w:highlight w:val="none"/>
              </w:rPr>
              <w:t xml:space="preserve">1</w:t>
            </w:r>
            <w:r>
              <w:rPr>
                <w:rFonts w:hint="eastAsia"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 w:val="22"/>
                <w:szCs w:val="22"/>
                <w:highlight w:val="none"/>
              </w:rPr>
              <w:t xml:space="preserve">32</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highlight w:val="none"/>
              </w:rPr>
              <w:t xml:space="preserve">服务器</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highlight w:val="none"/>
              </w:rPr>
              <w:t xml:space="preserve">深信服服务器</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 w:val="22"/>
                <w:szCs w:val="22"/>
                <w:highlight w:val="none"/>
              </w:rPr>
              <w:t xml:space="preserve">1</w:t>
            </w:r>
            <w:r>
              <w:rPr>
                <w:rFonts w:hint="eastAsia"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 w:val="22"/>
                <w:szCs w:val="22"/>
                <w:highlight w:val="none"/>
              </w:rPr>
              <w:t xml:space="preserve">33</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highlight w:val="none"/>
              </w:rPr>
              <w:t xml:space="preserve">交换机</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highlight w:val="none"/>
              </w:rPr>
              <w:t xml:space="preserve">RS6300</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 w:val="22"/>
                <w:szCs w:val="22"/>
                <w:highlight w:val="none"/>
              </w:rPr>
              <w:t xml:space="preserve">1</w:t>
            </w:r>
            <w:r>
              <w:rPr>
                <w:rFonts w:hint="eastAsia"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 w:val="22"/>
                <w:szCs w:val="22"/>
                <w:highlight w:val="none"/>
              </w:rPr>
              <w:t xml:space="preserve">34</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highlight w:val="none"/>
              </w:rPr>
              <w:t xml:space="preserve">交换机</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highlight w:val="none"/>
              </w:rPr>
              <w:t xml:space="preserve">RS6300</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 w:val="22"/>
                <w:szCs w:val="22"/>
                <w:highlight w:val="none"/>
              </w:rPr>
              <w:t xml:space="preserve">1</w:t>
            </w:r>
            <w:r>
              <w:rPr>
                <w:rFonts w:hint="eastAsia"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hint="eastAsia"/>
                <w:color w:val="000000"/>
                <w:sz w:val="22"/>
                <w:szCs w:val="22"/>
                <w:highlight w:val="none"/>
              </w:rPr>
            </w:pPr>
            <w:r>
              <w:rPr>
                <w:rFonts w:hint="eastAsia"/>
                <w:color w:val="000000"/>
                <w:sz w:val="22"/>
                <w:szCs w:val="22"/>
                <w:highlight w:val="none"/>
              </w:rPr>
              <w:t xml:space="preserve">35</w:t>
            </w:r>
            <w:r>
              <w:rPr>
                <w:rFonts w:hint="eastAsia"/>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val="false"/>
          </w:tcPr>
          <w:p>
            <w:pPr>
              <w:pStyle w:val="1074"/>
              <w:jc w:val="center"/>
              <w:spacing w:line="360" w:lineRule="exact"/>
              <w:widowControl/>
              <w:rPr>
                <w:rFonts w:hint="eastAsia"/>
                <w:color w:val="000000"/>
                <w:highlight w:val="none"/>
              </w:rPr>
            </w:pPr>
            <w:r>
              <w:rPr>
                <w:rFonts w:hint="eastAsia"/>
                <w:color w:val="000000"/>
                <w:highlight w:val="none"/>
              </w:rPr>
              <w:t xml:space="preserve">交换机</w:t>
            </w:r>
            <w:r>
              <w:rPr>
                <w:rFonts w:hint="eastAsia"/>
                <w:color w:val="000000"/>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highlight w:val="none"/>
              </w:rPr>
              <w:t xml:space="preserve">H3C-S6520X-54</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hint="eastAsia" w:ascii="宋体" w:hAnsi="宋体" w:cs="宋体"/>
                <w:color w:val="000000"/>
                <w:sz w:val="24"/>
                <w:highlight w:val="none"/>
              </w:rPr>
            </w:pPr>
            <w:r>
              <w:rPr>
                <w:rFonts w:hint="eastAsia"/>
                <w:color w:val="000000"/>
                <w:sz w:val="22"/>
                <w:szCs w:val="22"/>
                <w:highlight w:val="none"/>
              </w:rPr>
              <w:t xml:space="preserve">1</w:t>
            </w:r>
            <w:r>
              <w:rPr>
                <w:rFonts w:hint="eastAsia" w:ascii="宋体" w:hAnsi="宋体" w:cs="宋体"/>
                <w:color w:val="000000"/>
                <w:sz w:val="24"/>
                <w:highlight w:val="none"/>
              </w:rPr>
            </w:r>
            <w:r/>
          </w:p>
        </w:tc>
      </w:tr>
      <w:tr>
        <w:trPr>
          <w:trHeight w:val="504"/>
        </w:trPr>
        <w:tc>
          <w:tcPr>
            <w:tcBorders>
              <w:top w:val="none" w:color="000000" w:sz="4" w:space="0"/>
              <w:left w:val="single" w:color="000000" w:sz="4" w:space="0"/>
              <w:bottom w:val="single" w:color="000000" w:sz="4" w:space="0"/>
              <w:right w:val="single" w:color="000000" w:sz="4" w:space="0"/>
            </w:tcBorders>
            <w:tcW w:w="542" w:type="dxa"/>
            <w:vAlign w:val="bottom"/>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36</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93"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highlight w:val="none"/>
              </w:rPr>
              <w:t xml:space="preserve">交换机</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04"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highlight w:val="none"/>
              </w:rPr>
              <w:t xml:space="preserve">H3C-S6520X-54</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val="false"/>
          </w:tcPr>
          <w:p>
            <w:pPr>
              <w:pStyle w:val="1074"/>
              <w:jc w:val="center"/>
              <w:spacing w:line="360" w:lineRule="exact"/>
              <w:widowControl/>
              <w:rPr>
                <w:rFonts w:ascii="宋体" w:hAnsi="宋体" w:cs="宋体"/>
                <w:color w:val="000000"/>
                <w:sz w:val="24"/>
                <w:highlight w:val="none"/>
              </w:rPr>
            </w:pPr>
            <w:r>
              <w:rPr>
                <w:rFonts w:hint="eastAsia"/>
                <w:color w:val="000000"/>
                <w:sz w:val="22"/>
                <w:szCs w:val="22"/>
                <w:highlight w:val="none"/>
              </w:rPr>
              <w:t xml:space="preserve">1</w:t>
            </w:r>
            <w:r>
              <w:rPr>
                <w:rFonts w:ascii="宋体" w:hAnsi="宋体" w:cs="宋体"/>
                <w:color w:val="000000"/>
                <w:sz w:val="24"/>
                <w:highlight w:val="none"/>
              </w:rPr>
            </w:r>
            <w:r/>
          </w:p>
        </w:tc>
      </w:tr>
    </w:tbl>
    <w:p>
      <w:pPr>
        <w:pStyle w:val="1113"/>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（二）维保要求</w:t>
      </w:r>
      <w:r>
        <w:rPr>
          <w:rFonts w:hAnsi="宋体" w:cs="宋体"/>
          <w:b/>
          <w:color w:val="000000"/>
          <w:sz w:val="24"/>
          <w:szCs w:val="24"/>
          <w:highlight w:val="none"/>
        </w:rPr>
      </w:r>
      <w:r/>
    </w:p>
    <w:p>
      <w:pPr>
        <w:pStyle w:val="1168"/>
        <w:contextualSpacing/>
        <w:ind w:left="-2" w:firstLine="480"/>
        <w:spacing w:line="360" w:lineRule="auto"/>
        <w:tabs>
          <w:tab w:val="left" w:pos="567"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1.故障解决要求</w:t>
      </w:r>
      <w:r>
        <w:rPr>
          <w:rFonts w:hint="eastAsia" w:ascii="宋体" w:hAnsi="宋体"/>
          <w:bCs/>
          <w:color w:val="000000"/>
          <w:sz w:val="24"/>
          <w:szCs w:val="24"/>
          <w:highlight w:val="none"/>
        </w:rPr>
      </w:r>
      <w:r/>
    </w:p>
    <w:p>
      <w:pPr>
        <w:pStyle w:val="1168"/>
        <w:contextualSpacing/>
        <w:ind w:left="-2" w:firstLine="480"/>
        <w:spacing w:line="360" w:lineRule="auto"/>
        <w:tabs>
          <w:tab w:val="left" w:pos="567"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人需提供7*24小时响应服务；服务器及相关设备发生故障后半小时到达现场服务。对于系统软件故障在到达现场后4小时内解决，并恢复系统正常运行；对于硬件故障，常用备件6小时内更换完成并恢复系统正常运行，硬件问题需原厂提供备件的，相关备件24小时内更换完成并恢复系统正常运行。如果对故障原因不确定或确定有多种故障原因，且不能在短时间内解决的，投标人应在24小时内免费提供备用设备，保证恢复系统的正常工作。故障解决时间不得超过7天。</w:t>
      </w:r>
      <w:r>
        <w:rPr>
          <w:rFonts w:ascii="宋体" w:hAnsi="宋体"/>
          <w:bCs/>
          <w:color w:val="000000"/>
          <w:sz w:val="24"/>
          <w:szCs w:val="24"/>
          <w:highlight w:val="none"/>
        </w:rPr>
      </w:r>
      <w:r/>
    </w:p>
    <w:p>
      <w:pPr>
        <w:pStyle w:val="1168"/>
        <w:contextualSpacing/>
        <w:ind w:left="-2" w:firstLine="480"/>
        <w:spacing w:line="360" w:lineRule="auto"/>
        <w:tabs>
          <w:tab w:val="left" w:pos="567"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如出现硬件故障中标人须提供备机/备件先行服务保障，确保业务不中断。</w:t>
      </w:r>
      <w:r>
        <w:rPr>
          <w:rFonts w:hint="eastAsia" w:ascii="宋体" w:hAnsi="宋体"/>
          <w:bCs/>
          <w:color w:val="000000"/>
          <w:sz w:val="24"/>
          <w:szCs w:val="24"/>
          <w:highlight w:val="none"/>
        </w:rPr>
      </w:r>
      <w:r/>
    </w:p>
    <w:p>
      <w:pPr>
        <w:pStyle w:val="1168"/>
        <w:contextualSpacing/>
        <w:ind w:left="-2" w:firstLine="480"/>
        <w:spacing w:line="360" w:lineRule="auto"/>
        <w:tabs>
          <w:tab w:val="left" w:pos="567"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2.日常维护要求</w:t>
      </w:r>
      <w:r>
        <w:rPr>
          <w:rFonts w:hint="eastAsia" w:ascii="宋体" w:hAnsi="宋体"/>
          <w:bCs/>
          <w:color w:val="000000"/>
          <w:sz w:val="24"/>
          <w:szCs w:val="24"/>
          <w:highlight w:val="none"/>
        </w:rPr>
      </w:r>
      <w:r/>
    </w:p>
    <w:p>
      <w:pPr>
        <w:pStyle w:val="1168"/>
        <w:contextualSpacing/>
        <w:ind w:left="-2" w:firstLine="480"/>
        <w:spacing w:line="360" w:lineRule="auto"/>
        <w:tabs>
          <w:tab w:val="left" w:pos="567"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2.1 投标人应提供每月不少于1次的定期巡检，对相关服务器软硬件进行性能、安全等方面的评估，巡检内容包括服务器的光通路诊断分析、</w:t>
      </w:r>
      <w:r>
        <w:rPr>
          <w:rFonts w:hint="eastAsia" w:ascii="宋体" w:hAnsi="宋体"/>
          <w:bCs/>
          <w:color w:val="000000"/>
          <w:sz w:val="24"/>
          <w:szCs w:val="24"/>
          <w:highlight w:val="none"/>
        </w:rPr>
        <w:t xml:space="preserve">DSA日志分析、RAID卡日志分析、操作系统日志分析、系统资源占用情况分析等。从而及早发现服务器存在的问题，并通过计划内的停机维护，使故障造成的影响降到最小；在故障后应提供的电话或现场支持服务，且次数不限。服务期限内投标人负责修补系统软件最新补丁(包括操作系统以及服务器相关插件、驱动程序等)，提供系统软件咨询服务，包括系统升级扩充方案，系统软件运行过程中的各种技术问题等。提供磁盘空间整理，日志文件的分析，以及系统健康检查，性能分析及调整优化，确保常州市肿瘤医院相关业务系统服务器功能正常、数据安全、系统稳定。</w:t>
      </w:r>
      <w:r>
        <w:rPr>
          <w:rFonts w:ascii="宋体" w:hAnsi="宋体"/>
          <w:bCs/>
          <w:color w:val="000000"/>
          <w:sz w:val="24"/>
          <w:szCs w:val="24"/>
          <w:highlight w:val="none"/>
        </w:rPr>
      </w:r>
      <w:r/>
    </w:p>
    <w:p>
      <w:pPr>
        <w:pStyle w:val="1168"/>
        <w:contextualSpacing/>
        <w:ind w:left="-2" w:firstLine="480"/>
        <w:spacing w:line="360" w:lineRule="auto"/>
        <w:tabs>
          <w:tab w:val="left" w:pos="567"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2.2 提供数据库平台的硬件以及相应软件的维保服务；</w:t>
      </w:r>
      <w:r>
        <w:rPr>
          <w:rFonts w:ascii="宋体" w:hAnsi="宋体"/>
          <w:bCs/>
          <w:color w:val="000000"/>
          <w:sz w:val="24"/>
          <w:szCs w:val="24"/>
          <w:highlight w:val="none"/>
        </w:rPr>
      </w:r>
      <w:r/>
    </w:p>
    <w:p>
      <w:pPr>
        <w:pStyle w:val="1168"/>
        <w:contextualSpacing/>
        <w:ind w:left="-2" w:firstLine="480"/>
        <w:spacing w:line="360" w:lineRule="auto"/>
        <w:tabs>
          <w:tab w:val="left" w:pos="567"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2.3 为保障清单中的设备能够正常运行，中标人在确保医院业务不中断的情况对某些软件进行免费更换（需书面申请并经甲方同意），更换的软件功能不能低于现有软件功能，不能有授权限制，在超过本次服务期后仍可正常运行并且不能出现卡脖子情况、维保费上涨情况。</w:t>
      </w:r>
      <w:r>
        <w:rPr>
          <w:rFonts w:ascii="宋体" w:hAnsi="宋体"/>
          <w:bCs/>
          <w:color w:val="000000"/>
          <w:sz w:val="24"/>
          <w:szCs w:val="24"/>
          <w:highlight w:val="none"/>
        </w:rPr>
      </w:r>
      <w:r/>
    </w:p>
    <w:p>
      <w:pPr>
        <w:pStyle w:val="1168"/>
        <w:contextualSpacing/>
        <w:ind w:left="-2" w:firstLine="480"/>
        <w:spacing w:line="360" w:lineRule="auto"/>
        <w:tabs>
          <w:tab w:val="left" w:pos="567"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2.4 服务期限内投标人负责修补系统软件最新补丁(包括操作系统以及服务器相关插件、驱动程序等)，</w:t>
      </w:r>
      <w:r>
        <w:rPr>
          <w:rFonts w:hint="eastAsia" w:ascii="宋体" w:hAnsi="宋体"/>
          <w:bCs/>
          <w:color w:val="000000"/>
          <w:sz w:val="24"/>
          <w:szCs w:val="24"/>
          <w:highlight w:val="none"/>
        </w:rPr>
        <w:t xml:space="preserve">配合完成漏洞修复、安全加固、策略优化等工作</w:t>
      </w:r>
      <w:r>
        <w:rPr>
          <w:rFonts w:hint="eastAsia" w:ascii="宋体" w:hAnsi="宋体"/>
          <w:bCs/>
          <w:color w:val="000000"/>
          <w:sz w:val="24"/>
          <w:szCs w:val="24"/>
          <w:highlight w:val="none"/>
        </w:rPr>
        <w:t xml:space="preserve">。提供系统软件咨询服务，包括系统升级扩充方案，系统软件运行过程中的各种技术问题等。</w:t>
      </w:r>
      <w:r>
        <w:rPr>
          <w:rFonts w:hint="eastAsia" w:ascii="宋体" w:hAnsi="宋体"/>
          <w:bCs/>
          <w:color w:val="000000"/>
          <w:sz w:val="24"/>
          <w:szCs w:val="24"/>
          <w:highlight w:val="none"/>
        </w:rPr>
      </w:r>
      <w:r/>
    </w:p>
    <w:p>
      <w:pPr>
        <w:pStyle w:val="1168"/>
        <w:contextualSpacing/>
        <w:ind w:left="-2" w:firstLine="480"/>
        <w:spacing w:line="360" w:lineRule="auto"/>
        <w:tabs>
          <w:tab w:val="left" w:pos="567"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2.5 投标人应该根据常州市肿瘤医院服务器维保需求提供相应的投标方案，在投标方案中需要就设备详细报价、故障现场响应时间、故障处理及恢复时间、公司服务体系及维保服务内容等方面提供详细说明。</w:t>
      </w:r>
      <w:r>
        <w:rPr>
          <w:rFonts w:hint="eastAsia" w:ascii="宋体" w:hAnsi="宋体"/>
          <w:bCs/>
          <w:color w:val="000000"/>
          <w:sz w:val="24"/>
          <w:szCs w:val="24"/>
          <w:highlight w:val="none"/>
        </w:rPr>
      </w:r>
      <w:r/>
    </w:p>
    <w:p>
      <w:pPr>
        <w:pStyle w:val="1168"/>
        <w:contextualSpacing/>
        <w:ind w:left="-2" w:firstLine="482"/>
        <w:spacing w:line="360" w:lineRule="auto"/>
        <w:tabs>
          <w:tab w:val="left" w:pos="567" w:leader="none"/>
        </w:tabs>
        <w:rPr>
          <w:rFonts w:hint="eastAsia" w:ascii="宋体" w:hAnsi="宋体"/>
          <w:b/>
          <w:color w:val="000000"/>
          <w:sz w:val="24"/>
          <w:szCs w:val="24"/>
          <w:highlight w:val="none"/>
        </w:rPr>
      </w:pPr>
      <w:r>
        <w:rPr>
          <w:rFonts w:hint="eastAsia" w:ascii="宋体" w:hAnsi="宋体"/>
          <w:b/>
          <w:i/>
          <w:iCs/>
          <w:color w:val="000000"/>
          <w:sz w:val="24"/>
          <w:szCs w:val="24"/>
          <w:highlight w:val="none"/>
        </w:rPr>
        <w:t xml:space="preserve">★</w:t>
      </w:r>
      <w:r>
        <w:rPr>
          <w:rFonts w:hint="eastAsia" w:ascii="宋体" w:hAnsi="宋体"/>
          <w:b/>
          <w:color w:val="000000"/>
          <w:sz w:val="24"/>
          <w:szCs w:val="24"/>
          <w:highlight w:val="none"/>
        </w:rPr>
        <w:t xml:space="preserve">3.维保要求</w:t>
      </w:r>
      <w:r>
        <w:rPr>
          <w:rFonts w:hint="eastAsia" w:ascii="宋体" w:hAnsi="宋体"/>
          <w:b/>
          <w:i/>
          <w:iCs/>
          <w:color w:val="000000"/>
          <w:sz w:val="24"/>
          <w:szCs w:val="24"/>
          <w:highlight w:val="none"/>
        </w:rPr>
        <w:t xml:space="preserve">（提供承诺函加盖供应商公章。本项为实质性要求，必须响应并满足，否则投标无效）</w:t>
      </w:r>
      <w:r>
        <w:rPr>
          <w:rFonts w:hint="eastAsia" w:ascii="宋体" w:hAnsi="宋体"/>
          <w:b/>
          <w:color w:val="000000"/>
          <w:sz w:val="24"/>
          <w:szCs w:val="24"/>
          <w:highlight w:val="none"/>
        </w:rPr>
      </w:r>
      <w:r/>
    </w:p>
    <w:p>
      <w:pPr>
        <w:pStyle w:val="1168"/>
        <w:contextualSpacing/>
        <w:ind w:left="-2" w:firstLine="480"/>
        <w:spacing w:line="360" w:lineRule="auto"/>
        <w:tabs>
          <w:tab w:val="left" w:pos="567"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3.1 投标人承诺：由华为原厂工程师提供服务器、交换机、安全设备的服务，关键时刻现场值守服务，更换维护工程师应事先征得常州市肿瘤医院同意。</w:t>
      </w:r>
      <w:r>
        <w:rPr>
          <w:rFonts w:ascii="宋体" w:hAnsi="宋体"/>
          <w:bCs/>
          <w:color w:val="000000"/>
          <w:sz w:val="24"/>
          <w:szCs w:val="24"/>
          <w:highlight w:val="none"/>
        </w:rPr>
      </w:r>
      <w:r/>
    </w:p>
    <w:p>
      <w:pPr>
        <w:pStyle w:val="1168"/>
        <w:contextualSpacing/>
        <w:ind w:left="-2" w:firstLine="480"/>
        <w:spacing w:line="360" w:lineRule="auto"/>
        <w:tabs>
          <w:tab w:val="left" w:pos="567"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3.2 投标人须为维保范围内的华为服务器、交换机、防火墙设备及日志审计设备提供原厂三年维保服务，服务内容包含硬件保修、系统软件升级、特征库/规则库升级、故障处理、技术支持等。（提供安全特征库、攻击特征库、病毒库、日志规则库的实时更新与升级服务，确保设备具备最新安全防护与审计能力。）</w:t>
      </w:r>
      <w:r>
        <w:rPr>
          <w:rFonts w:hint="eastAsia" w:ascii="宋体" w:hAnsi="宋体"/>
          <w:bCs/>
          <w:color w:val="000000"/>
          <w:sz w:val="24"/>
          <w:szCs w:val="24"/>
          <w:highlight w:val="none"/>
        </w:rPr>
      </w:r>
      <w:r/>
    </w:p>
    <w:p>
      <w:pPr>
        <w:pStyle w:val="1168"/>
        <w:contextualSpacing/>
        <w:ind w:left="-2" w:firstLine="480"/>
        <w:spacing w:line="360" w:lineRule="auto"/>
        <w:tabs>
          <w:tab w:val="left" w:pos="567"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中标人须在中标后一周内向甲方提供华为服务器、交换机、防火墙设备及日志审计设备三年原厂质保函。</w:t>
      </w:r>
      <w:r>
        <w:rPr>
          <w:rFonts w:ascii="宋体" w:hAnsi="宋体"/>
          <w:bCs/>
          <w:color w:val="000000"/>
          <w:sz w:val="24"/>
          <w:szCs w:val="24"/>
          <w:highlight w:val="none"/>
        </w:rPr>
      </w:r>
      <w:r/>
    </w:p>
    <w:p>
      <w:pPr>
        <w:pStyle w:val="1168"/>
        <w:contextualSpacing/>
        <w:ind w:left="-2" w:firstLine="482"/>
        <w:spacing w:line="360" w:lineRule="auto"/>
        <w:tabs>
          <w:tab w:val="left" w:pos="567" w:leader="none"/>
        </w:tabs>
        <w:rPr>
          <w:rFonts w:hint="eastAsia" w:ascii="宋体" w:hAnsi="宋体"/>
          <w:b/>
          <w:i/>
          <w:iCs/>
          <w:color w:val="000000"/>
          <w:sz w:val="24"/>
          <w:szCs w:val="24"/>
          <w:highlight w:val="none"/>
        </w:rPr>
      </w:pPr>
      <w:r>
        <w:rPr>
          <w:rFonts w:hint="eastAsia" w:ascii="宋体" w:hAnsi="宋体"/>
          <w:b/>
          <w:i/>
          <w:iCs/>
          <w:color w:val="000000"/>
          <w:sz w:val="24"/>
          <w:szCs w:val="24"/>
          <w:highlight w:val="none"/>
        </w:rPr>
        <w:t xml:space="preserve">★4、现场服务要求（提供承诺函加盖供应商公章。本项为实质性要求，必须响应并满足，否则投标无效）</w:t>
      </w:r>
      <w:r>
        <w:rPr>
          <w:rFonts w:hint="eastAsia" w:ascii="宋体" w:hAnsi="宋体"/>
          <w:b/>
          <w:i/>
          <w:iCs/>
          <w:color w:val="000000"/>
          <w:sz w:val="24"/>
          <w:szCs w:val="24"/>
          <w:highlight w:val="none"/>
        </w:rPr>
      </w:r>
      <w:r/>
    </w:p>
    <w:p>
      <w:pPr>
        <w:pStyle w:val="1168"/>
        <w:contextualSpacing/>
        <w:ind w:left="-2" w:firstLine="480"/>
        <w:spacing w:line="360" w:lineRule="auto"/>
        <w:tabs>
          <w:tab w:val="left" w:pos="567"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4.1 考虑到常州市肿瘤医院业务的实时性要求，保障相关业务系统发生故障后能够及时处理，确保各信息系统的7*24小时高可用性，并能在周末和节假日能够做</w:t>
      </w:r>
      <w:r>
        <w:rPr>
          <w:rFonts w:hint="eastAsia" w:ascii="宋体" w:hAnsi="宋体"/>
          <w:bCs/>
          <w:color w:val="000000"/>
          <w:sz w:val="24"/>
          <w:szCs w:val="24"/>
          <w:highlight w:val="none"/>
        </w:rPr>
        <w:t xml:space="preserve">好用户现场保障工作，因此，投标人应专门指派一名通过华为DATACOM方向HCIP或者HCIE级别的华为认证工程师在用户工作时间，在常州市肿瘤医院信息中心机房提供现场服务（注：中途更换人员需提前一个月告知用户，待用户批准后才可更换，更换的人员必须具有同等档次证书）。在现场进行维保软硬件设备管理和监测，及时排查故障，对需要调整的配置经授权同意后进行修改，定期给出信息系统运行报告。参与本次维保的公司需要熟悉医院业务，熟悉Oracle 数据库、VMware虚拟化等应用软件，从而确保业务系统的日常维护及故障处理速度。</w:t>
      </w:r>
      <w:r>
        <w:rPr>
          <w:rFonts w:hint="eastAsia" w:ascii="宋体" w:hAnsi="宋体"/>
          <w:bCs/>
          <w:color w:val="000000"/>
          <w:sz w:val="24"/>
          <w:szCs w:val="24"/>
          <w:highlight w:val="none"/>
        </w:rPr>
      </w:r>
      <w:r/>
    </w:p>
    <w:p>
      <w:pPr>
        <w:pStyle w:val="1168"/>
        <w:contextualSpacing/>
        <w:ind w:left="-2" w:firstLine="480"/>
        <w:spacing w:line="360" w:lineRule="auto"/>
        <w:tabs>
          <w:tab w:val="left" w:pos="567"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4.2 投标人应承诺保持指派人员的连续性和稳定性；指派人员必须服从采购人的管理，包括工作时间、工作安排；指派人员根据工作需要，在市区内的差旅费用由成交投标人统一支付；指派人员调整更换必须经医院同意。成交投标人对指派人员必须进行相关安全保密教育，签订保密协议，有履行保密的责任和义务。</w:t>
      </w:r>
      <w:r>
        <w:rPr>
          <w:rFonts w:hint="eastAsia" w:ascii="宋体" w:hAnsi="宋体"/>
          <w:bCs/>
          <w:color w:val="000000"/>
          <w:sz w:val="24"/>
          <w:szCs w:val="24"/>
          <w:highlight w:val="none"/>
        </w:rPr>
      </w:r>
      <w:r/>
    </w:p>
    <w:p>
      <w:pPr>
        <w:pStyle w:val="1168"/>
        <w:contextualSpacing/>
        <w:ind w:left="-2" w:firstLine="480"/>
        <w:spacing w:line="360" w:lineRule="auto"/>
        <w:tabs>
          <w:tab w:val="left" w:pos="567"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4.3 指派的技术人员在维护工作中，有义务对代维设备作好标签制定、技术文件入档编辑、配置版本的保留和归档、软件版本的保留和归档、线缆的整理等。</w:t>
      </w:r>
      <w:r>
        <w:rPr>
          <w:rFonts w:hint="eastAsia" w:ascii="宋体" w:hAnsi="宋体"/>
          <w:bCs/>
          <w:color w:val="000000"/>
          <w:sz w:val="24"/>
          <w:szCs w:val="24"/>
          <w:highlight w:val="none"/>
        </w:rPr>
      </w:r>
      <w:r/>
    </w:p>
    <w:p>
      <w:pPr>
        <w:pStyle w:val="1168"/>
        <w:contextualSpacing/>
        <w:ind w:left="-2" w:firstLine="480"/>
        <w:spacing w:line="360" w:lineRule="auto"/>
        <w:tabs>
          <w:tab w:val="left" w:pos="567"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4.4 指派的技术人员须负责把需要公司出面处理的事物信息及时反馈到公司，解决代维的设备维修以及厂商的技术及设备的配合。</w:t>
      </w:r>
      <w:r>
        <w:rPr>
          <w:rFonts w:hint="eastAsia" w:ascii="宋体" w:hAnsi="宋体"/>
          <w:bCs/>
          <w:color w:val="000000"/>
          <w:sz w:val="24"/>
          <w:szCs w:val="24"/>
          <w:highlight w:val="none"/>
        </w:rPr>
      </w:r>
      <w:r/>
    </w:p>
    <w:p>
      <w:pPr>
        <w:pStyle w:val="1168"/>
        <w:contextualSpacing/>
        <w:ind w:left="-2" w:firstLine="482"/>
        <w:spacing w:line="360" w:lineRule="auto"/>
        <w:tabs>
          <w:tab w:val="left" w:pos="567" w:leader="none"/>
        </w:tabs>
        <w:rPr>
          <w:rFonts w:hint="eastAsia" w:ascii="宋体" w:hAnsi="宋体"/>
          <w:b/>
          <w:i/>
          <w:iCs/>
          <w:color w:val="000000"/>
          <w:sz w:val="24"/>
          <w:szCs w:val="24"/>
          <w:highlight w:val="none"/>
        </w:rPr>
      </w:pPr>
      <w:r>
        <w:rPr>
          <w:rFonts w:hint="eastAsia" w:ascii="宋体" w:hAnsi="宋体"/>
          <w:b/>
          <w:i/>
          <w:iCs/>
          <w:color w:val="000000"/>
          <w:sz w:val="24"/>
          <w:szCs w:val="24"/>
          <w:highlight w:val="none"/>
        </w:rPr>
        <w:t xml:space="preserve">★5、其他要求（提供承诺函加盖供应商公章。本项为实质性要求，必须响应并满足，否则投标无效）</w:t>
      </w:r>
      <w:r>
        <w:rPr>
          <w:rFonts w:hint="eastAsia" w:ascii="宋体" w:hAnsi="宋体"/>
          <w:b/>
          <w:i/>
          <w:iCs/>
          <w:color w:val="000000"/>
          <w:sz w:val="24"/>
          <w:szCs w:val="24"/>
          <w:highlight w:val="none"/>
        </w:rPr>
      </w:r>
      <w:r/>
    </w:p>
    <w:p>
      <w:pPr>
        <w:pStyle w:val="1168"/>
        <w:contextualSpacing/>
        <w:ind w:left="-2" w:firstLine="482"/>
        <w:spacing w:line="360" w:lineRule="auto"/>
        <w:tabs>
          <w:tab w:val="left" w:pos="567" w:leader="none"/>
        </w:tabs>
        <w:rPr>
          <w:rFonts w:hint="eastAsia" w:ascii="宋体" w:hAnsi="宋体"/>
          <w:b/>
          <w:i/>
          <w:iCs/>
          <w:color w:val="000000"/>
          <w:sz w:val="24"/>
          <w:szCs w:val="24"/>
          <w:highlight w:val="none"/>
        </w:rPr>
      </w:pPr>
      <w:r>
        <w:rPr>
          <w:rFonts w:hint="eastAsia" w:ascii="宋体" w:hAnsi="宋体"/>
          <w:b/>
          <w:i/>
          <w:iCs/>
          <w:color w:val="000000"/>
          <w:sz w:val="24"/>
          <w:szCs w:val="24"/>
          <w:highlight w:val="none"/>
        </w:rPr>
        <w:t xml:space="preserve">(1)需提供专门的技术人员对代维软硬件设备按照需求免费进行补丁升级。</w:t>
      </w:r>
      <w:r>
        <w:rPr>
          <w:rFonts w:hint="eastAsia" w:ascii="宋体" w:hAnsi="宋体"/>
          <w:b/>
          <w:i/>
          <w:iCs/>
          <w:color w:val="000000"/>
          <w:sz w:val="24"/>
          <w:szCs w:val="24"/>
          <w:highlight w:val="none"/>
        </w:rPr>
      </w:r>
      <w:r/>
    </w:p>
    <w:p>
      <w:pPr>
        <w:pStyle w:val="1168"/>
        <w:contextualSpacing/>
        <w:ind w:left="-2" w:firstLine="482"/>
        <w:spacing w:line="360" w:lineRule="auto"/>
        <w:tabs>
          <w:tab w:val="left" w:pos="567" w:leader="none"/>
        </w:tabs>
        <w:rPr>
          <w:rFonts w:hint="eastAsia" w:ascii="宋体" w:hAnsi="宋体"/>
          <w:b/>
          <w:i/>
          <w:iCs/>
          <w:color w:val="000000"/>
          <w:sz w:val="24"/>
          <w:szCs w:val="24"/>
          <w:highlight w:val="none"/>
        </w:rPr>
      </w:pPr>
      <w:r>
        <w:rPr>
          <w:rFonts w:hint="eastAsia" w:ascii="宋体" w:hAnsi="宋体"/>
          <w:b/>
          <w:i/>
          <w:iCs/>
          <w:color w:val="000000"/>
          <w:sz w:val="24"/>
          <w:szCs w:val="24"/>
          <w:highlight w:val="none"/>
        </w:rPr>
        <w:t xml:space="preserve">(2)在业务系统性能低下的时候，协助应用开发商制定业务系统级的优化方案，并免费对信息系统性能进行系统级调优，提高业务系统运行性能。</w:t>
      </w:r>
      <w:r>
        <w:rPr>
          <w:rFonts w:hint="eastAsia" w:ascii="宋体" w:hAnsi="宋体"/>
          <w:b/>
          <w:i/>
          <w:iCs/>
          <w:color w:val="000000"/>
          <w:sz w:val="24"/>
          <w:szCs w:val="24"/>
          <w:highlight w:val="none"/>
        </w:rPr>
      </w:r>
      <w:r/>
    </w:p>
    <w:p>
      <w:pPr>
        <w:pStyle w:val="1168"/>
        <w:contextualSpacing/>
        <w:ind w:left="-2" w:firstLine="482"/>
        <w:spacing w:line="360" w:lineRule="auto"/>
        <w:tabs>
          <w:tab w:val="left" w:pos="567" w:leader="none"/>
        </w:tabs>
        <w:rPr>
          <w:rFonts w:hint="eastAsia" w:ascii="宋体" w:hAnsi="宋体"/>
          <w:b/>
          <w:i/>
          <w:iCs/>
          <w:color w:val="000000"/>
          <w:sz w:val="24"/>
          <w:szCs w:val="24"/>
          <w:highlight w:val="none"/>
        </w:rPr>
      </w:pPr>
      <w:r>
        <w:rPr>
          <w:rFonts w:hint="eastAsia" w:ascii="宋体" w:hAnsi="宋体"/>
          <w:b/>
          <w:i/>
          <w:iCs/>
          <w:color w:val="000000"/>
          <w:sz w:val="24"/>
          <w:szCs w:val="24"/>
          <w:highlight w:val="none"/>
        </w:rPr>
        <w:t xml:space="preserve">(3)在用户方需要的情况下，投标人应无偿配合用户方进行应急演练、系统调整、升级等非故障性事务的处理。</w:t>
      </w:r>
      <w:r>
        <w:rPr>
          <w:rFonts w:hint="eastAsia" w:ascii="宋体" w:hAnsi="宋体"/>
          <w:b/>
          <w:i/>
          <w:iCs/>
          <w:color w:val="000000"/>
          <w:sz w:val="24"/>
          <w:szCs w:val="24"/>
          <w:highlight w:val="none"/>
        </w:rPr>
      </w:r>
      <w:r/>
    </w:p>
    <w:p>
      <w:pPr>
        <w:pStyle w:val="1168"/>
        <w:contextualSpacing/>
        <w:ind w:left="-2" w:firstLine="482"/>
        <w:spacing w:line="360" w:lineRule="auto"/>
        <w:tabs>
          <w:tab w:val="left" w:pos="567" w:leader="none"/>
        </w:tabs>
        <w:rPr>
          <w:rFonts w:hint="eastAsia" w:ascii="宋体" w:hAnsi="宋体"/>
          <w:b/>
          <w:i/>
          <w:iCs/>
          <w:color w:val="000000"/>
          <w:sz w:val="24"/>
          <w:szCs w:val="24"/>
          <w:highlight w:val="none"/>
        </w:rPr>
      </w:pPr>
      <w:r>
        <w:rPr>
          <w:rFonts w:hint="eastAsia" w:ascii="宋体" w:hAnsi="宋体"/>
          <w:b/>
          <w:i/>
          <w:iCs/>
          <w:color w:val="000000"/>
          <w:sz w:val="24"/>
          <w:szCs w:val="24"/>
          <w:highlight w:val="none"/>
        </w:rPr>
        <w:t xml:space="preserve">(4)代维设备如果出现故障，不能工作或者部分有问题需要维修，在任何时间派技术人员半小时内抵达现场，检测问题，及时更换损坏备件，确保业务系统运行；如果核心部件故障后导致业务系统停止服务，需要在24小时内提供备机服务。</w:t>
      </w:r>
      <w:r>
        <w:rPr>
          <w:rFonts w:hint="eastAsia" w:ascii="宋体" w:hAnsi="宋体"/>
          <w:b/>
          <w:i/>
          <w:iCs/>
          <w:color w:val="000000"/>
          <w:sz w:val="24"/>
          <w:szCs w:val="24"/>
          <w:highlight w:val="none"/>
        </w:rPr>
      </w:r>
      <w:r/>
    </w:p>
    <w:p>
      <w:pPr>
        <w:pStyle w:val="1168"/>
        <w:contextualSpacing/>
        <w:ind w:left="-2" w:firstLine="482"/>
        <w:spacing w:line="360" w:lineRule="auto"/>
        <w:tabs>
          <w:tab w:val="left" w:pos="567" w:leader="none"/>
        </w:tabs>
        <w:rPr>
          <w:rFonts w:hint="eastAsia" w:ascii="宋体" w:hAnsi="宋体"/>
          <w:b/>
          <w:i/>
          <w:iCs/>
          <w:color w:val="000000"/>
          <w:sz w:val="24"/>
          <w:szCs w:val="24"/>
          <w:highlight w:val="none"/>
        </w:rPr>
      </w:pPr>
      <w:r>
        <w:rPr>
          <w:rFonts w:hint="eastAsia" w:ascii="宋体" w:hAnsi="宋体"/>
          <w:b/>
          <w:i/>
          <w:iCs/>
          <w:color w:val="000000"/>
          <w:sz w:val="24"/>
          <w:szCs w:val="24"/>
          <w:highlight w:val="none"/>
        </w:rPr>
        <w:t xml:space="preserve">(5)对需要维修的设备如果设备在保修时间外，负责设备的一切维修商务流程，把设备维修价格向用户方确认，得到允许维修的授权后再送修，直至把维修好的设备运输到用户现场；</w:t>
      </w:r>
      <w:r>
        <w:rPr>
          <w:rFonts w:hint="eastAsia" w:ascii="宋体" w:hAnsi="宋体"/>
          <w:b/>
          <w:i/>
          <w:iCs/>
          <w:color w:val="000000"/>
          <w:sz w:val="24"/>
          <w:szCs w:val="24"/>
          <w:highlight w:val="none"/>
        </w:rPr>
      </w:r>
      <w:r/>
    </w:p>
    <w:p>
      <w:pPr>
        <w:pStyle w:val="1168"/>
        <w:contextualSpacing/>
        <w:ind w:left="-2" w:firstLine="482"/>
        <w:spacing w:line="360" w:lineRule="auto"/>
        <w:tabs>
          <w:tab w:val="left" w:pos="567" w:leader="none"/>
        </w:tabs>
        <w:rPr>
          <w:rFonts w:hint="eastAsia" w:ascii="宋体" w:hAnsi="宋体"/>
          <w:b/>
          <w:i/>
          <w:iCs/>
          <w:color w:val="000000"/>
          <w:sz w:val="24"/>
          <w:szCs w:val="24"/>
          <w:highlight w:val="none"/>
        </w:rPr>
      </w:pPr>
      <w:r>
        <w:rPr>
          <w:rFonts w:hint="eastAsia" w:ascii="宋体" w:hAnsi="宋体"/>
          <w:b/>
          <w:i/>
          <w:iCs/>
          <w:color w:val="000000"/>
          <w:sz w:val="24"/>
          <w:szCs w:val="24"/>
          <w:highlight w:val="none"/>
        </w:rPr>
        <w:t xml:space="preserve">(6)投标人应承诺，所更换的配件均为原厂配件；</w:t>
      </w:r>
      <w:r>
        <w:rPr>
          <w:rFonts w:hint="eastAsia" w:ascii="宋体" w:hAnsi="宋体"/>
          <w:b/>
          <w:i/>
          <w:iCs/>
          <w:color w:val="000000"/>
          <w:sz w:val="24"/>
          <w:szCs w:val="24"/>
          <w:highlight w:val="none"/>
        </w:rPr>
      </w:r>
      <w:r/>
    </w:p>
    <w:p>
      <w:pPr>
        <w:pStyle w:val="1113"/>
        <w:ind w:firstLine="482"/>
        <w:spacing w:line="360" w:lineRule="auto"/>
        <w:rPr>
          <w:rFonts w:hAnsi="宋体"/>
          <w:b/>
          <w:i/>
          <w:iCs/>
          <w:color w:val="000000"/>
          <w:sz w:val="24"/>
          <w:szCs w:val="24"/>
          <w:highlight w:val="none"/>
        </w:rPr>
      </w:pPr>
      <w:r>
        <w:rPr>
          <w:rFonts w:hAnsi="宋体"/>
          <w:b/>
          <w:i/>
          <w:iCs/>
          <w:color w:val="000000"/>
          <w:sz w:val="24"/>
          <w:szCs w:val="24"/>
          <w:highlight w:val="none"/>
        </w:rPr>
        <w:t xml:space="preserve">(7)投标人应承诺，在接到指派人员无法及时解决的故障处理报告后，应及时调集相关技术力量予以解决，确保系统正常运行，响应时间小于30分钟；遇到4小时内仍无法解决的系统故障，投标人须提出应急处理方案，保证系统稳定性和整体安全；在故障处理结束后24小时内应向招标单位提出书面故障处理报告；在投标人对故障无法排除的情况下，由投标人协调原厂解决，所涉及的费用由投标人承担。</w:t>
      </w:r>
      <w:r>
        <w:rPr>
          <w:rFonts w:hAnsi="宋体"/>
          <w:b/>
          <w:i/>
          <w:iCs/>
          <w:color w:val="000000"/>
          <w:sz w:val="24"/>
          <w:szCs w:val="24"/>
          <w:highlight w:val="none"/>
        </w:rPr>
      </w:r>
      <w:r/>
    </w:p>
    <w:p>
      <w:pPr>
        <w:pStyle w:val="1113"/>
        <w:ind w:firstLine="482"/>
        <w:spacing w:line="360" w:lineRule="auto"/>
        <w:rPr>
          <w:rFonts w:hAnsi="宋体" w:cs="宋体"/>
          <w:b/>
          <w:color w:val="000000"/>
          <w:sz w:val="24"/>
          <w:szCs w:val="24"/>
          <w:highlight w:val="none"/>
        </w:rPr>
      </w:pPr>
      <w:r>
        <w:rPr>
          <w:rFonts w:hAnsi="宋体" w:cs="宋体"/>
          <w:b/>
          <w:color w:val="000000"/>
          <w:sz w:val="24"/>
          <w:szCs w:val="24"/>
          <w:highlight w:val="none"/>
        </w:rPr>
      </w:r>
      <w:r/>
    </w:p>
    <w:p>
      <w:pPr>
        <w:pStyle w:val="1113"/>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13"/>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元</w:t>
      </w:r>
      <w:r>
        <w:rPr>
          <w:rFonts w:hAnsi="宋体" w:cs="宋体"/>
          <w:b/>
          <w:color w:val="000000"/>
          <w:sz w:val="24"/>
          <w:szCs w:val="24"/>
          <w:highlight w:val="none"/>
        </w:rPr>
        <w:t xml:space="preserve">（小写       ）。 </w:t>
      </w:r>
      <w:r>
        <w:rPr>
          <w:rFonts w:hAnsi="宋体" w:cs="宋体"/>
          <w:b/>
          <w:color w:val="000000"/>
          <w:sz w:val="24"/>
          <w:szCs w:val="24"/>
          <w:highlight w:val="none"/>
        </w:rPr>
      </w:r>
      <w:r/>
    </w:p>
    <w:p>
      <w:pPr>
        <w:pStyle w:val="1113"/>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本合同总价包括招标文件所确定的采购范围相应服务的提供、人员（包括工资和补贴）、配件费、技术费、工时费、差旅费、物流费、办公场所及设施、保险、劳保、管理、各种税费、利润、税金、政策性文件规定及合同包含的所有风险、责任等各项应有费用，以及为完成该项服务项目所涉及到的一切相关费用，采购人不再支付其他任何费用。</w:t>
      </w:r>
      <w:r>
        <w:rPr>
          <w:rFonts w:hAnsi="宋体" w:cs="宋体"/>
          <w:color w:val="000000"/>
          <w:sz w:val="24"/>
          <w:szCs w:val="24"/>
          <w:highlight w:val="none"/>
        </w:rPr>
      </w:r>
      <w:r/>
    </w:p>
    <w:p>
      <w:pPr>
        <w:pStyle w:val="1113"/>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合同履行期限</w:t>
      </w:r>
      <w:r>
        <w:rPr>
          <w:rFonts w:hAnsi="宋体" w:cs="宋体"/>
          <w:b/>
          <w:color w:val="000000"/>
          <w:sz w:val="24"/>
          <w:szCs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本项目服务期限为三年（   年  月   日-   年  月  日）</w:t>
      </w:r>
      <w:r>
        <w:rPr>
          <w:rFonts w:ascii="宋体" w:hAnsi="宋体" w:cs="宋体"/>
          <w:color w:val="000000"/>
          <w:sz w:val="24"/>
          <w:highlight w:val="none"/>
        </w:rPr>
      </w:r>
      <w:r/>
    </w:p>
    <w:p>
      <w:pPr>
        <w:pStyle w:val="1113"/>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第四条 组成本合同的有关文件</w:t>
      </w:r>
      <w:r>
        <w:rPr>
          <w:rFonts w:hAnsi="宋体" w:cs="宋体"/>
          <w:b/>
          <w:color w:val="000000"/>
          <w:sz w:val="24"/>
          <w:szCs w:val="24"/>
          <w:highlight w:val="none"/>
        </w:rPr>
      </w:r>
      <w:r/>
    </w:p>
    <w:p>
      <w:pPr>
        <w:pStyle w:val="1113"/>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13"/>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1113"/>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合同款结算及支付</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1168"/>
        <w:contextualSpacing/>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4.付款方式：</w:t>
      </w:r>
      <w:r>
        <w:rPr>
          <w:rFonts w:hint="eastAsia" w:ascii="宋体" w:hAnsi="宋体" w:cs="宋体"/>
          <w:color w:val="000000"/>
          <w:sz w:val="24"/>
          <w:szCs w:val="24"/>
          <w:highlight w:val="none"/>
        </w:rPr>
        <w:t xml:space="preserve">维保费用按年度支付。每年度服务期开始后30天内，需支付本年度维保费用的50%；当年度服务期满后30天内，支付其余50%的维保费用。</w:t>
      </w:r>
      <w:r>
        <w:rPr>
          <w:rFonts w:hint="eastAsia" w:ascii="宋体" w:hAnsi="宋体" w:cs="宋体"/>
          <w:color w:val="000000"/>
          <w:sz w:val="24"/>
          <w:highlight w:val="none"/>
        </w:rPr>
      </w:r>
      <w:r/>
    </w:p>
    <w:p>
      <w:pPr>
        <w:pStyle w:val="1168"/>
        <w:contextualSpacing/>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违约责任</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1.如乙方不能按约定进行服务的，甲方有权解除合同，同时有权要求乙方按照合同总价5%的标准支付违约金，解除合同的通知自发出之日生效。</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2.乙方未按本合同的规定和“服务承诺”提供伴随服务的，甲方有权提前解除本合同，同时乙方应按合同总价款的5 %向甲方承担违约责任。</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4.乙方投标属虚假承诺，或是由于乙方的过错造成合同无法继续履行的，乙方应向甲方支付不少于合同总价30%违约金，若该违约金不足以弥补甲方损失，则应当赔偿甲方所有损失。</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5.其他未尽事宜，以《民法典》等有关法律法规规定为准，无相关规定的，双方协商解决。</w:t>
      </w:r>
      <w:r>
        <w:rPr>
          <w:rFonts w:ascii="宋体" w:hAnsi="宋体" w:cs="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合同的变更和终止</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2.除发生法律规定的不能预见、不能避免并不能克服的客观情况外，甲乙双方不得放弃或拒绝履行合同。乙方放弃或拒绝履行合同，履约保证金不予退还。</w:t>
      </w:r>
      <w:r>
        <w:rPr>
          <w:rFonts w:ascii="宋体" w:hAnsi="宋体" w:cs="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合同的转让</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不可抗力</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w:t>
      </w:r>
      <w:r>
        <w:rPr>
          <w:rFonts w:hint="eastAsia" w:ascii="宋体" w:hAnsi="宋体" w:cs="宋体"/>
          <w:color w:val="000000"/>
          <w:sz w:val="24"/>
          <w:highlight w:val="none"/>
          <w:u w:val="single"/>
        </w:rPr>
        <w:t xml:space="preserve">   个</w:t>
      </w:r>
      <w:r>
        <w:rPr>
          <w:rFonts w:hint="eastAsia" w:ascii="宋体" w:hAnsi="宋体" w:cs="宋体"/>
          <w:color w:val="000000"/>
          <w:sz w:val="24"/>
          <w:highlight w:val="none"/>
        </w:rPr>
        <w:t xml:space="preserve">工作日内提供相应证明。未履行完合同部分是否继续履行、如何履行等问题，可由双方初步协商，并向主管部门报告。确定为不可抗力原因造成的损失，免予承担责任。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争议的解决</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（1）向甲方所在地人民法院提起诉讼；</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2.在法院审理和仲裁期间，除有争议部分外，本合同其他部分应继续履行。</w:t>
      </w:r>
      <w:r>
        <w:rPr>
          <w:rFonts w:ascii="宋体" w:hAnsi="宋体" w:cs="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诚实信用 </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合同生效及其他</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74"/>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4"/>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4"/>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74"/>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7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7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电话：            传真：</w:t>
      </w:r>
      <w:r>
        <w:rPr>
          <w:rFonts w:ascii="宋体" w:hAnsi="宋体" w:cs="宋体"/>
          <w:color w:val="000000"/>
          <w:sz w:val="24"/>
          <w:highlight w:val="none"/>
        </w:rPr>
      </w:r>
      <w:r/>
    </w:p>
    <w:p>
      <w:pPr>
        <w:pStyle w:val="107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传真：                                   开户银行：        账号：</w:t>
      </w:r>
      <w:r>
        <w:rPr>
          <w:rFonts w:ascii="宋体" w:hAnsi="宋体" w:cs="宋体"/>
          <w:color w:val="000000"/>
          <w:sz w:val="24"/>
          <w:highlight w:val="none"/>
        </w:rPr>
        <w:br w:type="page" w:clear="all"/>
      </w:r>
      <w:r>
        <w:rPr>
          <w:rFonts w:ascii="宋体" w:hAnsi="宋体" w:cs="宋体"/>
          <w:color w:val="000000"/>
          <w:sz w:val="24"/>
          <w:highlight w:val="none"/>
        </w:rPr>
      </w:r>
      <w:r/>
    </w:p>
    <w:p>
      <w:pPr>
        <w:pStyle w:val="1077"/>
        <w:numPr>
          <w:ilvl w:val="2"/>
          <w:numId w:val="16"/>
        </w:numPr>
        <w:contextualSpacing/>
        <w:ind w:firstLine="643"/>
        <w:jc w:val="center"/>
        <w:spacing w:before="120" w:after="0" w:line="360" w:lineRule="auto"/>
        <w:tabs>
          <w:tab w:val="center" w:pos="4677" w:leader="none"/>
          <w:tab w:val="left" w:pos="7652" w:leader="none"/>
        </w:tabs>
        <w:rPr>
          <w:rFonts w:hint="eastAsia" w:hAnsi="宋体"/>
          <w:b w:val="0"/>
          <w:color w:val="000000"/>
          <w:sz w:val="32"/>
          <w:szCs w:val="32"/>
          <w:highlight w:val="none"/>
        </w:rPr>
      </w:pPr>
      <w:r>
        <w:rPr>
          <w:rFonts w:hint="eastAsia" w:hAnsi="宋体"/>
          <w:color w:val="000000"/>
          <w:sz w:val="32"/>
          <w:szCs w:val="32"/>
          <w:highlight w:val="none"/>
          <w:u w:val="none"/>
        </w:rPr>
        <w:t xml:space="preserve">廉 政 责 任 书</w:t>
      </w:r>
      <w:r>
        <w:rPr>
          <w:rFonts w:hint="eastAsia" w:hAnsi="宋体"/>
          <w:b w:val="0"/>
          <w:color w:val="000000"/>
          <w:sz w:val="32"/>
          <w:szCs w:val="32"/>
          <w:highlight w:val="none"/>
        </w:rPr>
      </w:r>
      <w:r/>
    </w:p>
    <w:p>
      <w:pPr>
        <w:pStyle w:val="1074"/>
        <w:ind w:firstLine="560"/>
        <w:spacing w:line="40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74"/>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为进一步加强廉政建设，特订立如下责任书：</w:t>
      </w:r>
      <w:r>
        <w:rPr>
          <w:rFonts w:hint="eastAsia" w:ascii="宋体" w:hAnsi="宋体"/>
          <w:color w:val="000000"/>
          <w:sz w:val="24"/>
          <w:highlight w:val="none"/>
        </w:rPr>
      </w:r>
      <w:r/>
    </w:p>
    <w:p>
      <w:pPr>
        <w:pStyle w:val="1074"/>
        <w:ind w:firstLine="482"/>
        <w:spacing w:line="540" w:lineRule="exact"/>
        <w:widowControl/>
        <w:rPr>
          <w:rFonts w:hint="eastAsia" w:ascii="宋体" w:hAnsi="宋体"/>
          <w:b/>
          <w:color w:val="000000"/>
          <w:sz w:val="24"/>
          <w:highlight w:val="none"/>
        </w:rPr>
      </w:pPr>
      <w:r>
        <w:rPr>
          <w:rFonts w:hint="eastAsia" w:ascii="宋体" w:hAnsi="宋体"/>
          <w:b/>
          <w:color w:val="000000"/>
          <w:sz w:val="24"/>
          <w:highlight w:val="none"/>
        </w:rPr>
        <w:t xml:space="preserve">一、甲、乙双方的权利和义务</w:t>
      </w:r>
      <w:r>
        <w:rPr>
          <w:rFonts w:hint="eastAsia" w:ascii="宋体" w:hAnsi="宋体"/>
          <w:b/>
          <w:color w:val="000000"/>
          <w:sz w:val="24"/>
          <w:highlight w:val="none"/>
        </w:rPr>
      </w:r>
      <w:r/>
    </w:p>
    <w:p>
      <w:pPr>
        <w:pStyle w:val="1074"/>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1. 甲乙双方应严格遵守党的政策规定和国家有关法律法规。</w:t>
      </w:r>
      <w:r>
        <w:rPr>
          <w:rFonts w:hint="eastAsia" w:ascii="宋体" w:hAnsi="宋体"/>
          <w:color w:val="000000"/>
          <w:sz w:val="24"/>
          <w:highlight w:val="none"/>
        </w:rPr>
      </w:r>
      <w:r/>
    </w:p>
    <w:p>
      <w:pPr>
        <w:pStyle w:val="1074"/>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2. 甲乙双方应严格执行项目的合同文件，自觉按合同办事。</w:t>
      </w:r>
      <w:r>
        <w:rPr>
          <w:rFonts w:hint="eastAsia" w:ascii="宋体" w:hAnsi="宋体"/>
          <w:color w:val="000000"/>
          <w:sz w:val="24"/>
          <w:highlight w:val="none"/>
        </w:rPr>
      </w:r>
      <w:r/>
    </w:p>
    <w:p>
      <w:pPr>
        <w:pStyle w:val="1074"/>
        <w:ind w:firstLine="464"/>
        <w:spacing w:line="540" w:lineRule="exact"/>
        <w:widowControl/>
        <w:rPr>
          <w:rFonts w:hint="eastAsia" w:ascii="宋体" w:hAnsi="宋体"/>
          <w:color w:val="000000"/>
          <w:sz w:val="24"/>
          <w:highlight w:val="none"/>
        </w:rPr>
      </w:pPr>
      <w:r>
        <w:rPr>
          <w:rFonts w:hint="eastAsia" w:ascii="宋体" w:hAnsi="宋体"/>
          <w:color w:val="000000"/>
          <w:spacing w:val="-4"/>
          <w:sz w:val="24"/>
          <w:highlight w:val="none"/>
        </w:rPr>
        <w:t xml:space="preserve">3．甲乙双方的业务活动应坚持公开、公平、公正、诚信、透明的原则</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4"/>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4．甲乙双方不得以任何理由向对方工作人员行贿或馈赠礼金、有价证券、贵重礼品。不得在对方报销任何应由个人支付的费用。</w:t>
      </w:r>
      <w:r>
        <w:rPr>
          <w:rFonts w:hint="eastAsia" w:ascii="宋体" w:hAnsi="宋体"/>
          <w:color w:val="000000"/>
          <w:sz w:val="24"/>
          <w:highlight w:val="none"/>
        </w:rPr>
      </w:r>
      <w:r/>
    </w:p>
    <w:p>
      <w:pPr>
        <w:pStyle w:val="1074"/>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5．甲乙双方不得以任何理由违反廉洁自律的有关规定。</w:t>
      </w:r>
      <w:r>
        <w:rPr>
          <w:rFonts w:hint="eastAsia" w:ascii="宋体" w:hAnsi="宋体"/>
          <w:color w:val="000000"/>
          <w:sz w:val="24"/>
          <w:highlight w:val="none"/>
        </w:rPr>
      </w:r>
      <w:r/>
    </w:p>
    <w:p>
      <w:pPr>
        <w:pStyle w:val="1074"/>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6．甲乙双方发现对方严重违反本协议条款的行为，有及时提醒对方、向其上级有关部门举报、建议给予处理并要求告知处理结果的权利。</w:t>
      </w:r>
      <w:r>
        <w:rPr>
          <w:rFonts w:hint="eastAsia" w:ascii="宋体" w:hAnsi="宋体"/>
          <w:color w:val="000000"/>
          <w:sz w:val="24"/>
          <w:highlight w:val="none"/>
        </w:rPr>
      </w:r>
      <w:r/>
    </w:p>
    <w:p>
      <w:pPr>
        <w:pStyle w:val="1074"/>
        <w:ind w:firstLine="482"/>
        <w:spacing w:line="540" w:lineRule="exact"/>
        <w:widowControl/>
        <w:rPr>
          <w:rFonts w:hint="eastAsia" w:ascii="宋体" w:hAnsi="宋体"/>
          <w:b/>
          <w:color w:val="000000"/>
          <w:sz w:val="24"/>
          <w:highlight w:val="none"/>
        </w:rPr>
      </w:pPr>
      <w:r>
        <w:rPr>
          <w:rFonts w:hint="eastAsia" w:ascii="宋体" w:hAnsi="宋体"/>
          <w:b/>
          <w:color w:val="000000"/>
          <w:sz w:val="24"/>
          <w:highlight w:val="none"/>
        </w:rPr>
        <w:t xml:space="preserve">二、违约责任</w:t>
      </w:r>
      <w:r>
        <w:rPr>
          <w:rFonts w:hint="eastAsia" w:ascii="宋体" w:hAnsi="宋体"/>
          <w:b/>
          <w:color w:val="000000"/>
          <w:sz w:val="24"/>
          <w:highlight w:val="none"/>
        </w:rPr>
      </w:r>
      <w:r/>
    </w:p>
    <w:p>
      <w:pPr>
        <w:pStyle w:val="1074"/>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1．甲、乙双方及其工作人员违反本协议有关规定的，按管理权限，依据有关规定给予经济处罚或追究党纪政纪责任；涉嫌犯罪的，移交司法机关追究刑事责任；给双方单位造成经济损失的，应予以赔偿。</w:t>
      </w:r>
      <w:r>
        <w:rPr>
          <w:rFonts w:hint="eastAsia" w:ascii="宋体" w:hAnsi="宋体"/>
          <w:color w:val="000000"/>
          <w:sz w:val="24"/>
          <w:highlight w:val="none"/>
        </w:rPr>
      </w:r>
      <w:r/>
    </w:p>
    <w:p>
      <w:pPr>
        <w:pStyle w:val="1074"/>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2．本协议一式三份，由甲、乙双方各执一份，送交甲方的监督单位一份。</w:t>
      </w:r>
      <w:r>
        <w:rPr>
          <w:rFonts w:hint="eastAsia" w:ascii="宋体" w:hAnsi="宋体"/>
          <w:color w:val="000000"/>
          <w:sz w:val="24"/>
          <w:highlight w:val="none"/>
        </w:rPr>
      </w:r>
      <w:r/>
    </w:p>
    <w:p>
      <w:pPr>
        <w:pStyle w:val="1074"/>
        <w:ind w:firstLine="480"/>
        <w:spacing w:line="540" w:lineRule="exact"/>
        <w:widowControl/>
        <w:rPr>
          <w:rFonts w:ascii="宋体" w:hAnsi="宋体"/>
          <w:color w:val="000000"/>
          <w:sz w:val="24"/>
          <w:highlight w:val="none"/>
        </w:rPr>
      </w:pPr>
      <w:r>
        <w:rPr>
          <w:rFonts w:ascii="宋体" w:hAnsi="宋体"/>
          <w:color w:val="000000"/>
          <w:sz w:val="24"/>
          <w:highlight w:val="none"/>
        </w:rPr>
      </w:r>
      <w:r/>
    </w:p>
    <w:p>
      <w:pPr>
        <w:pStyle w:val="1074"/>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甲方（盖章）：            </w:t>
      </w:r>
      <w:r>
        <w:rPr>
          <w:rFonts w:ascii="宋体" w:hAnsi="宋体"/>
          <w:color w:val="000000"/>
          <w:sz w:val="24"/>
          <w:highlight w:val="none"/>
        </w:rPr>
        <w:t xml:space="preserve">         </w:t>
      </w:r>
      <w:r>
        <w:rPr>
          <w:rFonts w:hint="eastAsia" w:ascii="宋体" w:hAnsi="宋体"/>
          <w:color w:val="000000"/>
          <w:sz w:val="24"/>
          <w:highlight w:val="none"/>
        </w:rPr>
        <w:t xml:space="preserve">乙方（盖章）：</w:t>
      </w:r>
      <w:r>
        <w:rPr>
          <w:rFonts w:hint="eastAsia" w:ascii="宋体" w:hAnsi="宋体"/>
          <w:color w:val="000000"/>
          <w:sz w:val="24"/>
          <w:highlight w:val="none"/>
        </w:rPr>
      </w:r>
      <w:r/>
    </w:p>
    <w:p>
      <w:pPr>
        <w:pStyle w:val="1074"/>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日期：    年   月   日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1074"/>
        <w:spacing w:line="360" w:lineRule="auto"/>
        <w:rPr>
          <w:rFonts w:ascii="宋体" w:hAnsi="宋体" w:cs="宋体"/>
          <w:color w:val="000000"/>
          <w:sz w:val="24"/>
          <w:highlight w:val="none"/>
        </w:rPr>
      </w:pPr>
      <w:r>
        <w:rPr>
          <w:rFonts w:ascii="宋体" w:hAnsi="宋体" w:cs="宋体"/>
          <w:color w:val="000000"/>
          <w:sz w:val="24"/>
          <w:highlight w:val="none"/>
        </w:rPr>
      </w:r>
      <w:r/>
    </w:p>
    <w:p>
      <w:pPr>
        <w:pStyle w:val="107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4"/>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2" w:name="_Toc99301426"/>
      <w:r>
        <w:rPr>
          <w:rFonts w:ascii="宋体" w:hAnsi="宋体"/>
          <w:b/>
          <w:color w:val="000000"/>
          <w:sz w:val="36"/>
          <w:szCs w:val="36"/>
          <w:highlight w:val="none"/>
        </w:rPr>
        <w:t xml:space="preserve">第七章   投标文件格式</w:t>
      </w:r>
      <w:bookmarkEnd w:id="822"/>
      <w:r>
        <w:rPr>
          <w:rFonts w:ascii="宋体" w:hAnsi="宋体"/>
          <w:b/>
          <w:color w:val="000000"/>
          <w:sz w:val="36"/>
          <w:szCs w:val="36"/>
          <w:highlight w:val="none"/>
        </w:rPr>
      </w:r>
      <w:r/>
    </w:p>
    <w:p>
      <w:pPr>
        <w:pStyle w:val="1074"/>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4"/>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4"/>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4"/>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4"/>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4"/>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4"/>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4"/>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4"/>
        <w:jc w:val="left"/>
        <w:keepLines/>
        <w:keepNext/>
        <w:spacing w:before="120" w:line="300" w:lineRule="auto"/>
        <w:rPr>
          <w:rFonts w:ascii="宋体" w:hAnsi="宋体"/>
          <w:b/>
          <w:color w:val="000000"/>
          <w:sz w:val="30"/>
          <w:szCs w:val="20"/>
          <w:highlight w:val="none"/>
        </w:rPr>
        <w:outlineLvl w:val="1"/>
      </w:pPr>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4"/>
        <w:rPr>
          <w:rFonts w:ascii="宋体" w:hAnsi="宋体"/>
          <w:b/>
          <w:color w:val="000000"/>
          <w:spacing w:val="20"/>
          <w:szCs w:val="21"/>
          <w:highlight w:val="none"/>
        </w:rPr>
      </w:pPr>
      <w:r>
        <w:rPr>
          <w:rFonts w:ascii="宋体" w:hAnsi="宋体"/>
          <w:b/>
          <w:color w:val="000000"/>
          <w:spacing w:val="20"/>
          <w:szCs w:val="21"/>
          <w:highlight w:val="none"/>
        </w:rPr>
      </w:r>
      <w:r/>
    </w:p>
    <w:p>
      <w:pPr>
        <w:pStyle w:val="1074"/>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4"/>
        <w:jc w:val="center"/>
        <w:rPr>
          <w:rFonts w:ascii="宋体" w:hAnsi="宋体"/>
          <w:color w:val="000000"/>
          <w:szCs w:val="21"/>
          <w:highlight w:val="none"/>
        </w:rPr>
      </w:pPr>
      <w:r>
        <w:rPr>
          <w:rFonts w:ascii="宋体" w:hAnsi="宋体"/>
          <w:color w:val="000000"/>
          <w:szCs w:val="21"/>
          <w:highlight w:val="none"/>
        </w:rPr>
      </w:r>
      <w:r/>
    </w:p>
    <w:p>
      <w:pPr>
        <w:pStyle w:val="1074"/>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4"/>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4"/>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4"/>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4"/>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4"/>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4"/>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4"/>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4"/>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4"/>
        <w:jc w:val="center"/>
        <w:rPr>
          <w:rFonts w:ascii="宋体" w:hAnsi="宋体"/>
          <w:b/>
          <w:color w:val="000000"/>
          <w:sz w:val="32"/>
          <w:szCs w:val="32"/>
          <w:highlight w:val="none"/>
        </w:rPr>
      </w:pPr>
      <w:r>
        <w:rPr>
          <w:rFonts w:ascii="宋体" w:hAnsi="宋体"/>
          <w:b/>
          <w:color w:val="000000"/>
          <w:sz w:val="32"/>
          <w:szCs w:val="32"/>
          <w:highlight w:val="none"/>
        </w:rPr>
      </w:r>
      <w:r/>
    </w:p>
    <w:p>
      <w:pPr>
        <w:pStyle w:val="1074"/>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4"/>
        <w:rPr>
          <w:rFonts w:ascii="宋体" w:hAnsi="宋体"/>
          <w:b/>
          <w:color w:val="000000"/>
          <w:highlight w:val="none"/>
        </w:rPr>
      </w:pPr>
      <w:r>
        <w:rPr>
          <w:rFonts w:ascii="宋体" w:hAnsi="宋体"/>
          <w:b/>
          <w:color w:val="000000"/>
          <w:highlight w:val="none"/>
        </w:rPr>
      </w:r>
      <w:r/>
    </w:p>
    <w:p>
      <w:pPr>
        <w:pStyle w:val="1074"/>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7"/>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4"/>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4"/>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8"/>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088"/>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088"/>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4"/>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4"/>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4"/>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4"/>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4"/>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4"/>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4"/>
        <w:spacing w:line="360" w:lineRule="auto"/>
        <w:rPr>
          <w:rFonts w:ascii="宋体" w:hAnsi="宋体"/>
          <w:color w:val="000000"/>
          <w:sz w:val="24"/>
          <w:szCs w:val="20"/>
          <w:highlight w:val="none"/>
        </w:rPr>
        <w:outlineLvl w:val="2"/>
      </w:pPr>
      <w:r>
        <w:rPr>
          <w:rFonts w:ascii="宋体" w:hAnsi="宋体"/>
          <w:b/>
          <w:color w:val="000000"/>
          <w:sz w:val="24"/>
          <w:szCs w:val="20"/>
          <w:highlight w:val="none"/>
        </w:rPr>
        <w:t xml:space="preserve">2-1中小企业声明函</w:t>
      </w:r>
      <w:r>
        <w:rPr>
          <w:rFonts w:ascii="宋体" w:hAnsi="宋体"/>
          <w:color w:val="000000"/>
          <w:sz w:val="24"/>
          <w:szCs w:val="20"/>
          <w:highlight w:val="none"/>
        </w:rPr>
      </w:r>
      <w:r/>
    </w:p>
    <w:p>
      <w:pPr>
        <w:pStyle w:val="1074"/>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4"/>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p>
      <w:pPr>
        <w:pStyle w:val="1074"/>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（1）如本项目（包）不专门面向中小企业预留采购份额，</w:t>
      </w:r>
      <w:r>
        <w:rPr>
          <w:rFonts w:hint="eastAsia" w:ascii="宋体" w:hAnsi="宋体"/>
          <w:color w:val="000000"/>
          <w:sz w:val="24"/>
          <w:highlight w:val="none"/>
        </w:rPr>
        <w:t xml:space="preserve">资格证明文件部分</w:t>
      </w:r>
      <w:r>
        <w:rPr>
          <w:rFonts w:ascii="宋体" w:hAnsi="宋体"/>
          <w:color w:val="000000"/>
          <w:sz w:val="24"/>
          <w:highlight w:val="none"/>
        </w:rPr>
        <w:t xml:space="preserve">无需提供《中小企业声明函》。</w:t>
      </w:r>
      <w:r>
        <w:rPr>
          <w:rFonts w:ascii="宋体" w:hAnsi="宋体"/>
          <w:color w:val="000000"/>
          <w:sz w:val="24"/>
          <w:highlight w:val="none"/>
        </w:rPr>
      </w:r>
      <w:r/>
    </w:p>
    <w:p>
      <w:pPr>
        <w:pStyle w:val="1074"/>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（2）如本项目（包）专门面向中小/小微企业采购，须提供《中小企业声明函》</w:t>
      </w:r>
      <w:r>
        <w:rPr>
          <w:rFonts w:ascii="宋体" w:hAnsi="宋体"/>
          <w:color w:val="000000"/>
          <w:sz w:val="24"/>
          <w:szCs w:val="20"/>
          <w:highlight w:val="none"/>
        </w:rPr>
        <w:t xml:space="preserve">（实质性格式）</w:t>
      </w:r>
      <w:r>
        <w:rPr>
          <w:rFonts w:ascii="宋体" w:hAnsi="宋体"/>
          <w:color w:val="000000"/>
          <w:sz w:val="24"/>
          <w:highlight w:val="none"/>
        </w:rPr>
        <w:t xml:space="preserve">。</w:t>
      </w:r>
      <w:r>
        <w:rPr>
          <w:rFonts w:ascii="宋体" w:hAnsi="宋体"/>
          <w:color w:val="000000"/>
          <w:sz w:val="24"/>
          <w:highlight w:val="none"/>
        </w:rPr>
      </w:r>
      <w:r/>
    </w:p>
    <w:p>
      <w:pPr>
        <w:pStyle w:val="1074"/>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宋体" w:hAnsi="宋体"/>
          <w:color w:val="000000"/>
          <w:sz w:val="24"/>
          <w:highlight w:val="none"/>
        </w:rPr>
      </w:r>
      <w:r/>
    </w:p>
    <w:p>
      <w:pPr>
        <w:pStyle w:val="107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（4）其他</w:t>
      </w:r>
      <w:r>
        <w:rPr>
          <w:rFonts w:ascii="宋体" w:hAnsi="宋体"/>
          <w:color w:val="000000"/>
          <w:sz w:val="24"/>
          <w:highlight w:val="none"/>
        </w:rPr>
      </w:r>
      <w:r/>
    </w:p>
    <w:p>
      <w:pPr>
        <w:pStyle w:val="107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1）中小企业参加政府采购活动，应当出具此格式文件。《中小企业声明函》由参加政府采购活动的投标人出具。联合体投标的，《中小企业声明函》由牵头人出具。</w:t>
      </w:r>
      <w:r>
        <w:rPr>
          <w:rFonts w:ascii="宋体" w:hAnsi="宋体"/>
          <w:color w:val="000000"/>
          <w:sz w:val="24"/>
          <w:highlight w:val="none"/>
        </w:rPr>
      </w:r>
      <w:r/>
    </w:p>
    <w:p>
      <w:pPr>
        <w:pStyle w:val="107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ascii="宋体" w:hAnsi="宋体"/>
          <w:color w:val="000000"/>
          <w:sz w:val="24"/>
          <w:highlight w:val="none"/>
        </w:rPr>
      </w:r>
      <w:r/>
    </w:p>
    <w:p>
      <w:pPr>
        <w:pStyle w:val="1074"/>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color w:val="000000"/>
          <w:sz w:val="24"/>
          <w:highlight w:val="none"/>
        </w:rPr>
      </w:r>
      <w:r/>
    </w:p>
    <w:p>
      <w:pPr>
        <w:pStyle w:val="1074"/>
        <w:spacing w:line="360" w:lineRule="auto"/>
        <w:rPr>
          <w:rFonts w:ascii="宋体" w:hAnsi="宋体"/>
          <w:b/>
          <w:color w:val="000000"/>
          <w:sz w:val="24"/>
          <w:szCs w:val="20"/>
          <w:highlight w:val="none"/>
        </w:rPr>
        <w:outlineLvl w:val="2"/>
      </w:pPr>
      <w:r>
        <w:rPr>
          <w:rFonts w:ascii="宋体" w:hAnsi="宋体"/>
          <w:b/>
          <w:color w:val="000000"/>
          <w:sz w:val="24"/>
          <w:szCs w:val="20"/>
          <w:highlight w:val="none"/>
        </w:rPr>
      </w:r>
      <w:r/>
    </w:p>
    <w:p>
      <w:pPr>
        <w:pStyle w:val="1074"/>
        <w:jc w:val="center"/>
        <w:spacing w:before="240" w:after="240" w:line="360" w:lineRule="auto"/>
        <w:rPr>
          <w:rFonts w:ascii="宋体" w:hAnsi="宋体"/>
          <w:b/>
          <w:bCs/>
          <w:color w:val="000000"/>
          <w:sz w:val="36"/>
          <w:szCs w:val="36"/>
          <w:highlight w:val="none"/>
        </w:rPr>
      </w:pPr>
      <w:r>
        <w:rPr>
          <w:rFonts w:ascii="宋体" w:hAnsi="宋体"/>
          <w:b/>
          <w:color w:val="000000"/>
          <w:sz w:val="24"/>
          <w:szCs w:val="20"/>
          <w:highlight w:val="none"/>
        </w:rPr>
        <w:br w:type="page" w:clear="all"/>
      </w:r>
      <w:r>
        <w:rPr>
          <w:rFonts w:hint="eastAsia" w:ascii="宋体" w:hAnsi="宋体"/>
          <w:b/>
          <w:bCs/>
          <w:color w:val="000000"/>
          <w:sz w:val="36"/>
          <w:szCs w:val="36"/>
          <w:highlight w:val="none"/>
        </w:rPr>
        <w:t xml:space="preserve">中小企业声明函（工程、服务）格式</w:t>
      </w:r>
      <w:r>
        <w:rPr>
          <w:rFonts w:ascii="宋体" w:hAnsi="宋体"/>
          <w:b/>
          <w:bCs/>
          <w:color w:val="000000"/>
          <w:sz w:val="36"/>
          <w:szCs w:val="36"/>
          <w:highlight w:val="none"/>
        </w:rPr>
      </w:r>
      <w:r/>
    </w:p>
    <w:p>
      <w:pPr>
        <w:pStyle w:val="1074"/>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pacing w:val="6"/>
          <w:sz w:val="24"/>
          <w:highlight w:val="none"/>
        </w:rPr>
      </w:r>
      <w:r/>
    </w:p>
    <w:p>
      <w:pPr>
        <w:pStyle w:val="1074"/>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1.</w:t>
      </w:r>
      <w:r>
        <w:rPr>
          <w:rFonts w:ascii="宋体" w:hAnsi="宋体"/>
          <w:color w:val="000000"/>
          <w:spacing w:val="6"/>
          <w:sz w:val="24"/>
          <w:highlight w:val="none"/>
          <w:u w:val="single"/>
        </w:rPr>
        <w:t xml:space="preserve">（标的名称）</w:t>
      </w:r>
      <w:r>
        <w:rPr>
          <w:rFonts w:ascii="宋体" w:hAnsi="宋体"/>
          <w:color w:val="000000"/>
          <w:spacing w:val="6"/>
          <w:sz w:val="24"/>
          <w:highlight w:val="none"/>
        </w:rPr>
        <w:t xml:space="preserve">，属于</w:t>
      </w:r>
      <w:r>
        <w:rPr>
          <w:rFonts w:ascii="宋体" w:hAnsi="宋体"/>
          <w:color w:val="000000"/>
          <w:spacing w:val="6"/>
          <w:sz w:val="24"/>
          <w:highlight w:val="none"/>
          <w:u w:val="single"/>
        </w:rPr>
        <w:t xml:space="preserve">（采购文件中明确的所属行业）</w:t>
      </w:r>
      <w:r>
        <w:rPr>
          <w:rFonts w:ascii="宋体" w:hAnsi="宋体"/>
          <w:color w:val="000000"/>
          <w:spacing w:val="6"/>
          <w:sz w:val="24"/>
          <w:highlight w:val="none"/>
        </w:rPr>
        <w:t xml:space="preserve">行业；承建（承接）企业为</w:t>
      </w:r>
      <w:r>
        <w:rPr>
          <w:rFonts w:ascii="宋体" w:hAnsi="宋体"/>
          <w:color w:val="000000"/>
          <w:spacing w:val="6"/>
          <w:sz w:val="24"/>
          <w:highlight w:val="none"/>
          <w:u w:val="single"/>
        </w:rPr>
        <w:t xml:space="preserve">（企业名称）</w:t>
      </w:r>
      <w:r>
        <w:rPr>
          <w:rFonts w:ascii="宋体" w:hAnsi="宋体"/>
          <w:color w:val="000000"/>
          <w:spacing w:val="6"/>
          <w:sz w:val="24"/>
          <w:highlight w:val="none"/>
        </w:rPr>
        <w:t xml:space="preserve">，从业人员______人，营业收入为______万元，资产总额为______万元</w:t>
      </w:r>
      <w:r>
        <w:rPr>
          <w:rFonts w:ascii="宋体" w:hAnsi="宋体"/>
          <w:color w:val="000000"/>
          <w:spacing w:val="6"/>
          <w:sz w:val="24"/>
          <w:highlight w:val="none"/>
          <w:vertAlign w:val="superscript"/>
        </w:rPr>
        <w:t xml:space="preserve">1</w:t>
      </w:r>
      <w:r>
        <w:rPr>
          <w:rFonts w:ascii="宋体" w:hAnsi="宋体"/>
          <w:color w:val="000000"/>
          <w:spacing w:val="6"/>
          <w:sz w:val="24"/>
          <w:highlight w:val="none"/>
        </w:rPr>
        <w:t xml:space="preserve">，属于（中型企业、小型企业、微型企业）；</w:t>
      </w:r>
      <w:r>
        <w:rPr>
          <w:rFonts w:ascii="宋体" w:hAnsi="宋体"/>
          <w:color w:val="000000"/>
          <w:spacing w:val="6"/>
          <w:sz w:val="24"/>
          <w:highlight w:val="none"/>
        </w:rPr>
      </w:r>
      <w:r/>
    </w:p>
    <w:p>
      <w:pPr>
        <w:pStyle w:val="1074"/>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2.</w:t>
      </w:r>
      <w:r>
        <w:rPr>
          <w:rFonts w:ascii="宋体" w:hAnsi="宋体"/>
          <w:color w:val="000000"/>
          <w:spacing w:val="6"/>
          <w:sz w:val="24"/>
          <w:highlight w:val="none"/>
          <w:u w:val="single"/>
        </w:rPr>
        <w:t xml:space="preserve">（标的名称）</w:t>
      </w:r>
      <w:r>
        <w:rPr>
          <w:rFonts w:ascii="宋体" w:hAnsi="宋体"/>
          <w:color w:val="000000"/>
          <w:spacing w:val="6"/>
          <w:sz w:val="24"/>
          <w:highlight w:val="none"/>
        </w:rPr>
        <w:t xml:space="preserve">，属于</w:t>
      </w:r>
      <w:r>
        <w:rPr>
          <w:rFonts w:ascii="宋体" w:hAnsi="宋体"/>
          <w:color w:val="000000"/>
          <w:spacing w:val="6"/>
          <w:sz w:val="24"/>
          <w:highlight w:val="none"/>
          <w:u w:val="single"/>
        </w:rPr>
        <w:t xml:space="preserve">（采购文件中明确的所属行业）</w:t>
      </w:r>
      <w:r>
        <w:rPr>
          <w:rFonts w:ascii="宋体" w:hAnsi="宋体"/>
          <w:color w:val="000000"/>
          <w:spacing w:val="6"/>
          <w:sz w:val="24"/>
          <w:highlight w:val="none"/>
        </w:rPr>
        <w:t xml:space="preserve">行业；承建（承接）企业为</w:t>
      </w:r>
      <w:r>
        <w:rPr>
          <w:rFonts w:ascii="宋体" w:hAnsi="宋体"/>
          <w:color w:val="000000"/>
          <w:spacing w:val="6"/>
          <w:sz w:val="24"/>
          <w:highlight w:val="none"/>
          <w:u w:val="single"/>
        </w:rPr>
        <w:t xml:space="preserve">（企业名称）</w:t>
      </w:r>
      <w:r>
        <w:rPr>
          <w:rFonts w:ascii="宋体" w:hAnsi="宋体"/>
          <w:color w:val="000000"/>
          <w:spacing w:val="6"/>
          <w:sz w:val="24"/>
          <w:highlight w:val="none"/>
        </w:rPr>
        <w:t xml:space="preserve">，从业人员______人，营业收入为______万元，资产总额为______万元，属于</w:t>
      </w:r>
      <w:r>
        <w:rPr>
          <w:rFonts w:ascii="宋体" w:hAnsi="宋体"/>
          <w:color w:val="000000"/>
          <w:spacing w:val="6"/>
          <w:sz w:val="24"/>
          <w:highlight w:val="none"/>
          <w:u w:val="single"/>
        </w:rPr>
        <w:t xml:space="preserve">（中型企业、小型企业、微型企业）</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4"/>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4"/>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4"/>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以上企业，不属于大企业的分支机构，不存在控股股东为大企业的情形，也不存在与大企业的负责人为同一人的情形。</w:t>
      </w:r>
      <w:r>
        <w:rPr>
          <w:rFonts w:ascii="宋体" w:hAnsi="宋体"/>
          <w:color w:val="000000"/>
          <w:spacing w:val="6"/>
          <w:sz w:val="24"/>
          <w:highlight w:val="none"/>
        </w:rPr>
      </w:r>
      <w:r/>
    </w:p>
    <w:p>
      <w:pPr>
        <w:pStyle w:val="1074"/>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本企业对上述声明内容的真实性负责。如有虚假，将依法承担相应责任。</w:t>
      </w:r>
      <w:r>
        <w:rPr>
          <w:rFonts w:ascii="宋体" w:hAnsi="宋体"/>
          <w:color w:val="000000"/>
          <w:spacing w:val="6"/>
          <w:sz w:val="24"/>
          <w:highlight w:val="none"/>
        </w:rPr>
      </w:r>
      <w:r/>
    </w:p>
    <w:p>
      <w:pPr>
        <w:pStyle w:val="1074"/>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4"/>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4"/>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4"/>
        <w:jc w:val="left"/>
        <w:rPr>
          <w:rFonts w:ascii="宋体" w:hAnsi="宋体"/>
          <w:color w:val="000000"/>
          <w:sz w:val="24"/>
          <w:szCs w:val="21"/>
          <w:highlight w:val="none"/>
        </w:rPr>
      </w:pPr>
      <w:r>
        <w:rPr>
          <w:rFonts w:ascii="宋体" w:hAnsi="宋体"/>
          <w:color w:val="000000"/>
          <w:sz w:val="24"/>
          <w:szCs w:val="21"/>
          <w:highlight w:val="none"/>
        </w:rPr>
      </w:r>
      <w:r/>
    </w:p>
    <w:p>
      <w:pPr>
        <w:pStyle w:val="1074"/>
        <w:jc w:val="left"/>
        <w:rPr>
          <w:rFonts w:ascii="宋体" w:hAnsi="宋体"/>
          <w:color w:val="000000"/>
          <w:sz w:val="24"/>
          <w:szCs w:val="21"/>
          <w:highlight w:val="none"/>
        </w:rPr>
      </w:pPr>
      <w:r>
        <w:rPr>
          <w:rFonts w:ascii="宋体" w:hAnsi="宋体"/>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4"/>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4"/>
        <w:jc w:val="left"/>
        <w:rPr>
          <w:rFonts w:ascii="宋体" w:hAnsi="宋体"/>
          <w:color w:val="000000"/>
          <w:szCs w:val="21"/>
          <w:highlight w:val="none"/>
          <w:vertAlign w:val="superscript"/>
        </w:rPr>
      </w:pPr>
      <w:r>
        <w:rPr>
          <w:rFonts w:ascii="宋体" w:hAnsi="宋体"/>
          <w:color w:val="000000"/>
          <w:szCs w:val="21"/>
          <w:highlight w:val="none"/>
          <w:vertAlign w:val="superscript"/>
        </w:rPr>
      </w:r>
      <w:r/>
    </w:p>
    <w:p>
      <w:pPr>
        <w:pStyle w:val="1074"/>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4"/>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4"/>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074"/>
        <w:jc w:val="center"/>
        <w:spacing w:before="240" w:after="240" w:line="360" w:lineRule="auto"/>
        <w:rPr>
          <w:rFonts w:ascii="宋体" w:hAnsi="宋体"/>
          <w:b/>
          <w:color w:val="000000"/>
          <w:sz w:val="36"/>
          <w:szCs w:val="36"/>
          <w:highlight w:val="none"/>
        </w:rPr>
      </w:pPr>
      <w:r>
        <w:rPr>
          <w:rFonts w:hint="eastAsia" w:ascii="宋体" w:hAnsi="宋体"/>
          <w:b/>
          <w:bCs/>
          <w:color w:val="000000"/>
          <w:sz w:val="36"/>
          <w:szCs w:val="36"/>
          <w:highlight w:val="none"/>
        </w:rPr>
        <w:t xml:space="preserve">残疾人福利性单位声明函格式</w:t>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4"/>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4"/>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4"/>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4"/>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4"/>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4"/>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4"/>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4"/>
        <w:ind w:right="1560" w:firstLine="504"/>
        <w:jc w:val="center"/>
        <w:spacing w:line="588" w:lineRule="exact"/>
        <w:tabs>
          <w:tab w:val="left" w:pos="4860" w:leader="none"/>
        </w:tabs>
        <w:rPr>
          <w:rFonts w:hint="eastAsia" w:ascii="宋体" w:hAnsi="宋体"/>
          <w:color w:val="000000"/>
          <w:spacing w:val="6"/>
          <w:sz w:val="24"/>
          <w:highlight w:val="none"/>
        </w:rPr>
      </w:pPr>
      <w:r>
        <w:rPr>
          <w:rFonts w:ascii="宋体" w:hAnsi="宋体"/>
          <w:color w:val="000000"/>
          <w:spacing w:val="6"/>
          <w:sz w:val="24"/>
          <w:highlight w:val="none"/>
        </w:rPr>
        <w:t xml:space="preserve">       日  期：</w:t>
      </w:r>
      <w:r>
        <w:rPr>
          <w:rFonts w:hint="eastAsia" w:ascii="宋体" w:hAnsi="宋体"/>
          <w:color w:val="000000"/>
          <w:spacing w:val="6"/>
          <w:sz w:val="24"/>
          <w:highlight w:val="none"/>
        </w:rPr>
      </w:r>
      <w:r/>
    </w:p>
    <w:p>
      <w:pPr>
        <w:pStyle w:val="1074"/>
        <w:ind w:right="1560" w:firstLine="504"/>
        <w:jc w:val="center"/>
        <w:spacing w:line="588" w:lineRule="exact"/>
        <w:tabs>
          <w:tab w:val="left" w:pos="4860" w:leader="none"/>
        </w:tabs>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1074"/>
        <w:ind w:right="1560" w:firstLine="504"/>
        <w:jc w:val="center"/>
        <w:spacing w:line="588" w:lineRule="exact"/>
        <w:tabs>
          <w:tab w:val="left" w:pos="4860" w:leader="none"/>
        </w:tabs>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1074"/>
        <w:ind w:right="1560" w:firstLine="504"/>
        <w:jc w:val="center"/>
        <w:spacing w:line="588" w:lineRule="exact"/>
        <w:tabs>
          <w:tab w:val="left" w:pos="4860" w:leader="none"/>
        </w:tabs>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1074"/>
        <w:spacing w:line="360" w:lineRule="auto"/>
        <w:rPr>
          <w:rFonts w:ascii="宋体" w:hAnsi="宋体"/>
          <w:b/>
          <w:color w:val="000000"/>
          <w:sz w:val="24"/>
          <w:szCs w:val="20"/>
          <w:highlight w:val="none"/>
        </w:rPr>
        <w:outlineLvl w:val="2"/>
      </w:pPr>
      <w:r>
        <w:rPr>
          <w:rFonts w:ascii="宋体" w:hAnsi="宋体"/>
          <w:b/>
          <w:color w:val="000000"/>
          <w:sz w:val="24"/>
          <w:szCs w:val="20"/>
          <w:highlight w:val="none"/>
        </w:rPr>
        <w:br w:type="page" w:clear="all"/>
      </w:r>
      <w:r>
        <w:rPr>
          <w:rFonts w:ascii="宋体" w:hAnsi="宋体"/>
          <w:b/>
          <w:color w:val="000000"/>
          <w:sz w:val="24"/>
          <w:szCs w:val="20"/>
          <w:highlight w:val="none"/>
        </w:rPr>
        <w:t xml:space="preserve">2-3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4"/>
        <w:jc w:val="left"/>
        <w:widowControl/>
        <w:rPr>
          <w:rFonts w:ascii="宋体" w:hAnsi="宋体"/>
          <w:color w:val="000000"/>
          <w:sz w:val="24"/>
          <w:highlight w:val="none"/>
        </w:rPr>
      </w:pPr>
      <w:r>
        <w:rPr>
          <w:rFonts w:ascii="宋体" w:hAnsi="宋体"/>
          <w:color w:val="000000"/>
          <w:sz w:val="24"/>
          <w:highlight w:val="none"/>
        </w:rPr>
      </w:r>
      <w:r/>
    </w:p>
    <w:p>
      <w:pPr>
        <w:pStyle w:val="1074"/>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4"/>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3-2其他特定资格要求</w:t>
      </w:r>
      <w:r>
        <w:rPr>
          <w:rFonts w:hint="eastAsia" w:ascii="宋体" w:hAnsi="宋体"/>
          <w:b/>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23" w:name="_Toc127151556"/>
      <w:r/>
      <w:bookmarkStart w:id="824" w:name="_Toc480942349"/>
      <w:r/>
      <w:bookmarkStart w:id="825" w:name="_Ref467988698"/>
      <w:r/>
      <w:bookmarkStart w:id="826" w:name="_Toc226965746"/>
      <w:r/>
      <w:bookmarkStart w:id="827" w:name="_Toc520356217"/>
      <w:r/>
      <w:bookmarkStart w:id="828" w:name="_Toc142311058"/>
      <w:r/>
      <w:bookmarkStart w:id="829" w:name="_Toc150480794"/>
      <w:r/>
      <w:bookmarkStart w:id="830" w:name="_Toc226965829"/>
      <w:r/>
      <w:bookmarkStart w:id="831" w:name="_Toc150774761"/>
      <w:r/>
      <w:bookmarkStart w:id="832" w:name="_Toc226337252"/>
      <w:r/>
      <w:bookmarkStart w:id="833" w:name="_Toc226309800"/>
      <w:r/>
      <w:bookmarkStart w:id="834" w:name="_Toc195842921"/>
      <w:r>
        <w:rPr>
          <w:rFonts w:hint="eastAsia" w:ascii="宋体" w:hAnsi="宋体"/>
          <w:b/>
          <w:color w:val="000000"/>
          <w:sz w:val="32"/>
          <w:szCs w:val="32"/>
          <w:highlight w:val="none"/>
        </w:rPr>
      </w:r>
      <w:r/>
    </w:p>
    <w:p>
      <w:pPr>
        <w:pStyle w:val="1074"/>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4"/>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4"/>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4"/>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4"/>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4"/>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4"/>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4"/>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4"/>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4"/>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4"/>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74"/>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4"/>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4"/>
        <w:jc w:val="left"/>
        <w:widowControl/>
        <w:rPr>
          <w:rFonts w:hint="eastAsia" w:ascii="宋体" w:hAnsi="宋体"/>
          <w:b/>
          <w:color w:val="000000"/>
          <w:sz w:val="24"/>
          <w:highlight w:val="none"/>
        </w:rPr>
      </w:pPr>
      <w:r/>
      <w:bookmarkStart w:id="835" w:name="_Hlt520356243"/>
      <w:r/>
      <w:bookmarkEnd w:id="835"/>
      <w:r/>
      <w:bookmarkStart w:id="836" w:name="_Hlt520355938"/>
      <w:r/>
      <w:bookmarkEnd w:id="836"/>
      <w:r>
        <w:rPr>
          <w:rFonts w:ascii="宋体" w:hAnsi="宋体"/>
          <w:color w:val="000000"/>
          <w:sz w:val="24"/>
          <w:highlight w:val="none"/>
        </w:rPr>
        <w:br w:type="page" w:clear="all"/>
      </w:r>
      <w:r>
        <w:rPr>
          <w:rFonts w:hint="eastAsia" w:ascii="宋体" w:hAnsi="宋体"/>
          <w:b/>
          <w:color w:val="000000"/>
          <w:sz w:val="24"/>
          <w:highlight w:val="none"/>
        </w:rPr>
      </w:r>
      <w:r/>
    </w:p>
    <w:p>
      <w:pPr>
        <w:pStyle w:val="1074"/>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ascii="宋体" w:hAnsi="宋体"/>
          <w:color w:val="000000"/>
          <w:sz w:val="24"/>
          <w:highlight w:val="none"/>
        </w:rPr>
      </w:r>
      <w:r/>
    </w:p>
    <w:p>
      <w:pPr>
        <w:pStyle w:val="1105"/>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4"/>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4"/>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4"/>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6"/>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4"/>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4"/>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52"/>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4"/>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5"/>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5"/>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4"/>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4"/>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6"/>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4"/>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4"/>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4"/>
        <w:ind w:firstLine="640"/>
        <w:rPr>
          <w:rFonts w:ascii="宋体" w:hAnsi="宋体"/>
          <w:color w:val="000000"/>
          <w:highlight w:val="none"/>
        </w:rPr>
      </w:pPr>
      <w:r>
        <w:rPr>
          <w:rFonts w:ascii="宋体" w:hAnsi="宋体"/>
          <w:color w:val="000000"/>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21"/>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bookmarkStart w:id="837" w:name="_Hlt520274065"/>
      <w:r/>
      <w:bookmarkEnd w:id="837"/>
      <w:r/>
      <w:bookmarkStart w:id="838" w:name="_Hlt520274121"/>
      <w:r/>
      <w:bookmarkEnd w:id="838"/>
      <w:r/>
      <w:bookmarkStart w:id="839" w:name="_Hlt520350918"/>
      <w:r/>
      <w:bookmarkEnd w:id="839"/>
      <w:r/>
      <w:bookmarkStart w:id="840" w:name="_Hlt520274393"/>
      <w:r/>
      <w:bookmarkEnd w:id="840"/>
      <w:r/>
      <w:bookmarkStart w:id="841" w:name="_Hlt520343392"/>
      <w:r/>
      <w:bookmarkEnd w:id="841"/>
      <w:r/>
      <w:bookmarkStart w:id="842" w:name="_Hlt520273711"/>
      <w:r/>
      <w:bookmarkEnd w:id="842"/>
      <w:r/>
      <w:bookmarkStart w:id="843" w:name="_Hlt520343000"/>
      <w:r/>
      <w:bookmarkEnd w:id="843"/>
      <w:r/>
      <w:bookmarkStart w:id="844" w:name="_Hlt520274407"/>
      <w:r/>
      <w:bookmarkEnd w:id="844"/>
      <w:r/>
      <w:bookmarkStart w:id="845" w:name="_Hlt520355504"/>
      <w:r/>
      <w:bookmarkEnd w:id="845"/>
      <w:r/>
      <w:bookmarkStart w:id="846" w:name="_Hlt520271212"/>
      <w:r/>
      <w:bookmarkEnd w:id="846"/>
      <w:r/>
      <w:bookmarkStart w:id="847" w:name="_Toc226965830"/>
      <w:r/>
      <w:bookmarkStart w:id="848" w:name="_Toc520356218"/>
      <w:r/>
      <w:bookmarkStart w:id="849" w:name="_Toc150480795"/>
      <w:r/>
      <w:bookmarkStart w:id="850" w:name="_Toc305158825"/>
      <w:r/>
      <w:bookmarkStart w:id="851" w:name="_Toc150774762"/>
      <w:r/>
      <w:bookmarkStart w:id="852" w:name="_Toc480942350"/>
      <w:r/>
      <w:bookmarkStart w:id="853" w:name="_Toc264969247"/>
      <w:r/>
      <w:bookmarkStart w:id="854" w:name="_Toc142311059"/>
      <w:r/>
      <w:bookmarkStart w:id="855" w:name="_Toc226965747"/>
      <w:r/>
      <w:bookmarkStart w:id="856" w:name="_Toc195842922"/>
      <w:r/>
      <w:bookmarkStart w:id="857" w:name="_Toc226337253"/>
      <w:r/>
      <w:bookmarkStart w:id="858" w:name="_Ref467988705"/>
      <w:r/>
      <w:bookmarkStart w:id="859" w:name="_Toc226309801"/>
      <w:r/>
      <w:bookmarkStart w:id="860" w:name="_Toc127151557"/>
      <w:r/>
      <w:bookmarkStart w:id="861" w:name="_Toc265228395"/>
      <w:r/>
      <w:bookmarkStart w:id="862" w:name="_Toc305158899"/>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4"/>
        <w:jc w:val="center"/>
        <w:spacing w:line="360" w:lineRule="exact"/>
        <w:rPr>
          <w:rFonts w:ascii="宋体" w:hAnsi="宋体"/>
          <w:b/>
          <w:color w:val="000000"/>
          <w:sz w:val="36"/>
          <w:szCs w:val="36"/>
          <w:highlight w:val="none"/>
        </w:rPr>
      </w:pPr>
      <w:r/>
      <w:bookmarkStart w:id="863" w:name="_Toc164608827"/>
      <w:r/>
      <w:bookmarkStart w:id="864" w:name="_Toc164608672"/>
      <w:r/>
      <w:bookmarkStart w:id="865" w:name="_Toc305158900"/>
      <w:r/>
      <w:bookmarkStart w:id="866" w:name="_Toc264969248"/>
      <w:r/>
      <w:bookmarkStart w:id="867" w:name="_Toc226965748"/>
      <w:r/>
      <w:bookmarkStart w:id="868" w:name="_Toc195842923"/>
      <w:r/>
      <w:bookmarkStart w:id="869" w:name="_Toc265228396"/>
      <w:r/>
      <w:bookmarkStart w:id="870" w:name="_Toc305158826"/>
      <w:r/>
      <w:bookmarkStart w:id="871" w:name="_Toc226337254"/>
      <w:r/>
      <w:bookmarkStart w:id="872" w:name="_Toc226309802"/>
      <w:r/>
      <w:bookmarkStart w:id="873" w:name="_Toc226965831"/>
      <w:r>
        <w:rPr>
          <w:rFonts w:hint="eastAsia" w:ascii="宋体" w:hAnsi="宋体"/>
          <w:b/>
          <w:color w:val="000000"/>
          <w:sz w:val="36"/>
          <w:szCs w:val="36"/>
          <w:highlight w:val="none"/>
        </w:rPr>
        <w:t xml:space="preserve">开标一览表</w:t>
      </w:r>
      <w:bookmarkEnd w:id="863"/>
      <w:r/>
      <w:bookmarkEnd w:id="864"/>
      <w:r/>
      <w:bookmarkEnd w:id="865"/>
      <w:r/>
      <w:bookmarkEnd w:id="866"/>
      <w:r/>
      <w:bookmarkEnd w:id="867"/>
      <w:r/>
      <w:bookmarkEnd w:id="868"/>
      <w:r/>
      <w:bookmarkEnd w:id="869"/>
      <w:r/>
      <w:bookmarkEnd w:id="870"/>
      <w:r/>
      <w:bookmarkEnd w:id="871"/>
      <w:r/>
      <w:bookmarkEnd w:id="872"/>
      <w:r/>
      <w:bookmarkEnd w:id="873"/>
      <w:r>
        <w:rPr>
          <w:rFonts w:ascii="宋体" w:hAnsi="宋体"/>
          <w:b/>
          <w:color w:val="000000"/>
          <w:sz w:val="36"/>
          <w:szCs w:val="36"/>
          <w:highlight w:val="none"/>
        </w:rPr>
      </w:r>
      <w:r/>
    </w:p>
    <w:p>
      <w:pPr>
        <w:pStyle w:val="1074"/>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4"/>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4"/>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4"/>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4"/>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hint="eastAsia" w:ascii="宋体" w:hAnsi="宋体"/>
                <w:b/>
                <w:color w:val="000000"/>
                <w:sz w:val="24"/>
                <w:highlight w:val="none"/>
              </w:rPr>
              <w:t xml:space="preserve">（三年总价）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4"/>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4"/>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4"/>
        <w:jc w:val="left"/>
        <w:rPr>
          <w:rFonts w:ascii="宋体" w:hAnsi="宋体"/>
          <w:color w:val="000000"/>
          <w:sz w:val="24"/>
          <w:highlight w:val="none"/>
        </w:rPr>
      </w:pPr>
      <w:r>
        <w:rPr>
          <w:rFonts w:ascii="宋体" w:hAnsi="宋体"/>
          <w:color w:val="000000"/>
          <w:sz w:val="24"/>
          <w:highlight w:val="none"/>
        </w:rPr>
      </w:r>
      <w:r/>
    </w:p>
    <w:p>
      <w:pPr>
        <w:pStyle w:val="1074"/>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4"/>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bookmarkStart w:id="874" w:name="_Toc226965749"/>
      <w:r/>
      <w:bookmarkStart w:id="875" w:name="_Toc265228397"/>
      <w:r/>
      <w:bookmarkStart w:id="876" w:name="_Toc226309803"/>
      <w:r/>
      <w:bookmarkStart w:id="877" w:name="_Toc226337255"/>
      <w:r/>
      <w:bookmarkStart w:id="878" w:name="_Toc226965832"/>
      <w:r/>
      <w:bookmarkStart w:id="879" w:name="_Toc305158901"/>
      <w:r/>
      <w:bookmarkStart w:id="880" w:name="_Toc150480796"/>
      <w:r/>
      <w:bookmarkStart w:id="881" w:name="_Toc305158827"/>
      <w:r/>
      <w:bookmarkStart w:id="882" w:name="_Toc264969249"/>
      <w:r/>
      <w:bookmarkStart w:id="883" w:name="_Toc142311060"/>
      <w:r/>
      <w:bookmarkStart w:id="884" w:name="_Toc150774763"/>
      <w:r/>
      <w:bookmarkStart w:id="885" w:name="_Toc127151558"/>
      <w:r/>
      <w:bookmarkStart w:id="886" w:name="_Toc195842924"/>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4"/>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4"/>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4"/>
        <w:tabs>
          <w:tab w:val="left" w:pos="1800" w:leader="none"/>
          <w:tab w:val="left" w:pos="5580" w:leader="none"/>
        </w:tabs>
        <w:rPr>
          <w:rFonts w:ascii="宋体" w:hAnsi="宋体"/>
          <w:color w:val="000000"/>
          <w:sz w:val="24"/>
          <w:highlight w:val="none"/>
        </w:rPr>
      </w:pPr>
      <w:r/>
      <w:bookmarkStart w:id="887" w:name="_Toc142311062"/>
      <w:r/>
      <w:bookmarkStart w:id="888" w:name="_Toc127151562"/>
      <w:r/>
      <w:bookmarkStart w:id="889" w:name="_Toc264969252"/>
      <w:r/>
      <w:bookmarkStart w:id="890" w:name="_Toc226337258"/>
      <w:r/>
      <w:bookmarkStart w:id="891" w:name="_Toc150774765"/>
      <w:r/>
      <w:bookmarkStart w:id="892" w:name="_Toc226965752"/>
      <w:r/>
      <w:bookmarkStart w:id="893" w:name="_Toc265228400"/>
      <w:r/>
      <w:bookmarkStart w:id="894" w:name="_Toc226309806"/>
      <w:r/>
      <w:bookmarkStart w:id="895" w:name="_Toc226965835"/>
      <w:r/>
      <w:bookmarkStart w:id="896" w:name="_Toc305158830"/>
      <w:r/>
      <w:bookmarkStart w:id="897" w:name="_Toc305158904"/>
      <w:r/>
      <w:bookmarkStart w:id="898" w:name="_Toc195842927"/>
      <w:r/>
      <w:bookmarkStart w:id="899" w:name="_Toc150480798"/>
      <w:r/>
      <w:bookmarkStart w:id="900" w:name="_Toc142311061"/>
      <w:r/>
      <w:bookmarkStart w:id="901" w:name="_Toc150480797"/>
      <w:r/>
      <w:bookmarkStart w:id="902" w:name="_Toc305158829"/>
      <w:r/>
      <w:bookmarkStart w:id="903" w:name="_Toc265228399"/>
      <w:r/>
      <w:bookmarkStart w:id="904" w:name="_Toc226309805"/>
      <w:r/>
      <w:bookmarkStart w:id="905" w:name="_Toc127151561"/>
      <w:r/>
      <w:bookmarkStart w:id="906" w:name="_Toc226965751"/>
      <w:r/>
      <w:bookmarkStart w:id="907" w:name="_Toc226337257"/>
      <w:r/>
      <w:bookmarkStart w:id="908" w:name="_Toc195842926"/>
      <w:r/>
      <w:bookmarkStart w:id="909" w:name="_Toc150774764"/>
      <w:r/>
      <w:bookmarkStart w:id="910" w:name="_Toc226965834"/>
      <w:r/>
      <w:bookmarkStart w:id="911" w:name="_Toc305158903"/>
      <w:r/>
      <w:bookmarkStart w:id="912" w:name="_Toc264969251"/>
      <w:r>
        <w:rPr>
          <w:rFonts w:ascii="宋体" w:hAnsi="宋体"/>
          <w:color w:val="000000"/>
          <w:sz w:val="24"/>
          <w:highlight w:val="none"/>
        </w:rPr>
      </w:r>
      <w:r/>
    </w:p>
    <w:p>
      <w:pPr>
        <w:pStyle w:val="1074"/>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1423" w:type="dxa"/>
            <w:vAlign w:val="center"/>
            <w:vMerge w:val="restart"/>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分项名称</w:t>
            </w:r>
            <w:r>
              <w:rPr>
                <w:rFonts w:ascii="宋体" w:hAnsi="宋体" w:cs="Arial"/>
                <w:color w:val="000000"/>
                <w:sz w:val="24"/>
                <w:highlight w:val="none"/>
              </w:rPr>
            </w:r>
            <w:r/>
          </w:p>
        </w:tc>
        <w:tc>
          <w:tcPr>
            <w:tcW w:w="2533" w:type="dxa"/>
            <w:vAlign w:val="center"/>
            <w:vMerge w:val="restart"/>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服务内容</w:t>
            </w:r>
            <w:r>
              <w:rPr>
                <w:rFonts w:ascii="宋体" w:hAnsi="宋体" w:cs="Arial"/>
                <w:color w:val="000000"/>
                <w:sz w:val="24"/>
                <w:highlight w:val="none"/>
              </w:rPr>
            </w:r>
            <w:r/>
          </w:p>
        </w:tc>
        <w:tc>
          <w:tcPr>
            <w:tcW w:w="1042" w:type="dxa"/>
            <w:vAlign w:val="center"/>
            <w:vMerge w:val="restart"/>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992" w:type="dxa"/>
            <w:vAlign w:val="center"/>
            <w:vMerge w:val="restart"/>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4"/>
              <w:jc w:val="left"/>
              <w:widowControl/>
              <w:rPr>
                <w:rFonts w:ascii="宋体" w:hAnsi="宋体" w:cs="Arial"/>
                <w:color w:val="000000"/>
                <w:sz w:val="24"/>
                <w:highlight w:val="none"/>
              </w:rPr>
            </w:pPr>
            <w:r>
              <w:rPr>
                <w:rFonts w:ascii="宋体" w:hAnsi="宋体" w:cs="Arial"/>
                <w:color w:val="000000"/>
                <w:sz w:val="24"/>
                <w:highlight w:val="none"/>
              </w:rPr>
            </w:r>
            <w:r/>
          </w:p>
        </w:tc>
        <w:tc>
          <w:tcPr>
            <w:tcW w:w="1423" w:type="dxa"/>
            <w:vAlign w:val="center"/>
            <w:vMerge w:val="continue"/>
            <w:textDirection w:val="lrTb"/>
            <w:noWrap w:val="false"/>
          </w:tcPr>
          <w:p>
            <w:pPr>
              <w:pStyle w:val="1074"/>
              <w:jc w:val="left"/>
              <w:widowControl/>
              <w:rPr>
                <w:rFonts w:ascii="宋体" w:hAnsi="宋体" w:cs="Arial"/>
                <w:color w:val="000000"/>
                <w:sz w:val="24"/>
                <w:highlight w:val="none"/>
              </w:rPr>
            </w:pPr>
            <w:r>
              <w:rPr>
                <w:rFonts w:ascii="宋体" w:hAnsi="宋体" w:cs="Arial"/>
                <w:color w:val="000000"/>
                <w:sz w:val="24"/>
                <w:highlight w:val="none"/>
              </w:rPr>
            </w:r>
            <w:r/>
          </w:p>
        </w:tc>
        <w:tc>
          <w:tcPr>
            <w:tcW w:w="2533" w:type="dxa"/>
            <w:vAlign w:val="center"/>
            <w:vMerge w:val="continue"/>
            <w:textDirection w:val="lrTb"/>
            <w:noWrap w:val="false"/>
          </w:tcPr>
          <w:p>
            <w:pPr>
              <w:pStyle w:val="1074"/>
              <w:jc w:val="left"/>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vMerge w:val="continue"/>
            <w:textDirection w:val="lrTb"/>
            <w:noWrap w:val="false"/>
          </w:tcPr>
          <w:p>
            <w:pPr>
              <w:pStyle w:val="1074"/>
              <w:jc w:val="left"/>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vMerge w:val="continue"/>
            <w:textDirection w:val="lrTb"/>
            <w:noWrap w:val="false"/>
          </w:tcPr>
          <w:p>
            <w:pPr>
              <w:pStyle w:val="1074"/>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1423" w:type="dxa"/>
            <w:vAlign w:val="center"/>
            <w:textDirection w:val="lrTb"/>
            <w:noWrap w:val="false"/>
          </w:tcPr>
          <w:p>
            <w:pPr>
              <w:pStyle w:val="1074"/>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1423" w:type="dxa"/>
            <w:vAlign w:val="center"/>
            <w:textDirection w:val="lrTb"/>
            <w:noWrap w:val="false"/>
          </w:tcPr>
          <w:p>
            <w:pPr>
              <w:pStyle w:val="1074"/>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1423" w:type="dxa"/>
            <w:vAlign w:val="center"/>
            <w:textDirection w:val="lrTb"/>
            <w:noWrap w:val="false"/>
          </w:tcPr>
          <w:p>
            <w:pPr>
              <w:pStyle w:val="1074"/>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1423" w:type="dxa"/>
            <w:vAlign w:val="center"/>
            <w:textDirection w:val="lrTb"/>
            <w:noWrap w:val="false"/>
          </w:tcPr>
          <w:p>
            <w:pPr>
              <w:pStyle w:val="1074"/>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1423" w:type="dxa"/>
            <w:vAlign w:val="center"/>
            <w:textDirection w:val="lrTb"/>
            <w:noWrap w:val="false"/>
          </w:tcPr>
          <w:p>
            <w:pPr>
              <w:pStyle w:val="1074"/>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1423" w:type="dxa"/>
            <w:vAlign w:val="center"/>
            <w:textDirection w:val="lrTb"/>
            <w:noWrap w:val="false"/>
          </w:tcPr>
          <w:p>
            <w:pPr>
              <w:pStyle w:val="1074"/>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3"/>
            <w:tcW w:w="4625"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总价</w:t>
            </w:r>
            <w:r>
              <w:rPr>
                <w:rFonts w:ascii="宋体" w:hAnsi="宋体" w:cs="Arial"/>
                <w:color w:val="000000"/>
                <w:sz w:val="24"/>
                <w:highlight w:val="none"/>
              </w:rPr>
            </w:r>
            <w:r/>
          </w:p>
        </w:tc>
        <w:tc>
          <w:tcPr>
            <w:gridSpan w:val="4"/>
            <w:tcW w:w="4025"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1074"/>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4"/>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4"/>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4"/>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4"/>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w:t>
      </w:r>
      <w:r>
        <w:rPr>
          <w:rFonts w:hint="eastAsia" w:ascii="宋体" w:hAnsi="宋体"/>
          <w:color w:val="000000"/>
          <w:sz w:val="24"/>
          <w:highlight w:val="none"/>
        </w:rPr>
        <w:t xml:space="preserve">服务内容如表格中填写不下的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4"/>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4"/>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4"/>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4"/>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4"/>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4"/>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4"/>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bl>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填写“正偏离”或“负偏离”或“无偏离”。</w:t>
      </w:r>
      <w:r>
        <w:rPr>
          <w:rFonts w:ascii="宋体" w:hAnsi="宋体"/>
          <w:color w:val="000000"/>
          <w:sz w:val="24"/>
          <w:highlight w:val="none"/>
        </w:rPr>
      </w:r>
      <w:r/>
    </w:p>
    <w:p>
      <w:pPr>
        <w:pStyle w:val="1074"/>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4"/>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4"/>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4"/>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4"/>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项目采购需求</w:t>
            </w:r>
            <w:r>
              <w:rPr>
                <w:rFonts w:ascii="宋体" w:hAnsi="宋体"/>
                <w:b/>
                <w:color w:val="000000"/>
                <w:sz w:val="24"/>
                <w:highlight w:val="none"/>
              </w:rPr>
              <w:t xml:space="preserve">的偏离情况（请进行勾选）：</w:t>
            </w:r>
            <w:r>
              <w:rPr>
                <w:rFonts w:ascii="宋体" w:hAnsi="宋体"/>
                <w:b/>
                <w:color w:val="000000"/>
                <w:sz w:val="24"/>
                <w:highlight w:val="none"/>
              </w:rPr>
            </w:r>
            <w:r/>
          </w:p>
          <w:p>
            <w:pPr>
              <w:pStyle w:val="1074"/>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4"/>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bl>
    <w:p>
      <w:pPr>
        <w:pStyle w:val="1074"/>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填写“正偏离”或“负偏离”或“无偏离”。</w:t>
      </w: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lang w:val="en-US" w:eastAsia="zh-CN"/>
        </w:rPr>
        <w:t xml:space="preserve">9</w:t>
      </w:r>
      <w:r>
        <w:rPr>
          <w:rFonts w:hint="eastAsia" w:ascii="宋体" w:hAnsi="宋体"/>
          <w:b/>
          <w:color w:val="000000"/>
          <w:sz w:val="24"/>
          <w:highlight w:val="none"/>
        </w:rPr>
        <w:t xml:space="preserve"> </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4"/>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4"/>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4"/>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4"/>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4"/>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4"/>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4"/>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0</w:t>
      </w:r>
      <w:r>
        <w:rPr>
          <w:rFonts w:hint="eastAsia" w:ascii="宋体" w:hAnsi="宋体"/>
          <w:b/>
          <w:color w:val="000000"/>
          <w:sz w:val="24"/>
          <w:highlight w:val="none"/>
        </w:rPr>
        <w:t xml:space="preserve">  参加本项目人员一览表</w:t>
      </w:r>
      <w:r>
        <w:rPr>
          <w:rFonts w:ascii="宋体" w:hAnsi="宋体"/>
          <w:b/>
          <w:color w:val="000000"/>
          <w:sz w:val="24"/>
          <w:highlight w:val="none"/>
        </w:rPr>
      </w:r>
      <w:r/>
    </w:p>
    <w:p>
      <w:pPr>
        <w:pStyle w:val="107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4"/>
        <w:spacing w:line="360" w:lineRule="auto"/>
        <w:rPr>
          <w:rFonts w:ascii="宋体" w:hAnsi="宋体"/>
          <w:color w:val="000000"/>
          <w:sz w:val="22"/>
          <w:highlight w:val="none"/>
        </w:rPr>
      </w:pPr>
      <w:r>
        <w:rPr>
          <w:rFonts w:ascii="宋体" w:hAnsi="宋体"/>
          <w:color w:val="000000"/>
          <w:sz w:val="22"/>
          <w:highlight w:val="none"/>
        </w:rPr>
      </w:r>
      <w:r/>
    </w:p>
    <w:p>
      <w:pPr>
        <w:pStyle w:val="107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4"/>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4"/>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4"/>
        <w:spacing w:line="360" w:lineRule="auto"/>
        <w:rPr>
          <w:rFonts w:ascii="宋体" w:hAnsi="宋体"/>
          <w:color w:val="000000"/>
          <w:sz w:val="24"/>
          <w:highlight w:val="none"/>
        </w:rPr>
      </w:pPr>
      <w:r>
        <w:rPr>
          <w:rFonts w:ascii="宋体" w:hAnsi="宋体"/>
          <w:color w:val="000000"/>
          <w:sz w:val="24"/>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13" w:name="_Toc288738397"/>
      <w:r/>
      <w:bookmarkStart w:id="914" w:name="_Toc288738839"/>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rPr>
        <w:t xml:space="preserve">  相关业绩案例一览表</w:t>
      </w:r>
      <w:r>
        <w:rPr>
          <w:rFonts w:ascii="宋体" w:hAnsi="宋体"/>
          <w:b/>
          <w:color w:val="000000"/>
          <w:sz w:val="24"/>
          <w:szCs w:val="20"/>
          <w:highlight w:val="none"/>
        </w:rPr>
      </w:r>
      <w:r/>
    </w:p>
    <w:p>
      <w:pPr>
        <w:pStyle w:val="1074"/>
        <w:rPr>
          <w:rFonts w:ascii="宋体" w:hAnsi="宋体"/>
          <w:color w:val="000000"/>
          <w:sz w:val="24"/>
          <w:szCs w:val="20"/>
          <w:highlight w:val="none"/>
        </w:rPr>
      </w:pPr>
      <w:r>
        <w:rPr>
          <w:rFonts w:ascii="宋体" w:hAnsi="宋体"/>
          <w:color w:val="000000"/>
          <w:sz w:val="24"/>
          <w:szCs w:val="20"/>
          <w:highlight w:val="none"/>
        </w:rPr>
      </w:r>
      <w:r/>
    </w:p>
    <w:p>
      <w:pPr>
        <w:pStyle w:val="1074"/>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13"/>
      <w:r/>
      <w:bookmarkEnd w:id="914"/>
      <w:r>
        <w:rPr>
          <w:rFonts w:ascii="宋体" w:hAnsi="宋体"/>
          <w:b/>
          <w:color w:val="000000"/>
          <w:sz w:val="32"/>
          <w:szCs w:val="32"/>
          <w:highlight w:val="none"/>
        </w:rPr>
      </w:r>
      <w:r/>
    </w:p>
    <w:p>
      <w:pPr>
        <w:pStyle w:val="1074"/>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4"/>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4"/>
        <w:spacing w:line="360" w:lineRule="auto"/>
        <w:rPr>
          <w:rFonts w:ascii="宋体" w:hAnsi="宋体" w:cs="宋体"/>
          <w:color w:val="000000"/>
          <w:sz w:val="24"/>
          <w:highlight w:val="none"/>
        </w:rPr>
      </w:pPr>
      <w:r>
        <w:rPr>
          <w:rFonts w:ascii="宋体" w:hAnsi="宋体" w:cs="宋体"/>
          <w:color w:val="000000"/>
          <w:sz w:val="24"/>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74"/>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74"/>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4"/>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4"/>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4"/>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ind w:right="360"/>
      <w:tabs>
        <w:tab w:val="center" w:pos="4153" w:leader="none"/>
        <w:tab w:val="right" w:pos="8306" w:leader="none"/>
      </w:tabs>
      <w:rPr>
        <w:rStyle w:val="1146"/>
      </w:rPr>
      <w:framePr w:wrap="around" w:vAnchor="text" w:hAnchor="margin" w:y="1"/>
    </w:pPr>
    <w:r>
      <w:rPr>
        <w:rStyle w:val="1146"/>
      </w:rPr>
    </w:r>
    <w:r/>
  </w:p>
  <w:p>
    <w:pPr>
      <w:pStyle w:val="1122"/>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center" w:y="1"/>
    </w:pPr>
    <w:r>
      <w:fldChar w:fldCharType="begin"/>
    </w:r>
    <w:r>
      <w:rPr>
        <w:rStyle w:val="1146"/>
      </w:rPr>
      <w:instrText xml:space="preserve">PAGE  </w:instrText>
    </w:r>
    <w:r>
      <w:fldChar w:fldCharType="end"/>
    </w:r>
    <w:r>
      <w:rPr>
        <w:rStyle w:val="1146"/>
      </w:rPr>
    </w:r>
    <w:r/>
  </w:p>
  <w:p>
    <w:pPr>
      <w:pStyle w:val="1122"/>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right" w:y="1"/>
    </w:pPr>
    <w:r>
      <w:rPr>
        <w:rStyle w:val="1146"/>
      </w:rPr>
    </w:r>
    <w:r/>
  </w:p>
  <w:p>
    <w:pPr>
      <w:pStyle w:val="1122"/>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right" w:y="1"/>
    </w:pPr>
    <w:r>
      <w:rPr>
        <w:rStyle w:val="1146"/>
      </w:rPr>
      <w:fldChar w:fldCharType="begin"/>
    </w:r>
    <w:r>
      <w:rPr>
        <w:rStyle w:val="1146"/>
      </w:rPr>
      <w:instrText xml:space="preserve">PAGE  </w:instrText>
    </w:r>
    <w:r>
      <w:rPr>
        <w:rStyle w:val="1146"/>
      </w:rPr>
      <w:fldChar w:fldCharType="end"/>
    </w:r>
    <w:r>
      <w:rPr>
        <w:rStyle w:val="1146"/>
      </w:rPr>
    </w:r>
    <w:r/>
  </w:p>
  <w:p>
    <w:pPr>
      <w:pStyle w:val="1122"/>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right" w:y="1"/>
    </w:pPr>
    <w:r>
      <w:rPr>
        <w:rStyle w:val="1146"/>
      </w:rPr>
      <w:fldChar w:fldCharType="begin"/>
    </w:r>
    <w:r>
      <w:rPr>
        <w:rStyle w:val="1146"/>
      </w:rPr>
      <w:instrText xml:space="preserve">PAGE  </w:instrText>
    </w:r>
    <w:r>
      <w:rPr>
        <w:rStyle w:val="1146"/>
      </w:rPr>
      <w:fldChar w:fldCharType="end"/>
    </w:r>
    <w:r>
      <w:rPr>
        <w:rStyle w:val="1146"/>
      </w:rPr>
    </w:r>
    <w:r/>
  </w:p>
  <w:p>
    <w:pPr>
      <w:pStyle w:val="1122"/>
      <w:ind w:right="360"/>
      <w:tabs>
        <w:tab w:val="center" w:pos="4153" w:leader="none"/>
        <w:tab w:val="right" w:pos="8306" w:leader="none"/>
      </w:tabs>
    </w:pPr>
    <w:r/>
    <w:r/>
  </w:p>
  <w:p>
    <w:pPr>
      <w:pStyle w:val="107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p>
    <w:pPr>
      <w:pStyle w:val="1074"/>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74"/>
        <w:ind w:left="4941" w:hanging="1140"/>
        <w:tabs>
          <w:tab w:val="num" w:pos="4941" w:leader="none"/>
        </w:tabs>
      </w:pPr>
      <w:rPr>
        <w:rFonts w:hint="eastAsia"/>
      </w:rPr>
    </w:lvl>
    <w:lvl w:ilvl="1">
      <w:start w:val="1"/>
      <w:numFmt w:val="lowerLetter"/>
      <w:isLgl w:val="false"/>
      <w:suff w:val="tab"/>
      <w:lvlText w:val="%2)"/>
      <w:lvlJc w:val="left"/>
      <w:pPr>
        <w:pStyle w:val="1074"/>
        <w:ind w:left="4641" w:hanging="420"/>
        <w:tabs>
          <w:tab w:val="num" w:pos="4641" w:leader="none"/>
        </w:tabs>
      </w:pPr>
    </w:lvl>
    <w:lvl w:ilvl="2">
      <w:start w:val="1"/>
      <w:numFmt w:val="lowerRoman"/>
      <w:isLgl w:val="false"/>
      <w:suff w:val="tab"/>
      <w:lvlText w:val="%3."/>
      <w:lvlJc w:val="right"/>
      <w:pPr>
        <w:pStyle w:val="1074"/>
        <w:ind w:left="5061" w:hanging="420"/>
        <w:tabs>
          <w:tab w:val="num" w:pos="5061" w:leader="none"/>
        </w:tabs>
      </w:pPr>
    </w:lvl>
    <w:lvl w:ilvl="3">
      <w:start w:val="1"/>
      <w:numFmt w:val="decimal"/>
      <w:isLgl w:val="false"/>
      <w:suff w:val="tab"/>
      <w:lvlText w:val="%4."/>
      <w:lvlJc w:val="left"/>
      <w:pPr>
        <w:pStyle w:val="1074"/>
        <w:ind w:left="5481" w:hanging="420"/>
        <w:tabs>
          <w:tab w:val="num" w:pos="5481" w:leader="none"/>
        </w:tabs>
      </w:pPr>
    </w:lvl>
    <w:lvl w:ilvl="4">
      <w:start w:val="1"/>
      <w:numFmt w:val="lowerLetter"/>
      <w:isLgl w:val="false"/>
      <w:suff w:val="tab"/>
      <w:lvlText w:val="%5)"/>
      <w:lvlJc w:val="left"/>
      <w:pPr>
        <w:pStyle w:val="1074"/>
        <w:ind w:left="5901" w:hanging="420"/>
        <w:tabs>
          <w:tab w:val="num" w:pos="5901" w:leader="none"/>
        </w:tabs>
      </w:pPr>
    </w:lvl>
    <w:lvl w:ilvl="5">
      <w:start w:val="1"/>
      <w:numFmt w:val="lowerRoman"/>
      <w:isLgl w:val="false"/>
      <w:suff w:val="tab"/>
      <w:lvlText w:val="%6."/>
      <w:lvlJc w:val="right"/>
      <w:pPr>
        <w:pStyle w:val="1074"/>
        <w:ind w:left="6321" w:hanging="420"/>
        <w:tabs>
          <w:tab w:val="num" w:pos="6321" w:leader="none"/>
        </w:tabs>
      </w:pPr>
    </w:lvl>
    <w:lvl w:ilvl="6">
      <w:start w:val="1"/>
      <w:numFmt w:val="decimal"/>
      <w:isLgl w:val="false"/>
      <w:suff w:val="tab"/>
      <w:lvlText w:val="%7."/>
      <w:lvlJc w:val="left"/>
      <w:pPr>
        <w:pStyle w:val="1074"/>
        <w:ind w:left="6741" w:hanging="420"/>
        <w:tabs>
          <w:tab w:val="num" w:pos="6741" w:leader="none"/>
        </w:tabs>
      </w:pPr>
    </w:lvl>
    <w:lvl w:ilvl="7">
      <w:start w:val="1"/>
      <w:numFmt w:val="lowerLetter"/>
      <w:isLgl w:val="false"/>
      <w:suff w:val="tab"/>
      <w:lvlText w:val="%8)"/>
      <w:lvlJc w:val="left"/>
      <w:pPr>
        <w:pStyle w:val="1074"/>
        <w:ind w:left="7161" w:hanging="420"/>
        <w:tabs>
          <w:tab w:val="num" w:pos="7161" w:leader="none"/>
        </w:tabs>
      </w:pPr>
    </w:lvl>
    <w:lvl w:ilvl="8">
      <w:start w:val="1"/>
      <w:numFmt w:val="lowerRoman"/>
      <w:isLgl w:val="false"/>
      <w:suff w:val="tab"/>
      <w:lvlText w:val="%9."/>
      <w:lvlJc w:val="right"/>
      <w:pPr>
        <w:pStyle w:val="1074"/>
        <w:ind w:left="7581" w:hanging="420"/>
        <w:tabs>
          <w:tab w:val="num" w:pos="7581" w:leader="none"/>
        </w:tabs>
      </w:pPr>
    </w:lvl>
  </w:abstractNum>
  <w:abstractNum w:abstractNumId="2">
    <w:multiLevelType w:val="hybridMultilevel"/>
    <w:lvl w:ilvl="0">
      <w:start w:val="1"/>
      <w:numFmt w:val="decimal"/>
      <w:pStyle w:val="1182"/>
      <w:isLgl w:val="false"/>
      <w:suff w:val="tab"/>
      <w:lvlText w:val="%1."/>
      <w:lvlJc w:val="left"/>
      <w:pPr>
        <w:pStyle w:val="1074"/>
        <w:ind w:left="420" w:hanging="420"/>
      </w:pPr>
    </w:lvl>
    <w:lvl w:ilvl="1">
      <w:start w:val="1"/>
      <w:numFmt w:val="decimal"/>
      <w:isLgl w:val="false"/>
      <w:suff w:val="tab"/>
      <w:lvlText w:val="（%2）"/>
      <w:lvlJc w:val="left"/>
      <w:pPr>
        <w:pStyle w:val="1074"/>
        <w:ind w:left="1140" w:hanging="720"/>
        <w:tabs>
          <w:tab w:val="num" w:pos="1140" w:leader="none"/>
        </w:tabs>
      </w:pPr>
      <w:rPr>
        <w:rFonts w:hint="eastAsia"/>
      </w:rPr>
    </w:lvl>
    <w:lvl w:ilvl="2">
      <w:start w:val="1"/>
      <w:numFmt w:val="lowerRoman"/>
      <w:isLgl w:val="false"/>
      <w:suff w:val="tab"/>
      <w:lvlText w:val="%3."/>
      <w:lvlJc w:val="right"/>
      <w:pPr>
        <w:pStyle w:val="1074"/>
        <w:ind w:left="1260" w:hanging="420"/>
      </w:pPr>
    </w:lvl>
    <w:lvl w:ilvl="3">
      <w:start w:val="1"/>
      <w:numFmt w:val="decimal"/>
      <w:isLgl w:val="false"/>
      <w:suff w:val="tab"/>
      <w:lvlText w:val="%4."/>
      <w:lvlJc w:val="left"/>
      <w:pPr>
        <w:pStyle w:val="1074"/>
        <w:ind w:left="1680" w:hanging="420"/>
      </w:pPr>
    </w:lvl>
    <w:lvl w:ilvl="4">
      <w:start w:val="1"/>
      <w:numFmt w:val="lowerLetter"/>
      <w:isLgl w:val="false"/>
      <w:suff w:val="tab"/>
      <w:lvlText w:val="%5)"/>
      <w:lvlJc w:val="left"/>
      <w:pPr>
        <w:pStyle w:val="1074"/>
        <w:ind w:left="2100" w:hanging="420"/>
      </w:pPr>
    </w:lvl>
    <w:lvl w:ilvl="5">
      <w:start w:val="1"/>
      <w:numFmt w:val="lowerRoman"/>
      <w:isLgl w:val="false"/>
      <w:suff w:val="tab"/>
      <w:lvlText w:val="%6."/>
      <w:lvlJc w:val="right"/>
      <w:pPr>
        <w:pStyle w:val="1074"/>
        <w:ind w:left="2520" w:hanging="420"/>
      </w:pPr>
    </w:lvl>
    <w:lvl w:ilvl="6">
      <w:start w:val="1"/>
      <w:numFmt w:val="decimal"/>
      <w:isLgl w:val="false"/>
      <w:suff w:val="tab"/>
      <w:lvlText w:val="%7."/>
      <w:lvlJc w:val="left"/>
      <w:pPr>
        <w:pStyle w:val="1074"/>
        <w:ind w:left="2940" w:hanging="420"/>
      </w:pPr>
    </w:lvl>
    <w:lvl w:ilvl="7">
      <w:start w:val="1"/>
      <w:numFmt w:val="lowerLetter"/>
      <w:isLgl w:val="false"/>
      <w:suff w:val="tab"/>
      <w:lvlText w:val="%8)"/>
      <w:lvlJc w:val="left"/>
      <w:pPr>
        <w:pStyle w:val="1074"/>
        <w:ind w:left="3360" w:hanging="420"/>
      </w:pPr>
    </w:lvl>
    <w:lvl w:ilvl="8">
      <w:start w:val="1"/>
      <w:numFmt w:val="lowerRoman"/>
      <w:isLgl w:val="false"/>
      <w:suff w:val="tab"/>
      <w:lvlText w:val="%9."/>
      <w:lvlJc w:val="right"/>
      <w:pPr>
        <w:pStyle w:val="1074"/>
        <w:ind w:left="3780" w:hanging="420"/>
      </w:pPr>
    </w:lvl>
  </w:abstractNum>
  <w:abstractNum w:abstractNumId="3">
    <w:multiLevelType w:val="hybridMultilevel"/>
    <w:lvl w:ilvl="0">
      <w:start w:val="1"/>
      <w:numFmt w:val="lowerLetter"/>
      <w:pStyle w:val="1257"/>
      <w:isLgl w:val="false"/>
      <w:suff w:val="tab"/>
      <w:lvlText w:val="%1)"/>
      <w:lvlJc w:val="left"/>
      <w:pPr>
        <w:pStyle w:val="1074"/>
        <w:ind w:left="902" w:hanging="420"/>
      </w:pPr>
      <w:rPr>
        <w:color w:val="000000"/>
      </w:rPr>
    </w:lvl>
    <w:lvl w:ilvl="1">
      <w:start w:val="1"/>
      <w:numFmt w:val="lowerLetter"/>
      <w:isLgl w:val="false"/>
      <w:suff w:val="tab"/>
      <w:lvlText w:val="%2)"/>
      <w:lvlJc w:val="left"/>
      <w:pPr>
        <w:pStyle w:val="1074"/>
        <w:ind w:left="1322" w:hanging="420"/>
      </w:pPr>
    </w:lvl>
    <w:lvl w:ilvl="2">
      <w:start w:val="1"/>
      <w:numFmt w:val="lowerRoman"/>
      <w:isLgl w:val="false"/>
      <w:suff w:val="tab"/>
      <w:lvlText w:val="%3."/>
      <w:lvlJc w:val="right"/>
      <w:pPr>
        <w:pStyle w:val="1074"/>
        <w:ind w:left="1742" w:hanging="420"/>
      </w:pPr>
    </w:lvl>
    <w:lvl w:ilvl="3">
      <w:start w:val="1"/>
      <w:numFmt w:val="decimal"/>
      <w:isLgl w:val="false"/>
      <w:suff w:val="tab"/>
      <w:lvlText w:val="%4."/>
      <w:lvlJc w:val="left"/>
      <w:pPr>
        <w:pStyle w:val="1074"/>
        <w:ind w:left="2162" w:hanging="420"/>
      </w:pPr>
    </w:lvl>
    <w:lvl w:ilvl="4">
      <w:start w:val="1"/>
      <w:numFmt w:val="lowerLetter"/>
      <w:isLgl w:val="false"/>
      <w:suff w:val="tab"/>
      <w:lvlText w:val="%5)"/>
      <w:lvlJc w:val="left"/>
      <w:pPr>
        <w:pStyle w:val="1074"/>
        <w:ind w:left="2582" w:hanging="420"/>
      </w:pPr>
    </w:lvl>
    <w:lvl w:ilvl="5">
      <w:start w:val="1"/>
      <w:numFmt w:val="lowerRoman"/>
      <w:isLgl w:val="false"/>
      <w:suff w:val="tab"/>
      <w:lvlText w:val="%6."/>
      <w:lvlJc w:val="right"/>
      <w:pPr>
        <w:pStyle w:val="1074"/>
        <w:ind w:left="3002" w:hanging="420"/>
      </w:pPr>
    </w:lvl>
    <w:lvl w:ilvl="6">
      <w:start w:val="1"/>
      <w:numFmt w:val="decimal"/>
      <w:isLgl w:val="false"/>
      <w:suff w:val="tab"/>
      <w:lvlText w:val="%7."/>
      <w:lvlJc w:val="left"/>
      <w:pPr>
        <w:pStyle w:val="1074"/>
        <w:ind w:left="3422" w:hanging="420"/>
      </w:pPr>
    </w:lvl>
    <w:lvl w:ilvl="7">
      <w:start w:val="1"/>
      <w:numFmt w:val="lowerLetter"/>
      <w:isLgl w:val="false"/>
      <w:suff w:val="tab"/>
      <w:lvlText w:val="%8)"/>
      <w:lvlJc w:val="left"/>
      <w:pPr>
        <w:pStyle w:val="1074"/>
        <w:ind w:left="3842" w:hanging="420"/>
      </w:pPr>
    </w:lvl>
    <w:lvl w:ilvl="8">
      <w:start w:val="1"/>
      <w:numFmt w:val="lowerRoman"/>
      <w:isLgl w:val="false"/>
      <w:suff w:val="tab"/>
      <w:lvlText w:val="%9."/>
      <w:lvlJc w:val="right"/>
      <w:pPr>
        <w:pStyle w:val="1074"/>
        <w:ind w:left="4262" w:hanging="420"/>
      </w:pPr>
    </w:lvl>
  </w:abstractNum>
  <w:abstractNum w:abstractNumId="4">
    <w:multiLevelType w:val="hybridMultilevel"/>
    <w:lvl w:ilvl="0">
      <w:start w:val="1"/>
      <w:numFmt w:val="decimal"/>
      <w:pStyle w:val="1227"/>
      <w:isLgl w:val="false"/>
      <w:suff w:val="tab"/>
      <w:lvlText w:val="%1."/>
      <w:lvlJc w:val="left"/>
      <w:pPr>
        <w:pStyle w:val="107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第%1章"/>
      <w:legacy w:legacy="1" w:legacyIndent="0" w:legacySpace="0"/>
      <w:lvlJc w:val="left"/>
      <w:pPr>
        <w:pStyle w:val="1074"/>
      </w:pPr>
    </w:lvl>
    <w:lvl w:ilvl="1">
      <w:start w:val="1"/>
      <w:numFmt w:val="decimal"/>
      <w:isLgl w:val="false"/>
      <w:suff w:val="nothing"/>
      <w:lvlText w:val=""/>
      <w:lvlJc w:val="left"/>
      <w:pPr>
        <w:pStyle w:val="1074"/>
      </w:pPr>
    </w:lvl>
    <w:lvl w:ilvl="2">
      <w:start w:val="1"/>
      <w:numFmt w:val="decimal"/>
      <w:isLgl w:val="false"/>
      <w:suff w:val="nothing"/>
      <w:lvlText w:val=""/>
      <w:lvlJc w:val="left"/>
      <w:pPr>
        <w:pStyle w:val="1074"/>
      </w:pPr>
    </w:lvl>
    <w:lvl w:ilvl="3">
      <w:start w:val="1"/>
      <w:numFmt w:val="decimal"/>
      <w:isLgl w:val="false"/>
      <w:suff w:val="nothing"/>
      <w:lvlText w:val=""/>
      <w:lvlJc w:val="left"/>
      <w:pPr>
        <w:pStyle w:val="1074"/>
      </w:pPr>
    </w:lvl>
    <w:lvl w:ilvl="4">
      <w:start w:val="1"/>
      <w:numFmt w:val="decimal"/>
      <w:isLgl w:val="false"/>
      <w:suff w:val="nothing"/>
      <w:lvlText w:val=""/>
      <w:lvlJc w:val="left"/>
      <w:pPr>
        <w:pStyle w:val="1074"/>
      </w:pPr>
    </w:lvl>
    <w:lvl w:ilvl="5">
      <w:start w:val="1"/>
      <w:numFmt w:val="decimal"/>
      <w:isLgl w:val="false"/>
      <w:suff w:val="nothing"/>
      <w:lvlText w:val=""/>
      <w:lvlJc w:val="left"/>
      <w:pPr>
        <w:pStyle w:val="1074"/>
      </w:pPr>
    </w:lvl>
    <w:lvl w:ilvl="6">
      <w:start w:val="1"/>
      <w:numFmt w:val="decimal"/>
      <w:isLgl w:val="false"/>
      <w:suff w:val="nothing"/>
      <w:lvlText w:val=""/>
      <w:lvlJc w:val="left"/>
      <w:pPr>
        <w:pStyle w:val="1074"/>
      </w:pPr>
    </w:lvl>
    <w:lvl w:ilvl="7">
      <w:start w:val="1"/>
      <w:numFmt w:val="decimal"/>
      <w:isLgl w:val="false"/>
      <w:suff w:val="nothing"/>
      <w:lvlText w:val=""/>
      <w:lvlJc w:val="left"/>
      <w:pPr>
        <w:pStyle w:val="1074"/>
      </w:pPr>
    </w:lvl>
    <w:lvl w:ilvl="8">
      <w:start w:val="1"/>
      <w:numFmt w:val="decimal"/>
      <w:isLgl w:val="false"/>
      <w:suff w:val="nothing"/>
      <w:lvlText w:val=""/>
      <w:lvlJc w:val="left"/>
      <w:pPr>
        <w:pStyle w:val="1074"/>
      </w:pPr>
    </w:lvl>
  </w:abstractNum>
  <w:abstractNum w:abstractNumId="6">
    <w:multiLevelType w:val="hybridMultilevel"/>
    <w:lvl w:ilvl="0">
      <w:start w:val="1"/>
      <w:numFmt w:val="decimal"/>
      <w:pStyle w:val="1176"/>
      <w:isLgl w:val="false"/>
      <w:suff w:val="nothing"/>
      <w:lvlText w:val="%1　"/>
      <w:lvlJc w:val="left"/>
      <w:pPr>
        <w:pStyle w:val="107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4"/>
        <w:ind w:left="-25" w:firstLine="0"/>
      </w:pPr>
      <w:rPr>
        <w:rFonts w:ascii="Times New Roman" w:hAnsi="Times New Roman" w:eastAsia="黑体"/>
        <w:b/>
        <w:i w:val="0"/>
        <w:sz w:val="28"/>
      </w:rPr>
    </w:lvl>
    <w:lvl w:ilvl="3">
      <w:start w:val="1"/>
      <w:numFmt w:val="decimal"/>
      <w:pStyle w:val="1212"/>
      <w:isLgl w:val="false"/>
      <w:suff w:val="nothing"/>
      <w:lvlText w:val="%1.%2.%3.%4　"/>
      <w:lvlJc w:val="left"/>
      <w:pPr>
        <w:pStyle w:val="107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4"/>
        <w:ind w:left="-25" w:firstLine="0"/>
      </w:pPr>
      <w:rPr>
        <w:rFonts w:ascii="Times New Roman" w:hAnsi="Times New Roman" w:eastAsia="宋体"/>
        <w:b/>
        <w:i w:val="0"/>
        <w:sz w:val="28"/>
      </w:rPr>
    </w:lvl>
    <w:lvl w:ilvl="6">
      <w:start w:val="1"/>
      <w:numFmt w:val="lowerLetter"/>
      <w:pStyle w:val="1233"/>
      <w:isLgl w:val="false"/>
      <w:suff w:val="tab"/>
      <w:lvlText w:val="%7) "/>
      <w:lvlJc w:val="left"/>
      <w:pPr>
        <w:pStyle w:val="1074"/>
        <w:ind w:left="-125" w:firstLine="400"/>
        <w:tabs>
          <w:tab w:val="num" w:pos="635" w:leader="none"/>
        </w:tabs>
      </w:pPr>
      <w:rPr>
        <w:rFonts w:ascii="Times New Roman" w:hAnsi="Times New Roman" w:eastAsia="宋体"/>
        <w:b/>
        <w:i w:val="0"/>
        <w:color w:val="000000"/>
        <w:sz w:val="28"/>
        <w:u w:val="none"/>
      </w:rPr>
    </w:lvl>
    <w:lvl w:ilvl="7">
      <w:start w:val="1"/>
      <w:numFmt w:val="decimal"/>
      <w:pStyle w:val="1196"/>
      <w:isLgl w:val="false"/>
      <w:suff w:val="tab"/>
      <w:lvlText w:val="%8) "/>
      <w:lvlJc w:val="left"/>
      <w:pPr>
        <w:pStyle w:val="107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4"/>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074"/>
        <w:ind w:left="768" w:hanging="360"/>
        <w:tabs>
          <w:tab w:val="num" w:pos="768" w:leader="none"/>
        </w:tabs>
      </w:pPr>
      <w:rPr>
        <w:rFonts w:hint="eastAsia"/>
      </w:rPr>
    </w:lvl>
    <w:lvl w:ilvl="1">
      <w:start w:val="1"/>
      <w:numFmt w:val="decimal"/>
      <w:pStyle w:val="1214"/>
      <w:isLgl w:val="false"/>
      <w:suff w:val="tab"/>
      <w:lvlText w:val="%2、"/>
      <w:lvlJc w:val="left"/>
      <w:pPr>
        <w:pStyle w:val="1074"/>
        <w:ind w:left="1188" w:hanging="360"/>
        <w:tabs>
          <w:tab w:val="num" w:pos="1188" w:leader="none"/>
        </w:tabs>
      </w:pPr>
      <w:rPr>
        <w:rFonts w:hint="eastAsia"/>
      </w:rPr>
    </w:lvl>
    <w:lvl w:ilvl="2">
      <w:start w:val="1"/>
      <w:numFmt w:val="decimal"/>
      <w:isLgl w:val="false"/>
      <w:suff w:val="tab"/>
      <w:lvlText w:val="（%3）"/>
      <w:lvlJc w:val="left"/>
      <w:pPr>
        <w:pStyle w:val="1074"/>
        <w:ind w:left="1968" w:hanging="720"/>
        <w:tabs>
          <w:tab w:val="num" w:pos="1968" w:leader="none"/>
        </w:tabs>
      </w:pPr>
      <w:rPr>
        <w:rFonts w:hint="eastAsia"/>
        <w:u w:val="none"/>
      </w:rPr>
    </w:lvl>
    <w:lvl w:ilvl="3">
      <w:start w:val="1"/>
      <w:numFmt w:val="decimal"/>
      <w:isLgl w:val="false"/>
      <w:suff w:val="tab"/>
      <w:lvlText w:val="%4."/>
      <w:lvlJc w:val="left"/>
      <w:pPr>
        <w:pStyle w:val="1074"/>
        <w:ind w:left="2088" w:hanging="420"/>
        <w:tabs>
          <w:tab w:val="num" w:pos="2088" w:leader="none"/>
        </w:tabs>
      </w:pPr>
    </w:lvl>
    <w:lvl w:ilvl="4">
      <w:start w:val="1"/>
      <w:numFmt w:val="lowerLetter"/>
      <w:isLgl w:val="false"/>
      <w:suff w:val="tab"/>
      <w:lvlText w:val="%5)"/>
      <w:lvlJc w:val="left"/>
      <w:pPr>
        <w:pStyle w:val="1074"/>
        <w:ind w:left="2508" w:hanging="420"/>
        <w:tabs>
          <w:tab w:val="num" w:pos="2508" w:leader="none"/>
        </w:tabs>
      </w:pPr>
    </w:lvl>
    <w:lvl w:ilvl="5">
      <w:start w:val="1"/>
      <w:numFmt w:val="lowerRoman"/>
      <w:isLgl w:val="false"/>
      <w:suff w:val="tab"/>
      <w:lvlText w:val="%6."/>
      <w:lvlJc w:val="right"/>
      <w:pPr>
        <w:pStyle w:val="1074"/>
        <w:ind w:left="2928" w:hanging="420"/>
        <w:tabs>
          <w:tab w:val="num" w:pos="2928" w:leader="none"/>
        </w:tabs>
      </w:pPr>
    </w:lvl>
    <w:lvl w:ilvl="6">
      <w:start w:val="1"/>
      <w:numFmt w:val="decimal"/>
      <w:isLgl w:val="false"/>
      <w:suff w:val="tab"/>
      <w:lvlText w:val="%7."/>
      <w:lvlJc w:val="left"/>
      <w:pPr>
        <w:pStyle w:val="1074"/>
        <w:ind w:left="3348" w:hanging="420"/>
        <w:tabs>
          <w:tab w:val="num" w:pos="3348" w:leader="none"/>
        </w:tabs>
      </w:pPr>
    </w:lvl>
    <w:lvl w:ilvl="7">
      <w:start w:val="1"/>
      <w:numFmt w:val="lowerLetter"/>
      <w:isLgl w:val="false"/>
      <w:suff w:val="tab"/>
      <w:lvlText w:val="%8)"/>
      <w:lvlJc w:val="left"/>
      <w:pPr>
        <w:pStyle w:val="1074"/>
        <w:ind w:left="3768" w:hanging="420"/>
        <w:tabs>
          <w:tab w:val="num" w:pos="3768" w:leader="none"/>
        </w:tabs>
      </w:pPr>
    </w:lvl>
    <w:lvl w:ilvl="8">
      <w:start w:val="1"/>
      <w:numFmt w:val="lowerRoman"/>
      <w:isLgl w:val="false"/>
      <w:suff w:val="tab"/>
      <w:lvlText w:val="%9."/>
      <w:lvlJc w:val="right"/>
      <w:pPr>
        <w:pStyle w:val="1074"/>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1074"/>
        <w:ind w:left="900" w:hanging="900"/>
        <w:tabs>
          <w:tab w:val="num" w:pos="900" w:leader="none"/>
        </w:tabs>
      </w:pPr>
      <w:rPr>
        <w:rFonts w:hint="eastAsia"/>
        <w:b/>
      </w:rPr>
    </w:lvl>
    <w:lvl w:ilvl="1">
      <w:start w:val="1"/>
      <w:numFmt w:val="decimal"/>
      <w:isLgl w:val="false"/>
      <w:suff w:val="tab"/>
      <w:lvlText w:val="%1.%2"/>
      <w:lvlJc w:val="left"/>
      <w:pPr>
        <w:pStyle w:val="1074"/>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4"/>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9">
    <w:multiLevelType w:val="hybridMultilevel"/>
    <w:lvl w:ilvl="0">
      <w:start w:val="1"/>
      <w:numFmt w:val="decimal"/>
      <w:pStyle w:val="1181"/>
      <w:isLgl w:val="false"/>
      <w:suff w:val="tab"/>
      <w:lvlText w:val="%1)"/>
      <w:lvlJc w:val="left"/>
      <w:pPr>
        <w:pStyle w:val="1074"/>
        <w:ind w:left="420" w:hanging="420"/>
      </w:pPr>
    </w:lvl>
    <w:lvl w:ilvl="1">
      <w:start w:val="1"/>
      <w:numFmt w:val="lowerLetter"/>
      <w:isLgl w:val="false"/>
      <w:suff w:val="tab"/>
      <w:lvlText w:val="%2)"/>
      <w:lvlJc w:val="left"/>
      <w:pPr>
        <w:pStyle w:val="1074"/>
        <w:ind w:left="840" w:hanging="420"/>
      </w:pPr>
    </w:lvl>
    <w:lvl w:ilvl="2">
      <w:start w:val="1"/>
      <w:numFmt w:val="lowerRoman"/>
      <w:isLgl w:val="false"/>
      <w:suff w:val="tab"/>
      <w:lvlText w:val="%3."/>
      <w:lvlJc w:val="right"/>
      <w:pPr>
        <w:pStyle w:val="1074"/>
        <w:ind w:left="1260" w:hanging="420"/>
      </w:pPr>
    </w:lvl>
    <w:lvl w:ilvl="3">
      <w:start w:val="1"/>
      <w:numFmt w:val="decimal"/>
      <w:isLgl w:val="false"/>
      <w:suff w:val="tab"/>
      <w:lvlText w:val="%4."/>
      <w:lvlJc w:val="left"/>
      <w:pPr>
        <w:pStyle w:val="1074"/>
        <w:ind w:left="1680" w:hanging="420"/>
      </w:pPr>
    </w:lvl>
    <w:lvl w:ilvl="4">
      <w:start w:val="1"/>
      <w:numFmt w:val="lowerLetter"/>
      <w:isLgl w:val="false"/>
      <w:suff w:val="tab"/>
      <w:lvlText w:val="%5)"/>
      <w:lvlJc w:val="left"/>
      <w:pPr>
        <w:pStyle w:val="1074"/>
        <w:ind w:left="2100" w:hanging="420"/>
      </w:pPr>
    </w:lvl>
    <w:lvl w:ilvl="5">
      <w:start w:val="1"/>
      <w:numFmt w:val="lowerRoman"/>
      <w:isLgl w:val="false"/>
      <w:suff w:val="tab"/>
      <w:lvlText w:val="%6."/>
      <w:lvlJc w:val="right"/>
      <w:pPr>
        <w:pStyle w:val="1074"/>
        <w:ind w:left="2520" w:hanging="420"/>
      </w:pPr>
    </w:lvl>
    <w:lvl w:ilvl="6">
      <w:start w:val="1"/>
      <w:numFmt w:val="decimal"/>
      <w:isLgl w:val="false"/>
      <w:suff w:val="tab"/>
      <w:lvlText w:val="%7."/>
      <w:lvlJc w:val="left"/>
      <w:pPr>
        <w:pStyle w:val="1074"/>
        <w:ind w:left="2940" w:hanging="420"/>
      </w:pPr>
    </w:lvl>
    <w:lvl w:ilvl="7">
      <w:start w:val="1"/>
      <w:numFmt w:val="lowerLetter"/>
      <w:isLgl w:val="false"/>
      <w:suff w:val="tab"/>
      <w:lvlText w:val="%8)"/>
      <w:lvlJc w:val="left"/>
      <w:pPr>
        <w:pStyle w:val="1074"/>
        <w:ind w:left="3360" w:hanging="420"/>
      </w:pPr>
    </w:lvl>
    <w:lvl w:ilvl="8">
      <w:start w:val="1"/>
      <w:numFmt w:val="lowerRoman"/>
      <w:isLgl w:val="false"/>
      <w:suff w:val="tab"/>
      <w:lvlText w:val="%9."/>
      <w:lvlJc w:val="right"/>
      <w:pPr>
        <w:pStyle w:val="1074"/>
        <w:ind w:left="3780" w:hanging="420"/>
      </w:pPr>
    </w:lvl>
  </w:abstractNum>
  <w:abstractNum w:abstractNumId="10">
    <w:multiLevelType w:val="hybridMultilevel"/>
    <w:lvl w:ilvl="0">
      <w:start w:val="1"/>
      <w:numFmt w:val="decimal"/>
      <w:pStyle w:val="1282"/>
      <w:isLgl w:val="false"/>
      <w:suff w:val="tab"/>
      <w:lvlText w:val="%1"/>
      <w:lvlJc w:val="left"/>
      <w:pPr>
        <w:pStyle w:val="1074"/>
        <w:ind w:left="680" w:hanging="680"/>
      </w:pPr>
      <w:rPr>
        <w:rFonts w:hint="eastAsia" w:ascii="宋体" w:hAnsi="宋体" w:eastAsia="宋体"/>
      </w:rPr>
    </w:lvl>
    <w:lvl w:ilvl="1">
      <w:start w:val="1"/>
      <w:numFmt w:val="decimal"/>
      <w:pStyle w:val="1283"/>
      <w:isLgl w:val="false"/>
      <w:suff w:val="tab"/>
      <w:lvlText w:val="%1.%2"/>
      <w:lvlJc w:val="left"/>
      <w:pPr>
        <w:pStyle w:val="1074"/>
        <w:ind w:left="851" w:hanging="851"/>
      </w:pPr>
      <w:rPr>
        <w:rFonts w:hint="eastAsia" w:ascii="宋体" w:hAnsi="宋体" w:eastAsia="宋体"/>
        <w:color w:val="000000"/>
      </w:rPr>
    </w:lvl>
    <w:lvl w:ilvl="2">
      <w:start w:val="1"/>
      <w:numFmt w:val="decimal"/>
      <w:pStyle w:val="1284"/>
      <w:isLgl w:val="false"/>
      <w:suff w:val="tab"/>
      <w:lvlText w:val="%1.%2.%3"/>
      <w:lvlJc w:val="left"/>
      <w:pPr>
        <w:pStyle w:val="1074"/>
        <w:ind w:left="851" w:hanging="851"/>
      </w:pPr>
      <w:rPr>
        <w:rFonts w:hint="eastAsia"/>
      </w:rPr>
    </w:lvl>
    <w:lvl w:ilvl="3">
      <w:start w:val="1"/>
      <w:numFmt w:val="decimal"/>
      <w:isLgl w:val="false"/>
      <w:suff w:val="tab"/>
      <w:lvlText w:val="%1.%2.%3.%4"/>
      <w:lvlJc w:val="left"/>
      <w:pPr>
        <w:pStyle w:val="1074"/>
        <w:ind w:left="680" w:hanging="680"/>
      </w:pPr>
      <w:rPr>
        <w:rFonts w:hint="eastAsia"/>
      </w:rPr>
    </w:lvl>
    <w:lvl w:ilvl="4">
      <w:start w:val="1"/>
      <w:numFmt w:val="decimal"/>
      <w:isLgl w:val="false"/>
      <w:suff w:val="tab"/>
      <w:lvlText w:val="%1.%2.%3.%4.%5"/>
      <w:lvlJc w:val="left"/>
      <w:pPr>
        <w:pStyle w:val="1074"/>
        <w:ind w:left="680" w:hanging="680"/>
      </w:pPr>
      <w:rPr>
        <w:rFonts w:hint="eastAsia"/>
      </w:rPr>
    </w:lvl>
    <w:lvl w:ilvl="5">
      <w:start w:val="1"/>
      <w:numFmt w:val="decimal"/>
      <w:isLgl w:val="false"/>
      <w:suff w:val="tab"/>
      <w:lvlText w:val="%1.%2.%3.%4.%5.%6"/>
      <w:lvlJc w:val="left"/>
      <w:pPr>
        <w:pStyle w:val="1074"/>
        <w:ind w:left="680" w:hanging="680"/>
      </w:pPr>
      <w:rPr>
        <w:rFonts w:hint="eastAsia"/>
      </w:rPr>
    </w:lvl>
    <w:lvl w:ilvl="6">
      <w:start w:val="1"/>
      <w:numFmt w:val="decimal"/>
      <w:isLgl w:val="false"/>
      <w:suff w:val="tab"/>
      <w:lvlText w:val="%1.%2.%3.%4.%5.%6.%7"/>
      <w:lvlJc w:val="left"/>
      <w:pPr>
        <w:pStyle w:val="1074"/>
        <w:ind w:left="680" w:hanging="680"/>
      </w:pPr>
      <w:rPr>
        <w:rFonts w:hint="eastAsia"/>
      </w:rPr>
    </w:lvl>
    <w:lvl w:ilvl="7">
      <w:start w:val="1"/>
      <w:numFmt w:val="decimal"/>
      <w:isLgl w:val="false"/>
      <w:suff w:val="tab"/>
      <w:lvlText w:val="%1.%2.%3.%4.%5.%6.%7.%8"/>
      <w:lvlJc w:val="left"/>
      <w:pPr>
        <w:pStyle w:val="1074"/>
        <w:ind w:left="680" w:hanging="680"/>
      </w:pPr>
      <w:rPr>
        <w:rFonts w:hint="eastAsia"/>
      </w:rPr>
    </w:lvl>
    <w:lvl w:ilvl="8">
      <w:start w:val="1"/>
      <w:numFmt w:val="decimal"/>
      <w:isLgl w:val="false"/>
      <w:suff w:val="tab"/>
      <w:lvlText w:val="%1.%2.%3.%4.%5.%6.%7.%8.%9"/>
      <w:lvlJc w:val="left"/>
      <w:pPr>
        <w:pStyle w:val="1074"/>
        <w:ind w:left="680" w:hanging="680"/>
      </w:pPr>
      <w:rPr>
        <w:rFonts w:hint="eastAsia"/>
      </w:rPr>
    </w:lvl>
  </w:abstractNum>
  <w:abstractNum w:abstractNumId="11">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rPr>
    </w:lvl>
    <w:lvl w:ilvl="3">
      <w:start w:val="1"/>
      <w:numFmt w:val="decimal"/>
      <w:isLgl w:val="false"/>
      <w:suff w:val="tab"/>
      <w:lvlText w:val="%1.%2.%3.%4"/>
      <w:lvlJc w:val="left"/>
      <w:pPr>
        <w:pStyle w:val="1074"/>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15">
    <w:multiLevelType w:val="hybridMultilevel"/>
    <w:lvl w:ilvl="0">
      <w:start w:val="5"/>
      <w:numFmt w:val="chineseCounting"/>
      <w:isLgl w:val="false"/>
      <w:suff w:val="nothing"/>
      <w:lvlText w:val="%1、"/>
      <w:lvlJc w:val="left"/>
      <w:pPr>
        <w:pStyle w:val="10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9"/>
  </w:num>
  <w:num w:numId="4">
    <w:abstractNumId w:val="7"/>
  </w:num>
  <w:num w:numId="5">
    <w:abstractNumId w:val="4"/>
  </w:num>
  <w:num w:numId="6">
    <w:abstractNumId w:val="3"/>
  </w:num>
  <w:num w:numId="7">
    <w:abstractNumId w:val="10"/>
  </w:num>
  <w:num w:numId="8">
    <w:abstractNumId w:val="8"/>
  </w:num>
  <w:num w:numId="9">
    <w:abstractNumId w:val="12"/>
  </w:num>
  <w:num w:numId="10">
    <w:abstractNumId w:val="1"/>
  </w:num>
  <w:num w:numId="11">
    <w:abstractNumId w:val="13"/>
  </w:num>
  <w:num w:numId="12">
    <w:abstractNumId w:val="11"/>
  </w:num>
  <w:num w:numId="13">
    <w:abstractNumId w:val="14"/>
  </w:num>
  <w:num w:numId="14">
    <w:abstractNumId w:val="0"/>
  </w:num>
  <w:num w:numId="15">
    <w:abstractNumId w:val="15"/>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6">
    <w:name w:val="Heading 1"/>
    <w:basedOn w:val="1074"/>
    <w:next w:val="1074"/>
    <w:link w:val="897"/>
    <w:uiPriority w:val="9"/>
    <w:qFormat/>
    <w:pPr>
      <w:keepLines/>
      <w:keepNext/>
      <w:spacing w:before="480" w:after="200"/>
      <w:outlineLvl w:val="0"/>
    </w:pPr>
    <w:rPr>
      <w:rFonts w:ascii="Arial" w:hAnsi="Arial" w:eastAsia="Arial" w:cs="Arial"/>
      <w:sz w:val="40"/>
      <w:szCs w:val="40"/>
    </w:rPr>
  </w:style>
  <w:style w:type="character" w:styleId="897">
    <w:name w:val="Heading 1 Char"/>
    <w:link w:val="896"/>
    <w:uiPriority w:val="9"/>
    <w:rPr>
      <w:rFonts w:ascii="Arial" w:hAnsi="Arial" w:eastAsia="Arial" w:cs="Arial"/>
      <w:sz w:val="40"/>
      <w:szCs w:val="40"/>
    </w:rPr>
  </w:style>
  <w:style w:type="paragraph" w:styleId="898">
    <w:name w:val="Heading 2"/>
    <w:basedOn w:val="1074"/>
    <w:next w:val="1074"/>
    <w:link w:val="899"/>
    <w:uiPriority w:val="9"/>
    <w:unhideWhenUsed/>
    <w:qFormat/>
    <w:pPr>
      <w:keepLines/>
      <w:keepNext/>
      <w:spacing w:before="360" w:after="200"/>
      <w:outlineLvl w:val="1"/>
    </w:pPr>
    <w:rPr>
      <w:rFonts w:ascii="Arial" w:hAnsi="Arial" w:eastAsia="Arial" w:cs="Arial"/>
      <w:sz w:val="34"/>
    </w:rPr>
  </w:style>
  <w:style w:type="character" w:styleId="899">
    <w:name w:val="Heading 2 Char"/>
    <w:link w:val="898"/>
    <w:uiPriority w:val="9"/>
    <w:rPr>
      <w:rFonts w:ascii="Arial" w:hAnsi="Arial" w:eastAsia="Arial" w:cs="Arial"/>
      <w:sz w:val="34"/>
    </w:rPr>
  </w:style>
  <w:style w:type="paragraph" w:styleId="900">
    <w:name w:val="Heading 3"/>
    <w:basedOn w:val="1074"/>
    <w:next w:val="1074"/>
    <w:link w:val="901"/>
    <w:uiPriority w:val="9"/>
    <w:unhideWhenUsed/>
    <w:qFormat/>
    <w:pPr>
      <w:keepLines/>
      <w:keepNext/>
      <w:spacing w:before="320" w:after="200"/>
      <w:outlineLvl w:val="2"/>
    </w:pPr>
    <w:rPr>
      <w:rFonts w:ascii="Arial" w:hAnsi="Arial" w:eastAsia="Arial" w:cs="Arial"/>
      <w:sz w:val="30"/>
      <w:szCs w:val="30"/>
    </w:rPr>
  </w:style>
  <w:style w:type="character" w:styleId="901">
    <w:name w:val="Heading 3 Char"/>
    <w:link w:val="900"/>
    <w:uiPriority w:val="9"/>
    <w:rPr>
      <w:rFonts w:ascii="Arial" w:hAnsi="Arial" w:eastAsia="Arial" w:cs="Arial"/>
      <w:sz w:val="30"/>
      <w:szCs w:val="30"/>
    </w:rPr>
  </w:style>
  <w:style w:type="paragraph" w:styleId="902">
    <w:name w:val="Heading 4"/>
    <w:basedOn w:val="1074"/>
    <w:next w:val="1074"/>
    <w:link w:val="903"/>
    <w:uiPriority w:val="9"/>
    <w:unhideWhenUsed/>
    <w:qFormat/>
    <w:pPr>
      <w:keepLines/>
      <w:keepNext/>
      <w:spacing w:before="320" w:after="200"/>
      <w:outlineLvl w:val="3"/>
    </w:pPr>
    <w:rPr>
      <w:rFonts w:ascii="Arial" w:hAnsi="Arial" w:eastAsia="Arial" w:cs="Arial"/>
      <w:b/>
      <w:bCs/>
      <w:sz w:val="26"/>
      <w:szCs w:val="26"/>
    </w:rPr>
  </w:style>
  <w:style w:type="character" w:styleId="903">
    <w:name w:val="Heading 4 Char"/>
    <w:link w:val="902"/>
    <w:uiPriority w:val="9"/>
    <w:rPr>
      <w:rFonts w:ascii="Arial" w:hAnsi="Arial" w:eastAsia="Arial" w:cs="Arial"/>
      <w:b/>
      <w:bCs/>
      <w:sz w:val="26"/>
      <w:szCs w:val="26"/>
    </w:rPr>
  </w:style>
  <w:style w:type="paragraph" w:styleId="904">
    <w:name w:val="Heading 5"/>
    <w:basedOn w:val="1074"/>
    <w:next w:val="1074"/>
    <w:link w:val="905"/>
    <w:uiPriority w:val="9"/>
    <w:unhideWhenUsed/>
    <w:qFormat/>
    <w:pPr>
      <w:keepLines/>
      <w:keepNext/>
      <w:spacing w:before="320" w:after="200"/>
      <w:outlineLvl w:val="4"/>
    </w:pPr>
    <w:rPr>
      <w:rFonts w:ascii="Arial" w:hAnsi="Arial" w:eastAsia="Arial" w:cs="Arial"/>
      <w:b/>
      <w:bCs/>
      <w:sz w:val="24"/>
      <w:szCs w:val="24"/>
    </w:rPr>
  </w:style>
  <w:style w:type="character" w:styleId="905">
    <w:name w:val="Heading 5 Char"/>
    <w:link w:val="904"/>
    <w:uiPriority w:val="9"/>
    <w:rPr>
      <w:rFonts w:ascii="Arial" w:hAnsi="Arial" w:eastAsia="Arial" w:cs="Arial"/>
      <w:b/>
      <w:bCs/>
      <w:sz w:val="24"/>
      <w:szCs w:val="24"/>
    </w:rPr>
  </w:style>
  <w:style w:type="paragraph" w:styleId="906">
    <w:name w:val="Heading 6"/>
    <w:basedOn w:val="1074"/>
    <w:next w:val="1074"/>
    <w:link w:val="907"/>
    <w:uiPriority w:val="9"/>
    <w:unhideWhenUsed/>
    <w:qFormat/>
    <w:pPr>
      <w:keepLines/>
      <w:keepNext/>
      <w:spacing w:before="320" w:after="200"/>
      <w:outlineLvl w:val="5"/>
    </w:pPr>
    <w:rPr>
      <w:rFonts w:ascii="Arial" w:hAnsi="Arial" w:eastAsia="Arial" w:cs="Arial"/>
      <w:b/>
      <w:bCs/>
      <w:sz w:val="22"/>
      <w:szCs w:val="22"/>
    </w:rPr>
  </w:style>
  <w:style w:type="character" w:styleId="907">
    <w:name w:val="Heading 6 Char"/>
    <w:link w:val="906"/>
    <w:uiPriority w:val="9"/>
    <w:rPr>
      <w:rFonts w:ascii="Arial" w:hAnsi="Arial" w:eastAsia="Arial" w:cs="Arial"/>
      <w:b/>
      <w:bCs/>
      <w:sz w:val="22"/>
      <w:szCs w:val="22"/>
    </w:rPr>
  </w:style>
  <w:style w:type="paragraph" w:styleId="908">
    <w:name w:val="Heading 7"/>
    <w:basedOn w:val="1074"/>
    <w:next w:val="1074"/>
    <w:link w:val="909"/>
    <w:uiPriority w:val="9"/>
    <w:unhideWhenUsed/>
    <w:qFormat/>
    <w:pPr>
      <w:keepLines/>
      <w:keepNext/>
      <w:spacing w:before="320" w:after="200"/>
      <w:outlineLvl w:val="6"/>
    </w:pPr>
    <w:rPr>
      <w:rFonts w:ascii="Arial" w:hAnsi="Arial" w:eastAsia="Arial" w:cs="Arial"/>
      <w:b/>
      <w:bCs/>
      <w:i/>
      <w:iCs/>
      <w:sz w:val="22"/>
      <w:szCs w:val="22"/>
    </w:rPr>
  </w:style>
  <w:style w:type="character" w:styleId="909">
    <w:name w:val="Heading 7 Char"/>
    <w:link w:val="908"/>
    <w:uiPriority w:val="9"/>
    <w:rPr>
      <w:rFonts w:ascii="Arial" w:hAnsi="Arial" w:eastAsia="Arial" w:cs="Arial"/>
      <w:b/>
      <w:bCs/>
      <w:i/>
      <w:iCs/>
      <w:sz w:val="22"/>
      <w:szCs w:val="22"/>
    </w:rPr>
  </w:style>
  <w:style w:type="paragraph" w:styleId="910">
    <w:name w:val="Heading 8"/>
    <w:basedOn w:val="1074"/>
    <w:next w:val="1074"/>
    <w:link w:val="911"/>
    <w:uiPriority w:val="9"/>
    <w:unhideWhenUsed/>
    <w:qFormat/>
    <w:pPr>
      <w:keepLines/>
      <w:keepNext/>
      <w:spacing w:before="320" w:after="200"/>
      <w:outlineLvl w:val="7"/>
    </w:pPr>
    <w:rPr>
      <w:rFonts w:ascii="Arial" w:hAnsi="Arial" w:eastAsia="Arial" w:cs="Arial"/>
      <w:i/>
      <w:iCs/>
      <w:sz w:val="22"/>
      <w:szCs w:val="22"/>
    </w:rPr>
  </w:style>
  <w:style w:type="character" w:styleId="911">
    <w:name w:val="Heading 8 Char"/>
    <w:link w:val="910"/>
    <w:uiPriority w:val="9"/>
    <w:rPr>
      <w:rFonts w:ascii="Arial" w:hAnsi="Arial" w:eastAsia="Arial" w:cs="Arial"/>
      <w:i/>
      <w:iCs/>
      <w:sz w:val="22"/>
      <w:szCs w:val="22"/>
    </w:rPr>
  </w:style>
  <w:style w:type="paragraph" w:styleId="912">
    <w:name w:val="Heading 9"/>
    <w:basedOn w:val="1074"/>
    <w:next w:val="1074"/>
    <w:link w:val="913"/>
    <w:uiPriority w:val="9"/>
    <w:unhideWhenUsed/>
    <w:qFormat/>
    <w:pPr>
      <w:keepLines/>
      <w:keepNext/>
      <w:spacing w:before="320" w:after="200"/>
      <w:outlineLvl w:val="8"/>
    </w:pPr>
    <w:rPr>
      <w:rFonts w:ascii="Arial" w:hAnsi="Arial" w:eastAsia="Arial" w:cs="Arial"/>
      <w:i/>
      <w:iCs/>
      <w:sz w:val="21"/>
      <w:szCs w:val="21"/>
    </w:rPr>
  </w:style>
  <w:style w:type="character" w:styleId="913">
    <w:name w:val="Heading 9 Char"/>
    <w:link w:val="912"/>
    <w:uiPriority w:val="9"/>
    <w:rPr>
      <w:rFonts w:ascii="Arial" w:hAnsi="Arial" w:eastAsia="Arial" w:cs="Arial"/>
      <w:i/>
      <w:iCs/>
      <w:sz w:val="21"/>
      <w:szCs w:val="21"/>
    </w:rPr>
  </w:style>
  <w:style w:type="paragraph" w:styleId="914">
    <w:name w:val="List Paragraph"/>
    <w:basedOn w:val="1074"/>
    <w:uiPriority w:val="34"/>
    <w:qFormat/>
    <w:pPr>
      <w:contextualSpacing/>
      <w:ind w:left="720"/>
    </w:pPr>
  </w:style>
  <w:style w:type="paragraph" w:styleId="915">
    <w:name w:val="No Spacing"/>
    <w:uiPriority w:val="1"/>
    <w:qFormat/>
    <w:pPr>
      <w:spacing w:before="0" w:after="0" w:line="240" w:lineRule="auto"/>
    </w:pPr>
  </w:style>
  <w:style w:type="paragraph" w:styleId="916">
    <w:name w:val="Title"/>
    <w:basedOn w:val="1074"/>
    <w:next w:val="1074"/>
    <w:link w:val="917"/>
    <w:uiPriority w:val="10"/>
    <w:qFormat/>
    <w:pPr>
      <w:contextualSpacing/>
      <w:spacing w:before="300" w:after="200"/>
    </w:pPr>
    <w:rPr>
      <w:sz w:val="48"/>
      <w:szCs w:val="48"/>
    </w:rPr>
  </w:style>
  <w:style w:type="character" w:styleId="917">
    <w:name w:val="Title Char"/>
    <w:link w:val="916"/>
    <w:uiPriority w:val="10"/>
    <w:rPr>
      <w:sz w:val="48"/>
      <w:szCs w:val="48"/>
    </w:rPr>
  </w:style>
  <w:style w:type="paragraph" w:styleId="918">
    <w:name w:val="Subtitle"/>
    <w:basedOn w:val="1074"/>
    <w:next w:val="1074"/>
    <w:link w:val="919"/>
    <w:uiPriority w:val="11"/>
    <w:qFormat/>
    <w:pPr>
      <w:spacing w:before="200" w:after="200"/>
    </w:pPr>
    <w:rPr>
      <w:sz w:val="24"/>
      <w:szCs w:val="24"/>
    </w:rPr>
  </w:style>
  <w:style w:type="character" w:styleId="919">
    <w:name w:val="Subtitle Char"/>
    <w:link w:val="918"/>
    <w:uiPriority w:val="11"/>
    <w:rPr>
      <w:sz w:val="24"/>
      <w:szCs w:val="24"/>
    </w:rPr>
  </w:style>
  <w:style w:type="paragraph" w:styleId="920">
    <w:name w:val="Quote"/>
    <w:basedOn w:val="1074"/>
    <w:next w:val="1074"/>
    <w:link w:val="921"/>
    <w:uiPriority w:val="29"/>
    <w:qFormat/>
    <w:pPr>
      <w:ind w:left="720" w:right="720"/>
    </w:pPr>
    <w:rPr>
      <w:i/>
    </w:rPr>
  </w:style>
  <w:style w:type="character" w:styleId="921">
    <w:name w:val="Quote Char"/>
    <w:link w:val="920"/>
    <w:uiPriority w:val="29"/>
    <w:rPr>
      <w:i/>
    </w:rPr>
  </w:style>
  <w:style w:type="paragraph" w:styleId="922">
    <w:name w:val="Intense Quote"/>
    <w:basedOn w:val="1074"/>
    <w:next w:val="1074"/>
    <w:link w:val="9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name w:val="Intense Quote Char"/>
    <w:link w:val="922"/>
    <w:uiPriority w:val="30"/>
    <w:rPr>
      <w:i/>
    </w:rPr>
  </w:style>
  <w:style w:type="paragraph" w:styleId="924">
    <w:name w:val="Header"/>
    <w:basedOn w:val="1074"/>
    <w:link w:val="925"/>
    <w:uiPriority w:val="99"/>
    <w:unhideWhenUsed/>
    <w:pPr>
      <w:spacing w:after="0" w:line="240" w:lineRule="auto"/>
      <w:tabs>
        <w:tab w:val="center" w:pos="7143" w:leader="none"/>
        <w:tab w:val="right" w:pos="14287" w:leader="none"/>
      </w:tabs>
    </w:pPr>
  </w:style>
  <w:style w:type="character" w:styleId="925">
    <w:name w:val="Header Char"/>
    <w:link w:val="924"/>
    <w:uiPriority w:val="99"/>
  </w:style>
  <w:style w:type="paragraph" w:styleId="926">
    <w:name w:val="Footer"/>
    <w:basedOn w:val="1074"/>
    <w:link w:val="929"/>
    <w:uiPriority w:val="99"/>
    <w:unhideWhenUsed/>
    <w:pPr>
      <w:spacing w:after="0" w:line="240" w:lineRule="auto"/>
      <w:tabs>
        <w:tab w:val="center" w:pos="7143" w:leader="none"/>
        <w:tab w:val="right" w:pos="14287" w:leader="none"/>
      </w:tabs>
    </w:pPr>
  </w:style>
  <w:style w:type="character" w:styleId="927">
    <w:name w:val="Footer Char"/>
    <w:link w:val="926"/>
    <w:uiPriority w:val="99"/>
  </w:style>
  <w:style w:type="paragraph" w:styleId="928">
    <w:name w:val="Caption"/>
    <w:basedOn w:val="1074"/>
    <w:next w:val="1074"/>
    <w:uiPriority w:val="35"/>
    <w:semiHidden/>
    <w:unhideWhenUsed/>
    <w:qFormat/>
    <w:pPr>
      <w:spacing w:line="276" w:lineRule="auto"/>
    </w:pPr>
    <w:rPr>
      <w:b/>
      <w:bCs/>
      <w:color w:val="4f81bd" w:themeColor="accent1"/>
      <w:sz w:val="18"/>
      <w:szCs w:val="18"/>
    </w:rPr>
  </w:style>
  <w:style w:type="character" w:styleId="929">
    <w:name w:val="Caption Char"/>
    <w:basedOn w:val="928"/>
    <w:link w:val="926"/>
    <w:uiPriority w:val="99"/>
  </w:style>
  <w:style w:type="table" w:styleId="9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6">
    <w:name w:val="Hyperlink"/>
    <w:uiPriority w:val="99"/>
    <w:unhideWhenUsed/>
    <w:rPr>
      <w:color w:val="0000ff" w:themeColor="hyperlink"/>
      <w:u w:val="single"/>
    </w:rPr>
  </w:style>
  <w:style w:type="paragraph" w:styleId="1057">
    <w:name w:val="footnote text"/>
    <w:basedOn w:val="1074"/>
    <w:link w:val="1058"/>
    <w:uiPriority w:val="99"/>
    <w:semiHidden/>
    <w:unhideWhenUsed/>
    <w:pPr>
      <w:spacing w:after="40" w:line="240" w:lineRule="auto"/>
    </w:pPr>
    <w:rPr>
      <w:sz w:val="18"/>
    </w:rPr>
  </w:style>
  <w:style w:type="character" w:styleId="1058">
    <w:name w:val="Footnote Text Char"/>
    <w:link w:val="1057"/>
    <w:uiPriority w:val="99"/>
    <w:rPr>
      <w:sz w:val="18"/>
    </w:rPr>
  </w:style>
  <w:style w:type="character" w:styleId="1059">
    <w:name w:val="footnote reference"/>
    <w:uiPriority w:val="99"/>
    <w:unhideWhenUsed/>
    <w:rPr>
      <w:vertAlign w:val="superscript"/>
    </w:rPr>
  </w:style>
  <w:style w:type="paragraph" w:styleId="1060">
    <w:name w:val="endnote text"/>
    <w:basedOn w:val="1074"/>
    <w:link w:val="1061"/>
    <w:uiPriority w:val="99"/>
    <w:semiHidden/>
    <w:unhideWhenUsed/>
    <w:pPr>
      <w:spacing w:after="0" w:line="240" w:lineRule="auto"/>
    </w:pPr>
    <w:rPr>
      <w:sz w:val="20"/>
    </w:rPr>
  </w:style>
  <w:style w:type="character" w:styleId="1061">
    <w:name w:val="Endnote Text Char"/>
    <w:link w:val="1060"/>
    <w:uiPriority w:val="99"/>
    <w:rPr>
      <w:sz w:val="20"/>
    </w:rPr>
  </w:style>
  <w:style w:type="character" w:styleId="1062">
    <w:name w:val="endnote reference"/>
    <w:uiPriority w:val="99"/>
    <w:semiHidden/>
    <w:unhideWhenUsed/>
    <w:rPr>
      <w:vertAlign w:val="superscript"/>
    </w:rPr>
  </w:style>
  <w:style w:type="paragraph" w:styleId="1063">
    <w:name w:val="toc 1"/>
    <w:basedOn w:val="1074"/>
    <w:next w:val="1074"/>
    <w:uiPriority w:val="39"/>
    <w:unhideWhenUsed/>
    <w:pPr>
      <w:ind w:left="0" w:right="0" w:firstLine="0"/>
      <w:spacing w:after="57"/>
    </w:pPr>
  </w:style>
  <w:style w:type="paragraph" w:styleId="1064">
    <w:name w:val="toc 2"/>
    <w:basedOn w:val="1074"/>
    <w:next w:val="1074"/>
    <w:uiPriority w:val="39"/>
    <w:unhideWhenUsed/>
    <w:pPr>
      <w:ind w:left="283" w:right="0" w:firstLine="0"/>
      <w:spacing w:after="57"/>
    </w:pPr>
  </w:style>
  <w:style w:type="paragraph" w:styleId="1065">
    <w:name w:val="toc 3"/>
    <w:basedOn w:val="1074"/>
    <w:next w:val="1074"/>
    <w:uiPriority w:val="39"/>
    <w:unhideWhenUsed/>
    <w:pPr>
      <w:ind w:left="567" w:right="0" w:firstLine="0"/>
      <w:spacing w:after="57"/>
    </w:pPr>
  </w:style>
  <w:style w:type="paragraph" w:styleId="1066">
    <w:name w:val="toc 4"/>
    <w:basedOn w:val="1074"/>
    <w:next w:val="1074"/>
    <w:uiPriority w:val="39"/>
    <w:unhideWhenUsed/>
    <w:pPr>
      <w:ind w:left="850" w:right="0" w:firstLine="0"/>
      <w:spacing w:after="57"/>
    </w:pPr>
  </w:style>
  <w:style w:type="paragraph" w:styleId="1067">
    <w:name w:val="toc 5"/>
    <w:basedOn w:val="1074"/>
    <w:next w:val="1074"/>
    <w:uiPriority w:val="39"/>
    <w:unhideWhenUsed/>
    <w:pPr>
      <w:ind w:left="1134" w:right="0" w:firstLine="0"/>
      <w:spacing w:after="57"/>
    </w:pPr>
  </w:style>
  <w:style w:type="paragraph" w:styleId="1068">
    <w:name w:val="toc 6"/>
    <w:basedOn w:val="1074"/>
    <w:next w:val="1074"/>
    <w:uiPriority w:val="39"/>
    <w:unhideWhenUsed/>
    <w:pPr>
      <w:ind w:left="1417" w:right="0" w:firstLine="0"/>
      <w:spacing w:after="57"/>
    </w:pPr>
  </w:style>
  <w:style w:type="paragraph" w:styleId="1069">
    <w:name w:val="toc 7"/>
    <w:basedOn w:val="1074"/>
    <w:next w:val="1074"/>
    <w:uiPriority w:val="39"/>
    <w:unhideWhenUsed/>
    <w:pPr>
      <w:ind w:left="1701" w:right="0" w:firstLine="0"/>
      <w:spacing w:after="57"/>
    </w:pPr>
  </w:style>
  <w:style w:type="paragraph" w:styleId="1070">
    <w:name w:val="toc 8"/>
    <w:basedOn w:val="1074"/>
    <w:next w:val="1074"/>
    <w:uiPriority w:val="39"/>
    <w:unhideWhenUsed/>
    <w:pPr>
      <w:ind w:left="1984" w:right="0" w:firstLine="0"/>
      <w:spacing w:after="57"/>
    </w:pPr>
  </w:style>
  <w:style w:type="paragraph" w:styleId="1071">
    <w:name w:val="toc 9"/>
    <w:basedOn w:val="1074"/>
    <w:next w:val="1074"/>
    <w:uiPriority w:val="39"/>
    <w:unhideWhenUsed/>
    <w:pPr>
      <w:ind w:left="2268" w:right="0" w:firstLine="0"/>
      <w:spacing w:after="57"/>
    </w:pPr>
  </w:style>
  <w:style w:type="paragraph" w:styleId="1072">
    <w:name w:val="TOC Heading"/>
    <w:uiPriority w:val="39"/>
    <w:unhideWhenUsed/>
  </w:style>
  <w:style w:type="paragraph" w:styleId="1073">
    <w:name w:val="table of figures"/>
    <w:basedOn w:val="1074"/>
    <w:next w:val="1074"/>
    <w:uiPriority w:val="99"/>
    <w:unhideWhenUsed/>
    <w:pPr>
      <w:spacing w:after="0" w:afterAutospacing="0"/>
    </w:pPr>
  </w:style>
  <w:style w:type="paragraph" w:styleId="1074" w:default="1">
    <w:name w:val="Normal"/>
    <w:next w:val="1074"/>
    <w:link w:val="1074"/>
    <w:qFormat/>
    <w:pPr>
      <w:jc w:val="both"/>
      <w:widowControl w:val="off"/>
    </w:pPr>
    <w:rPr>
      <w:sz w:val="21"/>
      <w:szCs w:val="24"/>
      <w:lang w:val="en-US" w:eastAsia="zh-CN" w:bidi="ar-SA"/>
    </w:rPr>
  </w:style>
  <w:style w:type="paragraph" w:styleId="1075">
    <w:name w:val="标题 1"/>
    <w:basedOn w:val="1074"/>
    <w:next w:val="1074"/>
    <w:link w:val="1086"/>
    <w:qFormat/>
    <w:pPr>
      <w:jc w:val="center"/>
      <w:keepLines/>
      <w:keepNext/>
      <w:spacing w:before="240" w:after="120" w:line="300" w:lineRule="auto"/>
      <w:outlineLvl w:val="0"/>
    </w:pPr>
    <w:rPr>
      <w:rFonts w:ascii="宋体"/>
      <w:b/>
      <w:sz w:val="32"/>
      <w:szCs w:val="20"/>
    </w:rPr>
  </w:style>
  <w:style w:type="paragraph" w:styleId="1076">
    <w:name w:val="标题 2"/>
    <w:basedOn w:val="1074"/>
    <w:next w:val="1088"/>
    <w:link w:val="1087"/>
    <w:qFormat/>
    <w:pPr>
      <w:jc w:val="center"/>
      <w:keepLines/>
      <w:keepNext/>
      <w:spacing w:before="120" w:line="300" w:lineRule="auto"/>
      <w:outlineLvl w:val="1"/>
    </w:pPr>
    <w:rPr>
      <w:rFonts w:ascii="Arial" w:hAnsi="Arial" w:eastAsia="黑体"/>
      <w:b/>
      <w:sz w:val="30"/>
      <w:szCs w:val="20"/>
    </w:rPr>
  </w:style>
  <w:style w:type="paragraph" w:styleId="1077">
    <w:name w:val="标题 3"/>
    <w:basedOn w:val="1074"/>
    <w:next w:val="1088"/>
    <w:link w:val="1090"/>
    <w:qFormat/>
    <w:pPr>
      <w:jc w:val="left"/>
      <w:keepLines/>
      <w:keepNext/>
      <w:spacing w:before="360" w:after="120"/>
      <w:outlineLvl w:val="2"/>
    </w:pPr>
    <w:rPr>
      <w:rFonts w:ascii="宋体"/>
      <w:b/>
      <w:sz w:val="24"/>
      <w:szCs w:val="20"/>
      <w:u w:val="single"/>
    </w:rPr>
  </w:style>
  <w:style w:type="paragraph" w:styleId="1078">
    <w:name w:val="标题 4"/>
    <w:basedOn w:val="1074"/>
    <w:next w:val="1074"/>
    <w:link w:val="1091"/>
    <w:qFormat/>
    <w:pPr>
      <w:keepLines/>
      <w:keepNext/>
      <w:spacing w:before="280" w:after="290" w:line="376" w:lineRule="atLeast"/>
      <w:outlineLvl w:val="3"/>
    </w:pPr>
    <w:rPr>
      <w:rFonts w:ascii="Arial" w:hAnsi="Arial" w:eastAsia="黑体"/>
      <w:b/>
      <w:sz w:val="28"/>
      <w:szCs w:val="20"/>
    </w:rPr>
  </w:style>
  <w:style w:type="paragraph" w:styleId="1079">
    <w:name w:val="标题 5"/>
    <w:basedOn w:val="1074"/>
    <w:next w:val="1074"/>
    <w:link w:val="1092"/>
    <w:qFormat/>
    <w:pPr>
      <w:keepLines/>
      <w:keepNext/>
      <w:spacing w:before="280" w:after="290" w:line="376" w:lineRule="atLeast"/>
      <w:outlineLvl w:val="4"/>
    </w:pPr>
    <w:rPr>
      <w:b/>
      <w:sz w:val="28"/>
      <w:szCs w:val="20"/>
    </w:rPr>
  </w:style>
  <w:style w:type="paragraph" w:styleId="1080">
    <w:name w:val="标题 6"/>
    <w:basedOn w:val="1074"/>
    <w:next w:val="1074"/>
    <w:link w:val="1093"/>
    <w:qFormat/>
    <w:pPr>
      <w:keepLines/>
      <w:keepNext/>
      <w:spacing w:before="240" w:after="64" w:line="320" w:lineRule="atLeast"/>
      <w:outlineLvl w:val="5"/>
    </w:pPr>
    <w:rPr>
      <w:rFonts w:ascii="Arial" w:hAnsi="Arial" w:eastAsia="黑体"/>
      <w:b/>
      <w:sz w:val="24"/>
      <w:szCs w:val="20"/>
    </w:rPr>
  </w:style>
  <w:style w:type="paragraph" w:styleId="1081">
    <w:name w:val="标题 7"/>
    <w:basedOn w:val="1074"/>
    <w:next w:val="1074"/>
    <w:link w:val="1094"/>
    <w:qFormat/>
    <w:pPr>
      <w:keepLines/>
      <w:keepNext/>
      <w:spacing w:before="240" w:after="64" w:line="320" w:lineRule="atLeast"/>
      <w:outlineLvl w:val="6"/>
    </w:pPr>
    <w:rPr>
      <w:b/>
      <w:sz w:val="24"/>
      <w:szCs w:val="20"/>
    </w:rPr>
  </w:style>
  <w:style w:type="paragraph" w:styleId="1082">
    <w:name w:val="标题 8"/>
    <w:basedOn w:val="1074"/>
    <w:next w:val="1074"/>
    <w:link w:val="1095"/>
    <w:qFormat/>
    <w:pPr>
      <w:keepLines/>
      <w:keepNext/>
      <w:spacing w:before="240" w:after="64" w:line="320" w:lineRule="atLeast"/>
      <w:outlineLvl w:val="7"/>
    </w:pPr>
    <w:rPr>
      <w:rFonts w:ascii="Arial" w:hAnsi="Arial" w:eastAsia="黑体"/>
      <w:sz w:val="24"/>
      <w:szCs w:val="20"/>
    </w:rPr>
  </w:style>
  <w:style w:type="paragraph" w:styleId="1083">
    <w:name w:val="标题 9"/>
    <w:basedOn w:val="1074"/>
    <w:next w:val="1074"/>
    <w:link w:val="1096"/>
    <w:qFormat/>
    <w:pPr>
      <w:keepLines/>
      <w:keepNext/>
      <w:spacing w:before="240" w:after="64" w:line="320" w:lineRule="atLeast"/>
      <w:outlineLvl w:val="8"/>
    </w:pPr>
    <w:rPr>
      <w:rFonts w:ascii="Arial" w:hAnsi="Arial" w:eastAsia="黑体"/>
      <w:szCs w:val="20"/>
    </w:rPr>
  </w:style>
  <w:style w:type="character" w:styleId="1084">
    <w:name w:val="默认段落字体"/>
    <w:next w:val="1084"/>
    <w:link w:val="1074"/>
    <w:uiPriority w:val="1"/>
    <w:unhideWhenUsed/>
    <w:qFormat/>
  </w:style>
  <w:style w:type="table" w:styleId="1085">
    <w:name w:val="普通表格"/>
    <w:next w:val="1085"/>
    <w:link w:val="1074"/>
    <w:uiPriority w:val="99"/>
    <w:unhideWhenUsed/>
    <w:qFormat/>
    <w:tblPr/>
  </w:style>
  <w:style w:type="character" w:styleId="1086">
    <w:name w:val="标题 1 字符"/>
    <w:next w:val="1086"/>
    <w:link w:val="1075"/>
    <w:qFormat/>
    <w:rPr>
      <w:rFonts w:ascii="宋体"/>
      <w:b/>
      <w:sz w:val="32"/>
    </w:rPr>
  </w:style>
  <w:style w:type="character" w:styleId="1087">
    <w:name w:val="标题 2 字符"/>
    <w:next w:val="1087"/>
    <w:link w:val="1076"/>
    <w:qFormat/>
    <w:rPr>
      <w:rFonts w:ascii="Arial" w:hAnsi="Arial" w:eastAsia="黑体"/>
      <w:b/>
      <w:sz w:val="30"/>
      <w:lang w:val="en-US" w:eastAsia="zh-CN" w:bidi="ar-SA"/>
    </w:rPr>
  </w:style>
  <w:style w:type="paragraph" w:styleId="1088">
    <w:name w:val="正文缩进"/>
    <w:basedOn w:val="1074"/>
    <w:next w:val="1088"/>
    <w:link w:val="1089"/>
    <w:uiPriority w:val="99"/>
    <w:qFormat/>
    <w:pPr>
      <w:ind w:firstLine="420"/>
      <w:jc w:val="left"/>
    </w:pPr>
    <w:rPr>
      <w:rFonts w:ascii="宋体"/>
      <w:sz w:val="24"/>
    </w:rPr>
  </w:style>
  <w:style w:type="character" w:styleId="1089">
    <w:name w:val="正文缩进 字符1"/>
    <w:next w:val="1089"/>
    <w:link w:val="1088"/>
    <w:qFormat/>
    <w:rPr>
      <w:rFonts w:ascii="宋体" w:eastAsia="宋体"/>
      <w:sz w:val="24"/>
      <w:szCs w:val="24"/>
      <w:lang w:val="en-US" w:eastAsia="zh-CN" w:bidi="ar-SA"/>
    </w:rPr>
  </w:style>
  <w:style w:type="character" w:styleId="1090">
    <w:name w:val="标题 3 字符"/>
    <w:next w:val="1090"/>
    <w:link w:val="1077"/>
    <w:qFormat/>
    <w:rPr>
      <w:rFonts w:ascii="宋体" w:eastAsia="宋体"/>
      <w:b/>
      <w:sz w:val="24"/>
      <w:u w:val="single"/>
      <w:lang w:val="en-US" w:eastAsia="zh-CN" w:bidi="ar-SA"/>
    </w:rPr>
  </w:style>
  <w:style w:type="character" w:styleId="1091">
    <w:name w:val="标题 4 字符"/>
    <w:next w:val="1091"/>
    <w:link w:val="1078"/>
    <w:qFormat/>
    <w:rPr>
      <w:rFonts w:ascii="Arial" w:hAnsi="Arial" w:eastAsia="黑体"/>
      <w:b/>
      <w:sz w:val="28"/>
    </w:rPr>
  </w:style>
  <w:style w:type="character" w:styleId="1092">
    <w:name w:val="标题 5 字符"/>
    <w:next w:val="1092"/>
    <w:link w:val="1079"/>
    <w:qFormat/>
    <w:rPr>
      <w:b/>
      <w:sz w:val="28"/>
    </w:rPr>
  </w:style>
  <w:style w:type="character" w:styleId="1093">
    <w:name w:val="标题 6 字符"/>
    <w:next w:val="1093"/>
    <w:link w:val="1080"/>
    <w:qFormat/>
    <w:rPr>
      <w:rFonts w:ascii="Arial" w:hAnsi="Arial" w:eastAsia="黑体"/>
      <w:b/>
      <w:sz w:val="24"/>
    </w:rPr>
  </w:style>
  <w:style w:type="character" w:styleId="1094">
    <w:name w:val="标题 7 字符"/>
    <w:next w:val="1094"/>
    <w:link w:val="1081"/>
    <w:qFormat/>
    <w:rPr>
      <w:b/>
      <w:sz w:val="24"/>
    </w:rPr>
  </w:style>
  <w:style w:type="character" w:styleId="1095">
    <w:name w:val="标题 8 字符"/>
    <w:next w:val="1095"/>
    <w:link w:val="1082"/>
    <w:qFormat/>
    <w:rPr>
      <w:rFonts w:ascii="Arial" w:hAnsi="Arial" w:eastAsia="黑体"/>
      <w:sz w:val="24"/>
    </w:rPr>
  </w:style>
  <w:style w:type="character" w:styleId="1096">
    <w:name w:val="标题 9 字符"/>
    <w:next w:val="1096"/>
    <w:link w:val="1083"/>
    <w:qFormat/>
    <w:rPr>
      <w:rFonts w:ascii="Arial" w:hAnsi="Arial" w:eastAsia="黑体"/>
      <w:sz w:val="21"/>
    </w:rPr>
  </w:style>
  <w:style w:type="paragraph" w:styleId="1097">
    <w:name w:val="目录 7"/>
    <w:basedOn w:val="1074"/>
    <w:next w:val="1074"/>
    <w:link w:val="1074"/>
    <w:qFormat/>
    <w:pPr>
      <w:ind w:left="2520"/>
    </w:pPr>
  </w:style>
  <w:style w:type="paragraph" w:styleId="1098">
    <w:name w:val="题注"/>
    <w:basedOn w:val="1074"/>
    <w:next w:val="1074"/>
    <w:link w:val="1074"/>
    <w:qFormat/>
    <w:pPr>
      <w:spacing w:line="480" w:lineRule="auto"/>
    </w:pPr>
    <w:rPr>
      <w:rFonts w:ascii="华文中宋" w:hAnsi="华文中宋" w:eastAsia="华文中宋"/>
      <w:sz w:val="36"/>
      <w:szCs w:val="20"/>
    </w:rPr>
  </w:style>
  <w:style w:type="paragraph" w:styleId="1099">
    <w:name w:val="文档结构图"/>
    <w:basedOn w:val="1074"/>
    <w:next w:val="1099"/>
    <w:link w:val="1100"/>
    <w:qFormat/>
    <w:pPr>
      <w:shd w:val="clear" w:color="auto" w:fill="000080"/>
    </w:pPr>
  </w:style>
  <w:style w:type="character" w:styleId="1100">
    <w:name w:val="文档结构图 字符"/>
    <w:next w:val="1100"/>
    <w:link w:val="1099"/>
    <w:qFormat/>
    <w:rPr>
      <w:sz w:val="21"/>
      <w:szCs w:val="24"/>
      <w:shd w:val="clear" w:color="auto" w:fill="000080"/>
    </w:rPr>
  </w:style>
  <w:style w:type="paragraph" w:styleId="1101">
    <w:name w:val="批注文字"/>
    <w:basedOn w:val="1074"/>
    <w:next w:val="1101"/>
    <w:link w:val="1102"/>
    <w:uiPriority w:val="99"/>
    <w:qFormat/>
    <w:pPr>
      <w:jc w:val="left"/>
    </w:pPr>
  </w:style>
  <w:style w:type="character" w:styleId="1102">
    <w:name w:val="批注文字 字符1"/>
    <w:next w:val="1102"/>
    <w:link w:val="1101"/>
    <w:uiPriority w:val="99"/>
    <w:qFormat/>
    <w:rPr>
      <w:sz w:val="21"/>
      <w:szCs w:val="24"/>
    </w:rPr>
  </w:style>
  <w:style w:type="paragraph" w:styleId="1103">
    <w:name w:val="正文文本 3"/>
    <w:basedOn w:val="1074"/>
    <w:next w:val="1103"/>
    <w:link w:val="1104"/>
    <w:qFormat/>
    <w:pPr>
      <w:spacing w:after="120"/>
    </w:pPr>
    <w:rPr>
      <w:sz w:val="16"/>
      <w:szCs w:val="16"/>
    </w:rPr>
  </w:style>
  <w:style w:type="character" w:styleId="1104">
    <w:name w:val="正文文本 3 字符"/>
    <w:next w:val="1104"/>
    <w:link w:val="1103"/>
    <w:qFormat/>
    <w:rPr>
      <w:sz w:val="16"/>
      <w:szCs w:val="16"/>
    </w:rPr>
  </w:style>
  <w:style w:type="paragraph" w:styleId="1105">
    <w:name w:val="正文文本"/>
    <w:basedOn w:val="1074"/>
    <w:next w:val="1105"/>
    <w:link w:val="1106"/>
    <w:qFormat/>
    <w:pPr>
      <w:spacing w:before="120" w:line="22" w:lineRule="atLeast"/>
      <w:tabs>
        <w:tab w:val="left" w:pos="567" w:leader="none"/>
      </w:tabs>
    </w:pPr>
    <w:rPr>
      <w:rFonts w:ascii="宋体" w:hAnsi="宋体"/>
      <w:sz w:val="24"/>
    </w:rPr>
  </w:style>
  <w:style w:type="character" w:styleId="1106">
    <w:name w:val="正文文本 字符1"/>
    <w:next w:val="1106"/>
    <w:link w:val="1105"/>
    <w:qFormat/>
    <w:rPr>
      <w:rFonts w:ascii="宋体" w:hAnsi="宋体"/>
      <w:sz w:val="24"/>
      <w:szCs w:val="24"/>
    </w:rPr>
  </w:style>
  <w:style w:type="paragraph" w:styleId="1107">
    <w:name w:val="正文文本缩进"/>
    <w:basedOn w:val="1074"/>
    <w:next w:val="1107"/>
    <w:link w:val="1108"/>
    <w:qFormat/>
    <w:pPr>
      <w:ind w:firstLine="570"/>
      <w:spacing w:line="360" w:lineRule="auto"/>
    </w:pPr>
    <w:rPr>
      <w:sz w:val="24"/>
    </w:rPr>
  </w:style>
  <w:style w:type="character" w:styleId="1108">
    <w:name w:val="正文文本缩进 字符"/>
    <w:next w:val="1108"/>
    <w:link w:val="1107"/>
    <w:qFormat/>
    <w:rPr>
      <w:rFonts w:eastAsia="宋体"/>
      <w:sz w:val="24"/>
      <w:szCs w:val="24"/>
      <w:lang w:val="en-US" w:eastAsia="zh-CN" w:bidi="ar-SA"/>
    </w:rPr>
  </w:style>
  <w:style w:type="paragraph" w:styleId="1109">
    <w:name w:val="列表 2"/>
    <w:basedOn w:val="1074"/>
    <w:next w:val="1109"/>
    <w:link w:val="1074"/>
    <w:qFormat/>
    <w:pPr>
      <w:ind w:left="100" w:hanging="200"/>
    </w:pPr>
  </w:style>
  <w:style w:type="paragraph" w:styleId="1110">
    <w:name w:val="文本块"/>
    <w:basedOn w:val="1074"/>
    <w:next w:val="1110"/>
    <w:link w:val="1074"/>
    <w:qFormat/>
    <w:pPr>
      <w:ind w:left="480" w:right="-341" w:firstLine="513"/>
      <w:widowControl/>
    </w:pPr>
    <w:rPr>
      <w:sz w:val="24"/>
      <w:szCs w:val="20"/>
    </w:rPr>
  </w:style>
  <w:style w:type="paragraph" w:styleId="1111">
    <w:name w:val="目录 5"/>
    <w:basedOn w:val="1074"/>
    <w:next w:val="1074"/>
    <w:link w:val="1074"/>
    <w:qFormat/>
    <w:pPr>
      <w:ind w:left="1680"/>
    </w:pPr>
  </w:style>
  <w:style w:type="paragraph" w:styleId="1112">
    <w:name w:val="目录 3"/>
    <w:basedOn w:val="1074"/>
    <w:next w:val="1074"/>
    <w:link w:val="1074"/>
    <w:uiPriority w:val="39"/>
    <w:qFormat/>
    <w:pPr>
      <w:ind w:left="840"/>
    </w:pPr>
  </w:style>
  <w:style w:type="paragraph" w:styleId="1113">
    <w:name w:val="纯文本"/>
    <w:basedOn w:val="1074"/>
    <w:next w:val="1113"/>
    <w:link w:val="1114"/>
    <w:uiPriority w:val="99"/>
    <w:qFormat/>
    <w:rPr>
      <w:rFonts w:hint="eastAsia" w:ascii="宋体" w:hAnsi="Courier New"/>
      <w:szCs w:val="20"/>
    </w:rPr>
  </w:style>
  <w:style w:type="character" w:styleId="1114">
    <w:name w:val="纯文本 字符2"/>
    <w:next w:val="1114"/>
    <w:link w:val="1113"/>
    <w:qFormat/>
    <w:rPr>
      <w:rFonts w:hint="eastAsia" w:ascii="宋体" w:hAnsi="Courier New" w:eastAsia="宋体" w:cs="宋体"/>
      <w:sz w:val="21"/>
    </w:rPr>
  </w:style>
  <w:style w:type="paragraph" w:styleId="1115">
    <w:name w:val="目录 8"/>
    <w:basedOn w:val="1074"/>
    <w:next w:val="1074"/>
    <w:link w:val="1074"/>
    <w:qFormat/>
    <w:pPr>
      <w:ind w:left="2940"/>
    </w:pPr>
  </w:style>
  <w:style w:type="paragraph" w:styleId="1116">
    <w:name w:val="日期"/>
    <w:basedOn w:val="1074"/>
    <w:next w:val="1074"/>
    <w:link w:val="1117"/>
    <w:qFormat/>
    <w:pPr>
      <w:ind w:left="100"/>
    </w:pPr>
    <w:rPr>
      <w:rFonts w:ascii="仿宋_GB2312" w:hAnsi="宋体" w:eastAsia="仿宋_GB2312"/>
      <w:color w:val="000000"/>
      <w:sz w:val="24"/>
    </w:rPr>
  </w:style>
  <w:style w:type="character" w:styleId="1117">
    <w:name w:val="日期 字符"/>
    <w:next w:val="1117"/>
    <w:link w:val="1116"/>
    <w:qFormat/>
    <w:rPr>
      <w:rFonts w:ascii="仿宋_GB2312" w:hAnsi="宋体" w:eastAsia="仿宋_GB2312"/>
      <w:color w:val="000000"/>
      <w:sz w:val="24"/>
      <w:szCs w:val="24"/>
    </w:rPr>
  </w:style>
  <w:style w:type="paragraph" w:styleId="1118">
    <w:name w:val="正文文本缩进 2"/>
    <w:basedOn w:val="1074"/>
    <w:next w:val="1118"/>
    <w:link w:val="1119"/>
    <w:qFormat/>
    <w:pPr>
      <w:ind w:firstLine="480"/>
    </w:pPr>
    <w:rPr>
      <w:rFonts w:ascii="仿宋_GB2312" w:eastAsia="仿宋_GB2312"/>
      <w:sz w:val="24"/>
    </w:rPr>
  </w:style>
  <w:style w:type="character" w:styleId="1119">
    <w:name w:val="正文文本缩进 2 字符"/>
    <w:next w:val="1119"/>
    <w:link w:val="1118"/>
    <w:qFormat/>
    <w:rPr>
      <w:rFonts w:ascii="仿宋_GB2312" w:eastAsia="仿宋_GB2312"/>
      <w:sz w:val="24"/>
      <w:szCs w:val="24"/>
    </w:rPr>
  </w:style>
  <w:style w:type="paragraph" w:styleId="1120">
    <w:name w:val="批注框文本"/>
    <w:basedOn w:val="1074"/>
    <w:next w:val="1120"/>
    <w:link w:val="1121"/>
    <w:qFormat/>
    <w:rPr>
      <w:sz w:val="18"/>
      <w:szCs w:val="18"/>
    </w:rPr>
  </w:style>
  <w:style w:type="character" w:styleId="1121">
    <w:name w:val="批注框文本 字符"/>
    <w:next w:val="1121"/>
    <w:link w:val="1120"/>
    <w:qFormat/>
    <w:rPr>
      <w:sz w:val="18"/>
      <w:szCs w:val="18"/>
    </w:rPr>
  </w:style>
  <w:style w:type="paragraph" w:styleId="1122">
    <w:name w:val="页脚"/>
    <w:basedOn w:val="1074"/>
    <w:next w:val="1122"/>
    <w:link w:val="1123"/>
    <w:uiPriority w:val="99"/>
    <w:qFormat/>
    <w:pPr>
      <w:jc w:val="left"/>
      <w:tabs>
        <w:tab w:val="center" w:pos="4153" w:leader="none"/>
        <w:tab w:val="right" w:pos="8306" w:leader="none"/>
      </w:tabs>
    </w:pPr>
    <w:rPr>
      <w:rFonts w:ascii="宋体"/>
      <w:sz w:val="18"/>
      <w:szCs w:val="20"/>
    </w:rPr>
  </w:style>
  <w:style w:type="character" w:styleId="1123">
    <w:name w:val="页脚 字符"/>
    <w:next w:val="1123"/>
    <w:link w:val="1122"/>
    <w:uiPriority w:val="99"/>
    <w:qFormat/>
    <w:rPr>
      <w:rFonts w:ascii="宋体" w:eastAsia="宋体"/>
      <w:sz w:val="18"/>
      <w:lang w:val="en-US" w:eastAsia="zh-CN" w:bidi="ar-SA"/>
    </w:rPr>
  </w:style>
  <w:style w:type="paragraph" w:styleId="1124">
    <w:name w:val="页眉"/>
    <w:basedOn w:val="1074"/>
    <w:next w:val="1124"/>
    <w:link w:val="1125"/>
    <w:qFormat/>
    <w:pPr>
      <w:jc w:val="center"/>
      <w:tabs>
        <w:tab w:val="center" w:pos="4153" w:leader="none"/>
        <w:tab w:val="right" w:pos="8306" w:leader="none"/>
      </w:tabs>
      <w:pBdr>
        <w:bottom w:val="single" w:color="000000" w:sz="6" w:space="1"/>
      </w:pBdr>
    </w:pPr>
    <w:rPr>
      <w:sz w:val="18"/>
      <w:szCs w:val="18"/>
    </w:rPr>
  </w:style>
  <w:style w:type="character" w:styleId="1125">
    <w:name w:val="页眉 字符"/>
    <w:next w:val="1125"/>
    <w:link w:val="1124"/>
    <w:qFormat/>
    <w:rPr>
      <w:rFonts w:eastAsia="宋体"/>
      <w:sz w:val="18"/>
      <w:szCs w:val="18"/>
      <w:lang w:val="en-US" w:eastAsia="zh-CN" w:bidi="ar-SA"/>
    </w:rPr>
  </w:style>
  <w:style w:type="paragraph" w:styleId="1126">
    <w:name w:val="目录 1"/>
    <w:basedOn w:val="1074"/>
    <w:next w:val="1074"/>
    <w:link w:val="1074"/>
    <w:uiPriority w:val="39"/>
    <w:qFormat/>
    <w:pPr>
      <w:spacing w:line="300" w:lineRule="auto"/>
      <w:tabs>
        <w:tab w:val="left" w:pos="1050" w:leader="none"/>
        <w:tab w:val="right" w:pos="8937" w:leader="dot"/>
      </w:tabs>
    </w:pPr>
    <w:rPr>
      <w:rFonts w:ascii="宋体" w:hAnsi="宋体"/>
      <w:b/>
      <w:sz w:val="24"/>
    </w:rPr>
  </w:style>
  <w:style w:type="paragraph" w:styleId="1127">
    <w:name w:val="目录 4"/>
    <w:basedOn w:val="1074"/>
    <w:next w:val="1074"/>
    <w:link w:val="1074"/>
    <w:qFormat/>
    <w:pPr>
      <w:ind w:left="1260"/>
    </w:pPr>
  </w:style>
  <w:style w:type="paragraph" w:styleId="1128">
    <w:name w:val="目录 6"/>
    <w:basedOn w:val="1074"/>
    <w:next w:val="1074"/>
    <w:link w:val="1074"/>
    <w:qFormat/>
    <w:pPr>
      <w:ind w:left="2100"/>
    </w:pPr>
  </w:style>
  <w:style w:type="paragraph" w:styleId="1129">
    <w:name w:val="正文文本缩进 3"/>
    <w:basedOn w:val="1074"/>
    <w:next w:val="1129"/>
    <w:link w:val="1130"/>
    <w:qFormat/>
    <w:pPr>
      <w:ind w:left="720" w:firstLine="480"/>
      <w:jc w:val="left"/>
      <w:spacing w:before="120" w:line="22" w:lineRule="atLeast"/>
    </w:pPr>
    <w:rPr>
      <w:rFonts w:ascii="宋体"/>
      <w:sz w:val="24"/>
      <w:szCs w:val="20"/>
    </w:rPr>
  </w:style>
  <w:style w:type="character" w:styleId="1130">
    <w:name w:val="正文文本缩进 3 字符"/>
    <w:next w:val="1130"/>
    <w:link w:val="1129"/>
    <w:qFormat/>
    <w:rPr>
      <w:rFonts w:ascii="宋体"/>
      <w:sz w:val="24"/>
    </w:rPr>
  </w:style>
  <w:style w:type="paragraph" w:styleId="1131">
    <w:name w:val="目录 2"/>
    <w:basedOn w:val="1074"/>
    <w:next w:val="1074"/>
    <w:link w:val="1074"/>
    <w:uiPriority w:val="39"/>
    <w:qFormat/>
    <w:pPr>
      <w:ind w:left="420"/>
      <w:spacing w:line="312" w:lineRule="auto"/>
      <w:tabs>
        <w:tab w:val="right" w:pos="8937" w:leader="dot"/>
      </w:tabs>
    </w:pPr>
  </w:style>
  <w:style w:type="paragraph" w:styleId="1132">
    <w:name w:val="目录 9"/>
    <w:basedOn w:val="1074"/>
    <w:next w:val="1074"/>
    <w:link w:val="1074"/>
    <w:qFormat/>
    <w:pPr>
      <w:ind w:left="3360"/>
    </w:pPr>
  </w:style>
  <w:style w:type="paragraph" w:styleId="1133">
    <w:name w:val="HTML 预设格式"/>
    <w:basedOn w:val="1074"/>
    <w:next w:val="1133"/>
    <w:link w:val="11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4">
    <w:name w:val="HTML 预设格式 字符"/>
    <w:next w:val="1134"/>
    <w:link w:val="1133"/>
    <w:qFormat/>
    <w:rPr>
      <w:rFonts w:ascii="宋体" w:hAnsi="宋体" w:cs="宋体"/>
      <w:sz w:val="24"/>
      <w:szCs w:val="24"/>
    </w:rPr>
  </w:style>
  <w:style w:type="paragraph" w:styleId="1135">
    <w:name w:val="普通(网站)"/>
    <w:basedOn w:val="1074"/>
    <w:next w:val="1135"/>
    <w:link w:val="1074"/>
    <w:uiPriority w:val="99"/>
    <w:unhideWhenUsed/>
    <w:qFormat/>
    <w:pPr>
      <w:jc w:val="left"/>
      <w:spacing w:before="100" w:beforeAutospacing="1" w:after="100" w:afterAutospacing="1"/>
      <w:widowControl/>
    </w:pPr>
    <w:rPr>
      <w:rFonts w:ascii="宋体" w:hAnsi="宋体" w:cs="宋体"/>
      <w:sz w:val="24"/>
    </w:rPr>
  </w:style>
  <w:style w:type="paragraph" w:styleId="1136">
    <w:name w:val="索引 1"/>
    <w:basedOn w:val="1074"/>
    <w:next w:val="1074"/>
    <w:link w:val="1074"/>
    <w:qFormat/>
    <w:rPr>
      <w:szCs w:val="20"/>
    </w:rPr>
  </w:style>
  <w:style w:type="paragraph" w:styleId="1137">
    <w:name w:val="标题"/>
    <w:basedOn w:val="1074"/>
    <w:next w:val="1137"/>
    <w:link w:val="1138"/>
    <w:qFormat/>
    <w:pPr>
      <w:jc w:val="center"/>
      <w:outlineLvl w:val="0"/>
    </w:pPr>
    <w:rPr>
      <w:b/>
      <w:sz w:val="32"/>
      <w:szCs w:val="20"/>
    </w:rPr>
  </w:style>
  <w:style w:type="character" w:styleId="1138">
    <w:name w:val="标题 字符"/>
    <w:next w:val="1138"/>
    <w:link w:val="1137"/>
    <w:qFormat/>
    <w:rPr>
      <w:b/>
      <w:sz w:val="32"/>
    </w:rPr>
  </w:style>
  <w:style w:type="paragraph" w:styleId="1139">
    <w:name w:val="批注主题"/>
    <w:basedOn w:val="1101"/>
    <w:next w:val="1101"/>
    <w:link w:val="1140"/>
    <w:qFormat/>
    <w:rPr>
      <w:b/>
      <w:bCs/>
    </w:rPr>
  </w:style>
  <w:style w:type="character" w:styleId="1140">
    <w:name w:val="批注主题 字符"/>
    <w:next w:val="1140"/>
    <w:link w:val="1139"/>
    <w:qFormat/>
    <w:rPr>
      <w:rFonts w:ascii="Times New Roman" w:hAnsi="Times New Roman" w:eastAsia="宋体" w:cs="Times New Roman"/>
      <w:b/>
      <w:bCs/>
      <w:sz w:val="21"/>
      <w:szCs w:val="24"/>
      <w:lang w:val="en-US" w:eastAsia="zh-CN" w:bidi="ar-SA"/>
    </w:rPr>
  </w:style>
  <w:style w:type="paragraph" w:styleId="1141">
    <w:name w:val="正文首行缩进 2"/>
    <w:basedOn w:val="1107"/>
    <w:next w:val="1141"/>
    <w:link w:val="1142"/>
    <w:qFormat/>
    <w:pPr>
      <w:ind w:left="420" w:firstLine="420"/>
      <w:spacing w:after="120" w:line="480" w:lineRule="exact"/>
    </w:pPr>
    <w:rPr>
      <w:szCs w:val="20"/>
    </w:rPr>
  </w:style>
  <w:style w:type="character" w:styleId="1142">
    <w:name w:val="正文文本首行缩进 2 字符"/>
    <w:next w:val="1142"/>
    <w:link w:val="1141"/>
    <w:qFormat/>
    <w:rPr>
      <w:rFonts w:eastAsia="宋体"/>
      <w:sz w:val="24"/>
      <w:szCs w:val="24"/>
      <w:lang w:val="en-US" w:eastAsia="zh-CN" w:bidi="ar-SA"/>
    </w:rPr>
  </w:style>
  <w:style w:type="table" w:styleId="1143">
    <w:name w:val="网格型"/>
    <w:basedOn w:val="1085"/>
    <w:next w:val="1143"/>
    <w:link w:val="1074"/>
    <w:uiPriority w:val="39"/>
    <w:qFormat/>
    <w:tblPr/>
  </w:style>
  <w:style w:type="table" w:styleId="1144">
    <w:name w:val="中等深浅网格 1 - 强调文字颜色 2"/>
    <w:basedOn w:val="1085"/>
    <w:next w:val="1144"/>
    <w:link w:val="1074"/>
    <w:qFormat/>
    <w:rPr>
      <w:sz w:val="21"/>
      <w:szCs w:val="24"/>
    </w:rPr>
    <w:tblPr/>
  </w:style>
  <w:style w:type="character" w:styleId="1145">
    <w:name w:val="要点"/>
    <w:next w:val="1145"/>
    <w:link w:val="1074"/>
    <w:qFormat/>
    <w:rPr>
      <w:b/>
      <w:bCs/>
    </w:rPr>
  </w:style>
  <w:style w:type="character" w:styleId="1146">
    <w:name w:val="页码"/>
    <w:next w:val="1146"/>
    <w:link w:val="1074"/>
    <w:qFormat/>
  </w:style>
  <w:style w:type="character" w:styleId="1147">
    <w:name w:val="已访问的超链接"/>
    <w:next w:val="1147"/>
    <w:link w:val="1074"/>
    <w:qFormat/>
    <w:rPr>
      <w:color w:val="800080"/>
      <w:u w:val="single"/>
    </w:rPr>
  </w:style>
  <w:style w:type="character" w:styleId="1148">
    <w:name w:val="强调"/>
    <w:next w:val="1148"/>
    <w:link w:val="1074"/>
    <w:qFormat/>
    <w:rPr>
      <w:color w:val="cc0033"/>
    </w:rPr>
  </w:style>
  <w:style w:type="character" w:styleId="1149">
    <w:name w:val="超链接"/>
    <w:next w:val="1149"/>
    <w:link w:val="1074"/>
    <w:uiPriority w:val="99"/>
    <w:qFormat/>
    <w:rPr>
      <w:color w:val="0000ff"/>
      <w:u w:val="single"/>
    </w:rPr>
  </w:style>
  <w:style w:type="character" w:styleId="1150">
    <w:name w:val="批注引用"/>
    <w:next w:val="1150"/>
    <w:link w:val="1074"/>
    <w:uiPriority w:val="99"/>
    <w:qFormat/>
    <w:rPr>
      <w:sz w:val="21"/>
      <w:szCs w:val="21"/>
    </w:rPr>
  </w:style>
  <w:style w:type="character" w:styleId="1151">
    <w:name w:val="HTML 引文"/>
    <w:next w:val="1151"/>
    <w:link w:val="1074"/>
    <w:qFormat/>
    <w:rPr>
      <w:i/>
      <w:iCs/>
    </w:rPr>
  </w:style>
  <w:style w:type="character" w:styleId="1152">
    <w:name w:val="批注文字 字符"/>
    <w:next w:val="1152"/>
    <w:link w:val="1074"/>
    <w:uiPriority w:val="99"/>
    <w:qFormat/>
    <w:rPr>
      <w:rFonts w:ascii="Times New Roman" w:hAnsi="Times New Roman" w:eastAsia="宋体" w:cs="Times New Roman"/>
      <w:sz w:val="24"/>
      <w:lang w:val="en-US" w:eastAsia="zh-CN" w:bidi="ar-SA"/>
    </w:rPr>
  </w:style>
  <w:style w:type="character" w:styleId="1153">
    <w:name w:val="c21"/>
    <w:next w:val="1153"/>
    <w:link w:val="1074"/>
    <w:qFormat/>
    <w:rPr>
      <w:rFonts w:ascii="ˎ̥" w:hAnsi="ˎ̥"/>
      <w:color w:val="000000"/>
      <w:sz w:val="20"/>
      <w:szCs w:val="20"/>
      <w:u w:val="none"/>
    </w:rPr>
  </w:style>
  <w:style w:type="character" w:styleId="1154">
    <w:name w:val="title4"/>
    <w:next w:val="1154"/>
    <w:link w:val="1074"/>
    <w:qFormat/>
    <w:rPr>
      <w:b/>
      <w:bCs/>
      <w:color w:val="1d87b3"/>
      <w:sz w:val="15"/>
      <w:szCs w:val="15"/>
    </w:rPr>
  </w:style>
  <w:style w:type="character" w:styleId="1155">
    <w:name w:val="标题 2 Char Char"/>
    <w:next w:val="1155"/>
    <w:link w:val="1074"/>
    <w:qFormat/>
    <w:rPr>
      <w:rFonts w:ascii="Arial" w:hAnsi="Arial" w:eastAsia="黑体"/>
      <w:b/>
      <w:bCs/>
      <w:sz w:val="32"/>
      <w:szCs w:val="32"/>
      <w:lang w:val="en-US" w:eastAsia="zh-CN" w:bidi="ar-SA"/>
    </w:rPr>
  </w:style>
  <w:style w:type="character" w:styleId="1156">
    <w:name w:val="black1"/>
    <w:next w:val="1156"/>
    <w:link w:val="1074"/>
    <w:qFormat/>
    <w:rPr>
      <w:color w:val="000000"/>
    </w:rPr>
  </w:style>
  <w:style w:type="character" w:styleId="1157">
    <w:name w:val="street-address"/>
    <w:next w:val="1157"/>
    <w:link w:val="1074"/>
    <w:qFormat/>
  </w:style>
  <w:style w:type="character" w:styleId="1158">
    <w:name w:val="locality"/>
    <w:next w:val="1158"/>
    <w:link w:val="1074"/>
    <w:qFormat/>
  </w:style>
  <w:style w:type="character" w:styleId="1159">
    <w:name w:val="正文文本缩进 Char1"/>
    <w:next w:val="1159"/>
    <w:link w:val="1160"/>
    <w:qFormat/>
    <w:rPr>
      <w:rFonts w:ascii="宋体" w:hAnsi="宋体" w:eastAsia="宋体"/>
      <w:sz w:val="24"/>
      <w:szCs w:val="24"/>
      <w:lang w:bidi="ar-SA"/>
    </w:rPr>
  </w:style>
  <w:style w:type="paragraph" w:styleId="1160">
    <w:name w:val="正文文本缩进1"/>
    <w:basedOn w:val="1074"/>
    <w:next w:val="1160"/>
    <w:link w:val="1159"/>
    <w:qFormat/>
    <w:pPr>
      <w:ind w:firstLine="480"/>
      <w:spacing w:line="480" w:lineRule="exact"/>
    </w:pPr>
    <w:rPr>
      <w:rFonts w:ascii="宋体" w:hAnsi="宋体"/>
      <w:sz w:val="24"/>
    </w:rPr>
  </w:style>
  <w:style w:type="character" w:styleId="1161">
    <w:name w:val="Char Char11"/>
    <w:next w:val="1161"/>
    <w:link w:val="1074"/>
    <w:qFormat/>
    <w:rPr>
      <w:rFonts w:ascii="宋体" w:eastAsia="宋体"/>
      <w:b/>
      <w:sz w:val="24"/>
      <w:u w:val="single"/>
      <w:lang w:val="en-US" w:eastAsia="zh-CN" w:bidi="ar-SA"/>
    </w:rPr>
  </w:style>
  <w:style w:type="character" w:styleId="1162">
    <w:name w:val="txt"/>
    <w:next w:val="1162"/>
    <w:link w:val="1074"/>
    <w:qFormat/>
  </w:style>
  <w:style w:type="character" w:styleId="1163">
    <w:name w:val="正文缩进 Char Char"/>
    <w:next w:val="1163"/>
    <w:link w:val="1164"/>
    <w:qFormat/>
    <w:rPr>
      <w:rFonts w:ascii="宋体" w:eastAsia="宋体"/>
      <w:color w:val="000000"/>
      <w:sz w:val="28"/>
      <w:lang w:bidi="ar-SA"/>
    </w:rPr>
  </w:style>
  <w:style w:type="paragraph" w:styleId="1164">
    <w:name w:val="正文缩进1"/>
    <w:basedOn w:val="1074"/>
    <w:next w:val="1164"/>
    <w:link w:val="1163"/>
    <w:qFormat/>
    <w:pPr>
      <w:ind w:firstLine="567"/>
      <w:spacing w:line="480" w:lineRule="exact"/>
      <w:widowControl/>
    </w:pPr>
    <w:rPr>
      <w:rFonts w:ascii="宋体"/>
      <w:color w:val="000000"/>
      <w:sz w:val="28"/>
      <w:szCs w:val="20"/>
    </w:rPr>
  </w:style>
  <w:style w:type="character" w:styleId="1165">
    <w:name w:val="普通文字1 Char1"/>
    <w:next w:val="1165"/>
    <w:link w:val="1074"/>
    <w:qFormat/>
    <w:rPr>
      <w:rFonts w:ascii="宋体" w:hAnsi="Courier New" w:eastAsia="宋体"/>
      <w:sz w:val="21"/>
      <w:lang w:val="en-US" w:eastAsia="zh-CN" w:bidi="ar-SA"/>
    </w:rPr>
  </w:style>
  <w:style w:type="character" w:styleId="1166">
    <w:name w:val="chanpin1"/>
    <w:next w:val="1166"/>
    <w:link w:val="1074"/>
    <w:qFormat/>
    <w:rPr>
      <w:rFonts w:ascii="ˎ̥" w:hAnsi="ˎ̥"/>
      <w:color w:val="000000"/>
      <w:sz w:val="20"/>
      <w:szCs w:val="20"/>
      <w:u w:val="none"/>
    </w:rPr>
  </w:style>
  <w:style w:type="character" w:styleId="1167">
    <w:name w:val="列表段落 字符"/>
    <w:next w:val="1167"/>
    <w:link w:val="1168"/>
    <w:uiPriority w:val="34"/>
    <w:qFormat/>
    <w:rPr>
      <w:rFonts w:ascii="Calibri" w:hAnsi="Calibri" w:eastAsia="宋体"/>
      <w:sz w:val="21"/>
      <w:szCs w:val="22"/>
      <w:lang w:val="en-US" w:eastAsia="zh-CN" w:bidi="ar-SA"/>
    </w:rPr>
  </w:style>
  <w:style w:type="paragraph" w:styleId="1168">
    <w:name w:val="列表段落"/>
    <w:basedOn w:val="1074"/>
    <w:next w:val="1168"/>
    <w:link w:val="1167"/>
    <w:uiPriority w:val="34"/>
    <w:qFormat/>
    <w:pPr>
      <w:ind w:firstLine="420"/>
    </w:pPr>
    <w:rPr>
      <w:rFonts w:ascii="Calibri" w:hAnsi="Calibri"/>
      <w:szCs w:val="22"/>
    </w:rPr>
  </w:style>
  <w:style w:type="character" w:styleId="1169">
    <w:name w:val="标题 3 Char Char"/>
    <w:next w:val="1169"/>
    <w:link w:val="1074"/>
    <w:qFormat/>
    <w:rPr>
      <w:rFonts w:eastAsia="宋体"/>
      <w:b/>
      <w:bCs/>
      <w:sz w:val="32"/>
      <w:szCs w:val="32"/>
      <w:lang w:val="en-US" w:eastAsia="zh-CN" w:bidi="ar-SA"/>
    </w:rPr>
  </w:style>
  <w:style w:type="character" w:styleId="1170">
    <w:name w:val="段1 Char"/>
    <w:next w:val="1170"/>
    <w:link w:val="1074"/>
    <w:qFormat/>
    <w:rPr>
      <w:rFonts w:ascii="宋体" w:eastAsia="宋体"/>
      <w:sz w:val="24"/>
      <w:lang w:val="en-US" w:eastAsia="zh-CN" w:bidi="ar-SA"/>
    </w:rPr>
  </w:style>
  <w:style w:type="character" w:styleId="1171">
    <w:name w:val="chanpin拷贝"/>
    <w:next w:val="1171"/>
    <w:link w:val="1074"/>
    <w:qFormat/>
  </w:style>
  <w:style w:type="character" w:styleId="1172">
    <w:name w:val="纯文本 Char1"/>
    <w:next w:val="1172"/>
    <w:link w:val="1074"/>
    <w:uiPriority w:val="99"/>
    <w:qFormat/>
    <w:rPr>
      <w:rFonts w:ascii="宋体" w:hAnsi="Courier New" w:eastAsia="宋体"/>
      <w:sz w:val="21"/>
      <w:lang w:val="en-US" w:eastAsia="zh-CN" w:bidi="ar-SA"/>
    </w:rPr>
  </w:style>
  <w:style w:type="character" w:styleId="1173">
    <w:name w:val="apple-style-span"/>
    <w:next w:val="1173"/>
    <w:link w:val="1074"/>
    <w:qFormat/>
    <w:rPr>
      <w:rFonts w:cs="Times New Roman"/>
    </w:rPr>
  </w:style>
  <w:style w:type="paragraph" w:styleId="1174">
    <w:name w:val="二级条标题"/>
    <w:basedOn w:val="1175"/>
    <w:next w:val="1074"/>
    <w:link w:val="1074"/>
    <w:qFormat/>
    <w:pPr>
      <w:numPr>
        <w:ilvl w:val="0"/>
        <w:numId w:val="0"/>
      </w:numPr>
      <w:ind w:hanging="840"/>
      <w:tabs>
        <w:tab w:val="left" w:pos="360" w:leader="none"/>
        <w:tab w:val="left" w:pos="840" w:leader="none"/>
      </w:tabs>
      <w:outlineLvl w:val="2"/>
    </w:pPr>
    <w:rPr>
      <w:rFonts w:ascii="宋体" w:eastAsia="宋体"/>
      <w:b w:val="0"/>
    </w:rPr>
  </w:style>
  <w:style w:type="paragraph" w:styleId="1175">
    <w:name w:val="一级条标题"/>
    <w:basedOn w:val="1176"/>
    <w:next w:val="1074"/>
    <w:link w:val="1074"/>
    <w:qFormat/>
    <w:pPr>
      <w:numPr>
        <w:ilvl w:val="1"/>
      </w:numPr>
      <w:ind w:left="0" w:hanging="840"/>
      <w:tabs>
        <w:tab w:val="left" w:pos="360" w:leader="none"/>
        <w:tab w:val="left" w:pos="840" w:leader="none"/>
      </w:tabs>
      <w:outlineLvl w:val="1"/>
    </w:pPr>
  </w:style>
  <w:style w:type="paragraph" w:styleId="1176">
    <w:name w:val="章标题"/>
    <w:next w:val="1074"/>
    <w:link w:val="107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7">
    <w:name w:val="font7"/>
    <w:basedOn w:val="1074"/>
    <w:next w:val="1177"/>
    <w:link w:val="1074"/>
    <w:qFormat/>
    <w:pPr>
      <w:jc w:val="left"/>
      <w:spacing w:before="100" w:beforeAutospacing="1" w:after="100" w:afterAutospacing="1"/>
      <w:widowControl/>
    </w:pPr>
    <w:rPr>
      <w:rFonts w:eastAsia="Arial Unicode MS"/>
      <w:b/>
      <w:bCs/>
      <w:color w:val="000000"/>
      <w:sz w:val="20"/>
      <w:szCs w:val="20"/>
    </w:rPr>
  </w:style>
  <w:style w:type="paragraph" w:styleId="1178">
    <w:name w:val="字元 字元"/>
    <w:basedOn w:val="1074"/>
    <w:next w:val="1178"/>
    <w:link w:val="1074"/>
    <w:qFormat/>
    <w:rPr>
      <w:rFonts w:ascii="Tahoma" w:hAnsi="Tahoma"/>
      <w:sz w:val="24"/>
      <w:szCs w:val="20"/>
    </w:rPr>
  </w:style>
  <w:style w:type="paragraph" w:styleId="1179">
    <w:name w:val="Char3 Char Char Char"/>
    <w:basedOn w:val="1074"/>
    <w:next w:val="1179"/>
    <w:link w:val="1074"/>
    <w:qFormat/>
    <w:rPr>
      <w:rFonts w:ascii="Tahoma" w:hAnsi="Tahoma"/>
      <w:sz w:val="24"/>
      <w:szCs w:val="20"/>
    </w:rPr>
  </w:style>
  <w:style w:type="paragraph" w:styleId="1180">
    <w:name w:val="font6"/>
    <w:basedOn w:val="1074"/>
    <w:next w:val="1180"/>
    <w:link w:val="1074"/>
    <w:qFormat/>
    <w:pPr>
      <w:jc w:val="left"/>
      <w:spacing w:before="100" w:beforeAutospacing="1" w:after="100" w:afterAutospacing="1"/>
      <w:widowControl/>
    </w:pPr>
    <w:rPr>
      <w:rFonts w:ascii="宋体" w:hAnsi="宋体" w:cs="宋体"/>
      <w:sz w:val="20"/>
      <w:szCs w:val="20"/>
    </w:rPr>
  </w:style>
  <w:style w:type="paragraph" w:styleId="1181">
    <w:name w:val="项目编号2"/>
    <w:basedOn w:val="1182"/>
    <w:next w:val="1181"/>
    <w:link w:val="1074"/>
    <w:qFormat/>
    <w:pPr>
      <w:numPr>
        <w:numId w:val="3"/>
      </w:numPr>
    </w:pPr>
  </w:style>
  <w:style w:type="paragraph" w:styleId="1182">
    <w:name w:val="项目编号1"/>
    <w:basedOn w:val="1074"/>
    <w:next w:val="1182"/>
    <w:link w:val="1074"/>
    <w:qFormat/>
    <w:pPr>
      <w:numPr>
        <w:ilvl w:val="0"/>
        <w:numId w:val="2"/>
      </w:numPr>
      <w:spacing w:before="100" w:beforeAutospacing="1" w:after="100" w:afterAutospacing="1" w:line="360" w:lineRule="auto"/>
    </w:pPr>
    <w:rPr>
      <w:sz w:val="24"/>
    </w:rPr>
  </w:style>
  <w:style w:type="paragraph" w:styleId="1183">
    <w:name w:val="图中文字"/>
    <w:basedOn w:val="1074"/>
    <w:next w:val="1183"/>
    <w:link w:val="1074"/>
    <w:qFormat/>
    <w:pPr>
      <w:jc w:val="center"/>
      <w:spacing w:line="0" w:lineRule="atLeast"/>
    </w:pPr>
    <w:rPr>
      <w:sz w:val="24"/>
      <w:szCs w:val="20"/>
    </w:rPr>
  </w:style>
  <w:style w:type="paragraph" w:styleId="1184">
    <w:name w:val="xl46"/>
    <w:basedOn w:val="1074"/>
    <w:next w:val="1184"/>
    <w:link w:val="107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5">
    <w:name w:val="xl25"/>
    <w:basedOn w:val="1074"/>
    <w:next w:val="1185"/>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name w:val="Char2"/>
    <w:basedOn w:val="1074"/>
    <w:next w:val="1186"/>
    <w:link w:val="1074"/>
    <w:qFormat/>
    <w:rPr>
      <w:rFonts w:ascii="Tahoma" w:hAnsi="Tahoma"/>
      <w:sz w:val="24"/>
      <w:szCs w:val="20"/>
    </w:rPr>
  </w:style>
  <w:style w:type="paragraph" w:styleId="1187">
    <w:name w:val="xl35"/>
    <w:basedOn w:val="1074"/>
    <w:next w:val="1187"/>
    <w:link w:val="107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8">
    <w:name w:val="xl40"/>
    <w:basedOn w:val="1074"/>
    <w:next w:val="1188"/>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9">
    <w:name w:val="xl52"/>
    <w:basedOn w:val="1074"/>
    <w:next w:val="1189"/>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0">
    <w:name w:val="xl43"/>
    <w:basedOn w:val="1074"/>
    <w:next w:val="1190"/>
    <w:link w:val="107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1">
    <w:name w:val="background1"/>
    <w:basedOn w:val="1074"/>
    <w:next w:val="1191"/>
    <w:link w:val="1074"/>
    <w:qFormat/>
    <w:pPr>
      <w:jc w:val="left"/>
      <w:spacing w:before="100" w:beforeAutospacing="1" w:after="100" w:afterAutospacing="1"/>
      <w:widowControl/>
    </w:pPr>
    <w:rPr>
      <w:rFonts w:ascii="宋体" w:hAnsi="宋体" w:cs="宋体"/>
      <w:sz w:val="24"/>
    </w:rPr>
  </w:style>
  <w:style w:type="paragraph" w:styleId="1192">
    <w:name w:val="Char Char Char Char Char Char Char"/>
    <w:basedOn w:val="1074"/>
    <w:next w:val="1192"/>
    <w:link w:val="1074"/>
    <w:qFormat/>
    <w:pPr>
      <w:ind w:firstLine="200"/>
      <w:spacing w:line="360" w:lineRule="auto"/>
    </w:pPr>
    <w:rPr>
      <w:rFonts w:eastAsia="仿宋_GB2312"/>
      <w:sz w:val="24"/>
    </w:rPr>
  </w:style>
  <w:style w:type="paragraph" w:styleId="1193">
    <w:name w:val="xl38"/>
    <w:basedOn w:val="1074"/>
    <w:next w:val="1193"/>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4">
    <w:name w:val="xl36"/>
    <w:basedOn w:val="1074"/>
    <w:next w:val="1194"/>
    <w:link w:val="107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正文 + 宋体"/>
    <w:basedOn w:val="1074"/>
    <w:next w:val="1195"/>
    <w:link w:val="1074"/>
    <w:qFormat/>
    <w:pPr>
      <w:ind w:left="360" w:hanging="360"/>
      <w:jc w:val="left"/>
      <w:widowControl/>
    </w:pPr>
    <w:rPr>
      <w:rFonts w:ascii="宋体" w:hAnsi="宋体" w:cs="宋体"/>
      <w:b/>
      <w:bCs/>
      <w:color w:val="000000"/>
      <w:sz w:val="18"/>
      <w:szCs w:val="18"/>
    </w:rPr>
  </w:style>
  <w:style w:type="paragraph" w:styleId="1196">
    <w:name w:val="正文列项_数字"/>
    <w:basedOn w:val="1074"/>
    <w:next w:val="1196"/>
    <w:link w:val="1074"/>
    <w:qFormat/>
    <w:pPr>
      <w:numPr>
        <w:ilvl w:val="7"/>
        <w:numId w:val="1"/>
      </w:numPr>
      <w:ind w:left="680" w:hanging="150"/>
      <w:spacing w:line="460" w:lineRule="exact"/>
      <w:tabs>
        <w:tab w:val="clear" w:pos="860" w:leader="none"/>
      </w:tabs>
      <w:outlineLvl w:val="7"/>
    </w:pPr>
    <w:rPr>
      <w:rFonts w:ascii="宋体"/>
      <w:sz w:val="28"/>
      <w:szCs w:val="20"/>
    </w:rPr>
  </w:style>
  <w:style w:type="paragraph" w:styleId="1197">
    <w:name w:val="xl39"/>
    <w:basedOn w:val="1074"/>
    <w:next w:val="1197"/>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xl37"/>
    <w:basedOn w:val="1074"/>
    <w:next w:val="1198"/>
    <w:link w:val="107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9">
    <w:name w:val="xl32"/>
    <w:basedOn w:val="1074"/>
    <w:next w:val="1199"/>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0">
    <w:name w:val="font8"/>
    <w:basedOn w:val="1074"/>
    <w:next w:val="1200"/>
    <w:link w:val="1074"/>
    <w:qFormat/>
    <w:pPr>
      <w:jc w:val="left"/>
      <w:spacing w:before="100" w:beforeAutospacing="1" w:after="100" w:afterAutospacing="1"/>
      <w:widowControl/>
    </w:pPr>
    <w:rPr>
      <w:sz w:val="36"/>
      <w:szCs w:val="36"/>
    </w:rPr>
  </w:style>
  <w:style w:type="paragraph" w:styleId="1201">
    <w:name w:val="Char"/>
    <w:basedOn w:val="1074"/>
    <w:next w:val="1201"/>
    <w:link w:val="1074"/>
    <w:qFormat/>
    <w:pPr>
      <w:tabs>
        <w:tab w:val="left" w:pos="360" w:leader="none"/>
      </w:tabs>
    </w:pPr>
    <w:rPr>
      <w:sz w:val="24"/>
    </w:rPr>
  </w:style>
  <w:style w:type="paragraph" w:styleId="1202">
    <w:name w:val="Char Char Char Char Char Char Char Char Char Char Char Char Char Char Char Char"/>
    <w:basedOn w:val="1074"/>
    <w:next w:val="1202"/>
    <w:link w:val="1074"/>
    <w:qFormat/>
    <w:pPr>
      <w:jc w:val="center"/>
      <w:spacing w:after="160" w:line="240" w:lineRule="exact"/>
      <w:widowControl/>
    </w:pPr>
    <w:rPr>
      <w:rFonts w:ascii="宋体" w:hAnsi="宋体"/>
      <w:b/>
      <w:sz w:val="30"/>
      <w:szCs w:val="30"/>
      <w:lang w:eastAsia="en-US"/>
    </w:rPr>
  </w:style>
  <w:style w:type="paragraph" w:styleId="1203">
    <w:name w:val="xl45"/>
    <w:basedOn w:val="1074"/>
    <w:next w:val="1203"/>
    <w:link w:val="107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4">
    <w:name w:val="Char Char1 Char Char Char Char Char Char"/>
    <w:basedOn w:val="1074"/>
    <w:next w:val="1204"/>
    <w:link w:val="1074"/>
    <w:qFormat/>
    <w:pPr>
      <w:jc w:val="left"/>
      <w:spacing w:after="160" w:line="240" w:lineRule="exact"/>
      <w:widowControl/>
    </w:pPr>
    <w:rPr>
      <w:rFonts w:ascii="Verdana" w:hAnsi="Verdana" w:eastAsia="仿宋_GB2312"/>
      <w:sz w:val="24"/>
      <w:szCs w:val="20"/>
      <w:lang w:eastAsia="en-US"/>
    </w:rPr>
  </w:style>
  <w:style w:type="paragraph" w:styleId="1205">
    <w:name w:val="Char Char1"/>
    <w:basedOn w:val="1099"/>
    <w:next w:val="1205"/>
    <w:link w:val="1074"/>
    <w:qFormat/>
    <w:rPr>
      <w:rFonts w:ascii="Tahoma" w:hAnsi="Tahoma"/>
      <w:sz w:val="24"/>
    </w:rPr>
  </w:style>
  <w:style w:type="paragraph" w:styleId="1206">
    <w:name w:val="xl26"/>
    <w:basedOn w:val="1074"/>
    <w:next w:val="1206"/>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7">
    <w:name w:val="xl30"/>
    <w:basedOn w:val="1074"/>
    <w:next w:val="1207"/>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8">
    <w:name w:val="xl41"/>
    <w:basedOn w:val="1074"/>
    <w:next w:val="1208"/>
    <w:link w:val="107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9">
    <w:name w:val="样式 宋体 五号 行距: 单倍行距"/>
    <w:basedOn w:val="1074"/>
    <w:next w:val="1209"/>
    <w:link w:val="1074"/>
    <w:qFormat/>
    <w:pPr>
      <w:jc w:val="left"/>
    </w:pPr>
    <w:rPr>
      <w:rFonts w:ascii="宋体" w:hAnsi="宋体"/>
      <w:szCs w:val="20"/>
    </w:rPr>
  </w:style>
  <w:style w:type="paragraph" w:styleId="1210">
    <w:name w:val="Char1 Char Char Char1"/>
    <w:basedOn w:val="1074"/>
    <w:next w:val="1210"/>
    <w:link w:val="1074"/>
    <w:qFormat/>
    <w:rPr>
      <w:rFonts w:ascii="Tahoma" w:hAnsi="Tahoma" w:cs="仿宋_GB2312"/>
      <w:sz w:val="24"/>
      <w:szCs w:val="28"/>
    </w:rPr>
  </w:style>
  <w:style w:type="paragraph" w:styleId="1211">
    <w:name w:val="四级条标题"/>
    <w:basedOn w:val="1212"/>
    <w:next w:val="1074"/>
    <w:link w:val="1074"/>
    <w:qFormat/>
    <w:pPr>
      <w:numPr>
        <w:ilvl w:val="4"/>
      </w:numPr>
      <w:ind w:left="0" w:hanging="840"/>
      <w:tabs>
        <w:tab w:val="left" w:pos="360" w:leader="none"/>
        <w:tab w:val="left" w:pos="840" w:leader="none"/>
      </w:tabs>
      <w:outlineLvl w:val="4"/>
    </w:pPr>
  </w:style>
  <w:style w:type="paragraph" w:styleId="1212">
    <w:name w:val="三级条标题"/>
    <w:basedOn w:val="1174"/>
    <w:next w:val="1074"/>
    <w:link w:val="1074"/>
    <w:qFormat/>
    <w:pPr>
      <w:numPr>
        <w:ilvl w:val="3"/>
        <w:numId w:val="1"/>
      </w:numPr>
      <w:ind w:left="0" w:hanging="840"/>
      <w:tabs>
        <w:tab w:val="left" w:pos="360" w:leader="none"/>
        <w:tab w:val="left" w:pos="840" w:leader="none"/>
      </w:tabs>
      <w:outlineLvl w:val="3"/>
    </w:pPr>
  </w:style>
  <w:style w:type="paragraph" w:styleId="1213">
    <w:name w:val="??"/>
    <w:next w:val="1213"/>
    <w:link w:val="1074"/>
    <w:qFormat/>
    <w:pPr>
      <w:jc w:val="both"/>
      <w:widowControl w:val="off"/>
    </w:pPr>
    <w:rPr>
      <w:sz w:val="21"/>
      <w:lang w:val="en-US" w:eastAsia="en-US" w:bidi="ar-SA"/>
    </w:rPr>
  </w:style>
  <w:style w:type="paragraph" w:styleId="1214">
    <w:name w:val="样式 标题 2 + 宋体 五号 行距: 单倍行距"/>
    <w:basedOn w:val="1076"/>
    <w:next w:val="1214"/>
    <w:link w:val="107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5">
    <w:name w:val="List Paragraph1"/>
    <w:basedOn w:val="1074"/>
    <w:next w:val="1215"/>
    <w:link w:val="1074"/>
    <w:qFormat/>
    <w:pPr>
      <w:ind w:firstLine="420"/>
    </w:pPr>
    <w:rPr>
      <w:rFonts w:ascii="Calibri" w:hAnsi="Calibri"/>
      <w:szCs w:val="22"/>
    </w:rPr>
  </w:style>
  <w:style w:type="paragraph" w:styleId="1216">
    <w:name w:val="项目符号1"/>
    <w:basedOn w:val="1217"/>
    <w:next w:val="1216"/>
    <w:link w:val="1074"/>
    <w:qFormat/>
    <w:pPr>
      <w:ind w:left="-25" w:firstLine="0"/>
    </w:pPr>
  </w:style>
  <w:style w:type="paragraph" w:styleId="1217">
    <w:name w:val="正文文本样式"/>
    <w:basedOn w:val="1074"/>
    <w:next w:val="1217"/>
    <w:link w:val="1074"/>
    <w:qFormat/>
    <w:pPr>
      <w:ind w:firstLine="482"/>
      <w:spacing w:line="360" w:lineRule="auto"/>
    </w:pPr>
    <w:rPr>
      <w:rFonts w:cs="宋体"/>
      <w:sz w:val="24"/>
      <w:szCs w:val="20"/>
    </w:rPr>
  </w:style>
  <w:style w:type="paragraph" w:styleId="1218">
    <w:name w:val="xl27"/>
    <w:basedOn w:val="1074"/>
    <w:next w:val="1218"/>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9">
    <w:name w:val="font5"/>
    <w:basedOn w:val="1074"/>
    <w:next w:val="1219"/>
    <w:link w:val="1074"/>
    <w:qFormat/>
    <w:pPr>
      <w:jc w:val="left"/>
      <w:spacing w:before="100" w:beforeAutospacing="1" w:after="100" w:afterAutospacing="1"/>
      <w:widowControl/>
    </w:pPr>
    <w:rPr>
      <w:rFonts w:ascii="宋体" w:hAnsi="宋体" w:cs="宋体"/>
      <w:sz w:val="18"/>
      <w:szCs w:val="18"/>
    </w:rPr>
  </w:style>
  <w:style w:type="paragraph" w:styleId="1220">
    <w:name w:val="五级条标题"/>
    <w:basedOn w:val="1211"/>
    <w:next w:val="1074"/>
    <w:link w:val="1074"/>
    <w:qFormat/>
    <w:pPr>
      <w:numPr>
        <w:ilvl w:val="5"/>
      </w:numPr>
      <w:ind w:left="0" w:hanging="840"/>
      <w:tabs>
        <w:tab w:val="left" w:pos="360" w:leader="none"/>
        <w:tab w:val="left" w:pos="840" w:leader="none"/>
      </w:tabs>
      <w:outlineLvl w:val="5"/>
    </w:pPr>
  </w:style>
  <w:style w:type="paragraph" w:styleId="1221">
    <w:name w:val="xl49"/>
    <w:basedOn w:val="1074"/>
    <w:next w:val="1221"/>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2">
    <w:name w:val="文档正文"/>
    <w:basedOn w:val="1074"/>
    <w:next w:val="1222"/>
    <w:link w:val="1074"/>
    <w:qFormat/>
    <w:pPr>
      <w:spacing w:before="120" w:after="120" w:line="180" w:lineRule="auto"/>
    </w:pPr>
    <w:rPr>
      <w:rFonts w:ascii="Arial" w:hAnsi="Arial"/>
      <w:szCs w:val="20"/>
    </w:rPr>
  </w:style>
  <w:style w:type="paragraph" w:styleId="1223">
    <w:name w:val="xl33"/>
    <w:basedOn w:val="1074"/>
    <w:next w:val="1223"/>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4">
    <w:name w:val="xl42"/>
    <w:basedOn w:val="1074"/>
    <w:next w:val="1224"/>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5">
    <w:name w:val="Char Char Char1 Char"/>
    <w:basedOn w:val="1074"/>
    <w:next w:val="1225"/>
    <w:link w:val="1074"/>
    <w:qFormat/>
    <w:rPr>
      <w:rFonts w:ascii="Tahoma" w:hAnsi="Tahoma"/>
      <w:sz w:val="24"/>
      <w:szCs w:val="20"/>
    </w:rPr>
  </w:style>
  <w:style w:type="paragraph" w:styleId="1226">
    <w:name w:val="xl44"/>
    <w:basedOn w:val="1074"/>
    <w:next w:val="1226"/>
    <w:link w:val="107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7">
    <w:name w:val="1名"/>
    <w:basedOn w:val="1074"/>
    <w:next w:val="1227"/>
    <w:link w:val="1074"/>
    <w:qFormat/>
    <w:pPr>
      <w:numPr>
        <w:ilvl w:val="0"/>
        <w:numId w:val="5"/>
      </w:numPr>
      <w:spacing w:before="120"/>
      <w:tabs>
        <w:tab w:val="left" w:pos="360" w:leader="none"/>
      </w:tabs>
    </w:pPr>
    <w:rPr>
      <w:rFonts w:ascii="宋体"/>
      <w:sz w:val="28"/>
      <w:szCs w:val="20"/>
    </w:rPr>
  </w:style>
  <w:style w:type="paragraph" w:styleId="1228">
    <w:name w:val="font9"/>
    <w:basedOn w:val="1074"/>
    <w:next w:val="1228"/>
    <w:link w:val="1074"/>
    <w:qFormat/>
    <w:pPr>
      <w:jc w:val="left"/>
      <w:spacing w:before="100" w:beforeAutospacing="1" w:after="100" w:afterAutospacing="1"/>
      <w:widowControl/>
    </w:pPr>
    <w:rPr>
      <w:rFonts w:hint="eastAsia" w:ascii="宋体" w:hAnsi="宋体" w:cs="Arial Unicode MS"/>
      <w:color w:val="000000"/>
      <w:sz w:val="20"/>
      <w:szCs w:val="20"/>
    </w:rPr>
  </w:style>
  <w:style w:type="paragraph" w:styleId="1229">
    <w:name w:val="Char Char Char1 Char1"/>
    <w:basedOn w:val="1074"/>
    <w:next w:val="1229"/>
    <w:link w:val="1074"/>
    <w:qFormat/>
    <w:rPr>
      <w:rFonts w:ascii="Tahoma" w:hAnsi="Tahoma"/>
      <w:sz w:val="24"/>
      <w:szCs w:val="20"/>
    </w:rPr>
  </w:style>
  <w:style w:type="paragraph" w:styleId="1230">
    <w:name w:val="Char Char Char Char Char Char Char Char Char Char"/>
    <w:basedOn w:val="1074"/>
    <w:next w:val="1230"/>
    <w:link w:val="1074"/>
    <w:qFormat/>
  </w:style>
  <w:style w:type="paragraph" w:styleId="1231">
    <w:name w:val="Char Char1 Char Char Char Char Char Char Char Char"/>
    <w:basedOn w:val="1074"/>
    <w:next w:val="1231"/>
    <w:link w:val="1074"/>
    <w:qFormat/>
    <w:pPr>
      <w:jc w:val="left"/>
      <w:spacing w:after="160" w:line="240" w:lineRule="exact"/>
      <w:widowControl/>
    </w:pPr>
    <w:rPr>
      <w:rFonts w:ascii="Verdana" w:hAnsi="Verdana"/>
      <w:sz w:val="20"/>
      <w:szCs w:val="20"/>
      <w:lang w:eastAsia="en-US"/>
    </w:rPr>
  </w:style>
  <w:style w:type="paragraph" w:styleId="1232">
    <w:name w:val="Char1"/>
    <w:basedOn w:val="1074"/>
    <w:next w:val="1232"/>
    <w:link w:val="1074"/>
    <w:qFormat/>
    <w:pPr>
      <w:tabs>
        <w:tab w:val="left" w:pos="360" w:leader="none"/>
      </w:tabs>
    </w:pPr>
    <w:rPr>
      <w:sz w:val="24"/>
    </w:rPr>
  </w:style>
  <w:style w:type="paragraph" w:styleId="1233">
    <w:name w:val="正文列项_字母"/>
    <w:basedOn w:val="1074"/>
    <w:next w:val="1233"/>
    <w:link w:val="1074"/>
    <w:qFormat/>
    <w:pPr>
      <w:numPr>
        <w:ilvl w:val="6"/>
        <w:numId w:val="1"/>
      </w:numPr>
      <w:ind w:left="480" w:hanging="180"/>
      <w:spacing w:line="460" w:lineRule="exact"/>
      <w:tabs>
        <w:tab w:val="clear" w:pos="635" w:leader="none"/>
      </w:tabs>
      <w:outlineLvl w:val="6"/>
    </w:pPr>
    <w:rPr>
      <w:rFonts w:ascii="宋体"/>
      <w:sz w:val="28"/>
      <w:szCs w:val="20"/>
    </w:rPr>
  </w:style>
  <w:style w:type="paragraph" w:styleId="1234">
    <w:name w:val="xl28"/>
    <w:basedOn w:val="1074"/>
    <w:next w:val="1234"/>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5">
    <w:name w:val="xl47"/>
    <w:basedOn w:val="1074"/>
    <w:next w:val="1235"/>
    <w:link w:val="107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默认段落字体 Para Char Char Char Char"/>
    <w:basedOn w:val="1074"/>
    <w:next w:val="1236"/>
    <w:link w:val="1074"/>
    <w:qFormat/>
    <w:rPr>
      <w:rFonts w:ascii="Arial" w:hAnsi="Arial" w:cs="Arial"/>
      <w:szCs w:val="21"/>
    </w:rPr>
  </w:style>
  <w:style w:type="paragraph" w:styleId="1237">
    <w:name w:val="xl48"/>
    <w:basedOn w:val="1074"/>
    <w:next w:val="1237"/>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8">
    <w:name w:val="xl31"/>
    <w:basedOn w:val="1074"/>
    <w:next w:val="1238"/>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9">
    <w:name w:val="xl53"/>
    <w:basedOn w:val="1074"/>
    <w:next w:val="1239"/>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0">
    <w:name w:val="Char Char Char"/>
    <w:basedOn w:val="1074"/>
    <w:next w:val="1240"/>
    <w:link w:val="1074"/>
    <w:qFormat/>
    <w:rPr>
      <w:rFonts w:ascii="Tahoma" w:hAnsi="Tahoma"/>
      <w:sz w:val="24"/>
      <w:szCs w:val="20"/>
    </w:rPr>
  </w:style>
  <w:style w:type="paragraph" w:styleId="1241">
    <w:name w:val="xl50"/>
    <w:basedOn w:val="1074"/>
    <w:next w:val="1241"/>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2">
    <w:name w:val="缺省文本"/>
    <w:basedOn w:val="1074"/>
    <w:next w:val="1242"/>
    <w:link w:val="1074"/>
    <w:qFormat/>
    <w:pPr>
      <w:jc w:val="left"/>
    </w:pPr>
    <w:rPr>
      <w:sz w:val="24"/>
    </w:rPr>
  </w:style>
  <w:style w:type="paragraph" w:styleId="1243">
    <w:name w:val="Char Char Char1"/>
    <w:basedOn w:val="1074"/>
    <w:next w:val="1243"/>
    <w:link w:val="1074"/>
    <w:qFormat/>
    <w:rPr>
      <w:rFonts w:ascii="Tahoma" w:hAnsi="Tahoma"/>
      <w:sz w:val="24"/>
      <w:szCs w:val="20"/>
    </w:rPr>
  </w:style>
  <w:style w:type="paragraph" w:styleId="1244">
    <w:name w:val="Char Char Char Char Char Char Char1"/>
    <w:basedOn w:val="1074"/>
    <w:next w:val="1244"/>
    <w:link w:val="1074"/>
    <w:qFormat/>
    <w:pPr>
      <w:ind w:firstLine="200"/>
      <w:spacing w:line="360" w:lineRule="auto"/>
    </w:pPr>
    <w:rPr>
      <w:rFonts w:eastAsia="仿宋_GB2312"/>
      <w:sz w:val="24"/>
    </w:rPr>
  </w:style>
  <w:style w:type="paragraph" w:styleId="1245">
    <w:name w:val="xl51"/>
    <w:basedOn w:val="1074"/>
    <w:next w:val="1245"/>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样式2"/>
    <w:basedOn w:val="1136"/>
    <w:next w:val="1246"/>
    <w:link w:val="1074"/>
    <w:qFormat/>
    <w:pPr>
      <w:jc w:val="center"/>
      <w:spacing w:line="360" w:lineRule="auto"/>
    </w:pPr>
    <w:rPr>
      <w:sz w:val="24"/>
    </w:rPr>
  </w:style>
  <w:style w:type="paragraph" w:styleId="1247">
    <w:name w:val="xl24"/>
    <w:basedOn w:val="1074"/>
    <w:next w:val="1247"/>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name w:val="xl29"/>
    <w:basedOn w:val="1074"/>
    <w:next w:val="1248"/>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9">
    <w:name w:val="正文 + 楷体_GB2312"/>
    <w:basedOn w:val="1074"/>
    <w:next w:val="1249"/>
    <w:link w:val="1074"/>
    <w:qFormat/>
    <w:pPr>
      <w:jc w:val="left"/>
      <w:widowControl/>
    </w:pPr>
    <w:rPr>
      <w:rFonts w:ascii="楷体_GB2312" w:eastAsia="楷体_GB2312" w:cs="Arial"/>
      <w:sz w:val="24"/>
    </w:rPr>
  </w:style>
  <w:style w:type="paragraph" w:styleId="1250">
    <w:name w:val="xl34"/>
    <w:basedOn w:val="1074"/>
    <w:next w:val="1250"/>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1">
    <w:name w:val="1 Char Char Char Char"/>
    <w:basedOn w:val="1074"/>
    <w:next w:val="1251"/>
    <w:link w:val="1074"/>
    <w:qFormat/>
    <w:rPr>
      <w:rFonts w:ascii="Tahoma" w:hAnsi="Tahoma"/>
      <w:sz w:val="24"/>
      <w:szCs w:val="20"/>
    </w:rPr>
  </w:style>
  <w:style w:type="paragraph" w:styleId="1252">
    <w:name w:val="Default"/>
    <w:next w:val="1252"/>
    <w:link w:val="1074"/>
    <w:qFormat/>
    <w:pPr>
      <w:widowControl w:val="off"/>
    </w:pPr>
    <w:rPr>
      <w:rFonts w:ascii="Symbol" w:hAnsi="Symbol" w:cs="Symbol"/>
      <w:color w:val="000000"/>
      <w:sz w:val="24"/>
      <w:szCs w:val="24"/>
      <w:lang w:val="en-US" w:eastAsia="zh-CN" w:bidi="ar-SA"/>
    </w:rPr>
  </w:style>
  <w:style w:type="paragraph" w:styleId="1253">
    <w:name w:val="列出段落1"/>
    <w:basedOn w:val="1074"/>
    <w:next w:val="1253"/>
    <w:link w:val="1074"/>
    <w:qFormat/>
    <w:pPr>
      <w:ind w:firstLine="420"/>
    </w:pPr>
    <w:rPr>
      <w:rFonts w:ascii="Calibri" w:hAnsi="Calibri"/>
      <w:szCs w:val="22"/>
    </w:rPr>
  </w:style>
  <w:style w:type="paragraph" w:styleId="1254">
    <w:name w:val="default"/>
    <w:basedOn w:val="1074"/>
    <w:next w:val="1254"/>
    <w:link w:val="1074"/>
    <w:qFormat/>
    <w:pPr>
      <w:jc w:val="left"/>
      <w:spacing w:before="100" w:beforeAutospacing="1" w:after="100" w:afterAutospacing="1"/>
      <w:widowControl/>
    </w:pPr>
    <w:rPr>
      <w:rFonts w:ascii="宋体" w:hAnsi="宋体" w:cs="宋体"/>
      <w:sz w:val="24"/>
    </w:rPr>
  </w:style>
  <w:style w:type="paragraph" w:styleId="1255">
    <w:name w:val="字元 字元1"/>
    <w:basedOn w:val="1074"/>
    <w:next w:val="1255"/>
    <w:link w:val="1074"/>
    <w:qFormat/>
    <w:rPr>
      <w:rFonts w:ascii="Tahoma" w:hAnsi="Tahoma"/>
      <w:sz w:val="24"/>
      <w:szCs w:val="20"/>
    </w:rPr>
  </w:style>
  <w:style w:type="paragraph" w:styleId="1256">
    <w:name w:val="_Style 160"/>
    <w:next w:val="1256"/>
    <w:link w:val="1074"/>
    <w:qFormat/>
    <w:rPr>
      <w:sz w:val="21"/>
      <w:szCs w:val="24"/>
      <w:lang w:val="en-US" w:eastAsia="zh-CN" w:bidi="ar-SA"/>
    </w:rPr>
  </w:style>
  <w:style w:type="paragraph" w:styleId="1257">
    <w:name w:val="项目编号3"/>
    <w:basedOn w:val="1217"/>
    <w:next w:val="1257"/>
    <w:link w:val="1074"/>
    <w:qFormat/>
    <w:pPr>
      <w:numPr>
        <w:ilvl w:val="0"/>
        <w:numId w:val="6"/>
      </w:numPr>
    </w:pPr>
  </w:style>
  <w:style w:type="paragraph" w:styleId="1258">
    <w:name w:val="Char21"/>
    <w:basedOn w:val="1074"/>
    <w:next w:val="1258"/>
    <w:link w:val="1074"/>
    <w:qFormat/>
    <w:rPr>
      <w:rFonts w:ascii="Tahoma" w:hAnsi="Tahoma"/>
      <w:sz w:val="24"/>
      <w:szCs w:val="20"/>
    </w:rPr>
  </w:style>
  <w:style w:type="paragraph" w:styleId="1259">
    <w:name w:val="表格文字"/>
    <w:basedOn w:val="1107"/>
    <w:next w:val="1259"/>
    <w:link w:val="1074"/>
    <w:qFormat/>
    <w:pPr>
      <w:ind w:firstLine="0"/>
      <w:spacing w:before="20" w:after="20" w:line="240" w:lineRule="auto"/>
    </w:pPr>
    <w:rPr>
      <w:rFonts w:ascii="Century Gothic" w:hAnsi="Century Gothic"/>
      <w:sz w:val="20"/>
      <w:szCs w:val="20"/>
    </w:rPr>
  </w:style>
  <w:style w:type="paragraph" w:styleId="1260">
    <w:name w:val="Char Char Char Char Char Char Char Char Char Char1"/>
    <w:basedOn w:val="1074"/>
    <w:next w:val="1260"/>
    <w:link w:val="1074"/>
    <w:qFormat/>
    <w:rPr>
      <w:rFonts w:ascii="宋体" w:hAnsi="宋体" w:cs="Courier New"/>
      <w:sz w:val="32"/>
      <w:szCs w:val="32"/>
    </w:rPr>
  </w:style>
  <w:style w:type="paragraph" w:styleId="1261">
    <w:name w:val="正文文本样式 加粗"/>
    <w:basedOn w:val="1217"/>
    <w:next w:val="1261"/>
    <w:link w:val="1074"/>
    <w:qFormat/>
    <w:rPr>
      <w:b/>
    </w:rPr>
  </w:style>
  <w:style w:type="paragraph" w:styleId="1262">
    <w:name w:val="Char2 Char Char Char Char Char Char"/>
    <w:basedOn w:val="1074"/>
    <w:next w:val="1262"/>
    <w:link w:val="1074"/>
    <w:qFormat/>
    <w:pPr>
      <w:jc w:val="center"/>
      <w:spacing w:line="400" w:lineRule="exact"/>
      <w:widowControl/>
    </w:pPr>
  </w:style>
  <w:style w:type="paragraph" w:styleId="1263">
    <w:name w:val="Char Char4"/>
    <w:basedOn w:val="1074"/>
    <w:next w:val="1263"/>
    <w:link w:val="1074"/>
    <w:qFormat/>
    <w:pPr>
      <w:jc w:val="center"/>
      <w:spacing w:line="400" w:lineRule="exact"/>
      <w:widowControl/>
    </w:pPr>
  </w:style>
  <w:style w:type="paragraph" w:styleId="1264">
    <w:name w:val="Char3 Char Char Char1"/>
    <w:basedOn w:val="1074"/>
    <w:next w:val="1264"/>
    <w:link w:val="1074"/>
    <w:qFormat/>
    <w:rPr>
      <w:rFonts w:ascii="Tahoma" w:hAnsi="Tahoma"/>
      <w:sz w:val="24"/>
      <w:szCs w:val="20"/>
    </w:rPr>
  </w:style>
  <w:style w:type="paragraph" w:styleId="1265">
    <w:name w:val="无间隔"/>
    <w:next w:val="1265"/>
    <w:link w:val="1074"/>
    <w:qFormat/>
    <w:pPr>
      <w:jc w:val="both"/>
      <w:widowControl w:val="off"/>
    </w:pPr>
    <w:rPr>
      <w:sz w:val="21"/>
      <w:szCs w:val="24"/>
      <w:lang w:val="en-US" w:eastAsia="zh-CN" w:bidi="ar-SA"/>
    </w:rPr>
  </w:style>
  <w:style w:type="paragraph" w:styleId="1266">
    <w:name w:val="22222222222222"/>
    <w:basedOn w:val="1074"/>
    <w:next w:val="1266"/>
    <w:link w:val="1074"/>
    <w:qFormat/>
    <w:pPr>
      <w:ind w:firstLine="480"/>
      <w:jc w:val="left"/>
      <w:spacing w:line="360" w:lineRule="auto"/>
      <w:widowControl/>
    </w:pPr>
    <w:rPr>
      <w:color w:val="ff0000"/>
      <w:sz w:val="24"/>
      <w:szCs w:val="20"/>
    </w:rPr>
  </w:style>
  <w:style w:type="character" w:styleId="1267">
    <w:name w:val="中等深浅网格 1 - 强调文字颜色 2 Char"/>
    <w:next w:val="1267"/>
    <w:link w:val="1268"/>
    <w:qFormat/>
    <w:rPr>
      <w:sz w:val="21"/>
      <w:szCs w:val="24"/>
      <w:lang w:val="zh-CN" w:eastAsia="zh-CN" w:bidi="ar-SA"/>
    </w:rPr>
  </w:style>
  <w:style w:type="paragraph" w:styleId="1268">
    <w:name w:val="1"/>
    <w:next w:val="1268"/>
    <w:link w:val="1267"/>
    <w:qFormat/>
    <w:rPr>
      <w:sz w:val="21"/>
      <w:szCs w:val="24"/>
      <w:lang w:val="zh-CN" w:eastAsia="zh-CN" w:bidi="ar-SA"/>
    </w:rPr>
  </w:style>
  <w:style w:type="paragraph" w:styleId="1269">
    <w:name w:val="图文"/>
    <w:basedOn w:val="1074"/>
    <w:next w:val="1269"/>
    <w:link w:val="1074"/>
    <w:qFormat/>
    <w:pPr>
      <w:spacing w:after="50" w:line="360" w:lineRule="auto"/>
    </w:pPr>
    <w:rPr>
      <w:sz w:val="24"/>
    </w:rPr>
  </w:style>
  <w:style w:type="paragraph" w:styleId="1270">
    <w:name w:val="xl23"/>
    <w:basedOn w:val="1074"/>
    <w:next w:val="1270"/>
    <w:link w:val="1074"/>
    <w:qFormat/>
    <w:pPr>
      <w:spacing w:before="100" w:beforeAutospacing="1" w:after="100" w:afterAutospacing="1" w:line="360" w:lineRule="auto"/>
      <w:widowControl/>
    </w:pPr>
    <w:rPr>
      <w:sz w:val="24"/>
      <w:szCs w:val="20"/>
    </w:rPr>
  </w:style>
  <w:style w:type="paragraph" w:styleId="1271">
    <w:name w:val="正文表格"/>
    <w:basedOn w:val="1074"/>
    <w:next w:val="1271"/>
    <w:link w:val="1272"/>
    <w:qFormat/>
    <w:pPr>
      <w:jc w:val="left"/>
    </w:pPr>
    <w:rPr>
      <w:rFonts w:ascii="宋体" w:hAnsi="宋体"/>
      <w:color w:val="000000"/>
      <w:szCs w:val="21"/>
    </w:rPr>
  </w:style>
  <w:style w:type="character" w:styleId="1272">
    <w:name w:val="正文表格 Char"/>
    <w:next w:val="1272"/>
    <w:link w:val="1271"/>
    <w:qFormat/>
    <w:rPr>
      <w:rFonts w:ascii="宋体" w:hAnsi="宋体"/>
      <w:color w:val="000000"/>
      <w:sz w:val="21"/>
      <w:szCs w:val="21"/>
    </w:rPr>
  </w:style>
  <w:style w:type="paragraph" w:styleId="1273">
    <w:name w:val="正文重点"/>
    <w:basedOn w:val="1074"/>
    <w:next w:val="1273"/>
    <w:link w:val="1274"/>
    <w:qFormat/>
    <w:pPr>
      <w:ind w:firstLine="482"/>
      <w:jc w:val="left"/>
      <w:spacing w:line="360" w:lineRule="auto"/>
    </w:pPr>
    <w:rPr>
      <w:b/>
      <w:sz w:val="24"/>
      <w:szCs w:val="20"/>
    </w:rPr>
  </w:style>
  <w:style w:type="character" w:styleId="1274">
    <w:name w:val="正文重点 Char"/>
    <w:next w:val="1274"/>
    <w:link w:val="1273"/>
    <w:qFormat/>
    <w:rPr>
      <w:b/>
      <w:sz w:val="24"/>
    </w:rPr>
  </w:style>
  <w:style w:type="paragraph" w:styleId="1275">
    <w:name w:val="标题1-附件"/>
    <w:basedOn w:val="1075"/>
    <w:next w:val="1275"/>
    <w:link w:val="1074"/>
    <w:qFormat/>
    <w:pPr>
      <w:jc w:val="left"/>
    </w:pPr>
    <w:rPr>
      <w:sz w:val="24"/>
      <w:szCs w:val="24"/>
    </w:rPr>
  </w:style>
  <w:style w:type="paragraph" w:styleId="1276">
    <w:name w:val="正文小标题"/>
    <w:basedOn w:val="1074"/>
    <w:next w:val="1088"/>
    <w:link w:val="1277"/>
    <w:qFormat/>
    <w:pPr>
      <w:ind w:firstLine="482"/>
      <w:jc w:val="left"/>
      <w:spacing w:before="312" w:after="312"/>
    </w:pPr>
    <w:rPr>
      <w:rFonts w:ascii="宋体" w:hAnsi="宋体"/>
      <w:b/>
      <w:i/>
      <w:color w:val="ff0000"/>
      <w:sz w:val="24"/>
      <w:szCs w:val="20"/>
    </w:rPr>
  </w:style>
  <w:style w:type="character" w:styleId="1277">
    <w:name w:val="正文小标题 Char"/>
    <w:next w:val="1277"/>
    <w:link w:val="1276"/>
    <w:qFormat/>
    <w:rPr>
      <w:rFonts w:ascii="宋体" w:hAnsi="宋体"/>
      <w:b/>
      <w:i/>
      <w:color w:val="ff0000"/>
      <w:sz w:val="24"/>
    </w:rPr>
  </w:style>
  <w:style w:type="paragraph" w:styleId="1278">
    <w:name w:val="正文大标题"/>
    <w:basedOn w:val="1276"/>
    <w:next w:val="1088"/>
    <w:link w:val="1279"/>
    <w:qFormat/>
    <w:pPr>
      <w:jc w:val="center"/>
    </w:pPr>
    <w:rPr>
      <w:i w:val="0"/>
      <w:color w:val="000000"/>
      <w:sz w:val="28"/>
      <w:szCs w:val="21"/>
    </w:rPr>
  </w:style>
  <w:style w:type="character" w:styleId="1279">
    <w:name w:val="正文大标题 Char"/>
    <w:next w:val="1279"/>
    <w:link w:val="1278"/>
    <w:qFormat/>
    <w:rPr>
      <w:rFonts w:ascii="宋体" w:hAnsi="宋体"/>
      <w:b/>
      <w:color w:val="000000"/>
      <w:sz w:val="28"/>
      <w:szCs w:val="21"/>
    </w:rPr>
  </w:style>
  <w:style w:type="paragraph" w:styleId="1280">
    <w:name w:val="注释"/>
    <w:basedOn w:val="1074"/>
    <w:next w:val="1280"/>
    <w:link w:val="1281"/>
    <w:qFormat/>
    <w:pPr>
      <w:ind w:left="420" w:hanging="420"/>
      <w:jc w:val="left"/>
    </w:pPr>
    <w:rPr>
      <w:rFonts w:ascii="宋体" w:hAnsi="宋体"/>
      <w:szCs w:val="21"/>
    </w:rPr>
  </w:style>
  <w:style w:type="character" w:styleId="1281">
    <w:name w:val="注释 Char"/>
    <w:next w:val="1281"/>
    <w:link w:val="1280"/>
    <w:qFormat/>
    <w:rPr>
      <w:rFonts w:ascii="宋体" w:hAnsi="宋体"/>
      <w:sz w:val="21"/>
      <w:szCs w:val="21"/>
    </w:rPr>
  </w:style>
  <w:style w:type="paragraph" w:styleId="1282">
    <w:name w:val="正文须知-1级"/>
    <w:basedOn w:val="1074"/>
    <w:next w:val="1074"/>
    <w:link w:val="1074"/>
    <w:qFormat/>
    <w:pPr>
      <w:numPr>
        <w:ilvl w:val="0"/>
        <w:numId w:val="7"/>
      </w:numPr>
      <w:spacing w:line="300" w:lineRule="auto"/>
    </w:pPr>
    <w:rPr>
      <w:rFonts w:ascii="宋体" w:hAnsi="Calibri"/>
      <w:sz w:val="24"/>
      <w:szCs w:val="21"/>
    </w:rPr>
  </w:style>
  <w:style w:type="paragraph" w:styleId="1283">
    <w:name w:val="正文须知-2级"/>
    <w:basedOn w:val="1074"/>
    <w:next w:val="1283"/>
    <w:link w:val="1074"/>
    <w:qFormat/>
    <w:pPr>
      <w:numPr>
        <w:ilvl w:val="1"/>
        <w:numId w:val="7"/>
      </w:numPr>
      <w:spacing w:line="300" w:lineRule="auto"/>
    </w:pPr>
    <w:rPr>
      <w:rFonts w:ascii="宋体" w:hAnsi="Calibri"/>
      <w:sz w:val="24"/>
      <w:szCs w:val="21"/>
    </w:rPr>
  </w:style>
  <w:style w:type="paragraph" w:styleId="1284">
    <w:name w:val="正文须知-3级"/>
    <w:basedOn w:val="1074"/>
    <w:next w:val="1284"/>
    <w:link w:val="1074"/>
    <w:qFormat/>
    <w:pPr>
      <w:numPr>
        <w:ilvl w:val="2"/>
        <w:numId w:val="7"/>
      </w:numPr>
      <w:ind w:hanging="355"/>
      <w:spacing w:line="300" w:lineRule="auto"/>
    </w:pPr>
    <w:rPr>
      <w:rFonts w:ascii="宋体" w:hAnsi="Calibri"/>
      <w:sz w:val="24"/>
      <w:szCs w:val="21"/>
    </w:rPr>
  </w:style>
  <w:style w:type="character" w:styleId="1285">
    <w:name w:val="纯文本 字符"/>
    <w:next w:val="1285"/>
    <w:link w:val="1074"/>
    <w:uiPriority w:val="99"/>
    <w:qFormat/>
    <w:rPr>
      <w:rFonts w:ascii="宋体" w:hAnsi="Courier New" w:eastAsia="宋体" w:cs="Times New Roman"/>
      <w:sz w:val="21"/>
      <w:szCs w:val="21"/>
      <w:lang w:val="en-US" w:eastAsia="zh-CN" w:bidi="ar-SA"/>
    </w:rPr>
  </w:style>
  <w:style w:type="paragraph" w:styleId="1286">
    <w:name w:val="表格1"/>
    <w:basedOn w:val="1074"/>
    <w:next w:val="1286"/>
    <w:link w:val="1074"/>
    <w:qFormat/>
    <w:pPr>
      <w:ind w:firstLine="480"/>
      <w:jc w:val="center"/>
    </w:pPr>
    <w:rPr>
      <w:sz w:val="24"/>
      <w:szCs w:val="20"/>
    </w:rPr>
  </w:style>
  <w:style w:type="character" w:styleId="1287">
    <w:name w:val="纯文本 字符1"/>
    <w:next w:val="1287"/>
    <w:link w:val="1074"/>
    <w:qFormat/>
    <w:rPr>
      <w:rFonts w:ascii="宋体" w:hAnsi="Courier New"/>
    </w:rPr>
  </w:style>
  <w:style w:type="character" w:styleId="1288">
    <w:name w:val="bjh-p"/>
    <w:next w:val="1288"/>
    <w:link w:val="1074"/>
    <w:qFormat/>
  </w:style>
  <w:style w:type="paragraph" w:styleId="1289">
    <w:name w:val="无标题条"/>
    <w:next w:val="1074"/>
    <w:link w:val="1074"/>
    <w:qFormat/>
    <w:pPr>
      <w:jc w:val="both"/>
    </w:pPr>
    <w:rPr>
      <w:sz w:val="21"/>
      <w:lang w:val="en-US" w:eastAsia="zh-CN" w:bidi="ar-SA"/>
    </w:rPr>
  </w:style>
  <w:style w:type="character" w:styleId="1290">
    <w:name w:val="正文格式 Char"/>
    <w:next w:val="1290"/>
    <w:link w:val="1291"/>
    <w:qFormat/>
    <w:rPr>
      <w:rFonts w:ascii="宋体" w:hAnsi="宋体"/>
      <w:sz w:val="24"/>
      <w:szCs w:val="24"/>
      <w:lang w:val="en-GB"/>
    </w:rPr>
  </w:style>
  <w:style w:type="paragraph" w:styleId="1291">
    <w:name w:val="正文格式"/>
    <w:basedOn w:val="1074"/>
    <w:next w:val="1291"/>
    <w:link w:val="1290"/>
    <w:qFormat/>
    <w:pPr>
      <w:ind w:firstLine="480"/>
      <w:spacing w:line="360" w:lineRule="auto"/>
    </w:pPr>
    <w:rPr>
      <w:rFonts w:ascii="宋体" w:hAnsi="宋体"/>
      <w:sz w:val="24"/>
      <w:lang w:val="en-GB"/>
    </w:rPr>
  </w:style>
  <w:style w:type="character" w:styleId="1292">
    <w:name w:val="标题 3 Char"/>
    <w:next w:val="1292"/>
    <w:link w:val="1074"/>
    <w:qFormat/>
    <w:rPr>
      <w:rFonts w:ascii="宋体" w:eastAsia="宋体"/>
      <w:b/>
      <w:sz w:val="24"/>
      <w:u w:val="single"/>
      <w:lang w:val="en-US" w:eastAsia="zh-CN" w:bidi="ar-SA"/>
    </w:rPr>
  </w:style>
  <w:style w:type="character" w:styleId="1293">
    <w:name w:val="正文缩进 Char"/>
    <w:next w:val="1293"/>
    <w:link w:val="1074"/>
    <w:qFormat/>
    <w:rPr>
      <w:rFonts w:ascii="宋体" w:eastAsia="宋体"/>
      <w:sz w:val="24"/>
      <w:szCs w:val="24"/>
      <w:lang w:val="en-US" w:eastAsia="zh-CN" w:bidi="ar-SA"/>
    </w:rPr>
  </w:style>
  <w:style w:type="character" w:styleId="1294">
    <w:name w:val="Char Char111"/>
    <w:next w:val="1294"/>
    <w:link w:val="1074"/>
    <w:qFormat/>
    <w:rPr>
      <w:rFonts w:ascii="宋体" w:eastAsia="宋体"/>
      <w:b/>
      <w:sz w:val="24"/>
      <w:u w:val="single"/>
      <w:lang w:val="en-US" w:eastAsia="zh-CN" w:bidi="ar-SA"/>
    </w:rPr>
  </w:style>
  <w:style w:type="character" w:styleId="1295">
    <w:name w:val="正文文本缩进 Char"/>
    <w:next w:val="1295"/>
    <w:link w:val="1074"/>
    <w:qFormat/>
    <w:rPr>
      <w:rFonts w:eastAsia="宋体"/>
      <w:sz w:val="24"/>
      <w:szCs w:val="24"/>
      <w:lang w:val="en-US" w:eastAsia="zh-CN" w:bidi="ar-SA"/>
    </w:rPr>
  </w:style>
  <w:style w:type="character" w:styleId="1296">
    <w:name w:val="列出段落 Char"/>
    <w:next w:val="1296"/>
    <w:link w:val="1074"/>
    <w:qFormat/>
    <w:rPr>
      <w:rFonts w:ascii="Calibri" w:hAnsi="Calibri" w:eastAsia="宋体"/>
      <w:sz w:val="21"/>
      <w:szCs w:val="22"/>
      <w:lang w:val="en-US" w:eastAsia="zh-CN" w:bidi="ar-SA"/>
    </w:rPr>
  </w:style>
  <w:style w:type="character" w:styleId="1297">
    <w:name w:val="页眉 Char"/>
    <w:next w:val="1297"/>
    <w:link w:val="1074"/>
    <w:qFormat/>
    <w:rPr>
      <w:rFonts w:eastAsia="宋体"/>
      <w:sz w:val="18"/>
      <w:szCs w:val="18"/>
      <w:lang w:val="en-US" w:eastAsia="zh-CN" w:bidi="ar-SA"/>
    </w:rPr>
  </w:style>
  <w:style w:type="character" w:styleId="1298">
    <w:name w:val="标题 2 Char"/>
    <w:next w:val="1298"/>
    <w:link w:val="1074"/>
    <w:qFormat/>
    <w:rPr>
      <w:rFonts w:ascii="Arial" w:hAnsi="Arial" w:eastAsia="黑体"/>
      <w:b/>
      <w:sz w:val="30"/>
      <w:lang w:val="en-US" w:eastAsia="zh-CN" w:bidi="ar-SA"/>
    </w:rPr>
  </w:style>
  <w:style w:type="paragraph" w:styleId="1299">
    <w:name w:val="字元 字元2"/>
    <w:basedOn w:val="1074"/>
    <w:next w:val="1299"/>
    <w:link w:val="1074"/>
    <w:qFormat/>
    <w:rPr>
      <w:rFonts w:ascii="Tahoma" w:hAnsi="Tahoma"/>
      <w:sz w:val="24"/>
      <w:szCs w:val="20"/>
    </w:rPr>
  </w:style>
  <w:style w:type="paragraph" w:styleId="1300">
    <w:name w:val="Char3 Char Char Char2"/>
    <w:basedOn w:val="1074"/>
    <w:next w:val="1300"/>
    <w:link w:val="1074"/>
    <w:qFormat/>
    <w:rPr>
      <w:rFonts w:ascii="Tahoma" w:hAnsi="Tahoma"/>
      <w:sz w:val="24"/>
      <w:szCs w:val="20"/>
    </w:rPr>
  </w:style>
  <w:style w:type="paragraph" w:styleId="1301">
    <w:name w:val="正文文本缩进2"/>
    <w:basedOn w:val="1074"/>
    <w:next w:val="1301"/>
    <w:link w:val="1074"/>
    <w:qFormat/>
    <w:pPr>
      <w:ind w:firstLine="480"/>
      <w:spacing w:line="480" w:lineRule="exact"/>
    </w:pPr>
    <w:rPr>
      <w:rFonts w:ascii="宋体" w:hAnsi="宋体"/>
      <w:sz w:val="24"/>
      <w:lang w:val="zh-CN" w:eastAsia="zh-CN"/>
    </w:rPr>
  </w:style>
  <w:style w:type="paragraph" w:styleId="1302">
    <w:name w:val="Char3"/>
    <w:basedOn w:val="1074"/>
    <w:next w:val="1302"/>
    <w:link w:val="1074"/>
    <w:qFormat/>
    <w:pPr>
      <w:tabs>
        <w:tab w:val="left" w:pos="360" w:leader="none"/>
      </w:tabs>
    </w:pPr>
    <w:rPr>
      <w:sz w:val="24"/>
    </w:rPr>
  </w:style>
  <w:style w:type="paragraph" w:styleId="1303">
    <w:name w:val="Char Char Char Char Char Char Char Char Char Char Char Char Char Char Char Char1"/>
    <w:basedOn w:val="1074"/>
    <w:next w:val="1303"/>
    <w:link w:val="1074"/>
    <w:qFormat/>
    <w:pPr>
      <w:jc w:val="center"/>
      <w:spacing w:after="160" w:line="240" w:lineRule="exact"/>
      <w:widowControl/>
    </w:pPr>
    <w:rPr>
      <w:rFonts w:ascii="宋体" w:hAnsi="宋体"/>
      <w:b/>
      <w:sz w:val="30"/>
      <w:szCs w:val="30"/>
      <w:lang w:eastAsia="en-US"/>
    </w:rPr>
  </w:style>
  <w:style w:type="paragraph" w:styleId="1304">
    <w:name w:val="Char Char1 Char Char Char Char Char Char1"/>
    <w:basedOn w:val="1074"/>
    <w:next w:val="1304"/>
    <w:link w:val="1074"/>
    <w:qFormat/>
    <w:pPr>
      <w:jc w:val="left"/>
      <w:spacing w:after="160" w:line="240" w:lineRule="exact"/>
      <w:widowControl/>
    </w:pPr>
    <w:rPr>
      <w:rFonts w:ascii="Verdana" w:hAnsi="Verdana" w:eastAsia="仿宋_GB2312"/>
      <w:sz w:val="24"/>
      <w:szCs w:val="20"/>
      <w:lang w:eastAsia="en-US"/>
    </w:rPr>
  </w:style>
  <w:style w:type="paragraph" w:styleId="1305">
    <w:name w:val="列出段落2"/>
    <w:basedOn w:val="1074"/>
    <w:next w:val="1305"/>
    <w:link w:val="1074"/>
    <w:qFormat/>
    <w:pPr>
      <w:ind w:firstLine="420"/>
    </w:pPr>
    <w:rPr>
      <w:rFonts w:ascii="Calibri" w:hAnsi="Calibri"/>
      <w:szCs w:val="22"/>
    </w:rPr>
  </w:style>
  <w:style w:type="paragraph" w:styleId="1306">
    <w:name w:val="Char Char Char1 Char2"/>
    <w:basedOn w:val="1074"/>
    <w:next w:val="1306"/>
    <w:link w:val="1074"/>
    <w:qFormat/>
    <w:rPr>
      <w:rFonts w:ascii="Tahoma" w:hAnsi="Tahoma"/>
      <w:sz w:val="24"/>
      <w:szCs w:val="20"/>
    </w:rPr>
  </w:style>
  <w:style w:type="paragraph" w:styleId="1307">
    <w:name w:val="Char Char Char2"/>
    <w:basedOn w:val="1074"/>
    <w:next w:val="1307"/>
    <w:link w:val="1074"/>
    <w:qFormat/>
    <w:rPr>
      <w:rFonts w:ascii="Tahoma" w:hAnsi="Tahoma"/>
      <w:sz w:val="24"/>
      <w:szCs w:val="20"/>
    </w:rPr>
  </w:style>
  <w:style w:type="paragraph" w:styleId="1308">
    <w:name w:val="Char Char Char Char Char Char Char2"/>
    <w:basedOn w:val="1074"/>
    <w:next w:val="1308"/>
    <w:link w:val="1074"/>
    <w:qFormat/>
    <w:pPr>
      <w:ind w:firstLine="200"/>
      <w:spacing w:line="360" w:lineRule="auto"/>
    </w:pPr>
    <w:rPr>
      <w:rFonts w:eastAsia="仿宋_GB2312"/>
      <w:sz w:val="24"/>
    </w:rPr>
  </w:style>
  <w:style w:type="paragraph" w:styleId="1309">
    <w:name w:val="正文缩进2"/>
    <w:basedOn w:val="1074"/>
    <w:next w:val="1309"/>
    <w:link w:val="1074"/>
    <w:qFormat/>
    <w:pPr>
      <w:ind w:firstLine="567"/>
      <w:spacing w:line="480" w:lineRule="exact"/>
      <w:widowControl/>
    </w:pPr>
    <w:rPr>
      <w:rFonts w:ascii="宋体"/>
      <w:color w:val="000000"/>
      <w:sz w:val="28"/>
      <w:szCs w:val="20"/>
      <w:lang w:val="zh-CN" w:eastAsia="zh-CN"/>
    </w:rPr>
  </w:style>
  <w:style w:type="paragraph" w:styleId="1310">
    <w:name w:val="Revision"/>
    <w:next w:val="1310"/>
    <w:link w:val="1074"/>
    <w:qFormat/>
    <w:rPr>
      <w:sz w:val="21"/>
      <w:szCs w:val="24"/>
      <w:lang w:val="en-US" w:eastAsia="zh-CN" w:bidi="ar-SA"/>
    </w:rPr>
  </w:style>
  <w:style w:type="paragraph" w:styleId="1311">
    <w:name w:val="Char22"/>
    <w:basedOn w:val="1074"/>
    <w:next w:val="1311"/>
    <w:link w:val="1074"/>
    <w:qFormat/>
    <w:rPr>
      <w:rFonts w:ascii="Tahoma" w:hAnsi="Tahoma"/>
      <w:sz w:val="24"/>
      <w:szCs w:val="20"/>
    </w:rPr>
  </w:style>
  <w:style w:type="paragraph" w:styleId="1312">
    <w:name w:val="Char Char Char Char Char Char Char Char Char Char2"/>
    <w:basedOn w:val="1074"/>
    <w:next w:val="1312"/>
    <w:link w:val="1074"/>
    <w:qFormat/>
    <w:rPr>
      <w:rFonts w:ascii="宋体" w:hAnsi="宋体" w:cs="Courier New"/>
      <w:sz w:val="32"/>
      <w:szCs w:val="32"/>
    </w:rPr>
  </w:style>
  <w:style w:type="paragraph" w:styleId="1313">
    <w:name w:val="Char2 Char Char Char Char Char Char1"/>
    <w:basedOn w:val="1074"/>
    <w:next w:val="1313"/>
    <w:link w:val="1074"/>
    <w:qFormat/>
    <w:pPr>
      <w:jc w:val="center"/>
      <w:spacing w:line="400" w:lineRule="exact"/>
      <w:widowControl/>
    </w:pPr>
  </w:style>
  <w:style w:type="character" w:styleId="1314">
    <w:name w:val="页脚 Char"/>
    <w:next w:val="1314"/>
    <w:link w:val="1074"/>
    <w:qFormat/>
    <w:rPr>
      <w:rFonts w:ascii="宋体" w:eastAsia="宋体"/>
      <w:sz w:val="18"/>
      <w:lang w:val="en-US" w:eastAsia="zh-CN" w:bidi="ar-SA"/>
    </w:rPr>
  </w:style>
  <w:style w:type="paragraph" w:styleId="1315">
    <w:name w:val="Char Char41"/>
    <w:basedOn w:val="1074"/>
    <w:next w:val="1315"/>
    <w:link w:val="1074"/>
    <w:qFormat/>
    <w:pPr>
      <w:jc w:val="center"/>
      <w:spacing w:line="400" w:lineRule="exact"/>
      <w:widowControl/>
    </w:pPr>
  </w:style>
  <w:style w:type="character" w:styleId="1316">
    <w:name w:val="批注文字 Char"/>
    <w:next w:val="1316"/>
    <w:link w:val="1074"/>
    <w:uiPriority w:val="99"/>
    <w:qFormat/>
    <w:rPr>
      <w:sz w:val="21"/>
      <w:szCs w:val="24"/>
    </w:rPr>
  </w:style>
  <w:style w:type="character" w:styleId="1317">
    <w:name w:val="标题 Char"/>
    <w:next w:val="1317"/>
    <w:link w:val="1074"/>
    <w:qFormat/>
    <w:rPr>
      <w:b/>
      <w:sz w:val="32"/>
    </w:rPr>
  </w:style>
  <w:style w:type="paragraph" w:styleId="1318">
    <w:name w:val="图例"/>
    <w:basedOn w:val="1074"/>
    <w:next w:val="1318"/>
    <w:link w:val="1074"/>
    <w:qFormat/>
    <w:pPr>
      <w:jc w:val="center"/>
      <w:spacing w:before="120" w:after="120" w:line="360" w:lineRule="auto"/>
    </w:pPr>
    <w:rPr>
      <w:rFonts w:eastAsia="仿宋_GB2312"/>
      <w:b/>
      <w:sz w:val="24"/>
      <w:szCs w:val="20"/>
    </w:rPr>
  </w:style>
  <w:style w:type="table" w:styleId="1319">
    <w:name w:val="Table Normal"/>
    <w:next w:val="1319"/>
    <w:link w:val="1074"/>
    <w:uiPriority w:val="2"/>
    <w:unhideWhenUsed/>
    <w:qFormat/>
    <w:pPr>
      <w:widowControl w:val="off"/>
    </w:pPr>
    <w:rPr>
      <w:rFonts w:ascii="Calibri" w:hAnsi="Calibri"/>
      <w:sz w:val="22"/>
      <w:szCs w:val="22"/>
      <w:lang w:val="en-US" w:eastAsia="en-US" w:bidi="ar-SA"/>
    </w:rPr>
    <w:tblPr/>
  </w:style>
  <w:style w:type="paragraph" w:styleId="1320">
    <w:name w:val="Table Paragraph"/>
    <w:basedOn w:val="1074"/>
    <w:next w:val="1320"/>
    <w:link w:val="1074"/>
    <w:uiPriority w:val="1"/>
    <w:qFormat/>
    <w:pPr>
      <w:jc w:val="left"/>
    </w:pPr>
    <w:rPr>
      <w:rFonts w:ascii="宋体" w:hAnsi="宋体" w:cs="宋体"/>
      <w:sz w:val="22"/>
      <w:szCs w:val="22"/>
      <w:lang w:eastAsia="en-US"/>
    </w:rPr>
  </w:style>
  <w:style w:type="paragraph" w:styleId="1321">
    <w:name w:val="成文日期"/>
    <w:basedOn w:val="1074"/>
    <w:next w:val="1321"/>
    <w:link w:val="1322"/>
    <w:qFormat/>
    <w:pPr>
      <w:ind w:right="400" w:firstLine="200"/>
      <w:jc w:val="right"/>
      <w:spacing w:line="570" w:lineRule="exact"/>
    </w:pPr>
    <w:rPr>
      <w:rFonts w:ascii="仿宋_GB2312" w:eastAsia="仿宋_GB2312"/>
      <w:sz w:val="32"/>
      <w:szCs w:val="20"/>
    </w:rPr>
  </w:style>
  <w:style w:type="character" w:styleId="1322">
    <w:name w:val="成文日期 Char"/>
    <w:next w:val="1322"/>
    <w:link w:val="1321"/>
    <w:rPr>
      <w:rFonts w:ascii="仿宋_GB2312" w:eastAsia="仿宋_GB2312"/>
      <w:sz w:val="32"/>
    </w:rPr>
  </w:style>
  <w:style w:type="paragraph" w:styleId="1323">
    <w:name w:val="修订"/>
    <w:next w:val="1323"/>
    <w:link w:val="1074"/>
    <w:uiPriority w:val="99"/>
    <w:unhideWhenUsed/>
    <w:rPr>
      <w:sz w:val="21"/>
      <w:szCs w:val="24"/>
      <w:lang w:val="en-US" w:eastAsia="zh-CN" w:bidi="ar-SA"/>
    </w:rPr>
  </w:style>
  <w:style w:type="character" w:styleId="1324">
    <w:name w:val="正文缩进 字符"/>
    <w:next w:val="1324"/>
    <w:link w:val="1074"/>
    <w:uiPriority w:val="99"/>
    <w:qFormat/>
    <w:rPr>
      <w:rFonts w:ascii="宋体" w:hAnsi="Times New Roman" w:eastAsia="宋体" w:cs="Times New Roman"/>
      <w:sz w:val="24"/>
    </w:rPr>
  </w:style>
  <w:style w:type="character" w:styleId="1325">
    <w:name w:val="正文文本 字符"/>
    <w:next w:val="1325"/>
    <w:link w:val="1074"/>
    <w:qFormat/>
    <w:rPr>
      <w:rFonts w:ascii="宋体" w:hAnsi="宋体"/>
      <w:sz w:val="24"/>
      <w:szCs w:val="24"/>
    </w:rPr>
  </w:style>
  <w:style w:type="paragraph" w:styleId="1326">
    <w:name w:val="纯文本1"/>
    <w:next w:val="1127"/>
    <w:link w:val="1074"/>
    <w:qFormat/>
    <w:pPr>
      <w:jc w:val="both"/>
      <w:widowControl w:val="off"/>
    </w:pPr>
    <w:rPr>
      <w:rFonts w:ascii="宋体" w:hAnsi="宋体"/>
      <w:sz w:val="26"/>
      <w:szCs w:val="24"/>
      <w:lang w:val="en-US" w:eastAsia="zh-CN" w:bidi="ar-SA"/>
    </w:rPr>
  </w:style>
  <w:style w:type="paragraph" w:styleId="1327">
    <w:name w:val="AONormal"/>
    <w:next w:val="1327"/>
    <w:link w:val="1074"/>
    <w:qFormat/>
    <w:pPr>
      <w:ind w:firstLine="440"/>
      <w:spacing w:line="400" w:lineRule="exact"/>
    </w:pPr>
    <w:rPr>
      <w:rFonts w:ascii="华文楷体" w:hAnsi="华文楷体" w:eastAsia="华文楷体" w:cs="华文楷体"/>
      <w:sz w:val="22"/>
      <w:szCs w:val="21"/>
      <w:lang w:val="en-US" w:eastAsia="zh-CN" w:bidi="ar-SA"/>
    </w:rPr>
  </w:style>
  <w:style w:type="paragraph" w:styleId="1328">
    <w:name w:val="标题 41"/>
    <w:basedOn w:val="1074"/>
    <w:next w:val="1074"/>
    <w:link w:val="1074"/>
    <w:qFormat/>
    <w:pPr>
      <w:keepLines/>
      <w:keepNext/>
      <w:spacing w:before="280" w:after="290" w:line="376" w:lineRule="atLeast"/>
      <w:outlineLvl w:val="3"/>
    </w:pPr>
    <w:rPr>
      <w:rFonts w:ascii="Arial" w:hAnsi="Arial" w:eastAsia="黑体"/>
      <w:b/>
      <w:sz w:val="28"/>
      <w:szCs w:val="20"/>
    </w:rPr>
  </w:style>
  <w:style w:type="character" w:styleId="1329" w:default="1">
    <w:name w:val="Default Paragraph Font"/>
    <w:uiPriority w:val="1"/>
    <w:semiHidden/>
    <w:unhideWhenUsed/>
  </w:style>
  <w:style w:type="numbering" w:styleId="1330" w:default="1">
    <w:name w:val="No List"/>
    <w:uiPriority w:val="99"/>
    <w:semiHidden/>
    <w:unhideWhenUsed/>
  </w:style>
  <w:style w:type="table" w:styleId="13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彭艳</cp:lastModifiedBy>
  <cp:revision>6</cp:revision>
  <dcterms:created xsi:type="dcterms:W3CDTF">2026-04-01T08:51:00Z</dcterms:created>
  <dcterms:modified xsi:type="dcterms:W3CDTF">2026-04-02T03:05:02Z</dcterms:modified>
</cp:coreProperties>
</file>