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盐城市中医院心脏康复设备采购项目（二次）</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项目编号：JSZC-320900-JSHY-G2026-0085</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1009-2641HOLLY10D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707"/>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center"/>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center"/>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4</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81"/>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82"/>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82"/>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82"/>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5</w:t>
      </w:r>
      <w:r/>
    </w:p>
    <w:p>
      <w:pPr>
        <w:pStyle w:val="882"/>
        <w:jc w:val="center"/>
        <w:spacing w:line="360" w:lineRule="auto"/>
        <w:tabs>
          <w:tab w:val="right" w:pos="8844" w:leader="dot"/>
        </w:tabs>
        <w:rPr>
          <w:rFonts w:hint="default"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31</w:t>
      </w:r>
      <w:r/>
    </w:p>
    <w:p>
      <w:pPr>
        <w:pStyle w:val="882"/>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42</w:t>
      </w:r>
      <w:r/>
    </w:p>
    <w:p>
      <w:pPr>
        <w:pStyle w:val="882"/>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46</w:t>
      </w:r>
      <w:r/>
    </w:p>
    <w:p>
      <w:pPr>
        <w:pStyle w:val="883"/>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rPr>
          <w:rFonts w:hint="eastAsia"/>
          <w:color w:val="auto"/>
          <w:highlight w:val="none"/>
        </w:rPr>
      </w:pPr>
      <w:r>
        <w:rPr>
          <w:rFonts w:hint="eastAsia"/>
          <w:color w:val="auto"/>
          <w:highlight w:val="none"/>
        </w:rPr>
        <w:br w:type="page" w:clear="all"/>
      </w:r>
      <w:r/>
    </w:p>
    <w:p>
      <w:pPr>
        <w:jc w:val="left"/>
        <w:spacing w:line="360" w:lineRule="auto"/>
        <w:tabs>
          <w:tab w:val="left" w:pos="5655" w:leader="none"/>
        </w:tabs>
        <w:rPr>
          <w:rFonts w:hint="eastAsia"/>
          <w:color w:val="auto"/>
          <w:highlight w:val="none"/>
        </w:rPr>
      </w:pP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707"/>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盐城市中医院心脏康复设备采购项目（二次）</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分（北京时间）前递交投标文件。</w:t>
            </w:r>
            <w:r/>
          </w:p>
        </w:tc>
      </w:tr>
    </w:tbl>
    <w:p>
      <w:pPr>
        <w:pStyle w:val="884"/>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84"/>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项目编号：JSZC-320900-JSHY-G2026-0085</w:t>
      </w:r>
      <w:r/>
    </w:p>
    <w:p>
      <w:pPr>
        <w:pStyle w:val="88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盐城市中医院心脏康复设备采购项目（二次）</w:t>
      </w:r>
      <w:r/>
    </w:p>
    <w:p>
      <w:pPr>
        <w:pStyle w:val="884"/>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405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8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（本项目共1个标段）</w:t>
      </w:r>
      <w:r/>
    </w:p>
    <w:tbl>
      <w:tblPr>
        <w:tblStyle w:val="707"/>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是否接受进口产品</w:t>
            </w:r>
            <w:r/>
          </w:p>
        </w:tc>
      </w:tr>
      <w:tr>
        <w:trPr>
          <w:jc w:val="center"/>
          <w:trHeight w:val="573"/>
        </w:trPr>
        <w:tc>
          <w:tcPr>
            <w:shd w:val="clear" w:color="auto" w:fill="auto"/>
            <w:tcW w:w="896" w:type="dxa"/>
            <w:vAlign w:val="center"/>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心脏康复设备</w:t>
            </w:r>
            <w:r/>
          </w:p>
        </w:tc>
        <w:tc>
          <w:tcPr>
            <w:shd w:val="clear" w:color="auto" w:fill="auto"/>
            <w:tcW w:w="948" w:type="dxa"/>
            <w:vAlign w:val="center"/>
            <w:textDirection w:val="lrTb"/>
            <w:noWrap/>
          </w:tcPr>
          <w:p>
            <w:pPr>
              <w:jc w:val="center"/>
              <w:rPr>
                <w:rFonts w:hint="default"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1批</w:t>
            </w:r>
            <w:r/>
          </w:p>
        </w:tc>
        <w:tc>
          <w:tcPr>
            <w:shd w:val="clear" w:color="auto" w:fill="auto"/>
            <w:tcW w:w="1520"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405万元</w:t>
            </w:r>
            <w:r/>
          </w:p>
        </w:tc>
        <w:tc>
          <w:tcPr>
            <w:shd w:val="clear" w:color="auto" w:fill="auto"/>
            <w:tcW w:w="1524" w:type="dxa"/>
            <w:vAlign w:val="center"/>
            <w:textDirection w:val="lrTb"/>
            <w:noWrap/>
          </w:tcPr>
          <w:p>
            <w:pPr>
              <w:jc w:val="center"/>
              <w:spacing w:line="240" w:lineRule="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280万元</w:t>
            </w:r>
            <w:r/>
          </w:p>
        </w:tc>
        <w:tc>
          <w:tcPr>
            <w:shd w:val="clear" w:color="auto" w:fill="auto"/>
            <w:tcW w:w="1404"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否</w:t>
            </w:r>
            <w:r/>
          </w:p>
        </w:tc>
      </w:tr>
    </w:tbl>
    <w:p>
      <w:pPr>
        <w:pStyle w:val="884"/>
        <w:ind w:left="0" w:firstLine="390"/>
        <w:spacing w:line="360" w:lineRule="auto"/>
        <w:tabs>
          <w:tab w:val="left" w:pos="1134" w:leader="none"/>
        </w:tabs>
        <w:rPr>
          <w:rFonts w:hint="eastAsia" w:ascii="宋体" w:hAnsi="宋体" w:cs="宋体"/>
          <w:color w:val="auto"/>
          <w:sz w:val="13"/>
          <w:szCs w:val="13"/>
          <w:highlight w:val="none"/>
        </w:rPr>
      </w:pPr>
      <w:r>
        <w:rPr>
          <w:rFonts w:hint="eastAsia" w:ascii="宋体" w:hAnsi="宋体" w:cs="宋体"/>
          <w:color w:val="auto"/>
          <w:sz w:val="13"/>
          <w:szCs w:val="13"/>
          <w:highlight w:val="none"/>
        </w:rPr>
      </w:r>
      <w:r/>
    </w:p>
    <w:p>
      <w:pPr>
        <w:pStyle w:val="884"/>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84"/>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84"/>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84"/>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85"/>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bookmarkStart w:id="149" w:name="_GoBack"/>
      <w:r/>
      <w:bookmarkEnd w:id="149"/>
      <w:r/>
      <w:r/>
    </w:p>
    <w:p>
      <w:pPr>
        <w:ind w:left="1197"/>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2）上一年度的财务状况报表（上一年度的财务状况报表，2025年度报表未出的可使用2024年度报表，至少提供资产负债表、利润表、现金流量表，供应商成立不满一年无需提供）</w:t>
      </w:r>
      <w:r>
        <w:rPr>
          <w:rFonts w:hint="eastAsia" w:ascii="宋体" w:hAnsi="宋体" w:cs="宋体"/>
          <w:color w:val="auto"/>
          <w:sz w:val="24"/>
          <w:szCs w:val="24"/>
          <w:highlight w:val="none"/>
          <w:lang w:eastAsia="zh-CN"/>
        </w:rPr>
        <w:t xml:space="preserve">。</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81"/>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81"/>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85"/>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85"/>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85"/>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 w:val="0"/>
          <w:bCs w:val="0"/>
          <w:color w:val="auto"/>
          <w:sz w:val="24"/>
          <w:szCs w:val="24"/>
          <w:highlight w:val="none"/>
        </w:rPr>
        <w:t xml:space="preserve">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85"/>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86"/>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86"/>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 </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86"/>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86"/>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86"/>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4"/>
        <w:ind w:left="420" w:firstLine="720"/>
        <w:keepLines w:val="0"/>
        <w:keepNext w:val="0"/>
        <w:pageBreakBefore w:val="0"/>
        <w:spacing w:line="360" w:lineRule="auto"/>
        <w:widowControl w:val="off"/>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w:t>
      </w:r>
      <w:r>
        <w:rPr>
          <w:rFonts w:hint="eastAsia" w:ascii="宋体" w:hAnsi="宋体" w:cs="宋体"/>
          <w:b/>
          <w:bCs/>
          <w:color w:val="auto"/>
          <w:sz w:val="24"/>
          <w:szCs w:val="24"/>
          <w:highlight w:val="none"/>
          <w:lang w:val="en-US" w:eastAsia="zh-CN"/>
        </w:rPr>
        <w:t xml:space="preserve">请至盐城市府西路1号盐城市公共资源交易中心四楼大厅10号，11号窗口办理，</w:t>
      </w:r>
      <w:r>
        <w:rPr>
          <w:rFonts w:hint="eastAsia" w:ascii="宋体" w:hAnsi="宋体" w:cs="宋体"/>
          <w:b w:val="0"/>
          <w:bCs w:val="0"/>
          <w:color w:val="auto"/>
          <w:sz w:val="24"/>
          <w:szCs w:val="24"/>
          <w:highlight w:val="none"/>
        </w:rPr>
        <w:t xml:space="preserve">联系电话：15051556883，办理邮箱：yancheng@ideabank.net.cn，</w:t>
      </w:r>
      <w:r>
        <w:rPr>
          <w:rFonts w:hint="eastAsia" w:ascii="宋体" w:hAnsi="宋体" w:cs="宋体"/>
          <w:b w:val="0"/>
          <w:bCs w:val="0"/>
          <w:color w:val="auto"/>
          <w:sz w:val="24"/>
          <w:szCs w:val="24"/>
          <w:highlight w:val="none"/>
          <w:lang w:val="en-US" w:eastAsia="zh-CN"/>
        </w:rPr>
        <w:t xml:space="preserve">具体系统操作见《苏采云</w:t>
      </w:r>
      <w:r>
        <w:rPr>
          <w:rFonts w:hint="eastAsia" w:ascii="宋体" w:hAnsi="宋体" w:cs="宋体"/>
          <w:color w:val="auto"/>
          <w:sz w:val="24"/>
          <w:szCs w:val="24"/>
          <w:highlight w:val="none"/>
          <w:lang w:val="en-US" w:eastAsia="zh-CN"/>
        </w:rPr>
        <w:t xml:space="preserve">系统供应商操作手册》（以下简称《操作手册》））、进行注册并按《操作手册》要求制作、上传电子投标文件,《苏采云系统供应商操作手册》，手册下载地址：苏采云系统-右侧消息通知栏。</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2.2潜在投标人访问“苏采云”系统方法：江苏省政府采购网首页-“苏采云”链接。 </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2.3采购文件（后缀名为“.kedt”）、供应商操作手册及政府采购客户端工具可通过“苏采云”系统相应链接进行下载。</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2.4采购代理机构将数据电文形式的采购文件加载至“苏采云”系统，供潜在供应商下载或者查阅。</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84"/>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84"/>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887"/>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87"/>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w:t>
      </w:r>
      <w:r>
        <w:rPr>
          <w:rFonts w:hint="eastAsia" w:hAnsi="宋体" w:cs="宋体"/>
          <w:color w:val="auto"/>
          <w:szCs w:val="24"/>
          <w:highlight w:val="none"/>
          <w:lang w:val="en-US" w:eastAsia="zh-CN"/>
        </w:rPr>
        <w:t xml:space="preserve">15105157483</w:t>
      </w:r>
      <w:r>
        <w:rPr>
          <w:rFonts w:hint="eastAsia" w:hAnsi="宋体" w:cs="宋体"/>
          <w:color w:val="auto"/>
          <w:szCs w:val="24"/>
          <w:highlight w:val="none"/>
        </w:rPr>
        <w:t xml:space="preserve">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88"/>
        <w:jc w:val="center"/>
        <w:keepLines w:val="0"/>
        <w:keepNext w:val="0"/>
        <w:spacing w:before="0" w:after="0" w:line="360" w:lineRule="auto"/>
        <w:rPr>
          <w:rFonts w:hint="eastAsia"/>
          <w:color w:val="auto"/>
          <w:highlight w:val="none"/>
        </w:rPr>
      </w:pPr>
      <w:r/>
      <w:bookmarkStart w:id="10" w:name="_Toc17705"/>
      <w:r/>
      <w:bookmarkStart w:id="11" w:name="_Toc514054471"/>
      <w:r>
        <w:rPr>
          <w:rFonts w:hint="eastAsia"/>
          <w:color w:val="auto"/>
          <w:highlight w:val="none"/>
        </w:rPr>
        <w:t xml:space="preserve">投标人须知前附表</w:t>
      </w:r>
      <w:bookmarkEnd w:id="10"/>
      <w:r/>
      <w:bookmarkEnd w:id="11"/>
      <w:r/>
      <w:r/>
    </w:p>
    <w:tbl>
      <w:tblPr>
        <w:tblStyle w:val="707"/>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89"/>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9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89"/>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89"/>
        <w:spacing w:line="360" w:lineRule="auto"/>
        <w:rPr>
          <w:rFonts w:hint="eastAsia" w:ascii="宋体" w:hAnsi="宋体" w:eastAsia="宋体" w:cs="宋体"/>
          <w:color w:val="auto"/>
          <w:highlight w:val="none"/>
        </w:rPr>
        <w:outlineLvl w:val="1"/>
      </w:pPr>
      <w:r/>
      <w:bookmarkStart w:id="17" w:name="_Toc514054474"/>
      <w:r/>
      <w:bookmarkStart w:id="18" w:name="_Toc26908"/>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11.1.2</w:t>
      </w:r>
      <w:r>
        <w:rPr>
          <w:rFonts w:hint="eastAsia" w:ascii="宋体" w:hAnsi="宋体" w:cs="宋体"/>
          <w:color w:val="auto"/>
          <w:sz w:val="24"/>
          <w:highlight w:val="none"/>
        </w:rPr>
        <w:t xml:space="preserve">上一年度的财务状况报表（上一年度的财务状况报表，2025年度报表未出的可使用2024年度报表，至少提供资产负债表、利润表、现金流量表，供应商成立不满一年无需提供）</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lang w:eastAsia="zh-CN"/>
        </w:rPr>
        <w:t xml:space="preserve">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 w:val="0"/>
          <w:bCs w:val="0"/>
          <w:color w:val="auto"/>
          <w:sz w:val="24"/>
          <w:szCs w:val="24"/>
          <w:highlight w:val="none"/>
          <w:lang w:val="en-US" w:eastAsia="zh-CN"/>
        </w:rPr>
        <w:t xml:space="preserve">根据产品类别，</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89"/>
        <w:spacing w:line="360" w:lineRule="auto"/>
        <w:rPr>
          <w:rFonts w:hint="eastAsia" w:ascii="宋体" w:hAnsi="宋体" w:eastAsia="宋体" w:cs="宋体"/>
          <w:color w:val="auto"/>
          <w:highlight w:val="none"/>
        </w:rPr>
        <w:outlineLvl w:val="1"/>
      </w:pPr>
      <w:r/>
      <w:bookmarkStart w:id="25" w:name="_Toc26211"/>
      <w:r/>
      <w:bookmarkStart w:id="26" w:name="_Toc514054475"/>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16938542"/>
      <w:r/>
      <w:bookmarkEnd w:id="27"/>
      <w:r/>
      <w:bookmarkStart w:id="28" w:name="_Toc20823298"/>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16938544"/>
      <w:r/>
      <w:bookmarkStart w:id="31" w:name="_Toc513029228"/>
      <w:r/>
      <w:bookmarkStart w:id="32" w:name="_Toc20823300"/>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89"/>
        <w:spacing w:line="360" w:lineRule="auto"/>
        <w:rPr>
          <w:rFonts w:hint="eastAsia" w:ascii="宋体" w:hAnsi="宋体" w:eastAsia="宋体" w:cs="宋体"/>
          <w:color w:val="auto"/>
          <w:highlight w:val="none"/>
        </w:rPr>
        <w:outlineLvl w:val="1"/>
      </w:pPr>
      <w:r/>
      <w:bookmarkStart w:id="33" w:name="_Toc11452"/>
      <w:r/>
      <w:bookmarkStart w:id="34" w:name="_Toc514054476"/>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投标人不能证明其报价合理性的，评标委员会应当将其作为无效投标处理。</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（一）评审过程中出现下列情形之一的，评标委员会应当启动异常低价投标审查程序：</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b/>
          <w:bCs/>
          <w:color w:val="auto"/>
          <w:sz w:val="24"/>
          <w:highlight w:val="none"/>
          <w:u w:val="single"/>
          <w:lang w:val="en-US" w:eastAsia="zh-CN"/>
        </w:rPr>
      </w:pPr>
      <w:r>
        <w:rPr>
          <w:rFonts w:hint="eastAsia" w:ascii="宋体" w:hAnsi="宋体"/>
          <w:b/>
          <w:bCs/>
          <w:color w:val="auto"/>
          <w:sz w:val="24"/>
          <w:highlight w:val="none"/>
          <w:u w:val="single"/>
          <w:lang w:val="en-US" w:eastAsia="zh-CN"/>
        </w:rPr>
        <w:t xml:space="preserve">提醒：采购人可以结合具体项目实际情况，提高上述第1项至第3项中启动异常低价投标（响应）审查的数值标准，但是最高不得超过65%。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相关法律法规对供应商报价有规定的，从其规定。</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89"/>
        <w:spacing w:line="360" w:lineRule="auto"/>
        <w:rPr>
          <w:rFonts w:hint="eastAsia" w:ascii="宋体" w:hAnsi="宋体" w:eastAsia="宋体" w:cs="宋体"/>
          <w:color w:val="auto"/>
          <w:highlight w:val="none"/>
        </w:rPr>
        <w:outlineLvl w:val="1"/>
      </w:pPr>
      <w:r/>
      <w:bookmarkStart w:id="36" w:name="_Toc514054477"/>
      <w:r/>
      <w:bookmarkStart w:id="37" w:name="_Toc29013"/>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lang w:val="en-US" w:eastAsia="zh-CN"/>
        </w:rPr>
      </w:pPr>
      <w:r/>
      <w:bookmarkStart w:id="43" w:name="OLE_LINK27"/>
      <w:r>
        <w:rPr>
          <w:rFonts w:hint="eastAsia" w:ascii="宋体" w:hAnsi="宋体" w:cs="宋体"/>
          <w:color w:val="auto"/>
          <w:sz w:val="24"/>
          <w:highlight w:val="none"/>
          <w:lang w:val="en-US" w:eastAsia="zh-CN"/>
        </w:rPr>
        <w:t xml:space="preserve">29.12实施本国产品标准及相关政策</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1.本项目对采购本国产品给予政策支持，具体内容见招标文件“第三部分  评标方法和标准”。</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auto"/>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bookmarkEnd w:id="4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未按要求提供相关材料的，不享受相关政策。</w:t>
      </w:r>
      <w:r/>
    </w:p>
    <w:p>
      <w:pPr>
        <w:pStyle w:val="889"/>
        <w:spacing w:line="360" w:lineRule="auto"/>
        <w:rPr>
          <w:rFonts w:hint="eastAsia" w:ascii="宋体" w:hAnsi="宋体" w:eastAsia="宋体" w:cs="宋体"/>
          <w:color w:val="auto"/>
          <w:highlight w:val="none"/>
        </w:rPr>
        <w:outlineLvl w:val="1"/>
      </w:pPr>
      <w:r/>
      <w:bookmarkStart w:id="44" w:name="_Toc9744"/>
      <w:r/>
      <w:bookmarkStart w:id="45" w:name="_Toc81493168"/>
      <w:r/>
      <w:bookmarkStart w:id="46" w:name="_Toc514054478"/>
      <w:r>
        <w:rPr>
          <w:rFonts w:hint="eastAsia" w:ascii="宋体" w:hAnsi="宋体" w:eastAsia="宋体" w:cs="宋体"/>
          <w:color w:val="auto"/>
          <w:highlight w:val="none"/>
        </w:rPr>
        <w:t xml:space="preserve">七、中标及合同签订</w:t>
      </w:r>
      <w:bookmarkEnd w:id="44"/>
      <w:r/>
      <w:bookmarkEnd w:id="45"/>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8" w:name="EB3094b551b51c42ca93e0255d679fb06f"/>
      <w:r>
        <w:rPr>
          <w:rFonts w:hint="eastAsia" w:ascii="宋体" w:hAnsi="宋体" w:cs="宋体"/>
          <w:color w:val="auto"/>
          <w:sz w:val="24"/>
          <w:szCs w:val="24"/>
          <w:highlight w:val="none"/>
        </w:rPr>
        <w:t xml:space="preserve">见前附表。 </w:t>
      </w:r>
      <w:bookmarkEnd w:id="48"/>
      <w:r/>
      <w:bookmarkStart w:id="49" w:name="EB0d6067c6e00d44b1ad5603550c455e87"/>
      <w:r>
        <w:rPr>
          <w:rFonts w:hint="eastAsia" w:ascii="宋体" w:hAnsi="宋体" w:cs="宋体"/>
          <w:color w:val="auto"/>
          <w:sz w:val="24"/>
          <w:szCs w:val="24"/>
          <w:highlight w:val="none"/>
        </w:rPr>
        <w:t xml:space="preserve"> </w:t>
      </w:r>
      <w:bookmarkEnd w:id="49"/>
      <w:r/>
      <w:r/>
    </w:p>
    <w:p>
      <w:pPr>
        <w:pStyle w:val="889"/>
        <w:spacing w:line="360" w:lineRule="auto"/>
        <w:rPr>
          <w:rFonts w:hint="eastAsia" w:ascii="宋体" w:hAnsi="宋体" w:eastAsia="宋体" w:cs="宋体"/>
          <w:color w:val="auto"/>
          <w:highlight w:val="none"/>
        </w:rPr>
        <w:outlineLvl w:val="1"/>
      </w:pPr>
      <w:r/>
      <w:bookmarkStart w:id="50" w:name="_Toc25599"/>
      <w:r/>
      <w:bookmarkStart w:id="51" w:name="_Toc514054479"/>
      <w:r/>
      <w:bookmarkStart w:id="52" w:name="_Toc81493169"/>
      <w:r>
        <w:rPr>
          <w:rFonts w:hint="eastAsia" w:ascii="宋体" w:hAnsi="宋体" w:eastAsia="宋体" w:cs="宋体"/>
          <w:color w:val="auto"/>
          <w:highlight w:val="none"/>
        </w:rPr>
        <w:t xml:space="preserve">八、验收及付款</w:t>
      </w:r>
      <w:bookmarkEnd w:id="50"/>
      <w:r/>
      <w:bookmarkEnd w:id="51"/>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3" w:name="EBbbb2492ed6b84c9193a6bb6f72a512f3"/>
      <w:r>
        <w:rPr>
          <w:rFonts w:hint="eastAsia" w:ascii="宋体" w:hAnsi="宋体" w:cs="宋体"/>
          <w:color w:val="auto"/>
          <w:sz w:val="24"/>
          <w:highlight w:val="none"/>
        </w:rPr>
        <w:t xml:space="preserve">35.1由采购人组织验收，中标人配合。</w:t>
      </w:r>
      <w:bookmarkEnd w:id="53"/>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4"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4"/>
      <w:r>
        <w:rPr>
          <w:rFonts w:hint="eastAsia" w:ascii="宋体" w:hAnsi="宋体" w:cs="宋体"/>
          <w:color w:val="auto"/>
          <w:sz w:val="24"/>
          <w:highlight w:val="none"/>
        </w:rPr>
        <w:t xml:space="preserve"> 采购人按招标文件要求办理采购款支付手续。</w:t>
      </w:r>
      <w:r/>
    </w:p>
    <w:p>
      <w:pPr>
        <w:pStyle w:val="889"/>
        <w:spacing w:line="360" w:lineRule="auto"/>
        <w:rPr>
          <w:rFonts w:hint="eastAsia" w:ascii="宋体" w:hAnsi="宋体" w:eastAsia="宋体" w:cs="宋体"/>
          <w:color w:val="auto"/>
          <w:highlight w:val="none"/>
        </w:rPr>
        <w:outlineLvl w:val="1"/>
      </w:pPr>
      <w:r/>
      <w:bookmarkStart w:id="55" w:name="_Toc514054480"/>
      <w:r/>
      <w:bookmarkStart w:id="56" w:name="_Toc10945"/>
      <w:r/>
      <w:bookmarkStart w:id="57" w:name="_Toc81493170"/>
      <w:r>
        <w:rPr>
          <w:rFonts w:hint="eastAsia" w:ascii="宋体" w:hAnsi="宋体" w:eastAsia="宋体" w:cs="宋体"/>
          <w:color w:val="auto"/>
          <w:highlight w:val="none"/>
        </w:rPr>
        <w:t xml:space="preserve">九、质疑与投诉</w:t>
      </w:r>
      <w:bookmarkEnd w:id="55"/>
      <w:r/>
      <w:bookmarkEnd w:id="56"/>
      <w:r/>
      <w:bookmarkEnd w:id="57"/>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jc w:val="center"/>
        <w:spacing w:line="240" w:lineRule="auto"/>
        <w:rPr>
          <w:rFonts w:hint="eastAsia"/>
          <w:b/>
          <w:color w:val="auto"/>
          <w:sz w:val="44"/>
          <w:szCs w:val="44"/>
          <w:highlight w:val="none"/>
        </w:rPr>
      </w:pPr>
      <w:r>
        <w:rPr>
          <w:rFonts w:hint="eastAsia"/>
          <w:b/>
          <w:color w:val="auto"/>
          <w:sz w:val="44"/>
          <w:szCs w:val="44"/>
          <w:highlight w:val="none"/>
        </w:rPr>
        <w:br w:type="page" w:clear="all"/>
      </w:r>
      <w:bookmarkStart w:id="58" w:name="EB4d341233595e4bf8ad7006b4bd78d974"/>
      <w:r/>
      <w:bookmarkEnd w:id="58"/>
      <w:r/>
      <w:bookmarkStart w:id="59" w:name="_Toc22015"/>
      <w:r>
        <w:rPr>
          <w:rFonts w:hint="eastAsia"/>
          <w:b/>
          <w:color w:val="auto"/>
          <w:sz w:val="44"/>
          <w:szCs w:val="44"/>
          <w:highlight w:val="none"/>
        </w:rPr>
        <w:t xml:space="preserve">第三部分  </w:t>
      </w:r>
      <w:bookmarkEnd w:id="59"/>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60" w:name="_Toc24217_WPSOffice_Level2"/>
      <w:r/>
      <w:bookmarkStart w:id="61" w:name="_Toc4647"/>
      <w:r>
        <w:rPr>
          <w:rFonts w:hint="eastAsia"/>
          <w:b/>
          <w:color w:val="auto"/>
          <w:sz w:val="32"/>
          <w:szCs w:val="32"/>
          <w:highlight w:val="none"/>
        </w:rPr>
        <w:t xml:space="preserve">一、资格审查</w:t>
      </w:r>
      <w:bookmarkEnd w:id="60"/>
      <w:r/>
      <w:bookmarkEnd w:id="61"/>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707"/>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2"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2"/>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b/>
          <w:bCs w:val="0"/>
          <w:color w:val="auto"/>
          <w:sz w:val="28"/>
          <w:szCs w:val="28"/>
          <w:highlight w:val="none"/>
          <w:lang w:eastAsia="zh-CN"/>
        </w:rPr>
      </w:pPr>
      <w:r>
        <w:rPr>
          <w:rFonts w:hint="eastAsia" w:ascii="宋体" w:hAnsi="宋体" w:cs="宋体"/>
          <w:color w:val="auto"/>
          <w:sz w:val="24"/>
          <w:szCs w:val="24"/>
          <w:highlight w:val="none"/>
        </w:rPr>
        <w:t xml:space="preserve">评标结果。评标委员会按照本办法规定推荐中标候选人，并形成评标报告。</w:t>
      </w:r>
      <w:r/>
    </w:p>
    <w:p>
      <w:pPr>
        <w:numPr>
          <w:ilvl w:val="0"/>
          <w:numId w:val="0"/>
        </w:numPr>
        <w:ind w:firstLine="0"/>
        <w:keepLines w:val="0"/>
        <w:keepNext w:val="0"/>
        <w:pageBreakBefore w:val="0"/>
        <w:spacing w:line="360" w:lineRule="auto"/>
        <w:widowControl w:val="off"/>
        <w:rPr>
          <w:rFonts w:hint="eastAsia" w:ascii="宋体" w:hAnsi="宋体" w:cs="宋体"/>
          <w:b/>
          <w:bCs/>
          <w:color w:val="auto"/>
          <w:sz w:val="24"/>
          <w:highlight w:val="none"/>
          <w:lang w:val="en-US" w:eastAsia="zh-CN"/>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tbl>
      <w:tblPr>
        <w:tblStyle w:val="70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94"/>
        <w:gridCol w:w="754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rPr>
                <w:rFonts w:hint="eastAsia" w:ascii="宋体" w:hAnsi="宋体" w:cs="宋体"/>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投标人所投设备完全响应招标文件第四章第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w:t>
            </w:r>
            <w:r>
              <w:rPr>
                <w:rFonts w:hint="eastAsia" w:ascii="宋体" w:hAnsi="宋体" w:eastAsia="宋体" w:cs="宋体"/>
                <w:color w:val="auto"/>
                <w:sz w:val="24"/>
                <w:szCs w:val="24"/>
                <w:highlight w:val="none"/>
                <w:lang w:val="en-US" w:eastAsia="zh-CN"/>
              </w:rPr>
              <w:t xml:space="preserve">技术参数要求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eastAsia="zh-CN"/>
              </w:rPr>
              <w:t xml:space="preserve">分。</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16.9</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非▲号技术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77</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eastAsia="宋体" w:cs="宋体"/>
                <w:color w:val="auto"/>
                <w:sz w:val="24"/>
                <w:szCs w:val="24"/>
                <w:highlight w:val="none"/>
                <w:lang w:val="en-US" w:eastAsia="zh-CN"/>
              </w:rPr>
              <w:t xml:space="preserve">加0.3</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23.1</w:t>
            </w:r>
            <w:r>
              <w:rPr>
                <w:rFonts w:hint="eastAsia" w:ascii="宋体" w:hAnsi="宋体" w:eastAsia="宋体" w:cs="宋体"/>
                <w:color w:val="auto"/>
                <w:sz w:val="24"/>
                <w:szCs w:val="24"/>
                <w:highlight w:val="none"/>
                <w:lang w:val="en-US" w:eastAsia="zh-CN"/>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40</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履约能力（3分）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来任一核心产品的类似项目的业绩合同复印件，并加盖投标人公章，有1项得1分，本项最高得3分。（投标时须提供合同复印件加盖公章，同一核心产品的类似业绩最多算2份业绩得分。合同要素至少包含合同双方名称、货物名称、品牌型号及合同签订时间（2022年1月1日起，含），合同要素不完整或者内容不清晰无法辨认或提供不全的不得分）。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免费质量保修期（3分）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3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投标人根据本项目第四部分中“六、人员配备”要求，配备丰富的管理及专业实施人员团队，至少包括管理人员投入、技术人员投入、安装调试人员投入，管理及专业实施人员配备优于本项目需求的得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分，管理及专业实施人员配备不满足或不提供不得分。（</w:t>
            </w:r>
            <w:r>
              <w:rPr>
                <w:rFonts w:hint="eastAsia" w:ascii="宋体" w:hAnsi="宋体" w:eastAsia="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能全部响应要求，提出更为</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人员配备团队</w:t>
            </w:r>
            <w:r>
              <w:rPr>
                <w:rFonts w:hint="eastAsia" w:ascii="宋体" w:hAnsi="宋体" w:eastAsia="宋体" w:cs="宋体"/>
                <w:color w:val="auto"/>
                <w:sz w:val="24"/>
                <w:szCs w:val="24"/>
                <w:highlight w:val="none"/>
              </w:rPr>
              <w:t xml:space="preserve">对于要求的响应不完全或者偏离要求的，视为不符合。具体由评审委员会评审。</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供货运输方案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回访巡检方案等方面内容。</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分，每有一项内容缺失的扣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分，每有一处内容存在缺陷或不满足要求的扣</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208"/>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节能产品（1分）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环境标志产品（1分）</w:t>
            </w:r>
            <w:r/>
          </w:p>
        </w:tc>
        <w:tc>
          <w:tcPr>
            <w:shd w:val="clear" w:color="auto" w:fill="auto"/>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1分</w:t>
            </w:r>
            <w:r/>
          </w:p>
        </w:tc>
      </w:tr>
    </w:tbl>
    <w:p>
      <w:pPr>
        <w:ind w:right="-10"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9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9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供应商需按照采购文件的要求提供相应的《中小企业声明函》。</w:t>
      </w:r>
      <w:r/>
    </w:p>
    <w:p>
      <w:pPr>
        <w:pStyle w:val="891"/>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采购本国产品的支持政策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以上时（供应商需在“第六部分  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.4供应商需在《声明函》中逐一、准确填写产品名称、厂名、生产厂址三项信息（《声明函》中用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3" w:name="EBae7807b0bcbc478ea1f502c8f1955356"/>
      <w:r/>
      <w:bookmarkEnd w:id="63"/>
      <w:r/>
      <w:bookmarkStart w:id="64" w:name="_Toc514054481"/>
      <w:r>
        <w:rPr>
          <w:rFonts w:hint="eastAsia"/>
          <w:b/>
          <w:color w:val="auto"/>
          <w:sz w:val="44"/>
          <w:szCs w:val="44"/>
          <w:highlight w:val="none"/>
        </w:rPr>
        <w:br w:type="page" w:clear="all"/>
      </w:r>
      <w:bookmarkStart w:id="65"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4"/>
      <w:r/>
      <w:bookmarkEnd w:id="65"/>
      <w:r/>
      <w:r/>
    </w:p>
    <w:p>
      <w:pPr>
        <w:pStyle w:val="712"/>
        <w:spacing w:before="103"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1"/>
          <w:sz w:val="28"/>
          <w:szCs w:val="28"/>
          <w:highlight w:val="none"/>
        </w:rPr>
        <w:t xml:space="preserve">一、</w:t>
      </w:r>
      <w:r>
        <w:rPr>
          <w:rFonts w:hint="eastAsia" w:ascii="宋体" w:hAnsi="宋体" w:eastAsia="宋体" w:cs="宋体"/>
          <w:b/>
          <w:bCs/>
          <w:color w:val="auto"/>
          <w:spacing w:val="-1"/>
          <w:sz w:val="28"/>
          <w:szCs w:val="28"/>
          <w:highlight w:val="none"/>
          <w:lang w:val="en-US" w:eastAsia="zh-CN"/>
        </w:rPr>
        <w:t xml:space="preserve">需求一览表</w:t>
      </w:r>
      <w:r/>
    </w:p>
    <w:tbl>
      <w:tblPr>
        <w:tblStyle w:val="707"/>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892"/>
        <w:gridCol w:w="924"/>
        <w:gridCol w:w="2612"/>
        <w:gridCol w:w="1980"/>
      </w:tblGrid>
      <w:tr>
        <w:trPr>
          <w:jc w:val="center"/>
          <w:trHeight w:val="590"/>
        </w:trPr>
        <w:tc>
          <w:tcPr>
            <w:shd w:val="clear" w:color="auto" w:fill="auto"/>
            <w:tcBorders>
              <w:top w:val="single" w:color="000000" w:sz="4" w:space="0"/>
              <w:left w:val="single" w:color="000000" w:sz="4" w:space="0"/>
              <w:bottom w:val="single" w:color="auto" w:sz="4" w:space="0"/>
              <w:right w:val="single" w:color="000000"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bookmarkStart w:id="66" w:name="_Toc9306"/>
            <w:r/>
            <w:bookmarkStart w:id="67" w:name="_Toc514054482"/>
            <w:r>
              <w:rPr>
                <w:rFonts w:hint="eastAsia" w:ascii="宋体" w:hAnsi="宋体" w:cs="宋体"/>
                <w:i w:val="0"/>
                <w:iCs w:val="0"/>
                <w:color w:val="auto"/>
                <w:sz w:val="24"/>
                <w:szCs w:val="24"/>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auto" w:sz="4" w:space="0"/>
              <w:right w:val="single" w:color="000000" w:sz="4" w:space="0"/>
            </w:tcBorders>
            <w:tcW w:w="28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auto" w:sz="4" w:space="0"/>
              <w:right w:val="single" w:color="000000" w:sz="4" w:space="0"/>
            </w:tcBorders>
            <w:tcW w:w="9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261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交货期</w:t>
            </w:r>
            <w:r/>
          </w:p>
        </w:tc>
        <w:tc>
          <w:tcPr>
            <w:shd w:val="clear" w:color="auto" w:fill="auto"/>
            <w:tcBorders>
              <w:top w:val="single" w:color="000000" w:sz="4" w:space="0"/>
              <w:left w:val="single" w:color="000000" w:sz="4" w:space="0"/>
              <w:bottom w:val="single" w:color="auto" w:sz="4" w:space="0"/>
              <w:right w:val="single" w:color="000000"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交货地点</w:t>
            </w:r>
            <w:r/>
          </w:p>
        </w:tc>
      </w:tr>
      <w:tr>
        <w:trPr>
          <w:jc w:val="center"/>
          <w:trHeight w:val="547"/>
        </w:trPr>
        <w:tc>
          <w:tcPr>
            <w:shd w:val="clear" w:color="auto" w:fill="auto"/>
            <w:tcBorders>
              <w:top w:val="single" w:color="auto" w:sz="4" w:space="0"/>
              <w:left w:val="single" w:color="auto" w:sz="4" w:space="0"/>
              <w:right w:val="single" w:color="auto" w:sz="4" w:space="0"/>
            </w:tcBorders>
            <w:tcW w:w="776" w:type="dxa"/>
            <w:vAlign w:val="center"/>
            <w:vMerge w:val="restart"/>
            <w:textDirection w:val="lrTb"/>
            <w:noWrap/>
          </w:tcPr>
          <w:p>
            <w:pPr>
              <w:jc w:val="center"/>
              <w:keepLines w:val="0"/>
              <w:keepNext w:val="0"/>
              <w:spacing w:line="240" w:lineRule="auto"/>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运动</w:t>
            </w:r>
            <w:r>
              <w:rPr>
                <w:rFonts w:hint="eastAsia" w:ascii="宋体" w:hAnsi="宋体" w:cs="宋体"/>
                <w:color w:val="auto"/>
                <w:sz w:val="24"/>
                <w:szCs w:val="24"/>
                <w:highlight w:val="none"/>
                <w:lang w:val="en-US" w:eastAsia="zh-CN"/>
              </w:rPr>
              <w:t xml:space="preserve">心肺测试系统</w:t>
            </w:r>
            <w:r>
              <w:rPr>
                <w:rFonts w:hint="eastAsia" w:ascii="宋体" w:hAnsi="宋体" w:cs="宋体"/>
                <w:color w:val="auto"/>
                <w:sz w:val="24"/>
                <w:szCs w:val="24"/>
                <w:highlight w:val="none"/>
                <w:lang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cs="宋体"/>
                <w:color w:val="auto"/>
                <w:sz w:val="24"/>
                <w:szCs w:val="24"/>
                <w:highlight w:val="none"/>
                <w:lang w:val="en-US" w:eastAsia="zh-CN"/>
              </w:rPr>
              <w:t xml:space="preserve">1套</w:t>
            </w:r>
            <w:r/>
          </w:p>
        </w:tc>
        <w:tc>
          <w:tcPr>
            <w:shd w:val="clear" w:color="auto" w:fill="auto"/>
            <w:tcBorders>
              <w:top w:val="single" w:color="auto" w:sz="4" w:space="0"/>
              <w:left w:val="single" w:color="auto" w:sz="4" w:space="0"/>
              <w:right w:val="single" w:color="auto" w:sz="4" w:space="0"/>
            </w:tcBorders>
            <w:tcW w:w="2612" w:type="dxa"/>
            <w:vAlign w:val="center"/>
            <w:vMerge w:val="restart"/>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合同签订后</w:t>
            </w:r>
            <w:r>
              <w:rPr>
                <w:rFonts w:hint="eastAsia" w:ascii="宋体" w:hAnsi="宋体" w:eastAsia="宋体" w:cs="宋体"/>
                <w:i w:val="0"/>
                <w:iCs w:val="0"/>
                <w:color w:val="auto"/>
                <w:sz w:val="24"/>
                <w:szCs w:val="24"/>
                <w:highlight w:val="none"/>
                <w:u w:val="none"/>
                <w:lang w:val="en-US" w:eastAsia="zh-CN"/>
              </w:rPr>
              <w:t xml:space="preserve">60日</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auto" w:sz="4" w:space="0"/>
              <w:left w:val="single" w:color="auto" w:sz="4" w:space="0"/>
              <w:right w:val="single" w:color="auto" w:sz="4" w:space="0"/>
            </w:tcBorders>
            <w:tcW w:w="1980" w:type="dxa"/>
            <w:vAlign w:val="center"/>
            <w:vMerge w:val="restart"/>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t xml:space="preserve">采购人</w:t>
            </w:r>
            <w:r>
              <w:rPr>
                <w:rFonts w:hint="eastAsia" w:ascii="宋体" w:hAnsi="宋体" w:eastAsia="宋体" w:cs="宋体"/>
                <w:i w:val="0"/>
                <w:iCs w:val="0"/>
                <w:color w:val="auto"/>
                <w:sz w:val="24"/>
                <w:szCs w:val="24"/>
                <w:highlight w:val="none"/>
                <w:u w:val="none"/>
              </w:rPr>
              <w:t xml:space="preserve">指定地点</w:t>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无创</w:t>
            </w:r>
            <w:r>
              <w:rPr>
                <w:rFonts w:hint="eastAsia" w:ascii="宋体" w:hAnsi="宋体" w:cs="宋体"/>
                <w:color w:val="auto"/>
                <w:sz w:val="24"/>
                <w:szCs w:val="24"/>
                <w:highlight w:val="none"/>
                <w:lang w:val="en-US" w:eastAsia="zh-CN"/>
              </w:rPr>
              <w:t xml:space="preserve">心排量</w:t>
            </w:r>
            <w:r>
              <w:rPr>
                <w:rFonts w:hint="eastAsia" w:ascii="宋体" w:hAnsi="宋体" w:cs="宋体"/>
                <w:color w:val="auto"/>
                <w:sz w:val="24"/>
                <w:szCs w:val="24"/>
                <w:highlight w:val="none"/>
                <w:lang w:eastAsia="zh-CN"/>
              </w:rPr>
              <w:t xml:space="preserve">检测系统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cs="宋体"/>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bCs w:val="0"/>
                <w:color w:val="auto"/>
                <w:sz w:val="24"/>
                <w:szCs w:val="24"/>
                <w:highlight w:val="none"/>
              </w:rPr>
              <w:t xml:space="preserve">心肺康复管理系统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气囊式体外反搏治疗系统</w:t>
            </w:r>
            <w:r>
              <w:rPr>
                <w:rFonts w:hint="eastAsia" w:ascii="宋体" w:hAnsi="宋体" w:cs="宋体"/>
                <w:b w:val="0"/>
                <w:color w:val="auto"/>
                <w:sz w:val="24"/>
                <w:szCs w:val="24"/>
                <w:highlight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立式运动训练功率车</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3台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eastAsia="宋体" w:cs="宋体"/>
                <w:b w:val="0"/>
                <w:color w:val="auto"/>
                <w:sz w:val="24"/>
                <w:szCs w:val="24"/>
                <w:highlight w:val="none"/>
                <w:lang w:val="en-US" w:eastAsia="zh-CN"/>
              </w:rPr>
            </w:pPr>
            <w:r>
              <w:rPr>
                <w:rFonts w:hint="eastAsia" w:ascii="宋体" w:hAnsi="宋体" w:cs="宋体"/>
                <w:b w:val="0"/>
                <w:color w:val="auto"/>
                <w:sz w:val="24"/>
                <w:szCs w:val="24"/>
                <w:highlight w:val="none"/>
                <w:lang w:val="en-US" w:eastAsia="zh-CN"/>
              </w:rPr>
              <w:t xml:space="preserve">抗阻训练设备</w:t>
            </w:r>
            <w:r/>
          </w:p>
          <w:p>
            <w:pPr>
              <w:jc w:val="center"/>
              <w:rPr>
                <w:rFonts w:hint="eastAsia" w:ascii="宋体" w:hAnsi="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（上肢、下肢、腰部各1台）</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3台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六分钟步行监测分析系统</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2套</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背靠式功率车</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1台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25"/>
        </w:trPr>
        <w:tc>
          <w:tcPr>
            <w:shd w:val="clear" w:color="auto" w:fill="auto"/>
            <w:tcBorders>
              <w:left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跑台</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color w:val="auto"/>
                <w:sz w:val="24"/>
                <w:szCs w:val="24"/>
                <w:highlight w:val="none"/>
                <w:lang w:val="en-US" w:eastAsia="zh-CN"/>
              </w:rPr>
              <w:t xml:space="preserve">1台</w:t>
            </w:r>
            <w:r/>
          </w:p>
        </w:tc>
        <w:tc>
          <w:tcPr>
            <w:shd w:val="clear" w:color="auto" w:fill="auto"/>
            <w:tcBorders>
              <w:left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r>
        <w:trPr>
          <w:jc w:val="center"/>
          <w:trHeight w:val="547"/>
        </w:trPr>
        <w:tc>
          <w:tcPr>
            <w:shd w:val="clear" w:color="auto" w:fill="auto"/>
            <w:tcBorders>
              <w:left w:val="single" w:color="auto" w:sz="4" w:space="0"/>
              <w:bottom w:val="single" w:color="auto" w:sz="4" w:space="0"/>
              <w:right w:val="single" w:color="auto" w:sz="4" w:space="0"/>
            </w:tcBorders>
            <w:tcW w:w="776" w:type="dxa"/>
            <w:vAlign w:val="center"/>
            <w:vMerge w:val="continue"/>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rPr>
                <w:rFonts w:hint="eastAsia" w:ascii="宋体" w:hAnsi="宋体" w:cs="宋体"/>
                <w:color w:val="auto"/>
                <w:sz w:val="24"/>
                <w:szCs w:val="24"/>
                <w:highlight w:val="none"/>
                <w:lang w:eastAsia="zh-CN"/>
              </w:rPr>
            </w:pPr>
            <w:r>
              <w:rPr>
                <w:rFonts w:hint="eastAsia" w:ascii="宋体" w:hAnsi="宋体" w:cs="宋体"/>
                <w:b w:val="0"/>
                <w:color w:val="auto"/>
                <w:sz w:val="24"/>
                <w:szCs w:val="24"/>
                <w:highlight w:val="none"/>
                <w:lang w:val="en-US" w:eastAsia="zh-CN"/>
              </w:rPr>
              <w:t xml:space="preserve">椭圆机</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tcPr>
          <w:p>
            <w:pPr>
              <w:jc w:val="center"/>
              <w:rPr>
                <w:rFonts w:hint="eastAsia" w:ascii="宋体" w:hAnsi="宋体" w:cs="宋体"/>
                <w:color w:val="auto"/>
                <w:spacing w:val="0"/>
                <w:sz w:val="24"/>
                <w:szCs w:val="24"/>
                <w:highlight w:val="none"/>
              </w:rPr>
            </w:pPr>
            <w:r>
              <w:rPr>
                <w:rFonts w:hint="eastAsia" w:ascii="宋体" w:hAnsi="宋体" w:eastAsia="宋体" w:cs="宋体"/>
                <w:b w:val="0"/>
                <w:bCs w:val="0"/>
                <w:color w:val="auto"/>
                <w:sz w:val="24"/>
                <w:szCs w:val="24"/>
                <w:highlight w:val="none"/>
                <w:lang w:val="en-US" w:eastAsia="zh-CN"/>
              </w:rPr>
              <w:t xml:space="preserve">1套</w:t>
            </w:r>
            <w:r/>
          </w:p>
        </w:tc>
        <w:tc>
          <w:tcPr>
            <w:shd w:val="clear" w:color="auto" w:fill="auto"/>
            <w:tcBorders>
              <w:left w:val="single" w:color="auto" w:sz="4" w:space="0"/>
              <w:bottom w:val="single" w:color="auto" w:sz="4" w:space="0"/>
              <w:right w:val="single" w:color="auto" w:sz="4" w:space="0"/>
            </w:tcBorders>
            <w:tcW w:w="2612"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left w:val="single" w:color="auto" w:sz="4" w:space="0"/>
              <w:bottom w:val="single" w:color="auto" w:sz="4" w:space="0"/>
              <w:right w:val="single" w:color="auto" w:sz="4" w:space="0"/>
            </w:tcBorders>
            <w:tcW w:w="1980" w:type="dxa"/>
            <w:vAlign w:val="center"/>
            <w:vMerge w:val="continue"/>
            <w:textDirection w:val="lrTb"/>
            <w:noWrap/>
          </w:tcPr>
          <w:p>
            <w:pPr>
              <w:jc w:val="center"/>
              <w:spacing w:line="24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rPr>
            </w:r>
            <w:r/>
          </w:p>
        </w:tc>
      </w:tr>
    </w:tbl>
    <w:p>
      <w:pPr>
        <w:pStyle w:val="712"/>
        <w:ind w:firstLine="277"/>
        <w:spacing w:before="183" w:line="360" w:lineRule="auto"/>
        <w:rPr>
          <w:rFonts w:hint="default" w:ascii="宋体" w:hAnsi="宋体" w:eastAsia="宋体" w:cs="宋体"/>
          <w:b/>
          <w:bCs/>
          <w:color w:val="auto"/>
          <w:spacing w:val="-2"/>
          <w:sz w:val="28"/>
          <w:szCs w:val="28"/>
          <w:highlight w:val="none"/>
          <w:lang w:val="en-US" w:eastAsia="zh-CN"/>
        </w:rPr>
      </w:pPr>
      <w:r>
        <w:rPr>
          <w:rFonts w:hint="eastAsia" w:ascii="宋体" w:hAnsi="宋体" w:eastAsia="宋体" w:cs="宋体"/>
          <w:b/>
          <w:bCs/>
          <w:color w:val="auto"/>
          <w:spacing w:val="-2"/>
          <w:sz w:val="28"/>
          <w:szCs w:val="28"/>
          <w:highlight w:val="none"/>
          <w:lang w:val="en-US" w:eastAsia="zh-CN"/>
        </w:rPr>
        <w:t xml:space="preserve">注：核心产品：运动心肺测试系统和气囊式体外反搏治疗系统。</w:t>
      </w:r>
      <w:r/>
    </w:p>
    <w:p>
      <w:pPr>
        <w:pStyle w:val="712"/>
        <w:spacing w:before="103" w:line="360" w:lineRule="auto"/>
        <w:rPr>
          <w:rFonts w:hint="eastAsia" w:ascii="宋体" w:hAnsi="宋体" w:eastAsia="宋体" w:cs="宋体"/>
          <w:b/>
          <w:bCs/>
          <w:color w:val="auto"/>
          <w:spacing w:val="-1"/>
          <w:sz w:val="28"/>
          <w:szCs w:val="28"/>
          <w:highlight w:val="none"/>
        </w:rPr>
      </w:pPr>
      <w:r>
        <w:rPr>
          <w:rFonts w:hint="eastAsia" w:ascii="宋体" w:hAnsi="宋体" w:eastAsia="宋体" w:cs="宋体"/>
          <w:b/>
          <w:bCs/>
          <w:color w:val="auto"/>
          <w:spacing w:val="-1"/>
          <w:sz w:val="28"/>
          <w:szCs w:val="28"/>
          <w:highlight w:val="none"/>
        </w:rPr>
      </w:r>
      <w:r/>
    </w:p>
    <w:p>
      <w:pPr>
        <w:pStyle w:val="712"/>
        <w:spacing w:before="103" w:line="360" w:lineRule="auto"/>
        <w:rPr>
          <w:rFonts w:hint="eastAsia" w:ascii="宋体" w:hAnsi="宋体" w:cs="宋体"/>
          <w:b/>
          <w:color w:val="auto"/>
          <w:sz w:val="28"/>
          <w:szCs w:val="28"/>
          <w:highlight w:val="none"/>
          <w:lang w:val="en-US" w:eastAsia="zh-CN"/>
        </w:rPr>
      </w:pPr>
      <w:r>
        <w:rPr>
          <w:rFonts w:hint="eastAsia" w:ascii="宋体" w:hAnsi="宋体" w:eastAsia="宋体" w:cs="宋体"/>
          <w:b/>
          <w:bCs/>
          <w:color w:val="auto"/>
          <w:spacing w:val="-1"/>
          <w:sz w:val="28"/>
          <w:szCs w:val="28"/>
          <w:highlight w:val="none"/>
        </w:rPr>
        <w:t xml:space="preserve">二、</w:t>
      </w:r>
      <w:r>
        <w:rPr>
          <w:rFonts w:hint="eastAsia" w:ascii="宋体" w:hAnsi="宋体" w:eastAsia="宋体" w:cs="宋体"/>
          <w:b/>
          <w:bCs/>
          <w:color w:val="auto"/>
          <w:spacing w:val="-1"/>
          <w:sz w:val="28"/>
          <w:szCs w:val="28"/>
          <w:highlight w:val="none"/>
          <w:lang w:val="en-US" w:eastAsia="zh-CN"/>
        </w:rPr>
        <w:t xml:space="preserve">技术参数要求</w:t>
      </w:r>
      <w:r/>
    </w:p>
    <w:p>
      <w:pPr>
        <w:jc w:val="both"/>
        <w:spacing w:line="360" w:lineRule="auto"/>
        <w:rPr>
          <w:rFonts w:hint="eastAsia" w:ascii="宋体" w:hAnsi="宋体" w:eastAsia="宋体" w:cs="宋体"/>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产品一</w:t>
      </w:r>
      <w:r>
        <w:rPr>
          <w:rFonts w:hint="eastAsia" w:ascii="宋体" w:hAnsi="宋体" w:cs="宋体"/>
          <w:b/>
          <w:color w:val="auto"/>
          <w:sz w:val="28"/>
          <w:szCs w:val="28"/>
          <w:highlight w:val="none"/>
        </w:rPr>
        <w:t xml:space="preserve">：运动</w:t>
      </w:r>
      <w:r>
        <w:rPr>
          <w:rFonts w:hint="eastAsia" w:ascii="宋体" w:hAnsi="宋体" w:cs="宋体"/>
          <w:b/>
          <w:color w:val="auto"/>
          <w:sz w:val="28"/>
          <w:szCs w:val="28"/>
          <w:highlight w:val="none"/>
          <w:lang w:val="en-US" w:eastAsia="zh-CN"/>
        </w:rPr>
        <w:t xml:space="preserve">心肺测试系统</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×1套</w:t>
      </w:r>
      <w:r/>
    </w:p>
    <w:p>
      <w:pPr>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主要功能用途：</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可用于心脏康复领域和心血管疾病的各个阶段和临床评估心肺功能、制定及监测运动处方等。可完成心电测试、肺功能测试、运动血压，运动血氧、</w:t>
      </w:r>
      <w:r>
        <w:rPr>
          <w:rFonts w:hint="eastAsia" w:ascii="宋体" w:hAnsi="宋体" w:eastAsia="宋体" w:cs="宋体"/>
          <w:color w:val="auto"/>
          <w:sz w:val="24"/>
          <w:szCs w:val="24"/>
          <w:highlight w:val="none"/>
          <w:lang w:val="en-US" w:eastAsia="zh-CN"/>
        </w:rPr>
        <w:t xml:space="preserve">运动康复</w:t>
      </w:r>
      <w:r>
        <w:rPr>
          <w:rFonts w:hint="eastAsia" w:ascii="宋体" w:hAnsi="宋体" w:eastAsia="宋体" w:cs="宋体"/>
          <w:color w:val="auto"/>
          <w:sz w:val="24"/>
          <w:szCs w:val="24"/>
          <w:highlight w:val="none"/>
        </w:rPr>
        <w:t xml:space="preserve">测试以及数据分析。</w:t>
      </w:r>
      <w:r/>
    </w:p>
    <w:p>
      <w:pPr>
        <w:jc w:val="both"/>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技术要求</w:t>
      </w:r>
      <w:r/>
    </w:p>
    <w:p>
      <w:pPr>
        <w:ind w:firstLine="0"/>
        <w:jc w:val="left"/>
        <w:keepLines w:val="0"/>
        <w:keepNext w:val="0"/>
        <w:pageBreakBefore w:val="0"/>
        <w:spacing w:line="360" w:lineRule="auto"/>
        <w:widowControl/>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运动心电功能</w:t>
      </w:r>
      <w:r>
        <w:rPr>
          <w:rFonts w:hint="eastAsia" w:ascii="宋体" w:hAnsi="宋体" w:eastAsia="宋体" w:cs="宋体"/>
          <w:b/>
          <w:bCs/>
          <w:color w:val="auto"/>
          <w:sz w:val="24"/>
          <w:szCs w:val="24"/>
          <w:highlight w:val="none"/>
        </w:rPr>
        <w:tab/>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bCs/>
          <w:color w:val="auto"/>
          <w:sz w:val="24"/>
          <w:szCs w:val="24"/>
          <w:highlight w:val="none"/>
          <w:lang w:val="en-US" w:eastAsia="zh-CN"/>
        </w:rPr>
        <w:t xml:space="preserve">具备</w:t>
      </w:r>
      <w:r>
        <w:rPr>
          <w:rFonts w:hint="eastAsia" w:ascii="宋体" w:hAnsi="宋体" w:eastAsia="宋体" w:cs="宋体"/>
          <w:bCs/>
          <w:color w:val="auto"/>
          <w:sz w:val="24"/>
          <w:szCs w:val="24"/>
          <w:highlight w:val="none"/>
        </w:rPr>
        <w:t xml:space="preserve">有线连接十二导运动心电，进行静态心电、运动心电、长时间静态节律功能的测量。</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bCs/>
          <w:color w:val="auto"/>
          <w:sz w:val="24"/>
          <w:szCs w:val="24"/>
          <w:highlight w:val="none"/>
        </w:rPr>
        <w:t xml:space="preserve">具</w:t>
      </w:r>
      <w:r>
        <w:rPr>
          <w:rFonts w:hint="eastAsia" w:ascii="宋体" w:hAnsi="宋体" w:eastAsia="宋体" w:cs="宋体"/>
          <w:bCs/>
          <w:color w:val="auto"/>
          <w:sz w:val="24"/>
          <w:szCs w:val="24"/>
          <w:highlight w:val="none"/>
          <w:lang w:val="en-US" w:eastAsia="zh-CN"/>
        </w:rPr>
        <w:t xml:space="preserve">备</w:t>
      </w:r>
      <w:r>
        <w:rPr>
          <w:rFonts w:hint="eastAsia" w:ascii="宋体" w:hAnsi="宋体" w:eastAsia="宋体" w:cs="宋体"/>
          <w:bCs/>
          <w:color w:val="auto"/>
          <w:sz w:val="24"/>
          <w:szCs w:val="24"/>
          <w:highlight w:val="none"/>
        </w:rPr>
        <w:t xml:space="preserve">运动心电图ST段及QT离散度分析功能。</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心电采集盒</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单独使用，能够当做单独的心电图机使用，且能够通过内置热敏打印纸打印心电报告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提供说明书或检验报告</w:t>
      </w:r>
      <w:r>
        <w:rPr>
          <w:rFonts w:hint="eastAsia" w:ascii="宋体" w:hAnsi="宋体" w:eastAsia="宋体" w:cs="宋体"/>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导联线防除颤功能。</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心电采样率：≥10000Hz</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彩页或说明书</w:t>
      </w:r>
      <w:r>
        <w:rPr>
          <w:rFonts w:hint="eastAsia" w:ascii="宋体" w:hAnsi="宋体" w:eastAsia="宋体" w:cs="宋体"/>
          <w:b w:val="0"/>
          <w:bCs w:val="0"/>
          <w:color w:val="auto"/>
          <w:sz w:val="24"/>
          <w:szCs w:val="24"/>
          <w:highlight w:val="none"/>
        </w:rPr>
        <w:t xml:space="preserve">证明）</w:t>
      </w:r>
      <w:r>
        <w:rPr>
          <w:rFonts w:hint="eastAsia" w:ascii="宋体" w:hAnsi="宋体" w:eastAsia="宋体" w:cs="宋体"/>
          <w:b/>
          <w:bCs/>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设备实物</w:t>
      </w:r>
      <w:r>
        <w:rPr>
          <w:rFonts w:hint="eastAsia" w:ascii="宋体" w:hAnsi="宋体" w:eastAsia="宋体" w:cs="宋体"/>
          <w:b w:val="0"/>
          <w:bCs w:val="0"/>
          <w:color w:val="auto"/>
          <w:sz w:val="24"/>
          <w:szCs w:val="24"/>
          <w:highlight w:val="none"/>
        </w:rPr>
        <w:t xml:space="preserve">铭牌）</w:t>
      </w:r>
      <w:r>
        <w:rPr>
          <w:rFonts w:hint="eastAsia" w:ascii="宋体" w:hAnsi="宋体" w:eastAsia="宋体" w:cs="宋体"/>
          <w:b w:val="0"/>
          <w:bCs w:val="0"/>
          <w:color w:val="auto"/>
          <w:sz w:val="24"/>
          <w:szCs w:val="24"/>
          <w:highlight w:val="none"/>
          <w:lang w:eastAsia="zh-CN"/>
        </w:rPr>
        <w:t xml:space="preserve">。</w:t>
      </w:r>
      <w:r/>
    </w:p>
    <w:p>
      <w:pPr>
        <w:ind w:firstLine="0"/>
        <w:jc w:val="left"/>
        <w:keepLines w:val="0"/>
        <w:keepNext w:val="0"/>
        <w:pageBreakBefore w:val="0"/>
        <w:spacing w:line="360" w:lineRule="auto"/>
        <w:tabs>
          <w:tab w:val="left" w:pos="1073" w:leader="none"/>
          <w:tab w:val="left" w:pos="209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运动肺功能</w:t>
      </w:r>
      <w:r>
        <w:rPr>
          <w:rFonts w:hint="eastAsia" w:ascii="宋体" w:hAnsi="宋体" w:eastAsia="宋体" w:cs="宋体"/>
          <w:b/>
          <w:bCs/>
          <w:color w:val="auto"/>
          <w:sz w:val="24"/>
          <w:szCs w:val="24"/>
          <w:highlight w:val="none"/>
        </w:rPr>
        <w:tab/>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采用不同容积（500ml～4000ml）的校准泵进行流速容量校准，校准时有动画提示抽拉气泵的速度</w:t>
      </w:r>
      <w:r>
        <w:rPr>
          <w:rFonts w:hint="eastAsia" w:ascii="宋体" w:hAnsi="宋体" w:eastAsia="宋体" w:cs="宋体"/>
          <w:b w:val="0"/>
          <w:bCs w:val="0"/>
          <w:color w:val="auto"/>
          <w:sz w:val="24"/>
          <w:szCs w:val="24"/>
          <w:highlight w:val="none"/>
        </w:rPr>
        <w:t xml:space="preserve">（提供截图</w:t>
      </w:r>
      <w:r>
        <w:rPr>
          <w:rFonts w:hint="eastAsia" w:ascii="宋体" w:hAnsi="宋体" w:eastAsia="宋体" w:cs="宋体"/>
          <w:b w:val="0"/>
          <w:bCs w:val="0"/>
          <w:color w:val="auto"/>
          <w:sz w:val="24"/>
          <w:szCs w:val="24"/>
          <w:highlight w:val="none"/>
          <w:lang w:val="en-US" w:eastAsia="zh-CN"/>
        </w:rPr>
        <w:t xml:space="preserve">证明</w:t>
      </w:r>
      <w:r>
        <w:rPr>
          <w:rFonts w:hint="eastAsia" w:ascii="宋体" w:hAnsi="宋体" w:eastAsia="宋体" w:cs="宋体"/>
          <w:b w:val="0"/>
          <w:bCs w:val="0"/>
          <w:color w:val="auto"/>
          <w:sz w:val="24"/>
          <w:szCs w:val="24"/>
          <w:highlight w:val="none"/>
        </w:rPr>
        <w:t xml:space="preserve">）。</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自动温度压力标定，满足海拔高度和湿度标定要求，湿度标定范围0～100%。</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具有</w:t>
      </w:r>
      <w:r>
        <w:rPr>
          <w:rFonts w:hint="eastAsia" w:ascii="宋体" w:hAnsi="宋体" w:eastAsia="宋体" w:cs="宋体"/>
          <w:color w:val="auto"/>
          <w:sz w:val="24"/>
          <w:szCs w:val="24"/>
          <w:highlight w:val="none"/>
        </w:rPr>
        <w:t xml:space="preserve">肺通气测试包括：潮气量、呼吸频率、最大肺活量、用力肺活量、一秒量、二秒量、三秒量、一秒率、通气量、深吸气量、补呼气量、补吸气量、吸气峰值流速、呼气峰值流速、吸气肺活量、呼气肺活量、最大通气量等。</w:t>
      </w:r>
      <w:r/>
    </w:p>
    <w:p>
      <w:pPr>
        <w:ind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容积范围：≥0～300L范围区间，测量范围：≥0～20L范围区间。</w:t>
      </w:r>
      <w:r/>
    </w:p>
    <w:p>
      <w:pPr>
        <w:pStyle w:val="742"/>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采用超声式二氧化碳气体分析器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提供注册证明文件或者说明书证明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742"/>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采用电化学氧分析器，测量范围 0～35%，响应速度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90毫秒。</w:t>
      </w:r>
      <w:r/>
    </w:p>
    <w:p>
      <w:pPr>
        <w:pStyle w:val="742"/>
        <w:ind w:left="0" w:firstLine="0"/>
        <w:keepLines w:val="0"/>
        <w:keepNext w:val="0"/>
        <w:pageBreakBefore w:val="0"/>
        <w:spacing w:line="360" w:lineRule="auto"/>
        <w:tabs>
          <w:tab w:val="left" w:pos="1073" w:leader="none"/>
        </w:tabs>
        <w:rPr>
          <w:rFonts w:hint="eastAsia" w:ascii="宋体" w:hAnsi="宋体" w:eastAsia="宋体" w:cs="宋体"/>
          <w:b w:val="0"/>
          <w:bCs w:val="0"/>
          <w:i w:val="0"/>
          <w:iCs w:val="0"/>
          <w:color w:val="auto"/>
          <w:sz w:val="24"/>
          <w:szCs w:val="24"/>
          <w:highlight w:val="none"/>
          <w:u w:val="none"/>
          <w:lang w:eastAsia="zh-CN"/>
        </w:rPr>
      </w:pPr>
      <w:r>
        <w:rPr>
          <w:rFonts w:hint="eastAsia" w:ascii="宋体" w:hAnsi="宋体" w:eastAsia="宋体" w:cs="宋体"/>
          <w:b w:val="0"/>
          <w:bCs w:val="0"/>
          <w:i w:val="0"/>
          <w:iCs w:val="0"/>
          <w:color w:val="auto"/>
          <w:sz w:val="24"/>
          <w:szCs w:val="24"/>
          <w:highlight w:val="none"/>
          <w:u w:val="none"/>
        </w:rPr>
        <w:t xml:space="preserve">▲2.</w:t>
      </w:r>
      <w:r>
        <w:rPr>
          <w:rFonts w:hint="eastAsia" w:ascii="宋体" w:hAnsi="宋体" w:cs="宋体"/>
          <w:b w:val="0"/>
          <w:bCs w:val="0"/>
          <w:i w:val="0"/>
          <w:iCs w:val="0"/>
          <w:color w:val="auto"/>
          <w:sz w:val="24"/>
          <w:szCs w:val="24"/>
          <w:highlight w:val="none"/>
          <w:u w:val="none"/>
          <w:lang w:eastAsia="zh-CN"/>
        </w:rPr>
        <w:t xml:space="preserve">7</w:t>
      </w:r>
      <w:r>
        <w:rPr>
          <w:rFonts w:hint="eastAsia" w:ascii="宋体" w:hAnsi="宋体" w:eastAsia="宋体" w:cs="宋体"/>
          <w:b w:val="0"/>
          <w:bCs w:val="0"/>
          <w:i w:val="0"/>
          <w:iCs w:val="0"/>
          <w:color w:val="auto"/>
          <w:sz w:val="24"/>
          <w:szCs w:val="24"/>
          <w:highlight w:val="none"/>
          <w:u w:val="none"/>
          <w:lang w:val="en-US" w:eastAsia="zh-CN"/>
        </w:rPr>
        <w:t xml:space="preserve"> </w:t>
      </w:r>
      <w:r>
        <w:rPr>
          <w:rFonts w:hint="eastAsia" w:ascii="宋体" w:hAnsi="宋体" w:eastAsia="宋体" w:cs="宋体"/>
          <w:b w:val="0"/>
          <w:bCs w:val="0"/>
          <w:i w:val="0"/>
          <w:iCs w:val="0"/>
          <w:color w:val="auto"/>
          <w:sz w:val="24"/>
          <w:szCs w:val="24"/>
          <w:highlight w:val="none"/>
          <w:u w:val="none"/>
        </w:rPr>
        <w:t xml:space="preserve">双向压差式流量传感器</w:t>
      </w:r>
      <w:r>
        <w:rPr>
          <w:rFonts w:hint="eastAsia" w:ascii="宋体" w:hAnsi="宋体" w:eastAsia="宋体" w:cs="宋体"/>
          <w:b w:val="0"/>
          <w:bCs w:val="0"/>
          <w:i w:val="0"/>
          <w:iCs w:val="0"/>
          <w:color w:val="auto"/>
          <w:sz w:val="24"/>
          <w:szCs w:val="24"/>
          <w:highlight w:val="none"/>
          <w:u w:val="none"/>
          <w:lang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提供注册证明文件或者说明书证明</w:t>
      </w:r>
      <w:r>
        <w:rPr>
          <w:rFonts w:hint="eastAsia" w:ascii="宋体" w:hAnsi="宋体" w:eastAsia="宋体" w:cs="宋体"/>
          <w:b w:val="0"/>
          <w:bCs w:val="0"/>
          <w:i w:val="0"/>
          <w:iCs w:val="0"/>
          <w:color w:val="auto"/>
          <w:sz w:val="24"/>
          <w:szCs w:val="24"/>
          <w:highlight w:val="none"/>
          <w:u w:val="none"/>
          <w:lang w:eastAsia="zh-CN"/>
        </w:rPr>
        <w:t xml:space="preserve">）。</w:t>
      </w:r>
      <w:r/>
    </w:p>
    <w:p>
      <w:pPr>
        <w:pStyle w:val="742"/>
        <w:ind w:left="0" w:firstLine="0"/>
        <w:keepLines w:val="0"/>
        <w:keepNext w:val="0"/>
        <w:pageBreakBefore w:val="0"/>
        <w:spacing w:line="360" w:lineRule="auto"/>
        <w:tabs>
          <w:tab w:val="left" w:pos="1073" w:leader="none"/>
        </w:tabs>
        <w:rPr>
          <w:rFonts w:hint="eastAsia" w:ascii="宋体" w:hAnsi="宋体" w:eastAsia="宋体" w:cs="宋体"/>
          <w:b/>
          <w:bCs/>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w:t>
      </w:r>
      <w:r>
        <w:rPr>
          <w:rFonts w:hint="eastAsia" w:ascii="宋体" w:hAnsi="宋体" w:cs="宋体"/>
          <w:i/>
          <w:iCs/>
          <w:color w:val="auto"/>
          <w:sz w:val="24"/>
          <w:szCs w:val="24"/>
          <w:highlight w:val="none"/>
          <w:u w:val="single"/>
          <w:lang w:val="en-US" w:eastAsia="zh-CN"/>
        </w:rPr>
        <w:t xml:space="preserve">8</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采用一瓶混合气体进行定标</w:t>
      </w:r>
      <w:r>
        <w:rPr>
          <w:rFonts w:hint="eastAsia" w:ascii="宋体" w:hAnsi="宋体" w:eastAsia="宋体" w:cs="宋体"/>
          <w:b w:val="0"/>
          <w:bCs w:val="0"/>
          <w:i/>
          <w:iCs/>
          <w:color w:val="auto"/>
          <w:sz w:val="24"/>
          <w:szCs w:val="24"/>
          <w:highlight w:val="none"/>
          <w:u w:val="single"/>
        </w:rPr>
        <w:t xml:space="preserve">（提供设备</w:t>
      </w:r>
      <w:r>
        <w:rPr>
          <w:rFonts w:hint="eastAsia" w:ascii="宋体" w:hAnsi="宋体" w:eastAsia="宋体" w:cs="宋体"/>
          <w:b w:val="0"/>
          <w:bCs w:val="0"/>
          <w:i/>
          <w:iCs/>
          <w:color w:val="auto"/>
          <w:sz w:val="24"/>
          <w:szCs w:val="24"/>
          <w:highlight w:val="none"/>
          <w:u w:val="single"/>
          <w:lang w:val="en-US" w:eastAsia="zh-CN"/>
        </w:rPr>
        <w:t xml:space="preserve">实物</w:t>
      </w:r>
      <w:r>
        <w:rPr>
          <w:rFonts w:hint="eastAsia" w:ascii="宋体" w:hAnsi="宋体" w:eastAsia="宋体" w:cs="宋体"/>
          <w:b w:val="0"/>
          <w:bCs w:val="0"/>
          <w:i/>
          <w:iCs/>
          <w:color w:val="auto"/>
          <w:sz w:val="24"/>
          <w:szCs w:val="24"/>
          <w:highlight w:val="none"/>
          <w:u w:val="single"/>
        </w:rPr>
        <w:t xml:space="preserve">照片证明</w:t>
      </w:r>
      <w:r>
        <w:rPr>
          <w:rFonts w:hint="eastAsia" w:ascii="宋体" w:hAnsi="宋体" w:cs="宋体"/>
          <w:b w:val="0"/>
          <w:bCs w:val="0"/>
          <w:i/>
          <w:iCs/>
          <w:color w:val="auto"/>
          <w:sz w:val="24"/>
          <w:szCs w:val="24"/>
          <w:highlight w:val="none"/>
          <w:u w:val="single"/>
          <w:lang w:val="en-US" w:eastAsia="zh-CN"/>
        </w:rPr>
        <w:t xml:space="preserve">或彩页</w:t>
      </w:r>
      <w:r>
        <w:rPr>
          <w:rFonts w:hint="eastAsia" w:ascii="宋体" w:hAnsi="宋体" w:eastAsia="宋体" w:cs="宋体"/>
          <w:b w:val="0"/>
          <w:bCs w:val="0"/>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rPr>
        <w:t xml:space="preserve">。</w:t>
      </w:r>
      <w:r/>
    </w:p>
    <w:p>
      <w:pPr>
        <w:pStyle w:val="742"/>
        <w:ind w:left="0" w:firstLine="0"/>
        <w:keepLines w:val="0"/>
        <w:keepNext w:val="0"/>
        <w:pageBreakBefore w:val="0"/>
        <w:spacing w:line="360" w:lineRule="auto"/>
        <w:tabs>
          <w:tab w:val="left" w:pos="1073"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提供不同的无氧阈值的评估方法，可</w:t>
      </w:r>
      <w:r>
        <w:rPr>
          <w:rFonts w:hint="eastAsia" w:ascii="宋体" w:hAnsi="宋体" w:eastAsia="宋体" w:cs="宋体"/>
          <w:bCs/>
          <w:color w:val="auto"/>
          <w:sz w:val="24"/>
          <w:szCs w:val="24"/>
          <w:highlight w:val="none"/>
          <w:lang w:val="en-US" w:eastAsia="zh-CN"/>
        </w:rPr>
        <w:t xml:space="preserve">以</w:t>
      </w:r>
      <w:r>
        <w:rPr>
          <w:rFonts w:hint="eastAsia" w:ascii="宋体" w:hAnsi="宋体" w:eastAsia="宋体" w:cs="宋体"/>
          <w:bCs/>
          <w:color w:val="auto"/>
          <w:sz w:val="24"/>
          <w:szCs w:val="24"/>
          <w:highlight w:val="none"/>
        </w:rPr>
        <w:t xml:space="preserve">自动评估无氧阈值、呼吸补偿点。</w:t>
      </w:r>
      <w:r/>
    </w:p>
    <w:p>
      <w:pPr>
        <w:pStyle w:val="742"/>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标准9宫格图心肺运动试验结果的图表，显示内容可</w:t>
      </w:r>
      <w:r>
        <w:rPr>
          <w:rFonts w:hint="eastAsia" w:ascii="宋体" w:hAnsi="宋体" w:eastAsia="宋体" w:cs="宋体"/>
          <w:color w:val="auto"/>
          <w:sz w:val="24"/>
          <w:szCs w:val="24"/>
          <w:highlight w:val="none"/>
          <w:lang w:val="en-US" w:eastAsia="zh-CN"/>
        </w:rPr>
        <w:t xml:space="preserve">以根据临床需求进行</w:t>
      </w:r>
      <w:r>
        <w:rPr>
          <w:rFonts w:hint="eastAsia" w:ascii="宋体" w:hAnsi="宋体" w:eastAsia="宋体" w:cs="宋体"/>
          <w:color w:val="auto"/>
          <w:sz w:val="24"/>
          <w:szCs w:val="24"/>
          <w:highlight w:val="none"/>
        </w:rPr>
        <w:t xml:space="preserve">编辑。</w:t>
      </w:r>
      <w:r/>
    </w:p>
    <w:p>
      <w:pPr>
        <w:ind w:firstLine="0"/>
        <w:jc w:val="left"/>
        <w:keepLines w:val="0"/>
        <w:keepNext w:val="0"/>
        <w:pageBreakBefore w:val="0"/>
        <w:spacing w:line="360" w:lineRule="auto"/>
        <w:tabs>
          <w:tab w:val="left" w:pos="107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设备实物</w:t>
      </w:r>
      <w:r>
        <w:rPr>
          <w:rFonts w:hint="eastAsia" w:ascii="宋体" w:hAnsi="宋体" w:eastAsia="宋体" w:cs="宋体"/>
          <w:b w:val="0"/>
          <w:bCs w:val="0"/>
          <w:color w:val="auto"/>
          <w:sz w:val="24"/>
          <w:szCs w:val="24"/>
          <w:highlight w:val="none"/>
        </w:rPr>
        <w:t xml:space="preserve">铭牌）</w:t>
      </w:r>
      <w:r>
        <w:rPr>
          <w:rFonts w:hint="eastAsia" w:ascii="宋体" w:hAnsi="宋体" w:eastAsia="宋体" w:cs="宋体"/>
          <w:b w:val="0"/>
          <w:bCs w:val="0"/>
          <w:color w:val="auto"/>
          <w:sz w:val="24"/>
          <w:szCs w:val="24"/>
          <w:highlight w:val="none"/>
          <w:lang w:eastAsia="zh-CN"/>
        </w:rPr>
        <w:t xml:space="preserve">。</w:t>
      </w:r>
      <w:r/>
    </w:p>
    <w:p>
      <w:pPr>
        <w:pStyle w:val="742"/>
        <w:ind w:left="0" w:firstLine="0"/>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运动血压</w:t>
      </w:r>
      <w:r>
        <w:rPr>
          <w:rFonts w:hint="eastAsia" w:ascii="宋体" w:hAnsi="宋体" w:eastAsia="宋体" w:cs="宋体"/>
          <w:color w:val="auto"/>
          <w:sz w:val="24"/>
          <w:szCs w:val="24"/>
          <w:highlight w:val="none"/>
        </w:rPr>
        <w:tab/>
      </w:r>
      <w:r/>
    </w:p>
    <w:p>
      <w:pPr>
        <w:pStyle w:val="742"/>
        <w:ind w:left="0" w:firstLine="0"/>
        <w:keepLines w:val="0"/>
        <w:keepNext w:val="0"/>
        <w:pageBreakBefore w:val="0"/>
        <w:spacing w:line="360" w:lineRule="auto"/>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负荷运动血压采用QRS波或R波触发听诊，静态血压测量柯氏音分析法或示波震荡法。</w:t>
      </w:r>
      <w:r/>
    </w:p>
    <w:p>
      <w:pPr>
        <w:ind w:firstLine="0"/>
        <w:keepLines w:val="0"/>
        <w:keepNext w:val="0"/>
        <w:pageBreakBefore w:val="0"/>
        <w:spacing w:line="360" w:lineRule="auto"/>
        <w:widowControl/>
        <w:tabs>
          <w:tab w:val="left" w:pos="107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血压测量范围： 收缩压≥50～270mmHg范围区间，舒张压 ≥20～150mmHg范围区间。</w:t>
      </w:r>
      <w:r/>
    </w:p>
    <w:p>
      <w:pPr>
        <w:ind w:firstLine="0"/>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 xml:space="preserve">使用年限≥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设备实物</w:t>
      </w:r>
      <w:r>
        <w:rPr>
          <w:rFonts w:hint="eastAsia" w:ascii="宋体" w:hAnsi="宋体" w:eastAsia="宋体" w:cs="宋体"/>
          <w:b w:val="0"/>
          <w:bCs w:val="0"/>
          <w:color w:val="auto"/>
          <w:sz w:val="24"/>
          <w:szCs w:val="24"/>
          <w:highlight w:val="none"/>
        </w:rPr>
        <w:t xml:space="preserve">铭牌）</w:t>
      </w:r>
      <w:r/>
    </w:p>
    <w:p>
      <w:pPr>
        <w:jc w:val="both"/>
        <w:keepLines w:val="0"/>
        <w:keepNext w:val="0"/>
        <w:pageBreakBefore w:val="0"/>
        <w:spacing w:line="360" w:lineRule="auto"/>
        <w:tabs>
          <w:tab w:val="left" w:pos="107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配置要求</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运动心电主机1套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2</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12导心电导联线 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3</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肺功能主机 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流量传感器 1个</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5</w:t>
      </w:r>
      <w:r>
        <w:rPr>
          <w:rFonts w:hint="eastAsia" w:ascii="宋体" w:hAnsi="宋体" w:eastAsia="宋体" w:cs="宋体"/>
          <w:i/>
          <w:iCs/>
          <w:color w:val="auto"/>
          <w:sz w:val="24"/>
          <w:szCs w:val="24"/>
          <w:highlight w:val="none"/>
          <w:u w:val="single"/>
          <w:lang w:val="en-US" w:eastAsia="zh-CN"/>
        </w:rPr>
        <w:t xml:space="preserve"> 可重复使用</w:t>
      </w:r>
      <w:r>
        <w:rPr>
          <w:rFonts w:hint="eastAsia" w:ascii="宋体" w:hAnsi="宋体" w:eastAsia="宋体" w:cs="宋体"/>
          <w:i/>
          <w:iCs/>
          <w:color w:val="auto"/>
          <w:sz w:val="24"/>
          <w:szCs w:val="24"/>
          <w:highlight w:val="none"/>
          <w:u w:val="single"/>
        </w:rPr>
        <w:t xml:space="preserve">硅胶面罩（含呼吸嘴、绑带）</w:t>
      </w:r>
      <w:r>
        <w:rPr>
          <w:rFonts w:hint="eastAsia" w:ascii="宋体" w:hAnsi="宋体" w:eastAsia="宋体" w:cs="宋体"/>
          <w:i/>
          <w:iCs/>
          <w:color w:val="auto"/>
          <w:sz w:val="24"/>
          <w:szCs w:val="24"/>
          <w:highlight w:val="none"/>
          <w:u w:val="single"/>
          <w:lang w:val="en-US" w:eastAsia="zh-CN"/>
        </w:rPr>
        <w:t xml:space="preserve">≥ 30</w:t>
      </w:r>
      <w:r>
        <w:rPr>
          <w:rFonts w:hint="eastAsia" w:ascii="宋体" w:hAnsi="宋体" w:eastAsia="宋体" w:cs="宋体"/>
          <w:i/>
          <w:iCs/>
          <w:color w:val="auto"/>
          <w:sz w:val="24"/>
          <w:szCs w:val="24"/>
          <w:highlight w:val="none"/>
          <w:u w:val="single"/>
        </w:rPr>
        <w:t xml:space="preserve">个</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7</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运动血压1套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8</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血氧1套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9</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彩色激光打印机1套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10</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台车组件（含台车和显示器支架）1套</w:t>
      </w:r>
      <w:r/>
    </w:p>
    <w:p>
      <w:pPr>
        <w:ind w:firstLine="0"/>
        <w:jc w:val="left"/>
        <w:keepLines w:val="0"/>
        <w:keepNext w:val="0"/>
        <w:pageBreakBefore w:val="0"/>
        <w:spacing w:line="360" w:lineRule="auto"/>
        <w:widowControl/>
        <w:tabs>
          <w:tab w:val="left" w:pos="1073"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11</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双屏显示器</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专用电脑1套</w:t>
      </w:r>
      <w:r/>
    </w:p>
    <w:p>
      <w:pPr>
        <w:pStyle w:val="950"/>
        <w:jc w:val="both"/>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jc w:val="both"/>
        <w:spacing w:line="36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产品二、</w:t>
      </w:r>
      <w:r>
        <w:rPr>
          <w:rFonts w:hint="eastAsia" w:ascii="宋体" w:hAnsi="宋体" w:eastAsia="宋体" w:cs="宋体"/>
          <w:b/>
          <w:bCs w:val="0"/>
          <w:color w:val="auto"/>
          <w:sz w:val="28"/>
          <w:szCs w:val="28"/>
          <w:highlight w:val="none"/>
        </w:rPr>
        <w:t xml:space="preserve">无创</w:t>
      </w:r>
      <w:r>
        <w:rPr>
          <w:rFonts w:hint="eastAsia" w:ascii="宋体" w:hAnsi="宋体" w:eastAsia="宋体" w:cs="宋体"/>
          <w:b/>
          <w:bCs w:val="0"/>
          <w:color w:val="auto"/>
          <w:sz w:val="28"/>
          <w:szCs w:val="28"/>
          <w:highlight w:val="none"/>
          <w:lang w:val="en-US" w:eastAsia="zh-CN"/>
        </w:rPr>
        <w:t xml:space="preserve">心排量</w:t>
      </w:r>
      <w:r>
        <w:rPr>
          <w:rFonts w:hint="eastAsia" w:ascii="宋体" w:hAnsi="宋体" w:eastAsia="宋体" w:cs="宋体"/>
          <w:b/>
          <w:bCs w:val="0"/>
          <w:color w:val="auto"/>
          <w:sz w:val="28"/>
          <w:szCs w:val="28"/>
          <w:highlight w:val="none"/>
        </w:rPr>
        <w:t xml:space="preserve">检测系统</w:t>
      </w:r>
      <w:r>
        <w:rPr>
          <w:rFonts w:hint="eastAsia" w:ascii="宋体" w:hAnsi="宋体" w:eastAsia="宋体" w:cs="宋体"/>
          <w:b/>
          <w:bCs w:val="0"/>
          <w:color w:val="auto"/>
          <w:sz w:val="28"/>
          <w:szCs w:val="28"/>
          <w:highlight w:val="none"/>
          <w:lang w:val="en-US" w:eastAsia="zh-CN"/>
        </w:rPr>
        <w:t xml:space="preserve">×1套</w:t>
      </w:r>
      <w:r/>
    </w:p>
    <w:p>
      <w:pPr>
        <w:pStyle w:val="95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采用胸电生物阻抗法原理，可实时监测床旁无创血流动力，传感器支持胸部贴附和背部贴附。</w:t>
      </w:r>
      <w:r/>
    </w:p>
    <w:p>
      <w:pPr>
        <w:pStyle w:val="950"/>
        <w:numPr>
          <w:ilvl w:val="0"/>
          <w:numId w:val="0"/>
        </w:num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具备专用平板和专用信号采集盒，信号采集盒数据安装该设备软件的兼容任意型号电脑。</w:t>
      </w:r>
      <w:r/>
    </w:p>
    <w:p>
      <w:pPr>
        <w:pStyle w:val="950"/>
        <w:numPr>
          <w:ilvl w:val="0"/>
          <w:numId w:val="0"/>
        </w:num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信号采集盒采用便携式设计，尺寸≤250mm×150mm×40mm(长、宽、高），重量≤0.6kg，电源电压≤5V，电流≤600mA，具备≥2个3.0USB数据接口。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专用平板重量≤</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kg，屏幕尺寸≥10英寸。</w:t>
      </w:r>
      <w:r/>
    </w:p>
    <w:p>
      <w:pPr>
        <w:pStyle w:val="950"/>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具备报告参数自动分析功能，可打印无创血流动力数据分析报告（至少包含智能位，如半卧、平躺、抬腿等实验分析结果）和血压靶向分析图报告（至少包含容量泵力分析图、负荷容量数据百分图、MACE风险分析图、心率变异性分析等实验分析结果）。</w:t>
      </w:r>
      <w:r/>
    </w:p>
    <w:p>
      <w:pPr>
        <w:pStyle w:val="950"/>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具备报告本地保存、报告回看、报告检索功能。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监测参数警报范围可调，具备界面参数超限警报提示功能，以参数变黄、变红的方式展现。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监测界面显示的参数类型可调。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 xml:space="preserve">具备血压靶向分析图、容量泵力分析图，负荷容量数据百分图、MACE风险分析图功能。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10 </w:t>
      </w:r>
      <w:r>
        <w:rPr>
          <w:rFonts w:hint="eastAsia" w:ascii="宋体" w:hAnsi="宋体" w:eastAsia="宋体" w:cs="宋体"/>
          <w:color w:val="auto"/>
          <w:sz w:val="24"/>
          <w:szCs w:val="24"/>
          <w:highlight w:val="none"/>
        </w:rPr>
        <w:t xml:space="preserve">启动被动抬腿时可选择抬腿时间。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至少具备以下无创血流动力参数监测功能：收缩变力性（Ino）、血管容积（Vol）、血管顺应性（Vas）、心率变异性（Hrv），氧输送（DO2）、每搏输出变异性（SVV）、负荷容量（YZVL）、流量比值、舒张末期指数（ED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至少具备以下常规血流动力参数监测功能：心输出量(CO)、心指数（CI）、心搏量（S</w:t>
      </w:r>
      <w:r>
        <w:rPr>
          <w:rFonts w:hint="eastAsia" w:ascii="宋体" w:hAnsi="宋体" w:eastAsia="宋体" w:cs="宋体"/>
          <w:color w:val="auto"/>
          <w:sz w:val="24"/>
          <w:szCs w:val="24"/>
          <w:highlight w:val="none"/>
        </w:rPr>
        <w:t xml:space="preserve">V）、心搏指数（SI）、心率（HR）、胸液传导性（TFC）、射血前期（PEP）、收缩时间比（STR）、左室射血时间（LVET）、收缩压（SBP）、舒张压（DBP）、平均压（MAP）、心血流图 (DZ/dt)、心阻抗图 (dz)、、阻抗心电图（TIR）、变力状态指数（ISI）射血收缩指数（EPCI）、左心室每搏作功（LSW）、左心室每搏作功指数（LSWI）、每搏外周阻力（SSVR）、每搏外周阻力指数（SSVRI）、系统阻力（SVR）、系统阻力指数（SVRI）、左心室做功（LCW）、左心室做功指数（LCWI）。</w:t>
      </w:r>
      <w:r/>
    </w:p>
    <w:p>
      <w:pPr>
        <w:pStyle w:val="950"/>
        <w:jc w:val="both"/>
        <w:spacing w:line="360" w:lineRule="auto"/>
        <w:rPr>
          <w:rFonts w:hint="eastAsia"/>
          <w:b/>
          <w:bCs/>
          <w:color w:val="auto"/>
          <w:sz w:val="28"/>
          <w:szCs w:val="28"/>
          <w:highlight w:val="none"/>
        </w:rPr>
      </w:pPr>
      <w:r>
        <w:rPr>
          <w:rFonts w:hint="eastAsia"/>
          <w:b/>
          <w:bCs/>
          <w:color w:val="auto"/>
          <w:sz w:val="28"/>
          <w:szCs w:val="28"/>
          <w:highlight w:val="none"/>
        </w:rPr>
      </w:r>
      <w:r/>
    </w:p>
    <w:p>
      <w:pPr>
        <w:pStyle w:val="950"/>
        <w:jc w:val="both"/>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产品三、</w:t>
      </w:r>
      <w:r>
        <w:rPr>
          <w:rFonts w:hint="eastAsia" w:ascii="宋体" w:hAnsi="宋体" w:eastAsia="宋体" w:cs="宋体"/>
          <w:b/>
          <w:bCs/>
          <w:color w:val="auto"/>
          <w:sz w:val="28"/>
          <w:szCs w:val="28"/>
          <w:highlight w:val="none"/>
        </w:rPr>
        <w:t xml:space="preserve">心肺康复管理系统</w:t>
      </w:r>
      <w:r>
        <w:rPr>
          <w:rFonts w:hint="eastAsia" w:ascii="宋体" w:hAnsi="宋体" w:eastAsia="宋体" w:cs="宋体"/>
          <w:b/>
          <w:bCs/>
          <w:color w:val="auto"/>
          <w:sz w:val="28"/>
          <w:szCs w:val="28"/>
          <w:highlight w:val="none"/>
          <w:lang w:val="en-US" w:eastAsia="zh-CN"/>
        </w:rPr>
        <w:t xml:space="preserve">×1套</w:t>
      </w:r>
      <w:r/>
    </w:p>
    <w:p>
      <w:pPr>
        <w:pStyle w:val="95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 运动心肺评估系统对接及测试报告</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患者基本信息读取及管理</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同步读取已存在的患者数据，也可新建和编辑现有患者信息</w:t>
      </w:r>
      <w:r/>
    </w:p>
    <w:p>
      <w:pPr>
        <w:pStyle w:val="95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2.运动心肺系统对接及原始数据获取</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能够通过网络连接方式无缝对接运动心肺测试系统，直接读取运动心肺测试系统原始数据，无需导出、导入的操作，减少医生的工作量，避免数据统计错误</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运动心肺测试数据、通气功能测试数据、最大通气功能测试数据不用导出，可以直接从心肺软件数据库读取，并可对同一患者的三项测试数据进行组合，可根据预设模板形成标准化整合报告</w:t>
      </w:r>
      <w:r/>
    </w:p>
    <w:p>
      <w:pPr>
        <w:pStyle w:val="95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 报告的合并和编辑</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Wasserman九宫格图的呈现及编辑：提供≥2种 Wasserman九宫格图选择，且每张图都可以放大显示；也可以根据需求自定义九宫图，对每张图显示的参数进行自定义调节</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九宫图中 1、2、4、5、7 和 8 图可以显示静息、热身、AT、RCP 和 Peak五条标记线，标记线对应的时间位置可以调整，其中 RCP 的标记线和对应的数据可以选择隐藏，满足不同医生的操作习惯</w:t>
      </w:r>
      <w:r/>
    </w:p>
    <w:p>
      <w:pPr>
        <w:pStyle w:val="95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 报告模板</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 系统内置多种心肺运动试验报告模板供临床医生选择，医生可以在该模板的基础上进行参数的增减，形成医院及科室自有模板上传。</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可根据医生需求，选择在心肺报告中添加简易运动处方、Brog 评分表、九宫图，提供更多信息，用于患者宣教及运动指导。</w:t>
      </w:r>
      <w:r/>
    </w:p>
    <w:p>
      <w:pPr>
        <w:pStyle w:val="950"/>
        <w:jc w:val="both"/>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 其他软件系统功能</w:t>
      </w:r>
      <w:r/>
    </w:p>
    <w:p>
      <w:pPr>
        <w:pStyle w:val="950"/>
        <w:jc w:val="both"/>
        <w:keepLines w:val="0"/>
        <w:keepNext w:val="0"/>
        <w:pageBreakBefore w:val="0"/>
        <w:spacing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5.1 根据医院需求对接 HIS 信息管理系统，支持患者基本信息直接读取，减少重复录入，同时扫码快捷获取，提高工作效率</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 提供有氧运动处方功能</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6374765</wp:posOffset>
                </wp:positionH>
                <wp:positionV relativeFrom="paragraph">
                  <wp:posOffset>116205</wp:posOffset>
                </wp:positionV>
                <wp:extent cx="40640" cy="774700"/>
                <wp:effectExtent l="0" t="0" r="5080" b="2540"/>
                <wp:wrapNone/>
                <wp:docPr id="2" name="IM 102"/>
                <wp:cNvGraphicFramePr/>
                <a:graphic xmlns:a="http://schemas.openxmlformats.org/drawingml/2006/main">
                  <a:graphicData uri="http://schemas.openxmlformats.org/drawingml/2006/picture">
                    <pic:pic xmlns:pic="http://schemas.openxmlformats.org/drawingml/2006/picture">
                      <pic:nvPicPr>
                        <pic:cNvPr id="2" name="IM 102"/>
                        <pic:cNvPicPr/>
                        <pic:nvPr/>
                      </pic:nvPicPr>
                      <pic:blipFill>
                        <a:blip r:embed="rId12"/>
                        <a:stretch/>
                      </pic:blipFill>
                      <pic:spPr bwMode="auto">
                        <a:xfrm>
                          <a:off x="0" y="0"/>
                          <a:ext cx="40944" cy="7747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501.9pt;mso-position-horizontal:absolute;mso-position-vertical-relative:text;margin-top:9.2pt;mso-position-vertical:absolute;width:3.2pt;height:61.0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color w:val="auto"/>
          <w:sz w:val="24"/>
          <w:szCs w:val="24"/>
          <w:highlight w:val="none"/>
          <w:lang w:val="en-US" w:eastAsia="zh-CN"/>
        </w:rPr>
        <w:t xml:space="preserve">3 提供工作站软件终身免费升级业务</w:t>
      </w:r>
      <w:r/>
    </w:p>
    <w:p>
      <w:pPr>
        <w:pStyle w:val="950"/>
        <w:jc w:val="both"/>
        <w:spacing w:line="360" w:lineRule="auto"/>
        <w:rPr>
          <w:rFonts w:hint="eastAsia" w:cs="Times New Roman"/>
          <w:b/>
          <w:color w:val="auto"/>
          <w:sz w:val="28"/>
          <w:szCs w:val="28"/>
          <w:highlight w:val="none"/>
          <w:lang w:val="en-US" w:eastAsia="zh-CN"/>
        </w:rPr>
      </w:pPr>
      <w:r>
        <w:rPr>
          <w:rFonts w:hint="eastAsia" w:cs="Times New Roman"/>
          <w:b/>
          <w:color w:val="auto"/>
          <w:sz w:val="28"/>
          <w:szCs w:val="28"/>
          <w:highlight w:val="none"/>
          <w:lang w:val="en-US" w:eastAsia="zh-CN"/>
        </w:rPr>
      </w:r>
      <w:r/>
    </w:p>
    <w:p>
      <w:pPr>
        <w:pStyle w:val="950"/>
        <w:jc w:val="both"/>
        <w:spacing w:line="360" w:lineRule="auto"/>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产品四、</w:t>
      </w:r>
      <w:r>
        <w:rPr>
          <w:rFonts w:hint="eastAsia" w:ascii="Times New Roman" w:hAnsi="Times New Roman" w:eastAsia="宋体" w:cs="Times New Roman"/>
          <w:b/>
          <w:color w:val="auto"/>
          <w:sz w:val="28"/>
          <w:szCs w:val="28"/>
          <w:highlight w:val="none"/>
          <w:lang w:val="en-US" w:eastAsia="zh-CN"/>
        </w:rPr>
        <w:t xml:space="preserve">气囊式体外反搏治疗系统</w:t>
      </w:r>
      <w:r>
        <w:rPr>
          <w:rFonts w:hint="eastAsia" w:cs="Times New Roman"/>
          <w:b/>
          <w:color w:val="auto"/>
          <w:sz w:val="28"/>
          <w:szCs w:val="28"/>
          <w:highlight w:val="none"/>
          <w:lang w:val="en-US" w:eastAsia="zh-CN"/>
        </w:rPr>
        <w:t xml:space="preserve"> × 1 套</w:t>
      </w:r>
      <w:r/>
    </w:p>
    <w:p>
      <w:pPr>
        <w:numPr>
          <w:ilvl w:val="0"/>
          <w:numId w:val="0"/>
        </w:num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主要用途</w:t>
      </w:r>
      <w:r>
        <w:rPr>
          <w:rFonts w:hint="eastAsia" w:ascii="宋体" w:hAnsi="宋体" w:eastAsia="宋体" w:cs="宋体"/>
          <w:b/>
          <w:color w:val="auto"/>
          <w:sz w:val="24"/>
          <w:szCs w:val="24"/>
          <w:highlight w:val="none"/>
          <w:lang w:eastAsia="zh-CN"/>
        </w:rPr>
        <w:t xml:space="preserve">：</w:t>
      </w:r>
      <w:r/>
    </w:p>
    <w:p>
      <w:pPr>
        <w:numPr>
          <w:ilvl w:val="0"/>
          <w:numId w:val="0"/>
        </w:num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用于临床心脏缺血性疾病的治疗。</w:t>
      </w:r>
      <w:r/>
    </w:p>
    <w:p>
      <w:pPr>
        <w:jc w:val="both"/>
        <w:keepLines w:val="0"/>
        <w:keepNext w:val="0"/>
        <w:pageBreakBefore w:val="0"/>
        <w:spacing w:line="360" w:lineRule="auto"/>
        <w:tabs>
          <w:tab w:val="left" w:pos="992"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技术要求</w:t>
      </w:r>
      <w:r/>
    </w:p>
    <w:p>
      <w:pPr>
        <w:keepLines w:val="0"/>
        <w:keepNext w:val="0"/>
        <w:pageBreakBefore w:val="0"/>
        <w:spacing w:line="360" w:lineRule="auto"/>
        <w:tabs>
          <w:tab w:val="left" w:pos="992"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lang w:bidi="ar"/>
        </w:rPr>
        <w:t xml:space="preserve">压力部分</w:t>
      </w:r>
      <w:r/>
    </w:p>
    <w:p>
      <w:pPr>
        <w:keepLines w:val="0"/>
        <w:keepNext w:val="0"/>
        <w:pageBreakBefore w:val="0"/>
        <w:spacing w:line="360" w:lineRule="auto"/>
        <w:widowControl/>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.1</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cs="宋体"/>
          <w:b w:val="0"/>
          <w:bCs w:val="0"/>
          <w:i/>
          <w:iCs/>
          <w:color w:val="auto"/>
          <w:sz w:val="24"/>
          <w:szCs w:val="24"/>
          <w:highlight w:val="none"/>
          <w:u w:val="single"/>
          <w:lang w:val="en-US" w:eastAsia="zh-CN" w:bidi="ar"/>
        </w:rPr>
        <w:t xml:space="preserve">工作压力：</w:t>
      </w:r>
      <w:r>
        <w:rPr>
          <w:rFonts w:hint="eastAsia" w:ascii="宋体" w:hAnsi="宋体" w:eastAsia="宋体" w:cs="宋体"/>
          <w:b w:val="0"/>
          <w:bCs w:val="0"/>
          <w:i/>
          <w:iCs/>
          <w:color w:val="auto"/>
          <w:sz w:val="24"/>
          <w:szCs w:val="24"/>
          <w:highlight w:val="none"/>
          <w:u w:val="single"/>
          <w:lang w:val="en-US" w:eastAsia="zh-CN" w:bidi="ar"/>
        </w:rPr>
        <w:t xml:space="preserve">最大工作压力≥</w:t>
      </w:r>
      <w:r>
        <w:rPr>
          <w:rFonts w:hint="eastAsia" w:ascii="宋体" w:hAnsi="宋体" w:cs="宋体"/>
          <w:b w:val="0"/>
          <w:bCs w:val="0"/>
          <w:i/>
          <w:iCs/>
          <w:color w:val="auto"/>
          <w:sz w:val="24"/>
          <w:szCs w:val="24"/>
          <w:highlight w:val="none"/>
          <w:u w:val="single"/>
          <w:lang w:val="en-US" w:eastAsia="zh-CN" w:bidi="ar"/>
        </w:rPr>
        <w:t xml:space="preserve">320毫米汞柱</w:t>
      </w:r>
      <w:r>
        <w:rPr>
          <w:rFonts w:hint="eastAsia" w:ascii="宋体" w:hAnsi="宋体" w:eastAsia="宋体" w:cs="宋体"/>
          <w:b w:val="0"/>
          <w:bCs w:val="0"/>
          <w:i/>
          <w:iCs/>
          <w:color w:val="auto"/>
          <w:sz w:val="24"/>
          <w:szCs w:val="24"/>
          <w:highlight w:val="none"/>
          <w:u w:val="single"/>
          <w:lang w:val="en-US" w:eastAsia="zh-CN" w:bidi="ar"/>
        </w:rPr>
        <w:t xml:space="preserve">（</w:t>
      </w:r>
      <w:r>
        <w:rPr>
          <w:rFonts w:hint="eastAsia"/>
          <w:b w:val="0"/>
          <w:bCs w:val="0"/>
          <w:i/>
          <w:iCs/>
          <w:color w:val="auto"/>
          <w:sz w:val="24"/>
          <w:szCs w:val="24"/>
          <w:highlight w:val="none"/>
          <w:u w:val="single"/>
          <w:lang w:val="en-US" w:eastAsia="zh-CN"/>
        </w:rPr>
        <w:t xml:space="preserve">提供产品说明书、或注册证明文件、或生产企业盖章确认的技术白皮书、或生产厂家公开发行的宣传彩页</w:t>
      </w:r>
      <w:r>
        <w:rPr>
          <w:rFonts w:hint="eastAsia" w:ascii="宋体" w:hAnsi="宋体" w:eastAsia="宋体" w:cs="宋体"/>
          <w:b w:val="0"/>
          <w:bCs w:val="0"/>
          <w:i/>
          <w:iCs/>
          <w:color w:val="auto"/>
          <w:sz w:val="24"/>
          <w:szCs w:val="24"/>
          <w:highlight w:val="none"/>
          <w:u w:val="single"/>
          <w:lang w:val="en-US" w:eastAsia="zh-CN" w:bidi="ar"/>
        </w:rPr>
        <w:t xml:space="preserve">）。</w:t>
      </w:r>
      <w:r/>
    </w:p>
    <w:p>
      <w:pPr>
        <w:keepLines w:val="0"/>
        <w:keepNext w:val="0"/>
        <w:pageBreakBefore w:val="0"/>
        <w:spacing w:line="360" w:lineRule="auto"/>
        <w:widowControl/>
        <w:tabs>
          <w:tab w:val="left" w:pos="992" w:leader="none"/>
        </w:tabs>
        <w:rPr>
          <w:rFonts w:hint="eastAsia" w:ascii="宋体" w:hAnsi="宋体" w:eastAsia="宋体" w:cs="宋体"/>
          <w:i w:val="0"/>
          <w:iCs w:val="0"/>
          <w:color w:val="auto"/>
          <w:sz w:val="24"/>
          <w:szCs w:val="24"/>
          <w:highlight w:val="none"/>
          <w:lang w:val="en-US" w:eastAsia="zh-CN" w:bidi="ar"/>
        </w:rPr>
      </w:pPr>
      <w:r>
        <w:rPr>
          <w:rFonts w:hint="eastAsia" w:ascii="宋体" w:hAnsi="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cs="宋体"/>
          <w:i w:val="0"/>
          <w:iCs w:val="0"/>
          <w:color w:val="auto"/>
          <w:sz w:val="24"/>
          <w:szCs w:val="24"/>
          <w:highlight w:val="none"/>
          <w:lang w:val="en-US" w:eastAsia="zh-CN" w:bidi="ar"/>
        </w:rPr>
        <w:t xml:space="preserve"> 工作压力稳定性：</w:t>
      </w:r>
      <w:r>
        <w:rPr>
          <w:rFonts w:hint="eastAsia" w:ascii="宋体" w:hAnsi="宋体" w:eastAsia="宋体" w:cs="宋体"/>
          <w:i w:val="0"/>
          <w:iCs w:val="0"/>
          <w:color w:val="auto"/>
          <w:sz w:val="24"/>
          <w:szCs w:val="24"/>
          <w:highlight w:val="none"/>
          <w:lang w:val="en-US" w:eastAsia="zh-CN" w:bidi="ar"/>
        </w:rPr>
        <w:t xml:space="preserve">实际工作压力与设定工作压力的误差≤±</w:t>
      </w:r>
      <w:r>
        <w:rPr>
          <w:rFonts w:hint="eastAsia" w:ascii="宋体" w:hAnsi="宋体" w:cs="宋体"/>
          <w:i w:val="0"/>
          <w:iCs w:val="0"/>
          <w:color w:val="auto"/>
          <w:sz w:val="24"/>
          <w:szCs w:val="24"/>
          <w:highlight w:val="none"/>
          <w:lang w:val="en-US" w:eastAsia="zh-CN" w:bidi="ar"/>
        </w:rPr>
        <w:t xml:space="preserve">1</w:t>
      </w:r>
      <w:r>
        <w:rPr>
          <w:rFonts w:hint="eastAsia" w:ascii="宋体" w:hAnsi="宋体" w:eastAsia="宋体" w:cs="宋体"/>
          <w:i w:val="0"/>
          <w:iCs w:val="0"/>
          <w:color w:val="auto"/>
          <w:sz w:val="24"/>
          <w:szCs w:val="24"/>
          <w:highlight w:val="none"/>
          <w:lang w:val="en-US" w:eastAsia="zh-CN" w:bidi="ar"/>
        </w:rPr>
        <w:t xml:space="preserve">kPa（</w:t>
      </w:r>
      <w:r>
        <w:rPr>
          <w:rFonts w:hint="eastAsia"/>
          <w:i w:val="0"/>
          <w:iCs w:val="0"/>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i w:val="0"/>
          <w:iCs w:val="0"/>
          <w:color w:val="auto"/>
          <w:sz w:val="24"/>
          <w:szCs w:val="24"/>
          <w:highlight w:val="none"/>
          <w:lang w:val="en-US" w:eastAsia="zh-CN" w:bidi="ar"/>
        </w:rPr>
        <w:t xml:space="preserve">）。</w:t>
      </w:r>
      <w:r/>
    </w:p>
    <w:p>
      <w:pPr>
        <w:jc w:val="left"/>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lang w:bidi="ar"/>
        </w:rPr>
        <w:t xml:space="preserve">脉搏部分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血氧饱和度波形增益具备多级调节功能，调节范围≥</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级。</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bidi="ar"/>
        </w:rPr>
        <w:t xml:space="preserve">心电部分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心率测量和显示范围：35bpm～165bpm，测量误差≤±</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bpm。</w:t>
      </w:r>
      <w:r>
        <w:rPr>
          <w:rFonts w:hint="eastAsia" w:ascii="宋体" w:hAnsi="宋体" w:eastAsia="宋体" w:cs="宋体"/>
          <w:color w:val="auto"/>
          <w:sz w:val="24"/>
          <w:szCs w:val="24"/>
          <w:highlight w:val="none"/>
          <w:lang w:val="en-US" w:eastAsia="zh-CN" w:bidi="ar"/>
        </w:rPr>
        <w:t xml:space="preserve">心电波形增益具备多级调节功能，调节范围≥</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级。</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lang w:bidi="ar"/>
        </w:rPr>
        <w:t xml:space="preserve">机械部分</w:t>
      </w:r>
      <w:r/>
    </w:p>
    <w:p>
      <w:pPr>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充排气电磁阀响应时间≤</w:t>
      </w:r>
      <w:r>
        <w:rPr>
          <w:rFonts w:hint="eastAsia" w:ascii="宋体" w:hAnsi="宋体" w:cs="宋体"/>
          <w:b w:val="0"/>
          <w:bCs w:val="0"/>
          <w:color w:val="auto"/>
          <w:sz w:val="24"/>
          <w:szCs w:val="24"/>
          <w:highlight w:val="none"/>
          <w:lang w:val="en-US" w:eastAsia="zh-CN"/>
        </w:rPr>
        <w:t xml:space="preserve">60</w:t>
      </w:r>
      <w:r>
        <w:rPr>
          <w:rFonts w:hint="eastAsia" w:ascii="宋体" w:hAnsi="宋体" w:eastAsia="宋体" w:cs="宋体"/>
          <w:b w:val="0"/>
          <w:bCs w:val="0"/>
          <w:color w:val="auto"/>
          <w:sz w:val="24"/>
          <w:szCs w:val="24"/>
          <w:highlight w:val="none"/>
        </w:rPr>
        <w:t xml:space="preserve">ms</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气囊最大承受压力</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kPa，保压10s，压降≤2kPa。</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5 </w:t>
      </w:r>
      <w:r>
        <w:rPr>
          <w:rFonts w:hint="eastAsia" w:ascii="宋体" w:hAnsi="宋体" w:eastAsia="宋体" w:cs="宋体"/>
          <w:b/>
          <w:bCs/>
          <w:color w:val="auto"/>
          <w:sz w:val="24"/>
          <w:szCs w:val="24"/>
          <w:highlight w:val="none"/>
          <w:lang w:bidi="ar"/>
        </w:rPr>
        <w:t xml:space="preserve">安全部分</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心率低于40bpm或高于120bpm时具备自动停止反搏功能。</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治疗时间设置范围：1</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min～60min；设置步进</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1min。</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配备病员信息管理软件</w:t>
      </w:r>
      <w:r>
        <w:rPr>
          <w:rFonts w:hint="eastAsia" w:ascii="宋体" w:hAnsi="宋体" w:cs="宋体"/>
          <w:color w:val="auto"/>
          <w:sz w:val="24"/>
          <w:szCs w:val="24"/>
          <w:highlight w:val="none"/>
          <w:lang w:val="en-US" w:eastAsia="zh-CN" w:bidi="ar"/>
        </w:rPr>
        <w:t xml:space="preserve">系统</w:t>
      </w:r>
      <w:r>
        <w:rPr>
          <w:rFonts w:hint="eastAsia" w:ascii="宋体" w:hAnsi="宋体" w:eastAsia="宋体" w:cs="宋体"/>
          <w:color w:val="auto"/>
          <w:sz w:val="24"/>
          <w:szCs w:val="24"/>
          <w:highlight w:val="none"/>
          <w:lang w:val="en-US" w:eastAsia="zh-CN" w:bidi="ar"/>
        </w:rPr>
        <w:t xml:space="preserve">，数据库存储患者心电、血氧、治疗压力等数据，并具备数据回放功能。正常工作时，反搏装置对触发波以外的波形不响应反搏。</w:t>
      </w:r>
      <w:r/>
    </w:p>
    <w:p>
      <w:pPr>
        <w:jc w:val="left"/>
        <w:keepLines w:val="0"/>
        <w:keepNext w:val="0"/>
        <w:pageBreakBefore w:val="0"/>
        <w:spacing w:line="360" w:lineRule="auto"/>
        <w:widowControl/>
        <w:tabs>
          <w:tab w:val="left" w:pos="992" w:leader="none"/>
        </w:tabs>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具备早搏触发排气功能。正常工作时，当压力大于最大承受压力时，具备自动泄气功能。</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rPr>
        <w:t xml:space="preserve">6 </w:t>
      </w:r>
      <w:r>
        <w:rPr>
          <w:rFonts w:hint="eastAsia" w:ascii="宋体" w:hAnsi="宋体" w:eastAsia="宋体" w:cs="宋体"/>
          <w:b/>
          <w:bCs/>
          <w:color w:val="auto"/>
          <w:sz w:val="24"/>
          <w:szCs w:val="24"/>
          <w:highlight w:val="none"/>
          <w:lang w:val="en-US" w:eastAsia="zh-CN" w:bidi="ar"/>
        </w:rPr>
        <w:t xml:space="preserve">压缩机</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
        </w:rPr>
        <w:t xml:space="preserve">压缩机最大功率≥1700VA。压缩机最大流量≥45m³/h。</w:t>
      </w:r>
      <w:r/>
    </w:p>
    <w:p>
      <w:pPr>
        <w:keepLines w:val="0"/>
        <w:keepNext w:val="0"/>
        <w:pageBreakBefore w:val="0"/>
        <w:spacing w:line="360" w:lineRule="auto"/>
        <w:widowControl/>
        <w:tabs>
          <w:tab w:val="left" w:pos="992" w:leader="none"/>
        </w:tabs>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rPr>
        <w:t xml:space="preserve">7 </w:t>
      </w:r>
      <w:r>
        <w:rPr>
          <w:rFonts w:hint="eastAsia" w:ascii="宋体" w:hAnsi="宋体" w:eastAsia="宋体" w:cs="宋体"/>
          <w:b/>
          <w:bCs/>
          <w:color w:val="auto"/>
          <w:sz w:val="24"/>
          <w:szCs w:val="24"/>
          <w:highlight w:val="none"/>
          <w:lang w:bidi="ar"/>
        </w:rPr>
        <w:t xml:space="preserve">其他</w:t>
      </w:r>
      <w:r/>
    </w:p>
    <w:p>
      <w:pPr>
        <w:keepLines w:val="0"/>
        <w:keepNext w:val="0"/>
        <w:pageBreakBefore w:val="0"/>
        <w:spacing w:line="360" w:lineRule="auto"/>
        <w:widowControl/>
        <w:tabs>
          <w:tab w:val="left" w:pos="992" w:leader="none"/>
        </w:tabs>
        <w:rPr>
          <w:rFonts w:hint="eastAsia" w:ascii="宋体" w:hAnsi="宋体" w:eastAsia="宋体" w:cs="宋体"/>
          <w:i w:val="0"/>
          <w:iCs w:val="0"/>
          <w:color w:val="auto"/>
          <w:sz w:val="24"/>
          <w:szCs w:val="24"/>
          <w:highlight w:val="none"/>
          <w:u w:val="none"/>
          <w:lang w:bidi="ar"/>
        </w:rPr>
      </w:pP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bidi="ar"/>
        </w:rPr>
        <w:t xml:space="preserve">使用年限≥8年</w:t>
      </w:r>
      <w:r>
        <w:rPr>
          <w:rFonts w:hint="eastAsia" w:ascii="宋体" w:hAnsi="宋体" w:eastAsia="宋体" w:cs="宋体"/>
          <w:b w:val="0"/>
          <w:bCs w:val="0"/>
          <w:i w:val="0"/>
          <w:iCs w:val="0"/>
          <w:color w:val="auto"/>
          <w:sz w:val="24"/>
          <w:szCs w:val="24"/>
          <w:highlight w:val="none"/>
          <w:u w:val="none"/>
        </w:rPr>
        <w:t xml:space="preserve">（提供说明书或</w:t>
      </w:r>
      <w:r>
        <w:rPr>
          <w:rFonts w:hint="eastAsia" w:ascii="宋体" w:hAnsi="宋体" w:eastAsia="宋体" w:cs="宋体"/>
          <w:b w:val="0"/>
          <w:bCs w:val="0"/>
          <w:i w:val="0"/>
          <w:iCs w:val="0"/>
          <w:color w:val="auto"/>
          <w:sz w:val="24"/>
          <w:szCs w:val="24"/>
          <w:highlight w:val="none"/>
          <w:u w:val="none"/>
          <w:lang w:val="en-US" w:eastAsia="zh-CN"/>
        </w:rPr>
        <w:t xml:space="preserve">设备实物</w:t>
      </w:r>
      <w:r>
        <w:rPr>
          <w:rFonts w:hint="eastAsia" w:ascii="宋体" w:hAnsi="宋体" w:eastAsia="宋体" w:cs="宋体"/>
          <w:b w:val="0"/>
          <w:bCs w:val="0"/>
          <w:i w:val="0"/>
          <w:iCs w:val="0"/>
          <w:color w:val="auto"/>
          <w:sz w:val="24"/>
          <w:szCs w:val="24"/>
          <w:highlight w:val="none"/>
          <w:u w:val="none"/>
        </w:rPr>
        <w:t xml:space="preserve">铭牌证明）</w:t>
      </w:r>
      <w:r>
        <w:rPr>
          <w:rFonts w:hint="eastAsia" w:ascii="宋体" w:hAnsi="宋体" w:eastAsia="宋体" w:cs="宋体"/>
          <w:i w:val="0"/>
          <w:iCs w:val="0"/>
          <w:color w:val="auto"/>
          <w:sz w:val="24"/>
          <w:szCs w:val="24"/>
          <w:highlight w:val="none"/>
          <w:u w:val="none"/>
          <w:lang w:val="en-US" w:eastAsia="zh-CN" w:bidi="ar"/>
        </w:rPr>
        <w:t xml:space="preserve">。</w:t>
      </w:r>
      <w:r/>
    </w:p>
    <w:p>
      <w:pPr>
        <w:keepLines w:val="0"/>
        <w:keepNext w:val="0"/>
        <w:pageBreakBefore w:val="0"/>
        <w:spacing w:line="360" w:lineRule="auto"/>
        <w:widowControl/>
        <w:tabs>
          <w:tab w:val="left" w:pos="992" w:leader="none"/>
        </w:tabs>
        <w:rPr>
          <w:rFonts w:hint="eastAsia" w:ascii="宋体" w:hAnsi="宋体" w:eastAsia="宋体" w:cs="宋体"/>
          <w:b/>
          <w:bCs/>
          <w:i/>
          <w:iCs/>
          <w:color w:val="auto"/>
          <w:sz w:val="24"/>
          <w:szCs w:val="24"/>
          <w:highlight w:val="none"/>
          <w:u w:val="single"/>
          <w:lang w:val="en-US" w:eastAsia="zh-CN" w:bidi="ar"/>
        </w:rPr>
      </w:pPr>
      <w:r>
        <w:rPr>
          <w:rFonts w:hint="eastAsia" w:ascii="宋体" w:hAnsi="宋体" w:cs="宋体"/>
          <w:b/>
          <w:bCs/>
          <w:i/>
          <w:iCs/>
          <w:color w:val="auto"/>
          <w:sz w:val="24"/>
          <w:szCs w:val="24"/>
          <w:highlight w:val="none"/>
          <w:u w:val="single"/>
          <w:lang w:val="en-US" w:eastAsia="zh-CN"/>
        </w:rPr>
        <w:t xml:space="preserve">8 </w:t>
      </w:r>
      <w:r>
        <w:rPr>
          <w:rFonts w:hint="eastAsia" w:ascii="宋体" w:hAnsi="宋体" w:eastAsia="宋体" w:cs="宋体"/>
          <w:b/>
          <w:bCs/>
          <w:i/>
          <w:iCs/>
          <w:color w:val="auto"/>
          <w:sz w:val="24"/>
          <w:szCs w:val="24"/>
          <w:highlight w:val="none"/>
          <w:u w:val="single"/>
          <w:lang w:val="en-US" w:eastAsia="zh-CN" w:bidi="ar"/>
        </w:rPr>
        <w:t xml:space="preserve">负责连接心脏康复管理系统及HIS信息系统的所有信息系统连接，确保临床能正常使用。</w:t>
      </w:r>
      <w:r/>
    </w:p>
    <w:p>
      <w:pPr>
        <w:keepLines w:val="0"/>
        <w:keepNext w:val="0"/>
        <w:pageBreakBefore w:val="0"/>
        <w:spacing w:line="360" w:lineRule="auto"/>
        <w:tabs>
          <w:tab w:val="left" w:pos="992"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三 </w:t>
      </w:r>
      <w:r>
        <w:rPr>
          <w:rFonts w:hint="eastAsia" w:ascii="宋体" w:hAnsi="宋体" w:eastAsia="宋体" w:cs="宋体"/>
          <w:b/>
          <w:color w:val="auto"/>
          <w:sz w:val="24"/>
          <w:szCs w:val="24"/>
          <w:highlight w:val="none"/>
        </w:rPr>
        <w:t xml:space="preserve">配置清单</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1</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一体式体外反搏床</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台</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2</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平板电脑</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台</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3</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电源线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4</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心电</w:t>
      </w:r>
      <w:r>
        <w:rPr>
          <w:rFonts w:hint="eastAsia" w:ascii="宋体" w:hAnsi="宋体" w:eastAsia="宋体" w:cs="宋体"/>
          <w:b w:val="0"/>
          <w:bCs w:val="0"/>
          <w:i/>
          <w:iCs/>
          <w:color w:val="auto"/>
          <w:sz w:val="24"/>
          <w:szCs w:val="24"/>
          <w:highlight w:val="none"/>
          <w:u w:val="single"/>
          <w:lang w:val="en-US" w:eastAsia="zh-CN"/>
        </w:rPr>
        <w:t xml:space="preserve">导联</w:t>
      </w:r>
      <w:r>
        <w:rPr>
          <w:rFonts w:hint="eastAsia" w:ascii="宋体" w:hAnsi="宋体" w:eastAsia="宋体" w:cs="宋体"/>
          <w:b w:val="0"/>
          <w:bCs w:val="0"/>
          <w:i/>
          <w:iCs/>
          <w:color w:val="auto"/>
          <w:sz w:val="24"/>
          <w:szCs w:val="24"/>
          <w:highlight w:val="none"/>
          <w:u w:val="single"/>
        </w:rPr>
        <w:t xml:space="preserve">线</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5</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血氧</w:t>
      </w:r>
      <w:r>
        <w:rPr>
          <w:rFonts w:hint="eastAsia" w:ascii="宋体" w:hAnsi="宋体" w:eastAsia="宋体" w:cs="宋体"/>
          <w:b w:val="0"/>
          <w:bCs w:val="0"/>
          <w:i/>
          <w:iCs/>
          <w:color w:val="auto"/>
          <w:sz w:val="24"/>
          <w:szCs w:val="24"/>
          <w:highlight w:val="none"/>
          <w:u w:val="single"/>
        </w:rPr>
        <w:t xml:space="preserve">指脉线</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根</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6</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一体机床垫、靠背床垫、枕头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套</w:t>
      </w:r>
      <w:r/>
    </w:p>
    <w:p>
      <w:pPr>
        <w:keepLines w:val="0"/>
        <w:keepNext w:val="0"/>
        <w:pageBreakBefore w:val="0"/>
        <w:spacing w:line="360" w:lineRule="auto"/>
        <w:tabs>
          <w:tab w:val="left" w:pos="992"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7</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外囊套</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rPr>
        <w:t xml:space="preserve">套</w:t>
      </w:r>
      <w:r/>
    </w:p>
    <w:p>
      <w:pPr>
        <w:keepLines w:val="0"/>
        <w:keepNext w:val="0"/>
        <w:pageBreakBefore w:val="0"/>
        <w:spacing w:line="360" w:lineRule="auto"/>
        <w:tabs>
          <w:tab w:val="left" w:pos="992" w:leader="none"/>
          <w:tab w:val="left" w:pos="1050" w:leader="none"/>
        </w:tabs>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8</w:t>
      </w:r>
      <w:r>
        <w:rPr>
          <w:rFonts w:hint="eastAsia" w:ascii="宋体" w:hAnsi="宋体" w:cs="宋体"/>
          <w:b w:val="0"/>
          <w:bCs w:val="0"/>
          <w:i/>
          <w:iCs/>
          <w:color w:val="auto"/>
          <w:sz w:val="24"/>
          <w:szCs w:val="24"/>
          <w:highlight w:val="none"/>
          <w:u w:val="single"/>
          <w:lang w:val="en-US" w:eastAsia="zh-CN"/>
        </w:rPr>
        <w:t xml:space="preserve"> </w:t>
      </w:r>
      <w:r>
        <w:rPr>
          <w:rFonts w:hint="eastAsia" w:ascii="宋体" w:hAnsi="宋体" w:eastAsia="宋体" w:cs="宋体"/>
          <w:b w:val="0"/>
          <w:bCs w:val="0"/>
          <w:i/>
          <w:iCs/>
          <w:color w:val="auto"/>
          <w:sz w:val="24"/>
          <w:szCs w:val="24"/>
          <w:highlight w:val="none"/>
          <w:u w:val="single"/>
        </w:rPr>
        <w:t xml:space="preserve">内囊套  </w:t>
      </w:r>
      <w:r>
        <w:rPr>
          <w:rFonts w:hint="eastAsia" w:ascii="宋体" w:hAnsi="宋体" w:eastAsia="宋体" w:cs="宋体"/>
          <w:b w:val="0"/>
          <w:bCs w:val="0"/>
          <w:i/>
          <w:iCs/>
          <w:color w:val="auto"/>
          <w:sz w:val="24"/>
          <w:szCs w:val="24"/>
          <w:highlight w:val="none"/>
          <w:u w:val="single"/>
          <w:lang w:val="en-US" w:eastAsia="zh-CN"/>
        </w:rPr>
        <w:t xml:space="preserve">6套</w:t>
      </w:r>
      <w:r/>
    </w:p>
    <w:p>
      <w:pPr>
        <w:pStyle w:val="950"/>
        <w:jc w:val="both"/>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950"/>
        <w:jc w:val="both"/>
        <w:spacing w:line="360" w:lineRule="auto"/>
        <w:rPr>
          <w:rFonts w:hint="default"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产品五、立式运动训练功率车×3台</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原理：电磁阻力。</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功率控制范围：0到999W,需提供说明书或注册证明文件佐证。</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功率控制精度≤1W/分钟。有效功率转速范围：30-130转/分钟。 最大承重：160kg。座椅调节范围：80-120cm之间。</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运动训练功率车采用独立操作系统控制，可单独使用，可控制踏车按照设定的功率进行运动。配备高清显示屏，所有运动过程中的参数都能直接在显示屏上显示，如运动负荷、转速、血压、血氧、心率、心电波形等，方便医生巡视。</w:t>
      </w:r>
      <w:r/>
    </w:p>
    <w:p>
      <w:pPr>
        <w:pStyle w:val="950"/>
        <w:jc w:val="both"/>
        <w:keepLines w:val="0"/>
        <w:keepNext w:val="0"/>
        <w:pageBreakBefore w:val="0"/>
        <w:spacing w:line="360" w:lineRule="auto"/>
        <w:widowControl/>
        <w:rPr>
          <w:rFonts w:hint="eastAsia" w:ascii="宋体" w:hAnsi="宋体"/>
          <w:b/>
          <w:color w:val="auto"/>
          <w:sz w:val="28"/>
          <w:highlight w:val="none"/>
          <w:lang w:val="en-US" w:eastAsia="zh-CN"/>
        </w:rPr>
      </w:pPr>
      <w:r>
        <w:rPr>
          <w:rFonts w:hint="eastAsia" w:ascii="宋体" w:hAnsi="宋体" w:eastAsia="宋体" w:cs="宋体"/>
          <w:b w:val="0"/>
          <w:bCs w:val="0"/>
          <w:color w:val="auto"/>
          <w:sz w:val="24"/>
          <w:szCs w:val="24"/>
          <w:highlight w:val="none"/>
          <w:lang w:val="en-US" w:eastAsia="zh-CN"/>
        </w:rPr>
        <w:t xml:space="preserve">5 立式运动训练功率车通过网络连接入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心肺测试系统。实现（1）运动过程中的参数，如运动负荷、转速、血压、血氧、心率、心电波形等，同步到PC端，以监控患者生理参数的变化，保障患者安全；（2）通过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心肺测试系统控制运动训练功率车运行。</w:t>
      </w:r>
      <w:r/>
    </w:p>
    <w:p>
      <w:pPr>
        <w:pStyle w:val="950"/>
        <w:jc w:val="both"/>
        <w:spacing w:line="360" w:lineRule="auto"/>
        <w:rPr>
          <w:rFonts w:hint="eastAsia" w:ascii="宋体" w:hAnsi="宋体"/>
          <w:b/>
          <w:color w:val="auto"/>
          <w:sz w:val="28"/>
          <w:highlight w:val="none"/>
          <w:lang w:val="en-US" w:eastAsia="zh-CN"/>
        </w:rPr>
      </w:pPr>
      <w:r>
        <w:rPr>
          <w:rFonts w:hint="eastAsia" w:ascii="宋体" w:hAnsi="宋体"/>
          <w:b/>
          <w:color w:val="auto"/>
          <w:sz w:val="28"/>
          <w:highlight w:val="none"/>
          <w:lang w:val="en-US" w:eastAsia="zh-CN"/>
        </w:rPr>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产品六、抗阻训练设备×3台（上肢、下肢、腰部各1台）</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阻力类型：液压式；</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2训练模式：定时模式、定时定次模式、评估模式、处方模式；</w:t>
      </w:r>
      <w:r/>
    </w:p>
    <w:p>
      <w:pPr>
        <w:pStyle w:val="950"/>
        <w:ind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精准调控：根据训练者的评估结果精准调控运动的次数、角度、阻力和时间；</w:t>
      </w:r>
      <w:r/>
    </w:p>
    <w:p>
      <w:pPr>
        <w:pStyle w:val="950"/>
        <w:ind w:firstLine="24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显示信息：时间、次数、当前心率、报警心率、目标心率、血氧值、血压等参数；</w:t>
      </w:r>
      <w:r/>
    </w:p>
    <w:p>
      <w:pPr>
        <w:pStyle w:val="950"/>
        <w:numPr>
          <w:ilvl w:val="0"/>
          <w:numId w:val="0"/>
        </w:numPr>
        <w:jc w:val="both"/>
        <w:spacing w:line="360" w:lineRule="auto"/>
        <w:rPr>
          <w:rFonts w:hint="default" w:ascii="宋体" w:hAnsi="宋体"/>
          <w:b/>
          <w:color w:val="auto"/>
          <w:sz w:val="28"/>
          <w:highlight w:val="none"/>
          <w:lang w:val="en-US" w:eastAsia="zh-CN"/>
        </w:rPr>
      </w:pPr>
      <w:r>
        <w:rPr>
          <w:rFonts w:hint="default" w:ascii="宋体" w:hAnsi="宋体"/>
          <w:b/>
          <w:color w:val="auto"/>
          <w:sz w:val="28"/>
          <w:highlight w:val="none"/>
          <w:lang w:val="en-US" w:eastAsia="zh-CN"/>
        </w:rPr>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产品七、六分钟步行监测分析系统×2套</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中央PC工作站与移动端可通过局域网进行数据通信，实现远程生理参数监测，可实时呈现和回放每个被测者的心电图波形和心率、血氧变化趋势等信息。</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系统默认测试时间为6分钟，也可按照实际需求自定义测试时间，测试开始后自动倒计时，计时完成后自动结束。可根据被测者个体情况设置报警预设值，测试过程中出现异常值，智能报警提示，以保证被测者的安全。</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可以按照6分钟步行试验场地的实际长度设置单圈长度，不影响步行距离计算。</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患者移动端可自动记录步行圈数， PC端可同步显示和调整。 患者移动端可连接心电图、血压、血氧设备，同时可以自动控制血压的测量。</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可自动或手动上传静息心率值、静息血压值、静息血氧值、静息血糖值</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自动生成报告，测试报告中能够显示场地的长度、步行的总圈数，步行的总距离、预测距离、实测距离占预测距离百分比及心功能分级；能够记录每一圈以及整个测试过程中的平均速度、用时、心率、血氧、代谢当量METs、摄氧量的数据，方便医生对整个测试过程进行评估。</w:t>
      </w:r>
      <w:r/>
    </w:p>
    <w:p>
      <w:pPr>
        <w:pStyle w:val="950"/>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可根据测试结果自动生成简易运动处方，供医生或患者参考； 可打印整个运动过程的心率、血压和血氧变化趋势图，同时可选择打印整个运动过程任意时段的心电图波形报告</w:t>
      </w:r>
      <w:r/>
    </w:p>
    <w:p>
      <w:pPr>
        <w:pStyle w:val="950"/>
        <w:jc w:val="both"/>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 监护设备（2套）</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 xml:space="preserve">血压计：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一键测量。高清大屏，显示舒张压、收缩压、脉搏。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数据传输：测量数据自动上传到工作站PC端和移动端。</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分度：1 mmHg/0.1kPa。</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压力测量范围：0 mmHg～290 mmHg。</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精度：±3 mmhg。</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脉搏血氧仪：</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测量范围：血氧饱和度: 0-100%。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分辨率：血氧饱和度：1％，脉率：1 bpm。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测量精度：血氧饱和度:</w:t>
      </w:r>
      <w:r>
        <w:rPr>
          <w:rFonts w:hint="eastAsia" w:ascii="宋体" w:hAnsi="宋体" w:eastAsia="宋体" w:cs="宋体"/>
          <w:color w:val="auto"/>
          <w:sz w:val="24"/>
          <w:szCs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2pt;height:11.2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rPr>
          <w:rFonts w:hint="eastAsia" w:ascii="宋体" w:hAnsi="宋体" w:eastAsia="宋体" w:cs="宋体"/>
          <w:color w:val="auto"/>
          <w:sz w:val="24"/>
          <w:szCs w:val="24"/>
          <w:highlight w:val="none"/>
        </w:rPr>
        <w:t xml:space="preserve">2% （70-100%）, 脉率: ±3 bpm或3%（30-245BPM）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温度：±0.1℃。</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心率计：</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单导联测量，方便患者康复运动。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重量：≤40克。</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心率胸带可调节范围：560-980毫米。</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满电量使用时间：≥20小时。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支持蓝牙</w:t>
      </w:r>
      <w:r>
        <w:rPr>
          <w:rFonts w:hint="eastAsia" w:ascii="宋体" w:hAnsi="宋体" w:eastAsia="宋体" w:cs="宋体"/>
          <w:color w:val="auto"/>
          <w:sz w:val="24"/>
          <w:szCs w:val="24"/>
          <w:highlight w:val="none"/>
          <w:lang w:val="en-US" w:eastAsia="zh-CN"/>
        </w:rPr>
        <w:t xml:space="preserve">或WIFI</w:t>
      </w:r>
      <w:r>
        <w:rPr>
          <w:rFonts w:hint="eastAsia" w:ascii="宋体" w:hAnsi="宋体" w:eastAsia="宋体" w:cs="宋体"/>
          <w:color w:val="auto"/>
          <w:sz w:val="24"/>
          <w:szCs w:val="24"/>
          <w:highlight w:val="none"/>
        </w:rPr>
        <w:t xml:space="preserve">连接。</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产品八、背靠式功率车×1台</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功率控制范围：0到999W。（需提供说明书或注册证明文件佐证）</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功率控制精度≤1W/分钟。</w:t>
      </w:r>
      <w:r/>
    </w:p>
    <w:p>
      <w:pPr>
        <w:pStyle w:val="950"/>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有效功率转速范围：30-130转/分钟。</w:t>
      </w:r>
      <w:r/>
    </w:p>
    <w:p>
      <w:pPr>
        <w:pStyle w:val="950"/>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座椅可电动调节，配有遥控器，可以通过遥控方式电动调节座椅与车头的距离，调节范围0-300毫米。</w:t>
      </w:r>
      <w:r/>
    </w:p>
    <w:p>
      <w:pPr>
        <w:pStyle w:val="950"/>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座椅靠背角度可调节，调节范围0-125°，连续调节或不少于3个固定档位。</w:t>
      </w:r>
      <w:r/>
    </w:p>
    <w:p>
      <w:pPr>
        <w:pStyle w:val="950"/>
        <w:numPr>
          <w:ilvl w:val="0"/>
          <w:numId w:val="0"/>
        </w:numPr>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加宽加大座椅，最大承重≥300公斤</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运动训练功率车采用独立操作系统控制，可单独使用，可控制踏车按照设定的功率进行运动。配备高清显示屏，所有运动过程中的参数都能直接在显示屏上显示，如运动负荷、转速、血压、血氧、心率、心电波形等，方便医生巡视；</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 功率车通过网络连接入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心肺测试系统。实现（1）运动过程中的参数，如运动负荷、转速、血压、血氧、心率、心电波形等，同步到PC端，以监控患者生理参数的变化，保障患者安全；（2）通过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心肺测试系统控制运动训练功率车运行。</w:t>
      </w:r>
      <w:r/>
    </w:p>
    <w:p>
      <w:pPr>
        <w:pStyle w:val="950"/>
        <w:jc w:val="both"/>
        <w:spacing w:line="360" w:lineRule="auto"/>
        <w:rPr>
          <w:rFonts w:hint="eastAsia" w:ascii="宋体" w:hAnsi="宋体"/>
          <w:b/>
          <w:color w:val="auto"/>
          <w:sz w:val="28"/>
          <w:highlight w:val="none"/>
          <w:lang w:val="en-US" w:eastAsia="zh-CN"/>
        </w:rPr>
      </w:pPr>
      <w:r>
        <w:rPr>
          <w:rFonts w:hint="eastAsia" w:ascii="宋体" w:hAnsi="宋体"/>
          <w:b/>
          <w:color w:val="auto"/>
          <w:sz w:val="28"/>
          <w:highlight w:val="none"/>
          <w:lang w:val="en-US" w:eastAsia="zh-CN"/>
        </w:rPr>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产品九、跑台×1台</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尺寸≥（1.5±0.1）×（0.6±0.1）米。</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正向速度范围：0-25千米/小时，可调整精度≤0.1千米/小时。</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可进行反向的运动。可通过控制面板执行单独的运动方案，面板角度可调节。</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可通过网络连接入</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心肺测试系统，并可通过</w:t>
      </w:r>
      <w:r>
        <w:rPr>
          <w:rFonts w:hint="eastAsia" w:ascii="宋体" w:hAnsi="宋体" w:eastAsia="宋体" w:cs="宋体"/>
          <w:b w:val="0"/>
          <w:bCs w:val="0"/>
          <w:color w:val="auto"/>
          <w:sz w:val="24"/>
          <w:szCs w:val="24"/>
          <w:highlight w:val="none"/>
        </w:rPr>
        <w:t xml:space="preserve">运动</w:t>
      </w:r>
      <w:r>
        <w:rPr>
          <w:rFonts w:hint="eastAsia" w:ascii="宋体" w:hAnsi="宋体" w:eastAsia="宋体" w:cs="宋体"/>
          <w:b w:val="0"/>
          <w:bCs w:val="0"/>
          <w:color w:val="auto"/>
          <w:sz w:val="24"/>
          <w:szCs w:val="24"/>
          <w:highlight w:val="none"/>
          <w:lang w:val="en-US" w:eastAsia="zh-CN"/>
        </w:rPr>
        <w:t xml:space="preserve">心肺测试系统控制跑台运行。</w:t>
      </w:r>
      <w:r/>
    </w:p>
    <w:p>
      <w:pPr>
        <w:pStyle w:val="950"/>
        <w:jc w:val="both"/>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悬吊装置，采用电动控制，可设置减重的范围至少包含0-80公斤。</w:t>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pStyle w:val="950"/>
        <w:numPr>
          <w:ilvl w:val="0"/>
          <w:numId w:val="0"/>
        </w:numPr>
        <w:jc w:val="both"/>
        <w:spacing w:line="360" w:lineRule="auto"/>
        <w:rPr>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t xml:space="preserve">产品十、椭圆机×1套</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1.面板：采用高清LED显示器，参数分区显示，可显示训练模式的曲线图和运动状态的曲线图；</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2.显示功能：转速、阻力、运动时长、距离、速度、心率、卡路里消耗等</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3.运动模式：≥8组运动模式，使用者可通过独立按键自主选择</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4.模式：至少包含 预设训练模式、心率控制模式、恢复模式、体脂测试模式</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5.心率测试：扶手配备手握心跳感应测试系统,精度≤±3%</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6.功率：550±50W</w:t>
      </w:r>
      <w:r/>
    </w:p>
    <w:p>
      <w:pPr>
        <w:pStyle w:val="950"/>
        <w:jc w:val="both"/>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7.最大承重：160kg</w:t>
      </w:r>
      <w:r/>
    </w:p>
    <w:p>
      <w:pPr>
        <w:pStyle w:val="95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92"/>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93"/>
          <w:rFonts w:hint="eastAsia" w:ascii="宋体" w:hAnsi="宋体" w:eastAsia="宋体" w:cs="宋体"/>
          <w:bCs/>
          <w:i/>
          <w:iCs/>
          <w:color w:val="auto"/>
          <w:sz w:val="24"/>
          <w:szCs w:val="24"/>
          <w:highlight w:val="none"/>
          <w:u w:val="single"/>
        </w:rPr>
      </w:pPr>
      <w:r>
        <w:rPr>
          <w:rStyle w:val="893"/>
          <w:rFonts w:hint="eastAsia" w:ascii="宋体" w:hAnsi="宋体" w:eastAsia="宋体" w:cs="宋体"/>
          <w:b/>
          <w:i/>
          <w:iCs/>
          <w:color w:val="auto"/>
          <w:sz w:val="24"/>
          <w:szCs w:val="24"/>
          <w:highlight w:val="none"/>
          <w:u w:val="single"/>
        </w:rPr>
        <w:t xml:space="preserve">1、</w:t>
      </w:r>
      <w:r>
        <w:rPr>
          <w:rStyle w:val="893"/>
          <w:rFonts w:hint="eastAsia" w:ascii="宋体" w:hAnsi="宋体" w:eastAsia="宋体" w:cs="宋体"/>
          <w:b/>
          <w:i/>
          <w:iCs/>
          <w:color w:val="auto"/>
          <w:sz w:val="24"/>
          <w:szCs w:val="24"/>
          <w:highlight w:val="none"/>
          <w:u w:val="single"/>
          <w:lang w:val="zh-CN"/>
        </w:rPr>
        <w:t xml:space="preserve">交货期：</w:t>
      </w:r>
      <w:r>
        <w:rPr>
          <w:rStyle w:val="893"/>
          <w:rFonts w:hint="eastAsia" w:ascii="宋体" w:hAnsi="宋体" w:eastAsia="宋体" w:cs="宋体"/>
          <w:bCs/>
          <w:i/>
          <w:iCs/>
          <w:color w:val="auto"/>
          <w:sz w:val="24"/>
          <w:szCs w:val="24"/>
          <w:highlight w:val="none"/>
          <w:u w:val="single"/>
        </w:rPr>
        <w:t xml:space="preserve">必须在合同签订后</w:t>
      </w:r>
      <w:r>
        <w:rPr>
          <w:rStyle w:val="893"/>
          <w:rFonts w:hint="eastAsia" w:ascii="宋体" w:hAnsi="宋体" w:cs="宋体"/>
          <w:bCs/>
          <w:i/>
          <w:iCs/>
          <w:color w:val="auto"/>
          <w:sz w:val="24"/>
          <w:szCs w:val="24"/>
          <w:highlight w:val="none"/>
          <w:u w:val="single"/>
          <w:lang w:val="en-US" w:eastAsia="zh-CN"/>
        </w:rPr>
        <w:t xml:space="preserve">60日</w:t>
      </w:r>
      <w:r>
        <w:rPr>
          <w:rStyle w:val="893"/>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93"/>
          <w:rFonts w:hint="eastAsia" w:ascii="宋体" w:hAnsi="宋体" w:eastAsia="宋体" w:cs="宋体"/>
          <w:b/>
          <w:i/>
          <w:iCs/>
          <w:color w:val="auto"/>
          <w:sz w:val="24"/>
          <w:szCs w:val="24"/>
          <w:highlight w:val="none"/>
          <w:u w:val="single"/>
          <w:lang w:val="zh-CN"/>
        </w:rPr>
      </w:pPr>
      <w:r>
        <w:rPr>
          <w:rStyle w:val="893"/>
          <w:rFonts w:hint="eastAsia" w:ascii="宋体" w:hAnsi="宋体" w:eastAsia="宋体" w:cs="宋体"/>
          <w:b/>
          <w:i/>
          <w:iCs/>
          <w:color w:val="auto"/>
          <w:sz w:val="24"/>
          <w:szCs w:val="24"/>
          <w:highlight w:val="none"/>
          <w:u w:val="single"/>
        </w:rPr>
        <w:t xml:space="preserve">2、</w:t>
      </w:r>
      <w:r>
        <w:rPr>
          <w:rStyle w:val="893"/>
          <w:rFonts w:hint="eastAsia" w:ascii="宋体" w:hAnsi="宋体" w:eastAsia="宋体" w:cs="宋体"/>
          <w:b/>
          <w:i/>
          <w:iCs/>
          <w:color w:val="auto"/>
          <w:sz w:val="24"/>
          <w:szCs w:val="24"/>
          <w:highlight w:val="none"/>
          <w:u w:val="single"/>
          <w:lang w:val="zh-CN"/>
        </w:rPr>
        <w:t xml:space="preserve">交货方式：</w:t>
      </w:r>
      <w:r>
        <w:rPr>
          <w:rStyle w:val="893"/>
          <w:rFonts w:hint="eastAsia" w:ascii="宋体" w:hAnsi="宋体" w:eastAsia="宋体" w:cs="宋体"/>
          <w:bCs/>
          <w:i/>
          <w:iCs/>
          <w:color w:val="auto"/>
          <w:sz w:val="24"/>
          <w:szCs w:val="24"/>
          <w:highlight w:val="none"/>
          <w:u w:val="single"/>
        </w:rPr>
        <w:t xml:space="preserve">送货到</w:t>
      </w:r>
      <w:r>
        <w:rPr>
          <w:rStyle w:val="893"/>
          <w:rFonts w:hint="eastAsia" w:ascii="宋体" w:hAnsi="宋体" w:cs="宋体"/>
          <w:bCs/>
          <w:i/>
          <w:iCs/>
          <w:color w:val="auto"/>
          <w:sz w:val="24"/>
          <w:szCs w:val="24"/>
          <w:highlight w:val="none"/>
          <w:u w:val="single"/>
          <w:lang w:val="en-US"/>
        </w:rPr>
        <w:t xml:space="preserve">采购人</w:t>
      </w:r>
      <w:r>
        <w:rPr>
          <w:rStyle w:val="893"/>
          <w:rFonts w:hint="eastAsia" w:ascii="宋体" w:hAnsi="宋体" w:eastAsia="宋体" w:cs="宋体"/>
          <w:bCs/>
          <w:i/>
          <w:iCs/>
          <w:color w:val="auto"/>
          <w:sz w:val="24"/>
          <w:szCs w:val="24"/>
          <w:highlight w:val="none"/>
          <w:u w:val="single"/>
        </w:rPr>
        <w:t xml:space="preserve">指定地点并安装调试</w:t>
      </w:r>
      <w:r>
        <w:rPr>
          <w:rStyle w:val="893"/>
          <w:rFonts w:hint="eastAsia" w:ascii="宋体" w:hAnsi="宋体" w:eastAsia="宋体" w:cs="宋体"/>
          <w:bCs/>
          <w:i/>
          <w:iCs/>
          <w:color w:val="auto"/>
          <w:sz w:val="24"/>
          <w:szCs w:val="24"/>
          <w:highlight w:val="none"/>
          <w:u w:val="single"/>
          <w:lang w:val="zh-CN"/>
        </w:rPr>
        <w:t xml:space="preserve">。</w:t>
      </w:r>
      <w:r/>
    </w:p>
    <w:p>
      <w:pPr>
        <w:ind w:firstLine="482"/>
        <w:keepLines w:val="0"/>
        <w:keepNext w:val="0"/>
        <w:pageBreakBefore w:val="0"/>
        <w:spacing w:line="360" w:lineRule="auto"/>
        <w:widowControl w:val="off"/>
        <w:rPr>
          <w:rStyle w:val="893"/>
          <w:rFonts w:hint="eastAsia" w:ascii="宋体" w:hAnsi="宋体" w:eastAsia="宋体" w:cs="宋体"/>
          <w:i/>
          <w:iCs/>
          <w:color w:val="auto"/>
          <w:sz w:val="24"/>
          <w:szCs w:val="24"/>
          <w:highlight w:val="none"/>
          <w:u w:val="single"/>
        </w:rPr>
      </w:pPr>
      <w:r>
        <w:rPr>
          <w:rStyle w:val="893"/>
          <w:rFonts w:hint="eastAsia" w:ascii="宋体" w:hAnsi="宋体" w:eastAsia="宋体" w:cs="宋体"/>
          <w:b/>
          <w:i/>
          <w:iCs/>
          <w:color w:val="auto"/>
          <w:sz w:val="24"/>
          <w:szCs w:val="24"/>
          <w:highlight w:val="none"/>
          <w:u w:val="single"/>
        </w:rPr>
        <w:t xml:space="preserve">3、</w:t>
      </w:r>
      <w:r>
        <w:rPr>
          <w:rStyle w:val="893"/>
          <w:rFonts w:hint="eastAsia" w:ascii="宋体" w:hAnsi="宋体" w:eastAsia="宋体" w:cs="宋体"/>
          <w:b/>
          <w:i/>
          <w:iCs/>
          <w:color w:val="auto"/>
          <w:sz w:val="24"/>
          <w:szCs w:val="24"/>
          <w:highlight w:val="none"/>
          <w:u w:val="single"/>
          <w:lang w:val="zh-CN"/>
        </w:rPr>
        <w:t xml:space="preserve">交货地点：</w:t>
      </w:r>
      <w:r>
        <w:rPr>
          <w:rStyle w:val="893"/>
          <w:rFonts w:hint="eastAsia" w:ascii="宋体" w:hAnsi="宋体" w:cs="宋体"/>
          <w:i/>
          <w:iCs/>
          <w:color w:val="auto"/>
          <w:sz w:val="24"/>
          <w:szCs w:val="24"/>
          <w:highlight w:val="none"/>
          <w:u w:val="single"/>
          <w:lang w:val="en-US"/>
        </w:rPr>
        <w:t xml:space="preserve">采购人</w:t>
      </w:r>
      <w:r>
        <w:rPr>
          <w:rStyle w:val="893"/>
          <w:rFonts w:hint="eastAsia" w:ascii="宋体" w:hAnsi="宋体" w:eastAsia="宋体" w:cs="宋体"/>
          <w:i/>
          <w:iCs/>
          <w:color w:val="auto"/>
          <w:sz w:val="24"/>
          <w:szCs w:val="24"/>
          <w:highlight w:val="none"/>
          <w:u w:val="single"/>
        </w:rPr>
        <w:t xml:space="preserve">指定地点。</w:t>
      </w:r>
      <w:r/>
    </w:p>
    <w:p>
      <w:pPr>
        <w:ind w:firstLine="482"/>
        <w:keepLines w:val="0"/>
        <w:keepNext w:val="0"/>
        <w:pageBreakBefore w:val="0"/>
        <w:spacing w:line="360" w:lineRule="auto"/>
        <w:widowControl w:val="off"/>
        <w:rPr>
          <w:rStyle w:val="893"/>
          <w:rFonts w:hint="eastAsia" w:ascii="宋体" w:hAnsi="宋体" w:eastAsia="宋体" w:cs="宋体"/>
          <w:b w:val="0"/>
          <w:bCs/>
          <w:i/>
          <w:iCs/>
          <w:color w:val="auto"/>
          <w:sz w:val="24"/>
          <w:szCs w:val="24"/>
          <w:highlight w:val="none"/>
          <w:u w:val="single"/>
          <w:lang w:val="en-US" w:eastAsia="zh-CN"/>
        </w:rPr>
      </w:pPr>
      <w:r>
        <w:rPr>
          <w:rStyle w:val="893"/>
          <w:rFonts w:hint="eastAsia" w:ascii="宋体" w:hAnsi="宋体" w:eastAsia="宋体" w:cs="宋体"/>
          <w:b/>
          <w:i/>
          <w:iCs/>
          <w:color w:val="auto"/>
          <w:sz w:val="24"/>
          <w:szCs w:val="24"/>
          <w:highlight w:val="none"/>
          <w:u w:val="single"/>
          <w:lang w:val="en-US" w:eastAsia="zh-CN"/>
        </w:rPr>
        <w:t xml:space="preserve">4、付款方式：</w:t>
      </w:r>
      <w:r>
        <w:rPr>
          <w:rStyle w:val="893"/>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893"/>
          <w:rFonts w:hint="eastAsia" w:ascii="宋体" w:hAnsi="宋体" w:cs="宋体"/>
          <w:b w:val="0"/>
          <w:bCs/>
          <w:i/>
          <w:iCs/>
          <w:color w:val="auto"/>
          <w:sz w:val="24"/>
          <w:szCs w:val="24"/>
          <w:highlight w:val="none"/>
          <w:u w:val="single"/>
          <w:lang w:val="en-US" w:eastAsia="zh-CN"/>
        </w:rPr>
        <w:t xml:space="preserve">3</w:t>
      </w:r>
      <w:r>
        <w:rPr>
          <w:rStyle w:val="893"/>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893"/>
          <w:rFonts w:hint="eastAsia" w:ascii="宋体" w:hAnsi="宋体" w:cs="宋体"/>
          <w:b w:val="0"/>
          <w:bCs/>
          <w:i/>
          <w:iCs/>
          <w:color w:val="auto"/>
          <w:sz w:val="24"/>
          <w:szCs w:val="24"/>
          <w:highlight w:val="none"/>
          <w:u w:val="single"/>
          <w:lang w:val="en-US" w:eastAsia="zh-CN"/>
        </w:rPr>
        <w:t xml:space="preserve">6</w:t>
      </w:r>
      <w:r>
        <w:rPr>
          <w:rStyle w:val="893"/>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keepLines w:val="0"/>
        <w:keepNext w:val="0"/>
        <w:pageBreakBefore w:val="0"/>
        <w:spacing w:line="360" w:lineRule="auto"/>
        <w:widowControl w:val="off"/>
        <w:rPr>
          <w:rStyle w:val="893"/>
          <w:rFonts w:hint="eastAsia" w:ascii="宋体" w:hAnsi="宋体" w:cs="宋体"/>
          <w:b w:val="0"/>
          <w:bCs/>
          <w:i/>
          <w:iCs/>
          <w:color w:val="auto"/>
          <w:sz w:val="24"/>
          <w:szCs w:val="24"/>
          <w:highlight w:val="none"/>
          <w:u w:val="single"/>
          <w:lang w:val="en-US" w:eastAsia="zh-CN"/>
        </w:rPr>
      </w:pPr>
      <w:r>
        <w:rPr>
          <w:rStyle w:val="893"/>
          <w:rFonts w:hint="eastAsia" w:ascii="宋体" w:hAnsi="宋体" w:eastAsia="宋体" w:cs="宋体"/>
          <w:b/>
          <w:i/>
          <w:iCs/>
          <w:color w:val="auto"/>
          <w:sz w:val="24"/>
          <w:szCs w:val="24"/>
          <w:highlight w:val="none"/>
          <w:u w:val="single"/>
          <w:lang w:val="en-US" w:eastAsia="zh-CN"/>
        </w:rPr>
        <w:t xml:space="preserve">5、免费质保期：</w:t>
      </w:r>
      <w:r>
        <w:rPr>
          <w:rStyle w:val="893"/>
          <w:rFonts w:hint="eastAsia" w:ascii="宋体" w:hAnsi="宋体" w:eastAsia="宋体" w:cs="宋体"/>
          <w:b w:val="0"/>
          <w:bCs/>
          <w:i/>
          <w:iCs/>
          <w:color w:val="auto"/>
          <w:sz w:val="24"/>
          <w:szCs w:val="24"/>
          <w:highlight w:val="none"/>
          <w:u w:val="single"/>
          <w:lang w:val="en-US" w:eastAsia="zh-CN"/>
        </w:rPr>
        <w:t xml:space="preserve">原厂质保 </w:t>
      </w:r>
      <w:r>
        <w:rPr>
          <w:rStyle w:val="893"/>
          <w:rFonts w:hint="eastAsia" w:ascii="宋体" w:hAnsi="宋体" w:cs="宋体"/>
          <w:b w:val="0"/>
          <w:bCs/>
          <w:i/>
          <w:iCs/>
          <w:color w:val="auto"/>
          <w:sz w:val="24"/>
          <w:szCs w:val="24"/>
          <w:highlight w:val="none"/>
          <w:u w:val="single"/>
          <w:lang w:val="en-US" w:eastAsia="zh-CN"/>
        </w:rPr>
        <w:t xml:space="preserve">≥3</w:t>
      </w:r>
      <w:r>
        <w:rPr>
          <w:rStyle w:val="893"/>
          <w:rFonts w:hint="eastAsia" w:ascii="宋体" w:hAnsi="宋体" w:eastAsia="宋体" w:cs="宋体"/>
          <w:b w:val="0"/>
          <w:bCs/>
          <w:i/>
          <w:iCs/>
          <w:color w:val="auto"/>
          <w:sz w:val="24"/>
          <w:szCs w:val="24"/>
          <w:highlight w:val="none"/>
          <w:u w:val="single"/>
          <w:lang w:val="en-US" w:eastAsia="zh-CN"/>
        </w:rPr>
        <w:t xml:space="preserve">年</w:t>
      </w:r>
      <w:r>
        <w:rPr>
          <w:rStyle w:val="893"/>
          <w:rFonts w:hint="eastAsia" w:ascii="宋体" w:hAnsi="宋体" w:cs="宋体"/>
          <w:b w:val="0"/>
          <w:bCs/>
          <w:i/>
          <w:iCs/>
          <w:color w:val="auto"/>
          <w:sz w:val="24"/>
          <w:szCs w:val="24"/>
          <w:highlight w:val="none"/>
          <w:u w:val="single"/>
          <w:lang w:val="en-US" w:eastAsia="zh-CN"/>
        </w:rPr>
        <w:t xml:space="preserve">。</w:t>
      </w:r>
      <w:r>
        <w:rPr>
          <w:rStyle w:val="893"/>
          <w:rFonts w:hint="eastAsia" w:ascii="宋体" w:hAnsi="宋体" w:cs="宋体"/>
          <w:b/>
          <w:bCs w:val="0"/>
          <w:i/>
          <w:iCs/>
          <w:color w:val="auto"/>
          <w:sz w:val="24"/>
          <w:szCs w:val="24"/>
          <w:highlight w:val="none"/>
          <w:u w:val="single"/>
          <w:lang w:val="en-US" w:eastAsia="zh-CN"/>
        </w:rPr>
        <w:t xml:space="preserve">（提供承诺函，格式自拟）</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891"/>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891"/>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3年</w:t>
      </w:r>
      <w:r>
        <w:rPr>
          <w:rFonts w:hint="eastAsia" w:ascii="宋体" w:hAnsi="宋体" w:eastAsia="宋体" w:cs="宋体"/>
          <w:bCs/>
          <w:color w:val="auto"/>
          <w:sz w:val="24"/>
          <w:szCs w:val="24"/>
          <w:highlight w:val="none"/>
          <w:lang w:val="en-US" w:eastAsia="zh-CN"/>
        </w:rPr>
        <w:t xml:space="preserve">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名，负责本项目设备的安装、设备精准调试。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711"/>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711"/>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包括以下方面：操作手册，维护手册（包括维修卡），安装手册，主要部件清单，备件手册或备件清单，外购件技术资料，记录和控制卡（装箱单，产品合格证，关键部件材质证明，售后服务联系地址）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bl>
      <w:tblPr>
        <w:tblStyle w:val="707"/>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388"/>
        <w:gridCol w:w="3753"/>
      </w:tblGrid>
      <w:tr>
        <w:trPr>
          <w:jc w:val="center"/>
          <w:trHeight w:val="635"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1107" w:hRule="exact"/>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9"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05" w:type="pct"/>
            <w:vAlign w:val="center"/>
            <w:textDirection w:val="lrTb"/>
            <w:noWrap w:val="false"/>
          </w:tcPr>
          <w:p>
            <w:pPr>
              <w:jc w:val="center"/>
              <w:spacing w:before="240" w:after="240" w:line="360" w:lineRule="auto"/>
              <w:rPr>
                <w:rFonts w:hint="default"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盐城市中医院心脏康复设备采购项目（二次）中所有标的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84" w:type="pct"/>
            <w:vAlign w:val="center"/>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6"/>
      <w:r/>
      <w:bookmarkEnd w:id="67"/>
      <w:r/>
      <w:bookmarkStart w:id="68" w:name="_Toc9956_WPSOffice_Level2"/>
      <w:r/>
      <w:bookmarkEnd w:id="68"/>
      <w:r/>
      <w:bookmarkStart w:id="69" w:name="_Toc8249"/>
      <w:r/>
      <w:bookmarkEnd w:id="69"/>
      <w:r/>
      <w:bookmarkStart w:id="70" w:name="_Toc1883"/>
      <w:r/>
      <w:bookmarkEnd w:id="70"/>
      <w:r/>
      <w:bookmarkStart w:id="71"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894"/>
          <w:rFonts w:hint="eastAsia" w:ascii="宋体" w:hAnsi="宋体" w:eastAsia="宋体" w:cs="宋体"/>
          <w:b/>
          <w:color w:val="auto"/>
          <w:sz w:val="24"/>
          <w:szCs w:val="24"/>
          <w:highlight w:val="none"/>
        </w:rPr>
        <w:outlineLvl w:val="1"/>
      </w:pPr>
      <w:r>
        <w:rPr>
          <w:rStyle w:val="894"/>
          <w:rFonts w:hint="eastAsia" w:ascii="宋体" w:hAnsi="宋体" w:eastAsia="宋体" w:cs="宋体"/>
          <w:b/>
          <w:color w:val="auto"/>
          <w:sz w:val="24"/>
          <w:szCs w:val="24"/>
          <w:highlight w:val="none"/>
        </w:rPr>
        <w:t xml:space="preserve">第一条 商品的名称、种类、规格、数量及价款</w:t>
      </w:r>
      <w:r/>
    </w:p>
    <w:tbl>
      <w:tblPr>
        <w:tblStyle w:val="707"/>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894"/>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2"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2"/>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89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895"/>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895"/>
          <w:rFonts w:hint="eastAsia" w:ascii="宋体" w:hAnsi="宋体" w:eastAsia="宋体" w:cs="宋体"/>
          <w:color w:val="auto"/>
          <w:sz w:val="24"/>
          <w:szCs w:val="24"/>
          <w:highlight w:val="none"/>
        </w:rPr>
      </w:pPr>
      <w:r>
        <w:rPr>
          <w:rStyle w:val="895"/>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895"/>
          <w:rFonts w:hint="eastAsia" w:ascii="宋体" w:hAnsi="宋体" w:eastAsia="宋体" w:cs="宋体"/>
          <w:color w:val="auto"/>
          <w:sz w:val="24"/>
          <w:szCs w:val="24"/>
          <w:highlight w:val="none"/>
        </w:rPr>
      </w:pPr>
      <w:r>
        <w:rPr>
          <w:rStyle w:val="895"/>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895"/>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895"/>
          <w:rFonts w:hint="eastAsia" w:ascii="宋体" w:hAnsi="宋体" w:eastAsia="宋体" w:cs="宋体"/>
          <w:color w:val="auto"/>
          <w:sz w:val="24"/>
          <w:szCs w:val="24"/>
          <w:highlight w:val="none"/>
          <w:u w:val="single"/>
        </w:rPr>
      </w:pPr>
      <w:r>
        <w:rPr>
          <w:rStyle w:val="895"/>
          <w:rFonts w:hint="eastAsia" w:ascii="宋体" w:hAnsi="宋体" w:eastAsia="宋体" w:cs="宋体"/>
          <w:color w:val="auto"/>
          <w:sz w:val="24"/>
          <w:szCs w:val="24"/>
          <w:highlight w:val="none"/>
        </w:rPr>
        <w:t xml:space="preserve">4、售后服务响应时间：</w:t>
      </w:r>
      <w:r>
        <w:rPr>
          <w:rStyle w:val="895"/>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895"/>
          <w:rFonts w:hint="eastAsia" w:ascii="宋体" w:hAnsi="宋体" w:eastAsia="宋体" w:cs="宋体"/>
          <w:color w:val="auto"/>
          <w:sz w:val="24"/>
          <w:szCs w:val="24"/>
          <w:highlight w:val="none"/>
        </w:rPr>
      </w:pPr>
      <w:r>
        <w:rPr>
          <w:rStyle w:val="895"/>
          <w:rFonts w:hint="eastAsia" w:ascii="宋体" w:hAnsi="宋体" w:eastAsia="宋体" w:cs="宋体"/>
          <w:color w:val="auto"/>
          <w:sz w:val="24"/>
          <w:szCs w:val="24"/>
          <w:highlight w:val="none"/>
        </w:rPr>
        <w:t xml:space="preserve">5、其 他  承 诺：</w:t>
      </w:r>
      <w:r>
        <w:rPr>
          <w:rStyle w:val="895"/>
          <w:rFonts w:hint="eastAsia" w:ascii="宋体" w:hAnsi="宋体" w:eastAsia="宋体" w:cs="宋体"/>
          <w:color w:val="auto"/>
          <w:sz w:val="24"/>
          <w:szCs w:val="24"/>
          <w:highlight w:val="none"/>
          <w:u w:val="single"/>
        </w:rPr>
        <w:t xml:space="preserve">      /      </w:t>
      </w:r>
      <w:r>
        <w:rPr>
          <w:rStyle w:val="895"/>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894"/>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894"/>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3" w:name="OLE_LINK1"/>
      <w:r>
        <w:rPr>
          <w:rFonts w:hint="eastAsia" w:ascii="宋体" w:hAnsi="宋体" w:eastAsia="宋体" w:cs="宋体"/>
          <w:color w:val="auto"/>
          <w:sz w:val="24"/>
          <w:szCs w:val="24"/>
          <w:highlight w:val="none"/>
          <w:u w:val="single"/>
        </w:rPr>
        <w:t xml:space="preserve"> 否 </w:t>
      </w:r>
      <w:bookmarkEnd w:id="73"/>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b/>
          <w:bCs/>
          <w:color w:val="auto"/>
          <w:sz w:val="44"/>
          <w:szCs w:val="44"/>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bookmarkEnd w:id="71"/>
      <w:r/>
      <w:bookmarkStart w:id="74" w:name="_Toc12366"/>
      <w:r/>
      <w:bookmarkStart w:id="75" w:name="_Toc514054483"/>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4"/>
      <w:r/>
      <w:bookmarkEnd w:id="75"/>
      <w:r/>
      <w:r/>
    </w:p>
    <w:p>
      <w:pPr>
        <w:spacing w:line="360" w:lineRule="auto"/>
        <w:rPr>
          <w:color w:val="auto"/>
          <w:highlight w:val="none"/>
        </w:rPr>
      </w:pPr>
      <w:r>
        <w:rPr>
          <w:color w:val="auto"/>
          <w:highlight w:val="none"/>
        </w:rPr>
      </w:r>
      <w:r/>
    </w:p>
    <w:p>
      <w:pPr>
        <w:pStyle w:val="897"/>
        <w:ind w:firstLine="321"/>
        <w:jc w:val="center"/>
        <w:spacing w:line="360" w:lineRule="auto"/>
        <w:rPr>
          <w:color w:val="auto"/>
          <w:highlight w:val="none"/>
        </w:rPr>
        <w:outlineLvl w:val="1"/>
      </w:pPr>
      <w:r/>
      <w:bookmarkStart w:id="76" w:name="_Toc514054484"/>
      <w:r/>
      <w:bookmarkStart w:id="77" w:name="_Toc26779"/>
      <w:r>
        <w:rPr>
          <w:color w:val="auto"/>
          <w:highlight w:val="none"/>
        </w:rPr>
        <w:t xml:space="preserve">封面</w:t>
      </w:r>
      <w:bookmarkEnd w:id="76"/>
      <w:r/>
      <w:bookmarkEnd w:id="77"/>
      <w:r/>
      <w:r/>
    </w:p>
    <w:p>
      <w:pPr>
        <w:pStyle w:val="89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9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98"/>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98"/>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98"/>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98"/>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98"/>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98"/>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98"/>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pStyle w:val="899"/>
        <w:jc w:val="both"/>
        <w:spacing w:line="360" w:lineRule="auto"/>
        <w:rPr>
          <w:color w:val="auto"/>
          <w:highlight w:val="none"/>
        </w:rPr>
        <w:outlineLvl w:val="1"/>
      </w:pPr>
      <w:r>
        <w:rPr>
          <w:color w:val="auto"/>
          <w:highlight w:val="none"/>
        </w:rPr>
      </w:r>
      <w:r/>
    </w:p>
    <w:p>
      <w:pPr>
        <w:pStyle w:val="899"/>
        <w:jc w:val="center"/>
        <w:spacing w:line="360" w:lineRule="auto"/>
        <w:rPr>
          <w:color w:val="auto"/>
          <w:highlight w:val="none"/>
        </w:rPr>
        <w:outlineLvl w:val="1"/>
      </w:pPr>
      <w:r>
        <w:rPr>
          <w:color w:val="auto"/>
          <w:highlight w:val="none"/>
        </w:rPr>
        <w:t xml:space="preserve">目录</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一、投标人基本情况</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二、投标人资质</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900"/>
        <w:keepLines w:val="0"/>
        <w:keepNext w:val="0"/>
        <w:pageBreakBefore w:val="0"/>
        <w:spacing w:after="100" w:afterAutospacing="1" w:line="360" w:lineRule="exact"/>
        <w:widowControl/>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六、无重大违法行为声明</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七、投标函</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八、法定代表人身份证明或授权委托书</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九、开标一览表</w:t>
      </w:r>
      <w:r/>
    </w:p>
    <w:p>
      <w:pPr>
        <w:pStyle w:val="900"/>
        <w:keepLines w:val="0"/>
        <w:keepNext w:val="0"/>
        <w:pageBreakBefore w:val="0"/>
        <w:spacing w:after="100" w:afterAutospacing="1" w:line="360" w:lineRule="exact"/>
        <w:widowControl/>
        <w:rPr>
          <w:rFonts w:hint="eastAsia"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投标分项报价表</w:t>
      </w:r>
      <w:r/>
    </w:p>
    <w:p>
      <w:pPr>
        <w:pStyle w:val="900"/>
        <w:keepLines w:val="0"/>
        <w:keepNext w:val="0"/>
        <w:pageBreakBefore w:val="0"/>
        <w:spacing w:after="100" w:afterAutospacing="1" w:line="36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十一、</w:t>
      </w:r>
      <w:r>
        <w:rPr>
          <w:rFonts w:hint="eastAsia" w:ascii="宋体" w:hAnsi="宋体" w:eastAsia="宋体" w:cs="宋体"/>
          <w:color w:val="auto"/>
          <w:highlight w:val="none"/>
        </w:rPr>
        <w:t xml:space="preserve">关于符合本国产品标准的声明函</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ascii="宋体" w:hAnsi="宋体" w:eastAsia="宋体" w:cs="宋体"/>
          <w:color w:val="auto"/>
          <w:highlight w:val="none"/>
        </w:rPr>
        <w:t xml:space="preserve">、中小企业声明函</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ascii="宋体" w:hAnsi="宋体" w:eastAsia="宋体" w:cs="宋体"/>
          <w:color w:val="auto"/>
          <w:highlight w:val="none"/>
        </w:rPr>
        <w:t xml:space="preserve">、响应偏差表</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ascii="宋体" w:hAnsi="宋体" w:eastAsia="宋体" w:cs="宋体"/>
          <w:color w:val="auto"/>
          <w:highlight w:val="none"/>
        </w:rPr>
        <w:t xml:space="preserve">、所投产品技术资料或样本等</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ascii="宋体" w:hAnsi="宋体" w:eastAsia="宋体" w:cs="宋体"/>
          <w:color w:val="auto"/>
          <w:highlight w:val="none"/>
        </w:rPr>
        <w:t xml:space="preserve">、主要部件、辅材明细表</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w:t>
      </w:r>
      <w:bookmarkStart w:id="78"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8"/>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、项目业绩一览表</w:t>
      </w:r>
      <w:r/>
    </w:p>
    <w:p>
      <w:pPr>
        <w:pStyle w:val="900"/>
        <w:keepLines w:val="0"/>
        <w:keepNext w:val="0"/>
        <w:pageBreakBefore w:val="0"/>
        <w:spacing w:after="100" w:afterAutospacing="1" w:line="360" w:lineRule="exact"/>
        <w:widowControl/>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八</w:t>
      </w:r>
      <w:r>
        <w:rPr>
          <w:rFonts w:ascii="宋体" w:hAnsi="宋体" w:eastAsia="宋体" w:cs="宋体"/>
          <w:color w:val="auto"/>
          <w:highlight w:val="none"/>
        </w:rPr>
        <w:t xml:space="preserve">、投标所需其他材料</w:t>
      </w:r>
      <w:r/>
    </w:p>
    <w:p>
      <w:pPr>
        <w:pStyle w:val="901"/>
        <w:spacing w:line="360" w:lineRule="auto"/>
        <w:rPr>
          <w:color w:val="auto"/>
          <w:highlight w:val="none"/>
        </w:rPr>
        <w:outlineLvl w:val="1"/>
      </w:pPr>
      <w:r>
        <w:rPr>
          <w:color w:val="auto"/>
          <w:highlight w:val="none"/>
        </w:rPr>
        <w:br w:type="page" w:clear="all"/>
      </w:r>
      <w:bookmarkStart w:id="79" w:name="_Toc23205_WPSOffice_Level2"/>
      <w:r/>
      <w:bookmarkStart w:id="80" w:name="_Toc21292"/>
      <w:r/>
      <w:bookmarkStart w:id="81" w:name="_Toc514054486"/>
      <w:r>
        <w:rPr>
          <w:color w:val="auto"/>
          <w:highlight w:val="none"/>
        </w:rPr>
        <w:t xml:space="preserve">一、投标人基本情况</w:t>
      </w:r>
      <w:bookmarkEnd w:id="79"/>
      <w:r/>
      <w:bookmarkEnd w:id="80"/>
      <w:r/>
      <w:bookmarkEnd w:id="81"/>
      <w:r/>
      <w:r/>
    </w:p>
    <w:p>
      <w:pPr>
        <w:pStyle w:val="902"/>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902"/>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902"/>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902"/>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903"/>
        <w:spacing w:line="360" w:lineRule="auto"/>
        <w:rPr>
          <w:rFonts w:hint="eastAsia"/>
          <w:color w:val="auto"/>
          <w:highlight w:val="none"/>
        </w:rPr>
        <w:outlineLvl w:val="1"/>
      </w:pPr>
      <w:r>
        <w:rPr>
          <w:color w:val="auto"/>
          <w:highlight w:val="none"/>
        </w:rPr>
        <w:br w:type="page" w:clear="all"/>
      </w:r>
      <w:bookmarkStart w:id="82" w:name="_Toc30260_WPSOffice_Level2"/>
      <w:r/>
      <w:bookmarkStart w:id="83" w:name="_Toc514054487"/>
      <w:r/>
      <w:bookmarkStart w:id="84"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2"/>
      <w:r/>
      <w:bookmarkEnd w:id="83"/>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4"/>
      <w:r/>
      <w:r/>
    </w:p>
    <w:p>
      <w:pPr>
        <w:pStyle w:val="904"/>
        <w:spacing w:line="360" w:lineRule="auto"/>
        <w:rPr>
          <w:rFonts w:hint="eastAsia"/>
          <w:color w:val="auto"/>
          <w:highlight w:val="none"/>
        </w:rPr>
      </w:pPr>
      <w:r>
        <w:rPr>
          <w:rFonts w:hint="eastAsia"/>
          <w:color w:val="auto"/>
          <w:highlight w:val="none"/>
        </w:rPr>
        <w:t xml:space="preserve">    </w:t>
      </w:r>
      <w:bookmarkStart w:id="85" w:name="_Toc514054488"/>
      <w:r/>
      <w:bookmarkStart w:id="86" w:name="_Toc21452_WPSOffice_Level2"/>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rFonts w:hint="eastAsia"/>
          <w:color w:val="auto"/>
          <w:highlight w:val="none"/>
        </w:rPr>
      </w:pPr>
      <w:r>
        <w:rPr>
          <w:rFonts w:hint="eastAsia"/>
          <w:color w:val="auto"/>
          <w:highlight w:val="none"/>
        </w:rPr>
      </w:r>
      <w:r/>
    </w:p>
    <w:p>
      <w:pPr>
        <w:pStyle w:val="904"/>
        <w:spacing w:line="360" w:lineRule="auto"/>
        <w:rPr>
          <w:color w:val="auto"/>
          <w:highlight w:val="none"/>
        </w:rPr>
        <w:outlineLvl w:val="1"/>
      </w:pPr>
      <w:r/>
      <w:bookmarkStart w:id="87" w:name="_Toc18935"/>
      <w:r>
        <w:rPr>
          <w:color w:val="auto"/>
          <w:highlight w:val="none"/>
        </w:rPr>
        <w:t xml:space="preserve">三、投标人</w:t>
      </w:r>
      <w:bookmarkEnd w:id="85"/>
      <w:r/>
      <w:bookmarkEnd w:id="86"/>
      <w:r/>
      <w:bookmarkEnd w:id="87"/>
      <w:r>
        <w:rPr>
          <w:rFonts w:hint="eastAsia" w:ascii="宋体" w:hAnsi="宋体" w:cs="Arial"/>
          <w:bCs/>
          <w:color w:val="auto"/>
          <w:highlight w:val="none"/>
        </w:rPr>
        <w:t xml:space="preserve">具有良好的商业信誉和健全的财务会计制度</w:t>
      </w:r>
      <w:r/>
    </w:p>
    <w:p>
      <w:pPr>
        <w:pStyle w:val="905"/>
        <w:spacing w:line="360" w:lineRule="auto"/>
        <w:rPr>
          <w:color w:val="auto"/>
          <w:highlight w:val="none"/>
        </w:rPr>
      </w:pPr>
      <w:r>
        <w:rPr>
          <w:rFonts w:hint="eastAsia" w:ascii="宋体"/>
          <w:bCs/>
          <w:color w:val="auto"/>
          <w:szCs w:val="32"/>
          <w:highlight w:val="none"/>
        </w:rPr>
        <w:t xml:space="preserve">提供符合招标文件要求的资料</w:t>
      </w:r>
      <w:r/>
    </w:p>
    <w:p>
      <w:pPr>
        <w:pStyle w:val="906"/>
        <w:spacing w:line="360" w:lineRule="auto"/>
        <w:rPr>
          <w:color w:val="auto"/>
          <w:highlight w:val="none"/>
        </w:rPr>
        <w:outlineLvl w:val="1"/>
      </w:pPr>
      <w:r>
        <w:rPr>
          <w:color w:val="auto"/>
          <w:highlight w:val="none"/>
        </w:rPr>
        <w:br w:type="page" w:clear="all"/>
      </w:r>
      <w:bookmarkStart w:id="88" w:name="_Toc514054489"/>
      <w:r/>
      <w:bookmarkStart w:id="89" w:name="_Toc29626"/>
      <w:r/>
      <w:bookmarkStart w:id="90" w:name="_Toc11562_WPSOffice_Level2"/>
      <w:r>
        <w:rPr>
          <w:color w:val="auto"/>
          <w:highlight w:val="none"/>
        </w:rPr>
        <w:t xml:space="preserve">四、</w:t>
      </w:r>
      <w:bookmarkEnd w:id="88"/>
      <w:r/>
      <w:bookmarkEnd w:id="89"/>
      <w:r/>
      <w:bookmarkEnd w:id="90"/>
      <w:r>
        <w:rPr>
          <w:rFonts w:hint="eastAsia" w:ascii="宋体" w:hAnsi="宋体" w:cs="Arial"/>
          <w:bCs/>
          <w:color w:val="auto"/>
          <w:highlight w:val="none"/>
        </w:rPr>
        <w:t xml:space="preserve">具有履行合同所必需的设备和专业技术能力</w:t>
      </w:r>
      <w:r/>
    </w:p>
    <w:p>
      <w:pPr>
        <w:pStyle w:val="907"/>
        <w:jc w:val="center"/>
        <w:spacing w:line="360" w:lineRule="auto"/>
        <w:rPr>
          <w:rFonts w:hint="eastAsia" w:ascii="宋体" w:hAnsi="宋体"/>
          <w:b/>
          <w:color w:val="auto"/>
          <w:sz w:val="32"/>
          <w:szCs w:val="24"/>
          <w:highlight w:val="none"/>
        </w:rPr>
      </w:pPr>
      <w:r/>
      <w:bookmarkStart w:id="91" w:name="_Toc31740_WPSOffice_Level2"/>
      <w:r/>
      <w:r/>
    </w:p>
    <w:p>
      <w:pPr>
        <w:pStyle w:val="907"/>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1"/>
      <w:r/>
      <w:r/>
    </w:p>
    <w:p>
      <w:pPr>
        <w:pStyle w:val="907"/>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907"/>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907"/>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907"/>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907"/>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07"/>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90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9"/>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00"/>
        <w:spacing w:after="100" w:afterAutospacing="1" w:line="360" w:lineRule="auto"/>
        <w:rPr>
          <w:rFonts w:hint="eastAsia" w:ascii="宋体" w:hAnsi="宋体" w:cs="Arial"/>
          <w:bCs/>
          <w:color w:val="auto"/>
          <w:highlight w:val="none"/>
        </w:rPr>
      </w:pPr>
      <w:r>
        <w:rPr>
          <w:color w:val="auto"/>
          <w:highlight w:val="none"/>
        </w:rPr>
        <w:br w:type="page" w:clear="all"/>
      </w:r>
      <w:bookmarkStart w:id="92" w:name="_Toc514054490"/>
      <w:r/>
      <w:bookmarkStart w:id="93" w:name="_Toc467_WPSOffice_Level2"/>
      <w:r/>
      <w:bookmarkStart w:id="94" w:name="_Toc13419"/>
      <w:r>
        <w:rPr>
          <w:rFonts w:hint="eastAsia" w:ascii="宋体" w:hAnsi="宋体" w:eastAsia="黑体" w:cs="Arial"/>
          <w:b/>
          <w:bCs/>
          <w:color w:val="auto"/>
          <w:sz w:val="32"/>
          <w:highlight w:val="none"/>
        </w:rPr>
        <w:t xml:space="preserve">五、</w:t>
      </w:r>
      <w:bookmarkEnd w:id="92"/>
      <w:r/>
      <w:bookmarkEnd w:id="93"/>
      <w:r/>
      <w:bookmarkEnd w:id="94"/>
      <w:r>
        <w:rPr>
          <w:rFonts w:hint="eastAsia" w:ascii="宋体" w:hAnsi="宋体" w:eastAsia="黑体" w:cs="Arial"/>
          <w:b/>
          <w:bCs/>
          <w:color w:val="auto"/>
          <w:sz w:val="32"/>
          <w:highlight w:val="none"/>
        </w:rPr>
        <w:t xml:space="preserve">有依法缴纳税收和社会保障资金的良好记录</w:t>
      </w:r>
      <w:r/>
    </w:p>
    <w:p>
      <w:pPr>
        <w:pStyle w:val="905"/>
        <w:spacing w:line="360" w:lineRule="auto"/>
        <w:rPr>
          <w:color w:val="auto"/>
          <w:highlight w:val="none"/>
        </w:rPr>
      </w:pPr>
      <w:r>
        <w:rPr>
          <w:rFonts w:hint="eastAsia" w:ascii="宋体"/>
          <w:bCs/>
          <w:color w:val="auto"/>
          <w:szCs w:val="32"/>
          <w:highlight w:val="none"/>
        </w:rPr>
        <w:t xml:space="preserve">提供符合招标文件要求的资料</w:t>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0"/>
        <w:spacing w:line="360" w:lineRule="auto"/>
        <w:rPr>
          <w:color w:val="auto"/>
          <w:highlight w:val="none"/>
        </w:rPr>
        <w:outlineLvl w:val="1"/>
      </w:pPr>
      <w:r>
        <w:rPr>
          <w:color w:val="auto"/>
          <w:highlight w:val="none"/>
        </w:rPr>
      </w:r>
      <w:r/>
    </w:p>
    <w:p>
      <w:pPr>
        <w:pStyle w:val="911"/>
        <w:spacing w:line="360" w:lineRule="auto"/>
        <w:rPr>
          <w:color w:val="auto"/>
          <w:highlight w:val="none"/>
        </w:rPr>
        <w:outlineLvl w:val="1"/>
      </w:pPr>
      <w:r/>
      <w:bookmarkStart w:id="95" w:name="_Toc514054491"/>
      <w:r/>
      <w:bookmarkStart w:id="96" w:name="_Toc19673"/>
      <w:r/>
      <w:bookmarkStart w:id="97" w:name="_Toc5571_WPSOffice_Level2"/>
      <w:r>
        <w:rPr>
          <w:color w:val="auto"/>
          <w:highlight w:val="none"/>
        </w:rPr>
        <w:t xml:space="preserve">六、无重大违法行为声明</w:t>
      </w:r>
      <w:bookmarkEnd w:id="95"/>
      <w:r/>
      <w:bookmarkEnd w:id="96"/>
      <w:r/>
      <w:bookmarkEnd w:id="97"/>
      <w:r/>
      <w:r/>
    </w:p>
    <w:p>
      <w:pPr>
        <w:pStyle w:val="912"/>
        <w:jc w:val="center"/>
        <w:spacing w:line="360" w:lineRule="auto"/>
        <w:tabs>
          <w:tab w:val="left" w:pos="1498" w:leader="none"/>
        </w:tabs>
        <w:rPr>
          <w:rFonts w:hint="eastAsia"/>
          <w:b/>
          <w:color w:val="auto"/>
          <w:sz w:val="32"/>
          <w:szCs w:val="32"/>
          <w:highlight w:val="none"/>
        </w:rPr>
      </w:pPr>
      <w:r/>
      <w:bookmarkStart w:id="98" w:name="_Toc7575_WPSOffice_Level2"/>
      <w:r>
        <w:rPr>
          <w:rFonts w:hint="eastAsia"/>
          <w:b/>
          <w:color w:val="auto"/>
          <w:sz w:val="32"/>
          <w:szCs w:val="32"/>
          <w:highlight w:val="none"/>
        </w:rPr>
        <w:t xml:space="preserve">无重大违法行为声明</w:t>
      </w:r>
      <w:bookmarkEnd w:id="98"/>
      <w:r/>
      <w:r/>
    </w:p>
    <w:p>
      <w:pPr>
        <w:pStyle w:val="912"/>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12"/>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0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13"/>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14"/>
        <w:spacing w:line="360" w:lineRule="auto"/>
        <w:rPr>
          <w:color w:val="auto"/>
          <w:highlight w:val="none"/>
        </w:rPr>
        <w:outlineLvl w:val="1"/>
      </w:pPr>
      <w:r>
        <w:rPr>
          <w:color w:val="auto"/>
          <w:highlight w:val="none"/>
        </w:rPr>
        <w:br w:type="page" w:clear="all"/>
      </w:r>
      <w:bookmarkStart w:id="99" w:name="_Toc514054492"/>
      <w:r/>
      <w:bookmarkStart w:id="100" w:name="_Toc31956_WPSOffice_Level2"/>
      <w:r/>
      <w:bookmarkStart w:id="101" w:name="_Toc30396"/>
      <w:r/>
      <w:r/>
    </w:p>
    <w:p>
      <w:pPr>
        <w:pStyle w:val="914"/>
        <w:spacing w:line="360" w:lineRule="auto"/>
        <w:rPr>
          <w:color w:val="auto"/>
          <w:highlight w:val="none"/>
        </w:rPr>
        <w:outlineLvl w:val="1"/>
      </w:pPr>
      <w:r>
        <w:rPr>
          <w:color w:val="auto"/>
          <w:highlight w:val="none"/>
        </w:rPr>
        <w:t xml:space="preserve">七、投标函</w:t>
      </w:r>
      <w:bookmarkEnd w:id="99"/>
      <w:r/>
      <w:bookmarkEnd w:id="100"/>
      <w:r/>
      <w:bookmarkEnd w:id="101"/>
      <w:r/>
      <w:r/>
    </w:p>
    <w:p>
      <w:pPr>
        <w:pStyle w:val="915"/>
        <w:spacing w:line="360" w:lineRule="auto"/>
        <w:tabs>
          <w:tab w:val="left" w:pos="1498" w:leader="none"/>
        </w:tabs>
        <w:rPr>
          <w:rFonts w:hint="eastAsia" w:ascii="仿宋_GB2312" w:eastAsia="仿宋_GB2312"/>
          <w:color w:val="auto"/>
          <w:sz w:val="24"/>
          <w:szCs w:val="22"/>
          <w:highlight w:val="none"/>
        </w:rPr>
      </w:pPr>
      <w:r/>
      <w:bookmarkStart w:id="102" w:name="_Toc22395"/>
      <w:r/>
      <w:bookmarkStart w:id="103" w:name="_Toc514054493"/>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915"/>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915"/>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916"/>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916"/>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916"/>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917"/>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2"/>
      <w:r/>
      <w:bookmarkEnd w:id="103"/>
      <w:r/>
      <w:r/>
    </w:p>
    <w:p>
      <w:pPr>
        <w:pStyle w:val="918"/>
        <w:jc w:val="center"/>
        <w:spacing w:line="360" w:lineRule="auto"/>
        <w:rPr>
          <w:rFonts w:ascii="宋体"/>
          <w:b/>
          <w:bCs/>
          <w:color w:val="auto"/>
          <w:sz w:val="32"/>
          <w:szCs w:val="32"/>
          <w:highlight w:val="none"/>
        </w:rPr>
      </w:pPr>
      <w:r/>
      <w:bookmarkStart w:id="104" w:name="_Toc22626_WPSOffice_Level2"/>
      <w:r/>
      <w:r/>
    </w:p>
    <w:p>
      <w:pPr>
        <w:pStyle w:val="918"/>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4"/>
      <w:r/>
      <w:r/>
    </w:p>
    <w:p>
      <w:pPr>
        <w:pStyle w:val="919"/>
        <w:spacing w:line="360" w:lineRule="auto"/>
        <w:rPr>
          <w:rFonts w:eastAsia="仿宋_GB2312"/>
          <w:color w:val="auto"/>
          <w:sz w:val="24"/>
          <w:highlight w:val="none"/>
        </w:rPr>
      </w:pPr>
      <w:r>
        <w:rPr>
          <w:rFonts w:eastAsia="仿宋_GB2312"/>
          <w:color w:val="auto"/>
          <w:sz w:val="24"/>
          <w:highlight w:val="none"/>
        </w:rPr>
      </w:r>
      <w:r/>
    </w:p>
    <w:p>
      <w:pPr>
        <w:pStyle w:val="919"/>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919"/>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919"/>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919"/>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919"/>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919"/>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919"/>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919"/>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92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919"/>
        <w:ind w:firstLine="480"/>
        <w:spacing w:line="360" w:lineRule="auto"/>
        <w:rPr>
          <w:rFonts w:eastAsia="仿宋_GB2312"/>
          <w:color w:val="auto"/>
          <w:sz w:val="24"/>
          <w:highlight w:val="none"/>
        </w:rPr>
      </w:pPr>
      <w:r>
        <w:rPr>
          <w:rFonts w:eastAsia="仿宋_GB2312"/>
          <w:color w:val="auto"/>
          <w:sz w:val="24"/>
          <w:highlight w:val="none"/>
        </w:rPr>
      </w:r>
      <w:r/>
    </w:p>
    <w:p>
      <w:pPr>
        <w:pStyle w:val="919"/>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919"/>
        <w:jc w:val="right"/>
        <w:spacing w:line="360" w:lineRule="auto"/>
        <w:rPr>
          <w:rFonts w:eastAsia="仿宋_GB2312"/>
          <w:color w:val="auto"/>
          <w:sz w:val="24"/>
          <w:highlight w:val="none"/>
        </w:rPr>
      </w:pPr>
      <w:r>
        <w:rPr>
          <w:rFonts w:eastAsia="仿宋_GB2312"/>
          <w:color w:val="auto"/>
          <w:sz w:val="24"/>
          <w:highlight w:val="none"/>
        </w:rPr>
      </w:r>
      <w:r/>
    </w:p>
    <w:p>
      <w:pPr>
        <w:pStyle w:val="919"/>
        <w:jc w:val="right"/>
        <w:spacing w:line="360" w:lineRule="auto"/>
        <w:rPr>
          <w:rFonts w:eastAsia="仿宋_GB2312"/>
          <w:color w:val="auto"/>
          <w:sz w:val="24"/>
          <w:highlight w:val="none"/>
        </w:rPr>
      </w:pPr>
      <w:r>
        <w:rPr>
          <w:rFonts w:eastAsia="仿宋_GB2312"/>
          <w:color w:val="auto"/>
          <w:sz w:val="24"/>
          <w:highlight w:val="none"/>
        </w:rPr>
      </w:r>
      <w:r/>
    </w:p>
    <w:p>
      <w:pPr>
        <w:pStyle w:val="920"/>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918"/>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921"/>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18"/>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5" w:name="_Toc406_WPSOffice_Level2"/>
      <w:r/>
      <w:r/>
    </w:p>
    <w:p>
      <w:pPr>
        <w:pStyle w:val="918"/>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918"/>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5"/>
      <w:r/>
      <w:r/>
    </w:p>
    <w:p>
      <w:pPr>
        <w:pStyle w:val="918"/>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919"/>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918"/>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918"/>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918"/>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22"/>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922"/>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918"/>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918"/>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918"/>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923"/>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24"/>
        <w:spacing w:line="360" w:lineRule="auto"/>
        <w:rPr>
          <w:rFonts w:hint="eastAsia" w:eastAsia="黑体"/>
          <w:color w:val="auto"/>
          <w:highlight w:val="none"/>
          <w:lang w:eastAsia="zh-CN"/>
        </w:rPr>
        <w:outlineLvl w:val="1"/>
      </w:pPr>
      <w:r>
        <w:rPr>
          <w:color w:val="auto"/>
          <w:highlight w:val="none"/>
        </w:rPr>
        <w:br w:type="page" w:clear="all"/>
      </w:r>
      <w:bookmarkStart w:id="106" w:name="_Toc12853"/>
      <w:r/>
      <w:bookmarkStart w:id="107" w:name="_Toc514054494"/>
      <w:r>
        <w:rPr>
          <w:color w:val="auto"/>
          <w:highlight w:val="none"/>
        </w:rPr>
        <w:t xml:space="preserve">九、开标一览表</w:t>
      </w:r>
      <w:bookmarkEnd w:id="106"/>
      <w:r/>
      <w:bookmarkEnd w:id="107"/>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924"/>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投标人全称（CA公章）： 供应商名称 </w:t>
      </w:r>
      <w:r/>
    </w:p>
    <w:p>
      <w:pPr>
        <w:pStyle w:val="924"/>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项目名称：</w:t>
      </w:r>
      <w:r>
        <w:rPr>
          <w:rFonts w:hint="eastAsia" w:ascii="宋体" w:hAnsi="宋体" w:eastAsia="宋体" w:cs="宋体"/>
          <w:b w:val="0"/>
          <w:bCs/>
          <w:color w:val="auto"/>
          <w:sz w:val="24"/>
          <w:highlight w:val="none"/>
          <w:shd w:val="clear" w:color="auto"/>
          <w:lang w:eastAsia="zh-CN"/>
        </w:rPr>
        <w:t xml:space="preserve">盐城市中医院心脏康复设备采购项目（二次）</w:t>
      </w:r>
      <w:r>
        <w:rPr>
          <w:rFonts w:hint="eastAsia" w:ascii="宋体" w:hAnsi="宋体" w:eastAsia="宋体" w:cs="宋体"/>
          <w:b w:val="0"/>
          <w:bCs/>
          <w:color w:val="auto"/>
          <w:sz w:val="24"/>
          <w:szCs w:val="24"/>
          <w:highlight w:val="none"/>
        </w:rPr>
        <w:t xml:space="preserve"> </w:t>
      </w:r>
      <w:r/>
    </w:p>
    <w:p>
      <w:pPr>
        <w:pStyle w:val="924"/>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项目编号：</w:t>
      </w:r>
      <w:r>
        <w:rPr>
          <w:rFonts w:hint="eastAsia" w:ascii="宋体" w:hAnsi="宋体" w:eastAsia="宋体" w:cs="宋体"/>
          <w:b w:val="0"/>
          <w:bCs/>
          <w:color w:val="auto"/>
          <w:sz w:val="24"/>
          <w:szCs w:val="24"/>
          <w:highlight w:val="none"/>
          <w:lang w:val="en-US" w:eastAsia="zh-CN"/>
        </w:rPr>
        <w:t xml:space="preserve">JSZC-320900-JSHY-G2026-0085</w:t>
      </w:r>
      <w:r>
        <w:rPr>
          <w:rFonts w:hint="eastAsia" w:ascii="宋体" w:hAnsi="宋体" w:eastAsia="宋体" w:cs="宋体"/>
          <w:b w:val="0"/>
          <w:bCs/>
          <w:color w:val="auto"/>
          <w:sz w:val="24"/>
          <w:szCs w:val="24"/>
          <w:highlight w:val="none"/>
        </w:rPr>
        <w:t xml:space="preserve"> </w:t>
      </w:r>
      <w:r/>
    </w:p>
    <w:p>
      <w:pPr>
        <w:pStyle w:val="924"/>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分包号： 分包号</w:t>
      </w:r>
      <w:r/>
    </w:p>
    <w:p>
      <w:pPr>
        <w:pStyle w:val="924"/>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      </w:t>
      </w:r>
      <w:r/>
    </w:p>
    <w:tbl>
      <w:tblPr>
        <w:tblStyle w:val="7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4638"/>
      </w:tblGrid>
      <w:tr>
        <w:trPr/>
        <w:tc>
          <w:tcPr>
            <w:tcW w:w="3658" w:type="dxa"/>
            <w:vAlign w:val="center"/>
            <w:textDirection w:val="lrTb"/>
            <w:noWrap w:val="false"/>
          </w:tcPr>
          <w:p>
            <w:pPr>
              <w:pStyle w:val="92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投标货物名称</w:t>
            </w:r>
            <w:r/>
          </w:p>
        </w:tc>
        <w:tc>
          <w:tcPr>
            <w:tcW w:w="4638" w:type="dxa"/>
            <w:vAlign w:val="center"/>
            <w:textDirection w:val="lrTb"/>
            <w:noWrap w:val="false"/>
          </w:tcPr>
          <w:p>
            <w:pPr>
              <w:pStyle w:val="92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92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盐城市中医院心脏康复设备采购项目（二次） </w:t>
            </w:r>
            <w:r/>
          </w:p>
        </w:tc>
        <w:tc>
          <w:tcPr>
            <w:tcW w:w="4638" w:type="dxa"/>
            <w:vAlign w:val="center"/>
            <w:textDirection w:val="lrTb"/>
            <w:noWrap w:val="false"/>
          </w:tcPr>
          <w:p>
            <w:pPr>
              <w:pStyle w:val="92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___________元</w:t>
            </w:r>
            <w:r/>
          </w:p>
        </w:tc>
      </w:tr>
      <w:tr>
        <w:trPr/>
        <w:tc>
          <w:tcPr>
            <w:tcW w:w="3658" w:type="dxa"/>
            <w:vAlign w:val="center"/>
            <w:textDirection w:val="lrTb"/>
            <w:noWrap w:val="false"/>
          </w:tcPr>
          <w:p>
            <w:pPr>
              <w:pStyle w:val="924"/>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核心产品品牌：</w:t>
            </w:r>
            <w:r/>
          </w:p>
        </w:tc>
        <w:tc>
          <w:tcPr>
            <w:tcW w:w="4638" w:type="dxa"/>
            <w:vAlign w:val="center"/>
            <w:textDirection w:val="lrTb"/>
            <w:noWrap w:val="false"/>
          </w:tcPr>
          <w:p>
            <w:pPr>
              <w:pStyle w:val="924"/>
              <w:jc w:val="both"/>
              <w:spacing w:before="100" w:after="100" w:line="360" w:lineRule="auto"/>
              <w:rPr>
                <w:rFonts w:hint="default" w:ascii="宋体" w:hAnsi="宋体" w:eastAsia="宋体" w:cs="宋体"/>
                <w:b w:val="0"/>
                <w:bCs/>
                <w:color w:val="auto"/>
                <w:sz w:val="24"/>
                <w:highlight w:val="none"/>
                <w:u w:val="single"/>
                <w:shd w:val="clear" w:color="auto" w:fill="ffffff" w:themeFill="background1"/>
                <w:lang w:val="en-US" w:eastAsia="zh-CN"/>
              </w:rPr>
              <w:outlineLvl w:val="1"/>
            </w:pPr>
            <w:r>
              <w:rPr>
                <w:rFonts w:hint="eastAsia" w:ascii="宋体" w:hAnsi="宋体" w:eastAsia="宋体" w:cs="宋体"/>
                <w:b w:val="0"/>
                <w:bCs/>
                <w:color w:val="auto"/>
                <w:sz w:val="24"/>
                <w:highlight w:val="none"/>
                <w:u w:val="none"/>
                <w:shd w:val="clear" w:color="auto" w:fill="ffffff" w:themeFill="background1"/>
                <w:lang w:val="en-US" w:eastAsia="zh-CN"/>
              </w:rPr>
              <w:t xml:space="preserve">           </w:t>
            </w:r>
            <w:r>
              <w:rPr>
                <w:rFonts w:hint="eastAsia" w:ascii="宋体" w:hAnsi="宋体" w:eastAsia="宋体" w:cs="宋体"/>
                <w:b w:val="0"/>
                <w:bCs/>
                <w:color w:val="auto"/>
                <w:sz w:val="24"/>
                <w:highlight w:val="none"/>
                <w:u w:val="single"/>
                <w:shd w:val="clear" w:color="auto" w:fill="ffffff" w:themeFill="background1"/>
                <w:lang w:val="en-US" w:eastAsia="zh-CN"/>
              </w:rPr>
              <w:t xml:space="preserve">            </w:t>
            </w:r>
            <w:r/>
          </w:p>
        </w:tc>
      </w:tr>
    </w:tbl>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pStyle w:val="925"/>
        <w:spacing w:line="360" w:lineRule="auto"/>
        <w:rPr>
          <w:color w:val="auto"/>
          <w:highlight w:val="none"/>
        </w:rPr>
        <w:outlineLvl w:val="1"/>
      </w:pPr>
      <w:r>
        <w:rPr>
          <w:color w:val="auto"/>
          <w:highlight w:val="none"/>
        </w:rPr>
      </w:r>
      <w:r/>
    </w:p>
    <w:p>
      <w:pPr>
        <w:pStyle w:val="925"/>
        <w:spacing w:line="360" w:lineRule="auto"/>
        <w:rPr>
          <w:color w:val="auto"/>
          <w:highlight w:val="none"/>
        </w:rPr>
        <w:outlineLvl w:val="1"/>
      </w:pPr>
      <w:r>
        <w:rPr>
          <w:color w:val="auto"/>
          <w:highlight w:val="none"/>
        </w:rPr>
      </w:r>
      <w:r/>
    </w:p>
    <w:p>
      <w:pPr>
        <w:pStyle w:val="925"/>
        <w:spacing w:line="360" w:lineRule="auto"/>
        <w:rPr>
          <w:color w:val="auto"/>
          <w:highlight w:val="none"/>
        </w:rPr>
        <w:outlineLvl w:val="1"/>
      </w:pPr>
      <w:r>
        <w:rPr>
          <w:color w:val="auto"/>
          <w:highlight w:val="none"/>
        </w:rPr>
        <w:br w:type="page" w:clear="all"/>
      </w:r>
      <w:bookmarkStart w:id="108" w:name="_Toc514054495"/>
      <w:r/>
      <w:bookmarkStart w:id="109" w:name="_Toc8851"/>
      <w:r/>
      <w:r/>
    </w:p>
    <w:p>
      <w:pPr>
        <w:pStyle w:val="925"/>
        <w:spacing w:line="360" w:lineRule="auto"/>
        <w:rPr>
          <w:color w:val="auto"/>
          <w:highlight w:val="none"/>
        </w:rPr>
        <w:outlineLvl w:val="1"/>
      </w:pPr>
      <w:r>
        <w:rPr>
          <w:color w:val="auto"/>
          <w:highlight w:val="none"/>
        </w:rPr>
        <w:t xml:space="preserve">十、</w:t>
      </w:r>
      <w:bookmarkEnd w:id="108"/>
      <w:r/>
      <w:bookmarkEnd w:id="109"/>
      <w:r>
        <w:rPr>
          <w:rFonts w:hint="eastAsia"/>
          <w:color w:val="auto"/>
          <w:highlight w:val="none"/>
        </w:rPr>
        <w:t xml:space="preserve">投标分项报价表</w:t>
      </w:r>
      <w:r/>
    </w:p>
    <w:tbl>
      <w:tblPr>
        <w:tblStyle w:val="70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836"/>
        <w:gridCol w:w="1536"/>
        <w:gridCol w:w="1944"/>
        <w:gridCol w:w="1524"/>
        <w:gridCol w:w="804"/>
        <w:gridCol w:w="1424"/>
      </w:tblGrid>
      <w:tr>
        <w:trPr>
          <w:cantSplit/>
          <w:jc w:val="center"/>
          <w:trHeight w:val="632"/>
        </w:trPr>
        <w:tc>
          <w:tcPr>
            <w:tcW w:w="656"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836"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536"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524"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单价（元）</w:t>
            </w:r>
            <w:r/>
          </w:p>
        </w:tc>
        <w:tc>
          <w:tcPr>
            <w:tcW w:w="804"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926"/>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合价（元）</w:t>
            </w:r>
            <w:r/>
          </w:p>
        </w:tc>
      </w:tr>
      <w:tr>
        <w:trPr>
          <w:cantSplit/>
          <w:jc w:val="center"/>
          <w:trHeight w:val="482"/>
        </w:trPr>
        <w:tc>
          <w:tcPr>
            <w:tcW w:w="656" w:type="dxa"/>
            <w:vAlign w:val="top"/>
            <w:textDirection w:val="lrTb"/>
            <w:noWrap w:val="false"/>
          </w:tcPr>
          <w:p>
            <w:pPr>
              <w:pStyle w:val="92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2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2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92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926"/>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8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536"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top"/>
            <w:textDirection w:val="lrTb"/>
            <w:noWrap w:val="false"/>
          </w:tcPr>
          <w:p>
            <w:pPr>
              <w:pStyle w:val="926"/>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926"/>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836" w:type="dxa"/>
            <w:vAlign w:val="center"/>
            <w:textDirection w:val="lrTb"/>
            <w:noWrap w:val="false"/>
          </w:tcPr>
          <w:p>
            <w:pPr>
              <w:pStyle w:val="926"/>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536" w:type="dxa"/>
            <w:vAlign w:val="center"/>
            <w:textDirection w:val="lrTb"/>
            <w:noWrap w:val="false"/>
          </w:tcPr>
          <w:p>
            <w:pPr>
              <w:pStyle w:val="926"/>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5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80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926"/>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5"/>
            <w:tcW w:w="764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424" w:type="dxa"/>
            <w:vAlign w:val="center"/>
            <w:textDirection w:val="lrTb"/>
            <w:noWrap w:val="false"/>
          </w:tcPr>
          <w:p>
            <w:pPr>
              <w:pStyle w:val="926"/>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40"/>
        </w:trPr>
        <w:tc>
          <w:tcPr>
            <w:gridSpan w:val="2"/>
            <w:tcW w:w="2492" w:type="dxa"/>
            <w:vAlign w:val="center"/>
            <w:textDirection w:val="lrTb"/>
            <w:noWrap w:val="false"/>
          </w:tcPr>
          <w:p>
            <w:pPr>
              <w:pStyle w:val="926"/>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926"/>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232" w:type="dxa"/>
            <w:vAlign w:val="center"/>
            <w:textDirection w:val="lrTb"/>
            <w:noWrap w:val="false"/>
          </w:tcPr>
          <w:p>
            <w:pPr>
              <w:pStyle w:val="92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92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926"/>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1640"/>
        </w:trPr>
        <w:tc>
          <w:tcPr>
            <w:gridSpan w:val="7"/>
            <w:tcW w:w="9724" w:type="dxa"/>
            <w:vAlign w:val="center"/>
            <w:textDirection w:val="lrTb"/>
            <w:noWrap w:val="false"/>
          </w:tcPr>
          <w:p>
            <w:pPr>
              <w:pStyle w:val="926"/>
              <w:spacing w:line="360" w:lineRule="auto"/>
              <w:rPr>
                <w:rFonts w:hint="eastAsia" w:ascii="仿宋_GB2312" w:eastAsia="仿宋_GB2312"/>
                <w:b/>
                <w:bCs/>
                <w:color w:val="auto"/>
                <w:sz w:val="24"/>
                <w:highlight w:val="none"/>
                <w:u w:val="single"/>
              </w:rPr>
            </w:pPr>
            <w:r/>
            <w:bookmarkStart w:id="110" w:name="_Toc514054496"/>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tc>
      </w:tr>
    </w:tbl>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08"/>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t xml:space="preserve">注：</w:t>
      </w:r>
      <w:r>
        <w:rPr>
          <w:rFonts w:hint="eastAsia" w:ascii="仿宋_GB2312" w:eastAsia="仿宋_GB2312"/>
          <w:color w:val="auto"/>
          <w:sz w:val="24"/>
          <w:highlight w:val="none"/>
          <w:lang w:val="en-US" w:eastAsia="zh-CN"/>
        </w:rPr>
        <w:t xml:space="preserve">1、</w:t>
      </w:r>
      <w:r>
        <w:rPr>
          <w:rFonts w:hint="eastAsia" w:ascii="仿宋_GB2312" w:eastAsia="仿宋_GB2312"/>
          <w:color w:val="auto"/>
          <w:sz w:val="24"/>
          <w:highlight w:val="none"/>
        </w:rPr>
        <w:t xml:space="preserve">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908"/>
        <w:ind w:firstLine="629"/>
        <w:keepLines w:val="0"/>
        <w:keepNext w:val="0"/>
        <w:pageBreakBefore w:val="0"/>
        <w:spacing w:line="36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2、</w:t>
      </w:r>
      <w:r>
        <w:rPr>
          <w:rFonts w:hint="eastAsia" w:ascii="仿宋_GB2312" w:eastAsia="仿宋_GB2312"/>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90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27"/>
        <w:spacing w:line="360" w:lineRule="auto"/>
        <w:rPr>
          <w:color w:val="auto"/>
          <w:highlight w:val="none"/>
        </w:rPr>
        <w:outlineLvl w:val="1"/>
      </w:pPr>
      <w:r>
        <w:rPr>
          <w:color w:val="auto"/>
          <w:highlight w:val="none"/>
        </w:rPr>
      </w:r>
      <w:r/>
    </w:p>
    <w:p>
      <w:pPr>
        <w:pStyle w:val="900"/>
        <w:keepLines w:val="0"/>
        <w:keepNext w:val="0"/>
        <w:pageBreakBefore w:val="0"/>
        <w:spacing w:after="100" w:afterAutospacing="1" w:line="3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27"/>
        <w:ind w:firstLine="0"/>
        <w:spacing w:line="360" w:lineRule="auto"/>
        <w:rPr>
          <w:rFonts w:cs="Times New Roman"/>
          <w:color w:val="auto"/>
          <w:highlight w:val="none"/>
        </w:rPr>
        <w:outlineLvl w:val="1"/>
      </w:pPr>
      <w:r>
        <w:rPr>
          <w:rFonts w:hint="eastAsia" w:cs="Times New Roman"/>
          <w:color w:val="auto"/>
          <w:highlight w:val="none"/>
          <w:lang w:val="en-US" w:eastAsia="zh-CN"/>
        </w:rPr>
        <w:t xml:space="preserve">十一、</w:t>
      </w:r>
      <w:r>
        <w:rPr>
          <w:rFonts w:hint="eastAsia" w:cs="Times New Roman"/>
          <w:color w:val="auto"/>
          <w:highlight w:val="none"/>
        </w:rPr>
        <w:t xml:space="preserve">关于符合本国产品标准的声明函</w:t>
      </w:r>
      <w:r/>
    </w:p>
    <w:p>
      <w:pPr>
        <w:pStyle w:val="727"/>
        <w:ind w:left="0" w:firstLine="420"/>
        <w:jc w:val="both"/>
        <w:keepLines w:val="0"/>
        <w:keepNext w:val="0"/>
        <w:spacing w:before="0" w:beforeAutospacing="0" w:after="0" w:afterAutospacing="0"/>
        <w:widowControl w:val="off"/>
        <w:rPr>
          <w:rFonts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r>
      <w:r/>
    </w:p>
    <w:p>
      <w:pPr>
        <w:pStyle w:val="727"/>
        <w:ind w:left="0" w:firstLine="420"/>
        <w:jc w:val="both"/>
        <w:keepLines w:val="0"/>
        <w:keepNext w:val="0"/>
        <w:spacing w:before="0" w:beforeAutospacing="0" w:after="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27"/>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27"/>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27"/>
        <w:ind w:left="0" w:firstLine="420"/>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27"/>
        <w:jc w:val="both"/>
        <w:keepLines w:val="0"/>
        <w:keepNext w:val="0"/>
        <w:spacing w:before="30" w:beforeAutospacing="0" w:after="30" w:afterAutospacing="0"/>
        <w:widowControl w:val="off"/>
        <w:rPr>
          <w:rFonts w:hint="default" w:eastAsia="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p>
    <w:p>
      <w:pPr>
        <w:pStyle w:val="727"/>
        <w:ind w:left="0" w:right="480" w:firstLine="5228"/>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27"/>
        <w:jc w:val="center"/>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27"/>
        <w:jc w:val="both"/>
        <w:keepLines w:val="0"/>
        <w:keepNext w:val="0"/>
        <w:spacing w:before="30" w:beforeAutospacing="0" w:after="30" w:afterAutospacing="0"/>
        <w:widowControl w:val="off"/>
        <w:rPr>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27"/>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727"/>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27"/>
        <w:ind w:firstLine="0"/>
        <w:spacing w:line="360" w:lineRule="auto"/>
        <w:rPr>
          <w:color w:val="auto"/>
          <w:highlight w:val="none"/>
        </w:rPr>
        <w:outlineLvl w:val="1"/>
      </w:pPr>
      <w:r>
        <w:rPr>
          <w:color w:val="auto"/>
          <w:highlight w:val="none"/>
        </w:rPr>
        <w:br w:type="page" w:clear="all"/>
      </w:r>
      <w:bookmarkStart w:id="111" w:name="_Toc10632"/>
      <w:r/>
      <w:r/>
    </w:p>
    <w:p>
      <w:pPr>
        <w:pStyle w:val="927"/>
        <w:ind w:firstLine="0"/>
        <w:spacing w:line="360" w:lineRule="auto"/>
        <w:rPr>
          <w:rStyle w:val="928"/>
          <w:rFonts w:hint="eastAsia" w:ascii="楷体" w:hAnsi="楷体" w:eastAsia="楷体" w:cs="楷体"/>
          <w:b/>
          <w:color w:val="auto"/>
          <w:sz w:val="32"/>
          <w:szCs w:val="32"/>
          <w:highlight w:val="none"/>
        </w:rPr>
        <w:outlineLvl w:val="1"/>
      </w:pPr>
      <w:r>
        <w:rPr>
          <w:color w:val="auto"/>
          <w:highlight w:val="none"/>
        </w:rPr>
        <w:t xml:space="preserve">十</w:t>
      </w:r>
      <w:r>
        <w:rPr>
          <w:rFonts w:hint="eastAsia"/>
          <w:color w:val="auto"/>
          <w:highlight w:val="none"/>
          <w:lang w:val="en-US" w:eastAsia="zh-CN"/>
        </w:rPr>
        <w:t xml:space="preserve">二</w:t>
      </w:r>
      <w:r>
        <w:rPr>
          <w:color w:val="auto"/>
          <w:highlight w:val="none"/>
        </w:rPr>
        <w:t xml:space="preserve">、中小企业声明函</w:t>
      </w:r>
      <w:bookmarkEnd w:id="110"/>
      <w:r/>
      <w:bookmarkEnd w:id="111"/>
      <w:r/>
      <w:r/>
    </w:p>
    <w:p>
      <w:pPr>
        <w:jc w:val="center"/>
        <w:spacing w:line="360" w:lineRule="auto"/>
        <w:rPr>
          <w:rStyle w:val="928"/>
          <w:rFonts w:hint="eastAsia" w:ascii="楷体" w:hAnsi="楷体" w:eastAsia="楷体" w:cs="楷体"/>
          <w:color w:val="auto"/>
          <w:sz w:val="32"/>
          <w:szCs w:val="32"/>
          <w:highlight w:val="none"/>
          <w:lang w:bidi="ar"/>
        </w:rPr>
      </w:pPr>
      <w:r>
        <w:rPr>
          <w:rFonts w:hint="eastAsia" w:ascii="楷体" w:hAnsi="楷体" w:eastAsia="楷体" w:cs="楷体"/>
          <w:color w:val="auto"/>
          <w:sz w:val="32"/>
          <w:szCs w:val="32"/>
          <w:highlight w:val="none"/>
          <w:lang w:bidi="ar"/>
        </w:rPr>
      </w:r>
      <w:r/>
    </w:p>
    <w:p>
      <w:pPr>
        <w:jc w:val="center"/>
        <w:spacing w:line="360" w:lineRule="auto"/>
        <w:rPr>
          <w:rStyle w:val="928"/>
          <w:rFonts w:hint="eastAsia" w:ascii="楷体" w:hAnsi="楷体" w:eastAsia="楷体" w:cs="楷体"/>
          <w:color w:val="auto"/>
          <w:sz w:val="32"/>
          <w:szCs w:val="32"/>
          <w:highlight w:val="none"/>
        </w:rPr>
      </w:pPr>
      <w:r>
        <w:rPr>
          <w:rStyle w:val="928"/>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727"/>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727"/>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727"/>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27"/>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727"/>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727"/>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727"/>
        <w:ind w:left="0" w:firstLine="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92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93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93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930"/>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931"/>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93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930"/>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931"/>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931"/>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90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32"/>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932"/>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933"/>
        <w:spacing w:line="360" w:lineRule="auto"/>
        <w:rPr>
          <w:color w:val="auto"/>
          <w:highlight w:val="none"/>
        </w:rPr>
      </w:pPr>
      <w:r>
        <w:rPr>
          <w:color w:val="auto"/>
          <w:highlight w:val="none"/>
        </w:rPr>
      </w:r>
      <w:r/>
    </w:p>
    <w:p>
      <w:pPr>
        <w:pStyle w:val="930"/>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930"/>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2" w:name="_Toc5876"/>
      <w:r/>
      <w:bookmarkEnd w:id="112"/>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3" w:name="_Toc16386"/>
      <w:r/>
      <w:bookmarkEnd w:id="113"/>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4" w:name="_Toc1060"/>
      <w:r/>
      <w:bookmarkEnd w:id="114"/>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rPr>
          <w:color w:val="auto"/>
          <w:highlight w:val="none"/>
        </w:rPr>
      </w:r>
      <w:r/>
    </w:p>
    <w:p>
      <w:pPr>
        <w:pStyle w:val="933"/>
        <w:spacing w:line="360" w:lineRule="auto"/>
        <w:rPr>
          <w:color w:val="auto"/>
          <w:highlight w:val="none"/>
        </w:rPr>
        <w:outlineLvl w:val="1"/>
      </w:pPr>
      <w:r/>
      <w:bookmarkStart w:id="115" w:name="_Toc514054497"/>
      <w:r/>
      <w:bookmarkStart w:id="116" w:name="_Toc16234"/>
      <w:r>
        <w:rPr>
          <w:color w:val="auto"/>
          <w:highlight w:val="none"/>
        </w:rPr>
        <w:t xml:space="preserve">十</w:t>
      </w:r>
      <w:r>
        <w:rPr>
          <w:rFonts w:hint="eastAsia"/>
          <w:color w:val="auto"/>
          <w:highlight w:val="none"/>
          <w:lang w:val="en-US" w:eastAsia="zh-CN"/>
        </w:rPr>
        <w:t xml:space="preserve">三</w:t>
      </w:r>
      <w:r>
        <w:rPr>
          <w:color w:val="auto"/>
          <w:highlight w:val="none"/>
        </w:rPr>
        <w:t xml:space="preserve">、响应偏差表</w:t>
      </w:r>
      <w:bookmarkEnd w:id="115"/>
      <w:r/>
      <w:bookmarkEnd w:id="116"/>
      <w:r/>
      <w:r/>
    </w:p>
    <w:p>
      <w:pPr>
        <w:pStyle w:val="934"/>
        <w:jc w:val="center"/>
        <w:spacing w:line="360" w:lineRule="auto"/>
        <w:rPr>
          <w:rFonts w:hint="eastAsia"/>
          <w:color w:val="auto"/>
          <w:sz w:val="32"/>
          <w:szCs w:val="32"/>
          <w:highlight w:val="none"/>
        </w:rPr>
      </w:pPr>
      <w:r/>
      <w:bookmarkStart w:id="117" w:name="_Toc29509_WPSOffice_Level2"/>
      <w:r/>
      <w:r/>
    </w:p>
    <w:p>
      <w:pPr>
        <w:pStyle w:val="934"/>
        <w:jc w:val="center"/>
        <w:spacing w:line="360" w:lineRule="auto"/>
        <w:rPr>
          <w:rFonts w:hint="eastAsia"/>
          <w:b/>
          <w:bCs/>
          <w:color w:val="auto"/>
          <w:sz w:val="32"/>
          <w:szCs w:val="32"/>
          <w:highlight w:val="none"/>
        </w:rPr>
      </w:pPr>
      <w:r>
        <w:rPr>
          <w:rFonts w:hint="eastAsia"/>
          <w:b/>
          <w:bCs/>
          <w:color w:val="auto"/>
          <w:sz w:val="32"/>
          <w:szCs w:val="32"/>
          <w:highlight w:val="none"/>
        </w:rPr>
        <w:t xml:space="preserve">（一）</w:t>
      </w:r>
      <w:bookmarkEnd w:id="117"/>
      <w:r>
        <w:rPr>
          <w:rFonts w:hint="eastAsia"/>
          <w:b/>
          <w:bCs/>
          <w:color w:val="auto"/>
          <w:sz w:val="32"/>
          <w:szCs w:val="32"/>
          <w:highlight w:val="none"/>
        </w:rPr>
        <w:t xml:space="preserve">技术要求响应及偏离表</w:t>
      </w:r>
      <w:r/>
    </w:p>
    <w:tbl>
      <w:tblPr>
        <w:tblStyle w:val="70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bl>
    <w:p>
      <w:pPr>
        <w:pStyle w:val="887"/>
        <w:ind w:firstLine="630"/>
        <w:jc w:val="both"/>
        <w:spacing w:beforeAutospacing="0" w:afterAutospacing="0"/>
        <w:rPr>
          <w:color w:val="auto"/>
          <w:highlight w:val="none"/>
        </w:rPr>
      </w:pPr>
      <w:r>
        <w:rPr>
          <w:rFonts w:hint="eastAsia" w:ascii="宋体" w:hAnsi="宋体" w:cs="宋体"/>
          <w:color w:val="auto"/>
          <w:sz w:val="21"/>
          <w:szCs w:val="21"/>
          <w:highlight w:val="none"/>
        </w:rPr>
        <w:t xml:space="preserve">注： 行数不够，可自行添加。</w:t>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7"/>
        <w:jc w:val="center"/>
        <w:spacing w:line="360" w:lineRule="auto"/>
        <w:rPr>
          <w:rFonts w:hint="eastAsia"/>
          <w:color w:val="auto"/>
          <w:highlight w:val="none"/>
        </w:rPr>
      </w:pPr>
      <w:r>
        <w:rPr>
          <w:rFonts w:hint="eastAsia"/>
          <w:color w:val="auto"/>
          <w:highlight w:val="none"/>
        </w:rPr>
      </w:r>
      <w:r/>
    </w:p>
    <w:p>
      <w:pPr>
        <w:pStyle w:val="934"/>
        <w:jc w:val="center"/>
        <w:spacing w:line="360" w:lineRule="auto"/>
        <w:rPr>
          <w:rFonts w:hint="eastAsia" w:ascii="Times New Roman" w:hAnsi="Times New Roman" w:eastAsia="宋体" w:cs="Times New Roman"/>
          <w:b/>
          <w:bCs/>
          <w:color w:val="auto"/>
          <w:sz w:val="32"/>
          <w:szCs w:val="32"/>
          <w:highlight w:val="none"/>
        </w:rPr>
      </w:pPr>
      <w:r/>
      <w:bookmarkStart w:id="118" w:name="_Toc514054498"/>
      <w:r/>
      <w:bookmarkStart w:id="119" w:name="_Toc3171_WPSOffice_Level2"/>
      <w:r/>
      <w:bookmarkStart w:id="120" w:name="_Toc9396"/>
      <w:r>
        <w:rPr>
          <w:rFonts w:hint="eastAsia" w:ascii="Times New Roman" w:hAnsi="Times New Roman" w:eastAsia="宋体" w:cs="Times New Roman"/>
          <w:b/>
          <w:bCs/>
          <w:color w:val="auto"/>
          <w:sz w:val="32"/>
          <w:szCs w:val="32"/>
          <w:highlight w:val="none"/>
          <w:lang w:eastAsia="zh-CN"/>
        </w:rPr>
        <w:t xml:space="preserve">（二）</w:t>
      </w:r>
      <w:bookmarkEnd w:id="118"/>
      <w:r/>
      <w:bookmarkEnd w:id="119"/>
      <w:r/>
      <w:bookmarkEnd w:id="120"/>
      <w:r/>
      <w:bookmarkStart w:id="121" w:name="OLE_LINK18"/>
      <w:r/>
      <w:bookmarkStart w:id="122" w:name="OLE_LINK24"/>
      <w:r>
        <w:rPr>
          <w:rFonts w:hint="eastAsia" w:ascii="Times New Roman" w:hAnsi="Times New Roman" w:eastAsia="宋体" w:cs="Times New Roman"/>
          <w:b/>
          <w:bCs/>
          <w:color w:val="auto"/>
          <w:sz w:val="32"/>
          <w:szCs w:val="32"/>
          <w:highlight w:val="none"/>
        </w:rPr>
        <w:t xml:space="preserve">商务要求响应及偏离表</w:t>
      </w:r>
      <w:bookmarkEnd w:id="121"/>
      <w:r/>
      <w:r/>
    </w:p>
    <w:tbl>
      <w:tblPr>
        <w:tblStyle w:val="70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bookmarkStart w:id="123" w:name="_Hlt26955064"/>
            <w:r/>
            <w:bookmarkStart w:id="124" w:name="_Hlt24879081"/>
            <w:r/>
            <w:bookmarkStart w:id="125" w:name="_Hlt26782999"/>
            <w:r/>
            <w:bookmarkStart w:id="126" w:name="_Hlt26955056"/>
            <w:r/>
            <w:bookmarkStart w:id="127" w:name="_Hlt26580838"/>
            <w:r/>
            <w:bookmarkStart w:id="128" w:name="_Hlt26671372"/>
            <w:r/>
            <w:bookmarkStart w:id="129" w:name="_Hlt26609391"/>
            <w:r/>
            <w:bookmarkStart w:id="130" w:name="_Hlt26671343"/>
            <w:r/>
            <w:bookmarkStart w:id="131" w:name="OLE_LINK23"/>
            <w:r>
              <w:rPr>
                <w:rFonts w:hint="eastAsia" w:ascii="宋体" w:hAnsi="宋体" w:cs="宋体"/>
                <w:color w:val="auto"/>
                <w:sz w:val="21"/>
                <w:szCs w:val="21"/>
                <w:highlight w:val="none"/>
              </w:rPr>
              <w:t xml:space="preserve">序号</w:t>
            </w:r>
            <w:bookmarkEnd w:id="123"/>
            <w:r/>
            <w:bookmarkEnd w:id="124"/>
            <w:r/>
            <w:bookmarkEnd w:id="125"/>
            <w:r/>
            <w:bookmarkEnd w:id="126"/>
            <w:r/>
            <w:bookmarkEnd w:id="127"/>
            <w:r/>
            <w:bookmarkEnd w:id="128"/>
            <w:r/>
            <w:bookmarkEnd w:id="129"/>
            <w:r/>
            <w:bookmarkEnd w:id="13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证明</w:t>
            </w:r>
            <w:r/>
          </w:p>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7"/>
              <w:jc w:val="center"/>
              <w:spacing w:beforeAutospacing="0" w:afterAutospacing="0"/>
              <w:rPr>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7"/>
              <w:jc w:val="center"/>
              <w:spacing w:beforeAutospacing="0" w:afterAutospacing="0"/>
              <w:rPr>
                <w:color w:val="auto"/>
                <w:sz w:val="21"/>
                <w:szCs w:val="21"/>
                <w:highlight w:val="none"/>
              </w:rPr>
            </w:pPr>
            <w:r>
              <w:rPr>
                <w:color w:val="auto"/>
                <w:sz w:val="21"/>
                <w:szCs w:val="21"/>
                <w:highlight w:val="none"/>
              </w:rPr>
              <w:t xml:space="preserve"> </w:t>
            </w:r>
            <w:bookmarkEnd w:id="131"/>
            <w:r/>
            <w:r/>
          </w:p>
        </w:tc>
      </w:tr>
    </w:tbl>
    <w:p>
      <w:pPr>
        <w:pStyle w:val="887"/>
        <w:ind w:firstLine="630"/>
        <w:jc w:val="both"/>
        <w:spacing w:beforeAutospacing="0" w:afterAutospacing="0"/>
        <w:rPr>
          <w:color w:val="auto"/>
          <w:sz w:val="21"/>
          <w:szCs w:val="21"/>
          <w:highlight w:val="none"/>
        </w:rPr>
      </w:pPr>
      <w:r>
        <w:rPr>
          <w:rFonts w:hint="eastAsia" w:ascii="宋体" w:hAnsi="宋体" w:cs="宋体"/>
          <w:color w:val="auto"/>
          <w:sz w:val="21"/>
          <w:szCs w:val="21"/>
          <w:highlight w:val="none"/>
        </w:rPr>
        <w:t xml:space="preserve">注： 行数不够，可自行添加。</w:t>
      </w:r>
      <w:bookmarkEnd w:id="122"/>
      <w:r/>
      <w:r/>
    </w:p>
    <w:p>
      <w:pPr>
        <w:pStyle w:val="934"/>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r>
      <w:r/>
    </w:p>
    <w:p>
      <w:pPr>
        <w:pStyle w:val="937"/>
        <w:spacing w:line="360" w:lineRule="auto"/>
        <w:rPr>
          <w:color w:val="auto"/>
          <w:highlight w:val="none"/>
        </w:rPr>
        <w:outlineLvl w:val="1"/>
      </w:pPr>
      <w:r/>
      <w:bookmarkStart w:id="132" w:name="_Toc514054500"/>
      <w:r>
        <w:rPr>
          <w:color w:val="auto"/>
          <w:highlight w:val="none"/>
        </w:rPr>
        <w:br w:type="page" w:clear="all"/>
      </w:r>
      <w:bookmarkStart w:id="133" w:name="_Toc14591"/>
      <w:r>
        <w:rPr>
          <w:color w:val="auto"/>
          <w:highlight w:val="none"/>
        </w:rPr>
        <w:t xml:space="preserve">十</w:t>
      </w:r>
      <w:r>
        <w:rPr>
          <w:rFonts w:hint="eastAsia"/>
          <w:color w:val="auto"/>
          <w:highlight w:val="none"/>
          <w:lang w:val="en-US" w:eastAsia="zh-CN"/>
        </w:rPr>
        <w:t xml:space="preserve">四</w:t>
      </w:r>
      <w:r>
        <w:rPr>
          <w:color w:val="auto"/>
          <w:highlight w:val="none"/>
        </w:rPr>
        <w:t xml:space="preserve">、所投产品技术资料或样本等</w:t>
      </w:r>
      <w:bookmarkEnd w:id="132"/>
      <w:r/>
      <w:bookmarkEnd w:id="133"/>
      <w:r/>
      <w:r/>
    </w:p>
    <w:p>
      <w:pPr>
        <w:pStyle w:val="938"/>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39"/>
        <w:spacing w:line="360" w:lineRule="auto"/>
        <w:rPr>
          <w:color w:val="auto"/>
          <w:highlight w:val="none"/>
        </w:rPr>
        <w:outlineLvl w:val="1"/>
      </w:pPr>
      <w:r>
        <w:rPr>
          <w:color w:val="auto"/>
          <w:highlight w:val="none"/>
        </w:rPr>
        <w:br w:type="page" w:clear="all"/>
      </w:r>
      <w:bookmarkStart w:id="134" w:name="_Toc514054501"/>
      <w:r/>
      <w:bookmarkStart w:id="135" w:name="_Toc23522_WPSOffice_Level2"/>
      <w:r/>
      <w:bookmarkStart w:id="136" w:name="_Toc27623"/>
      <w:r>
        <w:rPr>
          <w:color w:val="auto"/>
          <w:highlight w:val="none"/>
        </w:rPr>
        <w:t xml:space="preserve">十</w:t>
      </w:r>
      <w:r>
        <w:rPr>
          <w:rFonts w:hint="eastAsia"/>
          <w:color w:val="auto"/>
          <w:highlight w:val="none"/>
          <w:lang w:val="en-US" w:eastAsia="zh-CN"/>
        </w:rPr>
        <w:t xml:space="preserve">五</w:t>
      </w:r>
      <w:r>
        <w:rPr>
          <w:color w:val="auto"/>
          <w:highlight w:val="none"/>
        </w:rPr>
        <w:t xml:space="preserve">、主要部件、辅材明细表</w:t>
      </w:r>
      <w:bookmarkEnd w:id="134"/>
      <w:r/>
      <w:bookmarkEnd w:id="135"/>
      <w:r/>
      <w:bookmarkEnd w:id="136"/>
      <w:r/>
      <w:r/>
    </w:p>
    <w:p>
      <w:pPr>
        <w:pStyle w:val="940"/>
        <w:spacing w:line="360" w:lineRule="auto"/>
        <w:rPr>
          <w:rFonts w:hint="eastAsia"/>
          <w:color w:val="auto"/>
          <w:highlight w:val="none"/>
        </w:rPr>
      </w:pPr>
      <w:r>
        <w:rPr>
          <w:rFonts w:hint="eastAsia"/>
          <w:color w:val="auto"/>
          <w:highlight w:val="none"/>
        </w:rPr>
      </w:r>
      <w:r/>
    </w:p>
    <w:tbl>
      <w:tblPr>
        <w:tblStyle w:val="707"/>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41"/>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41"/>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41"/>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41"/>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41"/>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08"/>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908"/>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42"/>
        <w:spacing w:line="360" w:lineRule="auto"/>
        <w:rPr>
          <w:color w:val="auto"/>
          <w:highlight w:val="none"/>
        </w:rPr>
        <w:outlineLvl w:val="1"/>
      </w:pPr>
      <w:r>
        <w:rPr>
          <w:color w:val="auto"/>
          <w:highlight w:val="none"/>
        </w:rPr>
        <w:br w:type="page" w:clear="all"/>
      </w:r>
      <w:bookmarkStart w:id="137" w:name="_Toc25001_WPSOffice_Level2"/>
      <w:r/>
      <w:bookmarkStart w:id="138" w:name="_Toc15828"/>
      <w:r/>
      <w:bookmarkStart w:id="139" w:name="_Toc514054502"/>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lang w:val="en-US" w:eastAsia="zh-CN"/>
        </w:rPr>
        <w:t xml:space="preserve">服务</w:t>
      </w:r>
      <w:r>
        <w:rPr>
          <w:color w:val="auto"/>
          <w:highlight w:val="none"/>
        </w:rPr>
        <w:t xml:space="preserve">方案</w:t>
      </w:r>
      <w:bookmarkEnd w:id="137"/>
      <w:r/>
      <w:bookmarkEnd w:id="138"/>
      <w:r/>
      <w:bookmarkEnd w:id="139"/>
      <w:r/>
      <w:r/>
    </w:p>
    <w:p>
      <w:pPr>
        <w:pStyle w:val="943"/>
        <w:jc w:val="center"/>
        <w:spacing w:line="360" w:lineRule="auto"/>
        <w:rPr>
          <w:rFonts w:hint="eastAsia" w:ascii="宋体"/>
          <w:b/>
          <w:bCs/>
          <w:color w:val="auto"/>
          <w:sz w:val="32"/>
          <w:szCs w:val="32"/>
          <w:highlight w:val="none"/>
        </w:rPr>
      </w:pPr>
      <w:r/>
      <w:bookmarkStart w:id="140" w:name="_Toc2882_WPSOffice_Level2"/>
      <w:r>
        <w:rPr>
          <w:rFonts w:hint="eastAsia" w:ascii="宋体"/>
          <w:b/>
          <w:bCs/>
          <w:color w:val="auto"/>
          <w:sz w:val="32"/>
          <w:szCs w:val="32"/>
          <w:highlight w:val="none"/>
        </w:rPr>
        <w:t xml:space="preserve">按照招标文件要求，格式自拟</w:t>
      </w:r>
      <w:bookmarkEnd w:id="140"/>
      <w:r/>
      <w:r/>
    </w:p>
    <w:p>
      <w:pPr>
        <w:pStyle w:val="944"/>
        <w:spacing w:line="360" w:lineRule="auto"/>
        <w:rPr>
          <w:color w:val="auto"/>
          <w:highlight w:val="none"/>
        </w:rPr>
        <w:outlineLvl w:val="1"/>
      </w:pPr>
      <w:r>
        <w:rPr>
          <w:color w:val="auto"/>
          <w:highlight w:val="none"/>
        </w:rPr>
        <w:br w:type="page" w:clear="all"/>
      </w:r>
      <w:bookmarkStart w:id="141" w:name="_Toc514054504"/>
      <w:r/>
      <w:bookmarkStart w:id="142" w:name="_Toc5519"/>
      <w:r/>
      <w:bookmarkStart w:id="143" w:name="_Toc30208_WPSOffice_Level2"/>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、投标人项目业绩一览表</w:t>
      </w:r>
      <w:bookmarkEnd w:id="141"/>
      <w:r/>
      <w:bookmarkEnd w:id="142"/>
      <w:r/>
      <w:bookmarkEnd w:id="143"/>
      <w:r/>
      <w:r/>
    </w:p>
    <w:p>
      <w:pPr>
        <w:pStyle w:val="945"/>
        <w:jc w:val="center"/>
        <w:spacing w:line="360" w:lineRule="auto"/>
        <w:rPr>
          <w:b/>
          <w:color w:val="auto"/>
          <w:sz w:val="32"/>
          <w:szCs w:val="32"/>
          <w:highlight w:val="none"/>
        </w:rPr>
      </w:pPr>
      <w:r/>
      <w:bookmarkStart w:id="144" w:name="_Toc10294_WPSOffice_Level2"/>
      <w:r>
        <w:rPr>
          <w:rFonts w:hint="eastAsia"/>
          <w:b/>
          <w:color w:val="auto"/>
          <w:sz w:val="32"/>
          <w:szCs w:val="32"/>
          <w:highlight w:val="none"/>
        </w:rPr>
        <w:t xml:space="preserve">项目业绩一览表</w:t>
      </w:r>
      <w:bookmarkEnd w:id="144"/>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4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4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4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46"/>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46"/>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47"/>
        <w:spacing w:line="360" w:lineRule="auto"/>
        <w:rPr>
          <w:color w:val="auto"/>
          <w:highlight w:val="none"/>
        </w:rPr>
        <w:outlineLvl w:val="1"/>
      </w:pPr>
      <w:r>
        <w:rPr>
          <w:color w:val="auto"/>
          <w:highlight w:val="none"/>
        </w:rPr>
        <w:br w:type="page" w:clear="all"/>
      </w:r>
      <w:bookmarkStart w:id="145" w:name="_Toc30836_WPSOffice_Level2"/>
      <w:r/>
      <w:bookmarkStart w:id="146" w:name="_Toc514054505"/>
      <w:r/>
      <w:bookmarkStart w:id="147" w:name="_Toc502821163"/>
      <w:r/>
      <w:bookmarkStart w:id="148" w:name="_Toc15753"/>
      <w:r>
        <w:rPr>
          <w:color w:val="auto"/>
          <w:highlight w:val="none"/>
        </w:rPr>
        <w:t xml:space="preserve">十</w:t>
      </w:r>
      <w:r>
        <w:rPr>
          <w:rFonts w:hint="eastAsia"/>
          <w:color w:val="auto"/>
          <w:highlight w:val="none"/>
          <w:lang w:val="en-US" w:eastAsia="zh-CN"/>
        </w:rPr>
        <w:t xml:space="preserve">八</w:t>
      </w:r>
      <w:r>
        <w:rPr>
          <w:color w:val="auto"/>
          <w:highlight w:val="none"/>
        </w:rPr>
        <w:t xml:space="preserve">、投标所需其他材料</w:t>
      </w:r>
      <w:bookmarkEnd w:id="145"/>
      <w:r/>
      <w:bookmarkEnd w:id="146"/>
      <w:r/>
      <w:bookmarkEnd w:id="147"/>
      <w:r/>
      <w:bookmarkEnd w:id="148"/>
      <w:r/>
      <w:r/>
    </w:p>
    <w:p>
      <w:pPr>
        <w:pStyle w:val="948"/>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47"/>
        <w:spacing w:line="360" w:lineRule="auto"/>
        <w:rPr>
          <w:color w:val="auto"/>
          <w:highlight w:val="none"/>
        </w:rPr>
        <w:outlineLvl w:val="1"/>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方正仿宋_GBK">
    <w:panose1 w:val="020B0503020202020204"/>
  </w:font>
  <w:font w:name="Cambria">
    <w:panose1 w:val="02040503050406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733"/>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4"/>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5"/>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7"/>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8"/>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0"/>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1"/>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0"/>
    <w:semiHidden/>
    <w:qFormat/>
  </w:style>
  <w:style w:type="table" w:styleId="707" w:default="1">
    <w:name w:val="Normal Table"/>
    <w:uiPriority w:val="0"/>
    <w:semiHidden/>
    <w:qFormat/>
    <w:tblPr>
      <w:tblCellMar>
        <w:left w:w="108" w:type="dxa"/>
        <w:top w:w="0" w:type="dxa"/>
        <w:right w:w="108" w:type="dxa"/>
        <w:bottom w:w="0" w:type="dxa"/>
      </w:tblCellMar>
    </w:tblPr>
  </w:style>
  <w:style w:type="paragraph" w:styleId="708" w:customStyle="1">
    <w:name w:val="Default"/>
    <w:basedOn w:val="696"/>
    <w:uiPriority w:val="0"/>
    <w:qFormat/>
    <w:pPr>
      <w:jc w:val="left"/>
    </w:pPr>
    <w:rPr>
      <w:rFonts w:ascii="仿宋_GB2312" w:hAnsi="宋体" w:eastAsia="仿宋_GB2312" w:cs="Times New Roman"/>
      <w:color w:val="000000"/>
      <w:sz w:val="24"/>
    </w:rPr>
  </w:style>
  <w:style w:type="paragraph" w:styleId="709">
    <w:name w:val="toc 7"/>
    <w:basedOn w:val="696"/>
    <w:next w:val="696"/>
    <w:uiPriority w:val="39"/>
    <w:unhideWhenUsed/>
    <w:qFormat/>
    <w:pPr>
      <w:ind w:left="1701" w:right="0" w:firstLine="0"/>
      <w:spacing w:after="57"/>
    </w:pPr>
  </w:style>
  <w:style w:type="paragraph" w:styleId="710">
    <w:name w:val="Caption"/>
    <w:basedOn w:val="696"/>
    <w:next w:val="6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toa heading"/>
    <w:basedOn w:val="696"/>
    <w:next w:val="696"/>
    <w:uiPriority w:val="99"/>
    <w:unhideWhenUsed/>
    <w:qFormat/>
    <w:pPr>
      <w:spacing w:before="120"/>
    </w:pPr>
    <w:rPr>
      <w:rFonts w:ascii="Cambria" w:hAnsi="Cambria" w:eastAsia="宋体" w:cs="Times New Roman"/>
      <w:sz w:val="24"/>
      <w:szCs w:val="21"/>
    </w:rPr>
  </w:style>
  <w:style w:type="paragraph" w:styleId="712">
    <w:name w:val="Body Text"/>
    <w:basedOn w:val="696"/>
    <w:uiPriority w:val="0"/>
    <w:qFormat/>
    <w:pPr>
      <w:spacing w:line="60" w:lineRule="auto"/>
    </w:pPr>
    <w:rPr>
      <w:rFonts w:ascii="仿宋_GB2312" w:eastAsia="仿宋_GB2312"/>
      <w:sz w:val="32"/>
    </w:r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toc 8"/>
    <w:basedOn w:val="696"/>
    <w:next w:val="696"/>
    <w:uiPriority w:val="39"/>
    <w:unhideWhenUsed/>
    <w:qFormat/>
    <w:pPr>
      <w:ind w:left="1984" w:right="0" w:firstLine="0"/>
      <w:spacing w:after="57"/>
    </w:pPr>
  </w:style>
  <w:style w:type="paragraph" w:styleId="716">
    <w:name w:val="endnote text"/>
    <w:basedOn w:val="696"/>
    <w:link w:val="879"/>
    <w:uiPriority w:val="99"/>
    <w:semiHidden/>
    <w:unhideWhenUsed/>
    <w:qFormat/>
    <w:pPr>
      <w:spacing w:after="0" w:line="240" w:lineRule="auto"/>
    </w:pPr>
    <w:rPr>
      <w:sz w:val="20"/>
    </w:rPr>
  </w:style>
  <w:style w:type="paragraph" w:styleId="717">
    <w:name w:val="Footer"/>
    <w:basedOn w:val="696"/>
    <w:link w:val="752"/>
    <w:uiPriority w:val="99"/>
    <w:unhideWhenUsed/>
    <w:qFormat/>
    <w:pPr>
      <w:spacing w:after="0" w:line="240" w:lineRule="auto"/>
      <w:tabs>
        <w:tab w:val="center" w:pos="7143" w:leader="none"/>
        <w:tab w:val="right" w:pos="14287" w:leader="none"/>
      </w:tabs>
    </w:pPr>
  </w:style>
  <w:style w:type="paragraph" w:styleId="718">
    <w:name w:val="Header"/>
    <w:basedOn w:val="696"/>
    <w:link w:val="750"/>
    <w:uiPriority w:val="99"/>
    <w:unhideWhenUsed/>
    <w:qFormat/>
    <w:pPr>
      <w:spacing w:after="0" w:line="240" w:lineRule="auto"/>
      <w:tabs>
        <w:tab w:val="center" w:pos="7143" w:leader="none"/>
        <w:tab w:val="right" w:pos="14287" w:leader="none"/>
      </w:tabs>
    </w:pPr>
  </w:style>
  <w:style w:type="paragraph" w:styleId="719">
    <w:name w:val="toc 1"/>
    <w:basedOn w:val="696"/>
    <w:next w:val="696"/>
    <w:uiPriority w:val="39"/>
    <w:unhideWhenUsed/>
    <w:qFormat/>
    <w:pPr>
      <w:ind w:left="0" w:right="0" w:firstLine="0"/>
      <w:spacing w:after="57"/>
    </w:pPr>
  </w:style>
  <w:style w:type="paragraph" w:styleId="720">
    <w:name w:val="toc 4"/>
    <w:basedOn w:val="696"/>
    <w:next w:val="696"/>
    <w:uiPriority w:val="39"/>
    <w:unhideWhenUsed/>
    <w:qFormat/>
    <w:pPr>
      <w:ind w:left="850" w:right="0" w:firstLine="0"/>
      <w:spacing w:after="57"/>
    </w:pPr>
  </w:style>
  <w:style w:type="paragraph" w:styleId="721">
    <w:name w:val="Subtitle"/>
    <w:basedOn w:val="696"/>
    <w:next w:val="696"/>
    <w:link w:val="745"/>
    <w:uiPriority w:val="11"/>
    <w:qFormat/>
    <w:pPr>
      <w:spacing w:before="200" w:after="200"/>
    </w:pPr>
    <w:rPr>
      <w:sz w:val="24"/>
      <w:szCs w:val="24"/>
    </w:rPr>
  </w:style>
  <w:style w:type="paragraph" w:styleId="722">
    <w:name w:val="footnote text"/>
    <w:basedOn w:val="696"/>
    <w:link w:val="878"/>
    <w:uiPriority w:val="99"/>
    <w:semiHidden/>
    <w:unhideWhenUsed/>
    <w:qFormat/>
    <w:pPr>
      <w:spacing w:after="40" w:line="240" w:lineRule="auto"/>
    </w:pPr>
    <w:rPr>
      <w:sz w:val="18"/>
    </w:rPr>
  </w:style>
  <w:style w:type="paragraph" w:styleId="723">
    <w:name w:val="toc 6"/>
    <w:basedOn w:val="696"/>
    <w:next w:val="696"/>
    <w:uiPriority w:val="39"/>
    <w:unhideWhenUsed/>
    <w:qFormat/>
    <w:pPr>
      <w:ind w:left="1417" w:right="0" w:firstLine="0"/>
      <w:spacing w:after="57"/>
    </w:pPr>
  </w:style>
  <w:style w:type="paragraph" w:styleId="724">
    <w:name w:val="table of figures"/>
    <w:basedOn w:val="696"/>
    <w:next w:val="696"/>
    <w:uiPriority w:val="99"/>
    <w:unhideWhenUsed/>
    <w:qFormat/>
    <w:pPr>
      <w:spacing w:after="0" w:afterAutospacing="0"/>
    </w:pPr>
  </w:style>
  <w:style w:type="paragraph" w:styleId="725">
    <w:name w:val="toc 2"/>
    <w:basedOn w:val="696"/>
    <w:next w:val="696"/>
    <w:uiPriority w:val="39"/>
    <w:unhideWhenUsed/>
    <w:qFormat/>
    <w:pPr>
      <w:ind w:left="283" w:right="0" w:firstLine="0"/>
      <w:spacing w:after="57"/>
    </w:pPr>
  </w:style>
  <w:style w:type="paragraph" w:styleId="726">
    <w:name w:val="toc 9"/>
    <w:basedOn w:val="696"/>
    <w:next w:val="696"/>
    <w:uiPriority w:val="39"/>
    <w:unhideWhenUsed/>
    <w:qFormat/>
    <w:pPr>
      <w:ind w:left="2268" w:right="0" w:firstLine="0"/>
      <w:spacing w:after="57"/>
    </w:pPr>
  </w:style>
  <w:style w:type="paragraph" w:styleId="727">
    <w:name w:val="Normal (Web)"/>
    <w:basedOn w:val="696"/>
    <w:uiPriority w:val="0"/>
    <w:qFormat/>
    <w:pPr>
      <w:ind w:firstLine="562"/>
      <w:spacing w:beforeAutospacing="1" w:afterAutospacing="1"/>
    </w:pPr>
    <w:rPr>
      <w:b/>
      <w:sz w:val="28"/>
    </w:rPr>
  </w:style>
  <w:style w:type="paragraph" w:styleId="728">
    <w:name w:val="Title"/>
    <w:basedOn w:val="696"/>
    <w:next w:val="696"/>
    <w:link w:val="744"/>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basedOn w:val="706"/>
    <w:uiPriority w:val="99"/>
    <w:semiHidden/>
    <w:unhideWhenUsed/>
    <w:qFormat/>
    <w:rPr>
      <w:vertAlign w:val="superscript"/>
    </w:rPr>
  </w:style>
  <w:style w:type="character" w:styleId="731">
    <w:name w:val="Hyperlink"/>
    <w:uiPriority w:val="99"/>
    <w:unhideWhenUsed/>
    <w:qFormat/>
    <w:rPr>
      <w:color w:val="0026e5" w:themeColor="hyperlink"/>
      <w:u w:val="single"/>
      <w14:textFill>
        <w14:solidFill>
          <w14:schemeClr w14:val="hlink"/>
        </w14:solidFill>
      </w14:textFill>
    </w:rPr>
  </w:style>
  <w:style w:type="character" w:styleId="732">
    <w:name w:val="footnote reference"/>
    <w:basedOn w:val="706"/>
    <w:uiPriority w:val="99"/>
    <w:unhideWhenUsed/>
    <w:qFormat/>
    <w:rPr>
      <w:vertAlign w:val="superscript"/>
    </w:rPr>
  </w:style>
  <w:style w:type="character" w:styleId="733" w:customStyle="1">
    <w:name w:val="Heading 1 Char"/>
    <w:basedOn w:val="706"/>
    <w:link w:val="697"/>
    <w:uiPriority w:val="9"/>
    <w:qFormat/>
    <w:rPr>
      <w:rFonts w:ascii="Arial" w:hAnsi="Arial" w:eastAsia="Arial" w:cs="Arial"/>
      <w:sz w:val="40"/>
      <w:szCs w:val="40"/>
    </w:rPr>
  </w:style>
  <w:style w:type="character" w:styleId="734" w:customStyle="1">
    <w:name w:val="Heading 2 Char"/>
    <w:basedOn w:val="706"/>
    <w:link w:val="698"/>
    <w:uiPriority w:val="9"/>
    <w:qFormat/>
    <w:rPr>
      <w:rFonts w:ascii="Arial" w:hAnsi="Arial" w:eastAsia="Arial" w:cs="Arial"/>
      <w:sz w:val="34"/>
    </w:rPr>
  </w:style>
  <w:style w:type="character" w:styleId="735" w:customStyle="1">
    <w:name w:val="Heading 3 Char"/>
    <w:basedOn w:val="706"/>
    <w:link w:val="699"/>
    <w:uiPriority w:val="9"/>
    <w:qFormat/>
    <w:rPr>
      <w:rFonts w:ascii="Arial" w:hAnsi="Arial" w:eastAsia="Arial" w:cs="Arial"/>
      <w:sz w:val="30"/>
      <w:szCs w:val="30"/>
    </w:rPr>
  </w:style>
  <w:style w:type="character" w:styleId="736" w:customStyle="1">
    <w:name w:val="Heading 4 Char"/>
    <w:basedOn w:val="706"/>
    <w:link w:val="700"/>
    <w:uiPriority w:val="9"/>
    <w:qFormat/>
    <w:rPr>
      <w:rFonts w:ascii="Arial" w:hAnsi="Arial" w:eastAsia="Arial" w:cs="Arial"/>
      <w:b/>
      <w:bCs/>
      <w:sz w:val="26"/>
      <w:szCs w:val="26"/>
    </w:rPr>
  </w:style>
  <w:style w:type="character" w:styleId="737" w:customStyle="1">
    <w:name w:val="Heading 5 Char"/>
    <w:basedOn w:val="706"/>
    <w:link w:val="701"/>
    <w:uiPriority w:val="9"/>
    <w:qFormat/>
    <w:rPr>
      <w:rFonts w:ascii="Arial" w:hAnsi="Arial" w:eastAsia="Arial" w:cs="Arial"/>
      <w:b/>
      <w:bCs/>
      <w:sz w:val="24"/>
      <w:szCs w:val="24"/>
    </w:rPr>
  </w:style>
  <w:style w:type="character" w:styleId="738" w:customStyle="1">
    <w:name w:val="Heading 6 Char"/>
    <w:basedOn w:val="706"/>
    <w:link w:val="702"/>
    <w:uiPriority w:val="9"/>
    <w:qFormat/>
    <w:rPr>
      <w:rFonts w:ascii="Arial" w:hAnsi="Arial" w:eastAsia="Arial" w:cs="Arial"/>
      <w:b/>
      <w:bCs/>
      <w:sz w:val="22"/>
      <w:szCs w:val="22"/>
    </w:rPr>
  </w:style>
  <w:style w:type="character" w:styleId="739" w:customStyle="1">
    <w:name w:val="Heading 7 Char"/>
    <w:basedOn w:val="706"/>
    <w:link w:val="703"/>
    <w:uiPriority w:val="9"/>
    <w:qFormat/>
    <w:rPr>
      <w:rFonts w:ascii="Arial" w:hAnsi="Arial" w:eastAsia="Arial" w:cs="Arial"/>
      <w:b/>
      <w:bCs/>
      <w:i/>
      <w:iCs/>
      <w:sz w:val="22"/>
      <w:szCs w:val="22"/>
    </w:rPr>
  </w:style>
  <w:style w:type="character" w:styleId="740" w:customStyle="1">
    <w:name w:val="Heading 8 Char"/>
    <w:basedOn w:val="706"/>
    <w:link w:val="704"/>
    <w:uiPriority w:val="9"/>
    <w:qFormat/>
    <w:rPr>
      <w:rFonts w:ascii="Arial" w:hAnsi="Arial" w:eastAsia="Arial" w:cs="Arial"/>
      <w:i/>
      <w:iCs/>
      <w:sz w:val="22"/>
      <w:szCs w:val="22"/>
    </w:rPr>
  </w:style>
  <w:style w:type="character" w:styleId="741" w:customStyle="1">
    <w:name w:val="Heading 9 Char"/>
    <w:basedOn w:val="706"/>
    <w:link w:val="705"/>
    <w:uiPriority w:val="9"/>
    <w:qFormat/>
    <w:rPr>
      <w:rFonts w:ascii="Arial" w:hAnsi="Arial" w:eastAsia="Arial" w:cs="Arial"/>
      <w:i/>
      <w:iCs/>
      <w:sz w:val="21"/>
      <w:szCs w:val="21"/>
    </w:rPr>
  </w:style>
  <w:style w:type="paragraph" w:styleId="742">
    <w:name w:val="List Paragraph"/>
    <w:basedOn w:val="696"/>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basedOn w:val="706"/>
    <w:link w:val="728"/>
    <w:uiPriority w:val="10"/>
    <w:qFormat/>
    <w:rPr>
      <w:sz w:val="48"/>
      <w:szCs w:val="48"/>
    </w:rPr>
  </w:style>
  <w:style w:type="character" w:styleId="745" w:customStyle="1">
    <w:name w:val="Subtitle Char"/>
    <w:basedOn w:val="706"/>
    <w:link w:val="721"/>
    <w:uiPriority w:val="11"/>
    <w:qFormat/>
    <w:rPr>
      <w:sz w:val="24"/>
      <w:szCs w:val="24"/>
    </w:rPr>
  </w:style>
  <w:style w:type="paragraph" w:styleId="746">
    <w:name w:val="Quote"/>
    <w:basedOn w:val="696"/>
    <w:next w:val="696"/>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6"/>
    <w:next w:val="69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706"/>
    <w:link w:val="718"/>
    <w:uiPriority w:val="99"/>
    <w:qFormat/>
  </w:style>
  <w:style w:type="character" w:styleId="751" w:customStyle="1">
    <w:name w:val="Footer Char"/>
    <w:basedOn w:val="706"/>
    <w:link w:val="717"/>
    <w:uiPriority w:val="99"/>
    <w:qFormat/>
  </w:style>
  <w:style w:type="character" w:styleId="752" w:customStyle="1">
    <w:name w:val="Caption Char"/>
    <w:link w:val="717"/>
    <w:uiPriority w:val="99"/>
    <w:qFormat/>
  </w:style>
  <w:style w:type="table" w:styleId="753"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7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7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3"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7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7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2" w:customStyle="1">
    <w:name w:val="Grid Table 4 - Accent 2"/>
    <w:basedOn w:val="7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3" w:customStyle="1">
    <w:name w:val="Grid Table 4 - Accent 3"/>
    <w:basedOn w:val="7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4" w:customStyle="1">
    <w:name w:val="Grid Table 4 - Accent 4"/>
    <w:basedOn w:val="7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5" w:customStyle="1">
    <w:name w:val="Grid Table 4 - Accent 5"/>
    <w:basedOn w:val="7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6" w:customStyle="1">
    <w:name w:val="Grid Table 4 - Accent 6"/>
    <w:basedOn w:val="7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7"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9"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0"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1"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2"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3"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4"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7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7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8" w:customStyle="1">
    <w:name w:val="Grid Table 6 Colorful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7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0" w:customStyle="1">
    <w:name w:val="Grid Table 6 Colorful - Accent 6"/>
    <w:basedOn w:val="7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1"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7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7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7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7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7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7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7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7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7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7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7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7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5"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7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7" w:customStyle="1">
    <w:name w:val="List Table 2 - Accent 2"/>
    <w:basedOn w:val="7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8" w:customStyle="1">
    <w:name w:val="List Table 2 - Accent 3"/>
    <w:basedOn w:val="7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9" w:customStyle="1">
    <w:name w:val="List Table 2 - Accent 4"/>
    <w:basedOn w:val="7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0" w:customStyle="1">
    <w:name w:val="List Table 2 - Accent 5"/>
    <w:basedOn w:val="7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1" w:customStyle="1">
    <w:name w:val="List Table 2 - Accent 6"/>
    <w:basedOn w:val="70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2"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7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3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70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7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70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9"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7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1" w:customStyle="1">
    <w:name w:val="List Table 4 - Accent 2"/>
    <w:basedOn w:val="7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2" w:customStyle="1">
    <w:name w:val="List Table 4 - Accent 3"/>
    <w:basedOn w:val="7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3" w:customStyle="1">
    <w:name w:val="List Table 4 - Accent 4"/>
    <w:basedOn w:val="7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4" w:customStyle="1">
    <w:name w:val="List Table 4 - Accent 5"/>
    <w:basedOn w:val="7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5" w:customStyle="1">
    <w:name w:val="List Table 4 - Accent 6"/>
    <w:basedOn w:val="7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6"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7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7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7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7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7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7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7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5" w:customStyle="1">
    <w:name w:val="List Table 6 Colorful - Accent 2"/>
    <w:basedOn w:val="7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6" w:customStyle="1">
    <w:name w:val="List Table 6 Colorful - Accent 3"/>
    <w:basedOn w:val="7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7" w:customStyle="1">
    <w:name w:val="List Table 6 Colorful - Accent 4"/>
    <w:basedOn w:val="7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8" w:customStyle="1">
    <w:name w:val="List Table 6 Colorful - Accent 5"/>
    <w:basedOn w:val="7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9" w:customStyle="1">
    <w:name w:val="List Table 6 Colorful - Accent 6"/>
    <w:basedOn w:val="7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0"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7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7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7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7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7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7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0"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1"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7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6" w:customStyle="1">
    <w:name w:val="Bordered &amp; Lined - Accent 2"/>
    <w:basedOn w:val="70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7" w:customStyle="1">
    <w:name w:val="Bordered &amp; Lined - Accent 3"/>
    <w:basedOn w:val="7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8" w:customStyle="1">
    <w:name w:val="Bordered &amp; Lined - Accent 4"/>
    <w:basedOn w:val="7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9" w:customStyle="1">
    <w:name w:val="Bordered &amp; Lined - Accent 5"/>
    <w:basedOn w:val="7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0" w:customStyle="1">
    <w:name w:val="Bordered &amp; Lined - Accent 6"/>
    <w:basedOn w:val="70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1"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3" w:customStyle="1">
    <w:name w:val="Bordered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4" w:customStyle="1">
    <w:name w:val="Bordered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5" w:customStyle="1">
    <w:name w:val="Bordered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6" w:customStyle="1">
    <w:name w:val="Bordered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7" w:customStyle="1">
    <w:name w:val="Bordered - Accent 6"/>
    <w:basedOn w:val="7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8" w:customStyle="1">
    <w:name w:val="Footnote Text Char"/>
    <w:link w:val="722"/>
    <w:uiPriority w:val="99"/>
    <w:qFormat/>
    <w:rPr>
      <w:sz w:val="18"/>
    </w:rPr>
  </w:style>
  <w:style w:type="character" w:styleId="879" w:customStyle="1">
    <w:name w:val="Endnote Text Char"/>
    <w:link w:val="716"/>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正文文本1"/>
    <w:basedOn w:val="696"/>
    <w:uiPriority w:val="0"/>
    <w:qFormat/>
    <w:pPr>
      <w:spacing w:line="60" w:lineRule="auto"/>
    </w:pPr>
    <w:rPr>
      <w:rFonts w:ascii="仿宋_GB2312" w:eastAsia="仿宋_GB2312"/>
      <w:sz w:val="32"/>
    </w:rPr>
  </w:style>
  <w:style w:type="paragraph" w:styleId="882" w:customStyle="1">
    <w:name w:val="WPSOffice手动目录 1"/>
    <w:uiPriority w:val="0"/>
    <w:qFormat/>
    <w:rPr>
      <w:rFonts w:hint="default" w:ascii="Times New Roman" w:hAnsi="Times New Roman" w:eastAsia="宋体" w:cs="Times New Roman"/>
      <w:lang w:val="en-US" w:eastAsia="zh-CN" w:bidi="ar-SA"/>
    </w:rPr>
  </w:style>
  <w:style w:type="paragraph" w:styleId="883" w:customStyle="1">
    <w:name w:val="WPSOffice手动目录 2"/>
    <w:uiPriority w:val="0"/>
    <w:qFormat/>
    <w:rPr>
      <w:rFonts w:hint="default" w:ascii="Times New Roman" w:hAnsi="Times New Roman" w:eastAsia="宋体" w:cs="Times New Roman"/>
      <w:lang w:val="en-US" w:eastAsia="zh-CN" w:bidi="ar-SA"/>
    </w:rPr>
  </w:style>
  <w:style w:type="paragraph" w:styleId="884" w:customStyle="1">
    <w:name w:val="列出段落1"/>
    <w:basedOn w:val="696"/>
    <w:uiPriority w:val="99"/>
    <w:qFormat/>
    <w:pPr>
      <w:ind w:firstLine="200"/>
    </w:pPr>
    <w:rPr>
      <w:rFonts w:ascii="Calibri" w:hAnsi="Calibri"/>
      <w:szCs w:val="22"/>
    </w:rPr>
  </w:style>
  <w:style w:type="paragraph" w:styleId="885" w:customStyle="1">
    <w:name w:val="列出段落"/>
    <w:basedOn w:val="696"/>
    <w:uiPriority w:val="34"/>
    <w:qFormat/>
    <w:pPr>
      <w:ind w:firstLine="420"/>
    </w:pPr>
  </w:style>
  <w:style w:type="paragraph" w:styleId="886" w:customStyle="1">
    <w:name w:val="列出段落2"/>
    <w:basedOn w:val="696"/>
    <w:uiPriority w:val="0"/>
    <w:qFormat/>
    <w:pPr>
      <w:ind w:firstLine="420"/>
    </w:pPr>
    <w:rPr>
      <w:rFonts w:ascii="Times New Roman" w:hAnsi="Times New Roman" w:eastAsia="宋体" w:cs="Times New Roman"/>
    </w:rPr>
  </w:style>
  <w:style w:type="paragraph" w:styleId="887" w:customStyle="1">
    <w:name w:val="普通(网站)1"/>
    <w:basedOn w:val="696"/>
    <w:uiPriority w:val="0"/>
    <w:qFormat/>
    <w:pPr>
      <w:jc w:val="left"/>
      <w:spacing w:before="100" w:beforeAutospacing="1" w:after="100" w:afterAutospacing="1"/>
      <w:widowControl/>
    </w:pPr>
    <w:rPr>
      <w:rFonts w:ascii="宋体"/>
      <w:sz w:val="24"/>
      <w:szCs w:val="20"/>
    </w:rPr>
  </w:style>
  <w:style w:type="paragraph" w:styleId="888" w:customStyle="1">
    <w:name w:val="标题 21"/>
    <w:basedOn w:val="696"/>
    <w:next w:val="696"/>
    <w:uiPriority w:val="0"/>
    <w:qFormat/>
    <w:pPr>
      <w:keepLines/>
      <w:keepNext/>
      <w:spacing w:before="260" w:after="260" w:line="413" w:lineRule="auto"/>
      <w:outlineLvl w:val="1"/>
    </w:pPr>
    <w:rPr>
      <w:rFonts w:ascii="Arial" w:hAnsi="Arial" w:eastAsia="黑体"/>
      <w:b/>
      <w:sz w:val="32"/>
      <w:szCs w:val="20"/>
    </w:rPr>
  </w:style>
  <w:style w:type="paragraph" w:styleId="889" w:customStyle="1">
    <w:name w:val="Normal_0"/>
    <w:uiPriority w:val="0"/>
    <w:qFormat/>
    <w:rPr>
      <w:rFonts w:hint="default" w:ascii="黑体" w:hAnsi="黑体" w:eastAsia="黑体" w:cs="Times New Roman"/>
      <w:b/>
      <w:sz w:val="32"/>
      <w:szCs w:val="24"/>
      <w:lang w:bidi="ar-SA"/>
    </w:rPr>
  </w:style>
  <w:style w:type="paragraph" w:styleId="890" w:customStyle="1">
    <w:name w:val="正文文本缩进11"/>
    <w:basedOn w:val="696"/>
    <w:uiPriority w:val="0"/>
    <w:qFormat/>
    <w:pPr>
      <w:ind w:firstLine="225"/>
    </w:pPr>
    <w:rPr>
      <w:rFonts w:ascii="仿宋_GB2312" w:eastAsia="仿宋_GB2312"/>
      <w:sz w:val="32"/>
    </w:rPr>
  </w:style>
  <w:style w:type="paragraph" w:styleId="891" w:customStyle="1">
    <w:name w:val="普通正文"/>
    <w:basedOn w:val="696"/>
    <w:uiPriority w:val="0"/>
    <w:qFormat/>
    <w:pPr>
      <w:ind w:firstLine="425"/>
      <w:jc w:val="left"/>
    </w:pPr>
    <w:rPr>
      <w:rFonts w:ascii="宋体"/>
      <w:sz w:val="20"/>
      <w:szCs w:val="20"/>
    </w:rPr>
  </w:style>
  <w:style w:type="paragraph" w:styleId="892" w:customStyle="1">
    <w:name w:val="列出段落3"/>
    <w:basedOn w:val="696"/>
    <w:uiPriority w:val="0"/>
    <w:qFormat/>
    <w:pPr>
      <w:ind w:firstLine="420"/>
    </w:pPr>
    <w:rPr>
      <w:rFonts w:ascii="Times New Roman" w:hAnsi="Times New Roman" w:eastAsia="宋体" w:cs="Times New Roman"/>
      <w:szCs w:val="20"/>
    </w:rPr>
  </w:style>
  <w:style w:type="character" w:styleId="893" w:customStyle="1">
    <w:name w:val="NormalCharacter1"/>
    <w:link w:val="696"/>
    <w:uiPriority w:val="0"/>
    <w:semiHidden/>
    <w:qFormat/>
    <w:rPr>
      <w:rFonts w:hint="default" w:ascii="Times New Roman" w:hAnsi="Times New Roman" w:eastAsia="宋体" w:cs="Times New Roman"/>
      <w:sz w:val="21"/>
      <w:szCs w:val="22"/>
      <w:lang w:val="en-US" w:eastAsia="zh-CN" w:bidi="ar-SA"/>
    </w:rPr>
  </w:style>
  <w:style w:type="character" w:styleId="894" w:customStyle="1">
    <w:name w:val="wyg1"/>
    <w:link w:val="696"/>
    <w:uiPriority w:val="0"/>
    <w:qFormat/>
    <w:rPr>
      <w:color w:val="000000"/>
      <w:sz w:val="20"/>
      <w:szCs w:val="20"/>
      <w:u w:val="none"/>
    </w:rPr>
  </w:style>
  <w:style w:type="character" w:styleId="895" w:customStyle="1">
    <w:name w:val="s141"/>
    <w:link w:val="696"/>
    <w:uiPriority w:val="0"/>
    <w:qFormat/>
    <w:rPr>
      <w:rFonts w:ascii="_x000B__x000C_" w:hAnsi="_x000B__x000C_"/>
      <w:sz w:val="21"/>
      <w:szCs w:val="21"/>
    </w:rPr>
  </w:style>
  <w:style w:type="paragraph" w:styleId="896" w:customStyle="1">
    <w:name w:val="纯文本11"/>
    <w:basedOn w:val="696"/>
    <w:uiPriority w:val="0"/>
    <w:qFormat/>
    <w:rPr>
      <w:rFonts w:ascii="宋体"/>
      <w:szCs w:val="21"/>
    </w:rPr>
  </w:style>
  <w:style w:type="paragraph" w:styleId="897" w:customStyle="1">
    <w:name w:val="Normal_0_3"/>
    <w:uiPriority w:val="0"/>
    <w:qFormat/>
    <w:rPr>
      <w:rFonts w:hint="default" w:ascii="黑体" w:hAnsi="黑体" w:eastAsia="黑体" w:cs="Times New Roman"/>
      <w:b/>
      <w:sz w:val="32"/>
      <w:szCs w:val="24"/>
      <w:lang w:bidi="ar-SA"/>
    </w:rPr>
  </w:style>
  <w:style w:type="paragraph" w:styleId="898"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customStyle="1">
    <w:name w:val="Normal_0_2"/>
    <w:uiPriority w:val="0"/>
    <w:qFormat/>
    <w:rPr>
      <w:rFonts w:hint="default" w:ascii="黑体" w:hAnsi="黑体" w:eastAsia="黑体" w:cs="Times New Roman"/>
      <w:b/>
      <w:sz w:val="32"/>
      <w:szCs w:val="24"/>
      <w:lang w:bidi="ar-SA"/>
    </w:rPr>
  </w:style>
  <w:style w:type="paragraph" w:styleId="900" w:customStyle="1">
    <w:name w:val="Normal_1_2"/>
    <w:uiPriority w:val="0"/>
    <w:qFormat/>
    <w:rPr>
      <w:rFonts w:hint="default" w:ascii="Times New Roman" w:hAnsi="Times New Roman" w:eastAsia="Times New Roman" w:cs="Times New Roman"/>
      <w:sz w:val="24"/>
      <w:szCs w:val="24"/>
      <w:lang w:bidi="ar-SA"/>
    </w:rPr>
  </w:style>
  <w:style w:type="paragraph" w:styleId="901" w:customStyle="1">
    <w:name w:val="Normal_0_1"/>
    <w:uiPriority w:val="0"/>
    <w:qFormat/>
    <w:rPr>
      <w:rFonts w:hint="default" w:ascii="黑体" w:hAnsi="黑体" w:eastAsia="黑体" w:cs="Times New Roman"/>
      <w:b/>
      <w:sz w:val="32"/>
      <w:szCs w:val="24"/>
      <w:lang w:bidi="ar-SA"/>
    </w:rPr>
  </w:style>
  <w:style w:type="paragraph" w:styleId="90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3" w:customStyle="1">
    <w:name w:val="Normal_1_1"/>
    <w:uiPriority w:val="0"/>
    <w:qFormat/>
    <w:rPr>
      <w:rFonts w:hint="default" w:ascii="黑体" w:hAnsi="黑体" w:eastAsia="黑体" w:cs="Times New Roman"/>
      <w:b/>
      <w:sz w:val="32"/>
      <w:szCs w:val="24"/>
      <w:lang w:bidi="ar-SA"/>
    </w:rPr>
  </w:style>
  <w:style w:type="paragraph" w:styleId="904" w:customStyle="1">
    <w:name w:val="Normal_2_0"/>
    <w:uiPriority w:val="0"/>
    <w:qFormat/>
    <w:rPr>
      <w:rFonts w:hint="default" w:ascii="黑体" w:hAnsi="黑体" w:eastAsia="黑体" w:cs="Times New Roman"/>
      <w:b/>
      <w:sz w:val="32"/>
      <w:szCs w:val="24"/>
      <w:lang w:bidi="ar-SA"/>
    </w:rPr>
  </w:style>
  <w:style w:type="paragraph" w:styleId="90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6" w:customStyle="1">
    <w:name w:val="Normal_3_0"/>
    <w:uiPriority w:val="0"/>
    <w:qFormat/>
    <w:rPr>
      <w:rFonts w:hint="default" w:ascii="黑体" w:hAnsi="黑体" w:eastAsia="黑体" w:cs="Times New Roman"/>
      <w:b/>
      <w:sz w:val="32"/>
      <w:szCs w:val="24"/>
      <w:lang w:bidi="ar-SA"/>
    </w:rPr>
  </w:style>
  <w:style w:type="paragraph" w:styleId="90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8"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09"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0" w:customStyle="1">
    <w:name w:val="Normal_4_0"/>
    <w:uiPriority w:val="0"/>
    <w:qFormat/>
    <w:rPr>
      <w:rFonts w:hint="default" w:ascii="黑体" w:hAnsi="黑体" w:eastAsia="黑体" w:cs="Times New Roman"/>
      <w:b/>
      <w:sz w:val="32"/>
      <w:szCs w:val="24"/>
      <w:lang w:bidi="ar-SA"/>
    </w:rPr>
  </w:style>
  <w:style w:type="paragraph" w:styleId="911" w:customStyle="1">
    <w:name w:val="Normal_5_0"/>
    <w:uiPriority w:val="0"/>
    <w:qFormat/>
    <w:rPr>
      <w:rFonts w:hint="default" w:ascii="黑体" w:hAnsi="黑体" w:eastAsia="黑体" w:cs="Times New Roman"/>
      <w:b/>
      <w:sz w:val="32"/>
      <w:szCs w:val="24"/>
      <w:lang w:bidi="ar-SA"/>
    </w:rPr>
  </w:style>
  <w:style w:type="paragraph" w:styleId="912"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91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4" w:customStyle="1">
    <w:name w:val="Normal_6_0"/>
    <w:uiPriority w:val="0"/>
    <w:qFormat/>
    <w:rPr>
      <w:rFonts w:hint="default" w:ascii="黑体" w:hAnsi="黑体" w:eastAsia="黑体" w:cs="Times New Roman"/>
      <w:b/>
      <w:sz w:val="32"/>
      <w:szCs w:val="24"/>
      <w:lang w:bidi="ar-SA"/>
    </w:rPr>
  </w:style>
  <w:style w:type="paragraph" w:styleId="915"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Normal_7_0"/>
    <w:uiPriority w:val="0"/>
    <w:qFormat/>
    <w:rPr>
      <w:rFonts w:hint="default" w:ascii="黑体" w:hAnsi="黑体" w:eastAsia="黑体" w:cs="Times New Roman"/>
      <w:b/>
      <w:sz w:val="32"/>
      <w:szCs w:val="24"/>
      <w:lang w:bidi="ar-SA"/>
    </w:rPr>
  </w:style>
  <w:style w:type="paragraph" w:styleId="91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1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2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4" w:customStyle="1">
    <w:name w:val="Normal_8_0"/>
    <w:uiPriority w:val="0"/>
    <w:qFormat/>
    <w:rPr>
      <w:rFonts w:hint="default" w:ascii="黑体" w:hAnsi="黑体" w:eastAsia="黑体" w:cs="Times New Roman"/>
      <w:b/>
      <w:sz w:val="32"/>
      <w:szCs w:val="24"/>
      <w:lang w:bidi="ar-SA"/>
    </w:rPr>
  </w:style>
  <w:style w:type="paragraph" w:styleId="925" w:customStyle="1">
    <w:name w:val="Normal_10_0"/>
    <w:uiPriority w:val="0"/>
    <w:qFormat/>
    <w:rPr>
      <w:rFonts w:hint="default" w:ascii="黑体" w:hAnsi="黑体" w:eastAsia="黑体" w:cs="Times New Roman"/>
      <w:b/>
      <w:sz w:val="32"/>
      <w:szCs w:val="24"/>
      <w:lang w:bidi="ar-SA"/>
    </w:rPr>
  </w:style>
  <w:style w:type="paragraph" w:styleId="92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7" w:customStyle="1">
    <w:name w:val="Normal_11_0"/>
    <w:uiPriority w:val="0"/>
    <w:qFormat/>
    <w:rPr>
      <w:rFonts w:hint="default" w:ascii="黑体" w:hAnsi="黑体" w:eastAsia="黑体" w:cs="Times New Roman"/>
      <w:b/>
      <w:sz w:val="32"/>
      <w:szCs w:val="24"/>
      <w:lang w:bidi="ar-SA"/>
    </w:rPr>
  </w:style>
  <w:style w:type="character" w:styleId="928" w:customStyle="1">
    <w:name w:val="要点1"/>
    <w:link w:val="696"/>
    <w:uiPriority w:val="0"/>
    <w:qFormat/>
    <w:rPr>
      <w:b/>
    </w:rPr>
  </w:style>
  <w:style w:type="paragraph" w:styleId="929" w:customStyle="1">
    <w:name w:val="标题 41"/>
    <w:basedOn w:val="696"/>
    <w:next w:val="69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3" w:customStyle="1">
    <w:name w:val="Normal_12_0"/>
    <w:uiPriority w:val="0"/>
    <w:qFormat/>
    <w:rPr>
      <w:rFonts w:hint="default" w:ascii="黑体" w:hAnsi="黑体" w:eastAsia="黑体" w:cs="Times New Roman"/>
      <w:b/>
      <w:sz w:val="32"/>
      <w:szCs w:val="24"/>
      <w:lang w:bidi="ar-SA"/>
    </w:rPr>
  </w:style>
  <w:style w:type="paragraph" w:styleId="93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5" w:customStyle="1">
    <w:name w:val="纯文本_0_0"/>
    <w:basedOn w:val="934"/>
    <w:uiPriority w:val="0"/>
    <w:unhideWhenUsed/>
    <w:qFormat/>
    <w:rPr>
      <w:rFonts w:ascii="宋体" w:hAnsi="Courier New"/>
      <w:szCs w:val="21"/>
    </w:rPr>
  </w:style>
  <w:style w:type="paragraph" w:styleId="936"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Normal_13_0"/>
    <w:uiPriority w:val="0"/>
    <w:qFormat/>
    <w:rPr>
      <w:rFonts w:hint="default" w:ascii="黑体" w:hAnsi="黑体" w:eastAsia="黑体" w:cs="Times New Roman"/>
      <w:b/>
      <w:sz w:val="32"/>
      <w:szCs w:val="24"/>
      <w:lang w:bidi="ar-SA"/>
    </w:rPr>
  </w:style>
  <w:style w:type="paragraph" w:styleId="93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9" w:customStyle="1">
    <w:name w:val="Normal_14_0"/>
    <w:uiPriority w:val="0"/>
    <w:qFormat/>
    <w:rPr>
      <w:rFonts w:hint="default" w:ascii="黑体" w:hAnsi="黑体" w:eastAsia="黑体" w:cs="Times New Roman"/>
      <w:b/>
      <w:sz w:val="32"/>
      <w:szCs w:val="24"/>
      <w:lang w:bidi="ar-SA"/>
    </w:rPr>
  </w:style>
  <w:style w:type="paragraph" w:styleId="940"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Normal_15_0"/>
    <w:uiPriority w:val="0"/>
    <w:qFormat/>
    <w:rPr>
      <w:rFonts w:hint="default" w:ascii="黑体" w:hAnsi="黑体" w:eastAsia="黑体" w:cs="Times New Roman"/>
      <w:b/>
      <w:sz w:val="32"/>
      <w:szCs w:val="24"/>
      <w:lang w:bidi="ar-SA"/>
    </w:rPr>
  </w:style>
  <w:style w:type="paragraph" w:styleId="943"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Normal_17_0"/>
    <w:uiPriority w:val="0"/>
    <w:qFormat/>
    <w:rPr>
      <w:rFonts w:hint="default" w:ascii="黑体" w:hAnsi="黑体" w:eastAsia="黑体" w:cs="Times New Roman"/>
      <w:b/>
      <w:sz w:val="32"/>
      <w:szCs w:val="24"/>
      <w:lang w:bidi="ar-SA"/>
    </w:rPr>
  </w:style>
  <w:style w:type="paragraph" w:styleId="945"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Normal_18_0"/>
    <w:uiPriority w:val="0"/>
    <w:qFormat/>
    <w:rPr>
      <w:rFonts w:hint="default" w:ascii="黑体" w:hAnsi="黑体" w:eastAsia="黑体" w:cs="Times New Roman"/>
      <w:b/>
      <w:sz w:val="32"/>
      <w:szCs w:val="24"/>
      <w:lang w:bidi="ar-SA"/>
    </w:rPr>
  </w:style>
  <w:style w:type="paragraph" w:styleId="94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9" w:customStyle="1">
    <w:name w:val="页脚11"/>
    <w:basedOn w:val="696"/>
    <w:uiPriority w:val="99"/>
    <w:qFormat/>
    <w:pPr>
      <w:jc w:val="left"/>
      <w:tabs>
        <w:tab w:val="center" w:pos="4153" w:leader="none"/>
        <w:tab w:val="right" w:pos="8306" w:leader="none"/>
      </w:tabs>
    </w:pPr>
    <w:rPr>
      <w:rFonts w:ascii="Calibri" w:hAnsi="Calibri"/>
      <w:sz w:val="18"/>
      <w:szCs w:val="18"/>
    </w:rPr>
  </w:style>
  <w:style w:type="paragraph" w:styleId="950" w:customStyle="1">
    <w:name w:val="null3"/>
    <w:hidden/>
    <w:uiPriority w:val="0"/>
    <w:qFormat/>
    <w:rPr>
      <w:rFonts w:hint="eastAsia" w:asciiTheme="minorHAnsi" w:hAnsiTheme="minorHAnsi" w:eastAsiaTheme="minorEastAsia" w:cstheme="minorBidi"/>
      <w:lang w:val="en-US" w:eastAsia="zh-Hans"/>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戴婷</cp:lastModifiedBy>
  <cp:revision>8</cp:revision>
  <dcterms:created xsi:type="dcterms:W3CDTF">2025-11-27T05:31:00Z</dcterms:created>
  <dcterms:modified xsi:type="dcterms:W3CDTF">2026-04-30T07:11:14Z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eyJoZGlkIjoiMzEwNTM5NzYwMDRjMzkwZTVkZjY2ODkwMGIxNGU0OTUiLCJ1c2VySWQiOiI3NTE1MTQxNjcifQ==</vt:lpwstr>
  </property>
  <property fmtid="{D5CDD505-2E9C-101B-9397-08002B2CF9AE}" pid="4" name="ICV">
    <vt:lpwstr>FFF3006A88E54BCCAE4E33B502472365_13</vt:lpwstr>
  </property>
</Properties>
</file>