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sz w:val="30"/>
        </w:rPr>
      </w:pPr>
      <w:r>
        <w:rPr>
          <w:rFonts w:ascii="楷体_GB2312" w:eastAsia="楷体_GB2312"/>
          <w:bCs/>
          <w:sz w:val="30"/>
        </w:rPr>
      </w:r>
      <w:r/>
    </w:p>
    <w:p>
      <w:pPr>
        <w:pStyle w:val="1436"/>
      </w:pPr>
      <w:r/>
      <w:r/>
    </w:p>
    <w:p>
      <w:pPr>
        <w:ind w:left="660"/>
        <w:rPr>
          <w:rFonts w:ascii="楷体_GB2312" w:eastAsia="楷体_GB2312"/>
          <w:bCs/>
          <w:sz w:val="30"/>
        </w:rPr>
      </w:pPr>
      <w:r>
        <w:rPr>
          <w:rFonts w:ascii="楷体_GB2312" w:eastAsia="楷体_GB2312"/>
          <w:bCs/>
          <w:sz w:val="30"/>
        </w:rPr>
      </w:r>
      <w:r/>
    </w:p>
    <w:p>
      <w:pPr>
        <w:pStyle w:val="1436"/>
      </w:pPr>
      <w:r/>
      <w:r/>
    </w:p>
    <w:p>
      <w:pPr>
        <w:jc w:val="center"/>
        <w:rPr>
          <w:b/>
          <w:sz w:val="96"/>
          <w:szCs w:val="96"/>
        </w:rPr>
      </w:pPr>
      <w:r>
        <w:rPr>
          <w:sz w:val="20"/>
          <w:szCs w:val="18"/>
        </w:rPr>
      </w:r>
      <w:bookmarkStart w:id="0" w:name="_Toc24222"/>
      <w:r>
        <w:rPr>
          <w:sz w:val="20"/>
          <w:szCs w:val="18"/>
        </w:rPr>
      </w:r>
      <w:bookmarkStart w:id="1" w:name="_Toc20707"/>
      <w:r>
        <w:rPr>
          <w:rFonts w:hint="eastAsia"/>
          <w:b/>
          <w:sz w:val="96"/>
          <w:szCs w:val="96"/>
        </w:rPr>
        <w:t xml:space="preserve">锡山区</w:t>
      </w:r>
      <w:r>
        <w:rPr>
          <w:b/>
          <w:sz w:val="96"/>
          <w:szCs w:val="96"/>
        </w:rPr>
        <w:t xml:space="preserve">政府采购</w:t>
      </w:r>
      <w:bookmarkEnd w:id="0"/>
      <w:r>
        <w:rPr>
          <w:sz w:val="20"/>
          <w:szCs w:val="18"/>
        </w:rPr>
      </w:r>
      <w:bookmarkEnd w:id="1"/>
      <w:r>
        <w:rPr>
          <w:sz w:val="20"/>
          <w:szCs w:val="18"/>
        </w:rPr>
      </w:r>
      <w:r/>
    </w:p>
    <w:p>
      <w:pPr>
        <w:rPr>
          <w:rFonts w:hint="eastAsia"/>
          <w:b/>
          <w:sz w:val="28"/>
          <w:szCs w:val="28"/>
        </w:rPr>
      </w:pPr>
      <w:r>
        <w:rPr>
          <w:rFonts w:hint="eastAsia"/>
          <w:b/>
          <w:sz w:val="28"/>
          <w:szCs w:val="28"/>
        </w:rPr>
      </w:r>
      <w:r/>
    </w:p>
    <w:p>
      <w:pPr>
        <w:pStyle w:val="1444"/>
        <w:rPr>
          <w:rFonts w:hint="eastAsia"/>
          <w:b/>
          <w:sz w:val="28"/>
          <w:szCs w:val="28"/>
        </w:rPr>
      </w:pPr>
      <w:r>
        <w:rPr>
          <w:rFonts w:hint="eastAsia"/>
          <w:b/>
          <w:sz w:val="28"/>
          <w:szCs w:val="28"/>
        </w:rPr>
      </w:r>
      <w:r/>
    </w:p>
    <w:p>
      <w:pPr>
        <w:rPr>
          <w:rFonts w:hint="eastAsia"/>
          <w:b/>
          <w:sz w:val="28"/>
          <w:szCs w:val="28"/>
        </w:rPr>
      </w:pPr>
      <w:r>
        <w:rPr>
          <w:rFonts w:hint="eastAsia"/>
          <w:b/>
          <w:sz w:val="28"/>
          <w:szCs w:val="28"/>
        </w:rPr>
      </w:r>
      <w:r/>
    </w:p>
    <w:p>
      <w:pPr>
        <w:pStyle w:val="1444"/>
        <w:rPr>
          <w:rFonts w:hint="eastAsia"/>
        </w:rPr>
      </w:pPr>
      <w:r>
        <w:rPr>
          <w:rFonts w:hint="eastAsia"/>
        </w:rPr>
      </w:r>
      <w:r/>
    </w:p>
    <w:p>
      <w:pPr>
        <w:pStyle w:val="1444"/>
        <w:rPr>
          <w:rFonts w:hint="eastAsia"/>
        </w:rPr>
      </w:pPr>
      <w:r>
        <w:rPr>
          <w:rFonts w:hint="eastAsia"/>
        </w:rPr>
      </w:r>
      <w:r/>
    </w:p>
    <w:p>
      <w:pPr>
        <w:jc w:val="center"/>
        <w:rPr>
          <w:b/>
          <w:sz w:val="28"/>
          <w:szCs w:val="28"/>
        </w:rPr>
      </w:pPr>
      <w:r/>
      <w:bookmarkStart w:id="2" w:name="_Toc8186"/>
      <w:r/>
      <w:bookmarkStart w:id="3" w:name="_Toc6267"/>
      <w:r>
        <w:rPr>
          <w:rFonts w:hint="eastAsia"/>
          <w:b/>
          <w:sz w:val="72"/>
          <w:szCs w:val="72"/>
        </w:rPr>
        <w:t xml:space="preserve">公开招标</w:t>
      </w:r>
      <w:r>
        <w:rPr>
          <w:b/>
          <w:sz w:val="72"/>
          <w:szCs w:val="72"/>
        </w:rPr>
        <w:t xml:space="preserve">文</w:t>
      </w:r>
      <w:r>
        <w:rPr>
          <w:rFonts w:hint="eastAsia"/>
          <w:b/>
          <w:sz w:val="72"/>
          <w:szCs w:val="72"/>
        </w:rPr>
        <w:t xml:space="preserve">件</w:t>
      </w:r>
      <w:bookmarkEnd w:id="2"/>
      <w:r/>
      <w:bookmarkEnd w:id="3"/>
      <w:r/>
      <w:r/>
    </w:p>
    <w:p>
      <w:pPr>
        <w:rPr>
          <w:bCs/>
          <w:sz w:val="28"/>
          <w:szCs w:val="28"/>
        </w:rPr>
      </w:pPr>
      <w:r>
        <w:rPr>
          <w:bCs/>
          <w:sz w:val="28"/>
          <w:szCs w:val="28"/>
        </w:rPr>
      </w:r>
      <w:r/>
    </w:p>
    <w:p>
      <w:pPr>
        <w:pStyle w:val="1438"/>
        <w:ind w:left="1260"/>
        <w:rPr>
          <w:b/>
          <w:sz w:val="28"/>
          <w:szCs w:val="28"/>
        </w:rPr>
      </w:pPr>
      <w:r>
        <w:rPr>
          <w:b/>
          <w:sz w:val="28"/>
          <w:szCs w:val="28"/>
        </w:rPr>
      </w:r>
      <w:r/>
    </w:p>
    <w:p>
      <w:pPr>
        <w:rPr>
          <w:b/>
          <w:sz w:val="28"/>
          <w:szCs w:val="28"/>
        </w:rPr>
      </w:pPr>
      <w:r>
        <w:rPr>
          <w:b/>
          <w:sz w:val="28"/>
          <w:szCs w:val="28"/>
        </w:rPr>
      </w:r>
      <w:r/>
    </w:p>
    <w:p>
      <w:pPr>
        <w:jc w:val="center"/>
        <w:rPr>
          <w:b/>
          <w:sz w:val="28"/>
          <w:szCs w:val="28"/>
        </w:rPr>
      </w:pPr>
      <w:r>
        <w:rPr>
          <w:b/>
          <w:sz w:val="28"/>
          <w:szCs w:val="28"/>
        </w:rPr>
      </w:r>
      <w:r/>
    </w:p>
    <w:p>
      <w:pPr>
        <w:jc w:val="center"/>
        <w:rPr>
          <w:rFonts w:hint="eastAsia"/>
          <w:b/>
          <w:sz w:val="28"/>
          <w:szCs w:val="28"/>
        </w:rPr>
      </w:pPr>
      <w:r/>
      <w:bookmarkStart w:id="4" w:name="_Toc607"/>
      <w:r/>
      <w:bookmarkStart w:id="5" w:name="_Toc9350"/>
      <w:r>
        <w:rPr>
          <w:rFonts w:hint="eastAsia"/>
          <w:b/>
          <w:sz w:val="28"/>
          <w:szCs w:val="28"/>
        </w:rPr>
        <w:t xml:space="preserve">（全流程电子化）</w:t>
      </w:r>
      <w:bookmarkEnd w:id="4"/>
      <w:r/>
      <w:bookmarkEnd w:id="5"/>
      <w:r/>
      <w:r/>
    </w:p>
    <w:p>
      <w:pPr>
        <w:pStyle w:val="1498"/>
        <w:ind w:firstLine="0"/>
      </w:pPr>
      <w:r/>
      <w:r/>
    </w:p>
    <w:p>
      <w:pPr>
        <w:pStyle w:val="1498"/>
        <w:ind w:firstLine="0"/>
      </w:pPr>
      <w:r/>
      <w:r/>
    </w:p>
    <w:p>
      <w:pPr>
        <w:pStyle w:val="1498"/>
        <w:ind w:firstLine="0"/>
        <w:rPr>
          <w:rFonts w:hint="eastAsia" w:ascii="宋体" w:hAnsi="宋体" w:cs="宋体"/>
          <w:sz w:val="30"/>
          <w:szCs w:val="30"/>
        </w:rPr>
      </w:pPr>
      <w:r>
        <w:rPr>
          <w:rFonts w:hint="eastAsia" w:ascii="宋体" w:hAnsi="宋体" w:cs="宋体"/>
          <w:sz w:val="30"/>
          <w:szCs w:val="30"/>
        </w:rPr>
      </w:r>
      <w:r/>
    </w:p>
    <w:p>
      <w:pPr>
        <w:rPr>
          <w:rFonts w:hint="eastAsia" w:ascii="宋体" w:hAnsi="宋体" w:cs="宋体"/>
          <w:sz w:val="30"/>
          <w:szCs w:val="30"/>
        </w:rPr>
      </w:pPr>
      <w:r>
        <w:rPr>
          <w:rFonts w:hint="eastAsia" w:ascii="宋体" w:hAnsi="宋体" w:cs="宋体"/>
          <w:sz w:val="30"/>
          <w:szCs w:val="30"/>
        </w:rPr>
      </w:r>
      <w:r/>
    </w:p>
    <w:p>
      <w:pPr>
        <w:spacing w:line="360" w:lineRule="auto"/>
        <w:rPr>
          <w:rFonts w:hint="eastAsia" w:ascii="宋体" w:hAnsi="宋体" w:eastAsia="宋体" w:cs="宋体"/>
          <w:sz w:val="30"/>
          <w:szCs w:val="30"/>
          <w:highlight w:val="none"/>
          <w:lang w:eastAsia="zh-CN"/>
        </w:rPr>
      </w:pPr>
      <w:r/>
      <w:bookmarkStart w:id="6" w:name="_Toc158"/>
      <w:r/>
      <w:bookmarkStart w:id="7" w:name="_Toc30450"/>
      <w:r>
        <w:rPr>
          <w:rFonts w:hint="eastAsia" w:ascii="宋体" w:hAnsi="宋体" w:cs="宋体"/>
          <w:sz w:val="30"/>
          <w:szCs w:val="30"/>
        </w:rPr>
        <w:t xml:space="preserve">采购项</w:t>
      </w:r>
      <w:r>
        <w:rPr>
          <w:rFonts w:hint="eastAsia" w:ascii="宋体" w:hAnsi="宋体" w:cs="宋体"/>
          <w:sz w:val="30"/>
          <w:szCs w:val="30"/>
          <w:highlight w:val="none"/>
        </w:rPr>
        <w:t xml:space="preserve">目编号：</w:t>
      </w:r>
      <w:bookmarkEnd w:id="6"/>
      <w:r/>
      <w:bookmarkEnd w:id="7"/>
      <w:r>
        <w:rPr>
          <w:rFonts w:hint="eastAsia" w:ascii="宋体" w:hAnsi="宋体" w:cs="宋体"/>
          <w:sz w:val="30"/>
          <w:szCs w:val="30"/>
          <w:highlight w:val="none"/>
          <w:lang w:eastAsia="zh-CN"/>
        </w:rPr>
        <w:t xml:space="preserve">JSZC-320205-THGC-G2026-0006</w:t>
      </w:r>
      <w:r/>
    </w:p>
    <w:p>
      <w:pPr>
        <w:ind w:left="2100" w:hanging="2100"/>
        <w:spacing w:line="360" w:lineRule="auto"/>
        <w:rPr>
          <w:rFonts w:hint="eastAsia" w:ascii="宋体" w:hAnsi="宋体" w:eastAsia="宋体"/>
          <w:bCs/>
          <w:sz w:val="30"/>
          <w:szCs w:val="30"/>
          <w:lang w:eastAsia="zh-CN"/>
        </w:rPr>
      </w:pPr>
      <w:r>
        <w:rPr>
          <w:rFonts w:hint="eastAsia" w:ascii="宋体" w:hAnsi="宋体"/>
          <w:bCs/>
          <w:sz w:val="30"/>
          <w:szCs w:val="30"/>
        </w:rPr>
        <w:t xml:space="preserve">采购项目名称：</w:t>
      </w:r>
      <w:r>
        <w:rPr>
          <w:rFonts w:hint="eastAsia" w:ascii="宋体" w:hAnsi="宋体"/>
          <w:bCs/>
          <w:sz w:val="30"/>
          <w:szCs w:val="30"/>
          <w:lang w:eastAsia="zh-CN"/>
        </w:rPr>
        <w:t xml:space="preserve">无锡市锡山区半导体先进制造创新中心超精密控制系统采购项目</w:t>
      </w:r>
      <w:r/>
    </w:p>
    <w:p>
      <w:pPr>
        <w:jc w:val="left"/>
        <w:spacing w:line="360" w:lineRule="auto"/>
        <w:rPr>
          <w:rFonts w:hint="eastAsia" w:ascii="宋体" w:hAnsi="宋体" w:cs="宋体"/>
          <w:sz w:val="28"/>
          <w:szCs w:val="28"/>
        </w:rPr>
      </w:pPr>
      <w:r>
        <w:rPr>
          <w:rFonts w:hint="eastAsia" w:ascii="宋体" w:hAnsi="宋体" w:cs="宋体"/>
          <w:sz w:val="30"/>
          <w:szCs w:val="30"/>
        </w:rPr>
        <w:t xml:space="preserve">采   购   人：无锡市锡山区半导体先进制造创新中心</w:t>
      </w:r>
      <w:r/>
    </w:p>
    <w:p>
      <w:pPr>
        <w:jc w:val="left"/>
        <w:spacing w:line="360" w:lineRule="auto"/>
        <w:rPr>
          <w:rFonts w:hint="eastAsia" w:ascii="宋体" w:hAnsi="宋体" w:cs="宋体"/>
          <w:sz w:val="30"/>
          <w:szCs w:val="30"/>
        </w:rPr>
      </w:pPr>
      <w:r/>
      <w:bookmarkStart w:id="8" w:name="_Toc22627"/>
      <w:r/>
      <w:bookmarkStart w:id="9" w:name="_Toc12700"/>
      <w:r>
        <w:rPr>
          <w:rFonts w:hint="eastAsia" w:ascii="宋体" w:hAnsi="宋体" w:cs="宋体"/>
          <w:sz w:val="30"/>
          <w:szCs w:val="30"/>
        </w:rPr>
        <w:t xml:space="preserve">采购代理机构：江苏通汇工程管理咨询有限公司</w:t>
      </w:r>
      <w:bookmarkEnd w:id="8"/>
      <w:r/>
      <w:bookmarkEnd w:id="9"/>
      <w:r/>
      <w:r/>
    </w:p>
    <w:p>
      <w:pPr>
        <w:rPr>
          <w:rFonts w:ascii="华文中宋" w:hAnsi="华文中宋" w:eastAsia="华文中宋"/>
          <w:bCs/>
          <w:sz w:val="30"/>
        </w:rPr>
      </w:pPr>
      <w:r>
        <w:rPr>
          <w:rFonts w:ascii="华文中宋" w:hAnsi="华文中宋" w:eastAsia="华文中宋"/>
          <w:bCs/>
          <w:sz w:val="30"/>
        </w:rPr>
      </w:r>
      <w:r/>
    </w:p>
    <w:p>
      <w:pPr>
        <w:jc w:val="center"/>
        <w:rPr>
          <w:rStyle w:val="1459"/>
          <w:rFonts w:eastAsia="黑体"/>
          <w:bCs/>
          <w:sz w:val="48"/>
        </w:rPr>
      </w:pPr>
      <w:r>
        <w:rPr>
          <w:rFonts w:hint="eastAsia" w:ascii="黑体" w:hAnsi="华文中宋" w:eastAsia="黑体"/>
          <w:bCs/>
          <w:sz w:val="32"/>
          <w:szCs w:val="32"/>
        </w:rPr>
        <w:t xml:space="preserve">二〇二</w:t>
      </w:r>
      <w:r>
        <w:rPr>
          <w:rFonts w:hint="eastAsia" w:ascii="黑体" w:hAnsi="华文中宋" w:eastAsia="黑体"/>
          <w:bCs/>
          <w:sz w:val="32"/>
          <w:szCs w:val="32"/>
          <w:lang w:val="en-US" w:eastAsia="zh-CN"/>
        </w:rPr>
        <w:t xml:space="preserve">六</w:t>
      </w:r>
      <w:r>
        <w:rPr>
          <w:rFonts w:hint="eastAsia" w:ascii="黑体" w:hAnsi="华文中宋" w:eastAsia="黑体"/>
          <w:bCs/>
          <w:sz w:val="32"/>
          <w:szCs w:val="32"/>
        </w:rPr>
        <w:t xml:space="preserve">年</w:t>
      </w:r>
      <w:r>
        <w:rPr>
          <w:rFonts w:hint="eastAsia" w:ascii="黑体" w:hAnsi="华文中宋" w:eastAsia="黑体"/>
          <w:bCs/>
          <w:sz w:val="32"/>
          <w:szCs w:val="32"/>
          <w:lang w:val="en-US" w:eastAsia="zh-CN"/>
        </w:rPr>
        <w:t xml:space="preserve">三</w:t>
      </w:r>
      <w:r>
        <w:rPr>
          <w:rFonts w:hint="eastAsia" w:ascii="黑体" w:hAnsi="华文中宋" w:eastAsia="黑体"/>
          <w:bCs/>
          <w:sz w:val="32"/>
          <w:szCs w:val="32"/>
        </w:rPr>
        <w:t xml:space="preserve">月</w:t>
      </w:r>
      <w:r/>
    </w:p>
    <w:p>
      <w:pPr>
        <w:jc w:val="center"/>
        <w:rPr>
          <w:rStyle w:val="1459"/>
          <w:rFonts w:hint="eastAsia" w:eastAsia="黑体"/>
          <w:bCs/>
          <w:sz w:val="48"/>
        </w:rPr>
        <w:sectPr>
          <w:headerReference w:type="default" r:id="rId9"/>
          <w:headerReference w:type="first" r:id="rId10"/>
          <w:footerReference w:type="default" r:id="rId16"/>
          <w:footerReference w:type="first" r:id="rId17"/>
          <w:footnotePr/>
          <w:endnotePr/>
          <w:type w:val="nextPage"/>
          <w:pgSz w:w="11906" w:h="16838" w:orient="portrait"/>
          <w:pgMar w:top="1440" w:right="1800" w:bottom="1440" w:left="1800" w:header="851" w:footer="992" w:gutter="0"/>
          <w:pgNumType w:start="1"/>
          <w:cols w:num="1" w:sep="0" w:space="720" w:equalWidth="1"/>
          <w:docGrid w:linePitch="360"/>
        </w:sectPr>
      </w:pPr>
      <w:r/>
      <w:bookmarkStart w:id="10" w:name="_Toc27240"/>
      <w:r/>
      <w:r/>
    </w:p>
    <w:p>
      <w:pPr>
        <w:pStyle w:val="1444"/>
        <w:rPr>
          <w:rFonts w:hint="eastAsia"/>
        </w:rPr>
      </w:pPr>
      <w:r>
        <w:rPr>
          <w:rFonts w:hint="eastAsia"/>
        </w:rPr>
      </w:r>
      <w:r/>
    </w:p>
    <w:p>
      <w:pPr>
        <w:pStyle w:val="1445"/>
        <w:rPr>
          <w:rFonts w:hint="eastAsia"/>
        </w:rPr>
      </w:pPr>
      <w:r>
        <w:rPr>
          <w:rFonts w:hint="eastAsia"/>
        </w:rPr>
      </w:r>
      <w:r/>
    </w:p>
    <w:p>
      <w:pPr>
        <w:jc w:val="center"/>
        <w:rPr>
          <w:rStyle w:val="1459"/>
          <w:rFonts w:hint="eastAsia" w:ascii="宋体" w:hAnsi="宋体" w:cs="宋体"/>
          <w:b/>
          <w:sz w:val="44"/>
          <w:szCs w:val="44"/>
        </w:rPr>
      </w:pPr>
      <w:r/>
      <w:bookmarkStart w:id="11" w:name="_Toc32576"/>
      <w:r/>
      <w:bookmarkStart w:id="12" w:name="_Toc23032"/>
      <w:r/>
      <w:bookmarkStart w:id="13" w:name="_Toc15618"/>
      <w:r>
        <w:rPr>
          <w:rStyle w:val="1459"/>
          <w:rFonts w:hint="eastAsia" w:ascii="宋体" w:hAnsi="宋体" w:cs="宋体"/>
          <w:b/>
          <w:sz w:val="44"/>
          <w:szCs w:val="44"/>
        </w:rPr>
        <w:t xml:space="preserve">目     录</w:t>
      </w:r>
      <w:bookmarkEnd w:id="10"/>
      <w:r/>
      <w:bookmarkEnd w:id="11"/>
      <w:r/>
      <w:bookmarkEnd w:id="12"/>
      <w:r/>
      <w:bookmarkEnd w:id="13"/>
      <w:r/>
      <w:r/>
    </w:p>
    <w:p>
      <w:r/>
      <w:r/>
    </w:p>
    <w:p>
      <w:pPr>
        <w:pStyle w:val="1448"/>
        <w:spacing w:line="360" w:lineRule="auto"/>
        <w:tabs>
          <w:tab w:val="right" w:pos="8306" w:leader="dot"/>
        </w:tabs>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TOC \o "1-1" \f \h \u </w:instrText>
      </w:r>
      <w:r>
        <w:rPr>
          <w:rFonts w:hint="eastAsia" w:ascii="宋体" w:hAnsi="宋体" w:cs="宋体"/>
          <w:bCs/>
          <w:sz w:val="28"/>
          <w:szCs w:val="28"/>
        </w:rPr>
        <w:fldChar w:fldCharType="separate"/>
      </w:r>
      <w:r>
        <w:rPr>
          <w:rFonts w:hint="eastAsia" w:ascii="宋体" w:hAnsi="宋体" w:cs="宋体"/>
          <w:bCs/>
          <w:sz w:val="28"/>
          <w:szCs w:val="28"/>
        </w:rPr>
        <w:fldChar w:fldCharType="begin"/>
      </w:r>
      <w:r>
        <w:rPr>
          <w:rFonts w:hint="eastAsia" w:ascii="宋体" w:hAnsi="宋体" w:cs="宋体"/>
          <w:bCs/>
          <w:sz w:val="28"/>
          <w:szCs w:val="28"/>
        </w:rPr>
        <w:instrText xml:space="preserve"> HYPERLINK \l _Toc622 </w:instrText>
      </w:r>
      <w:r>
        <w:rPr>
          <w:rFonts w:hint="eastAsia" w:ascii="宋体" w:hAnsi="宋体" w:cs="宋体"/>
          <w:bCs/>
          <w:sz w:val="28"/>
          <w:szCs w:val="28"/>
        </w:rPr>
        <w:fldChar w:fldCharType="separate"/>
      </w:r>
      <w:r>
        <w:rPr>
          <w:rFonts w:hint="eastAsia" w:ascii="宋体" w:hAnsi="宋体" w:cs="宋体"/>
          <w:bCs/>
          <w:sz w:val="28"/>
          <w:szCs w:val="28"/>
        </w:rPr>
        <w:t xml:space="preserve">一、投标邀请函</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_Toc622 \h </w:instrText>
      </w:r>
      <w:r>
        <w:rPr>
          <w:rFonts w:hint="eastAsia" w:ascii="宋体" w:hAnsi="宋体" w:cs="宋体"/>
          <w:sz w:val="28"/>
          <w:szCs w:val="28"/>
        </w:rPr>
        <w:fldChar w:fldCharType="separate"/>
      </w:r>
      <w:r>
        <w:rPr>
          <w:rFonts w:hint="eastAsia" w:ascii="宋体" w:hAnsi="宋体" w:cs="宋体"/>
          <w:sz w:val="28"/>
          <w:szCs w:val="28"/>
        </w:rPr>
        <w:t xml:space="preserve">2</w:t>
      </w:r>
      <w:r>
        <w:rPr>
          <w:rFonts w:hint="eastAsia" w:ascii="宋体" w:hAnsi="宋体" w:cs="宋体"/>
          <w:sz w:val="28"/>
          <w:szCs w:val="28"/>
        </w:rPr>
        <w:fldChar w:fldCharType="end"/>
      </w:r>
      <w:r>
        <w:rPr>
          <w:rFonts w:hint="eastAsia" w:ascii="宋体" w:hAnsi="宋体" w:cs="宋体"/>
          <w:bCs/>
          <w:sz w:val="28"/>
          <w:szCs w:val="28"/>
        </w:rPr>
        <w:fldChar w:fldCharType="end"/>
      </w:r>
      <w:r/>
    </w:p>
    <w:p>
      <w:pPr>
        <w:pStyle w:val="1448"/>
        <w:spacing w:line="360" w:lineRule="auto"/>
        <w:tabs>
          <w:tab w:val="right" w:pos="8306" w:leader="dot"/>
        </w:tabs>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_Toc24863 </w:instrText>
      </w:r>
      <w:r>
        <w:rPr>
          <w:rFonts w:hint="eastAsia" w:ascii="宋体" w:hAnsi="宋体" w:cs="宋体"/>
          <w:bCs/>
          <w:sz w:val="28"/>
          <w:szCs w:val="28"/>
        </w:rPr>
        <w:fldChar w:fldCharType="separate"/>
      </w:r>
      <w:r>
        <w:rPr>
          <w:rFonts w:hint="eastAsia" w:ascii="宋体" w:hAnsi="宋体" w:cs="宋体"/>
          <w:bCs/>
          <w:sz w:val="28"/>
          <w:szCs w:val="28"/>
        </w:rPr>
        <w:t xml:space="preserve">二、投标人须知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_Toc24863 \h </w:instrText>
      </w:r>
      <w:r>
        <w:rPr>
          <w:rFonts w:hint="eastAsia" w:ascii="宋体" w:hAnsi="宋体" w:cs="宋体"/>
          <w:sz w:val="28"/>
          <w:szCs w:val="28"/>
        </w:rPr>
        <w:fldChar w:fldCharType="separate"/>
      </w:r>
      <w:r>
        <w:rPr>
          <w:rFonts w:hint="eastAsia" w:ascii="宋体" w:hAnsi="宋体" w:cs="宋体"/>
          <w:sz w:val="28"/>
          <w:szCs w:val="28"/>
        </w:rPr>
        <w:t xml:space="preserve">2</w:t>
      </w:r>
      <w:r>
        <w:rPr>
          <w:rFonts w:hint="eastAsia" w:ascii="宋体" w:hAnsi="宋体" w:cs="宋体"/>
          <w:sz w:val="28"/>
          <w:szCs w:val="28"/>
        </w:rPr>
        <w:fldChar w:fldCharType="end"/>
      </w:r>
      <w:r>
        <w:rPr>
          <w:rFonts w:hint="eastAsia" w:ascii="宋体" w:hAnsi="宋体" w:cs="宋体"/>
          <w:bCs/>
          <w:sz w:val="28"/>
          <w:szCs w:val="28"/>
        </w:rPr>
        <w:fldChar w:fldCharType="end"/>
      </w:r>
      <w:r/>
    </w:p>
    <w:p>
      <w:pPr>
        <w:pStyle w:val="1448"/>
        <w:spacing w:line="360" w:lineRule="auto"/>
        <w:tabs>
          <w:tab w:val="right" w:pos="8306" w:leader="dot"/>
        </w:tabs>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_Toc19762 </w:instrText>
      </w:r>
      <w:r>
        <w:rPr>
          <w:rFonts w:hint="eastAsia" w:ascii="宋体" w:hAnsi="宋体" w:cs="宋体"/>
          <w:bCs/>
          <w:sz w:val="28"/>
          <w:szCs w:val="28"/>
        </w:rPr>
        <w:fldChar w:fldCharType="separate"/>
      </w:r>
      <w:r>
        <w:rPr>
          <w:rFonts w:hint="eastAsia" w:ascii="宋体" w:hAnsi="宋体" w:cs="宋体"/>
          <w:bCs/>
          <w:sz w:val="28"/>
          <w:szCs w:val="28"/>
        </w:rPr>
        <w:t xml:space="preserve">三、项目技术要求和有关说明</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_Toc19762 \h </w:instrText>
      </w:r>
      <w:r>
        <w:rPr>
          <w:rFonts w:hint="eastAsia" w:ascii="宋体" w:hAnsi="宋体" w:cs="宋体"/>
          <w:sz w:val="28"/>
          <w:szCs w:val="28"/>
        </w:rPr>
        <w:fldChar w:fldCharType="separate"/>
      </w:r>
      <w:r>
        <w:rPr>
          <w:rFonts w:hint="eastAsia" w:ascii="宋体" w:hAnsi="宋体" w:cs="宋体"/>
          <w:sz w:val="28"/>
          <w:szCs w:val="28"/>
        </w:rPr>
        <w:t xml:space="preserve">21</w:t>
      </w:r>
      <w:r>
        <w:rPr>
          <w:rFonts w:hint="eastAsia" w:ascii="宋体" w:hAnsi="宋体" w:cs="宋体"/>
          <w:sz w:val="28"/>
          <w:szCs w:val="28"/>
        </w:rPr>
        <w:fldChar w:fldCharType="end"/>
      </w:r>
      <w:r>
        <w:rPr>
          <w:rFonts w:hint="eastAsia" w:ascii="宋体" w:hAnsi="宋体" w:cs="宋体"/>
          <w:bCs/>
          <w:sz w:val="28"/>
          <w:szCs w:val="28"/>
        </w:rPr>
        <w:fldChar w:fldCharType="end"/>
      </w:r>
      <w:r/>
    </w:p>
    <w:p>
      <w:pPr>
        <w:pStyle w:val="1448"/>
        <w:spacing w:line="360" w:lineRule="auto"/>
        <w:tabs>
          <w:tab w:val="right" w:pos="8306" w:leader="dot"/>
        </w:tabs>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_Toc12214 </w:instrText>
      </w:r>
      <w:r>
        <w:rPr>
          <w:rFonts w:hint="eastAsia" w:ascii="宋体" w:hAnsi="宋体" w:cs="宋体"/>
          <w:bCs/>
          <w:sz w:val="28"/>
          <w:szCs w:val="28"/>
        </w:rPr>
        <w:fldChar w:fldCharType="separate"/>
      </w:r>
      <w:r>
        <w:rPr>
          <w:rFonts w:hint="eastAsia" w:ascii="宋体" w:hAnsi="宋体" w:cs="宋体"/>
          <w:bCs/>
          <w:sz w:val="28"/>
          <w:szCs w:val="28"/>
        </w:rPr>
        <w:t xml:space="preserve">四、合同书（格式文本）</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_Toc12214 \h </w:instrText>
      </w:r>
      <w:r>
        <w:rPr>
          <w:rFonts w:hint="eastAsia" w:ascii="宋体" w:hAnsi="宋体" w:cs="宋体"/>
          <w:sz w:val="28"/>
          <w:szCs w:val="28"/>
        </w:rPr>
        <w:fldChar w:fldCharType="separate"/>
      </w:r>
      <w:r>
        <w:rPr>
          <w:rFonts w:hint="eastAsia" w:ascii="宋体" w:hAnsi="宋体" w:cs="宋体"/>
          <w:sz w:val="28"/>
          <w:szCs w:val="28"/>
        </w:rPr>
        <w:t xml:space="preserve">30</w:t>
      </w:r>
      <w:r>
        <w:rPr>
          <w:rFonts w:hint="eastAsia" w:ascii="宋体" w:hAnsi="宋体" w:cs="宋体"/>
          <w:sz w:val="28"/>
          <w:szCs w:val="28"/>
        </w:rPr>
        <w:fldChar w:fldCharType="end"/>
      </w:r>
      <w:r>
        <w:rPr>
          <w:rFonts w:hint="eastAsia" w:ascii="宋体" w:hAnsi="宋体" w:cs="宋体"/>
          <w:bCs/>
          <w:sz w:val="28"/>
          <w:szCs w:val="28"/>
        </w:rPr>
        <w:fldChar w:fldCharType="end"/>
      </w:r>
      <w:r/>
    </w:p>
    <w:p>
      <w:pPr>
        <w:pStyle w:val="1448"/>
        <w:spacing w:line="360" w:lineRule="auto"/>
        <w:tabs>
          <w:tab w:val="right" w:pos="8306" w:leader="dot"/>
        </w:tabs>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_Toc5730 </w:instrText>
      </w:r>
      <w:r>
        <w:rPr>
          <w:rFonts w:hint="eastAsia" w:ascii="宋体" w:hAnsi="宋体" w:cs="宋体"/>
          <w:bCs/>
          <w:sz w:val="28"/>
          <w:szCs w:val="28"/>
        </w:rPr>
        <w:fldChar w:fldCharType="separate"/>
      </w:r>
      <w:r>
        <w:rPr>
          <w:rFonts w:hint="eastAsia" w:ascii="宋体" w:hAnsi="宋体" w:cs="宋体"/>
          <w:bCs/>
          <w:sz w:val="28"/>
          <w:szCs w:val="28"/>
        </w:rPr>
        <w:t xml:space="preserve">五、附件</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_Toc5730 \h </w:instrText>
      </w:r>
      <w:r>
        <w:rPr>
          <w:rFonts w:hint="eastAsia" w:ascii="宋体" w:hAnsi="宋体" w:cs="宋体"/>
          <w:sz w:val="28"/>
          <w:szCs w:val="28"/>
        </w:rPr>
        <w:fldChar w:fldCharType="separate"/>
      </w:r>
      <w:r>
        <w:rPr>
          <w:rFonts w:hint="eastAsia" w:ascii="宋体" w:hAnsi="宋体" w:cs="宋体"/>
          <w:sz w:val="28"/>
          <w:szCs w:val="28"/>
        </w:rPr>
        <w:t xml:space="preserve">32</w:t>
      </w:r>
      <w:r>
        <w:rPr>
          <w:rFonts w:hint="eastAsia" w:ascii="宋体" w:hAnsi="宋体" w:cs="宋体"/>
          <w:sz w:val="28"/>
          <w:szCs w:val="28"/>
        </w:rPr>
        <w:fldChar w:fldCharType="end"/>
      </w:r>
      <w:r>
        <w:rPr>
          <w:rFonts w:hint="eastAsia" w:ascii="宋体" w:hAnsi="宋体" w:cs="宋体"/>
          <w:bCs/>
          <w:sz w:val="28"/>
          <w:szCs w:val="28"/>
        </w:rPr>
        <w:fldChar w:fldCharType="end"/>
      </w:r>
      <w:r/>
    </w:p>
    <w:p>
      <w:pPr>
        <w:ind w:firstLine="420"/>
        <w:spacing w:line="360" w:lineRule="auto"/>
        <w:rPr>
          <w:rFonts w:ascii="宋体" w:hAnsi="宋体"/>
          <w:bCs/>
          <w:sz w:val="24"/>
          <w:szCs w:val="24"/>
        </w:rPr>
      </w:pPr>
      <w:r>
        <w:rPr>
          <w:rFonts w:hint="eastAsia" w:ascii="宋体" w:hAnsi="宋体" w:cs="宋体"/>
          <w:bCs/>
          <w:sz w:val="28"/>
          <w:szCs w:val="28"/>
        </w:rPr>
        <w:fldChar w:fldCharType="end"/>
      </w:r>
      <w:r/>
    </w:p>
    <w:p>
      <w:pPr>
        <w:spacing w:line="720" w:lineRule="auto"/>
        <w:rPr>
          <w:rFonts w:ascii="宋体"/>
          <w:bCs/>
          <w:sz w:val="28"/>
          <w:szCs w:val="28"/>
        </w:rPr>
      </w:pPr>
      <w:r>
        <w:rPr>
          <w:rFonts w:ascii="宋体"/>
          <w:bCs/>
          <w:sz w:val="28"/>
          <w:szCs w:val="28"/>
        </w:rPr>
      </w:r>
      <w:r/>
    </w:p>
    <w:p>
      <w:pPr>
        <w:spacing w:line="720" w:lineRule="auto"/>
        <w:rPr>
          <w:rFonts w:ascii="宋体"/>
          <w:bCs/>
          <w:sz w:val="30"/>
        </w:rPr>
      </w:pPr>
      <w:r>
        <w:rPr>
          <w:rFonts w:ascii="宋体"/>
          <w:bCs/>
          <w:sz w:val="30"/>
        </w:rPr>
      </w:r>
      <w:r/>
    </w:p>
    <w:p>
      <w:pPr>
        <w:spacing w:line="480" w:lineRule="auto"/>
        <w:rPr>
          <w:rFonts w:ascii="宋体"/>
          <w:bCs/>
          <w:sz w:val="30"/>
        </w:rPr>
      </w:pPr>
      <w:r>
        <w:rPr>
          <w:rFonts w:ascii="宋体"/>
          <w:bCs/>
          <w:sz w:val="30"/>
        </w:rPr>
      </w:r>
      <w:r/>
    </w:p>
    <w:p>
      <w:pPr>
        <w:rPr>
          <w:rFonts w:ascii="宋体"/>
          <w:bCs/>
          <w:sz w:val="28"/>
        </w:rPr>
      </w:pPr>
      <w:r>
        <w:rPr>
          <w:rFonts w:ascii="宋体"/>
          <w:bCs/>
          <w:sz w:val="28"/>
        </w:rPr>
      </w:r>
      <w:r/>
    </w:p>
    <w:p>
      <w:pPr>
        <w:rPr>
          <w:rFonts w:ascii="宋体"/>
          <w:bCs/>
          <w:sz w:val="32"/>
        </w:rPr>
      </w:pPr>
      <w:r>
        <w:rPr>
          <w:rFonts w:ascii="宋体"/>
          <w:bCs/>
          <w:sz w:val="32"/>
        </w:rPr>
      </w:r>
      <w:r/>
    </w:p>
    <w:p>
      <w:pPr>
        <w:rPr>
          <w:rFonts w:ascii="宋体"/>
          <w:bCs/>
          <w:sz w:val="32"/>
        </w:rPr>
      </w:pPr>
      <w:r>
        <w:rPr>
          <w:rFonts w:ascii="宋体"/>
          <w:bCs/>
          <w:sz w:val="32"/>
        </w:rPr>
      </w:r>
      <w:r/>
    </w:p>
    <w:p>
      <w:pPr>
        <w:jc w:val="center"/>
        <w:spacing w:line="360" w:lineRule="auto"/>
        <w:rPr>
          <w:rFonts w:hint="eastAsia" w:ascii="宋体" w:hAnsi="宋体" w:cs="宋体"/>
          <w:b/>
          <w:sz w:val="30"/>
          <w:szCs w:val="30"/>
        </w:rPr>
        <w:sectPr>
          <w:headerReference w:type="default" r:id="rId11"/>
          <w:footerReference w:type="default" r:id="rId18"/>
          <w:footerReference w:type="even" r:id="rId19"/>
          <w:footerReference w:type="first" r:id="rId20"/>
          <w:footnotePr/>
          <w:endnotePr/>
          <w:type w:val="nextPage"/>
          <w:pgSz w:w="11906" w:h="16838" w:orient="portrait"/>
          <w:pgMar w:top="1440" w:right="1800" w:bottom="1440" w:left="1800" w:header="624" w:footer="907" w:gutter="0"/>
          <w:pgNumType w:start="1"/>
          <w:cols w:num="1" w:sep="0" w:space="720" w:equalWidth="1"/>
          <w:docGrid w:linePitch="360"/>
          <w:titlePg/>
        </w:sectPr>
        <w:outlineLvl w:val="0"/>
      </w:pPr>
      <w:r/>
      <w:bookmarkStart w:id="14" w:name="报价方须知前附表"/>
      <w:r/>
      <w:bookmarkEnd w:id="14"/>
      <w:r/>
      <w:bookmarkStart w:id="15" w:name="_Toc24814"/>
      <w:r/>
      <w:r/>
    </w:p>
    <w:p>
      <w:pPr>
        <w:jc w:val="center"/>
        <w:spacing w:line="360" w:lineRule="auto"/>
        <w:rPr>
          <w:rFonts w:hint="eastAsia" w:hAnsi="宋体" w:cs="宋体"/>
          <w:b/>
          <w:bCs/>
          <w:sz w:val="32"/>
          <w:szCs w:val="32"/>
        </w:rPr>
        <w:outlineLvl w:val="0"/>
      </w:pPr>
      <w:r/>
      <w:bookmarkStart w:id="16" w:name="_Toc622"/>
      <w:r/>
      <w:bookmarkStart w:id="17" w:name="_Toc13603"/>
      <w:r>
        <w:rPr>
          <w:rFonts w:hint="eastAsia" w:hAnsi="宋体" w:cs="宋体"/>
          <w:b/>
          <w:bCs/>
          <w:sz w:val="32"/>
          <w:szCs w:val="32"/>
        </w:rPr>
        <w:t xml:space="preserve">一、投标邀请函</w:t>
      </w:r>
      <w:bookmarkEnd w:id="15"/>
      <w:r/>
      <w:bookmarkEnd w:id="16"/>
      <w:r/>
      <w:bookmarkEnd w:id="17"/>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江苏通汇工程管理咨询有限公司受</w:t>
      </w:r>
      <w:r>
        <w:rPr>
          <w:rFonts w:hint="eastAsia" w:ascii="宋体" w:hAnsi="宋体" w:cs="宋体"/>
          <w:sz w:val="24"/>
          <w:szCs w:val="24"/>
        </w:rPr>
        <w:t xml:space="preserve">无锡市锡山区半导体先进制造创新中心的委托，</w:t>
      </w:r>
      <w:r>
        <w:rPr>
          <w:rFonts w:hint="eastAsia" w:ascii="宋体" w:hAnsi="宋体" w:cs="宋体"/>
          <w:bCs/>
          <w:sz w:val="24"/>
          <w:szCs w:val="24"/>
        </w:rPr>
        <w:t xml:space="preserve">对</w:t>
      </w:r>
      <w:r>
        <w:rPr>
          <w:rFonts w:hint="eastAsia" w:ascii="宋体" w:hAnsi="宋体" w:cs="宋体"/>
          <w:bCs/>
          <w:sz w:val="24"/>
          <w:szCs w:val="24"/>
          <w:lang w:eastAsia="zh-CN"/>
        </w:rPr>
        <w:t xml:space="preserve">无锡市锡山区半导体先进制造创新中心超精密控制系统采购项目</w:t>
      </w:r>
      <w:r>
        <w:rPr>
          <w:rFonts w:hint="eastAsia" w:ascii="宋体" w:hAnsi="宋体" w:cs="宋体"/>
          <w:bCs/>
          <w:sz w:val="24"/>
          <w:szCs w:val="24"/>
        </w:rPr>
        <w:t xml:space="preserve">进行公开招标采购，欢迎符合相关条件的供应商参加投标并提请注意下列相关事项：</w:t>
      </w:r>
      <w:r/>
    </w:p>
    <w:p>
      <w:pPr>
        <w:ind w:firstLine="482"/>
        <w:spacing w:line="360" w:lineRule="auto"/>
        <w:rPr>
          <w:rFonts w:hint="eastAsia" w:ascii="宋体" w:hAnsi="宋体" w:cs="宋体"/>
          <w:b/>
          <w:sz w:val="24"/>
          <w:szCs w:val="24"/>
          <w:highlight w:val="none"/>
        </w:rPr>
        <w:outlineLvl w:val="1"/>
      </w:pPr>
      <w:r/>
      <w:bookmarkStart w:id="18" w:name="_Toc23923"/>
      <w:r/>
      <w:bookmarkStart w:id="19" w:name="_Toc24863"/>
      <w:r>
        <w:rPr>
          <w:rFonts w:hint="eastAsia" w:ascii="宋体" w:hAnsi="宋体" w:cs="宋体"/>
          <w:b/>
          <w:sz w:val="24"/>
          <w:szCs w:val="24"/>
        </w:rPr>
        <w:t xml:space="preserve">（一）招标项目</w:t>
      </w:r>
      <w:r>
        <w:rPr>
          <w:rFonts w:hint="eastAsia" w:ascii="宋体" w:hAnsi="宋体" w:cs="宋体"/>
          <w:b/>
          <w:sz w:val="24"/>
          <w:szCs w:val="24"/>
          <w:highlight w:val="none"/>
        </w:rPr>
        <w:t xml:space="preserve">信息</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1、项目名称：</w:t>
      </w:r>
      <w:r>
        <w:rPr>
          <w:rFonts w:hint="eastAsia" w:ascii="宋体" w:hAnsi="宋体" w:cs="宋体"/>
          <w:bCs/>
          <w:sz w:val="24"/>
          <w:szCs w:val="24"/>
          <w:highlight w:val="none"/>
          <w:lang w:eastAsia="zh-CN"/>
        </w:rPr>
        <w:t xml:space="preserve">无锡市锡山区半导体先进制造创新中心超精密控制系统采购项目</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2、采购项目编号：</w:t>
      </w:r>
      <w:r>
        <w:rPr>
          <w:rFonts w:hint="eastAsia" w:ascii="宋体" w:hAnsi="宋体" w:cs="宋体"/>
          <w:bCs/>
          <w:sz w:val="24"/>
          <w:szCs w:val="24"/>
          <w:highlight w:val="none"/>
          <w:lang w:eastAsia="zh-CN"/>
        </w:rPr>
        <w:t xml:space="preserve">JSZC-320205-THGC-G2026-0006</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3、项目投标预算价：</w:t>
      </w:r>
      <w:r>
        <w:rPr>
          <w:rFonts w:hint="eastAsia" w:ascii="宋体" w:hAnsi="宋体" w:cs="宋体"/>
          <w:bCs/>
          <w:sz w:val="24"/>
          <w:szCs w:val="24"/>
          <w:highlight w:val="none"/>
          <w:lang w:val="en-US" w:eastAsia="zh-CN"/>
        </w:rPr>
        <w:t xml:space="preserve">120</w:t>
      </w:r>
      <w:r>
        <w:rPr>
          <w:rFonts w:hint="eastAsia" w:ascii="宋体" w:hAnsi="宋体" w:cs="宋体"/>
          <w:bCs/>
          <w:sz w:val="24"/>
          <w:szCs w:val="24"/>
          <w:highlight w:val="none"/>
        </w:rPr>
        <w:t xml:space="preserve">万元，最高限价：</w:t>
      </w:r>
      <w:r>
        <w:rPr>
          <w:rFonts w:hint="eastAsia" w:ascii="宋体" w:hAnsi="宋体" w:cs="宋体"/>
          <w:bCs/>
          <w:sz w:val="24"/>
          <w:szCs w:val="24"/>
          <w:highlight w:val="none"/>
          <w:lang w:val="en-US" w:eastAsia="zh-CN"/>
        </w:rPr>
        <w:t xml:space="preserve">120</w:t>
      </w:r>
      <w:r>
        <w:rPr>
          <w:rFonts w:hint="eastAsia" w:ascii="宋体" w:hAnsi="宋体" w:cs="宋体"/>
          <w:bCs/>
          <w:sz w:val="24"/>
          <w:szCs w:val="24"/>
          <w:highlight w:val="none"/>
        </w:rPr>
        <w:t xml:space="preserve">万元；投标报价不得超过最高限价，否则作无效响应文件处理。</w:t>
      </w:r>
      <w:r/>
    </w:p>
    <w:p>
      <w:pPr>
        <w:ind w:firstLine="480"/>
        <w:spacing w:line="360" w:lineRule="auto"/>
        <w:rPr>
          <w:rFonts w:hint="eastAsia" w:ascii="宋体" w:hAnsi="宋体" w:cs="宋体"/>
          <w:bCs/>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sz w:val="24"/>
          <w:szCs w:val="24"/>
          <w:highlight w:val="none"/>
        </w:rPr>
        <w:t xml:space="preserve">供货期：</w:t>
      </w:r>
      <w:r>
        <w:rPr>
          <w:rFonts w:hint="eastAsia" w:ascii="宋体" w:hAnsi="宋体" w:cs="宋体"/>
          <w:bCs/>
          <w:sz w:val="24"/>
          <w:szCs w:val="24"/>
          <w:highlight w:val="none"/>
        </w:rPr>
        <w:t xml:space="preserve">合同签订生效后</w:t>
      </w:r>
      <w:r>
        <w:rPr>
          <w:rFonts w:hint="eastAsia" w:ascii="宋体" w:hAnsi="宋体" w:cs="宋体"/>
          <w:bCs/>
          <w:sz w:val="24"/>
          <w:szCs w:val="24"/>
          <w:highlight w:val="none"/>
          <w:lang w:val="en-US" w:eastAsia="zh-CN"/>
        </w:rPr>
        <w:t xml:space="preserve">45</w:t>
      </w:r>
      <w:r>
        <w:rPr>
          <w:rFonts w:hint="eastAsia" w:ascii="宋体" w:hAnsi="宋体" w:cs="宋体"/>
          <w:bCs/>
          <w:sz w:val="24"/>
          <w:szCs w:val="24"/>
          <w:highlight w:val="none"/>
        </w:rPr>
        <w:t xml:space="preserve">日历天内完成全部产品供货及安装调试</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5、项目整体</w:t>
      </w:r>
      <w:r>
        <w:rPr>
          <w:rFonts w:hint="eastAsia" w:ascii="宋体" w:hAnsi="宋体" w:cs="宋体"/>
          <w:bCs/>
          <w:sz w:val="24"/>
          <w:szCs w:val="24"/>
          <w:highlight w:val="none"/>
          <w:lang w:val="en-US" w:eastAsia="zh-CN"/>
        </w:rPr>
        <w:t xml:space="preserve">免费</w:t>
      </w:r>
      <w:r>
        <w:rPr>
          <w:rFonts w:hint="eastAsia" w:ascii="宋体" w:hAnsi="宋体" w:cs="宋体"/>
          <w:bCs/>
          <w:sz w:val="24"/>
          <w:szCs w:val="24"/>
          <w:highlight w:val="none"/>
        </w:rPr>
        <w:t xml:space="preserve">质保期：自验收合格之日起1年</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、采购方式：公开招标</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采购人：无锡市锡山区半导体先进制造创新中心</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本项目标的所属行业：工业（制造业）。根据《关于印发中小企业划型标准规定的通知》工信部联企业〔2011〕300号规定，工业（制造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、本项目是否专门面向</w:t>
      </w:r>
      <w:r>
        <w:rPr>
          <w:rFonts w:hint="eastAsia" w:cs="宋体"/>
          <w:bCs/>
          <w:sz w:val="24"/>
          <w:szCs w:val="24"/>
          <w:highlight w:val="none"/>
        </w:rPr>
        <w:t xml:space="preserve">中小</w:t>
      </w:r>
      <w:r>
        <w:rPr>
          <w:rFonts w:hint="eastAsia" w:ascii="宋体" w:hAnsi="宋体" w:cs="宋体"/>
          <w:bCs/>
          <w:sz w:val="24"/>
          <w:szCs w:val="24"/>
          <w:highlight w:val="none"/>
        </w:rPr>
        <w:t xml:space="preserve">企业：否</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10、</w:t>
      </w:r>
      <w:r>
        <w:rPr>
          <w:rFonts w:hint="eastAsia" w:ascii="宋体" w:hAnsi="宋体" w:cs="宋体"/>
          <w:bCs/>
          <w:sz w:val="24"/>
          <w:szCs w:val="24"/>
        </w:rPr>
        <w:t xml:space="preserve">本项目</w:t>
      </w:r>
      <w:r>
        <w:rPr>
          <w:rFonts w:hint="eastAsia" w:ascii="宋体" w:hAnsi="宋体" w:cs="宋体"/>
          <w:b/>
          <w:sz w:val="24"/>
          <w:szCs w:val="24"/>
          <w:u w:val="single"/>
        </w:rPr>
        <w:t xml:space="preserve">不接受</w:t>
      </w:r>
      <w:r>
        <w:rPr>
          <w:rFonts w:hint="eastAsia" w:ascii="宋体" w:hAnsi="宋体" w:cs="宋体"/>
          <w:bCs/>
          <w:sz w:val="24"/>
          <w:szCs w:val="24"/>
        </w:rPr>
        <w:t xml:space="preserve">联合体投标</w:t>
      </w:r>
      <w:r/>
    </w:p>
    <w:p>
      <w:pPr>
        <w:ind w:firstLine="482"/>
        <w:spacing w:line="360" w:lineRule="auto"/>
        <w:rPr>
          <w:rFonts w:hint="eastAsia" w:ascii="宋体" w:hAnsi="宋体" w:cs="宋体"/>
          <w:b/>
          <w:color w:val="ffffff"/>
          <w:sz w:val="24"/>
          <w:szCs w:val="24"/>
        </w:rPr>
        <w:outlineLvl w:val="1"/>
      </w:pPr>
      <w:r>
        <w:rPr>
          <w:rFonts w:hint="eastAsia" w:ascii="宋体" w:hAnsi="宋体" w:cs="宋体"/>
          <w:b/>
          <w:sz w:val="24"/>
          <w:szCs w:val="24"/>
        </w:rPr>
        <w:t xml:space="preserve">（二）供应商资格要求</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1、满足《中华人民共和国政府采购法》第二十二条规定；</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2、未被“信用中国”网站（www.creditchina.gov.cn）、中国政府采购网（www.ccgp.gov.cn）列入失信被执行人、重大税收违法案件当事人名单、政府采购严重违法失信行为记录名单；</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3</w:t>
      </w:r>
      <w:r>
        <w:rPr>
          <w:rFonts w:hint="eastAsia" w:ascii="宋体" w:hAnsi="宋体" w:cs="宋体"/>
          <w:bCs/>
          <w:sz w:val="24"/>
          <w:szCs w:val="24"/>
        </w:rPr>
        <w:t xml:space="preserve">、落实政府采购政策需满足的资格要求：/；</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4</w:t>
      </w:r>
      <w:r>
        <w:rPr>
          <w:rFonts w:hint="eastAsia" w:ascii="宋体" w:hAnsi="宋体" w:cs="宋体"/>
          <w:bCs/>
          <w:sz w:val="24"/>
          <w:szCs w:val="24"/>
        </w:rPr>
        <w:t xml:space="preserve">、本项目的特定资格要求：供应商应是在国内依法注册</w:t>
      </w:r>
      <w:r>
        <w:rPr>
          <w:rFonts w:hint="eastAsia" w:ascii="宋体" w:hAnsi="宋体" w:cs="宋体"/>
          <w:bCs/>
          <w:sz w:val="24"/>
          <w:szCs w:val="24"/>
          <w:lang w:eastAsia="zh-CN"/>
        </w:rPr>
        <w:t xml:space="preserve">（</w:t>
      </w:r>
      <w:r>
        <w:rPr>
          <w:rFonts w:hint="eastAsia" w:ascii="宋体" w:hAnsi="宋体" w:cs="宋体"/>
          <w:bCs/>
          <w:sz w:val="24"/>
          <w:szCs w:val="24"/>
        </w:rPr>
        <w:t xml:space="preserve">拟投入产品</w:t>
      </w:r>
      <w:r>
        <w:rPr>
          <w:rFonts w:hint="eastAsia" w:ascii="宋体" w:hAnsi="宋体" w:cs="宋体"/>
          <w:bCs/>
          <w:sz w:val="24"/>
          <w:szCs w:val="24"/>
          <w:lang w:eastAsia="zh-CN"/>
        </w:rPr>
        <w:t xml:space="preserve">）</w:t>
      </w:r>
      <w:r>
        <w:rPr>
          <w:rFonts w:hint="eastAsia" w:ascii="宋体" w:hAnsi="宋体" w:cs="宋体"/>
          <w:bCs/>
          <w:sz w:val="24"/>
          <w:szCs w:val="24"/>
        </w:rPr>
        <w:t xml:space="preserve">的</w:t>
      </w:r>
      <w:r>
        <w:rPr>
          <w:rFonts w:hint="eastAsia" w:ascii="宋体" w:hAnsi="宋体" w:cs="宋体"/>
          <w:bCs/>
          <w:sz w:val="24"/>
          <w:szCs w:val="24"/>
          <w:highlight w:val="none"/>
        </w:rPr>
        <w:t xml:space="preserve">生产制造商或销售代理商，</w:t>
      </w:r>
      <w:r>
        <w:rPr>
          <w:rFonts w:hint="eastAsia" w:ascii="宋体" w:hAnsi="宋体" w:cs="宋体"/>
          <w:bCs/>
          <w:sz w:val="24"/>
          <w:szCs w:val="24"/>
        </w:rPr>
        <w:t xml:space="preserve">应具有有效营业执照。</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（三）供应商主体信息库注册</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1、请有意参加本项目投标的供应商按以下流程进行操作：</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（1）访问“江苏政府采购网”</w:t>
      </w:r>
      <w:r>
        <w:rPr>
          <w:rFonts w:hint="eastAsia" w:ascii="宋体" w:hAnsi="宋体" w:cs="宋体"/>
          <w:bCs/>
          <w:sz w:val="24"/>
          <w:szCs w:val="24"/>
          <w:lang w:eastAsia="zh-CN"/>
        </w:rPr>
        <w:t xml:space="preserve">，</w:t>
      </w:r>
      <w:r>
        <w:rPr>
          <w:rFonts w:hint="eastAsia" w:ascii="宋体" w:hAnsi="宋体" w:cs="宋体"/>
          <w:bCs/>
          <w:sz w:val="24"/>
          <w:szCs w:val="24"/>
        </w:rPr>
        <w:t xml:space="preserve">点击“苏采云”的“供应商”登录入口—“用户注册”按钮进入注册界面，也可以直接通过http://jszfcg.jsczt.cn/jszc/login?进入注册界面。</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（2）办理并领取CA和电子签章（办理地址：无锡市观山路市民中心12号楼1楼公共资源交易大厅）。</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（3）“苏采云”系统供应商操作手册链接：</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http://cz.wuxi.gov.cn/ztzl/zfcg/zlxz/scy/index.shtml</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（4）CA驱动下载链接（政务CA方正签章控件驱动）：</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http://cz.wuxi.gov.cn/ztzl/zfcg/zlxz/scy/index.shtml</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技术服务QQ：3071474382（服务时间：工作日9:00-17:00）</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2、完成注册的供应商方可绑定CA，并使用CA登录苏采云平台，参与项目，上传投标文件，进行投标。</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3、如供应商未按上述要求操作，由此所产生的损失及风险由供应商自行承担。</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（四）获取采购文件</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rPr>
        <w:t xml:space="preserve">供应商可在财政部门指定媒体发布的公告附件中查看公开招标文件，如确定参加本次采购活动，必须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w:t>
      </w:r>
      <w:r>
        <w:rPr>
          <w:rFonts w:hint="eastAsia" w:ascii="宋体" w:hAnsi="宋体" w:cs="宋体"/>
          <w:bCs/>
          <w:sz w:val="24"/>
          <w:szCs w:val="24"/>
          <w:highlight w:val="none"/>
        </w:rPr>
        <w:t xml:space="preserve">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（五）公开答疑时间、地点</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采购人、江苏通汇工程管理咨询有限公司将以电话咨询、邮箱（</w:t>
      </w:r>
      <w:r>
        <w:rPr>
          <w:rFonts w:hint="eastAsia" w:ascii="宋体" w:hAnsi="宋体" w:cs="宋体"/>
          <w:bCs/>
          <w:sz w:val="24"/>
          <w:szCs w:val="24"/>
          <w:highlight w:val="none"/>
          <w:lang w:eastAsia="zh-CN"/>
        </w:rPr>
        <w:t xml:space="preserve">1010186519@qq.com</w:t>
      </w:r>
      <w:r>
        <w:rPr>
          <w:rFonts w:hint="eastAsia" w:ascii="宋体" w:hAnsi="宋体" w:cs="宋体"/>
          <w:bCs/>
          <w:sz w:val="24"/>
          <w:szCs w:val="24"/>
          <w:highlight w:val="none"/>
        </w:rPr>
        <w:t xml:space="preserve">）等方式开展线上不见面答疑服务。截止至20</w:t>
      </w:r>
      <w:r>
        <w:rPr>
          <w:rFonts w:hint="eastAsia" w:ascii="宋体" w:hAnsi="宋体" w:cs="宋体"/>
          <w:bCs/>
          <w:sz w:val="24"/>
          <w:szCs w:val="24"/>
          <w:highlight w:val="none"/>
          <w:lang w:val="en-US" w:eastAsia="zh-CN"/>
        </w:rPr>
        <w:t xml:space="preserve">26</w:t>
      </w:r>
      <w:r>
        <w:rPr>
          <w:rFonts w:hint="eastAsia" w:ascii="宋体" w:hAnsi="宋体" w:cs="宋体"/>
          <w:bCs/>
          <w:sz w:val="24"/>
          <w:szCs w:val="24"/>
          <w:highlight w:val="none"/>
        </w:rPr>
        <w:t xml:space="preserve">年</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20</w:t>
      </w:r>
      <w:r>
        <w:rPr>
          <w:rFonts w:hint="eastAsia" w:ascii="宋体" w:hAnsi="宋体" w:cs="宋体"/>
          <w:bCs/>
          <w:sz w:val="24"/>
          <w:szCs w:val="24"/>
          <w:highlight w:val="none"/>
        </w:rPr>
        <w:t xml:space="preserve">日</w:t>
      </w:r>
      <w:r>
        <w:rPr>
          <w:rFonts w:hint="eastAsia" w:ascii="宋体" w:hAnsi="宋体" w:cs="宋体"/>
          <w:bCs/>
          <w:sz w:val="24"/>
          <w:szCs w:val="24"/>
          <w:highlight w:val="none"/>
        </w:rPr>
        <w:t xml:space="preserve">10:00前，有关单位对于招标文件的相关事项如有疑问可通过上述方式咨询；供应商如有需要对招标文件要求澄清的问题，请以书面形式（必须加盖供应商公章，也请务必留下联系方式，以便回复）提出“</w:t>
      </w:r>
      <w:r>
        <w:rPr>
          <w:rFonts w:hint="eastAsia" w:ascii="宋体" w:hAnsi="宋体" w:cs="宋体"/>
          <w:bCs/>
          <w:sz w:val="24"/>
          <w:szCs w:val="24"/>
          <w:highlight w:val="none"/>
          <w:lang w:eastAsia="zh-CN"/>
        </w:rPr>
        <w:t xml:space="preserve">JSZC-320205-THGC-G2026-0006</w:t>
      </w:r>
      <w:r>
        <w:rPr>
          <w:rFonts w:hint="eastAsia" w:ascii="宋体" w:hAnsi="宋体" w:cs="宋体"/>
          <w:bCs/>
          <w:sz w:val="24"/>
          <w:szCs w:val="24"/>
          <w:highlight w:val="none"/>
        </w:rPr>
        <w:t xml:space="preserve">项目需澄清问题”，并于答疑截止时间前邮箱（</w:t>
      </w:r>
      <w:r>
        <w:rPr>
          <w:rFonts w:hint="eastAsia" w:ascii="宋体" w:hAnsi="宋体" w:cs="宋体"/>
          <w:bCs/>
          <w:sz w:val="24"/>
          <w:szCs w:val="24"/>
          <w:highlight w:val="none"/>
          <w:lang w:eastAsia="zh-CN"/>
        </w:rPr>
        <w:t xml:space="preserve">1010186519@qq.com</w:t>
      </w:r>
      <w:r>
        <w:rPr>
          <w:rFonts w:hint="eastAsia" w:ascii="宋体" w:hAnsi="宋体" w:cs="宋体"/>
          <w:bCs/>
          <w:sz w:val="24"/>
          <w:szCs w:val="24"/>
          <w:highlight w:val="none"/>
        </w:rPr>
        <w:t xml:space="preserve">）给项目联系人。若未在法定时间内提出澄清，由此造成的损失及风险由供应商自行承担。</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（六）现场踏勘</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（七）投标及开标、定标时间、地点</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投标截止时间（网上投标截止时间苏采云投标客户端投标）：20</w:t>
      </w:r>
      <w:r>
        <w:rPr>
          <w:rFonts w:hint="eastAsia" w:ascii="宋体" w:hAnsi="宋体" w:cs="宋体"/>
          <w:bCs/>
          <w:sz w:val="24"/>
          <w:szCs w:val="24"/>
          <w:highlight w:val="none"/>
          <w:lang w:val="en-US" w:eastAsia="zh-CN"/>
        </w:rPr>
        <w:t xml:space="preserve">26</w:t>
      </w:r>
      <w:r>
        <w:rPr>
          <w:rFonts w:hint="eastAsia" w:ascii="宋体" w:hAnsi="宋体" w:cs="宋体"/>
          <w:bCs/>
          <w:sz w:val="24"/>
          <w:szCs w:val="24"/>
          <w:highlight w:val="none"/>
        </w:rPr>
        <w:t xml:space="preserve">年</w:t>
      </w: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日</w:t>
      </w:r>
      <w:r>
        <w:rPr>
          <w:rFonts w:hint="eastAsia" w:ascii="宋体" w:hAnsi="宋体" w:cs="宋体"/>
          <w:bCs/>
          <w:sz w:val="24"/>
          <w:szCs w:val="24"/>
          <w:highlight w:val="none"/>
        </w:rPr>
        <w:t xml:space="preserve">09:30，投标截止时间后的投标文件恕不接受。</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开标时间：20</w:t>
      </w:r>
      <w:r>
        <w:rPr>
          <w:rFonts w:hint="eastAsia" w:ascii="宋体" w:hAnsi="宋体" w:cs="宋体"/>
          <w:bCs/>
          <w:sz w:val="24"/>
          <w:szCs w:val="24"/>
          <w:highlight w:val="none"/>
          <w:lang w:val="en-US" w:eastAsia="zh-CN"/>
        </w:rPr>
        <w:t xml:space="preserve">26</w:t>
      </w:r>
      <w:r>
        <w:rPr>
          <w:rFonts w:hint="eastAsia" w:ascii="宋体" w:hAnsi="宋体" w:cs="宋体"/>
          <w:bCs/>
          <w:sz w:val="24"/>
          <w:szCs w:val="24"/>
          <w:highlight w:val="none"/>
        </w:rPr>
        <w:t xml:space="preserve">年</w:t>
      </w: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日</w:t>
      </w:r>
      <w:r>
        <w:rPr>
          <w:rFonts w:hint="eastAsia" w:ascii="宋体" w:hAnsi="宋体" w:cs="宋体"/>
          <w:bCs/>
          <w:sz w:val="24"/>
          <w:szCs w:val="24"/>
          <w:highlight w:val="none"/>
        </w:rPr>
        <w:t xml:space="preserve">09:30。</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投标及开标地点：江苏省政府采购（苏采云）平台。</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定标时间：评标结束</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定标地点：无锡市锡山区东亭迎宾南路21号二楼</w:t>
      </w:r>
      <w:r/>
    </w:p>
    <w:p>
      <w:pPr>
        <w:ind w:firstLine="482"/>
        <w:spacing w:line="360" w:lineRule="auto"/>
        <w:rPr>
          <w:rFonts w:hint="eastAsia" w:ascii="宋体" w:hAnsi="宋体" w:cs="宋体"/>
          <w:bCs/>
          <w:sz w:val="24"/>
          <w:szCs w:val="24"/>
        </w:rPr>
        <w:outlineLvl w:val="1"/>
      </w:pPr>
      <w:r>
        <w:rPr>
          <w:rFonts w:hint="eastAsia" w:ascii="宋体" w:hAnsi="宋体" w:cs="宋体"/>
          <w:b/>
          <w:sz w:val="24"/>
          <w:szCs w:val="24"/>
        </w:rPr>
        <w:t xml:space="preserve">（八）投标文件份数：</w:t>
      </w:r>
      <w:r>
        <w:rPr>
          <w:rFonts w:hint="eastAsia" w:ascii="宋体" w:hAnsi="宋体" w:cs="宋体"/>
          <w:bCs/>
          <w:sz w:val="24"/>
          <w:szCs w:val="24"/>
        </w:rPr>
        <w:t xml:space="preserve">请按规定上传电子响应文件，不接收纸质投标文件</w:t>
      </w:r>
      <w:r/>
    </w:p>
    <w:p>
      <w:pPr>
        <w:ind w:firstLine="482"/>
        <w:spacing w:line="360" w:lineRule="auto"/>
        <w:rPr>
          <w:rFonts w:hint="eastAsia" w:ascii="宋体" w:hAnsi="宋体" w:cs="宋体"/>
          <w:bCs/>
          <w:sz w:val="24"/>
          <w:szCs w:val="24"/>
        </w:rPr>
        <w:outlineLvl w:val="1"/>
      </w:pPr>
      <w:r>
        <w:rPr>
          <w:rFonts w:hint="eastAsia" w:ascii="宋体" w:hAnsi="宋体" w:cs="宋体"/>
          <w:b/>
          <w:sz w:val="24"/>
          <w:szCs w:val="24"/>
        </w:rPr>
        <w:t xml:space="preserve">（九）投标有效期：</w:t>
      </w:r>
      <w:r>
        <w:rPr>
          <w:rFonts w:hint="eastAsia" w:ascii="宋体" w:hAnsi="宋体" w:cs="宋体"/>
          <w:bCs/>
          <w:sz w:val="24"/>
          <w:szCs w:val="24"/>
        </w:rPr>
        <w:t xml:space="preserve">开标之日起90天</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（十）采购方法</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本次采购采用“江苏省政府采购（苏采云）平台”进行招标投标活动，招标、投标、评标和中标结果发布全程电子化。</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（十一）其他</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采购人：无锡市锡山区半导体先进制造创新中心</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联系人：</w:t>
      </w:r>
      <w:r>
        <w:rPr>
          <w:rFonts w:hint="eastAsia" w:ascii="宋体" w:hAnsi="宋体" w:cs="宋体"/>
          <w:bCs/>
          <w:sz w:val="24"/>
          <w:szCs w:val="24"/>
          <w:highlight w:val="none"/>
          <w:lang w:val="en-US" w:eastAsia="zh-CN"/>
        </w:rPr>
        <w:t xml:space="preserve">印杰</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采购机构：江苏通汇工程管理咨询有限公司</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地址：无锡市锡山区万马广场59-102</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联系人：陆翠芹</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电  话：0510-88226300</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邮  编：214000</w:t>
      </w:r>
      <w:r/>
    </w:p>
    <w:p>
      <w:pPr>
        <w:ind w:firstLine="480"/>
        <w:spacing w:line="360" w:lineRule="auto"/>
        <w:rPr>
          <w:rFonts w:ascii="宋体" w:hAnsi="宋体" w:cs="宋体"/>
          <w:bCs/>
          <w:sz w:val="24"/>
          <w:szCs w:val="24"/>
        </w:rPr>
      </w:pPr>
      <w:r>
        <w:rPr>
          <w:rFonts w:ascii="宋体" w:hAnsi="宋体" w:cs="宋体"/>
          <w:bCs/>
          <w:sz w:val="24"/>
          <w:szCs w:val="24"/>
        </w:rPr>
      </w:r>
      <w:r/>
    </w:p>
    <w:p>
      <w:pPr>
        <w:ind w:firstLine="480"/>
        <w:spacing w:line="360" w:lineRule="auto"/>
        <w:rPr>
          <w:rFonts w:hint="eastAsia" w:ascii="宋体" w:hAnsi="宋体" w:cs="宋体"/>
          <w:bCs/>
          <w:sz w:val="24"/>
          <w:szCs w:val="24"/>
        </w:rPr>
        <w:sectPr>
          <w:footerReference w:type="default" r:id="rId2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 w:val="24"/>
          <w:szCs w:val="24"/>
        </w:rPr>
      </w:r>
      <w:r/>
    </w:p>
    <w:p>
      <w:pPr>
        <w:jc w:val="center"/>
        <w:spacing w:line="360" w:lineRule="auto"/>
        <w:rPr>
          <w:rFonts w:hint="eastAsia" w:hAnsi="宋体" w:cs="宋体"/>
          <w:b/>
          <w:bCs/>
          <w:sz w:val="32"/>
          <w:szCs w:val="32"/>
        </w:rPr>
        <w:outlineLvl w:val="0"/>
      </w:pPr>
      <w:r>
        <w:rPr>
          <w:rFonts w:hint="eastAsia" w:hAnsi="宋体" w:cs="宋体"/>
          <w:b/>
          <w:bCs/>
          <w:sz w:val="32"/>
          <w:szCs w:val="32"/>
        </w:rPr>
        <w:t xml:space="preserve">二、投标人须知</w:t>
      </w:r>
      <w:bookmarkEnd w:id="18"/>
      <w:r/>
      <w:bookmarkEnd w:id="19"/>
      <w:r/>
      <w:r/>
    </w:p>
    <w:p>
      <w:pPr>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(一)遵循原则：</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公开透明原则、公平竞争原则、公正原则和诚实信用原则。</w:t>
      </w:r>
      <w:r/>
    </w:p>
    <w:p>
      <w:pPr>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(二)招标文件：</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1．招标文件包括本文件目录所列全部内容，投标人应仔细阅读，并在投标文件中充分响应招标文件的所有要求。</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2.潜在投标人可在项目招标公告附件中查看公开招标文件，如确</w:t>
      </w:r>
      <w:r>
        <w:rPr>
          <w:rFonts w:hint="eastAsia" w:ascii="宋体" w:hAnsi="宋体" w:cs="宋体"/>
          <w:bCs/>
          <w:sz w:val="24"/>
          <w:szCs w:val="24"/>
        </w:rPr>
        <w:t xml:space="preserve">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3．投标人一旦参加本项目投标，即表明承诺接受了本招标文件中的所有条件和规定。</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4．招标文件仅作为本次招投标使用。</w:t>
      </w:r>
      <w:r/>
    </w:p>
    <w:p>
      <w:pPr>
        <w:pStyle w:val="1501"/>
        <w:ind w:firstLine="480"/>
        <w:spacing w:line="360" w:lineRule="auto"/>
        <w:rPr>
          <w:rFonts w:hint="eastAsia" w:ascii="宋体" w:hAnsi="宋体" w:cs="宋体"/>
          <w:bCs/>
          <w:sz w:val="24"/>
          <w:szCs w:val="24"/>
        </w:rPr>
      </w:pPr>
      <w:r>
        <w:rPr>
          <w:rFonts w:hint="eastAsia" w:ascii="宋体" w:hAnsi="宋体" w:cs="宋体"/>
          <w:bCs/>
          <w:sz w:val="24"/>
          <w:szCs w:val="24"/>
        </w:rPr>
        <w:t xml:space="preserve">5．招标文件中的“法定代表人”是指投标人的营业执照或相关部门的登记证明文件中的“法定代表人”或“负责人”。</w:t>
      </w:r>
      <w:r/>
    </w:p>
    <w:p>
      <w:pPr>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(三)招标文件的解释：</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本文件的最终解释权归采购人及江苏通汇工程管理咨询有限公司。</w:t>
      </w:r>
      <w:r/>
    </w:p>
    <w:p>
      <w:pPr>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(四)招标文件的补充或修正：</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1．采购人或采购代理机构可在投标截止时间15日前对招标文件进行必要的澄清或者修改，不足15日的，将顺延提交投标文件的截止时间。</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如需对招标文件进行澄清或修正，江苏通汇工程管理咨询有限公司将在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投标人自行承担。</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3．供应商认为招标文件使自己的权益受到损害的，可以自获取招标文件之日或者招标公告期限届满之日（公告期限届满后获取招标文件的，以公告期限届满之日为准）起7个工作日内，</w:t>
      </w:r>
      <w:r>
        <w:rPr>
          <w:rFonts w:hint="eastAsia" w:ascii="宋体" w:hAnsi="宋体" w:cs="宋体"/>
          <w:bCs/>
          <w:sz w:val="24"/>
          <w:szCs w:val="24"/>
        </w:rPr>
        <w:t xml:space="preserve">以书面形式向采购人或江苏通汇工程管理咨询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江苏通汇工程管理咨询有限公司将在收到符合上述要求的书面质疑后七个工作日内，对质疑内容作出答复。投标人在法定质疑期限外送达的质疑函或法定质疑期限内送达的质疑函不符合上述要求的均为无效质疑，江苏通汇工程管理咨询有限公司对无效质疑不予受理。</w:t>
      </w:r>
      <w:r/>
    </w:p>
    <w:p>
      <w:pPr>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(五)投标文件的组成</w:t>
      </w:r>
      <w:r>
        <w:rPr>
          <w:rFonts w:hint="eastAsia" w:ascii="宋体" w:hAnsi="宋体" w:cs="宋体"/>
          <w:b/>
          <w:sz w:val="24"/>
          <w:szCs w:val="24"/>
        </w:rPr>
        <w:t xml:space="preserve">（相应内容上传至投标客户端）</w:t>
      </w:r>
      <w:r>
        <w:rPr>
          <w:rFonts w:hint="eastAsia" w:ascii="宋体" w:hAnsi="宋体" w:cs="宋体"/>
          <w:bCs/>
          <w:sz w:val="24"/>
          <w:szCs w:val="24"/>
        </w:rPr>
        <w:t xml:space="preserve">：</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1．投标函</w:t>
      </w:r>
      <w:r>
        <w:rPr>
          <w:rFonts w:hint="eastAsia" w:ascii="宋体" w:hAnsi="宋体" w:cs="宋体"/>
          <w:b/>
          <w:bCs/>
          <w:sz w:val="24"/>
          <w:szCs w:val="24"/>
        </w:rPr>
        <w:t xml:space="preserve">（格式见附件）</w:t>
      </w:r>
      <w:r>
        <w:rPr>
          <w:rFonts w:hint="eastAsia" w:ascii="宋体" w:hAnsi="宋体" w:cs="宋体"/>
          <w:bCs/>
          <w:sz w:val="24"/>
          <w:szCs w:val="24"/>
        </w:rPr>
        <w:t xml:space="preserve">；</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2．资格、资信证明文件：</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（1）关于资格的声明函</w:t>
      </w:r>
      <w:r>
        <w:rPr>
          <w:rFonts w:hint="eastAsia" w:ascii="宋体" w:hAnsi="宋体" w:cs="宋体"/>
          <w:b/>
          <w:bCs/>
          <w:sz w:val="24"/>
          <w:szCs w:val="24"/>
        </w:rPr>
        <w:t xml:space="preserve">（格式见附件）</w:t>
      </w:r>
      <w:r>
        <w:rPr>
          <w:rFonts w:hint="eastAsia" w:ascii="宋体" w:hAnsi="宋体" w:cs="宋体"/>
          <w:bCs/>
          <w:sz w:val="24"/>
          <w:szCs w:val="24"/>
        </w:rPr>
        <w:t xml:space="preserve">；</w:t>
      </w:r>
      <w:r/>
    </w:p>
    <w:p>
      <w:pPr>
        <w:ind w:firstLine="480"/>
        <w:spacing w:line="360" w:lineRule="auto"/>
        <w:tabs>
          <w:tab w:val="left" w:pos="945" w:leader="none"/>
          <w:tab w:val="left" w:pos="1276" w:leader="none"/>
        </w:tabs>
        <w:rPr>
          <w:rFonts w:hint="eastAsia" w:ascii="宋体" w:hAnsi="宋体" w:cs="宋体"/>
          <w:bCs/>
          <w:sz w:val="24"/>
          <w:szCs w:val="24"/>
        </w:rPr>
      </w:pPr>
      <w:r>
        <w:rPr>
          <w:rFonts w:hint="eastAsia" w:ascii="宋体" w:hAnsi="宋体" w:cs="宋体"/>
          <w:bCs/>
          <w:sz w:val="24"/>
          <w:szCs w:val="24"/>
        </w:rPr>
        <w:t xml:space="preserve">（2）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tabs>
          <w:tab w:val="left" w:pos="945" w:leader="none"/>
          <w:tab w:val="left" w:pos="1260" w:leader="none"/>
        </w:tabs>
        <w:rPr>
          <w:rFonts w:hint="eastAsia" w:ascii="宋体" w:hAnsi="宋体" w:cs="宋体"/>
          <w:bCs/>
          <w:sz w:val="24"/>
          <w:szCs w:val="24"/>
        </w:rPr>
      </w:pPr>
      <w:r>
        <w:rPr>
          <w:rFonts w:hint="eastAsia" w:ascii="宋体" w:hAnsi="宋体" w:cs="宋体"/>
          <w:bCs/>
          <w:sz w:val="24"/>
          <w:szCs w:val="24"/>
        </w:rPr>
        <w:t xml:space="preserve">（3）供应商法定代表人（其他组织或者自然人）授权委托书（法定代表人亲自参与投标的除外，投标人如是自然人情形的，可不提供，格式见附件）；</w:t>
      </w:r>
      <w:r/>
    </w:p>
    <w:p>
      <w:pPr>
        <w:ind w:firstLine="480"/>
        <w:spacing w:line="360" w:lineRule="auto"/>
        <w:tabs>
          <w:tab w:val="left" w:pos="1050" w:leader="none"/>
        </w:tabs>
        <w:rPr>
          <w:rFonts w:hint="eastAsia" w:ascii="宋体" w:hAnsi="宋体" w:cs="宋体"/>
          <w:bCs/>
          <w:sz w:val="24"/>
          <w:szCs w:val="24"/>
        </w:rPr>
      </w:pPr>
      <w:r/>
      <w:bookmarkStart w:id="20" w:name="_Hlk39128912"/>
      <w:r>
        <w:rPr>
          <w:rFonts w:hint="eastAsia" w:ascii="宋体" w:hAnsi="宋体" w:cs="宋体"/>
          <w:bCs/>
          <w:sz w:val="24"/>
          <w:szCs w:val="24"/>
        </w:rPr>
        <w:t xml:space="preserve">（4）供应商法定代表人（自然人）身份证扫描件（正、反面）；</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（5）供应商法定代表人（其他组织或者自然人）授权代表身份证扫描件（正、反面）（法定代表人</w:t>
      </w:r>
      <w:r>
        <w:rPr>
          <w:rFonts w:hint="eastAsia" w:ascii="宋体" w:hAnsi="宋体" w:cs="宋体"/>
          <w:bCs/>
          <w:sz w:val="24"/>
          <w:szCs w:val="24"/>
          <w:lang w:eastAsia="zh-CN"/>
        </w:rPr>
        <w:t xml:space="preserve">、</w:t>
      </w:r>
      <w:r>
        <w:rPr>
          <w:rFonts w:hint="eastAsia" w:ascii="宋体" w:hAnsi="宋体" w:cs="宋体"/>
          <w:bCs/>
          <w:sz w:val="24"/>
          <w:szCs w:val="24"/>
        </w:rPr>
        <w:t xml:space="preserve">自然人亲自参加投标的除外）；</w:t>
      </w:r>
      <w:bookmarkEnd w:id="20"/>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（6）供应商近三个月中任意一个月份（不含</w:t>
      </w:r>
      <w:r>
        <w:rPr>
          <w:rFonts w:hint="eastAsia" w:ascii="宋体" w:hAnsi="宋体" w:cs="宋体"/>
          <w:bCs/>
          <w:sz w:val="24"/>
          <w:szCs w:val="24"/>
          <w:lang w:val="en-US" w:eastAsia="zh-CN"/>
        </w:rPr>
        <w:t xml:space="preserve">开标</w:t>
      </w:r>
      <w:r>
        <w:rPr>
          <w:rFonts w:hint="eastAsia" w:ascii="宋体" w:hAnsi="宋体" w:cs="宋体"/>
          <w:bCs/>
          <w:sz w:val="24"/>
          <w:szCs w:val="24"/>
        </w:rPr>
        <w:t xml:space="preserve">当月）的财务状况报告（资产负债表和利润表）或由会计师事务所出具的近两年中任意一个年度的审计报告和所附已审财务报告扫描件，新成立的公司（成立不满三个自然月的公司、企业）除外；</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（7）供应商近三个月中任意一个月份（不含</w:t>
      </w:r>
      <w:r>
        <w:rPr>
          <w:rFonts w:hint="eastAsia" w:ascii="宋体" w:hAnsi="宋体" w:cs="宋体"/>
          <w:bCs/>
          <w:sz w:val="24"/>
          <w:szCs w:val="24"/>
          <w:lang w:val="en-US" w:eastAsia="zh-CN"/>
        </w:rPr>
        <w:t xml:space="preserve">开标</w:t>
      </w:r>
      <w:r>
        <w:rPr>
          <w:rFonts w:hint="eastAsia" w:ascii="宋体" w:hAnsi="宋体" w:cs="宋体"/>
          <w:bCs/>
          <w:sz w:val="24"/>
          <w:szCs w:val="24"/>
        </w:rPr>
        <w:t xml:space="preserve">当月）的依法缴纳税收的相关材料（提供相关主管部门证明或银行代扣证明）扫描件，若供应商无需依法缴纳税收，请提供纳税申报表；</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（8）供应商近三个月中任意一个月份（不含</w:t>
      </w:r>
      <w:r>
        <w:rPr>
          <w:rFonts w:hint="eastAsia" w:ascii="宋体" w:hAnsi="宋体" w:cs="宋体"/>
          <w:bCs/>
          <w:sz w:val="24"/>
          <w:szCs w:val="24"/>
          <w:lang w:val="en-US" w:eastAsia="zh-CN"/>
        </w:rPr>
        <w:t xml:space="preserve">开标</w:t>
      </w:r>
      <w:r>
        <w:rPr>
          <w:rFonts w:hint="eastAsia" w:ascii="宋体" w:hAnsi="宋体" w:cs="宋体"/>
          <w:bCs/>
          <w:sz w:val="24"/>
          <w:szCs w:val="24"/>
        </w:rPr>
        <w:t xml:space="preserve">当月）的依法缴纳社会保障资金的相关材料（提供相关主管部门证明或银行代扣证明）扫描件，新成立的公司（成立不满三个自然月的公司、企业）除外；</w:t>
      </w:r>
      <w:r/>
    </w:p>
    <w:p>
      <w:pPr>
        <w:ind w:firstLine="480"/>
        <w:spacing w:line="360" w:lineRule="auto"/>
        <w:tabs>
          <w:tab w:val="left" w:pos="1050" w:leader="none"/>
        </w:tabs>
        <w:rPr>
          <w:rFonts w:hint="eastAsia" w:ascii="宋体" w:hAnsi="宋体" w:eastAsia="宋体" w:cs="宋体"/>
          <w:b w:val="0"/>
          <w:bCs/>
          <w:sz w:val="24"/>
          <w:szCs w:val="24"/>
          <w:lang w:eastAsia="zh-CN"/>
        </w:rPr>
      </w:pPr>
      <w:r>
        <w:rPr>
          <w:rFonts w:hint="eastAsia" w:ascii="宋体" w:hAnsi="宋体" w:cs="宋体"/>
          <w:b w:val="0"/>
          <w:bCs/>
          <w:sz w:val="24"/>
          <w:szCs w:val="24"/>
        </w:rPr>
        <w:t xml:space="preserve">（9）承诺书（格式见附件）</w:t>
      </w:r>
      <w:r>
        <w:rPr>
          <w:rFonts w:hint="eastAsia" w:ascii="宋体" w:hAnsi="宋体" w:cs="宋体"/>
          <w:b w:val="0"/>
          <w:bCs/>
          <w:sz w:val="24"/>
          <w:szCs w:val="24"/>
          <w:lang w:eastAsia="zh-CN"/>
        </w:rPr>
        <w:t xml:space="preserve">；</w:t>
      </w:r>
      <w:r/>
    </w:p>
    <w:p>
      <w:pPr>
        <w:ind w:firstLine="480"/>
        <w:spacing w:line="360" w:lineRule="auto"/>
        <w:tabs>
          <w:tab w:val="left" w:pos="1050" w:leader="none"/>
        </w:tabs>
        <w:rPr>
          <w:rFonts w:hint="eastAsia" w:ascii="宋体" w:hAnsi="宋体" w:cs="宋体"/>
          <w:b w:val="0"/>
          <w:bCs/>
          <w:sz w:val="24"/>
          <w:szCs w:val="24"/>
        </w:rPr>
      </w:pPr>
      <w:r>
        <w:rPr>
          <w:rFonts w:hint="eastAsia" w:ascii="宋体" w:hAnsi="宋体" w:cs="宋体"/>
          <w:b w:val="0"/>
          <w:bCs/>
          <w:sz w:val="24"/>
          <w:szCs w:val="24"/>
        </w:rPr>
        <w:t xml:space="preserve">（1</w:t>
      </w:r>
      <w:r>
        <w:rPr>
          <w:rFonts w:hint="eastAsia" w:ascii="宋体" w:hAnsi="宋体" w:cs="宋体"/>
          <w:b w:val="0"/>
          <w:bCs/>
          <w:sz w:val="24"/>
          <w:szCs w:val="24"/>
          <w:lang w:val="en-US" w:eastAsia="zh-CN"/>
        </w:rPr>
        <w:t xml:space="preserve">0</w:t>
      </w:r>
      <w:r>
        <w:rPr>
          <w:rFonts w:hint="eastAsia" w:ascii="宋体" w:hAnsi="宋体" w:cs="宋体"/>
          <w:b w:val="0"/>
          <w:bCs/>
          <w:sz w:val="24"/>
          <w:szCs w:val="24"/>
        </w:rPr>
        <w:t xml:space="preserve">）采购人要求的特定资质证明扫描件（详见“投标邀请函”-“供应商资格要求”之4中要求）。</w:t>
      </w:r>
      <w:r/>
    </w:p>
    <w:p>
      <w:pPr>
        <w:ind w:firstLine="480"/>
        <w:spacing w:line="360" w:lineRule="auto"/>
        <w:tabs>
          <w:tab w:val="left" w:pos="1050" w:leader="none"/>
        </w:tabs>
        <w:rPr>
          <w:rFonts w:hint="eastAsia" w:ascii="宋体" w:hAnsi="宋体" w:cs="宋体"/>
          <w:b/>
          <w:bCs/>
          <w:sz w:val="24"/>
          <w:szCs w:val="24"/>
          <w:highlight w:val="none"/>
        </w:rPr>
      </w:pP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．开标一览表</w:t>
      </w:r>
      <w:r>
        <w:rPr>
          <w:rFonts w:hint="eastAsia" w:ascii="宋体" w:hAnsi="宋体" w:cs="宋体"/>
          <w:b/>
          <w:bCs/>
          <w:sz w:val="24"/>
          <w:szCs w:val="24"/>
          <w:highlight w:val="none"/>
        </w:rPr>
        <w:t xml:space="preserve">（格式见附件）</w:t>
      </w:r>
      <w:r/>
    </w:p>
    <w:p>
      <w:pPr>
        <w:ind w:firstLine="480"/>
        <w:spacing w:line="360" w:lineRule="auto"/>
        <w:tabs>
          <w:tab w:val="left" w:pos="1260" w:leader="none"/>
        </w:tabs>
        <w:rPr>
          <w:rFonts w:hint="eastAsia" w:ascii="宋体" w:hAnsi="宋体" w:cs="宋体"/>
          <w:b/>
          <w:bCs/>
          <w:sz w:val="24"/>
          <w:szCs w:val="24"/>
          <w:highlight w:val="none"/>
        </w:rPr>
      </w:pP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．报价明细表</w:t>
      </w:r>
      <w:r>
        <w:rPr>
          <w:rFonts w:hint="eastAsia" w:ascii="宋体" w:hAnsi="宋体" w:cs="宋体"/>
          <w:b/>
          <w:bCs/>
          <w:sz w:val="24"/>
          <w:szCs w:val="24"/>
          <w:highlight w:val="none"/>
        </w:rPr>
        <w:t xml:space="preserve">（格式见附件）</w:t>
      </w:r>
      <w:r/>
    </w:p>
    <w:p>
      <w:pPr>
        <w:ind w:firstLine="480"/>
        <w:spacing w:line="360" w:lineRule="auto"/>
        <w:tabs>
          <w:tab w:val="left" w:pos="1260" w:leader="none"/>
        </w:tabs>
        <w:rPr>
          <w:rFonts w:hint="eastAsia" w:ascii="宋体" w:hAnsi="宋体" w:cs="宋体"/>
          <w:b/>
          <w:sz w:val="24"/>
          <w:szCs w:val="24"/>
          <w:highlight w:val="none"/>
        </w:rPr>
      </w:pP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．服务保障承诺书</w:t>
      </w:r>
      <w:r>
        <w:rPr>
          <w:rFonts w:hint="eastAsia" w:ascii="宋体" w:hAnsi="宋体" w:cs="宋体"/>
          <w:b/>
          <w:bCs/>
          <w:sz w:val="24"/>
          <w:szCs w:val="24"/>
          <w:highlight w:val="none"/>
        </w:rPr>
        <w:t xml:space="preserve">（格式见附件）</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．投标偏离表</w:t>
      </w:r>
      <w:r>
        <w:rPr>
          <w:rFonts w:hint="eastAsia" w:ascii="宋体" w:hAnsi="宋体" w:cs="宋体"/>
          <w:b/>
          <w:bCs/>
          <w:sz w:val="24"/>
          <w:szCs w:val="24"/>
          <w:highlight w:val="none"/>
        </w:rPr>
        <w:t xml:space="preserve">（格式见附件）</w:t>
      </w:r>
      <w:r/>
    </w:p>
    <w:p>
      <w:pPr>
        <w:ind w:firstLine="480"/>
        <w:spacing w:line="360" w:lineRule="auto"/>
        <w:tabs>
          <w:tab w:val="left" w:pos="1260" w:leader="none"/>
        </w:tabs>
        <w:rPr>
          <w:rFonts w:hint="eastAsia" w:ascii="宋体" w:hAnsi="宋体" w:cs="宋体"/>
          <w:b/>
          <w:bCs w:val="0"/>
          <w:sz w:val="24"/>
          <w:szCs w:val="24"/>
          <w:highlight w:val="none"/>
        </w:rPr>
      </w:pP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．投标供应商情况表</w:t>
      </w:r>
      <w:r>
        <w:rPr>
          <w:rFonts w:hint="eastAsia" w:ascii="宋体" w:hAnsi="宋体" w:cs="宋体"/>
          <w:b/>
          <w:bCs w:val="0"/>
          <w:sz w:val="24"/>
          <w:szCs w:val="24"/>
          <w:highlight w:val="none"/>
        </w:rPr>
        <w:t xml:space="preserve">（格式见附件）</w:t>
      </w:r>
      <w:r/>
    </w:p>
    <w:p>
      <w:pPr>
        <w:ind w:firstLine="480"/>
        <w:spacing w:line="360" w:lineRule="auto"/>
        <w:tabs>
          <w:tab w:val="left" w:pos="1050" w:leader="none"/>
        </w:tabs>
        <w:rPr>
          <w:rFonts w:hint="eastAsia" w:ascii="宋体" w:hAnsi="宋体" w:cs="宋体"/>
          <w:bCs/>
          <w:color w:val="000000"/>
          <w:sz w:val="24"/>
          <w:szCs w:val="24"/>
          <w:highlight w:val="none"/>
        </w:rPr>
      </w:pP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w:t>
      </w:r>
      <w:r>
        <w:rPr>
          <w:rFonts w:hint="eastAsia" w:ascii="宋体" w:hAnsi="宋体" w:cs="宋体"/>
          <w:bCs/>
          <w:color w:val="000000"/>
          <w:sz w:val="24"/>
          <w:szCs w:val="24"/>
          <w:highlight w:val="none"/>
        </w:rPr>
        <w:t xml:space="preserve">提供第三章项目需求和有关要求需提供的相关证明材料（如有）</w:t>
      </w:r>
      <w:r/>
    </w:p>
    <w:p>
      <w:pPr>
        <w:ind w:firstLine="480"/>
        <w:spacing w:line="360" w:lineRule="auto"/>
        <w:tabs>
          <w:tab w:val="left" w:pos="105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9</w:t>
      </w:r>
      <w:r>
        <w:rPr>
          <w:rFonts w:hint="eastAsia" w:ascii="宋体" w:hAnsi="宋体" w:cs="宋体"/>
          <w:bCs/>
          <w:sz w:val="24"/>
          <w:szCs w:val="24"/>
          <w:highlight w:val="none"/>
        </w:rPr>
        <w:t xml:space="preserve">．</w:t>
      </w:r>
      <w:r>
        <w:rPr>
          <w:rFonts w:hint="eastAsia" w:ascii="宋体" w:hAnsi="宋体" w:cs="宋体"/>
          <w:bCs/>
          <w:color w:val="auto"/>
          <w:sz w:val="24"/>
          <w:szCs w:val="24"/>
          <w:highlight w:val="none"/>
        </w:rPr>
        <w:t xml:space="preserve">中小企业声明函</w:t>
      </w:r>
      <w:r>
        <w:rPr>
          <w:rFonts w:hint="eastAsia" w:ascii="宋体" w:hAnsi="宋体" w:cs="宋体"/>
          <w:b/>
          <w:bCs w:val="0"/>
          <w:color w:val="auto"/>
          <w:sz w:val="24"/>
          <w:szCs w:val="24"/>
          <w:highlight w:val="none"/>
        </w:rPr>
        <w:t xml:space="preserve">（</w:t>
      </w:r>
      <w:r>
        <w:rPr>
          <w:rFonts w:hint="eastAsia" w:ascii="宋体" w:hAnsi="宋体" w:cs="宋体"/>
          <w:b/>
          <w:color w:val="auto"/>
          <w:sz w:val="24"/>
          <w:szCs w:val="24"/>
          <w:highlight w:val="none"/>
        </w:rPr>
        <w:t xml:space="preserve">格式见附件</w:t>
      </w:r>
      <w:r>
        <w:rPr>
          <w:rFonts w:hint="eastAsia" w:ascii="宋体" w:hAnsi="宋体" w:cs="宋体"/>
          <w:b/>
          <w:bCs w:val="0"/>
          <w:color w:val="auto"/>
          <w:sz w:val="24"/>
          <w:szCs w:val="24"/>
          <w:highlight w:val="none"/>
        </w:rPr>
        <w:t xml:space="preserve">）</w:t>
      </w:r>
      <w:r>
        <w:rPr>
          <w:rFonts w:hint="eastAsia" w:ascii="宋体" w:hAnsi="宋体" w:cs="宋体"/>
          <w:bCs/>
          <w:sz w:val="24"/>
          <w:szCs w:val="24"/>
          <w:highlight w:val="none"/>
        </w:rPr>
        <w:t xml:space="preserve">或残疾人福利性单位声明函</w:t>
      </w:r>
      <w:r>
        <w:rPr>
          <w:rFonts w:hint="eastAsia" w:ascii="宋体" w:hAnsi="宋体" w:cs="宋体"/>
          <w:b/>
          <w:bCs w:val="0"/>
          <w:sz w:val="24"/>
          <w:szCs w:val="24"/>
          <w:highlight w:val="none"/>
        </w:rPr>
        <w:t xml:space="preserve">（</w:t>
      </w:r>
      <w:r>
        <w:rPr>
          <w:rFonts w:hint="eastAsia" w:ascii="宋体" w:hAnsi="宋体" w:cs="宋体"/>
          <w:b/>
          <w:sz w:val="24"/>
          <w:szCs w:val="24"/>
          <w:highlight w:val="none"/>
        </w:rPr>
        <w:t xml:space="preserve">格式见附件</w:t>
      </w:r>
      <w:r>
        <w:rPr>
          <w:rFonts w:hint="eastAsia" w:ascii="宋体" w:hAnsi="宋体" w:cs="宋体"/>
          <w:b/>
          <w:bCs w:val="0"/>
          <w:sz w:val="24"/>
          <w:szCs w:val="24"/>
          <w:highlight w:val="none"/>
        </w:rPr>
        <w:t xml:space="preserve">）</w:t>
      </w:r>
      <w:r>
        <w:rPr>
          <w:rFonts w:hint="eastAsia" w:ascii="宋体" w:hAnsi="宋体" w:cs="宋体"/>
          <w:bCs/>
          <w:sz w:val="24"/>
          <w:szCs w:val="24"/>
          <w:highlight w:val="none"/>
        </w:rPr>
        <w:t xml:space="preserve">或由省级以上监狱管理局、戒毒管理局出具的属于监狱企业的证明文件</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10</w:t>
      </w:r>
      <w:r>
        <w:rPr>
          <w:rFonts w:hint="eastAsia" w:ascii="宋体" w:hAnsi="宋体" w:cs="宋体"/>
          <w:bCs/>
          <w:sz w:val="24"/>
          <w:szCs w:val="24"/>
          <w:highlight w:val="none"/>
        </w:rPr>
        <w:t xml:space="preserve">．技术服务方案（详见评分标准）</w:t>
      </w:r>
      <w:r/>
    </w:p>
    <w:p>
      <w:pPr>
        <w:ind w:firstLine="480"/>
        <w:spacing w:line="360" w:lineRule="auto"/>
        <w:tabs>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11</w:t>
      </w:r>
      <w:r>
        <w:rPr>
          <w:rFonts w:hint="eastAsia" w:ascii="宋体" w:hAnsi="宋体" w:cs="宋体"/>
          <w:bCs/>
          <w:sz w:val="24"/>
          <w:szCs w:val="24"/>
          <w:highlight w:val="none"/>
        </w:rPr>
        <w:t xml:space="preserve">．评分标准中对应的所需证明材料（如有自行添加，格式自拟）</w:t>
      </w:r>
      <w:r/>
    </w:p>
    <w:p>
      <w:pPr>
        <w:ind w:firstLine="480"/>
        <w:spacing w:line="360" w:lineRule="auto"/>
        <w:tabs>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12</w:t>
      </w:r>
      <w:r>
        <w:rPr>
          <w:rFonts w:hint="eastAsia" w:ascii="宋体" w:hAnsi="宋体" w:cs="宋体"/>
          <w:bCs/>
          <w:sz w:val="24"/>
          <w:szCs w:val="24"/>
          <w:highlight w:val="none"/>
        </w:rPr>
        <w:t xml:space="preserve">．要求采购人提供的配合（如有自行添加，格式自拟）</w:t>
      </w:r>
      <w:r/>
    </w:p>
    <w:p>
      <w:pPr>
        <w:ind w:firstLine="480"/>
        <w:spacing w:line="360" w:lineRule="auto"/>
        <w:tabs>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13</w:t>
      </w:r>
      <w:r>
        <w:rPr>
          <w:rFonts w:hint="eastAsia" w:ascii="宋体" w:hAnsi="宋体" w:cs="宋体"/>
          <w:bCs/>
          <w:sz w:val="24"/>
          <w:szCs w:val="24"/>
          <w:highlight w:val="none"/>
        </w:rPr>
        <w:t xml:space="preserve">．其他（</w:t>
      </w:r>
      <w:r>
        <w:rPr>
          <w:rFonts w:hint="eastAsia" w:ascii="宋体" w:hAnsi="宋体" w:cs="宋体"/>
          <w:sz w:val="24"/>
          <w:szCs w:val="24"/>
          <w:highlight w:val="none"/>
        </w:rPr>
        <w:t xml:space="preserve">投标供应商</w:t>
      </w:r>
      <w:r>
        <w:rPr>
          <w:rFonts w:hint="eastAsia" w:ascii="宋体" w:hAnsi="宋体" w:cs="宋体"/>
          <w:bCs/>
          <w:sz w:val="24"/>
          <w:szCs w:val="24"/>
          <w:highlight w:val="none"/>
        </w:rPr>
        <w:t xml:space="preserve">认为有必要提供的声明和文件，如有格式自拟）</w:t>
      </w:r>
      <w:r/>
    </w:p>
    <w:p>
      <w:pPr>
        <w:ind w:firstLine="480"/>
        <w:spacing w:line="360" w:lineRule="auto"/>
        <w:tabs>
          <w:tab w:val="left" w:pos="840" w:leader="none"/>
          <w:tab w:val="left" w:pos="1050" w:leader="none"/>
        </w:tabs>
        <w:rPr>
          <w:rFonts w:hint="eastAsia" w:ascii="宋体" w:hAnsi="宋体" w:cs="宋体"/>
          <w:bCs/>
          <w:sz w:val="24"/>
          <w:szCs w:val="24"/>
        </w:rPr>
      </w:pPr>
      <w:r>
        <w:rPr>
          <w:rFonts w:hint="eastAsia" w:ascii="宋体" w:hAnsi="宋体" w:cs="宋体"/>
          <w:bCs/>
          <w:sz w:val="24"/>
          <w:szCs w:val="24"/>
        </w:rPr>
        <w:t xml:space="preserve">上述1-8项投标人必须按要求全部提供，否则投标文件无效。</w:t>
      </w:r>
      <w:r>
        <w:rPr>
          <w:rFonts w:hint="eastAsia" w:ascii="宋体" w:hAnsi="宋体" w:cs="宋体"/>
          <w:sz w:val="24"/>
          <w:szCs w:val="24"/>
        </w:rPr>
        <w:t xml:space="preserve">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cs="宋体"/>
          <w:bCs/>
          <w:sz w:val="24"/>
          <w:szCs w:val="24"/>
        </w:rPr>
        <w:t xml:space="preserve">投标人法定代表人或法定代表人授权代表为外籍、港、澳、台地区人士的，其身份证明须提供有效的护照或港澳同胞来往内地通行证、台湾同胞来往大陆通行证，或其他可在中国大陆有效居留的许可证明。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(六)投标文件的制作：</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1.所有文件、往来函件均应使用简体中文（规格、型号辅助符号例外）。</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2.投标文件由供应商按给定格式如实填写（编写），须有法人（盖章）、法定代表人或法定代表人授权代表签字或盖章，方为有效，未尽事宜可自行补充。</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3.如无特别说明，供应商报价一律以人民币为投标结算货币，结算单位为“元”。</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4.投标文件格式部分，应由供应商按给定格式提供，不得更改。</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5.供应商在制作电子投标文件时，请正确关联到对应页，在评审过程中，评审专家如因在相对应页面找不到该相关联的文件，由此产生的后果由供应商自行承担。</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6.投标费用自理。</w:t>
      </w:r>
      <w:r/>
    </w:p>
    <w:p>
      <w:pPr>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(七)网上投标</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供应商应由其法定代表人或法定代表人授权代表人在规定的网上投标时间内，凭CA数字证书登陆江苏省政府采购（苏采云）平台获取招标文件，在苏采云投标客户端制作投标文件（电子数据），并在投标截止时间之前上传投标文件。</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2.供应商应对CA数字证书妥善保管，如被他人盗用投标，后果自负。</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3.供应商按招标文件规定的网上解密时间进行解密，如未按时解密后果自负。</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4.供应商应当对招标文件提出的要求和条件作出实质性响应，并在电子投标系统逐条应答。</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5.供应商应对要求提供的资格证明文件（如资质证书、资格证书）、技术资料（如白皮书、彩页、手册、检测报告等）扫描上传至投标系统。</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6.供应商进行网上投标请参照《政府采购项目电子交易管理操作指南－供应商》。</w:t>
      </w:r>
      <w:r/>
    </w:p>
    <w:p>
      <w:pPr>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特别提醒：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(八)无效投标文件的确认：</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供应商有下列情况之一者，投标文件无效：</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1.电子投标文件未按规定期限投标的；</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2.电子投标文件未按招标文件要求签章的；</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3.供应商未按招标文件要求解密电子投标文件的；</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4.供应商的法定代表人授权代表，无法定代表人授权委托书的；</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5.供应商的法定代表人或被授权代表，未准时参加开标会议的；</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6.不具备招标文件中规定的资格要求或未按招标文件规定的要求提供资格、资信证明文件的；</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7.被“信用中国”网站（www.creditchina.gov.cn）、中国政府采购网（www.ccgp.gov.cn）列入失信被执行人、重大税收违法案件当事人名单、政府采购严重违法失信行为记录名单的；</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8.投标文件未按招标文件规定的内容和要求填写的；</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9.投标文件书写潦草、字迹模糊不清、无法辨认的；</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10.投标文件中有招标文件未允许提供的选择性内容；</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11.不同供应商委托同一单位或者个人办理投标事宜的；</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12.不同供应商的单位负责人为同一人或者存在直接控股、管理关系的；</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13.不同供应商的投标文件存在明显的相似性或一致性，特征显示由同一单位或者同一个人编制的；</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14.不同供应商投标文件内容存在非正常一致、项目组成员出现同一人、投标文件中错误（或异常）一致或雷同、电子文档信息一致或雷同的、投标报价呈规律性差异的；</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15.不同供应商的投标资料相互混装、不同供应商的委托代理人、项目负责人以及其他相关人员有在同一个单位缴纳社会保险、同一投标文件中单位名称落款与公章不是同一单位的；</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16.供应商提交两个（含）以上不同的投标报价或项目（标段）投标总价超过本项目（标段）预算或最高限价的；</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17.提供虚假材料的（包括工商营业执照、财务报表、资格证明文件等）；</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18.投标文件含有供应商不能接受的附加条件的；</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19.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20.除单一来源采购项目外，为采购项目提供整体设计、规范编制或者项目管理、监理、检测等服务的；</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21.未通过符合性审查的；</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22.投标文件内容不全或不符合招标文件中规定的其他实质性要求的；</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23.未按要求提供第三章项目要求和有关说明中须提供的相关证明材料的；</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24.暗标未按招标文件要求编制的；</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25.法律法规和招标文件规定的其他无效情形。</w:t>
      </w:r>
      <w:r/>
    </w:p>
    <w:p>
      <w:pPr>
        <w:ind w:firstLine="480"/>
        <w:spacing w:line="360" w:lineRule="auto"/>
        <w:rPr>
          <w:rFonts w:hint="eastAsia" w:ascii="宋体" w:hAnsi="宋体" w:cs="宋体"/>
          <w:bCs/>
          <w:sz w:val="24"/>
          <w:szCs w:val="24"/>
        </w:rPr>
        <w:outlineLvl w:val="1"/>
      </w:pPr>
      <w:r/>
      <w:bookmarkStart w:id="21" w:name="_Toc14884"/>
      <w:r>
        <w:rPr>
          <w:rFonts w:hint="eastAsia" w:ascii="宋体" w:hAnsi="宋体" w:cs="宋体"/>
          <w:bCs/>
          <w:sz w:val="24"/>
          <w:szCs w:val="24"/>
        </w:rPr>
        <w:t xml:space="preserve">(九)开标、评标：</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1．所有投标单位在招标文件规定的时间内解密各自投标文件。</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2．投标截止时间后参加投标的供应商或解密投标文件的供应商不足三家的，不开标；开标后，所有供应商可在线上开标大厅中看到所有供应商的投标报价。</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3．投标文件的审查</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(1)投标文件报价出现前后不一致的，按照下列规定修正：</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①投标文件中开标一览表（报价表）内容与投标文件中相应内容不一致的，以开标一览表（报价表）为准；</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②大写金额和小写金额不一致的，以大写金额为准；</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③单价金额小数点或者百分比有明显错位的，以开标一览表的总价为准，并修改单价；</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④总价金额与按单价汇总金额不一致的，以单价金额计算结果为准。</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(2)对不同文字文本投标文件的解释发生异议的，以中文文本为准。</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(3)投标人未参加开标的，视同认可开标结果。</w:t>
      </w:r>
      <w:r/>
    </w:p>
    <w:p>
      <w:pPr>
        <w:ind w:firstLine="480"/>
        <w:spacing w:line="360" w:lineRule="auto"/>
        <w:tabs>
          <w:tab w:val="left" w:pos="525" w:leader="none"/>
          <w:tab w:val="left" w:pos="1050" w:leader="none"/>
        </w:tabs>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4．评标委员会认定投标人的报价明显低于其他通过符合性审查投标人的报价，有可能影响产品质量或者不能诚信履约的，应当按照《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360" w:lineRule="auto"/>
        <w:tabs>
          <w:tab w:val="left" w:pos="525" w:leader="none"/>
          <w:tab w:val="left" w:pos="1050" w:leader="none"/>
        </w:tabs>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评标委员会启动异常低价投标（响应）审查的情形和具体要求，包括：</w:t>
      </w:r>
      <w:r/>
    </w:p>
    <w:p>
      <w:pPr>
        <w:ind w:firstLine="482"/>
        <w:spacing w:line="360" w:lineRule="auto"/>
        <w:tabs>
          <w:tab w:val="left" w:pos="525" w:leader="none"/>
          <w:tab w:val="left" w:pos="1050" w:leader="none"/>
        </w:tabs>
        <w:rPr>
          <w:rFonts w:hint="eastAsia" w:ascii="宋体" w:hAnsi="宋体" w:cs="宋体"/>
          <w:b/>
          <w:bCs w:val="0"/>
          <w:sz w:val="24"/>
          <w:szCs w:val="24"/>
          <w:highlight w:val="none"/>
          <w:lang w:val="en-US" w:eastAsia="zh-CN"/>
        </w:rPr>
      </w:pPr>
      <w:r>
        <w:rPr>
          <w:rFonts w:hint="eastAsia" w:ascii="宋体" w:hAnsi="宋体" w:cs="宋体"/>
          <w:b/>
          <w:bCs w:val="0"/>
          <w:sz w:val="24"/>
          <w:szCs w:val="24"/>
          <w:highlight w:val="none"/>
          <w:lang w:val="en-US" w:eastAsia="zh-CN"/>
        </w:rPr>
        <w:t xml:space="preserve">（1）评审过程中出现下列情形之一的，评标委员会应当启动异常低价投标（响应）审查程序：</w:t>
      </w:r>
      <w:r/>
    </w:p>
    <w:p>
      <w:pPr>
        <w:ind w:firstLine="482"/>
        <w:spacing w:line="360" w:lineRule="auto"/>
        <w:tabs>
          <w:tab w:val="left" w:pos="525" w:leader="none"/>
          <w:tab w:val="left" w:pos="1050" w:leader="none"/>
        </w:tabs>
        <w:rPr>
          <w:rFonts w:hint="eastAsia" w:ascii="宋体" w:hAnsi="宋体" w:cs="宋体"/>
          <w:b/>
          <w:bCs w:val="0"/>
          <w:sz w:val="24"/>
          <w:szCs w:val="24"/>
          <w:highlight w:val="none"/>
          <w:lang w:val="en-US" w:eastAsia="zh-CN"/>
        </w:rPr>
      </w:pPr>
      <w:r>
        <w:rPr>
          <w:rFonts w:hint="eastAsia" w:ascii="宋体" w:hAnsi="宋体" w:cs="宋体"/>
          <w:b/>
          <w:bCs w:val="0"/>
          <w:sz w:val="24"/>
          <w:szCs w:val="24"/>
          <w:highlight w:val="none"/>
          <w:lang w:val="en-US" w:eastAsia="zh-CN"/>
        </w:rPr>
        <w:t xml:space="preserve">①投标（响应）报价低于全部通过符合性审查供应商投标（响应）报价平均值50%的，即投标（响应）报价&lt;全部通过符合性审查供应商投标（响应）报价平均值×50%；</w:t>
      </w:r>
      <w:r/>
    </w:p>
    <w:p>
      <w:pPr>
        <w:ind w:firstLine="482"/>
        <w:spacing w:line="360" w:lineRule="auto"/>
        <w:tabs>
          <w:tab w:val="left" w:pos="525" w:leader="none"/>
          <w:tab w:val="left" w:pos="1050" w:leader="none"/>
        </w:tabs>
        <w:rPr>
          <w:rFonts w:hint="eastAsia" w:ascii="宋体" w:hAnsi="宋体" w:cs="宋体"/>
          <w:b/>
          <w:bCs w:val="0"/>
          <w:sz w:val="24"/>
          <w:szCs w:val="24"/>
          <w:highlight w:val="none"/>
          <w:lang w:val="en-US" w:eastAsia="zh-CN"/>
        </w:rPr>
      </w:pPr>
      <w:r>
        <w:rPr>
          <w:rFonts w:hint="eastAsia" w:ascii="宋体" w:hAnsi="宋体" w:cs="宋体"/>
          <w:b/>
          <w:bCs w:val="0"/>
          <w:sz w:val="24"/>
          <w:szCs w:val="24"/>
          <w:highlight w:val="none"/>
          <w:lang w:val="en-US" w:eastAsia="zh-CN"/>
        </w:rPr>
        <w:t xml:space="preserve">②投标（响应）报价低于通过符合性审查的次低报价供应商投标（响应）报价50%的，即投标（响应）报价&lt;通过符合性审查的次低报价供应商投标（响应）报价×50%；</w:t>
      </w:r>
      <w:r/>
    </w:p>
    <w:p>
      <w:pPr>
        <w:ind w:firstLine="482"/>
        <w:spacing w:line="360" w:lineRule="auto"/>
        <w:tabs>
          <w:tab w:val="left" w:pos="525" w:leader="none"/>
          <w:tab w:val="left" w:pos="1050" w:leader="none"/>
        </w:tabs>
        <w:rPr>
          <w:rFonts w:hint="eastAsia" w:ascii="宋体" w:hAnsi="宋体" w:cs="宋体"/>
          <w:b/>
          <w:bCs w:val="0"/>
          <w:sz w:val="24"/>
          <w:szCs w:val="24"/>
          <w:highlight w:val="none"/>
          <w:lang w:val="en-US" w:eastAsia="zh-CN"/>
        </w:rPr>
      </w:pPr>
      <w:r>
        <w:rPr>
          <w:rFonts w:hint="eastAsia" w:ascii="宋体" w:hAnsi="宋体" w:cs="宋体"/>
          <w:b/>
          <w:bCs w:val="0"/>
          <w:sz w:val="24"/>
          <w:szCs w:val="24"/>
          <w:highlight w:val="none"/>
          <w:lang w:val="en-US" w:eastAsia="zh-CN"/>
        </w:rPr>
        <w:t xml:space="preserve">③投标（响应）报价低于采购项目最高限价45%的，即投标（响应）报价&lt;采购项目最高限价×45%；</w:t>
      </w:r>
      <w:r/>
    </w:p>
    <w:p>
      <w:pPr>
        <w:ind w:firstLine="482"/>
        <w:spacing w:line="360" w:lineRule="auto"/>
        <w:tabs>
          <w:tab w:val="left" w:pos="525" w:leader="none"/>
          <w:tab w:val="left" w:pos="1050" w:leader="none"/>
        </w:tabs>
        <w:rPr>
          <w:rFonts w:hint="eastAsia" w:ascii="宋体" w:hAnsi="宋体" w:cs="宋体"/>
          <w:b/>
          <w:bCs w:val="0"/>
          <w:sz w:val="24"/>
          <w:szCs w:val="24"/>
          <w:highlight w:val="none"/>
          <w:lang w:val="en-US" w:eastAsia="zh-CN"/>
        </w:rPr>
      </w:pPr>
      <w:r>
        <w:rPr>
          <w:rFonts w:hint="eastAsia" w:ascii="宋体" w:hAnsi="宋体" w:cs="宋体"/>
          <w:b/>
          <w:bCs w:val="0"/>
          <w:sz w:val="24"/>
          <w:szCs w:val="24"/>
          <w:highlight w:val="none"/>
          <w:lang w:val="en-US" w:eastAsia="zh-CN"/>
        </w:rPr>
        <w:t xml:space="preserve">④评审委员会基于专业判断，认为供应商报价过低，有可能影响产品质量或者不能诚信履约的其他情形。</w:t>
      </w:r>
      <w:r/>
    </w:p>
    <w:p>
      <w:pPr>
        <w:ind w:firstLine="480"/>
        <w:spacing w:line="360" w:lineRule="auto"/>
        <w:tabs>
          <w:tab w:val="left" w:pos="525" w:leader="none"/>
          <w:tab w:val="left" w:pos="1050" w:leader="none"/>
        </w:tabs>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firstLine="480"/>
        <w:spacing w:line="360" w:lineRule="auto"/>
        <w:tabs>
          <w:tab w:val="left" w:pos="525" w:leader="none"/>
          <w:tab w:val="left" w:pos="1050" w:leader="none"/>
        </w:tabs>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tabs>
          <w:tab w:val="left" w:pos="525" w:leader="none"/>
          <w:tab w:val="left" w:pos="1050" w:leader="none"/>
        </w:tabs>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lang w:val="en-US" w:eastAsia="zh-CN"/>
        </w:rPr>
        <w:t xml:space="preserve">5</w:t>
      </w:r>
      <w:r>
        <w:rPr>
          <w:rFonts w:hint="eastAsia" w:ascii="宋体" w:hAnsi="宋体" w:cs="宋体"/>
          <w:bCs/>
          <w:sz w:val="24"/>
          <w:szCs w:val="24"/>
        </w:rPr>
        <w:t xml:space="preserve">．评标程序</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评标工作由采购人和采购代理机构负责组织，具体评标事务由依法组建的评标委员会负责。</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(1)投标文件初审。初审分为资格性检查和符合性检查。</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A．资格性检查。采购人依据法律法规和招标文件的规定，对投标文件中的资格证明、投标（报价）承诺函等进行审查；通过“信用中国”网站（www.creditchina.gov.cn）和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jc w:val="center"/>
        <w:spacing w:line="360" w:lineRule="auto"/>
        <w:tabs>
          <w:tab w:val="left" w:pos="525" w:leader="none"/>
          <w:tab w:val="left" w:pos="1050" w:leader="none"/>
        </w:tabs>
        <w:rPr>
          <w:rFonts w:hint="eastAsia" w:ascii="宋体" w:hAnsi="宋体" w:cs="宋体"/>
          <w:bCs/>
          <w:sz w:val="24"/>
          <w:szCs w:val="24"/>
        </w:rPr>
      </w:pPr>
      <w:r>
        <w:rPr>
          <w:rFonts w:hint="eastAsia" w:ascii="宋体" w:hAnsi="宋体"/>
          <w:b/>
          <w:sz w:val="24"/>
        </w:rPr>
        <w:t xml:space="preserve">资格性审查表</w:t>
      </w:r>
      <w:r/>
    </w:p>
    <w:tbl>
      <w:tblPr>
        <w:tblStyle w:val="1431"/>
        <w:tblW w:w="94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3"/>
        <w:gridCol w:w="3645"/>
        <w:gridCol w:w="4911"/>
      </w:tblGrid>
      <w:tr>
        <w:trPr>
          <w:jc w:val="center"/>
        </w:trPr>
        <w:tc>
          <w:tcPr>
            <w:tcW w:w="923" w:type="dxa"/>
            <w:vAlign w:val="center"/>
            <w:textDirection w:val="lrTb"/>
            <w:noWrap w:val="false"/>
          </w:tcPr>
          <w:p>
            <w:pPr>
              <w:jc w:val="center"/>
              <w:spacing w:line="360" w:lineRule="auto"/>
              <w:tabs>
                <w:tab w:val="left" w:pos="525" w:leader="none"/>
                <w:tab w:val="left" w:pos="1050" w:leader="none"/>
              </w:tabs>
              <w:rPr>
                <w:rFonts w:hint="eastAsia" w:ascii="宋体" w:hAnsi="宋体" w:cs="宋体"/>
                <w:bCs/>
                <w:sz w:val="24"/>
                <w:szCs w:val="24"/>
              </w:rPr>
            </w:pPr>
            <w:r>
              <w:rPr>
                <w:rFonts w:ascii="宋体" w:hAnsi="宋体"/>
                <w:b/>
                <w:bCs/>
                <w:sz w:val="24"/>
                <w:szCs w:val="24"/>
              </w:rPr>
              <w:t xml:space="preserve">序号</w:t>
            </w:r>
            <w:r/>
          </w:p>
        </w:tc>
        <w:tc>
          <w:tcPr>
            <w:gridSpan w:val="2"/>
            <w:tcW w:w="8556" w:type="dxa"/>
            <w:vAlign w:val="center"/>
            <w:textDirection w:val="lrTb"/>
            <w:noWrap w:val="false"/>
          </w:tcPr>
          <w:p>
            <w:pPr>
              <w:jc w:val="center"/>
              <w:spacing w:line="360" w:lineRule="auto"/>
              <w:tabs>
                <w:tab w:val="left" w:pos="525" w:leader="none"/>
                <w:tab w:val="left" w:pos="1050" w:leader="none"/>
              </w:tabs>
              <w:rPr>
                <w:rFonts w:hint="eastAsia" w:ascii="宋体" w:hAnsi="宋体" w:cs="宋体"/>
                <w:bCs/>
                <w:sz w:val="24"/>
                <w:szCs w:val="24"/>
              </w:rPr>
            </w:pPr>
            <w:r>
              <w:rPr>
                <w:rFonts w:ascii="宋体" w:hAnsi="宋体"/>
                <w:b/>
                <w:bCs/>
                <w:sz w:val="24"/>
                <w:szCs w:val="24"/>
              </w:rPr>
              <w:t xml:space="preserve">资格审查内容</w:t>
            </w:r>
            <w:r/>
          </w:p>
        </w:tc>
      </w:tr>
      <w:tr>
        <w:trPr>
          <w:jc w:val="center"/>
          <w:trHeight w:val="562"/>
        </w:trPr>
        <w:tc>
          <w:tcPr>
            <w:tcW w:w="923" w:type="dxa"/>
            <w:vAlign w:val="center"/>
            <w:textDirection w:val="lrTb"/>
            <w:noWrap w:val="false"/>
          </w:tcPr>
          <w:p>
            <w:pPr>
              <w:jc w:val="center"/>
              <w:rPr>
                <w:rFonts w:hint="eastAsia" w:ascii="宋体" w:hAnsi="宋体" w:cs="宋体"/>
                <w:bCs/>
                <w:sz w:val="24"/>
                <w:szCs w:val="24"/>
              </w:rPr>
            </w:pPr>
            <w:r>
              <w:rPr>
                <w:rFonts w:hint="eastAsia" w:ascii="宋体" w:hAnsi="宋体"/>
                <w:sz w:val="24"/>
                <w:szCs w:val="24"/>
              </w:rPr>
              <w:t xml:space="preserve">1</w:t>
            </w:r>
            <w:r/>
          </w:p>
        </w:tc>
        <w:tc>
          <w:tcPr>
            <w:tcW w:w="3645" w:type="dxa"/>
            <w:vAlign w:val="center"/>
            <w:textDirection w:val="lrTb"/>
            <w:noWrap w:val="false"/>
          </w:tcPr>
          <w:p>
            <w:pPr>
              <w:jc w:val="center"/>
              <w:rPr>
                <w:rFonts w:hint="eastAsia" w:ascii="宋体" w:hAnsi="宋体" w:cs="宋体"/>
                <w:bCs/>
                <w:sz w:val="24"/>
                <w:szCs w:val="24"/>
              </w:rPr>
            </w:pPr>
            <w:r>
              <w:rPr>
                <w:rFonts w:hint="eastAsia" w:ascii="宋体" w:hAnsi="宋体" w:cs="宋体"/>
                <w:color w:val="000000"/>
                <w:sz w:val="24"/>
                <w:szCs w:val="24"/>
              </w:rPr>
              <w:t xml:space="preserve">关于资格的声明函</w:t>
            </w:r>
            <w:r/>
          </w:p>
        </w:tc>
        <w:tc>
          <w:tcPr>
            <w:tcW w:w="4911" w:type="dxa"/>
            <w:vAlign w:val="center"/>
            <w:textDirection w:val="lrTb"/>
            <w:noWrap w:val="false"/>
          </w:tcPr>
          <w:p>
            <w:pPr>
              <w:jc w:val="left"/>
              <w:rPr>
                <w:rFonts w:hint="eastAsia" w:ascii="宋体" w:hAnsi="宋体" w:cs="宋体"/>
                <w:bCs/>
                <w:sz w:val="24"/>
                <w:szCs w:val="24"/>
              </w:rPr>
            </w:pPr>
            <w:r>
              <w:rPr>
                <w:rFonts w:hint="eastAsia" w:ascii="宋体" w:hAnsi="宋体" w:cs="宋体"/>
                <w:color w:val="000000"/>
                <w:sz w:val="24"/>
                <w:szCs w:val="24"/>
              </w:rPr>
              <w:t xml:space="preserve">格式见附件</w:t>
            </w:r>
            <w:r/>
          </w:p>
        </w:tc>
      </w:tr>
      <w:tr>
        <w:trPr>
          <w:jc w:val="center"/>
          <w:trHeight w:val="90"/>
        </w:trPr>
        <w:tc>
          <w:tcPr>
            <w:tcW w:w="923" w:type="dxa"/>
            <w:vAlign w:val="center"/>
            <w:textDirection w:val="lrTb"/>
            <w:noWrap w:val="false"/>
          </w:tcPr>
          <w:p>
            <w:pPr>
              <w:jc w:val="center"/>
              <w:rPr>
                <w:rFonts w:hint="eastAsia" w:ascii="宋体" w:hAnsi="宋体" w:cs="宋体"/>
                <w:bCs/>
                <w:sz w:val="24"/>
                <w:szCs w:val="24"/>
              </w:rPr>
            </w:pPr>
            <w:r>
              <w:rPr>
                <w:rFonts w:ascii="宋体" w:hAnsi="宋体"/>
                <w:sz w:val="24"/>
                <w:szCs w:val="24"/>
              </w:rPr>
              <w:t xml:space="preserve">2</w:t>
            </w:r>
            <w:r/>
          </w:p>
        </w:tc>
        <w:tc>
          <w:tcPr>
            <w:tcW w:w="364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具有独立承担民事责任的能力</w:t>
            </w:r>
            <w:r/>
          </w:p>
        </w:tc>
        <w:tc>
          <w:tcPr>
            <w:tcW w:w="4911" w:type="dxa"/>
            <w:vAlign w:val="center"/>
            <w:textDirection w:val="lrTb"/>
            <w:noWrap w:val="false"/>
          </w:tcPr>
          <w:p>
            <w:pPr>
              <w:jc w:val="left"/>
              <w:rPr>
                <w:rFonts w:hint="eastAsia" w:ascii="宋体" w:hAnsi="宋体" w:cs="宋体"/>
                <w:color w:val="000000"/>
                <w:sz w:val="24"/>
                <w:szCs w:val="24"/>
              </w:rPr>
            </w:pPr>
            <w:r>
              <w:rPr>
                <w:rFonts w:hint="eastAsia" w:ascii="宋体" w:hAnsi="宋体" w:cs="宋体"/>
                <w:color w:val="000000"/>
                <w:sz w:val="24"/>
                <w:szCs w:val="24"/>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tc>
      </w:tr>
      <w:tr>
        <w:trPr>
          <w:jc w:val="center"/>
          <w:trHeight w:val="794"/>
        </w:trPr>
        <w:tc>
          <w:tcPr>
            <w:tcW w:w="923" w:type="dxa"/>
            <w:vAlign w:val="center"/>
            <w:textDirection w:val="lrTb"/>
            <w:noWrap w:val="false"/>
          </w:tcPr>
          <w:p>
            <w:pPr>
              <w:jc w:val="center"/>
              <w:rPr>
                <w:rFonts w:hint="eastAsia" w:ascii="宋体" w:hAnsi="宋体" w:cs="宋体"/>
                <w:bCs/>
                <w:sz w:val="24"/>
                <w:szCs w:val="24"/>
              </w:rPr>
            </w:pPr>
            <w:r>
              <w:rPr>
                <w:rFonts w:hint="eastAsia" w:ascii="宋体" w:hAnsi="宋体"/>
                <w:sz w:val="24"/>
                <w:szCs w:val="24"/>
              </w:rPr>
              <w:t xml:space="preserve">3</w:t>
            </w:r>
            <w:r/>
          </w:p>
        </w:tc>
        <w:tc>
          <w:tcPr>
            <w:tcW w:w="364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供应商法定代表人（其他组织或者自然人）授权委托书</w:t>
            </w:r>
            <w:r/>
          </w:p>
        </w:tc>
        <w:tc>
          <w:tcPr>
            <w:tcW w:w="4911" w:type="dxa"/>
            <w:vAlign w:val="center"/>
            <w:textDirection w:val="lrTb"/>
            <w:noWrap w:val="false"/>
          </w:tcPr>
          <w:p>
            <w:pPr>
              <w:jc w:val="left"/>
              <w:rPr>
                <w:rFonts w:hint="eastAsia" w:ascii="宋体" w:hAnsi="宋体" w:cs="宋体"/>
                <w:color w:val="000000"/>
                <w:sz w:val="24"/>
                <w:szCs w:val="24"/>
              </w:rPr>
            </w:pPr>
            <w:r>
              <w:rPr>
                <w:rFonts w:hint="eastAsia" w:ascii="宋体" w:hAnsi="宋体" w:cs="宋体"/>
                <w:color w:val="000000"/>
                <w:sz w:val="24"/>
                <w:szCs w:val="24"/>
              </w:rPr>
              <w:t xml:space="preserve">法定代表人亲自参与投标的除外，投标人如是自然人情形的，可不提供，格式见附件</w:t>
            </w:r>
            <w:r/>
          </w:p>
        </w:tc>
      </w:tr>
      <w:tr>
        <w:trPr>
          <w:jc w:val="center"/>
          <w:trHeight w:val="572"/>
        </w:trPr>
        <w:tc>
          <w:tcPr>
            <w:tcW w:w="923" w:type="dxa"/>
            <w:vAlign w:val="center"/>
            <w:textDirection w:val="lrTb"/>
            <w:noWrap w:val="false"/>
          </w:tcPr>
          <w:p>
            <w:pPr>
              <w:jc w:val="center"/>
              <w:rPr>
                <w:rFonts w:hint="eastAsia" w:ascii="宋体" w:hAnsi="宋体" w:cs="宋体"/>
                <w:bCs/>
                <w:sz w:val="24"/>
                <w:szCs w:val="24"/>
              </w:rPr>
            </w:pPr>
            <w:r>
              <w:rPr>
                <w:rFonts w:hint="eastAsia" w:ascii="宋体" w:hAnsi="宋体"/>
                <w:sz w:val="24"/>
                <w:szCs w:val="24"/>
              </w:rPr>
              <w:t xml:space="preserve">4</w:t>
            </w:r>
            <w:r/>
          </w:p>
        </w:tc>
        <w:tc>
          <w:tcPr>
            <w:tcW w:w="364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供应商法定代表人（自然人）身份证扫描件</w:t>
            </w:r>
            <w:r/>
          </w:p>
        </w:tc>
        <w:tc>
          <w:tcPr>
            <w:tcW w:w="4911" w:type="dxa"/>
            <w:vAlign w:val="center"/>
            <w:textDirection w:val="lrTb"/>
            <w:noWrap w:val="false"/>
          </w:tcPr>
          <w:p>
            <w:pPr>
              <w:jc w:val="left"/>
              <w:rPr>
                <w:rFonts w:hint="eastAsia" w:ascii="宋体" w:hAnsi="宋体" w:cs="宋体"/>
                <w:color w:val="000000"/>
                <w:sz w:val="24"/>
                <w:szCs w:val="24"/>
              </w:rPr>
            </w:pPr>
            <w:r>
              <w:rPr>
                <w:rFonts w:hint="eastAsia" w:ascii="宋体" w:hAnsi="宋体" w:cs="宋体"/>
                <w:color w:val="000000"/>
                <w:sz w:val="24"/>
                <w:szCs w:val="24"/>
              </w:rPr>
              <w:t xml:space="preserve">身份证应为正、反面</w:t>
            </w:r>
            <w:r/>
          </w:p>
        </w:tc>
      </w:tr>
      <w:tr>
        <w:trPr>
          <w:jc w:val="center"/>
          <w:trHeight w:val="829"/>
        </w:trPr>
        <w:tc>
          <w:tcPr>
            <w:tcW w:w="923" w:type="dxa"/>
            <w:vAlign w:val="center"/>
            <w:textDirection w:val="lrTb"/>
            <w:noWrap w:val="false"/>
          </w:tcPr>
          <w:p>
            <w:pPr>
              <w:jc w:val="center"/>
              <w:rPr>
                <w:rFonts w:hint="eastAsia" w:ascii="宋体" w:hAnsi="宋体" w:cs="宋体"/>
                <w:bCs/>
                <w:sz w:val="24"/>
                <w:szCs w:val="24"/>
              </w:rPr>
            </w:pPr>
            <w:r>
              <w:rPr>
                <w:rFonts w:hint="eastAsia" w:ascii="宋体" w:hAnsi="宋体"/>
                <w:sz w:val="24"/>
                <w:szCs w:val="24"/>
              </w:rPr>
              <w:t xml:space="preserve">5</w:t>
            </w:r>
            <w:r/>
          </w:p>
        </w:tc>
        <w:tc>
          <w:tcPr>
            <w:tcW w:w="364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供应商法定代表人（其他组织或者自然人）授权代表身份证扫描件</w:t>
            </w:r>
            <w:r/>
          </w:p>
        </w:tc>
        <w:tc>
          <w:tcPr>
            <w:tcW w:w="4911" w:type="dxa"/>
            <w:vAlign w:val="center"/>
            <w:textDirection w:val="lrTb"/>
            <w:noWrap w:val="false"/>
          </w:tcPr>
          <w:p>
            <w:pPr>
              <w:jc w:val="left"/>
              <w:rPr>
                <w:rFonts w:hint="eastAsia" w:ascii="宋体" w:hAnsi="宋体" w:cs="宋体"/>
                <w:color w:val="000000"/>
                <w:sz w:val="24"/>
                <w:szCs w:val="24"/>
              </w:rPr>
            </w:pPr>
            <w:r>
              <w:rPr>
                <w:rFonts w:hint="eastAsia" w:ascii="宋体" w:hAnsi="宋体" w:cs="宋体"/>
                <w:color w:val="000000"/>
                <w:sz w:val="24"/>
                <w:szCs w:val="24"/>
              </w:rPr>
              <w:t xml:space="preserve">身份证应为正、反面，法定代表人（自然人）亲自参加投标的除外</w:t>
            </w:r>
            <w:r/>
          </w:p>
        </w:tc>
      </w:tr>
      <w:tr>
        <w:trPr>
          <w:jc w:val="center"/>
          <w:trHeight w:val="90"/>
        </w:trPr>
        <w:tc>
          <w:tcPr>
            <w:tcW w:w="923" w:type="dxa"/>
            <w:vAlign w:val="center"/>
            <w:textDirection w:val="lrTb"/>
            <w:noWrap w:val="false"/>
          </w:tcPr>
          <w:p>
            <w:pPr>
              <w:jc w:val="center"/>
              <w:rPr>
                <w:rFonts w:hint="eastAsia" w:ascii="宋体" w:hAnsi="宋体" w:cs="宋体"/>
                <w:bCs/>
                <w:sz w:val="24"/>
                <w:szCs w:val="24"/>
              </w:rPr>
            </w:pPr>
            <w:r>
              <w:rPr>
                <w:rFonts w:hint="eastAsia" w:ascii="宋体" w:hAnsi="宋体"/>
                <w:sz w:val="24"/>
                <w:szCs w:val="24"/>
              </w:rPr>
              <w:t xml:space="preserve">6</w:t>
            </w:r>
            <w:r/>
          </w:p>
        </w:tc>
        <w:tc>
          <w:tcPr>
            <w:tcW w:w="364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具有良好的商业信誉和健全的财务会计制度</w:t>
            </w:r>
            <w:r/>
          </w:p>
        </w:tc>
        <w:tc>
          <w:tcPr>
            <w:tcW w:w="4911" w:type="dxa"/>
            <w:vAlign w:val="center"/>
            <w:textDirection w:val="lrTb"/>
            <w:noWrap w:val="false"/>
          </w:tcPr>
          <w:p>
            <w:pPr>
              <w:jc w:val="left"/>
              <w:rPr>
                <w:rFonts w:hint="eastAsia" w:ascii="宋体" w:hAnsi="宋体" w:cs="宋体"/>
                <w:color w:val="000000"/>
                <w:sz w:val="24"/>
                <w:szCs w:val="24"/>
              </w:rPr>
            </w:pPr>
            <w:r>
              <w:rPr>
                <w:rFonts w:hint="eastAsia" w:ascii="宋体" w:hAnsi="宋体" w:cs="宋体"/>
                <w:color w:val="000000"/>
                <w:sz w:val="24"/>
                <w:szCs w:val="24"/>
              </w:rPr>
              <w:t xml:space="preserve">供应商近三个月中任意一个月份（不含</w:t>
            </w:r>
            <w:r>
              <w:rPr>
                <w:rFonts w:hint="eastAsia" w:ascii="宋体" w:hAnsi="宋体" w:cs="宋体"/>
                <w:bCs/>
                <w:sz w:val="24"/>
                <w:szCs w:val="24"/>
                <w:lang w:val="en-US" w:eastAsia="zh-CN"/>
              </w:rPr>
              <w:t xml:space="preserve">开标</w:t>
            </w:r>
            <w:r>
              <w:rPr>
                <w:rFonts w:hint="eastAsia" w:ascii="宋体" w:hAnsi="宋体" w:cs="宋体"/>
                <w:color w:val="000000"/>
                <w:sz w:val="24"/>
                <w:szCs w:val="24"/>
              </w:rPr>
              <w:t xml:space="preserve">当月）的财务状况报告（资产负债表和利润表）或由会计师事务所出具的近两年中任意一个年度的审计报告和所附已审财务报告扫描件，新成立公司（成立不满三个自然月的公司、企业）除外；</w:t>
            </w:r>
            <w:r/>
          </w:p>
        </w:tc>
      </w:tr>
      <w:tr>
        <w:trPr>
          <w:jc w:val="center"/>
          <w:trHeight w:val="1143"/>
        </w:trPr>
        <w:tc>
          <w:tcPr>
            <w:tcW w:w="923" w:type="dxa"/>
            <w:vAlign w:val="center"/>
            <w:textDirection w:val="lrTb"/>
            <w:noWrap w:val="false"/>
          </w:tcPr>
          <w:p>
            <w:pPr>
              <w:jc w:val="center"/>
              <w:rPr>
                <w:rFonts w:hint="eastAsia" w:ascii="宋体" w:hAnsi="宋体" w:cs="宋体"/>
                <w:bCs/>
                <w:sz w:val="24"/>
                <w:szCs w:val="24"/>
              </w:rPr>
            </w:pPr>
            <w:r>
              <w:rPr>
                <w:rFonts w:ascii="宋体" w:hAnsi="宋体"/>
                <w:sz w:val="24"/>
                <w:szCs w:val="24"/>
              </w:rPr>
              <w:t xml:space="preserve">7</w:t>
            </w:r>
            <w:r/>
          </w:p>
        </w:tc>
        <w:tc>
          <w:tcPr>
            <w:tcW w:w="364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具有依法缴纳税收的良好记录</w:t>
            </w:r>
            <w:r/>
          </w:p>
        </w:tc>
        <w:tc>
          <w:tcPr>
            <w:tcW w:w="4911" w:type="dxa"/>
            <w:vAlign w:val="top"/>
            <w:textDirection w:val="lrTb"/>
            <w:noWrap w:val="false"/>
          </w:tcPr>
          <w:p>
            <w:pPr>
              <w:jc w:val="left"/>
              <w:rPr>
                <w:rFonts w:hint="eastAsia" w:ascii="宋体" w:hAnsi="宋体" w:cs="宋体"/>
                <w:color w:val="000000"/>
                <w:sz w:val="24"/>
                <w:szCs w:val="24"/>
              </w:rPr>
            </w:pPr>
            <w:r>
              <w:rPr>
                <w:rFonts w:hint="eastAsia" w:ascii="宋体" w:hAnsi="宋体" w:cs="宋体"/>
                <w:color w:val="000000"/>
                <w:sz w:val="24"/>
                <w:szCs w:val="24"/>
              </w:rPr>
              <w:t xml:space="preserve">供应商近三个月中任意一个月份（不含</w:t>
            </w:r>
            <w:r>
              <w:rPr>
                <w:rFonts w:hint="eastAsia" w:ascii="宋体" w:hAnsi="宋体" w:cs="宋体"/>
                <w:bCs/>
                <w:sz w:val="24"/>
                <w:szCs w:val="24"/>
                <w:lang w:val="en-US" w:eastAsia="zh-CN"/>
              </w:rPr>
              <w:t xml:space="preserve">开标</w:t>
            </w:r>
            <w:r>
              <w:rPr>
                <w:rFonts w:hint="eastAsia" w:ascii="宋体" w:hAnsi="宋体" w:cs="宋体"/>
                <w:color w:val="000000"/>
                <w:sz w:val="24"/>
                <w:szCs w:val="24"/>
              </w:rPr>
              <w:t xml:space="preserve">当月）的依法缴纳税收的相关材料（提供相关主管部门证明或银行代扣证明）扫描件，若供应商无需依法缴纳税收，请提供纳税申报表</w:t>
            </w:r>
            <w:r/>
          </w:p>
        </w:tc>
      </w:tr>
      <w:tr>
        <w:trPr>
          <w:jc w:val="center"/>
          <w:trHeight w:val="1338"/>
        </w:trPr>
        <w:tc>
          <w:tcPr>
            <w:tcW w:w="923" w:type="dxa"/>
            <w:vAlign w:val="center"/>
            <w:textDirection w:val="lrTb"/>
            <w:noWrap w:val="false"/>
          </w:tcPr>
          <w:p>
            <w:pPr>
              <w:jc w:val="center"/>
              <w:rPr>
                <w:rFonts w:hint="eastAsia" w:ascii="宋体" w:hAnsi="宋体" w:cs="宋体"/>
                <w:bCs/>
                <w:sz w:val="24"/>
                <w:szCs w:val="24"/>
              </w:rPr>
            </w:pPr>
            <w:r>
              <w:rPr>
                <w:rFonts w:hint="eastAsia" w:ascii="宋体" w:hAnsi="宋体"/>
                <w:sz w:val="24"/>
                <w:szCs w:val="24"/>
              </w:rPr>
              <w:t xml:space="preserve">8</w:t>
            </w:r>
            <w:r/>
          </w:p>
        </w:tc>
        <w:tc>
          <w:tcPr>
            <w:tcW w:w="364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具有依法缴纳社会保障资金的良好记录</w:t>
            </w:r>
            <w:r/>
          </w:p>
        </w:tc>
        <w:tc>
          <w:tcPr>
            <w:tcW w:w="4911" w:type="dxa"/>
            <w:vAlign w:val="top"/>
            <w:textDirection w:val="lrTb"/>
            <w:noWrap w:val="false"/>
          </w:tcPr>
          <w:p>
            <w:pPr>
              <w:jc w:val="left"/>
              <w:rPr>
                <w:rFonts w:hint="eastAsia" w:ascii="宋体" w:hAnsi="宋体" w:cs="宋体"/>
                <w:color w:val="000000"/>
                <w:sz w:val="24"/>
                <w:szCs w:val="24"/>
              </w:rPr>
            </w:pPr>
            <w:r>
              <w:rPr>
                <w:rFonts w:hint="eastAsia" w:ascii="宋体" w:hAnsi="宋体" w:cs="宋体"/>
                <w:color w:val="000000"/>
                <w:sz w:val="24"/>
                <w:szCs w:val="24"/>
              </w:rPr>
              <w:t xml:space="preserve">供应商近三个月中任意一个月份（不含</w:t>
            </w:r>
            <w:r>
              <w:rPr>
                <w:rFonts w:hint="eastAsia" w:ascii="宋体" w:hAnsi="宋体" w:cs="宋体"/>
                <w:bCs/>
                <w:sz w:val="24"/>
                <w:szCs w:val="24"/>
                <w:lang w:val="en-US" w:eastAsia="zh-CN"/>
              </w:rPr>
              <w:t xml:space="preserve">开标</w:t>
            </w:r>
            <w:r>
              <w:rPr>
                <w:rFonts w:hint="eastAsia" w:ascii="宋体" w:hAnsi="宋体" w:cs="宋体"/>
                <w:color w:val="000000"/>
                <w:sz w:val="24"/>
                <w:szCs w:val="24"/>
              </w:rPr>
              <w:t xml:space="preserve">当月）的依法缴纳社会保障资金的相关材料（提供相关主管部门证明或银行代扣证明）扫描件，新成立公司（成立不满三个自然月的公司、企业）除外；</w:t>
            </w:r>
            <w:r/>
          </w:p>
        </w:tc>
      </w:tr>
      <w:tr>
        <w:trPr>
          <w:jc w:val="center"/>
          <w:trHeight w:val="667"/>
        </w:trPr>
        <w:tc>
          <w:tcPr>
            <w:tcW w:w="923" w:type="dxa"/>
            <w:vAlign w:val="center"/>
            <w:textDirection w:val="lrTb"/>
            <w:noWrap w:val="false"/>
          </w:tcPr>
          <w:p>
            <w:pPr>
              <w:jc w:val="center"/>
              <w:rPr>
                <w:rFonts w:hint="eastAsia" w:ascii="宋体" w:hAnsi="宋体" w:cs="宋体"/>
                <w:bCs/>
                <w:sz w:val="24"/>
                <w:szCs w:val="24"/>
              </w:rPr>
            </w:pPr>
            <w:r>
              <w:rPr>
                <w:rFonts w:hint="eastAsia" w:ascii="宋体" w:hAnsi="宋体"/>
                <w:sz w:val="24"/>
                <w:szCs w:val="24"/>
              </w:rPr>
              <w:t xml:space="preserve">9</w:t>
            </w:r>
            <w:r/>
          </w:p>
        </w:tc>
        <w:tc>
          <w:tcPr>
            <w:tcW w:w="364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承诺书</w:t>
            </w:r>
            <w:r/>
          </w:p>
        </w:tc>
        <w:tc>
          <w:tcPr>
            <w:tcW w:w="4911" w:type="dxa"/>
            <w:vAlign w:val="center"/>
            <w:textDirection w:val="lrTb"/>
            <w:noWrap w:val="false"/>
          </w:tcPr>
          <w:p>
            <w:pPr>
              <w:jc w:val="left"/>
              <w:rPr>
                <w:rFonts w:hint="eastAsia" w:ascii="宋体" w:hAnsi="宋体" w:cs="宋体"/>
                <w:color w:val="000000"/>
                <w:sz w:val="24"/>
                <w:szCs w:val="24"/>
              </w:rPr>
            </w:pPr>
            <w:r>
              <w:rPr>
                <w:rFonts w:hint="eastAsia" w:ascii="宋体" w:hAnsi="宋体" w:cs="宋体"/>
                <w:color w:val="000000"/>
                <w:sz w:val="24"/>
                <w:szCs w:val="24"/>
              </w:rPr>
              <w:t xml:space="preserve">格式见附件</w:t>
            </w:r>
            <w:r/>
          </w:p>
        </w:tc>
      </w:tr>
      <w:tr>
        <w:trPr>
          <w:jc w:val="center"/>
          <w:trHeight w:val="869"/>
        </w:trPr>
        <w:tc>
          <w:tcPr>
            <w:tcW w:w="923" w:type="dxa"/>
            <w:vAlign w:val="center"/>
            <w:textDirection w:val="lrTb"/>
            <w:noWrap w:val="false"/>
          </w:tcPr>
          <w:p>
            <w:pPr>
              <w:jc w:val="center"/>
              <w:rPr>
                <w:rFonts w:hint="eastAsia" w:ascii="宋体" w:hAnsi="宋体" w:cs="宋体"/>
                <w:bCs/>
                <w:sz w:val="24"/>
                <w:szCs w:val="24"/>
              </w:rPr>
            </w:pPr>
            <w:r>
              <w:rPr>
                <w:rFonts w:hint="eastAsia" w:ascii="宋体" w:hAnsi="宋体"/>
                <w:sz w:val="24"/>
                <w:szCs w:val="24"/>
              </w:rPr>
              <w:t xml:space="preserve">1</w:t>
            </w:r>
            <w:r>
              <w:rPr>
                <w:rFonts w:ascii="宋体" w:hAnsi="宋体"/>
                <w:sz w:val="24"/>
                <w:szCs w:val="24"/>
              </w:rPr>
              <w:t xml:space="preserve">0</w:t>
            </w:r>
            <w:r/>
          </w:p>
        </w:tc>
        <w:tc>
          <w:tcPr>
            <w:tcW w:w="3645" w:type="dxa"/>
            <w:vAlign w:val="center"/>
            <w:textDirection w:val="lrTb"/>
            <w:noWrap w:val="false"/>
          </w:tcPr>
          <w:p>
            <w:pPr>
              <w:jc w:val="left"/>
              <w:rPr>
                <w:rFonts w:hint="eastAsia" w:ascii="宋体" w:hAnsi="宋体" w:cs="宋体"/>
                <w:bCs/>
                <w:sz w:val="24"/>
                <w:szCs w:val="24"/>
              </w:rPr>
            </w:pPr>
            <w:r>
              <w:rPr>
                <w:rFonts w:hint="eastAsia" w:ascii="宋体" w:hAnsi="宋体" w:cs="宋体"/>
                <w:bCs/>
                <w:sz w:val="24"/>
                <w:szCs w:val="24"/>
              </w:rPr>
              <w:t xml:space="preserve">落实政府采购政策需满足的资格要求</w:t>
            </w:r>
            <w:r/>
          </w:p>
        </w:tc>
        <w:tc>
          <w:tcPr>
            <w:tcW w:w="4911" w:type="dxa"/>
            <w:vAlign w:val="center"/>
            <w:textDirection w:val="lrTb"/>
            <w:noWrap w:val="false"/>
          </w:tcPr>
          <w:p>
            <w:pPr>
              <w:jc w:val="left"/>
              <w:rPr>
                <w:rFonts w:hint="eastAsia" w:ascii="宋体" w:hAnsi="宋体" w:cs="宋体"/>
                <w:bCs/>
                <w:sz w:val="24"/>
                <w:szCs w:val="24"/>
              </w:rPr>
            </w:pPr>
            <w:r>
              <w:rPr>
                <w:rFonts w:hint="eastAsia" w:ascii="宋体" w:hAnsi="宋体" w:cs="宋体"/>
                <w:bCs/>
                <w:sz w:val="24"/>
                <w:szCs w:val="24"/>
              </w:rPr>
              <w:t xml:space="preserve">/</w:t>
            </w:r>
            <w:r/>
          </w:p>
        </w:tc>
      </w:tr>
      <w:tr>
        <w:trPr>
          <w:jc w:val="center"/>
          <w:trHeight w:val="1061"/>
        </w:trPr>
        <w:tc>
          <w:tcPr>
            <w:tcW w:w="923" w:type="dxa"/>
            <w:vAlign w:val="center"/>
            <w:textDirection w:val="lrTb"/>
            <w:noWrap w:val="false"/>
          </w:tcPr>
          <w:p>
            <w:pPr>
              <w:jc w:val="center"/>
              <w:rPr>
                <w:rFonts w:ascii="宋体" w:hAnsi="宋体"/>
                <w:sz w:val="24"/>
                <w:szCs w:val="24"/>
              </w:rPr>
            </w:pPr>
            <w:r>
              <w:rPr>
                <w:rFonts w:hint="eastAsia" w:ascii="宋体" w:hAnsi="宋体"/>
                <w:sz w:val="24"/>
                <w:szCs w:val="24"/>
              </w:rPr>
              <w:t xml:space="preserve">11</w:t>
            </w:r>
            <w:r/>
          </w:p>
        </w:tc>
        <w:tc>
          <w:tcPr>
            <w:tcW w:w="3645" w:type="dxa"/>
            <w:vAlign w:val="center"/>
            <w:textDirection w:val="lrTb"/>
            <w:noWrap w:val="false"/>
          </w:tcPr>
          <w:p>
            <w:pPr>
              <w:jc w:val="left"/>
              <w:rPr>
                <w:rFonts w:hint="eastAsia" w:ascii="宋体" w:hAnsi="宋体" w:cs="宋体"/>
                <w:bCs/>
                <w:sz w:val="24"/>
                <w:szCs w:val="24"/>
              </w:rPr>
            </w:pPr>
            <w:r>
              <w:rPr>
                <w:rFonts w:hint="eastAsia" w:ascii="宋体" w:hAnsi="宋体" w:cs="宋体"/>
                <w:bCs/>
                <w:sz w:val="24"/>
                <w:szCs w:val="24"/>
              </w:rPr>
              <w:t xml:space="preserve">特定资格要求</w:t>
            </w:r>
            <w:r/>
          </w:p>
        </w:tc>
        <w:tc>
          <w:tcPr>
            <w:tcW w:w="4911" w:type="dxa"/>
            <w:vAlign w:val="center"/>
            <w:textDirection w:val="lrTb"/>
            <w:noWrap w:val="false"/>
          </w:tcPr>
          <w:p>
            <w:pPr>
              <w:jc w:val="left"/>
              <w:rPr>
                <w:rFonts w:ascii="宋体" w:hAnsi="宋体" w:cs="宋体"/>
                <w:bCs/>
                <w:sz w:val="24"/>
                <w:szCs w:val="24"/>
              </w:rPr>
            </w:pPr>
            <w:r>
              <w:rPr>
                <w:rFonts w:hint="eastAsia" w:ascii="宋体" w:hAnsi="宋体" w:cs="宋体"/>
                <w:bCs/>
                <w:sz w:val="24"/>
                <w:szCs w:val="24"/>
              </w:rPr>
              <w:t xml:space="preserve">供应商应是在国内依法注册</w:t>
            </w:r>
            <w:r>
              <w:rPr>
                <w:rFonts w:hint="eastAsia" w:ascii="宋体" w:hAnsi="宋体" w:cs="宋体"/>
                <w:bCs/>
                <w:sz w:val="24"/>
                <w:szCs w:val="24"/>
                <w:lang w:eastAsia="zh-CN"/>
              </w:rPr>
              <w:t xml:space="preserve">（</w:t>
            </w:r>
            <w:r>
              <w:rPr>
                <w:rFonts w:hint="eastAsia" w:ascii="宋体" w:hAnsi="宋体" w:cs="宋体"/>
                <w:bCs/>
                <w:sz w:val="24"/>
                <w:szCs w:val="24"/>
              </w:rPr>
              <w:t xml:space="preserve">拟投入产品</w:t>
            </w:r>
            <w:r>
              <w:rPr>
                <w:rFonts w:hint="eastAsia" w:ascii="宋体" w:hAnsi="宋体" w:cs="宋体"/>
                <w:bCs/>
                <w:sz w:val="24"/>
                <w:szCs w:val="24"/>
                <w:lang w:eastAsia="zh-CN"/>
              </w:rPr>
              <w:t xml:space="preserve">）</w:t>
            </w:r>
            <w:r>
              <w:rPr>
                <w:rFonts w:hint="eastAsia" w:ascii="宋体" w:hAnsi="宋体" w:cs="宋体"/>
                <w:bCs/>
                <w:sz w:val="24"/>
                <w:szCs w:val="24"/>
              </w:rPr>
              <w:t xml:space="preserve">的生产制造商或销售代理商，应具有有效营业执照。</w:t>
            </w:r>
            <w:r/>
          </w:p>
        </w:tc>
      </w:tr>
      <w:tr>
        <w:trPr>
          <w:jc w:val="center"/>
          <w:trHeight w:val="3038"/>
        </w:trPr>
        <w:tc>
          <w:tcPr>
            <w:tcW w:w="923" w:type="dxa"/>
            <w:vAlign w:val="center"/>
            <w:textDirection w:val="lrTb"/>
            <w:noWrap w:val="false"/>
          </w:tcPr>
          <w:p>
            <w:pPr>
              <w:jc w:val="center"/>
              <w:rPr>
                <w:rFonts w:ascii="宋体" w:hAnsi="宋体"/>
                <w:sz w:val="24"/>
                <w:szCs w:val="24"/>
              </w:rPr>
            </w:pPr>
            <w:r>
              <w:rPr>
                <w:rFonts w:hint="eastAsia" w:ascii="宋体" w:hAnsi="宋体"/>
                <w:sz w:val="24"/>
                <w:szCs w:val="24"/>
              </w:rPr>
              <w:t xml:space="preserve">12</w:t>
            </w:r>
            <w:r/>
          </w:p>
        </w:tc>
        <w:tc>
          <w:tcPr>
            <w:tcW w:w="364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信用记录</w:t>
            </w:r>
            <w:r/>
          </w:p>
          <w:p>
            <w:pPr>
              <w:pStyle w:val="1444"/>
              <w:rPr>
                <w:rFonts w:hint="eastAsia" w:ascii="宋体" w:hAnsi="宋体" w:cs="宋体"/>
                <w:bCs/>
                <w:sz w:val="24"/>
                <w:szCs w:val="24"/>
              </w:rPr>
            </w:pPr>
            <w:r>
              <w:rPr>
                <w:rFonts w:hint="eastAsia" w:ascii="宋体" w:hAnsi="宋体" w:cs="宋体"/>
                <w:color w:val="000000"/>
                <w:sz w:val="24"/>
                <w:szCs w:val="24"/>
              </w:rPr>
              <w:t xml:space="preserve">(由网上直接查询，供应商无需提供证明材料)</w:t>
            </w:r>
            <w:r/>
          </w:p>
        </w:tc>
        <w:tc>
          <w:tcPr>
            <w:tcW w:w="4911" w:type="dxa"/>
            <w:vAlign w:val="center"/>
            <w:textDirection w:val="lrTb"/>
            <w:noWrap w:val="false"/>
          </w:tcPr>
          <w:p>
            <w:pPr>
              <w:jc w:val="left"/>
              <w:rPr>
                <w:rFonts w:hint="eastAsia" w:ascii="宋体" w:hAnsi="宋体" w:cs="宋体"/>
                <w:bCs/>
                <w:sz w:val="24"/>
                <w:szCs w:val="24"/>
              </w:rPr>
            </w:pPr>
            <w:r>
              <w:rPr>
                <w:rFonts w:hint="eastAsia" w:ascii="宋体" w:hAnsi="宋体" w:cs="宋体"/>
                <w:sz w:val="24"/>
                <w:szCs w:val="24"/>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jc w:val="center"/>
          <w:trHeight w:val="654"/>
        </w:trPr>
        <w:tc>
          <w:tcPr>
            <w:tcW w:w="923" w:type="dxa"/>
            <w:vAlign w:val="center"/>
            <w:textDirection w:val="lrTb"/>
            <w:noWrap w:val="false"/>
          </w:tcPr>
          <w:p>
            <w:pPr>
              <w:jc w:val="center"/>
              <w:rPr>
                <w:rFonts w:ascii="宋体" w:hAnsi="宋体"/>
                <w:sz w:val="24"/>
                <w:szCs w:val="24"/>
              </w:rPr>
            </w:pPr>
            <w:r>
              <w:rPr>
                <w:rFonts w:hint="eastAsia" w:ascii="宋体" w:hAnsi="宋体"/>
                <w:sz w:val="24"/>
                <w:szCs w:val="24"/>
              </w:rPr>
              <w:t xml:space="preserve">13</w:t>
            </w:r>
            <w:r/>
          </w:p>
        </w:tc>
        <w:tc>
          <w:tcPr>
            <w:tcW w:w="3645" w:type="dxa"/>
            <w:vAlign w:val="center"/>
            <w:textDirection w:val="lrTb"/>
            <w:noWrap w:val="false"/>
          </w:tcPr>
          <w:p>
            <w:pPr>
              <w:jc w:val="left"/>
              <w:rPr>
                <w:rFonts w:hint="eastAsia" w:ascii="宋体" w:hAnsi="宋体" w:cs="宋体"/>
                <w:bCs/>
                <w:sz w:val="24"/>
                <w:szCs w:val="24"/>
              </w:rPr>
            </w:pPr>
            <w:r>
              <w:rPr>
                <w:rFonts w:hint="eastAsia" w:ascii="宋体" w:hAnsi="宋体" w:cs="宋体"/>
                <w:sz w:val="24"/>
                <w:szCs w:val="24"/>
              </w:rPr>
              <w:t xml:space="preserve">关于联合体投标</w:t>
            </w:r>
            <w:r/>
          </w:p>
        </w:tc>
        <w:tc>
          <w:tcPr>
            <w:tcW w:w="4911" w:type="dxa"/>
            <w:vAlign w:val="center"/>
            <w:textDirection w:val="lrTb"/>
            <w:noWrap w:val="false"/>
          </w:tcPr>
          <w:p>
            <w:pPr>
              <w:jc w:val="left"/>
              <w:rPr>
                <w:rFonts w:hint="eastAsia" w:ascii="宋体" w:hAnsi="宋体" w:cs="宋体"/>
                <w:bCs/>
                <w:sz w:val="24"/>
                <w:szCs w:val="24"/>
              </w:rPr>
            </w:pPr>
            <w:r>
              <w:rPr>
                <w:rFonts w:hint="eastAsia" w:ascii="宋体" w:hAnsi="宋体" w:cs="宋体"/>
                <w:sz w:val="24"/>
                <w:szCs w:val="24"/>
              </w:rPr>
              <w:t xml:space="preserve">本项目</w:t>
            </w:r>
            <w:r>
              <w:rPr>
                <w:rFonts w:hint="eastAsia" w:ascii="宋体" w:hAnsi="宋体" w:cs="宋体"/>
                <w:b/>
                <w:bCs/>
                <w:sz w:val="24"/>
                <w:szCs w:val="24"/>
                <w:u w:val="single"/>
              </w:rPr>
              <w:t xml:space="preserve">不接受</w:t>
            </w:r>
            <w:r>
              <w:rPr>
                <w:rFonts w:hint="eastAsia" w:ascii="宋体" w:hAnsi="宋体" w:cs="宋体"/>
                <w:sz w:val="24"/>
                <w:szCs w:val="24"/>
              </w:rPr>
              <w:t xml:space="preserve">联合体投标；不允许分包、转包</w:t>
            </w:r>
            <w:r/>
          </w:p>
        </w:tc>
      </w:tr>
    </w:tbl>
    <w:p>
      <w:pPr>
        <w:ind w:firstLine="482"/>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
          <w:sz w:val="24"/>
          <w:szCs w:val="24"/>
        </w:rPr>
        <w:t xml:space="preserve">特别提醒：资格审查不合格的投标供应商的投标文件不进入后续评审。</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B．符合性检查。评标委员会依据招标文件的规定，从投标文件的有效性、完整性和对招标文件的响应程度进行审查，以确定是否对招标文件的实质性要求作出响应。</w:t>
      </w:r>
      <w:r/>
    </w:p>
    <w:p>
      <w:pPr>
        <w:jc w:val="center"/>
        <w:spacing w:line="360" w:lineRule="auto"/>
        <w:tabs>
          <w:tab w:val="left" w:pos="525" w:leader="none"/>
          <w:tab w:val="left" w:pos="1050" w:leader="none"/>
        </w:tabs>
        <w:rPr>
          <w:rFonts w:hint="eastAsia" w:ascii="宋体" w:hAnsi="宋体"/>
          <w:b/>
          <w:sz w:val="24"/>
        </w:rPr>
      </w:pPr>
      <w:r>
        <w:rPr>
          <w:rFonts w:hint="eastAsia" w:ascii="宋体" w:hAnsi="宋体"/>
          <w:b/>
          <w:sz w:val="24"/>
        </w:rPr>
        <w:t xml:space="preserve">符合性审查表</w:t>
      </w:r>
      <w:r/>
    </w:p>
    <w:tbl>
      <w:tblPr>
        <w:tblStyle w:val="1431"/>
        <w:tblW w:w="8918"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9"/>
        <w:gridCol w:w="2670"/>
        <w:gridCol w:w="5459"/>
      </w:tblGrid>
      <w:tr>
        <w:trPr>
          <w:trHeight w:val="456"/>
        </w:trPr>
        <w:tc>
          <w:tcPr>
            <w:tcW w:w="789" w:type="dxa"/>
            <w:vAlign w:val="center"/>
            <w:textDirection w:val="lrTb"/>
            <w:noWrap w:val="false"/>
          </w:tcPr>
          <w:p>
            <w:pPr>
              <w:jc w:val="center"/>
              <w:rPr>
                <w:rFonts w:ascii="宋体" w:hAnsi="宋体"/>
                <w:b/>
                <w:bCs/>
                <w:sz w:val="24"/>
                <w:szCs w:val="24"/>
              </w:rPr>
            </w:pPr>
            <w:r>
              <w:rPr>
                <w:rFonts w:ascii="宋体" w:hAnsi="宋体"/>
                <w:b/>
                <w:bCs/>
                <w:sz w:val="24"/>
                <w:szCs w:val="24"/>
              </w:rPr>
              <w:t xml:space="preserve">序号</w:t>
            </w:r>
            <w:r/>
          </w:p>
        </w:tc>
        <w:tc>
          <w:tcPr>
            <w:tcW w:w="2670" w:type="dxa"/>
            <w:vAlign w:val="center"/>
            <w:textDirection w:val="lrTb"/>
            <w:noWrap w:val="false"/>
          </w:tcPr>
          <w:p>
            <w:pPr>
              <w:jc w:val="center"/>
              <w:rPr>
                <w:rFonts w:ascii="宋体" w:hAnsi="宋体"/>
                <w:b/>
                <w:bCs/>
                <w:sz w:val="24"/>
                <w:szCs w:val="24"/>
              </w:rPr>
            </w:pPr>
            <w:r>
              <w:rPr>
                <w:rFonts w:ascii="宋体" w:hAnsi="宋体"/>
                <w:b/>
                <w:bCs/>
                <w:sz w:val="24"/>
                <w:szCs w:val="24"/>
              </w:rPr>
              <w:t xml:space="preserve">评审点要求概况</w:t>
            </w:r>
            <w:r/>
          </w:p>
        </w:tc>
        <w:tc>
          <w:tcPr>
            <w:tcW w:w="5459" w:type="dxa"/>
            <w:vAlign w:val="center"/>
            <w:textDirection w:val="lrTb"/>
            <w:noWrap w:val="false"/>
          </w:tcPr>
          <w:p>
            <w:pPr>
              <w:jc w:val="center"/>
              <w:rPr>
                <w:rFonts w:ascii="宋体" w:hAnsi="宋体"/>
                <w:b/>
                <w:bCs/>
                <w:sz w:val="24"/>
                <w:szCs w:val="24"/>
              </w:rPr>
            </w:pPr>
            <w:r>
              <w:rPr>
                <w:rFonts w:ascii="宋体" w:hAnsi="宋体"/>
                <w:b/>
                <w:bCs/>
                <w:sz w:val="24"/>
                <w:szCs w:val="24"/>
              </w:rPr>
              <w:t xml:space="preserve">评审点具体描述</w:t>
            </w:r>
            <w:r/>
          </w:p>
        </w:tc>
      </w:tr>
      <w:tr>
        <w:trPr>
          <w:trHeight w:val="646"/>
        </w:trPr>
        <w:tc>
          <w:tcPr>
            <w:tcW w:w="789" w:type="dxa"/>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W w:w="2670" w:type="dxa"/>
            <w:vAlign w:val="center"/>
            <w:textDirection w:val="lrTb"/>
            <w:noWrap w:val="false"/>
          </w:tcPr>
          <w:p>
            <w:pPr>
              <w:jc w:val="center"/>
              <w:rPr>
                <w:rFonts w:hint="eastAsia" w:ascii="宋体" w:hAnsi="宋体"/>
                <w:b/>
                <w:bCs/>
                <w:sz w:val="24"/>
                <w:szCs w:val="24"/>
              </w:rPr>
            </w:pPr>
            <w:r>
              <w:rPr>
                <w:rFonts w:hint="eastAsia" w:ascii="宋体" w:hAnsi="宋体"/>
                <w:sz w:val="24"/>
                <w:szCs w:val="24"/>
              </w:rPr>
              <w:t xml:space="preserve">投标函</w:t>
            </w:r>
            <w:r/>
          </w:p>
        </w:tc>
        <w:tc>
          <w:tcPr>
            <w:tcW w:w="5459" w:type="dxa"/>
            <w:vAlign w:val="center"/>
            <w:textDirection w:val="lrTb"/>
            <w:noWrap w:val="false"/>
          </w:tcPr>
          <w:p>
            <w:pPr>
              <w:jc w:val="left"/>
              <w:rPr>
                <w:rFonts w:ascii="宋体" w:hAnsi="宋体"/>
                <w:b/>
                <w:bCs/>
                <w:sz w:val="24"/>
                <w:szCs w:val="24"/>
              </w:rPr>
            </w:pPr>
            <w:r>
              <w:rPr>
                <w:rFonts w:hint="eastAsia" w:ascii="宋体" w:hAnsi="宋体"/>
                <w:sz w:val="24"/>
                <w:szCs w:val="24"/>
              </w:rPr>
              <w:t xml:space="preserve">按招标文件填写，格式见附件</w:t>
            </w:r>
            <w:r/>
          </w:p>
        </w:tc>
      </w:tr>
      <w:tr>
        <w:trPr>
          <w:trHeight w:val="646"/>
        </w:trPr>
        <w:tc>
          <w:tcPr>
            <w:tcW w:w="789" w:type="dxa"/>
            <w:vAlign w:val="center"/>
            <w:textDirection w:val="lrTb"/>
            <w:noWrap w:val="false"/>
          </w:tcPr>
          <w:p>
            <w:pPr>
              <w:jc w:val="center"/>
              <w:rPr>
                <w:rFonts w:ascii="宋体" w:hAnsi="宋体"/>
                <w:sz w:val="24"/>
                <w:szCs w:val="24"/>
              </w:rPr>
            </w:pPr>
            <w:r>
              <w:rPr>
                <w:rFonts w:ascii="宋体" w:hAnsi="宋体"/>
                <w:sz w:val="24"/>
                <w:szCs w:val="24"/>
              </w:rPr>
              <w:t xml:space="preserve">2</w:t>
            </w:r>
            <w:r/>
          </w:p>
        </w:tc>
        <w:tc>
          <w:tcPr>
            <w:tcW w:w="2670" w:type="dxa"/>
            <w:vAlign w:val="center"/>
            <w:textDirection w:val="lrTb"/>
            <w:noWrap w:val="false"/>
          </w:tcPr>
          <w:p>
            <w:pPr>
              <w:jc w:val="center"/>
              <w:rPr>
                <w:rFonts w:hint="eastAsia" w:ascii="宋体" w:hAnsi="宋体"/>
                <w:sz w:val="24"/>
                <w:szCs w:val="24"/>
              </w:rPr>
            </w:pPr>
            <w:r>
              <w:rPr>
                <w:rFonts w:hint="eastAsia" w:ascii="宋体" w:hAnsi="宋体" w:cs="宋体"/>
                <w:bCs/>
                <w:sz w:val="24"/>
                <w:szCs w:val="24"/>
              </w:rPr>
              <w:t xml:space="preserve">开标一览表</w:t>
            </w:r>
            <w:r/>
          </w:p>
        </w:tc>
        <w:tc>
          <w:tcPr>
            <w:tcW w:w="5459" w:type="dxa"/>
            <w:vAlign w:val="center"/>
            <w:textDirection w:val="lrTb"/>
            <w:noWrap w:val="false"/>
          </w:tcPr>
          <w:p>
            <w:pPr>
              <w:jc w:val="left"/>
              <w:rPr>
                <w:rFonts w:hint="eastAsia" w:ascii="宋体" w:hAnsi="宋体"/>
                <w:sz w:val="24"/>
                <w:szCs w:val="24"/>
              </w:rPr>
            </w:pPr>
            <w:r>
              <w:rPr>
                <w:rFonts w:hint="eastAsia" w:ascii="宋体" w:hAnsi="宋体"/>
                <w:sz w:val="24"/>
                <w:szCs w:val="24"/>
              </w:rPr>
              <w:t xml:space="preserve">本表无需上传，评审时以苏采云系统自带的开标一览表为准</w:t>
            </w:r>
            <w:r/>
          </w:p>
        </w:tc>
      </w:tr>
      <w:tr>
        <w:trPr>
          <w:trHeight w:val="646"/>
        </w:trPr>
        <w:tc>
          <w:tcPr>
            <w:tcW w:w="78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3</w:t>
            </w:r>
            <w:r/>
          </w:p>
        </w:tc>
        <w:tc>
          <w:tcPr>
            <w:tcW w:w="2670"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报价明细表</w:t>
            </w:r>
            <w:r/>
          </w:p>
        </w:tc>
        <w:tc>
          <w:tcPr>
            <w:tcW w:w="5459" w:type="dxa"/>
            <w:vAlign w:val="center"/>
            <w:textDirection w:val="lrTb"/>
            <w:noWrap w:val="false"/>
          </w:tcPr>
          <w:p>
            <w:pPr>
              <w:jc w:val="left"/>
              <w:rPr>
                <w:rFonts w:hint="eastAsia" w:ascii="宋体" w:hAnsi="宋体"/>
                <w:sz w:val="24"/>
                <w:szCs w:val="24"/>
              </w:rPr>
            </w:pPr>
            <w:r>
              <w:rPr>
                <w:rFonts w:hint="eastAsia" w:ascii="宋体" w:hAnsi="宋体"/>
                <w:sz w:val="24"/>
                <w:szCs w:val="24"/>
              </w:rPr>
              <w:t xml:space="preserve">按招标文件填写，格式见附件</w:t>
            </w:r>
            <w:r/>
          </w:p>
        </w:tc>
      </w:tr>
      <w:tr>
        <w:trPr>
          <w:trHeight w:val="646"/>
        </w:trPr>
        <w:tc>
          <w:tcPr>
            <w:tcW w:w="789" w:type="dxa"/>
            <w:vAlign w:val="center"/>
            <w:textDirection w:val="lrTb"/>
            <w:noWrap w:val="false"/>
          </w:tcPr>
          <w:p>
            <w:pPr>
              <w:jc w:val="center"/>
              <w:rPr>
                <w:rFonts w:ascii="宋体" w:hAnsi="宋体"/>
                <w:sz w:val="24"/>
                <w:szCs w:val="24"/>
              </w:rPr>
            </w:pPr>
            <w:r>
              <w:rPr>
                <w:rFonts w:hint="eastAsia" w:ascii="宋体" w:hAnsi="宋体"/>
                <w:sz w:val="24"/>
                <w:szCs w:val="24"/>
              </w:rPr>
              <w:t xml:space="preserve">4</w:t>
            </w:r>
            <w:r/>
          </w:p>
        </w:tc>
        <w:tc>
          <w:tcPr>
            <w:tcW w:w="2670"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服务保障承诺书</w:t>
            </w:r>
            <w:r/>
          </w:p>
        </w:tc>
        <w:tc>
          <w:tcPr>
            <w:tcW w:w="5459" w:type="dxa"/>
            <w:vAlign w:val="center"/>
            <w:textDirection w:val="lrTb"/>
            <w:noWrap w:val="false"/>
          </w:tcPr>
          <w:p>
            <w:pPr>
              <w:jc w:val="left"/>
              <w:rPr>
                <w:rFonts w:ascii="宋体" w:hAnsi="宋体"/>
                <w:sz w:val="24"/>
                <w:szCs w:val="24"/>
              </w:rPr>
            </w:pPr>
            <w:r>
              <w:rPr>
                <w:rFonts w:hint="eastAsia" w:ascii="宋体" w:hAnsi="宋体"/>
                <w:sz w:val="24"/>
                <w:szCs w:val="24"/>
              </w:rPr>
              <w:t xml:space="preserve">按招标文件填写，格式见附件</w:t>
            </w:r>
            <w:r/>
          </w:p>
        </w:tc>
      </w:tr>
      <w:tr>
        <w:trPr>
          <w:trHeight w:val="646"/>
        </w:trPr>
        <w:tc>
          <w:tcPr>
            <w:tcW w:w="789" w:type="dxa"/>
            <w:vAlign w:val="center"/>
            <w:textDirection w:val="lrTb"/>
            <w:noWrap w:val="false"/>
          </w:tcPr>
          <w:p>
            <w:pPr>
              <w:jc w:val="center"/>
              <w:rPr>
                <w:rFonts w:ascii="宋体" w:hAnsi="宋体"/>
                <w:sz w:val="24"/>
                <w:szCs w:val="24"/>
              </w:rPr>
            </w:pPr>
            <w:r>
              <w:rPr>
                <w:rFonts w:hint="eastAsia" w:ascii="宋体" w:hAnsi="宋体"/>
                <w:sz w:val="24"/>
                <w:szCs w:val="24"/>
              </w:rPr>
              <w:t xml:space="preserve">5</w:t>
            </w:r>
            <w:r/>
          </w:p>
        </w:tc>
        <w:tc>
          <w:tcPr>
            <w:tcW w:w="2670"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投标偏离表</w:t>
            </w:r>
            <w:r/>
          </w:p>
        </w:tc>
        <w:tc>
          <w:tcPr>
            <w:tcW w:w="5459" w:type="dxa"/>
            <w:vAlign w:val="center"/>
            <w:textDirection w:val="lrTb"/>
            <w:noWrap w:val="false"/>
          </w:tcPr>
          <w:p>
            <w:pPr>
              <w:jc w:val="left"/>
              <w:rPr>
                <w:rFonts w:ascii="宋体" w:hAnsi="宋体"/>
                <w:sz w:val="24"/>
                <w:szCs w:val="24"/>
              </w:rPr>
            </w:pPr>
            <w:r>
              <w:rPr>
                <w:rFonts w:hint="eastAsia" w:ascii="宋体" w:hAnsi="宋体"/>
                <w:sz w:val="24"/>
                <w:szCs w:val="24"/>
              </w:rPr>
              <w:t xml:space="preserve">按招标文件填写，格式见附件</w:t>
            </w:r>
            <w:r/>
          </w:p>
        </w:tc>
      </w:tr>
      <w:tr>
        <w:trPr>
          <w:trHeight w:val="646"/>
        </w:trPr>
        <w:tc>
          <w:tcPr>
            <w:tcW w:w="789" w:type="dxa"/>
            <w:vAlign w:val="center"/>
            <w:textDirection w:val="lrTb"/>
            <w:noWrap w:val="false"/>
          </w:tcPr>
          <w:p>
            <w:pPr>
              <w:jc w:val="center"/>
              <w:rPr>
                <w:rFonts w:ascii="宋体" w:hAnsi="宋体"/>
                <w:sz w:val="24"/>
                <w:szCs w:val="24"/>
              </w:rPr>
            </w:pPr>
            <w:r>
              <w:rPr>
                <w:rFonts w:hint="eastAsia" w:ascii="宋体" w:hAnsi="宋体"/>
                <w:sz w:val="24"/>
                <w:szCs w:val="24"/>
              </w:rPr>
              <w:t xml:space="preserve">6</w:t>
            </w:r>
            <w:r/>
          </w:p>
        </w:tc>
        <w:tc>
          <w:tcPr>
            <w:tcW w:w="2670" w:type="dxa"/>
            <w:vAlign w:val="center"/>
            <w:textDirection w:val="lrTb"/>
            <w:noWrap w:val="false"/>
          </w:tcPr>
          <w:p>
            <w:pPr>
              <w:jc w:val="center"/>
              <w:spacing w:line="440" w:lineRule="exact"/>
              <w:tabs>
                <w:tab w:val="left" w:pos="480" w:leader="none"/>
              </w:tabs>
              <w:rPr>
                <w:rFonts w:ascii="宋体" w:hAnsi="宋体" w:cs="宋体"/>
                <w:bCs/>
                <w:sz w:val="24"/>
                <w:szCs w:val="24"/>
              </w:rPr>
              <w:outlineLvl w:val="0"/>
            </w:pPr>
            <w:r>
              <w:rPr>
                <w:rFonts w:hint="eastAsia" w:ascii="宋体" w:hAnsi="宋体" w:cs="宋体"/>
                <w:bCs/>
                <w:sz w:val="24"/>
                <w:szCs w:val="24"/>
              </w:rPr>
              <w:t xml:space="preserve">投标供应商情况表</w:t>
            </w:r>
            <w:r/>
          </w:p>
        </w:tc>
        <w:tc>
          <w:tcPr>
            <w:tcW w:w="5459" w:type="dxa"/>
            <w:vAlign w:val="center"/>
            <w:textDirection w:val="lrTb"/>
            <w:noWrap w:val="false"/>
          </w:tcPr>
          <w:p>
            <w:pPr>
              <w:jc w:val="left"/>
              <w:spacing w:line="440" w:lineRule="exact"/>
              <w:tabs>
                <w:tab w:val="left" w:pos="480" w:leader="none"/>
              </w:tabs>
              <w:rPr>
                <w:rFonts w:ascii="宋体" w:hAnsi="宋体"/>
                <w:sz w:val="24"/>
                <w:szCs w:val="24"/>
              </w:rPr>
              <w:outlineLvl w:val="0"/>
            </w:pPr>
            <w:r>
              <w:rPr>
                <w:rFonts w:hint="eastAsia" w:ascii="宋体" w:hAnsi="宋体"/>
                <w:sz w:val="24"/>
                <w:szCs w:val="24"/>
              </w:rPr>
              <w:t xml:space="preserve">按招标文件填写，格式见附件</w:t>
            </w:r>
            <w:r/>
          </w:p>
        </w:tc>
      </w:tr>
      <w:tr>
        <w:trPr>
          <w:trHeight w:val="646"/>
        </w:trPr>
        <w:tc>
          <w:tcPr>
            <w:tcW w:w="789" w:type="dxa"/>
            <w:vAlign w:val="center"/>
            <w:textDirection w:val="lrTb"/>
            <w:noWrap w:val="false"/>
          </w:tcPr>
          <w:p>
            <w:pPr>
              <w:jc w:val="center"/>
              <w:rPr>
                <w:rFonts w:ascii="宋体" w:hAnsi="宋体"/>
                <w:sz w:val="24"/>
                <w:szCs w:val="24"/>
              </w:rPr>
            </w:pPr>
            <w:r>
              <w:rPr>
                <w:rFonts w:hint="eastAsia" w:ascii="宋体" w:hAnsi="宋体"/>
                <w:sz w:val="24"/>
                <w:szCs w:val="24"/>
              </w:rPr>
              <w:t xml:space="preserve">7</w:t>
            </w:r>
            <w:r/>
          </w:p>
        </w:tc>
        <w:tc>
          <w:tcPr>
            <w:tcW w:w="2670" w:type="dxa"/>
            <w:vAlign w:val="center"/>
            <w:textDirection w:val="lrTb"/>
            <w:noWrap w:val="false"/>
          </w:tcPr>
          <w:p>
            <w:pPr>
              <w:jc w:val="center"/>
              <w:spacing w:line="440" w:lineRule="exact"/>
              <w:tabs>
                <w:tab w:val="left" w:pos="480" w:leader="none"/>
              </w:tabs>
              <w:rPr>
                <w:rFonts w:hint="eastAsia" w:ascii="宋体" w:hAnsi="宋体"/>
                <w:sz w:val="24"/>
                <w:szCs w:val="24"/>
              </w:rPr>
              <w:outlineLvl w:val="0"/>
            </w:pPr>
            <w:r>
              <w:rPr>
                <w:rFonts w:hint="eastAsia" w:ascii="宋体" w:hAnsi="宋体" w:cs="宋体"/>
                <w:sz w:val="24"/>
                <w:szCs w:val="24"/>
              </w:rPr>
              <w:t xml:space="preserve">满足采购文件第三章项目技术要求和有关说明</w:t>
            </w:r>
            <w:r/>
          </w:p>
        </w:tc>
        <w:tc>
          <w:tcPr>
            <w:tcW w:w="5459" w:type="dxa"/>
            <w:vAlign w:val="center"/>
            <w:textDirection w:val="lrTb"/>
            <w:noWrap w:val="false"/>
          </w:tcPr>
          <w:p>
            <w:pPr>
              <w:jc w:val="left"/>
              <w:spacing w:line="440" w:lineRule="exact"/>
              <w:tabs>
                <w:tab w:val="left" w:pos="480" w:leader="none"/>
              </w:tabs>
              <w:rPr>
                <w:rFonts w:hint="eastAsia" w:ascii="宋体" w:hAnsi="宋体"/>
                <w:sz w:val="24"/>
                <w:szCs w:val="24"/>
              </w:rPr>
              <w:outlineLvl w:val="0"/>
            </w:pPr>
            <w:r>
              <w:rPr>
                <w:rFonts w:hint="eastAsia" w:ascii="宋体" w:hAnsi="宋体" w:cs="宋体"/>
                <w:bCs/>
                <w:sz w:val="24"/>
                <w:szCs w:val="24"/>
              </w:rPr>
              <w:t xml:space="preserve">如有，格式自拟并自行添加</w:t>
            </w:r>
            <w:r/>
          </w:p>
        </w:tc>
      </w:tr>
      <w:tr>
        <w:trPr>
          <w:trHeight w:val="646"/>
        </w:trPr>
        <w:tc>
          <w:tcPr>
            <w:tcW w:w="78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8</w:t>
            </w:r>
            <w:r/>
          </w:p>
        </w:tc>
        <w:tc>
          <w:tcPr>
            <w:tcW w:w="2670" w:type="dxa"/>
            <w:vAlign w:val="center"/>
            <w:textDirection w:val="lrTb"/>
            <w:noWrap w:val="false"/>
          </w:tcPr>
          <w:p>
            <w:pPr>
              <w:jc w:val="center"/>
              <w:spacing w:line="440" w:lineRule="exact"/>
              <w:tabs>
                <w:tab w:val="left" w:pos="480" w:leader="none"/>
              </w:tabs>
              <w:rPr>
                <w:rFonts w:hint="eastAsia" w:ascii="宋体" w:hAnsi="宋体"/>
                <w:sz w:val="24"/>
                <w:szCs w:val="24"/>
              </w:rPr>
              <w:outlineLvl w:val="0"/>
            </w:pPr>
            <w:r>
              <w:rPr>
                <w:rFonts w:hint="eastAsia" w:ascii="宋体" w:hAnsi="宋体" w:cs="宋体"/>
                <w:bCs/>
                <w:color w:val="000000"/>
                <w:sz w:val="24"/>
                <w:szCs w:val="24"/>
              </w:rPr>
              <w:t xml:space="preserve">投标文件内容</w:t>
            </w:r>
            <w:r/>
          </w:p>
        </w:tc>
        <w:tc>
          <w:tcPr>
            <w:tcW w:w="5459" w:type="dxa"/>
            <w:vAlign w:val="center"/>
            <w:textDirection w:val="lrTb"/>
            <w:noWrap w:val="false"/>
          </w:tcPr>
          <w:p>
            <w:pPr>
              <w:jc w:val="left"/>
              <w:spacing w:line="440" w:lineRule="exact"/>
              <w:tabs>
                <w:tab w:val="left" w:pos="480" w:leader="none"/>
              </w:tabs>
              <w:rPr>
                <w:rFonts w:hint="eastAsia" w:ascii="宋体" w:hAnsi="宋体"/>
                <w:sz w:val="24"/>
                <w:szCs w:val="24"/>
              </w:rPr>
              <w:outlineLvl w:val="0"/>
            </w:pPr>
            <w:r>
              <w:rPr>
                <w:rFonts w:hint="eastAsia" w:ascii="宋体" w:hAnsi="宋体" w:cs="宋体"/>
                <w:bCs/>
                <w:color w:val="000000"/>
                <w:sz w:val="24"/>
                <w:szCs w:val="24"/>
              </w:rPr>
              <w:t xml:space="preserve">不存在供应商须知第八条中的情形</w:t>
            </w:r>
            <w:r/>
          </w:p>
        </w:tc>
      </w:tr>
    </w:tbl>
    <w:p>
      <w:pPr>
        <w:ind w:firstLine="482"/>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
          <w:sz w:val="24"/>
          <w:szCs w:val="24"/>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澄清有关问题。对投标文件中含义不明确、同类问题表述不一致或者有明显文字和计算错误的内容，评标委员会可以通过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(3)比较与评价。评标委员会按招标文件中规定的评标方法和标准，对资格性检查和符合性检查合格的投标文件进行商务和技术评估，综合比较与评价。</w:t>
      </w:r>
      <w:r/>
    </w:p>
    <w:p>
      <w:pPr>
        <w:ind w:firstLine="480"/>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lang w:val="en-US" w:eastAsia="zh-CN"/>
        </w:rPr>
        <w:t xml:space="preserve">6</w:t>
      </w:r>
      <w:r>
        <w:rPr>
          <w:rFonts w:hint="eastAsia" w:ascii="宋体" w:hAnsi="宋体" w:cs="宋体"/>
          <w:bCs/>
          <w:sz w:val="24"/>
          <w:szCs w:val="24"/>
        </w:rPr>
        <w:t xml:space="preserve">．评标方法</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投标人通过初审的，方可进入比较与评价程序。</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比较与评价采用综合评分法。</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w:t>
      </w:r>
      <w:r>
        <w:rPr>
          <w:rFonts w:hint="eastAsia" w:ascii="宋体" w:hAnsi="宋体" w:cs="宋体"/>
          <w:bCs/>
          <w:sz w:val="24"/>
          <w:szCs w:val="24"/>
          <w:highlight w:val="none"/>
        </w:rPr>
        <w:t xml:space="preserve">按照评审因素的量化指标评审得分最高的投标人为排名第一的中标候选人。</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lang w:val="en-US" w:eastAsia="zh-CN"/>
        </w:rPr>
        <w:t xml:space="preserve">7</w:t>
      </w:r>
      <w:r>
        <w:rPr>
          <w:rFonts w:hint="eastAsia" w:ascii="宋体" w:hAnsi="宋体" w:cs="宋体"/>
          <w:bCs/>
          <w:sz w:val="24"/>
          <w:szCs w:val="24"/>
        </w:rPr>
        <w:t xml:space="preserve">．评标标准：详见附件。</w:t>
      </w:r>
      <w:r/>
    </w:p>
    <w:p>
      <w:pPr>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(十)定标：</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1．评标委员会根据招标文件规</w:t>
      </w:r>
      <w:r>
        <w:rPr>
          <w:rFonts w:hint="eastAsia" w:ascii="宋体" w:hAnsi="宋体" w:cs="宋体"/>
          <w:bCs/>
          <w:sz w:val="24"/>
          <w:szCs w:val="24"/>
        </w:rPr>
        <w:t xml:space="preserve">定的评标方法和评标标准进行评审，按评审得分由高到低的原则推荐中标候选人，江苏通汇工程管理咨询有限公司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江苏通汇工程管理咨询有限公司将在财政部门指定的政府采购信息发布媒体上发布中标结果公告。江苏通汇工程管理咨询有限公司和评标委员会对未中标原因不作解释。</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2．在发布中标公告的同时，江苏通汇工程管理咨询有限</w:t>
      </w:r>
      <w:r>
        <w:rPr>
          <w:rFonts w:hint="eastAsia" w:ascii="宋体" w:hAnsi="宋体" w:cs="宋体"/>
          <w:bCs/>
          <w:sz w:val="24"/>
          <w:szCs w:val="24"/>
        </w:rPr>
        <w:t xml:space="preserve">公司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3．投标供应商电子投标文件将作为电子档案保存。</w:t>
      </w:r>
      <w:r/>
    </w:p>
    <w:p>
      <w:pPr>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(十一)废标的确认：</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在招标采购中，出现下列情况之一的，应予废标：</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1．符合专业条件的投标人或者对招标文件作出实质性响应的投标人不足三家；</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2．出现影响采购公正的违法、违规行为；</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3．投标人的报价均超过采购预算，采购人不能支付的；</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4．因重大变故，采购任务取消。</w:t>
      </w:r>
      <w:r/>
    </w:p>
    <w:p>
      <w:pPr>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(十二)中标无效的确认：</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1.若有充分证据证明，中标人出现下列情况之一的，一经查实，将被取消中标资格：</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1.1提供虚假材料谋取中标的；</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1.2采取不正当手段诋毁、排挤其他供应商的；</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1.3与招标采购单位、其他供应商恶意串通的；</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1.4向招标采购单位行贿或者提供其他不正当利益的；</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1.5在招标过程中与招标采购单位进行协商谈判、不按照招标文件和中标供应商的投标文件订立合同，或者与采购人另行订立背离合同实质性内容的协议的；</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1.6拒绝有关部门监督检查或者提供虚假情况的。</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2.有下列情形之一的，视为投标人串通投标，投标无效：</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2.1不同投标人的投标文件由同一单位或者个人编制。</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2.2不同投标人委托同一单位或者个人办理投标事宜。</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2.3 不同投标人的投标文件载明的项目管理成员或者联系人员为同一人。</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2.4不同投标人的投标文件异常一致或者投标报价呈规律性差异。</w:t>
      </w:r>
      <w:r/>
    </w:p>
    <w:p>
      <w:pPr>
        <w:ind w:firstLine="480"/>
        <w:spacing w:line="360" w:lineRule="auto"/>
        <w:rPr>
          <w:rFonts w:hint="eastAsia" w:ascii="宋体" w:hAnsi="宋体" w:cs="宋体"/>
          <w:bCs/>
          <w:sz w:val="24"/>
          <w:szCs w:val="24"/>
        </w:rPr>
        <w:outlineLvl w:val="1"/>
      </w:pPr>
      <w:r/>
      <w:bookmarkStart w:id="22" w:name="_Toc32174"/>
      <w:r/>
      <w:bookmarkStart w:id="23" w:name="_Toc21337"/>
      <w:r>
        <w:rPr>
          <w:rFonts w:hint="eastAsia" w:ascii="宋体" w:hAnsi="宋体" w:cs="宋体"/>
          <w:bCs/>
          <w:sz w:val="24"/>
          <w:szCs w:val="24"/>
        </w:rPr>
        <w:t xml:space="preserve">(十三)签订、履行合同：</w:t>
      </w:r>
      <w:bookmarkEnd w:id="22"/>
      <w:r/>
      <w:bookmarkEnd w:id="23"/>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1．采购人应当自中标通知书发出之日起三十日内，按照招标文件和中标供应商投标文件的约定，在采购代理机构就实质性条款见证后，</w:t>
      </w:r>
      <w:r>
        <w:rPr>
          <w:rFonts w:hint="eastAsia" w:ascii="宋体" w:hAnsi="宋体" w:cs="宋体"/>
          <w:bCs/>
          <w:sz w:val="24"/>
          <w:szCs w:val="24"/>
          <w:highlight w:val="none"/>
          <w:lang w:val="en-US" w:eastAsia="zh-CN"/>
        </w:rPr>
        <w:t xml:space="preserve">由无锡市锡山区半导体先进制造创新中心、锡山经济技术开发区管理委员会</w:t>
      </w:r>
      <w:r>
        <w:rPr>
          <w:rFonts w:hint="eastAsia" w:ascii="宋体" w:hAnsi="宋体" w:cs="宋体"/>
          <w:bCs/>
          <w:sz w:val="24"/>
          <w:szCs w:val="24"/>
          <w:highlight w:val="none"/>
        </w:rPr>
        <w:t xml:space="preserve">与中</w:t>
      </w:r>
      <w:r>
        <w:rPr>
          <w:rFonts w:hint="eastAsia" w:ascii="宋体" w:hAnsi="宋体" w:cs="宋体"/>
          <w:bCs/>
          <w:sz w:val="24"/>
          <w:szCs w:val="24"/>
        </w:rPr>
        <w:t xml:space="preserve">标供应商签订合同。所签订的合同不得对招标文件和中标供应商投标文件作实质性修改。采购人不得向中标供应商提出任何不合理的要求，作为签订合同的条件，不得与中标供应商私下订立背离合同实质性内容的协议。采购代理机构见证部分详见招标文件合同书（格式条款），见证后的格式条款不得做任何修改。</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3．江苏通汇工程管理咨询有限公司监督合同的履行。中标方非因不可抗力未履行招、投标文件和合同规定的义务，一经查实，采购人将根据具体情况提请政府采购管理部门作出相应处理。</w:t>
      </w:r>
      <w:r/>
    </w:p>
    <w:p>
      <w:pPr>
        <w:ind w:firstLine="480"/>
        <w:spacing w:line="360" w:lineRule="auto"/>
        <w:rPr>
          <w:rFonts w:hint="eastAsia" w:ascii="宋体" w:hAnsi="宋体" w:cs="宋体"/>
          <w:bCs/>
          <w:sz w:val="24"/>
          <w:szCs w:val="24"/>
        </w:rPr>
        <w:outlineLvl w:val="1"/>
      </w:pPr>
      <w:r/>
      <w:bookmarkStart w:id="24" w:name="_Toc28715"/>
      <w:r/>
      <w:bookmarkStart w:id="25" w:name="_Toc598"/>
      <w:r>
        <w:rPr>
          <w:rFonts w:hint="eastAsia" w:ascii="宋体" w:hAnsi="宋体" w:cs="宋体"/>
          <w:bCs/>
          <w:sz w:val="24"/>
          <w:szCs w:val="24"/>
        </w:rPr>
        <w:t xml:space="preserve">(十四)注意事项：</w:t>
      </w:r>
      <w:bookmarkEnd w:id="24"/>
      <w:r/>
      <w:bookmarkEnd w:id="25"/>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中标供应商有下列情形之一的，情节严重的，由财政部门将其列入不良行为记录名单，在一至三年内禁止参加政府采购活动，并予以通报：</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（1）中标后无正当理由不与采购人签订合同的；</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（2）将中标项目转让给他人，或者在投标文件中未说明，且未经过采购人同意，将中标项目分包给他人的；</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（3）拒绝履行合同义务的。</w:t>
      </w:r>
      <w:r/>
    </w:p>
    <w:p>
      <w:pPr>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(十五)质疑处理：</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1.提出质疑的供应商应当是参与所</w:t>
      </w:r>
      <w:r>
        <w:rPr>
          <w:rFonts w:hint="eastAsia" w:ascii="宋体" w:hAnsi="宋体" w:cs="宋体"/>
          <w:bCs/>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供应商认为采购文件、采购过程和采购结果使自己的权益受到损害的，可以在知道或应知其权益受到损害之日起七个工作日内，以书面形式根据下述4.条款的规定向采购人或代理机构提出质疑，上述应知其权益受到损害之日，是指：</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2.1对可以质疑的采购文件提出质疑的，为收到采购文件之日或者采购文件公告期限届满之日；</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2.2对采购过程提出质疑的，为各采购程序环节结束之日；</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2.3对中标或者成交结果提出质疑的，为中标或者成交结果公告期限届满之日。</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采购人、代理机构只接收以纸质原件形式送达的质疑，质疑供应商可通过面交或邮寄方式送达（采购人和代理机构不接受未填写快递运单的快件）。</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采购人、代理机构联系人、联系方式、通信地址见招标文件第一章。</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5.以下情形的质疑不予受理</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5.1内容不符合《政府采购质疑和投诉办法》第十二条规定的质疑。</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5.2超出政府采购法定期限的质疑。</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5.3以传真、电子邮件等方式递交的非原件形式的质疑。</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5.4未参加投标活动的供应商或在投标活动中自身权益未受到损害的供应商所提出的质疑。</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5.5供应商组成联合体参加投标，联合体中任何一方或多方未按要求签字、盖章、加盖公章的质疑。</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6.供应商提出书面质疑必须有理、有据，如质疑查无实据或供应商捏造事实，提供虚假材料进行恶意质疑或举报，不配合或采用不正当手段干扰政府采购质疑的，一经查实，代理机构有权依据政府采购的有关规定，报请政府采购监管部门对该供应商进行相应的行政处罚和记录该供应商的失信信息。</w:t>
      </w:r>
      <w:r/>
    </w:p>
    <w:p>
      <w:pPr>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(十六)服务（包含与服务相关的货物）的追加：</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480"/>
        <w:spacing w:line="360" w:lineRule="auto"/>
        <w:rPr>
          <w:rFonts w:hint="eastAsia" w:ascii="宋体" w:hAnsi="宋体" w:cs="宋体"/>
          <w:bCs/>
          <w:sz w:val="24"/>
          <w:szCs w:val="24"/>
          <w:highlight w:val="none"/>
        </w:rPr>
        <w:outlineLvl w:val="1"/>
      </w:pPr>
      <w:r>
        <w:rPr>
          <w:rFonts w:hint="eastAsia" w:ascii="宋体" w:hAnsi="宋体" w:cs="宋体"/>
          <w:bCs/>
          <w:sz w:val="24"/>
          <w:szCs w:val="24"/>
          <w:highlight w:val="none"/>
        </w:rPr>
        <w:t xml:space="preserve">(十七)代理服务费：</w:t>
      </w:r>
      <w:r/>
    </w:p>
    <w:p>
      <w:pPr>
        <w:ind w:firstLine="480"/>
        <w:spacing w:line="360" w:lineRule="auto"/>
        <w:tabs>
          <w:tab w:val="left" w:pos="525" w:leader="none"/>
          <w:tab w:val="left" w:pos="1050" w:leader="none"/>
        </w:tabs>
        <w:rPr>
          <w:rFonts w:hint="eastAsia" w:ascii="宋体" w:hAnsi="宋体" w:cs="宋体"/>
          <w:sz w:val="24"/>
          <w:szCs w:val="24"/>
        </w:rPr>
      </w:pPr>
      <w:r>
        <w:rPr>
          <w:rFonts w:hint="eastAsia" w:ascii="宋体" w:hAnsi="宋体" w:cs="宋体"/>
          <w:sz w:val="24"/>
          <w:szCs w:val="24"/>
        </w:rPr>
        <w:t xml:space="preserve">本项目代理费由中标人支付。采购代理服务费采用差额定率累进计费方式，收费标准为：100万元以下费率为1.5%，100万元-500万元以内费率为1.1%，，按以上规定的80%计取，以中标价作为计算基数。</w:t>
      </w:r>
      <w:r/>
    </w:p>
    <w:p>
      <w:pPr>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(十八)其他：</w:t>
      </w:r>
      <w:r/>
    </w:p>
    <w:p>
      <w:pPr>
        <w:ind w:firstLine="480"/>
        <w:spacing w:line="360" w:lineRule="auto"/>
        <w:tabs>
          <w:tab w:val="left" w:pos="525" w:leader="none"/>
          <w:tab w:val="left" w:pos="1050" w:leader="none"/>
        </w:tabs>
        <w:rPr>
          <w:rFonts w:hint="eastAsia" w:ascii="宋体" w:hAnsi="宋体" w:cs="宋体"/>
          <w:sz w:val="24"/>
          <w:szCs w:val="24"/>
        </w:rPr>
      </w:pPr>
      <w:r>
        <w:rPr>
          <w:rFonts w:hint="eastAsia" w:ascii="宋体" w:hAnsi="宋体" w:cs="宋体"/>
          <w:sz w:val="24"/>
          <w:szCs w:val="24"/>
        </w:rPr>
        <w:t xml:space="preserve">采购文件的条款必须认真审阅，投标人应自行检查采购文件页数是否齐全。若有遗漏、重复或不清楚，需立刻通知采购人予以更正；凡属对条款的误解所造成的投标价格失误，由投标人负责。</w:t>
      </w:r>
      <w:r/>
    </w:p>
    <w:p>
      <w:pPr>
        <w:ind w:firstLine="482"/>
        <w:jc w:val="both"/>
        <w:spacing w:line="360" w:lineRule="auto"/>
        <w:rPr>
          <w:rFonts w:hint="eastAsia" w:ascii="宋体" w:hAnsi="宋体" w:cs="宋体"/>
          <w:b/>
          <w:sz w:val="24"/>
          <w:szCs w:val="24"/>
        </w:rPr>
      </w:pPr>
      <w:r>
        <w:rPr>
          <w:rFonts w:hint="eastAsia" w:ascii="宋体" w:hAnsi="宋体" w:cs="宋体"/>
          <w:b/>
          <w:sz w:val="24"/>
          <w:szCs w:val="24"/>
        </w:rPr>
      </w:r>
      <w:r/>
    </w:p>
    <w:p>
      <w:pPr>
        <w:pStyle w:val="1436"/>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center"/>
        <w:spacing w:line="360" w:lineRule="auto"/>
        <w:rPr>
          <w:rFonts w:hint="eastAsia" w:ascii="宋体" w:hAnsi="宋体" w:cs="宋体"/>
          <w:sz w:val="24"/>
          <w:szCs w:val="24"/>
        </w:rPr>
        <w:sectPr>
          <w:footerReference w:type="default" r:id="rId22"/>
          <w:footnotePr/>
          <w:endnotePr/>
          <w:type w:val="nextPage"/>
          <w:pgSz w:w="11906" w:h="16838" w:orient="portrait"/>
          <w:pgMar w:top="1440" w:right="1800" w:bottom="1440" w:left="1800" w:header="851" w:footer="992" w:gutter="0"/>
          <w:cols w:num="1" w:sep="0" w:space="720" w:equalWidth="1"/>
          <w:docGrid w:linePitch="360"/>
        </w:sectPr>
      </w:pPr>
      <w:r/>
      <w:bookmarkStart w:id="26" w:name="_Toc27586"/>
      <w:r/>
      <w:r/>
    </w:p>
    <w:p>
      <w:pPr>
        <w:jc w:val="center"/>
        <w:spacing w:line="360" w:lineRule="auto"/>
        <w:rPr>
          <w:rFonts w:hint="eastAsia" w:hAnsi="宋体" w:cs="宋体"/>
          <w:b/>
          <w:bCs/>
          <w:color w:val="auto"/>
          <w:sz w:val="32"/>
          <w:szCs w:val="32"/>
          <w:highlight w:val="none"/>
        </w:rPr>
        <w:outlineLvl w:val="0"/>
      </w:pPr>
      <w:r/>
      <w:bookmarkStart w:id="27" w:name="_Toc19762"/>
      <w:r>
        <w:rPr>
          <w:rFonts w:hint="eastAsia" w:hAnsi="宋体" w:cs="宋体"/>
          <w:b/>
          <w:bCs/>
          <w:color w:val="auto"/>
          <w:sz w:val="32"/>
          <w:szCs w:val="32"/>
          <w:highlight w:val="none"/>
        </w:rPr>
        <w:t xml:space="preserve">三、项目技术要求和有关说明</w:t>
      </w:r>
      <w:bookmarkEnd w:id="21"/>
      <w:r/>
      <w:bookmarkEnd w:id="26"/>
      <w:r/>
      <w:bookmarkEnd w:id="27"/>
      <w:r/>
      <w:r/>
    </w:p>
    <w:p>
      <w:pPr>
        <w:ind w:firstLine="480"/>
        <w:jc w:val="left"/>
        <w:spacing w:line="360" w:lineRule="auto"/>
        <w:rPr>
          <w:rFonts w:hint="eastAsia" w:ascii="宋体" w:hAnsi="宋体" w:cs="宋体"/>
          <w:bCs/>
          <w:color w:val="auto"/>
          <w:sz w:val="24"/>
          <w:szCs w:val="24"/>
          <w:highlight w:val="none"/>
        </w:rPr>
      </w:pPr>
      <w:r/>
      <w:bookmarkStart w:id="28" w:name="_Toc26"/>
      <w:r>
        <w:rPr>
          <w:rFonts w:hint="eastAsia" w:ascii="宋体" w:hAnsi="宋体" w:cs="宋体"/>
          <w:bCs/>
          <w:color w:val="auto"/>
          <w:sz w:val="24"/>
          <w:szCs w:val="24"/>
          <w:highlight w:val="none"/>
        </w:rPr>
        <w:t xml:space="preserve">本项目为</w:t>
      </w:r>
      <w:r>
        <w:rPr>
          <w:rFonts w:hint="eastAsia" w:ascii="宋体" w:hAnsi="宋体" w:cs="宋体"/>
          <w:bCs/>
          <w:color w:val="auto"/>
          <w:sz w:val="24"/>
          <w:szCs w:val="24"/>
          <w:highlight w:val="none"/>
          <w:lang w:eastAsia="zh-CN"/>
        </w:rPr>
        <w:t xml:space="preserve">无锡市锡山区半导体先进制造创新中心超精密控制系统采购项目</w:t>
      </w:r>
      <w:r>
        <w:rPr>
          <w:rFonts w:hint="eastAsia" w:ascii="宋体" w:hAnsi="宋体" w:cs="宋体"/>
          <w:bCs/>
          <w:color w:val="auto"/>
          <w:sz w:val="24"/>
          <w:szCs w:val="24"/>
          <w:highlight w:val="none"/>
        </w:rPr>
        <w:t xml:space="preserve">，本项目中的核心产品为：</w:t>
      </w:r>
      <w:r>
        <w:rPr>
          <w:rFonts w:hint="eastAsia" w:ascii="宋体" w:hAnsi="宋体" w:cs="宋体"/>
          <w:color w:val="auto"/>
          <w:sz w:val="24"/>
          <w:szCs w:val="24"/>
          <w:highlight w:val="none"/>
          <w:lang w:bidi="ar"/>
        </w:rPr>
        <w:t xml:space="preserve">超精密控制系统</w:t>
      </w:r>
      <w:r>
        <w:rPr>
          <w:rFonts w:hint="eastAsia" w:ascii="宋体" w:hAnsi="宋体" w:cs="宋体"/>
          <w:bCs/>
          <w:color w:val="auto"/>
          <w:sz w:val="24"/>
          <w:szCs w:val="24"/>
          <w:highlight w:val="none"/>
        </w:rPr>
        <w:t xml:space="preserve">。所投内容必须完全满足以下要求，不得有负偏离，若不满足视为无效投标文件，项目需求如下：</w:t>
      </w:r>
      <w:r/>
    </w:p>
    <w:p>
      <w:pPr>
        <w:ind w:firstLine="482"/>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本项目属性：货物类</w:t>
      </w:r>
      <w:r/>
    </w:p>
    <w:p>
      <w:pPr>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（一）项目基本情况：</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1、项目地址：</w:t>
      </w:r>
      <w:r>
        <w:rPr>
          <w:rFonts w:hint="eastAsia" w:ascii="宋体" w:hAnsi="宋体" w:cs="宋体"/>
          <w:bCs/>
          <w:color w:val="auto"/>
          <w:sz w:val="24"/>
          <w:szCs w:val="24"/>
          <w:highlight w:val="none"/>
          <w:lang w:eastAsia="zh-CN"/>
        </w:rPr>
        <w:t xml:space="preserve">无锡市锡山区半导体先进制造创新中心超精密控制系统采购项目</w:t>
      </w:r>
      <w:r>
        <w:rPr>
          <w:rFonts w:hint="eastAsia" w:ascii="宋体" w:hAnsi="宋体" w:cs="宋体"/>
          <w:bCs/>
          <w:color w:val="auto"/>
          <w:sz w:val="24"/>
          <w:szCs w:val="24"/>
          <w:highlight w:val="none"/>
        </w:rPr>
        <w:t xml:space="preserve">。</w:t>
      </w:r>
      <w:r/>
    </w:p>
    <w:p>
      <w:pPr>
        <w:ind w:firstLine="480"/>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2、供货期：</w:t>
      </w:r>
      <w:r>
        <w:rPr>
          <w:rFonts w:hint="eastAsia" w:ascii="宋体" w:hAnsi="宋体" w:cs="宋体"/>
          <w:bCs/>
          <w:color w:val="auto"/>
          <w:sz w:val="24"/>
          <w:szCs w:val="24"/>
          <w:highlight w:val="none"/>
        </w:rPr>
        <w:t xml:space="preserve">合同签订生效后</w:t>
      </w:r>
      <w:r>
        <w:rPr>
          <w:rFonts w:hint="eastAsia" w:ascii="宋体" w:hAnsi="宋体" w:cs="宋体"/>
          <w:bCs/>
          <w:color w:val="auto"/>
          <w:sz w:val="24"/>
          <w:szCs w:val="24"/>
          <w:highlight w:val="none"/>
          <w:lang w:val="en-US" w:eastAsia="zh-CN"/>
        </w:rPr>
        <w:t xml:space="preserve">45</w:t>
      </w:r>
      <w:r>
        <w:rPr>
          <w:rFonts w:hint="eastAsia" w:ascii="宋体" w:hAnsi="宋体" w:cs="宋体"/>
          <w:bCs/>
          <w:color w:val="auto"/>
          <w:sz w:val="24"/>
          <w:szCs w:val="24"/>
          <w:highlight w:val="none"/>
        </w:rPr>
        <w:t xml:space="preserve">日历天内完成全部产品供货及安装调试</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3、项目整体</w:t>
      </w:r>
      <w:r>
        <w:rPr>
          <w:rFonts w:hint="eastAsia" w:ascii="宋体" w:hAnsi="宋体" w:cs="宋体"/>
          <w:bCs/>
          <w:color w:val="auto"/>
          <w:sz w:val="24"/>
          <w:szCs w:val="24"/>
          <w:highlight w:val="none"/>
          <w:lang w:val="en-US" w:eastAsia="zh-CN"/>
        </w:rPr>
        <w:t xml:space="preserve">免费</w:t>
      </w:r>
      <w:r>
        <w:rPr>
          <w:rFonts w:hint="eastAsia" w:ascii="宋体" w:hAnsi="宋体" w:cs="宋体"/>
          <w:bCs/>
          <w:color w:val="auto"/>
          <w:sz w:val="24"/>
          <w:szCs w:val="24"/>
          <w:highlight w:val="none"/>
        </w:rPr>
        <w:t xml:space="preserve">质保期：自验收合格之日起1年</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4、付款方式：合同签订后支付合同价款的50%作为预付款，甲方验收合格后付至合同价款的90%，丙方验收合格后支付剩余10%。</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标的明细表：本项目为货物采购，其中货物采购标的及对应的中小企业划分标准所属行业如下表。</w:t>
      </w:r>
      <w:r/>
    </w:p>
    <w:tbl>
      <w:tblPr>
        <w:tblStyle w:val="1431"/>
        <w:tblW w:w="83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4"/>
        <w:gridCol w:w="2258"/>
        <w:gridCol w:w="1185"/>
        <w:gridCol w:w="1185"/>
        <w:gridCol w:w="2921"/>
      </w:tblGrid>
      <w:tr>
        <w:trPr>
          <w:jc w:val="center"/>
          <w:trHeight w:val="437"/>
        </w:trPr>
        <w:tc>
          <w:tcPr>
            <w:tcW w:w="824"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225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w:t>
            </w:r>
            <w:r/>
          </w:p>
        </w:tc>
        <w:tc>
          <w:tcPr>
            <w:tcW w:w="118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数量</w:t>
            </w:r>
            <w:r/>
          </w:p>
        </w:tc>
        <w:tc>
          <w:tcPr>
            <w:tcW w:w="118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w:t>
            </w:r>
            <w:r/>
          </w:p>
        </w:tc>
        <w:tc>
          <w:tcPr>
            <w:tcW w:w="2921"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所属行业</w:t>
            </w:r>
            <w:r/>
          </w:p>
        </w:tc>
      </w:tr>
      <w:tr>
        <w:trPr>
          <w:jc w:val="center"/>
          <w:trHeight w:val="589"/>
        </w:trPr>
        <w:tc>
          <w:tcPr>
            <w:tcW w:w="824"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25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超精密控制系统</w:t>
            </w:r>
            <w:r/>
          </w:p>
        </w:tc>
        <w:tc>
          <w:tcPr>
            <w:tcW w:w="1185" w:type="dxa"/>
            <w:vAlign w:val="center"/>
            <w:textDirection w:val="lrTb"/>
            <w:noWrap w:val="false"/>
          </w:tcPr>
          <w:p>
            <w:pPr>
              <w:jc w:val="center"/>
              <w:rPr>
                <w:rFonts w:hint="eastAsia" w:ascii="宋体" w:hAnsi="宋体" w:cs="宋体"/>
                <w:color w:val="auto"/>
                <w:sz w:val="24"/>
                <w:szCs w:val="24"/>
                <w:highlight w:val="none"/>
                <w:lang w:bidi="ar"/>
              </w:rPr>
            </w:pPr>
            <w:r>
              <w:rPr>
                <w:rFonts w:hint="eastAsia" w:ascii="宋体" w:hAnsi="宋体" w:cs="宋体"/>
                <w:color w:val="auto"/>
                <w:sz w:val="24"/>
                <w:highlight w:val="none"/>
                <w:lang w:val="en-US" w:eastAsia="zh-CN"/>
              </w:rPr>
              <w:t xml:space="preserve">4</w:t>
            </w:r>
            <w:r/>
          </w:p>
        </w:tc>
        <w:tc>
          <w:tcPr>
            <w:tcW w:w="1185"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highlight w:val="none"/>
                <w:lang w:val="en-US" w:eastAsia="zh-CN" w:bidi="ar"/>
              </w:rPr>
              <w:t xml:space="preserve">套</w:t>
            </w:r>
            <w:r/>
          </w:p>
        </w:tc>
        <w:tc>
          <w:tcPr>
            <w:tcW w:w="2921"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工业（制造业）</w:t>
            </w:r>
            <w:r/>
          </w:p>
        </w:tc>
      </w:tr>
    </w:tbl>
    <w:p>
      <w:pPr>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（二）采购清单：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超精密控制系统用于纳米级超精密加工机床的控制，机床性能如下，控制系统配置的硬件如：CPU、驱动器等需能完全配套满足</w:t>
      </w:r>
      <w:r>
        <w:rPr>
          <w:rFonts w:hint="eastAsia" w:ascii="宋体" w:hAnsi="宋体" w:cs="宋体"/>
          <w:bCs/>
          <w:color w:val="auto"/>
          <w:sz w:val="24"/>
          <w:szCs w:val="24"/>
          <w:highlight w:val="none"/>
          <w:lang w:val="en-US" w:eastAsia="zh-CN"/>
        </w:rPr>
        <w:t xml:space="preserve">各</w:t>
      </w:r>
      <w:r>
        <w:rPr>
          <w:rFonts w:hint="eastAsia" w:ascii="宋体" w:hAnsi="宋体" w:eastAsia="宋体" w:cs="宋体"/>
          <w:bCs/>
          <w:color w:val="auto"/>
          <w:sz w:val="24"/>
          <w:szCs w:val="24"/>
          <w:highlight w:val="none"/>
        </w:rPr>
        <w:t xml:space="preserve">轴的运动控制，上位机控制软件基于Power PMAC的实时操作系统开发。</w:t>
      </w:r>
      <w:r/>
    </w:p>
    <w:tbl>
      <w:tblPr>
        <w:tblStyle w:val="14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2598"/>
        <w:gridCol w:w="2598"/>
        <w:gridCol w:w="2598"/>
      </w:tblGrid>
      <w:tr>
        <w:trPr>
          <w:trHeight w:val="164"/>
        </w:trPr>
        <w:tc>
          <w:tcPr>
            <w:tcW w:w="728" w:type="dxa"/>
            <w:vAlign w:val="top"/>
            <w:textDirection w:val="lrTb"/>
            <w:noWrap w:val="false"/>
          </w:tcPr>
          <w:p>
            <w:pPr>
              <w:numPr>
                <w:ilvl w:val="0"/>
                <w:numId w:val="0"/>
              </w:numPr>
              <w:ind w:left="0" w:firstLine="0"/>
              <w:jc w:val="left"/>
              <w:widowControl/>
              <w:rPr>
                <w:rFonts w:hint="eastAsia"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r>
            <w:r/>
          </w:p>
        </w:tc>
        <w:tc>
          <w:tcPr>
            <w:tcW w:w="2598" w:type="dxa"/>
            <w:vAlign w:val="center"/>
            <w:textDirection w:val="lrTb"/>
            <w:noWrap w:val="false"/>
          </w:tcPr>
          <w:p>
            <w:pPr>
              <w:numPr>
                <w:ilvl w:val="0"/>
                <w:numId w:val="0"/>
              </w:numPr>
              <w:jc w:val="center"/>
              <w:widowControl/>
              <w:rPr>
                <w:rFonts w:hint="eastAsia" w:ascii="Times New Roman" w:hAnsi="Times New Roman" w:eastAsia="宋体" w:cs="Times New Roman"/>
                <w:b w:val="0"/>
                <w:bCs w:val="0"/>
                <w:sz w:val="20"/>
                <w:szCs w:val="20"/>
                <w:highlight w:val="none"/>
                <w:lang w:val="en-US" w:eastAsia="zh-CN"/>
              </w:rPr>
            </w:pPr>
            <w:r>
              <w:rPr>
                <w:rFonts w:hint="eastAsia" w:ascii="Times New Roman" w:hAnsi="Times New Roman" w:eastAsia="宋体" w:cs="Times New Roman"/>
                <w:b w:val="0"/>
                <w:bCs w:val="0"/>
                <w:sz w:val="20"/>
                <w:szCs w:val="20"/>
                <w:highlight w:val="none"/>
                <w:lang w:val="en-US" w:eastAsia="zh-CN"/>
              </w:rPr>
              <w:t xml:space="preserve">X轴</w:t>
            </w:r>
            <w:r/>
          </w:p>
          <w:p>
            <w:pPr>
              <w:numPr>
                <w:ilvl w:val="0"/>
                <w:numId w:val="0"/>
              </w:numPr>
              <w:ind w:left="0" w:firstLine="0"/>
              <w:jc w:val="center"/>
              <w:widowControl/>
              <w:rPr>
                <w:rFonts w:hint="eastAsia" w:ascii="Times New Roman" w:hAnsi="Times New Roman" w:eastAsia="宋体" w:cs="Times New Roman"/>
                <w:b w:val="0"/>
                <w:bCs w:val="0"/>
                <w:color w:val="auto"/>
                <w:sz w:val="20"/>
                <w:szCs w:val="20"/>
                <w:highlight w:val="none"/>
                <w:vertAlign w:val="baseline"/>
                <w:lang w:val="en-US" w:eastAsia="zh-CN"/>
              </w:rPr>
            </w:pPr>
            <w:r>
              <w:rPr>
                <w:rFonts w:hint="eastAsia" w:ascii="Times New Roman" w:hAnsi="Times New Roman" w:eastAsia="宋体" w:cs="Times New Roman"/>
                <w:b w:val="0"/>
                <w:bCs w:val="0"/>
                <w:sz w:val="20"/>
                <w:szCs w:val="20"/>
                <w:highlight w:val="none"/>
                <w:lang w:val="en-US" w:eastAsia="zh-CN"/>
              </w:rPr>
              <w:t xml:space="preserve">（全闭环反馈控制）</w:t>
            </w:r>
            <w:r/>
          </w:p>
        </w:tc>
        <w:tc>
          <w:tcPr>
            <w:tcW w:w="2598" w:type="dxa"/>
            <w:vAlign w:val="center"/>
            <w:textDirection w:val="lrTb"/>
            <w:noWrap w:val="false"/>
          </w:tcPr>
          <w:p>
            <w:pPr>
              <w:numPr>
                <w:ilvl w:val="0"/>
                <w:numId w:val="0"/>
              </w:numPr>
              <w:jc w:val="center"/>
              <w:widowControl/>
              <w:rPr>
                <w:rFonts w:hint="eastAsia" w:ascii="Times New Roman" w:hAnsi="Times New Roman" w:eastAsia="宋体" w:cs="Times New Roman"/>
                <w:b w:val="0"/>
                <w:bCs w:val="0"/>
                <w:sz w:val="20"/>
                <w:szCs w:val="20"/>
                <w:highlight w:val="none"/>
                <w:lang w:val="en-US" w:eastAsia="zh-CN"/>
              </w:rPr>
            </w:pPr>
            <w:r>
              <w:rPr>
                <w:rFonts w:hint="eastAsia" w:ascii="Times New Roman" w:hAnsi="Times New Roman" w:eastAsia="宋体" w:cs="Times New Roman"/>
                <w:b w:val="0"/>
                <w:bCs w:val="0"/>
                <w:sz w:val="20"/>
                <w:szCs w:val="20"/>
                <w:highlight w:val="none"/>
                <w:lang w:val="en-US" w:eastAsia="zh-CN"/>
              </w:rPr>
              <w:t xml:space="preserve">Z轴</w:t>
            </w:r>
            <w:r/>
          </w:p>
          <w:p>
            <w:pPr>
              <w:numPr>
                <w:ilvl w:val="0"/>
                <w:numId w:val="0"/>
              </w:numPr>
              <w:ind w:left="0" w:firstLine="0"/>
              <w:jc w:val="center"/>
              <w:widowControl/>
              <w:rPr>
                <w:rFonts w:hint="eastAsia" w:ascii="Times New Roman" w:hAnsi="Times New Roman" w:eastAsia="宋体" w:cs="Times New Roman"/>
                <w:b w:val="0"/>
                <w:bCs w:val="0"/>
                <w:color w:val="auto"/>
                <w:sz w:val="20"/>
                <w:szCs w:val="20"/>
                <w:highlight w:val="none"/>
                <w:vertAlign w:val="baseline"/>
                <w:lang w:val="en-US" w:eastAsia="zh-CN"/>
              </w:rPr>
            </w:pPr>
            <w:r>
              <w:rPr>
                <w:rFonts w:hint="eastAsia" w:ascii="Times New Roman" w:hAnsi="Times New Roman" w:eastAsia="宋体" w:cs="Times New Roman"/>
                <w:b w:val="0"/>
                <w:bCs w:val="0"/>
                <w:sz w:val="20"/>
                <w:szCs w:val="20"/>
                <w:highlight w:val="none"/>
                <w:lang w:val="en-US" w:eastAsia="zh-CN"/>
              </w:rPr>
              <w:t xml:space="preserve">（全闭环反馈控制）</w:t>
            </w:r>
            <w:r/>
          </w:p>
        </w:tc>
        <w:tc>
          <w:tcPr>
            <w:tcW w:w="2598" w:type="dxa"/>
            <w:vAlign w:val="center"/>
            <w:textDirection w:val="lrTb"/>
            <w:noWrap w:val="false"/>
          </w:tcPr>
          <w:p>
            <w:pPr>
              <w:numPr>
                <w:ilvl w:val="0"/>
                <w:numId w:val="0"/>
              </w:numPr>
              <w:ind w:left="0" w:firstLine="0"/>
              <w:jc w:val="center"/>
              <w:widowControl/>
              <w:rPr>
                <w:rFonts w:hint="eastAsia" w:ascii="Times New Roman" w:hAnsi="Times New Roman" w:eastAsia="宋体" w:cs="Times New Roman"/>
                <w:b w:val="0"/>
                <w:bCs w:val="0"/>
                <w:color w:val="auto"/>
                <w:sz w:val="20"/>
                <w:szCs w:val="20"/>
                <w:highlight w:val="none"/>
                <w:vertAlign w:val="baseline"/>
                <w:lang w:val="en-US" w:eastAsia="zh-CN"/>
              </w:rPr>
            </w:pPr>
            <w:r>
              <w:rPr>
                <w:rFonts w:hint="eastAsia" w:ascii="Times New Roman" w:hAnsi="Times New Roman" w:eastAsia="宋体" w:cs="Times New Roman"/>
                <w:b w:val="0"/>
                <w:bCs w:val="0"/>
                <w:sz w:val="20"/>
                <w:szCs w:val="20"/>
                <w:highlight w:val="none"/>
                <w:lang w:val="en-US" w:eastAsia="zh-CN"/>
              </w:rPr>
              <w:t xml:space="preserve">气浮主轴</w:t>
            </w:r>
            <w:r/>
          </w:p>
        </w:tc>
      </w:tr>
      <w:tr>
        <w:trPr>
          <w:trHeight w:val="90"/>
        </w:trPr>
        <w:tc>
          <w:tcPr>
            <w:tcW w:w="728" w:type="dxa"/>
            <w:vAlign w:val="center"/>
            <w:textDirection w:val="lrTb"/>
            <w:noWrap w:val="false"/>
          </w:tcPr>
          <w:p>
            <w:pPr>
              <w:numPr>
                <w:ilvl w:val="0"/>
                <w:numId w:val="0"/>
              </w:numPr>
              <w:jc w:val="center"/>
              <w:widowControl/>
              <w:rPr>
                <w:rFonts w:hint="eastAsia"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性能</w:t>
            </w:r>
            <w:r/>
          </w:p>
          <w:p>
            <w:pPr>
              <w:numPr>
                <w:ilvl w:val="0"/>
                <w:numId w:val="0"/>
              </w:numPr>
              <w:ind w:left="0" w:firstLine="0"/>
              <w:jc w:val="center"/>
              <w:widowControl/>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参数</w:t>
            </w:r>
            <w:r/>
          </w:p>
        </w:tc>
        <w:tc>
          <w:tcPr>
            <w:tcW w:w="2598" w:type="dxa"/>
            <w:vAlign w:val="center"/>
            <w:textDirection w:val="lrTb"/>
            <w:noWrap w:val="false"/>
          </w:tcPr>
          <w:p>
            <w:pPr>
              <w:numPr>
                <w:ilvl w:val="0"/>
                <w:numId w:val="2"/>
              </w:numPr>
              <w:ind w:left="420" w:hanging="420"/>
              <w:jc w:val="left"/>
              <w:widowControl/>
              <w:rPr>
                <w:rFonts w:hint="eastAsia" w:ascii="Times New Roman" w:hAnsi="Times New Roman" w:eastAsia="Times New Roman" w:cs="Times New Roman"/>
                <w:sz w:val="21"/>
                <w:szCs w:val="21"/>
                <w:highlight w:val="none"/>
                <w:lang w:val="en-US" w:eastAsia="zh-CN"/>
              </w:rPr>
            </w:pPr>
            <w:r>
              <w:rPr>
                <w:rFonts w:hint="eastAsia" w:ascii="Times New Roman" w:hAnsi="Times New Roman" w:eastAsia="Times New Roman" w:cs="Times New Roman"/>
                <w:sz w:val="21"/>
                <w:szCs w:val="21"/>
                <w:highlight w:val="none"/>
                <w:lang w:val="en-US" w:eastAsia="zh-CN"/>
              </w:rPr>
              <w:t xml:space="preserve">行程：240mm</w:t>
            </w:r>
            <w:r/>
          </w:p>
          <w:p>
            <w:pPr>
              <w:numPr>
                <w:ilvl w:val="0"/>
                <w:numId w:val="2"/>
              </w:numPr>
              <w:ind w:left="420" w:hanging="420"/>
              <w:jc w:val="left"/>
              <w:widowControl/>
              <w:rPr>
                <w:rFonts w:hint="eastAsia" w:ascii="Times New Roman" w:hAnsi="Times New Roman" w:eastAsia="Times New Roman" w:cs="Times New Roman"/>
                <w:sz w:val="21"/>
                <w:szCs w:val="21"/>
                <w:highlight w:val="none"/>
                <w:lang w:val="en-US" w:eastAsia="zh-CN"/>
              </w:rPr>
            </w:pPr>
            <w:r>
              <w:rPr>
                <w:rFonts w:hint="eastAsia" w:ascii="Times New Roman" w:hAnsi="Times New Roman" w:eastAsia="Times New Roman" w:cs="Times New Roman"/>
                <w:sz w:val="21"/>
                <w:szCs w:val="21"/>
                <w:highlight w:val="none"/>
                <w:lang w:val="en-US" w:eastAsia="zh-CN"/>
              </w:rPr>
              <w:t xml:space="preserve">移动速度：0.1~500 mm/min</w:t>
            </w:r>
            <w:r/>
          </w:p>
          <w:p>
            <w:pPr>
              <w:numPr>
                <w:ilvl w:val="0"/>
                <w:numId w:val="2"/>
              </w:numPr>
              <w:ind w:left="420" w:hanging="420"/>
              <w:jc w:val="left"/>
              <w:widowControl/>
              <w:rPr>
                <w:rFonts w:hint="eastAsia" w:ascii="Times New Roman" w:hAnsi="Times New Roman" w:eastAsia="Times New Roman" w:cs="Times New Roman"/>
                <w:sz w:val="21"/>
                <w:szCs w:val="21"/>
                <w:highlight w:val="none"/>
                <w:lang w:val="en-US" w:eastAsia="zh-CN"/>
              </w:rPr>
            </w:pPr>
            <w:r>
              <w:rPr>
                <w:rFonts w:hint="eastAsia" w:ascii="Times New Roman" w:hAnsi="Times New Roman" w:eastAsia="Times New Roman" w:cs="Times New Roman"/>
                <w:sz w:val="21"/>
                <w:szCs w:val="21"/>
                <w:highlight w:val="none"/>
                <w:lang w:val="en-US" w:eastAsia="zh-CN"/>
              </w:rPr>
              <w:t xml:space="preserve">编程单位：1nm</w:t>
            </w:r>
            <w:r/>
          </w:p>
          <w:p>
            <w:pPr>
              <w:numPr>
                <w:ilvl w:val="0"/>
                <w:numId w:val="2"/>
              </w:numPr>
              <w:ind w:left="420" w:hanging="420"/>
              <w:jc w:val="left"/>
              <w:widowControl/>
              <w:rPr>
                <w:rFonts w:hint="eastAsia" w:ascii="Times New Roman" w:hAnsi="Times New Roman" w:eastAsia="Times New Roman" w:cs="Times New Roman"/>
                <w:sz w:val="21"/>
                <w:szCs w:val="21"/>
                <w:highlight w:val="none"/>
                <w:lang w:val="en-US" w:eastAsia="zh-CN"/>
              </w:rPr>
            </w:pPr>
            <w:r>
              <w:rPr>
                <w:rFonts w:hint="eastAsia" w:ascii="Times New Roman" w:hAnsi="Times New Roman" w:eastAsia="Times New Roman" w:cs="Times New Roman"/>
                <w:sz w:val="21"/>
                <w:szCs w:val="21"/>
                <w:highlight w:val="none"/>
                <w:lang w:val="en-US" w:eastAsia="zh-CN"/>
              </w:rPr>
              <w:t xml:space="preserve">直线度：±0.1μm/100mm</w:t>
            </w:r>
            <w:r/>
          </w:p>
          <w:p>
            <w:pPr>
              <w:numPr>
                <w:ilvl w:val="0"/>
                <w:numId w:val="2"/>
              </w:numPr>
              <w:ind w:left="420" w:hanging="420"/>
              <w:jc w:val="left"/>
              <w:widowControl/>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Times New Roman" w:cs="Times New Roman"/>
                <w:sz w:val="21"/>
                <w:szCs w:val="21"/>
                <w:highlight w:val="none"/>
                <w:lang w:val="en-US" w:eastAsia="zh-CN"/>
              </w:rPr>
              <w:t xml:space="preserve">光栅分辨率：0.032nm</w:t>
            </w:r>
            <w:r/>
          </w:p>
        </w:tc>
        <w:tc>
          <w:tcPr>
            <w:tcW w:w="2598" w:type="dxa"/>
            <w:vAlign w:val="center"/>
            <w:textDirection w:val="lrTb"/>
            <w:noWrap w:val="false"/>
          </w:tcPr>
          <w:p>
            <w:pPr>
              <w:numPr>
                <w:ilvl w:val="0"/>
                <w:numId w:val="3"/>
              </w:numPr>
              <w:ind w:left="420" w:hanging="420"/>
              <w:jc w:val="left"/>
              <w:widowControl/>
              <w:rPr>
                <w:rFonts w:hint="eastAsia" w:ascii="Times New Roman" w:hAnsi="Times New Roman" w:eastAsia="Times New Roman" w:cs="Times New Roman"/>
                <w:sz w:val="21"/>
                <w:szCs w:val="21"/>
                <w:highlight w:val="none"/>
                <w:lang w:val="en-US" w:eastAsia="zh-CN"/>
              </w:rPr>
            </w:pPr>
            <w:r>
              <w:rPr>
                <w:rFonts w:hint="eastAsia" w:ascii="Times New Roman" w:hAnsi="Times New Roman" w:eastAsia="Times New Roman" w:cs="Times New Roman"/>
                <w:sz w:val="21"/>
                <w:szCs w:val="21"/>
                <w:highlight w:val="none"/>
                <w:lang w:val="en-US" w:eastAsia="zh-CN"/>
              </w:rPr>
              <w:t xml:space="preserve">行程：240mm</w:t>
            </w:r>
            <w:r/>
          </w:p>
          <w:p>
            <w:pPr>
              <w:numPr>
                <w:ilvl w:val="0"/>
                <w:numId w:val="3"/>
              </w:numPr>
              <w:ind w:left="420" w:hanging="420"/>
              <w:jc w:val="left"/>
              <w:widowControl/>
              <w:rPr>
                <w:rFonts w:hint="eastAsia" w:ascii="Times New Roman" w:hAnsi="Times New Roman" w:eastAsia="Times New Roman" w:cs="Times New Roman"/>
                <w:sz w:val="21"/>
                <w:szCs w:val="21"/>
                <w:highlight w:val="none"/>
                <w:lang w:val="en-US" w:eastAsia="zh-CN"/>
              </w:rPr>
            </w:pPr>
            <w:r>
              <w:rPr>
                <w:rFonts w:hint="eastAsia" w:ascii="Times New Roman" w:hAnsi="Times New Roman" w:eastAsia="Times New Roman" w:cs="Times New Roman"/>
                <w:sz w:val="21"/>
                <w:szCs w:val="21"/>
                <w:highlight w:val="none"/>
                <w:lang w:val="en-US" w:eastAsia="zh-CN"/>
              </w:rPr>
              <w:t xml:space="preserve">移动速度：0.1~500 mm/min</w:t>
            </w:r>
            <w:r/>
          </w:p>
          <w:p>
            <w:pPr>
              <w:numPr>
                <w:ilvl w:val="0"/>
                <w:numId w:val="3"/>
              </w:numPr>
              <w:ind w:left="420" w:hanging="420"/>
              <w:jc w:val="left"/>
              <w:widowControl/>
              <w:rPr>
                <w:rFonts w:hint="eastAsia" w:ascii="Times New Roman" w:hAnsi="Times New Roman" w:eastAsia="Times New Roman" w:cs="Times New Roman"/>
                <w:sz w:val="21"/>
                <w:szCs w:val="21"/>
                <w:highlight w:val="none"/>
                <w:lang w:val="en-US" w:eastAsia="zh-CN"/>
              </w:rPr>
            </w:pPr>
            <w:r>
              <w:rPr>
                <w:rFonts w:hint="eastAsia" w:ascii="Times New Roman" w:hAnsi="Times New Roman" w:eastAsia="Times New Roman" w:cs="Times New Roman"/>
                <w:sz w:val="21"/>
                <w:szCs w:val="21"/>
                <w:highlight w:val="none"/>
                <w:lang w:val="en-US" w:eastAsia="zh-CN"/>
              </w:rPr>
              <w:t xml:space="preserve">编程单位：1nm</w:t>
            </w:r>
            <w:r/>
          </w:p>
          <w:p>
            <w:pPr>
              <w:numPr>
                <w:ilvl w:val="0"/>
                <w:numId w:val="3"/>
              </w:numPr>
              <w:ind w:left="420" w:hanging="420"/>
              <w:jc w:val="left"/>
              <w:widowControl/>
              <w:rPr>
                <w:rFonts w:hint="eastAsia" w:ascii="Times New Roman" w:hAnsi="Times New Roman" w:eastAsia="Times New Roman" w:cs="Times New Roman"/>
                <w:sz w:val="21"/>
                <w:szCs w:val="21"/>
                <w:highlight w:val="none"/>
                <w:lang w:val="en-US" w:eastAsia="zh-CN"/>
              </w:rPr>
            </w:pPr>
            <w:r>
              <w:rPr>
                <w:rFonts w:hint="eastAsia" w:ascii="Times New Roman" w:hAnsi="Times New Roman" w:eastAsia="Times New Roman" w:cs="Times New Roman"/>
                <w:sz w:val="21"/>
                <w:szCs w:val="21"/>
                <w:highlight w:val="none"/>
                <w:lang w:val="en-US" w:eastAsia="zh-CN"/>
              </w:rPr>
              <w:t xml:space="preserve">直线度：±0.1μm/100mm</w:t>
            </w:r>
            <w:r/>
          </w:p>
          <w:p>
            <w:pPr>
              <w:numPr>
                <w:ilvl w:val="0"/>
                <w:numId w:val="3"/>
              </w:numPr>
              <w:ind w:left="420" w:hanging="420"/>
              <w:jc w:val="left"/>
              <w:widowControl/>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Times New Roman" w:cs="Times New Roman"/>
                <w:sz w:val="21"/>
                <w:szCs w:val="21"/>
                <w:highlight w:val="none"/>
                <w:lang w:val="en-US" w:eastAsia="zh-CN"/>
              </w:rPr>
              <w:t xml:space="preserve">光栅分辨率：0.032nm</w:t>
            </w:r>
            <w:r/>
          </w:p>
        </w:tc>
        <w:tc>
          <w:tcPr>
            <w:tcW w:w="2598" w:type="dxa"/>
            <w:vAlign w:val="center"/>
            <w:textDirection w:val="lrTb"/>
            <w:noWrap w:val="false"/>
          </w:tcPr>
          <w:p>
            <w:pPr>
              <w:numPr>
                <w:ilvl w:val="0"/>
                <w:numId w:val="4"/>
              </w:numPr>
              <w:ind w:left="420" w:hanging="420"/>
              <w:jc w:val="left"/>
              <w:widowControl/>
              <w:rPr>
                <w:rFonts w:hint="eastAsia" w:ascii="Times New Roman" w:hAnsi="Times New Roman" w:eastAsia="Times New Roman" w:cs="Times New Roman"/>
                <w:sz w:val="21"/>
                <w:szCs w:val="21"/>
                <w:highlight w:val="none"/>
                <w:lang w:val="en-US" w:eastAsia="zh-CN"/>
              </w:rPr>
            </w:pPr>
            <w:r>
              <w:rPr>
                <w:rFonts w:hint="eastAsia" w:ascii="Times New Roman" w:hAnsi="Times New Roman" w:eastAsia="Times New Roman" w:cs="Times New Roman"/>
                <w:sz w:val="21"/>
                <w:szCs w:val="21"/>
                <w:highlight w:val="none"/>
                <w:lang w:val="en-US" w:eastAsia="zh-CN"/>
              </w:rPr>
              <w:t xml:space="preserve">轴向跳动：50nm</w:t>
            </w:r>
            <w:r/>
          </w:p>
          <w:p>
            <w:pPr>
              <w:numPr>
                <w:ilvl w:val="0"/>
                <w:numId w:val="4"/>
              </w:numPr>
              <w:ind w:left="420" w:hanging="420"/>
              <w:jc w:val="left"/>
              <w:widowControl/>
              <w:rPr>
                <w:rFonts w:hint="eastAsia" w:ascii="Times New Roman" w:hAnsi="Times New Roman" w:eastAsia="Times New Roman" w:cs="Times New Roman"/>
                <w:sz w:val="21"/>
                <w:szCs w:val="21"/>
                <w:highlight w:val="none"/>
                <w:lang w:val="en-US" w:eastAsia="zh-CN"/>
              </w:rPr>
            </w:pPr>
            <w:r>
              <w:rPr>
                <w:rFonts w:hint="eastAsia" w:ascii="Times New Roman" w:hAnsi="Times New Roman" w:eastAsia="Times New Roman" w:cs="Times New Roman"/>
                <w:sz w:val="21"/>
                <w:szCs w:val="21"/>
                <w:highlight w:val="none"/>
                <w:lang w:val="en-US" w:eastAsia="zh-CN"/>
              </w:rPr>
              <w:t xml:space="preserve">径向跳动：50nm</w:t>
            </w:r>
            <w:r/>
          </w:p>
          <w:p>
            <w:pPr>
              <w:numPr>
                <w:ilvl w:val="0"/>
                <w:numId w:val="4"/>
              </w:numPr>
              <w:ind w:left="420" w:hanging="420"/>
              <w:jc w:val="left"/>
              <w:widowControl/>
              <w:rPr>
                <w:rFonts w:hint="eastAsia" w:ascii="Times New Roman" w:hAnsi="Times New Roman" w:eastAsia="Times New Roman" w:cs="Times New Roman"/>
                <w:sz w:val="21"/>
                <w:szCs w:val="21"/>
                <w:highlight w:val="none"/>
                <w:lang w:val="en-US" w:eastAsia="zh-CN"/>
              </w:rPr>
            </w:pPr>
            <w:r>
              <w:rPr>
                <w:rFonts w:hint="eastAsia" w:ascii="Times New Roman" w:hAnsi="Times New Roman" w:eastAsia="Times New Roman" w:cs="Times New Roman"/>
                <w:sz w:val="21"/>
                <w:szCs w:val="21"/>
                <w:highlight w:val="none"/>
                <w:lang w:val="en-US" w:eastAsia="zh-CN"/>
              </w:rPr>
              <w:t xml:space="preserve">轴向刚度：250N/um</w:t>
            </w:r>
            <w:r/>
          </w:p>
          <w:p>
            <w:pPr>
              <w:numPr>
                <w:ilvl w:val="0"/>
                <w:numId w:val="4"/>
              </w:numPr>
              <w:ind w:left="420" w:hanging="420"/>
              <w:jc w:val="left"/>
              <w:widowControl/>
              <w:rPr>
                <w:rFonts w:hint="eastAsia" w:ascii="Times New Roman" w:hAnsi="Times New Roman" w:eastAsia="Times New Roman" w:cs="Times New Roman"/>
                <w:sz w:val="21"/>
                <w:szCs w:val="21"/>
                <w:highlight w:val="none"/>
                <w:lang w:val="en-US" w:eastAsia="zh-CN"/>
              </w:rPr>
            </w:pPr>
            <w:r>
              <w:rPr>
                <w:rFonts w:hint="eastAsia" w:ascii="Times New Roman" w:hAnsi="Times New Roman" w:eastAsia="Times New Roman" w:cs="Times New Roman"/>
                <w:sz w:val="21"/>
                <w:szCs w:val="21"/>
                <w:highlight w:val="none"/>
                <w:lang w:val="en-US" w:eastAsia="zh-CN"/>
              </w:rPr>
              <w:t xml:space="preserve">径向刚度：200N/um</w:t>
            </w:r>
            <w:r/>
          </w:p>
          <w:p>
            <w:pPr>
              <w:numPr>
                <w:ilvl w:val="0"/>
                <w:numId w:val="4"/>
              </w:numPr>
              <w:ind w:left="420" w:hanging="420"/>
              <w:jc w:val="left"/>
              <w:widowControl/>
              <w:rPr>
                <w:rFonts w:hint="eastAsia" w:ascii="Times New Roman" w:hAnsi="Times New Roman" w:eastAsia="Times New Roman" w:cs="Times New Roman"/>
                <w:sz w:val="21"/>
                <w:szCs w:val="21"/>
                <w:highlight w:val="none"/>
                <w:lang w:val="en-US" w:eastAsia="zh-CN"/>
              </w:rPr>
            </w:pPr>
            <w:r>
              <w:rPr>
                <w:rFonts w:hint="eastAsia" w:ascii="Times New Roman" w:hAnsi="Times New Roman" w:eastAsia="Times New Roman" w:cs="Times New Roman"/>
                <w:sz w:val="21"/>
                <w:szCs w:val="21"/>
                <w:highlight w:val="none"/>
                <w:lang w:val="en-US" w:eastAsia="zh-CN"/>
              </w:rPr>
              <w:t xml:space="preserve">最高转速：8000RPM</w:t>
            </w:r>
            <w:r/>
          </w:p>
          <w:p>
            <w:pPr>
              <w:numPr>
                <w:ilvl w:val="0"/>
                <w:numId w:val="4"/>
              </w:numPr>
              <w:ind w:left="420" w:hanging="420"/>
              <w:jc w:val="left"/>
              <w:widowControl/>
              <w:rPr>
                <w:rFonts w:hint="eastAsia" w:ascii="Times New Roman" w:hAnsi="Times New Roman" w:eastAsia="Times New Roman" w:cs="Times New Roman"/>
                <w:sz w:val="21"/>
                <w:szCs w:val="21"/>
                <w:highlight w:val="none"/>
                <w:lang w:val="en-US" w:eastAsia="zh-CN"/>
              </w:rPr>
            </w:pPr>
            <w:r>
              <w:rPr>
                <w:rFonts w:hint="eastAsia" w:ascii="Times New Roman" w:hAnsi="Times New Roman" w:eastAsia="Times New Roman" w:cs="Times New Roman"/>
                <w:sz w:val="21"/>
                <w:szCs w:val="21"/>
                <w:highlight w:val="none"/>
                <w:lang w:val="en-US" w:eastAsia="zh-CN"/>
              </w:rPr>
              <w:t xml:space="preserve">分辨率：0.002arcsec</w:t>
            </w:r>
            <w:r/>
          </w:p>
          <w:p>
            <w:pPr>
              <w:numPr>
                <w:ilvl w:val="0"/>
                <w:numId w:val="4"/>
              </w:numPr>
              <w:ind w:left="420" w:hanging="420"/>
              <w:jc w:val="left"/>
              <w:widowControl/>
              <w:rPr>
                <w:rFonts w:hint="eastAsia" w:ascii="Times New Roman" w:hAnsi="Times New Roman" w:eastAsia="Times New Roman" w:cs="Times New Roman"/>
                <w:sz w:val="21"/>
                <w:szCs w:val="21"/>
                <w:highlight w:val="none"/>
                <w:lang w:val="en-US" w:eastAsia="zh-CN"/>
              </w:rPr>
            </w:pPr>
            <w:r>
              <w:rPr>
                <w:rFonts w:hint="eastAsia" w:ascii="Times New Roman" w:hAnsi="Times New Roman" w:eastAsia="Times New Roman" w:cs="Times New Roman"/>
                <w:sz w:val="21"/>
                <w:szCs w:val="21"/>
                <w:highlight w:val="none"/>
                <w:lang w:val="en-US" w:eastAsia="zh-CN"/>
              </w:rPr>
              <w:t xml:space="preserve">动平衡：G0.4</w:t>
            </w:r>
            <w:r/>
          </w:p>
          <w:p>
            <w:pPr>
              <w:numPr>
                <w:ilvl w:val="0"/>
                <w:numId w:val="4"/>
              </w:numPr>
              <w:ind w:left="420" w:hanging="420"/>
              <w:jc w:val="left"/>
              <w:widowControl/>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Times New Roman" w:cs="Times New Roman"/>
                <w:sz w:val="21"/>
                <w:szCs w:val="21"/>
                <w:highlight w:val="none"/>
                <w:lang w:val="en-US" w:eastAsia="zh-CN"/>
              </w:rPr>
              <w:t xml:space="preserve">真空度：70KPa</w:t>
            </w:r>
            <w:r/>
          </w:p>
        </w:tc>
      </w:tr>
    </w:tbl>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本项目标的物“超精密控制系统”配置</w:t>
      </w:r>
      <w:r>
        <w:rPr>
          <w:rFonts w:hint="eastAsia" w:ascii="宋体" w:hAnsi="宋体" w:cs="宋体"/>
          <w:bCs/>
          <w:color w:val="auto"/>
          <w:sz w:val="24"/>
          <w:szCs w:val="24"/>
          <w:highlight w:val="none"/>
          <w:lang w:val="en-US" w:eastAsia="zh-CN"/>
        </w:rPr>
        <w:t xml:space="preserve">需</w:t>
      </w:r>
      <w:r>
        <w:rPr>
          <w:rFonts w:hint="eastAsia" w:ascii="宋体" w:hAnsi="宋体" w:eastAsia="宋体" w:cs="宋体"/>
          <w:bCs/>
          <w:color w:val="auto"/>
          <w:sz w:val="24"/>
          <w:szCs w:val="24"/>
          <w:highlight w:val="none"/>
        </w:rPr>
        <w:t xml:space="preserve">包括：电气控制柜</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操作台</w:t>
      </w:r>
      <w:r>
        <w:rPr>
          <w:rFonts w:hint="eastAsia" w:ascii="宋体" w:hAnsi="宋体" w:cs="宋体"/>
          <w:bCs/>
          <w:color w:val="auto"/>
          <w:sz w:val="24"/>
          <w:szCs w:val="24"/>
          <w:highlight w:val="none"/>
          <w:lang w:val="en-US" w:eastAsia="zh-CN"/>
        </w:rPr>
        <w:t xml:space="preserve">及</w:t>
      </w:r>
      <w:r>
        <w:rPr>
          <w:rFonts w:hint="eastAsia" w:ascii="宋体" w:hAnsi="宋体" w:eastAsia="宋体" w:cs="宋体"/>
          <w:bCs/>
          <w:color w:val="auto"/>
          <w:sz w:val="24"/>
          <w:szCs w:val="24"/>
          <w:highlight w:val="none"/>
        </w:rPr>
        <w:t xml:space="preserve">上位机软件。</w:t>
      </w:r>
      <w:r/>
    </w:p>
    <w:tbl>
      <w:tblPr>
        <w:tblStyle w:val="1431"/>
        <w:tblW w:w="87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711"/>
        <w:gridCol w:w="7419"/>
      </w:tblGrid>
      <w:tr>
        <w:trPr>
          <w:jc w:val="center"/>
          <w:trHeight w:val="342"/>
        </w:trPr>
        <w:tc>
          <w:tcPr>
            <w:shd w:val="clear" w:color="auto" w:fill="ffffff"/>
            <w:tcW w:w="667"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序号</w:t>
            </w:r>
            <w:r/>
          </w:p>
        </w:tc>
        <w:tc>
          <w:tcPr>
            <w:shd w:val="clear" w:color="auto" w:fill="ffffff"/>
            <w:tcW w:w="711"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设备名称</w:t>
            </w:r>
            <w:r/>
          </w:p>
        </w:tc>
        <w:tc>
          <w:tcPr>
            <w:shd w:val="clear" w:color="auto" w:fill="ffffff"/>
            <w:tcW w:w="741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技术参数及要求</w:t>
            </w:r>
            <w:r/>
          </w:p>
        </w:tc>
      </w:tr>
      <w:tr>
        <w:trPr>
          <w:jc w:val="center"/>
          <w:trHeight w:val="383"/>
        </w:trPr>
        <w:tc>
          <w:tcPr>
            <w:tcW w:w="667"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p>
        </w:tc>
        <w:tc>
          <w:tcPr>
            <w:tcW w:w="711"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rPr>
              <w:t xml:space="preserve">电气控制柜</w:t>
            </w:r>
            <w:r/>
          </w:p>
        </w:tc>
        <w:tc>
          <w:tcPr>
            <w:tcW w:w="7419"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rPr>
              <w:t xml:space="preserve">具备防尘功能，尺寸和颜色都符合 IEC 标准。</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1.1</w:t>
            </w:r>
            <w:r>
              <w:rPr>
                <w:rFonts w:hint="eastAsia" w:ascii="宋体" w:hAnsi="宋体" w:eastAsia="宋体" w:cs="宋体"/>
                <w:color w:val="auto"/>
                <w:sz w:val="21"/>
                <w:szCs w:val="21"/>
                <w:highlight w:val="none"/>
                <w:lang w:val="en-US" w:eastAsia="zh-CN" w:bidi="ar"/>
              </w:rPr>
              <w:t xml:space="preserve">尺寸不大于：</w:t>
            </w:r>
            <w:r>
              <w:rPr>
                <w:rFonts w:hint="eastAsia" w:ascii="宋体" w:hAnsi="宋体" w:eastAsia="宋体" w:cs="宋体"/>
                <w:color w:val="auto"/>
                <w:sz w:val="21"/>
                <w:szCs w:val="21"/>
                <w:highlight w:val="none"/>
                <w:lang w:val="en-US" w:eastAsia="zh-CN"/>
              </w:rPr>
              <w:t xml:space="preserve">长*宽*高=800*600*1800mm</w:t>
            </w:r>
            <w:r>
              <w:rPr>
                <w:rFonts w:hint="eastAsia" w:ascii="宋体" w:hAnsi="宋体" w:eastAsia="宋体" w:cs="宋体"/>
                <w:color w:val="auto"/>
                <w:sz w:val="21"/>
                <w:szCs w:val="21"/>
                <w:highlight w:val="none"/>
                <w:lang w:bidi="ar"/>
              </w:rPr>
              <w:t xml:space="preserve">。</w:t>
            </w:r>
            <w:r/>
          </w:p>
          <w:p>
            <w:pPr>
              <w:pStyle w:val="1432"/>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1.2 </w:t>
            </w:r>
            <w:r>
              <w:rPr>
                <w:rFonts w:hint="eastAsia" w:ascii="宋体" w:hAnsi="宋体" w:eastAsia="宋体" w:cs="宋体"/>
                <w:color w:val="auto"/>
                <w:sz w:val="21"/>
                <w:szCs w:val="21"/>
                <w:highlight w:val="none"/>
                <w:lang w:val="en-US" w:eastAsia="zh-CN"/>
              </w:rPr>
              <w:t xml:space="preserve">RAL9016或RAL7035。</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w:t>
            </w:r>
            <w:r>
              <w:rPr>
                <w:rFonts w:hint="eastAsia" w:ascii="宋体" w:hAnsi="宋体" w:eastAsia="宋体" w:cs="宋体"/>
                <w:color w:val="auto"/>
                <w:sz w:val="21"/>
                <w:szCs w:val="21"/>
                <w:highlight w:val="none"/>
                <w:lang w:val="en-US" w:eastAsia="zh-CN" w:bidi="ar"/>
              </w:rPr>
              <w:t xml:space="preserve">主要</w:t>
            </w:r>
            <w:r>
              <w:rPr>
                <w:rFonts w:hint="eastAsia" w:ascii="宋体" w:hAnsi="宋体" w:eastAsia="宋体" w:cs="宋体"/>
                <w:color w:val="auto"/>
                <w:sz w:val="21"/>
                <w:szCs w:val="21"/>
                <w:highlight w:val="none"/>
                <w:lang w:bidi="ar"/>
              </w:rPr>
              <w:t xml:space="preserve">设备性能参数</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2.1</w:t>
            </w:r>
            <w:r>
              <w:rPr>
                <w:rFonts w:hint="eastAsia" w:ascii="宋体" w:hAnsi="宋体" w:eastAsia="宋体" w:cs="宋体"/>
                <w:color w:val="auto"/>
                <w:sz w:val="21"/>
                <w:szCs w:val="21"/>
                <w:highlight w:val="none"/>
                <w:lang w:val="en-US" w:eastAsia="zh-CN" w:bidi="ar"/>
              </w:rPr>
              <w:t xml:space="preserve">中央处理器模块</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数量：单套配置1台；</w:t>
            </w:r>
            <w:r/>
          </w:p>
          <w:p>
            <w:p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尺寸：板卡型，1槽位，≤3U规格</w:t>
            </w:r>
            <w:r/>
          </w:p>
          <w:p>
            <w:pPr>
              <w:ind w:left="0" w:right="0"/>
              <w:jc w:val="left"/>
              <w:keepLines w:val="0"/>
              <w:keepNext w:val="0"/>
              <w:spacing w:before="0" w:beforeAutospacing="0" w:after="0" w:afterAutospacing="0" w:line="288" w:lineRule="atLeast"/>
              <w:widowControl/>
              <w:rPr>
                <w:rFonts w:hint="eastAsia" w:ascii="宋体" w:hAnsi="宋体" w:eastAsia="宋体" w:cs="宋体"/>
                <w:color w:val="auto"/>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性能不低于以下要求：</w:t>
            </w:r>
            <w:r/>
          </w:p>
          <w:p>
            <w:pPr>
              <w:numPr>
                <w:ilvl w:val="0"/>
                <w:numId w:val="5"/>
              </w:numPr>
              <w:ind w:left="420" w:right="0" w:hanging="420"/>
              <w:jc w:val="left"/>
              <w:keepLines w:val="0"/>
              <w:keepNext w:val="0"/>
              <w:spacing w:before="0" w:beforeAutospacing="0" w:after="0" w:afterAutospacing="0" w:line="288" w:lineRule="atLeast"/>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bidi="ar"/>
              </w:rPr>
              <w:t xml:space="preserve">1.6GHz32位双核ARM CPU，内置硬件浮点运算功能；</w:t>
            </w:r>
            <w:r/>
          </w:p>
          <w:p>
            <w:pPr>
              <w:numPr>
                <w:ilvl w:val="0"/>
                <w:numId w:val="5"/>
              </w:numPr>
              <w:ind w:left="420" w:right="0" w:hanging="420"/>
              <w:jc w:val="left"/>
              <w:keepLines w:val="0"/>
              <w:keepNext w:val="0"/>
              <w:spacing w:before="0" w:beforeAutospacing="0" w:after="0" w:afterAutospacing="0" w:line="288" w:lineRule="atLeast"/>
              <w:widowControl/>
              <w:rPr>
                <w:rFonts w:hint="eastAsia" w:ascii="宋体" w:hAnsi="宋体" w:eastAsia="宋体" w:cs="宋体"/>
                <w:color w:val="auto"/>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bidi="ar"/>
              </w:rPr>
              <w:t xml:space="preserve">2GB DDR3L运行内存，带纠错功能；</w:t>
            </w:r>
            <w:r/>
          </w:p>
          <w:p>
            <w:pPr>
              <w:numPr>
                <w:ilvl w:val="0"/>
                <w:numId w:val="5"/>
              </w:numPr>
              <w:ind w:left="420" w:right="0" w:hanging="420"/>
              <w:jc w:val="left"/>
              <w:keepLines w:val="0"/>
              <w:keepNext w:val="0"/>
              <w:spacing w:before="0" w:beforeAutospacing="0" w:after="0" w:afterAutospacing="0" w:line="288" w:lineRule="atLeast"/>
              <w:widowControl/>
              <w:rPr>
                <w:rFonts w:hint="eastAsia" w:ascii="宋体" w:hAnsi="宋体" w:eastAsia="宋体" w:cs="宋体"/>
                <w:color w:val="auto"/>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bidi="ar"/>
              </w:rPr>
              <w:t xml:space="preserve">4GB 内置NAND闪存，用于存储用户应用程序；</w:t>
            </w:r>
            <w:r/>
          </w:p>
          <w:p>
            <w:pPr>
              <w:numPr>
                <w:ilvl w:val="0"/>
                <w:numId w:val="5"/>
              </w:numPr>
              <w:ind w:left="420" w:right="0" w:hanging="420"/>
              <w:jc w:val="left"/>
              <w:keepLines w:val="0"/>
              <w:keepNext w:val="0"/>
              <w:spacing w:before="0" w:beforeAutospacing="0" w:after="0" w:afterAutospacing="0" w:line="288" w:lineRule="atLeast"/>
              <w:widowControl/>
              <w:rPr>
                <w:rFonts w:hint="eastAsia" w:ascii="宋体" w:hAnsi="宋体" w:eastAsia="宋体" w:cs="宋体"/>
                <w:color w:val="auto"/>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rPr>
              <w:t xml:space="preserve">2 个 RJ45 端口；1 个以太网端口和 1 个 EtherCAT 端口；</w:t>
            </w:r>
            <w:r/>
          </w:p>
          <w:p>
            <w:pPr>
              <w:numPr>
                <w:ilvl w:val="0"/>
                <w:numId w:val="5"/>
              </w:numPr>
              <w:ind w:left="420" w:right="0" w:hanging="420"/>
              <w:jc w:val="left"/>
              <w:keepLines w:val="0"/>
              <w:keepNext w:val="0"/>
              <w:spacing w:before="0" w:beforeAutospacing="0" w:after="0" w:afterAutospacing="0" w:line="288" w:lineRule="atLeast"/>
              <w:widowControl/>
              <w:rPr>
                <w:rFonts w:hint="eastAsia" w:ascii="宋体" w:hAnsi="宋体" w:eastAsia="宋体" w:cs="宋体"/>
                <w:color w:val="auto"/>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bidi="ar"/>
              </w:rPr>
              <w:t xml:space="preserve">1000-Base-T（1Gbit/sec）以太网通信端口；</w:t>
            </w:r>
            <w:r/>
          </w:p>
          <w:p>
            <w:pPr>
              <w:numPr>
                <w:ilvl w:val="0"/>
                <w:numId w:val="5"/>
              </w:numPr>
              <w:ind w:left="420" w:right="0" w:hanging="420"/>
              <w:jc w:val="left"/>
              <w:keepLines w:val="0"/>
              <w:keepNext w:val="0"/>
              <w:spacing w:before="0" w:beforeAutospacing="0" w:after="0" w:afterAutospacing="0" w:line="288" w:lineRule="atLeast"/>
              <w:widowControl/>
              <w:rPr>
                <w:rFonts w:hint="eastAsia" w:ascii="宋体" w:hAnsi="宋体" w:eastAsia="宋体" w:cs="宋体"/>
                <w:color w:val="auto"/>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rPr>
              <w:t xml:space="preserve">EtherCAT 64 轴伺服控制和 I/O</w:t>
            </w:r>
            <w:r/>
          </w:p>
          <w:p>
            <w:pPr>
              <w:numPr>
                <w:ilvl w:val="0"/>
                <w:numId w:val="5"/>
              </w:numPr>
              <w:ind w:left="420" w:right="0" w:hanging="420"/>
              <w:jc w:val="left"/>
              <w:keepLines w:val="0"/>
              <w:keepNext w:val="0"/>
              <w:spacing w:before="0" w:beforeAutospacing="0" w:after="0" w:afterAutospacing="0" w:line="288" w:lineRule="atLeast"/>
              <w:widowControl/>
              <w:rPr>
                <w:rFonts w:hint="eastAsia" w:ascii="宋体" w:hAnsi="宋体" w:eastAsia="宋体" w:cs="宋体"/>
                <w:color w:val="auto"/>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bidi="ar"/>
              </w:rPr>
              <w:t xml:space="preserve">USB 3.0主机端口；</w:t>
            </w:r>
            <w:r/>
          </w:p>
          <w:p>
            <w:pPr>
              <w:numPr>
                <w:ilvl w:val="0"/>
                <w:numId w:val="5"/>
              </w:numPr>
              <w:ind w:left="420" w:right="0" w:hanging="420"/>
              <w:jc w:val="left"/>
              <w:keepLines w:val="0"/>
              <w:keepNext w:val="0"/>
              <w:spacing w:before="0" w:beforeAutospacing="0" w:after="0" w:afterAutospacing="0" w:line="288" w:lineRule="atLeast"/>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bidi="ar"/>
              </w:rPr>
              <w:t xml:space="preserve">RS-232通信端口；</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2.2输入/输出模块：</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数量：单套配置1台；</w:t>
            </w:r>
            <w:r/>
          </w:p>
          <w:p>
            <w:p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(2)</w:t>
            </w:r>
            <w:r>
              <w:rPr>
                <w:rFonts w:hint="eastAsia" w:ascii="宋体" w:hAnsi="宋体" w:eastAsia="宋体" w:cs="宋体"/>
                <w:color w:val="auto"/>
                <w:sz w:val="21"/>
                <w:szCs w:val="21"/>
                <w:highlight w:val="none"/>
                <w:lang w:val="en-US" w:eastAsia="zh-CN" w:bidi="ar"/>
              </w:rPr>
              <w:t xml:space="preserve">品牌：与2.1同品牌或主流配套品牌。</w:t>
            </w:r>
            <w:r/>
          </w:p>
          <w:p>
            <w:p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(3)</w:t>
            </w:r>
            <w:r>
              <w:rPr>
                <w:rFonts w:hint="eastAsia" w:ascii="宋体" w:hAnsi="宋体" w:eastAsia="宋体" w:cs="宋体"/>
                <w:color w:val="auto"/>
                <w:sz w:val="21"/>
                <w:szCs w:val="21"/>
                <w:highlight w:val="none"/>
                <w:lang w:val="en-US" w:eastAsia="zh-CN" w:bidi="ar"/>
              </w:rPr>
              <w:t xml:space="preserve">尺寸：板卡型，≤3U规格。</w:t>
            </w:r>
            <w:r/>
          </w:p>
          <w:p>
            <w:pPr>
              <w:jc w:val="left"/>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(4)</w:t>
            </w:r>
            <w:r>
              <w:rPr>
                <w:rFonts w:hint="eastAsia" w:ascii="宋体" w:hAnsi="宋体" w:eastAsia="宋体" w:cs="宋体"/>
                <w:color w:val="auto"/>
                <w:sz w:val="21"/>
                <w:szCs w:val="21"/>
                <w:highlight w:val="none"/>
              </w:rPr>
              <w:t xml:space="preserve">24路输入和24路输出，具备自保护功能，采用光耦隔离的灌电流输入和拉电流输出设计</w:t>
            </w:r>
            <w:r>
              <w:rPr>
                <w:rFonts w:hint="eastAsia" w:ascii="宋体" w:hAnsi="宋体" w:eastAsia="宋体" w:cs="宋体"/>
                <w:color w:val="auto"/>
                <w:sz w:val="21"/>
                <w:szCs w:val="21"/>
                <w:highlight w:val="none"/>
                <w:lang w:eastAsia="zh-CN"/>
              </w:rPr>
              <w:t xml:space="preserve">。</w:t>
            </w:r>
            <w:r/>
          </w:p>
          <w:p>
            <w:pPr>
              <w:numPr>
                <w:ilvl w:val="0"/>
                <w:numId w:val="0"/>
              </w:num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工作温度</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55</w:t>
            </w:r>
            <w:r>
              <w:rPr>
                <w:rFonts w:hint="eastAsia" w:ascii="宋体" w:hAnsi="宋体" w:eastAsia="宋体" w:cs="宋体"/>
                <w:color w:val="auto"/>
                <w:sz w:val="21"/>
                <w:szCs w:val="21"/>
                <w:highlight w:val="none"/>
                <w:lang w:val="en-US" w:eastAsia="zh-CN" w:bidi="ar"/>
              </w:rPr>
              <w:t xml:space="preserve">℃；工作湿度10~90%RH，无凝露。</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2.3运动控制器</w:t>
            </w:r>
            <w:r>
              <w:rPr>
                <w:rFonts w:hint="eastAsia" w:ascii="宋体" w:hAnsi="宋体" w:eastAsia="宋体" w:cs="宋体"/>
                <w:color w:val="auto"/>
                <w:sz w:val="21"/>
                <w:szCs w:val="21"/>
                <w:highlight w:val="none"/>
                <w:lang w:val="en-US" w:eastAsia="zh-CN" w:bidi="ar"/>
              </w:rPr>
              <w:t xml:space="preserve">及机箱</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数量：单套配置1台；</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w:t>
            </w:r>
            <w:r>
              <w:rPr>
                <w:rFonts w:hint="eastAsia" w:ascii="宋体" w:hAnsi="宋体" w:eastAsia="宋体" w:cs="宋体"/>
                <w:color w:val="auto"/>
                <w:sz w:val="21"/>
                <w:szCs w:val="21"/>
                <w:highlight w:val="none"/>
                <w:lang w:val="en-US" w:eastAsia="zh-CN" w:bidi="ar"/>
              </w:rPr>
              <w:t xml:space="preserve">品牌：与2.1、2.2同品牌或主流配套品牌。</w:t>
            </w:r>
            <w:r/>
          </w:p>
          <w:p>
            <w:pPr>
              <w:ind w:left="0" w:right="0"/>
              <w:jc w:val="left"/>
              <w:keepLines w:val="0"/>
              <w:keepNext w:val="0"/>
              <w:spacing w:before="0" w:beforeAutospacing="0" w:after="0" w:afterAutospacing="0" w:line="288" w:lineRule="atLeast"/>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bidi="ar"/>
              </w:rPr>
              <w:t xml:space="preserve">(3)</w:t>
            </w:r>
            <w:r>
              <w:rPr>
                <w:rFonts w:hint="eastAsia" w:ascii="宋体" w:hAnsi="宋体" w:eastAsia="宋体" w:cs="宋体"/>
                <w:color w:val="auto"/>
                <w:sz w:val="21"/>
                <w:szCs w:val="21"/>
                <w:highlight w:val="none"/>
              </w:rPr>
              <w:t xml:space="preserve">4通道</w:t>
            </w:r>
            <w:r>
              <w:rPr>
                <w:rFonts w:hint="eastAsia" w:ascii="宋体" w:hAnsi="宋体" w:eastAsia="宋体" w:cs="宋体"/>
                <w:color w:val="auto"/>
                <w:sz w:val="21"/>
                <w:szCs w:val="21"/>
                <w:highlight w:val="none"/>
                <w:lang w:val="en-US" w:eastAsia="zh-CN"/>
              </w:rPr>
              <w:t xml:space="preserve">模拟量双路18位DACs，可处理以下类型的位置反馈：</w:t>
            </w:r>
            <w:r/>
          </w:p>
          <w:p>
            <w:pPr>
              <w:ind w:left="0" w:right="0"/>
              <w:jc w:val="left"/>
              <w:keepLines w:val="0"/>
              <w:keepNext w:val="0"/>
              <w:spacing w:before="0" w:beforeAutospacing="0" w:after="0" w:afterAutospacing="0" w:line="288" w:lineRule="atLeast"/>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正交编码器、霍尔式换向传感器、串行编码器、正弦编码器。</w:t>
            </w:r>
            <w:r/>
          </w:p>
          <w:p>
            <w:pPr>
              <w:ind w:left="0" w:right="0"/>
              <w:jc w:val="left"/>
              <w:keepLines w:val="0"/>
              <w:keepNext w:val="0"/>
              <w:spacing w:before="0" w:beforeAutospacing="0" w:after="0" w:afterAutospacing="0" w:line="288" w:lineRule="atLeast"/>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可控制以下类型的放大器和驱动器：</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rPr>
              <w:t xml:space="preserve">模拟速度模式、模拟转矩模式、模拟正弦波输入、直接PWM功率模块。</w:t>
            </w:r>
            <w:r/>
          </w:p>
          <w:p>
            <w:pPr>
              <w:ind w:left="0" w:right="0"/>
              <w:jc w:val="left"/>
              <w:keepLines w:val="0"/>
              <w:keepNext w:val="0"/>
              <w:spacing w:before="0" w:beforeAutospacing="0" w:after="0" w:afterAutospacing="0" w:line="288" w:lineRule="atLeast"/>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bidi="ar"/>
              </w:rPr>
              <w:t xml:space="preserve">(4)</w:t>
            </w:r>
            <w:r>
              <w:rPr>
                <w:rFonts w:hint="eastAsia" w:ascii="宋体" w:hAnsi="宋体" w:eastAsia="宋体" w:cs="宋体"/>
                <w:color w:val="auto"/>
                <w:sz w:val="21"/>
                <w:szCs w:val="21"/>
                <w:highlight w:val="none"/>
                <w:lang w:val="en-US" w:eastAsia="zh-CN" w:bidi="ar"/>
              </w:rPr>
              <w:t xml:space="preserve">工作温度</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55</w:t>
            </w:r>
            <w:r>
              <w:rPr>
                <w:rFonts w:hint="eastAsia" w:ascii="宋体" w:hAnsi="宋体" w:eastAsia="宋体" w:cs="宋体"/>
                <w:color w:val="auto"/>
                <w:sz w:val="21"/>
                <w:szCs w:val="21"/>
                <w:highlight w:val="none"/>
                <w:lang w:val="en-US" w:eastAsia="zh-CN" w:bidi="ar"/>
              </w:rPr>
              <w:t xml:space="preserve">℃；工作湿度10~90%RH，无凝露。</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2.4线性驱动</w:t>
            </w:r>
            <w:r>
              <w:rPr>
                <w:rFonts w:hint="eastAsia" w:ascii="宋体" w:hAnsi="宋体" w:eastAsia="宋体" w:cs="宋体"/>
                <w:color w:val="auto"/>
                <w:sz w:val="21"/>
                <w:szCs w:val="21"/>
                <w:highlight w:val="none"/>
                <w:lang w:val="en-US" w:eastAsia="zh-CN" w:bidi="ar"/>
              </w:rPr>
              <w:t xml:space="preserve">放大</w:t>
            </w:r>
            <w:r>
              <w:rPr>
                <w:rFonts w:hint="eastAsia" w:ascii="宋体" w:hAnsi="宋体" w:eastAsia="宋体" w:cs="宋体"/>
                <w:color w:val="auto"/>
                <w:sz w:val="21"/>
                <w:szCs w:val="21"/>
                <w:highlight w:val="none"/>
                <w:lang w:bidi="ar"/>
              </w:rPr>
              <w:t xml:space="preserve">器</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数量：单套配置3台</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w:t>
            </w:r>
            <w:r>
              <w:rPr>
                <w:rFonts w:hint="eastAsia" w:ascii="宋体" w:hAnsi="宋体" w:eastAsia="宋体" w:cs="宋体"/>
                <w:color w:val="auto"/>
                <w:sz w:val="21"/>
                <w:szCs w:val="21"/>
                <w:highlight w:val="none"/>
                <w:lang w:val="en-US" w:eastAsia="zh-CN" w:bidi="ar"/>
              </w:rPr>
              <w:t xml:space="preserve">品牌：与2.1、2.2、2.3同品牌或主流配套品牌。</w:t>
            </w:r>
            <w:r/>
          </w:p>
          <w:p>
            <w:pPr>
              <w:ind w:left="0" w:right="0"/>
              <w:jc w:val="left"/>
              <w:keepLines w:val="0"/>
              <w:keepNext w:val="0"/>
              <w:spacing w:before="0" w:beforeAutospacing="0" w:after="0" w:afterAutospacing="0" w:line="288" w:lineRule="atLeast"/>
              <w:widowControl/>
              <w:rPr>
                <w:rFonts w:hint="eastAsia" w:ascii="宋体" w:hAnsi="宋体" w:eastAsia="宋体" w:cs="宋体"/>
                <w:color w:val="auto"/>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bidi="ar"/>
              </w:rPr>
              <w:t xml:space="preserve">(3)</w:t>
            </w:r>
            <w:r>
              <w:rPr>
                <w:rFonts w:hint="eastAsia" w:ascii="宋体" w:hAnsi="宋体" w:eastAsia="宋体" w:cs="宋体"/>
                <w:color w:val="auto"/>
                <w:sz w:val="21"/>
                <w:szCs w:val="21"/>
                <w:highlight w:val="none"/>
                <w:lang w:val="en-US" w:eastAsia="zh-CN" w:bidi="ar"/>
              </w:rPr>
              <w:t xml:space="preserve">尺寸不大于：L*W*H=380*200*120mm。</w:t>
            </w:r>
            <w:r/>
          </w:p>
          <w:p>
            <w:pPr>
              <w:ind w:left="0" w:right="0"/>
              <w:jc w:val="left"/>
              <w:keepLines w:val="0"/>
              <w:keepNext w:val="0"/>
              <w:spacing w:before="0" w:beforeAutospacing="0" w:after="0" w:afterAutospacing="0" w:line="288" w:lineRule="atLeast"/>
              <w:widowControl/>
              <w:rPr>
                <w:rFonts w:hint="eastAsia" w:ascii="宋体" w:hAnsi="宋体" w:eastAsia="宋体" w:cs="宋体"/>
                <w:color w:val="auto"/>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bidi="ar"/>
              </w:rPr>
              <w:t xml:space="preserve">重量不大于：6.5kg。</w:t>
            </w:r>
            <w:r/>
          </w:p>
          <w:p>
            <w:pPr>
              <w:ind w:left="0" w:right="0"/>
              <w:jc w:val="left"/>
              <w:keepLines w:val="0"/>
              <w:keepNext w:val="0"/>
              <w:spacing w:before="0" w:beforeAutospacing="0" w:after="0" w:afterAutospacing="0" w:line="288" w:lineRule="atLeast"/>
              <w:widowControl/>
              <w:rPr>
                <w:rFonts w:hint="eastAsia" w:ascii="宋体" w:hAnsi="宋体" w:eastAsia="宋体" w:cs="宋体"/>
                <w:color w:val="auto"/>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bidi="ar"/>
              </w:rPr>
              <w:t xml:space="preserve">性能不低于以下要求：</w:t>
            </w:r>
            <w:r/>
          </w:p>
          <w:p>
            <w:pPr>
              <w:numPr>
                <w:ilvl w:val="0"/>
                <w:numId w:val="5"/>
              </w:numPr>
              <w:ind w:left="420" w:right="0" w:hanging="420"/>
              <w:jc w:val="left"/>
              <w:keepLines w:val="0"/>
              <w:keepNext w:val="0"/>
              <w:spacing w:before="0" w:beforeAutospacing="0" w:after="0" w:afterAutospacing="0" w:line="288" w:lineRule="atLeast"/>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纯AB类功率级；</w:t>
            </w:r>
            <w:r/>
          </w:p>
          <w:p>
            <w:pPr>
              <w:numPr>
                <w:ilvl w:val="0"/>
                <w:numId w:val="5"/>
              </w:numPr>
              <w:ind w:left="420" w:right="0" w:hanging="420"/>
              <w:jc w:val="left"/>
              <w:keepLines w:val="0"/>
              <w:keepNext w:val="0"/>
              <w:spacing w:before="0" w:beforeAutospacing="0" w:after="0" w:afterAutospacing="0" w:line="288" w:lineRule="atLeast"/>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无交越失真；</w:t>
            </w:r>
            <w:r/>
          </w:p>
          <w:p>
            <w:pPr>
              <w:numPr>
                <w:ilvl w:val="0"/>
                <w:numId w:val="5"/>
              </w:numPr>
              <w:ind w:left="420" w:right="0" w:hanging="420"/>
              <w:jc w:val="left"/>
              <w:keepLines w:val="0"/>
              <w:keepNext w:val="0"/>
              <w:spacing w:before="0" w:beforeAutospacing="0" w:after="0" w:afterAutospacing="0" w:line="288" w:lineRule="atLeast"/>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数字动态增益控制（DTS）；</w:t>
            </w:r>
            <w:r/>
          </w:p>
          <w:p>
            <w:pPr>
              <w:numPr>
                <w:ilvl w:val="0"/>
                <w:numId w:val="5"/>
              </w:numPr>
              <w:ind w:left="420" w:right="0" w:hanging="420"/>
              <w:jc w:val="left"/>
              <w:keepLines w:val="0"/>
              <w:keepNext w:val="0"/>
              <w:spacing w:before="0" w:beforeAutospacing="0" w:after="0" w:afterAutospacing="0" w:line="288" w:lineRule="atLeast"/>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最小化霍尔传感器转矩脉动；</w:t>
            </w:r>
            <w:r/>
          </w:p>
          <w:p>
            <w:pPr>
              <w:numPr>
                <w:ilvl w:val="0"/>
                <w:numId w:val="5"/>
              </w:numPr>
              <w:ind w:left="420" w:right="0" w:hanging="420"/>
              <w:jc w:val="left"/>
              <w:keepLines w:val="0"/>
              <w:keepNext w:val="0"/>
              <w:spacing w:before="0" w:beforeAutospacing="0" w:after="0" w:afterAutospacing="0" w:line="288" w:lineRule="atLeast"/>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集成微处理器，通过串行接口实现系统运行状态报告；</w:t>
            </w:r>
            <w:r/>
          </w:p>
          <w:p>
            <w:pPr>
              <w:numPr>
                <w:ilvl w:val="0"/>
                <w:numId w:val="5"/>
              </w:numPr>
              <w:ind w:left="420" w:right="0" w:hanging="420"/>
              <w:jc w:val="left"/>
              <w:keepLines w:val="0"/>
              <w:keepNext w:val="0"/>
              <w:spacing w:before="0" w:beforeAutospacing="0" w:after="0" w:afterAutospacing="0" w:line="288" w:lineRule="atLeast"/>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极低电气噪声；</w:t>
            </w:r>
            <w:r/>
          </w:p>
          <w:p>
            <w:pPr>
              <w:numPr>
                <w:ilvl w:val="0"/>
                <w:numId w:val="5"/>
              </w:numPr>
              <w:ind w:left="420" w:right="0" w:hanging="420"/>
              <w:jc w:val="left"/>
              <w:keepLines w:val="0"/>
              <w:keepNext w:val="0"/>
              <w:spacing w:before="0" w:beforeAutospacing="0" w:after="0" w:afterAutospacing="0" w:line="288" w:lineRule="atLeast"/>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支持正弦波或梯形波运行模式；</w:t>
            </w:r>
            <w:r/>
          </w:p>
          <w:p>
            <w:pPr>
              <w:numPr>
                <w:ilvl w:val="0"/>
                <w:numId w:val="5"/>
              </w:numPr>
              <w:ind w:left="420" w:right="0" w:hanging="420"/>
              <w:jc w:val="left"/>
              <w:keepLines w:val="0"/>
              <w:keepNext w:val="0"/>
              <w:spacing w:before="0" w:beforeAutospacing="0" w:after="0" w:afterAutospacing="0" w:line="288" w:lineRule="atLeast"/>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零点位附近无电压死区，线性电压输出稳定；</w:t>
            </w:r>
            <w:r/>
          </w:p>
          <w:p>
            <w:pPr>
              <w:numPr>
                <w:ilvl w:val="0"/>
                <w:numId w:val="5"/>
              </w:numPr>
              <w:ind w:left="420" w:right="0" w:hanging="420"/>
              <w:jc w:val="left"/>
              <w:keepLines w:val="0"/>
              <w:keepNext w:val="0"/>
              <w:spacing w:before="0" w:beforeAutospacing="0" w:after="0" w:afterAutospacing="0" w:line="288" w:lineRule="atLeast"/>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电源电压：双极性 ±24V至±75V</w:t>
            </w:r>
            <w:r>
              <w:rPr>
                <w:rFonts w:hint="eastAsia" w:ascii="宋体" w:hAnsi="宋体" w:eastAsia="宋体" w:cs="宋体"/>
                <w:color w:val="auto"/>
                <w:sz w:val="21"/>
                <w:szCs w:val="21"/>
                <w:highlight w:val="none"/>
                <w:lang w:val="en-US" w:eastAsia="zh-CN"/>
              </w:rPr>
              <w:t xml:space="preserve">。</w:t>
            </w:r>
            <w:r/>
          </w:p>
          <w:p>
            <w:pPr>
              <w:numPr>
                <w:ilvl w:val="0"/>
                <w:numId w:val="5"/>
              </w:numPr>
              <w:ind w:left="420" w:right="0" w:hanging="420"/>
              <w:jc w:val="left"/>
              <w:keepLines w:val="0"/>
              <w:keepNext w:val="0"/>
              <w:spacing w:before="0" w:beforeAutospacing="0" w:after="0" w:afterAutospacing="0" w:line="288" w:lineRule="atLeast"/>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等效电动机电压：±32V至±134V。</w:t>
            </w:r>
            <w:r/>
          </w:p>
          <w:p>
            <w:pPr>
              <w:numPr>
                <w:ilvl w:val="0"/>
                <w:numId w:val="5"/>
              </w:numPr>
              <w:ind w:left="420" w:right="0" w:hanging="420"/>
              <w:jc w:val="left"/>
              <w:keepLines w:val="0"/>
              <w:keepNext w:val="0"/>
              <w:spacing w:before="0" w:beforeAutospacing="0" w:after="0" w:afterAutospacing="0" w:line="288" w:lineRule="atLeast"/>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24V辅助电源：最大24V±5％,1A。</w:t>
            </w:r>
            <w:r/>
          </w:p>
          <w:p>
            <w:pPr>
              <w:numPr>
                <w:ilvl w:val="0"/>
                <w:numId w:val="5"/>
              </w:numPr>
              <w:ind w:left="420" w:right="0" w:hanging="420"/>
              <w:jc w:val="left"/>
              <w:keepLines w:val="0"/>
              <w:keepNext w:val="0"/>
              <w:spacing w:before="0" w:beforeAutospacing="0" w:after="0" w:afterAutospacing="0" w:line="288" w:lineRule="atLeast"/>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故障信号（FAULT）：TTL电平0或1。</w:t>
            </w:r>
            <w:r/>
          </w:p>
          <w:p>
            <w:pPr>
              <w:numPr>
                <w:ilvl w:val="0"/>
                <w:numId w:val="5"/>
              </w:numPr>
              <w:ind w:left="420" w:right="0" w:hanging="420"/>
              <w:jc w:val="left"/>
              <w:keepLines w:val="0"/>
              <w:keepNext w:val="0"/>
              <w:spacing w:before="0" w:beforeAutospacing="0" w:after="0" w:afterAutospacing="0" w:line="288" w:lineRule="atLeast"/>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使能信号（ENABLE）：TTL电平0或1。</w:t>
            </w:r>
            <w:r/>
          </w:p>
          <w:p>
            <w:pPr>
              <w:numPr>
                <w:ilvl w:val="0"/>
                <w:numId w:val="5"/>
              </w:numPr>
              <w:ind w:left="420" w:right="0" w:hanging="420"/>
              <w:jc w:val="left"/>
              <w:keepLines w:val="0"/>
              <w:keepNext w:val="0"/>
              <w:spacing w:before="0" w:beforeAutospacing="0" w:after="0" w:afterAutospacing="0" w:line="288" w:lineRule="atLeast"/>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指令输入：±10V（最大 ±12V）。</w:t>
            </w:r>
            <w:r/>
          </w:p>
          <w:p>
            <w:pPr>
              <w:numPr>
                <w:ilvl w:val="0"/>
                <w:numId w:val="5"/>
              </w:numPr>
              <w:ind w:left="420" w:right="0" w:hanging="420"/>
              <w:jc w:val="left"/>
              <w:keepLines w:val="0"/>
              <w:keepNext w:val="0"/>
              <w:spacing w:before="0" w:beforeAutospacing="0" w:after="0" w:afterAutospacing="0" w:line="288" w:lineRule="atLeast"/>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带宽：5.0kHz。</w:t>
            </w:r>
            <w:r/>
          </w:p>
          <w:p>
            <w:pPr>
              <w:numPr>
                <w:ilvl w:val="0"/>
                <w:numId w:val="5"/>
              </w:numPr>
              <w:ind w:left="420" w:right="0" w:hanging="420"/>
              <w:jc w:val="left"/>
              <w:keepLines w:val="0"/>
              <w:keepNext w:val="0"/>
              <w:spacing w:before="0" w:beforeAutospacing="0" w:after="0" w:afterAutospacing="0" w:line="288" w:lineRule="atLeast"/>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扭力增益：0.6A/V 至 1.8A/V。</w:t>
            </w:r>
            <w:r/>
          </w:p>
          <w:p>
            <w:pPr>
              <w:numPr>
                <w:ilvl w:val="0"/>
                <w:numId w:val="5"/>
              </w:numPr>
              <w:ind w:left="420" w:right="0" w:hanging="420"/>
              <w:jc w:val="left"/>
              <w:keepLines w:val="0"/>
              <w:keepNext w:val="0"/>
              <w:spacing w:before="0" w:beforeAutospacing="0" w:after="0" w:afterAutospacing="0" w:line="288" w:lineRule="atLeast"/>
              <w:widowControl/>
              <w:rPr>
                <w:rFonts w:hint="eastAsia" w:ascii="宋体" w:hAnsi="宋体" w:eastAsia="宋体" w:cs="宋体"/>
                <w:color w:val="auto"/>
                <w:sz w:val="21"/>
                <w:szCs w:val="21"/>
                <w:highlight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峰值电流：18A。</w:t>
            </w:r>
            <w:r/>
          </w:p>
          <w:p>
            <w:pPr>
              <w:pStyle w:val="1432"/>
              <w:ind w:left="0" w:firstLine="0"/>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2.5变频驱动器</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数量：单套配置1台</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尺寸不大于：</w:t>
            </w:r>
            <w:r>
              <w:rPr>
                <w:rFonts w:hint="eastAsia" w:ascii="宋体" w:hAnsi="宋体" w:eastAsia="宋体" w:cs="宋体"/>
                <w:color w:val="auto"/>
                <w:sz w:val="21"/>
                <w:szCs w:val="21"/>
                <w:highlight w:val="none"/>
                <w:lang w:val="en-US" w:eastAsia="zh-CN"/>
              </w:rPr>
              <w:t xml:space="preserve">高*宽*长=</w:t>
            </w:r>
            <w:r>
              <w:rPr>
                <w:rFonts w:hint="eastAsia" w:ascii="宋体" w:hAnsi="宋体" w:eastAsia="宋体" w:cs="宋体"/>
                <w:color w:val="auto"/>
                <w:sz w:val="21"/>
                <w:szCs w:val="21"/>
                <w:highlight w:val="none"/>
              </w:rPr>
              <w:t xml:space="preserve">253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104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188</w:t>
            </w:r>
            <w:r>
              <w:rPr>
                <w:rFonts w:hint="eastAsia" w:ascii="宋体" w:hAnsi="宋体" w:eastAsia="宋体" w:cs="宋体"/>
                <w:color w:val="auto"/>
                <w:sz w:val="21"/>
                <w:szCs w:val="21"/>
                <w:highlight w:val="none"/>
                <w:lang w:val="en-US" w:eastAsia="zh-CN"/>
              </w:rPr>
              <w:t xml:space="preserve">mm；不超过3.6kg</w:t>
            </w:r>
            <w:r>
              <w:rPr>
                <w:rFonts w:hint="eastAsia" w:ascii="宋体" w:hAnsi="宋体" w:eastAsia="宋体" w:cs="宋体"/>
                <w:color w:val="auto"/>
                <w:sz w:val="21"/>
                <w:szCs w:val="21"/>
                <w:highlight w:val="none"/>
                <w:lang w:val="en-US" w:eastAsia="zh-CN" w:bidi="ar"/>
              </w:rPr>
              <w:t xml:space="preserve">。</w:t>
            </w:r>
            <w:r/>
          </w:p>
          <w:p>
            <w:p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额定功率3.8KVA；额定电流20A；峰值电流28A；最大输出电压3*200VAC。</w:t>
            </w:r>
            <w:r/>
          </w:p>
          <w:p>
            <w:pPr>
              <w:pStyle w:val="1432"/>
              <w:ind w:left="0" w:firstLine="0"/>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CAN总线式</w:t>
            </w:r>
            <w:r/>
          </w:p>
          <w:p>
            <w:pP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(5)至少包含2个模拟量额定值接口：±10V；2个模拟输出端：0-10V。</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(6)至少包含</w:t>
            </w:r>
            <w:r>
              <w:rPr>
                <w:rFonts w:hint="eastAsia" w:ascii="宋体" w:hAnsi="宋体" w:eastAsia="宋体" w:cs="宋体"/>
                <w:color w:val="auto"/>
                <w:sz w:val="21"/>
                <w:szCs w:val="21"/>
                <w:highlight w:val="none"/>
              </w:rPr>
              <w:t xml:space="preserve">9个数字输入端和5个数字输出端</w:t>
            </w:r>
            <w:r>
              <w:rPr>
                <w:rFonts w:hint="eastAsia" w:ascii="宋体" w:hAnsi="宋体" w:eastAsia="宋体" w:cs="宋体"/>
                <w:color w:val="auto"/>
                <w:sz w:val="21"/>
                <w:szCs w:val="21"/>
                <w:highlight w:val="none"/>
                <w:lang w:eastAsia="zh-CN"/>
              </w:rPr>
              <w:t xml:space="preserve">；</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(7)至少包含</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个TTL 编码器输入和输出端</w:t>
            </w:r>
            <w:r>
              <w:rPr>
                <w:rFonts w:hint="eastAsia" w:ascii="宋体" w:hAnsi="宋体" w:eastAsia="宋体" w:cs="宋体"/>
                <w:color w:val="auto"/>
                <w:sz w:val="21"/>
                <w:szCs w:val="21"/>
                <w:highlight w:val="none"/>
                <w:lang w:eastAsia="zh-CN"/>
              </w:rPr>
              <w:t xml:space="preserve">。</w:t>
            </w:r>
            <w:r/>
          </w:p>
          <w:p>
            <w:pP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2.6砂轮轴驱动器</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数量：单套配置1台</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尺寸不大于：</w:t>
            </w:r>
            <w:r>
              <w:rPr>
                <w:rFonts w:hint="eastAsia" w:ascii="宋体" w:hAnsi="宋体" w:eastAsia="宋体" w:cs="宋体"/>
                <w:color w:val="auto"/>
                <w:sz w:val="21"/>
                <w:szCs w:val="21"/>
                <w:highlight w:val="none"/>
                <w:lang w:val="en-US" w:eastAsia="zh-CN"/>
              </w:rPr>
              <w:t xml:space="preserve">高*宽*深=196*78*187mm</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电压120~240Vac；持续电流12Arms;峰值电流30Arms；驱动器连续输出功率值4000W。</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rPr>
                <w:rFonts w:hint="eastAsia" w:ascii="宋体" w:hAnsi="宋体" w:eastAsia="宋体" w:cs="宋体"/>
                <w:color w:val="auto"/>
                <w:sz w:val="21"/>
                <w:szCs w:val="21"/>
                <w:highlight w:val="none"/>
                <w:lang w:val="en-US" w:eastAsia="zh-CN" w:bidi="ar"/>
              </w:rPr>
              <w:t xml:space="preserve">支持模拟量命令。</w:t>
            </w:r>
            <w:r/>
          </w:p>
          <w:p>
            <w:pPr>
              <w:pStyle w:val="1432"/>
              <w:ind w:left="0" w:firstLine="0"/>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2.7开关电源1</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数量：单套配置2台</w:t>
            </w:r>
            <w:r>
              <w:rPr>
                <w:rFonts w:hint="eastAsia" w:ascii="宋体" w:hAnsi="宋体" w:eastAsia="宋体" w:cs="宋体"/>
                <w:color w:val="auto"/>
                <w:sz w:val="21"/>
                <w:szCs w:val="21"/>
                <w:highlight w:val="none"/>
                <w:lang w:bidi="ar"/>
              </w:rPr>
              <w:t xml:space="preserve">；</w:t>
            </w:r>
            <w:r/>
          </w:p>
          <w:p>
            <w:pPr>
              <w:pStyle w:val="1432"/>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尺寸不大于：</w:t>
            </w:r>
            <w:r>
              <w:rPr>
                <w:rFonts w:hint="eastAsia" w:ascii="宋体" w:hAnsi="宋体" w:eastAsia="宋体" w:cs="宋体"/>
                <w:color w:val="auto"/>
                <w:sz w:val="21"/>
                <w:szCs w:val="21"/>
                <w:highlight w:val="none"/>
                <w:lang w:val="en-US" w:eastAsia="zh-CN"/>
              </w:rPr>
              <w:t xml:space="preserve">长*宽*高=240*115*41mm</w:t>
            </w:r>
            <w:r/>
          </w:p>
          <w:p>
            <w:pPr>
              <w:pStyle w:val="1432"/>
              <w:ind w:left="0" w:firstLine="0"/>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输出：24V DC 42A；纹波240mVp-p；电压精度±1.0%；电源效率≥95%。</w:t>
            </w:r>
            <w:r/>
          </w:p>
          <w:p>
            <w:p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输入：电压范围90~264VAC；频率47~63HZ；</w:t>
            </w:r>
            <w:r/>
          </w:p>
          <w:p>
            <w:pPr>
              <w:pStyle w:val="1432"/>
              <w:ind w:left="0" w:firstLine="0"/>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工作温度－30~70℃；工作湿度20~90%RH，无凝露；</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保护功能：额定输出功率的105%~120%过载保护；短路保护；过电压保护；过温保护。</w:t>
            </w:r>
            <w:r/>
          </w:p>
          <w:p>
            <w:pPr>
              <w:pStyle w:val="1432"/>
              <w:ind w:left="0" w:firstLine="0"/>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2.8开关电源2</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数量：单套配置2台</w:t>
            </w:r>
            <w:r>
              <w:rPr>
                <w:rFonts w:hint="eastAsia" w:ascii="宋体" w:hAnsi="宋体" w:eastAsia="宋体" w:cs="宋体"/>
                <w:color w:val="auto"/>
                <w:sz w:val="21"/>
                <w:szCs w:val="21"/>
                <w:highlight w:val="none"/>
                <w:lang w:bidi="ar"/>
              </w:rPr>
              <w:t xml:space="preserve">；</w:t>
            </w:r>
            <w:r/>
          </w:p>
          <w:p>
            <w:pPr>
              <w:pStyle w:val="1432"/>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尺寸不大于：</w:t>
            </w:r>
            <w:r>
              <w:rPr>
                <w:rFonts w:hint="eastAsia" w:ascii="宋体" w:hAnsi="宋体" w:eastAsia="宋体" w:cs="宋体"/>
                <w:color w:val="auto"/>
                <w:sz w:val="21"/>
                <w:szCs w:val="21"/>
                <w:highlight w:val="none"/>
                <w:lang w:val="en-US" w:eastAsia="zh-CN"/>
              </w:rPr>
              <w:t xml:space="preserve">宽*高*深=63*125.2*113.5mm</w:t>
            </w:r>
            <w:r/>
          </w:p>
          <w:p>
            <w:pPr>
              <w:pStyle w:val="1432"/>
              <w:ind w:left="0" w:firstLine="0"/>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输出：24V DC 10A；纹波150mVp-p；电压精度±1.0%；电源效率≥85%。</w:t>
            </w:r>
            <w:r/>
          </w:p>
          <w:p>
            <w:p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输入：电压范围90~264VAC；频率47~63HZ；</w:t>
            </w:r>
            <w:r/>
          </w:p>
          <w:p>
            <w:pPr>
              <w:pStyle w:val="1432"/>
              <w:ind w:left="0" w:firstLine="0"/>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工作温度－20~70℃；工作湿度20~95%RH，无凝露；</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保护功能：额定输出功率的105%~130%过载保护；过电压保护；过温保护。</w:t>
            </w:r>
            <w:r/>
          </w:p>
          <w:p>
            <w:pPr>
              <w:pStyle w:val="1432"/>
              <w:ind w:left="0" w:firstLine="0"/>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2.9其他配件</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数量：根据设计方案确认在投标方案中列明。</w:t>
            </w:r>
            <w:r/>
          </w:p>
        </w:tc>
      </w:tr>
      <w:tr>
        <w:trPr>
          <w:jc w:val="center"/>
          <w:trHeight w:val="708"/>
        </w:trPr>
        <w:tc>
          <w:tcPr>
            <w:tcW w:w="667"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w:t>
            </w:r>
            <w:r/>
          </w:p>
        </w:tc>
        <w:tc>
          <w:tcPr>
            <w:tcW w:w="711"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rPr>
              <w:t xml:space="preserve">操作台</w:t>
            </w:r>
            <w:r/>
          </w:p>
        </w:tc>
        <w:tc>
          <w:tcPr>
            <w:tcW w:w="7419"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rPr>
              <w:t xml:space="preserve">移动、操作方便，尺寸和颜色都符合IEC标准。</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1.1</w:t>
            </w:r>
            <w:r>
              <w:rPr>
                <w:rFonts w:hint="eastAsia" w:ascii="宋体" w:hAnsi="宋体" w:eastAsia="宋体" w:cs="宋体"/>
                <w:color w:val="auto"/>
                <w:sz w:val="21"/>
                <w:szCs w:val="21"/>
                <w:highlight w:val="none"/>
                <w:lang w:val="en-US" w:eastAsia="zh-CN" w:bidi="ar"/>
              </w:rPr>
              <w:t xml:space="preserve">尺寸不大于：</w:t>
            </w:r>
            <w:r>
              <w:rPr>
                <w:rFonts w:hint="eastAsia" w:ascii="宋体" w:hAnsi="宋体" w:eastAsia="宋体" w:cs="宋体"/>
                <w:color w:val="auto"/>
                <w:sz w:val="21"/>
                <w:szCs w:val="21"/>
                <w:highlight w:val="none"/>
                <w:lang w:val="en-US" w:eastAsia="zh-CN"/>
              </w:rPr>
              <w:t xml:space="preserve">长*宽*高=600*500*1750mm</w:t>
            </w:r>
            <w:r/>
          </w:p>
          <w:p>
            <w:pPr>
              <w:pStyle w:val="1432"/>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1.2 </w:t>
            </w:r>
            <w:r>
              <w:rPr>
                <w:rFonts w:hint="eastAsia" w:ascii="宋体" w:hAnsi="宋体" w:eastAsia="宋体" w:cs="宋体"/>
                <w:color w:val="auto"/>
                <w:sz w:val="21"/>
                <w:szCs w:val="21"/>
                <w:highlight w:val="none"/>
                <w:lang w:val="en-US" w:eastAsia="zh-CN"/>
              </w:rPr>
              <w:t xml:space="preserve">RAL9016或RAL7035。</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2.主要设备</w:t>
            </w:r>
            <w:r>
              <w:rPr>
                <w:rFonts w:hint="eastAsia" w:ascii="宋体" w:hAnsi="宋体" w:eastAsia="宋体" w:cs="宋体"/>
                <w:color w:val="auto"/>
                <w:sz w:val="21"/>
                <w:szCs w:val="21"/>
                <w:highlight w:val="none"/>
                <w:lang w:bidi="ar"/>
              </w:rPr>
              <w:t xml:space="preserve">性能参数</w:t>
            </w:r>
            <w:r/>
          </w:p>
          <w:p>
            <w:pPr>
              <w:pStyle w:val="1432"/>
              <w:ind w:left="0" w:firstLine="0"/>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2.1嵌入式工控机</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数量：单套配置1台</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w:t>
            </w:r>
            <w:r>
              <w:rPr>
                <w:rFonts w:hint="eastAsia" w:ascii="宋体" w:hAnsi="宋体" w:eastAsia="宋体" w:cs="宋体"/>
                <w:color w:val="auto"/>
                <w:sz w:val="21"/>
                <w:szCs w:val="21"/>
                <w:highlight w:val="none"/>
                <w:lang w:val="en-US" w:eastAsia="zh-CN" w:bidi="ar"/>
              </w:rPr>
              <w:t xml:space="preserve">CPU：I7-8550U四核；</w:t>
            </w:r>
            <w:r/>
          </w:p>
          <w:p>
            <w:pP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(3)</w:t>
            </w:r>
            <w:r>
              <w:rPr>
                <w:rFonts w:hint="eastAsia" w:ascii="宋体" w:hAnsi="宋体" w:eastAsia="宋体" w:cs="宋体"/>
                <w:color w:val="auto"/>
                <w:sz w:val="21"/>
                <w:szCs w:val="21"/>
                <w:highlight w:val="none"/>
                <w:lang w:val="en-US" w:eastAsia="zh-CN" w:bidi="ar"/>
              </w:rPr>
              <w:t xml:space="preserve">内存16G+存储512G+WIFI，双网口，卡扣支架</w:t>
            </w:r>
            <w:r/>
          </w:p>
          <w:p>
            <w:pPr>
              <w:pStyle w:val="1432"/>
              <w:ind w:left="0" w:firstLine="0"/>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2.2触摸操作屏</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数量：单套配置1台</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w:t>
            </w:r>
            <w:r>
              <w:rPr>
                <w:rFonts w:hint="eastAsia" w:ascii="宋体" w:hAnsi="宋体" w:eastAsia="宋体" w:cs="宋体"/>
                <w:color w:val="auto"/>
                <w:sz w:val="21"/>
                <w:szCs w:val="21"/>
                <w:highlight w:val="none"/>
                <w:lang w:val="en-US" w:eastAsia="zh-CN" w:bidi="ar"/>
              </w:rPr>
              <w:t xml:space="preserve">屏幕尺寸：19英寸；</w:t>
            </w:r>
            <w:r/>
          </w:p>
          <w:p>
            <w:pP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(3)</w:t>
            </w:r>
            <w:r>
              <w:rPr>
                <w:rFonts w:hint="eastAsia" w:ascii="宋体" w:hAnsi="宋体" w:eastAsia="宋体" w:cs="宋体"/>
                <w:color w:val="auto"/>
                <w:sz w:val="21"/>
                <w:szCs w:val="21"/>
                <w:highlight w:val="none"/>
                <w:lang w:val="en-US" w:eastAsia="zh-CN" w:bidi="ar"/>
              </w:rPr>
              <w:t xml:space="preserve">分辨率：1440*900</w:t>
            </w:r>
            <w:r/>
          </w:p>
          <w:p>
            <w:pP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2.3 外挂式电子手轮</w:t>
            </w:r>
            <w:r/>
          </w:p>
          <w:p>
            <w:pPr>
              <w:pStyle w:val="1432"/>
              <w:ind w:left="0" w:firstLine="0"/>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电源电压：5V 差动</w:t>
            </w:r>
            <w:r/>
          </w:p>
          <w:p>
            <w:pP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(2)</w:t>
            </w:r>
            <w:r>
              <w:rPr>
                <w:rFonts w:hint="eastAsia" w:ascii="宋体" w:hAnsi="宋体" w:eastAsia="宋体" w:cs="宋体"/>
                <w:color w:val="auto"/>
                <w:sz w:val="21"/>
                <w:szCs w:val="21"/>
                <w:highlight w:val="none"/>
                <w:lang w:val="en-US" w:eastAsia="zh-CN" w:bidi="ar"/>
              </w:rPr>
              <w:t xml:space="preserve">输出脉冲：100</w:t>
            </w:r>
            <w:r/>
          </w:p>
          <w:p>
            <w:pPr>
              <w:pStyle w:val="1432"/>
              <w:ind w:left="0" w:firstLine="0"/>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(3)</w:t>
            </w:r>
            <w:r>
              <w:rPr>
                <w:rFonts w:hint="eastAsia" w:ascii="宋体" w:hAnsi="宋体" w:eastAsia="宋体" w:cs="宋体"/>
                <w:color w:val="auto"/>
                <w:sz w:val="21"/>
                <w:szCs w:val="21"/>
                <w:highlight w:val="none"/>
                <w:lang w:val="en-US" w:eastAsia="zh-CN" w:bidi="ar"/>
              </w:rPr>
              <w:t xml:space="preserve">开关方式：对应式</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电缆长度：≥3m</w:t>
            </w:r>
            <w:r/>
          </w:p>
          <w:p>
            <w:pP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2.4 PLC</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数量：单套配置1台</w:t>
            </w:r>
            <w:r>
              <w:rPr>
                <w:rFonts w:hint="eastAsia" w:ascii="宋体" w:hAnsi="宋体" w:eastAsia="宋体" w:cs="宋体"/>
                <w:color w:val="auto"/>
                <w:sz w:val="21"/>
                <w:szCs w:val="21"/>
                <w:highlight w:val="none"/>
                <w:lang w:bidi="ar"/>
              </w:rPr>
              <w:t xml:space="preserve">；</w:t>
            </w:r>
            <w:r/>
          </w:p>
          <w:p>
            <w:pPr>
              <w:pStyle w:val="1432"/>
              <w:ind w:lef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rPr>
              <w:t xml:space="preserve">紧凑型 CPU，机载I/O：8</w:t>
            </w:r>
            <w:r>
              <w:rPr>
                <w:rFonts w:hint="eastAsia" w:ascii="宋体" w:hAnsi="宋体" w:eastAsia="宋体" w:cs="宋体"/>
                <w:color w:val="auto"/>
                <w:sz w:val="21"/>
                <w:szCs w:val="21"/>
                <w:highlight w:val="none"/>
                <w:lang w:val="en-US" w:eastAsia="zh-CN"/>
              </w:rPr>
              <w:t xml:space="preserve">个 </w:t>
            </w:r>
            <w:r>
              <w:rPr>
                <w:rFonts w:hint="eastAsia" w:ascii="宋体" w:hAnsi="宋体" w:eastAsia="宋体" w:cs="宋体"/>
                <w:color w:val="auto"/>
                <w:sz w:val="21"/>
                <w:szCs w:val="21"/>
                <w:highlight w:val="none"/>
              </w:rPr>
              <w:t xml:space="preserve">24V DC；6个</w:t>
            </w:r>
            <w:r>
              <w:rPr>
                <w:rFonts w:hint="eastAsia" w:ascii="宋体" w:hAnsi="宋体" w:eastAsia="宋体" w:cs="宋体"/>
                <w:color w:val="auto"/>
                <w:sz w:val="21"/>
                <w:szCs w:val="21"/>
                <w:highlight w:val="none"/>
                <w:lang w:val="en-US" w:eastAsia="zh-CN"/>
              </w:rPr>
              <w:t xml:space="preserve">DO </w:t>
            </w:r>
            <w:r>
              <w:rPr>
                <w:rFonts w:hint="eastAsia" w:ascii="宋体" w:hAnsi="宋体" w:eastAsia="宋体" w:cs="宋体"/>
                <w:color w:val="auto"/>
                <w:sz w:val="21"/>
                <w:szCs w:val="21"/>
                <w:highlight w:val="none"/>
              </w:rPr>
              <w:t xml:space="preserve">24V</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DC；2</w:t>
            </w:r>
            <w:r>
              <w:rPr>
                <w:rFonts w:hint="eastAsia" w:ascii="宋体" w:hAnsi="宋体" w:eastAsia="宋体" w:cs="宋体"/>
                <w:color w:val="auto"/>
                <w:sz w:val="21"/>
                <w:szCs w:val="21"/>
                <w:highlight w:val="none"/>
                <w:lang w:val="en-US" w:eastAsia="zh-CN"/>
              </w:rPr>
              <w:t xml:space="preserve">个</w:t>
            </w:r>
            <w:r>
              <w:rPr>
                <w:rFonts w:hint="eastAsia" w:ascii="宋体" w:hAnsi="宋体" w:eastAsia="宋体" w:cs="宋体"/>
                <w:color w:val="auto"/>
                <w:sz w:val="21"/>
                <w:szCs w:val="21"/>
                <w:highlight w:val="none"/>
              </w:rPr>
              <w:t xml:space="preserve">AI 0-10V DC，电源：DC 20.4-28.8V DC，程序/数据存储器100KB</w:t>
            </w:r>
            <w:r>
              <w:rPr>
                <w:rFonts w:hint="eastAsia" w:ascii="宋体" w:hAnsi="宋体" w:eastAsia="宋体" w:cs="宋体"/>
                <w:color w:val="auto"/>
                <w:sz w:val="21"/>
                <w:szCs w:val="21"/>
                <w:highlight w:val="none"/>
                <w:lang w:eastAsia="zh-CN"/>
              </w:rPr>
              <w:t xml:space="preserve">。</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rPr>
              <w:t xml:space="preserve">CPU-处理时间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对于位运算，典型值</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0.08µ</w:t>
            </w:r>
            <w:r>
              <w:rPr>
                <w:rFonts w:hint="eastAsia" w:ascii="宋体" w:hAnsi="宋体" w:eastAsia="宋体" w:cs="宋体"/>
                <w:color w:val="auto"/>
                <w:sz w:val="21"/>
                <w:szCs w:val="21"/>
                <w:highlight w:val="none"/>
                <w:lang w:val="en-US" w:eastAsia="zh-CN"/>
              </w:rPr>
              <w:t xml:space="preserve">s;</w:t>
            </w:r>
            <w:r>
              <w:rPr>
                <w:rFonts w:hint="eastAsia" w:ascii="宋体" w:hAnsi="宋体" w:eastAsia="宋体" w:cs="宋体"/>
                <w:color w:val="auto"/>
                <w:sz w:val="21"/>
                <w:szCs w:val="21"/>
                <w:highlight w:val="none"/>
              </w:rPr>
              <w:t xml:space="preserve">对于字运算，典型值</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1.7 µs</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对于浮点运算，典型值</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2.3 µs</w:t>
            </w:r>
            <w:r>
              <w:rPr>
                <w:rFonts w:hint="eastAsia" w:ascii="宋体" w:hAnsi="宋体" w:eastAsia="宋体" w:cs="宋体"/>
                <w:color w:val="auto"/>
                <w:sz w:val="21"/>
                <w:szCs w:val="21"/>
                <w:highlight w:val="none"/>
                <w:lang w:eastAsia="zh-CN"/>
              </w:rPr>
              <w:t xml:space="preserve">。</w:t>
            </w:r>
            <w:r/>
          </w:p>
          <w:p>
            <w:pPr>
              <w:pStyle w:val="1432"/>
              <w:ind w:lef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可支持硬件拓展：</w:t>
            </w:r>
            <w:r>
              <w:rPr>
                <w:rFonts w:hint="eastAsia" w:ascii="宋体" w:hAnsi="宋体" w:eastAsia="宋体" w:cs="宋体"/>
                <w:color w:val="auto"/>
                <w:sz w:val="21"/>
                <w:szCs w:val="21"/>
                <w:highlight w:val="none"/>
              </w:rPr>
              <w:t xml:space="preserve">3 个通讯模块、1 个信号板、2 个信号模块</w:t>
            </w:r>
            <w:r>
              <w:rPr>
                <w:rFonts w:hint="eastAsia" w:ascii="宋体" w:hAnsi="宋体" w:eastAsia="宋体" w:cs="宋体"/>
                <w:color w:val="auto"/>
                <w:sz w:val="21"/>
                <w:szCs w:val="21"/>
                <w:highlight w:val="none"/>
                <w:lang w:eastAsia="zh-CN"/>
              </w:rPr>
              <w:t xml:space="preserve">。</w:t>
            </w:r>
            <w:r/>
          </w:p>
          <w:p>
            <w:pP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2.5其他配件</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数量：根据设计方案确认在投标方案中列明</w:t>
            </w:r>
            <w:r>
              <w:rPr>
                <w:rFonts w:hint="eastAsia" w:ascii="宋体" w:hAnsi="宋体" w:eastAsia="宋体" w:cs="宋体"/>
                <w:color w:val="auto"/>
                <w:sz w:val="21"/>
                <w:szCs w:val="21"/>
                <w:highlight w:val="none"/>
                <w:lang w:bidi="ar"/>
              </w:rPr>
              <w:t xml:space="preserve">；</w:t>
            </w:r>
            <w:r/>
          </w:p>
        </w:tc>
      </w:tr>
      <w:tr>
        <w:trPr>
          <w:jc w:val="center"/>
          <w:trHeight w:val="515"/>
        </w:trPr>
        <w:tc>
          <w:tcPr>
            <w:tcW w:w="667"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w:t>
            </w:r>
            <w:r/>
          </w:p>
        </w:tc>
        <w:tc>
          <w:tcPr>
            <w:tcW w:w="711"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rPr>
              <w:t xml:space="preserve">上位机软件</w:t>
            </w:r>
            <w:r/>
          </w:p>
        </w:tc>
        <w:tc>
          <w:tcPr>
            <w:tcW w:w="7419" w:type="dxa"/>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1.设置轴状态与数据显示区域，用于显示各轴的使能状态、回原位状态，以及程序坐标、机械坐标、跟随误差与剩余距离数据等。</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2.设置非球面加工干涉模型界面，可演示非球面工件与砂轮3D模型的运动轨迹，同界面可设置砂轮与非球面参数以及运行参数。仿真运行过程中速度可调。</w:t>
            </w:r>
            <w:r/>
          </w:p>
          <w:p>
            <w:pPr>
              <w:pStyle w:val="1432"/>
              <w:ind w:left="0" w:firstLine="0"/>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3.Auto模式下</w:t>
            </w:r>
            <w:r>
              <w:rPr>
                <w:rFonts w:hint="eastAsia" w:ascii="宋体" w:hAnsi="宋体" w:eastAsia="宋体" w:cs="宋体"/>
                <w:color w:val="auto"/>
                <w:szCs w:val="21"/>
                <w:highlight w:val="none"/>
                <w:lang w:val="en-US" w:eastAsia="zh-CN" w:bidi="ar"/>
              </w:rPr>
              <w:t xml:space="preserve">的</w:t>
            </w:r>
            <w:r>
              <w:rPr>
                <w:rFonts w:hint="eastAsia" w:ascii="宋体" w:hAnsi="宋体" w:eastAsia="宋体" w:cs="宋体"/>
                <w:color w:val="auto"/>
                <w:szCs w:val="21"/>
                <w:highlight w:val="none"/>
                <w:lang w:bidi="ar"/>
              </w:rPr>
              <w:t xml:space="preserve">操作界面，</w:t>
            </w:r>
            <w:r>
              <w:rPr>
                <w:rFonts w:hint="eastAsia" w:ascii="宋体" w:hAnsi="宋体" w:eastAsia="宋体" w:cs="宋体"/>
                <w:color w:val="auto"/>
                <w:highlight w:val="none"/>
              </w:rPr>
              <w:t xml:space="preserve">设置砂轮主轴的启停控制、故障复位</w:t>
            </w:r>
            <w:r>
              <w:rPr>
                <w:rFonts w:hint="eastAsia" w:ascii="宋体" w:hAnsi="宋体" w:eastAsia="宋体" w:cs="宋体"/>
                <w:color w:val="auto"/>
                <w:highlight w:val="none"/>
                <w:lang w:val="en-US" w:eastAsia="zh-CN"/>
              </w:rPr>
              <w:t xml:space="preserve">控制</w:t>
            </w:r>
            <w:r>
              <w:rPr>
                <w:rFonts w:hint="eastAsia" w:ascii="宋体" w:hAnsi="宋体" w:eastAsia="宋体" w:cs="宋体"/>
                <w:color w:val="auto"/>
                <w:highlight w:val="none"/>
              </w:rPr>
              <w:t xml:space="preserve">，并</w:t>
            </w:r>
            <w:r>
              <w:rPr>
                <w:rFonts w:hint="eastAsia" w:ascii="宋体" w:hAnsi="宋体" w:eastAsia="宋体" w:cs="宋体"/>
                <w:color w:val="auto"/>
                <w:highlight w:val="none"/>
                <w:lang w:val="en-US" w:eastAsia="zh-CN"/>
              </w:rPr>
              <w:t xml:space="preserve">实时</w:t>
            </w:r>
            <w:r>
              <w:rPr>
                <w:rFonts w:hint="eastAsia" w:ascii="宋体" w:hAnsi="宋体" w:eastAsia="宋体" w:cs="宋体"/>
                <w:color w:val="auto"/>
                <w:highlight w:val="none"/>
              </w:rPr>
              <w:t xml:space="preserve">显示砂轮主轴的实际转速与实际电流。</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w:t>
            </w:r>
            <w:r>
              <w:rPr>
                <w:rFonts w:hint="eastAsia" w:ascii="宋体" w:hAnsi="宋体" w:eastAsia="宋体" w:cs="宋体"/>
                <w:color w:val="auto"/>
                <w:highlight w:val="none"/>
              </w:rPr>
              <w:t xml:space="preserve">Auto模式下支持导入加工程序，可离线修改与保存。支持分屏子程序可视化，执行主程序时，会自动加载子程序内容。实时显示加工进度百分比、加工的程序行号与加工时间。</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val="en-US" w:eastAsia="zh-CN" w:bidi="ar"/>
              </w:rPr>
              <w:t xml:space="preserve">5</w:t>
            </w:r>
            <w:r>
              <w:rPr>
                <w:rFonts w:hint="eastAsia" w:ascii="宋体" w:hAnsi="宋体" w:eastAsia="宋体" w:cs="宋体"/>
                <w:color w:val="auto"/>
                <w:szCs w:val="21"/>
                <w:highlight w:val="none"/>
                <w:lang w:bidi="ar"/>
              </w:rPr>
              <w:t xml:space="preserve">.设置MDI模式界面，操作人员可在界面编辑窗体内编写NC程序。</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val="en-US" w:eastAsia="zh-CN" w:bidi="ar"/>
              </w:rPr>
              <w:t xml:space="preserve">6</w:t>
            </w:r>
            <w:r>
              <w:rPr>
                <w:rFonts w:hint="eastAsia" w:ascii="宋体" w:hAnsi="宋体" w:eastAsia="宋体" w:cs="宋体"/>
                <w:color w:val="auto"/>
                <w:szCs w:val="21"/>
                <w:highlight w:val="none"/>
                <w:lang w:bidi="ar"/>
              </w:rPr>
              <w:t xml:space="preserve">.设置手动模式，支持各轴的点动运行</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val="en-US" w:eastAsia="zh-CN" w:bidi="ar"/>
              </w:rPr>
              <w:t xml:space="preserve">增量运行</w:t>
            </w:r>
            <w:r>
              <w:rPr>
                <w:rFonts w:hint="eastAsia" w:ascii="宋体" w:hAnsi="宋体" w:eastAsia="宋体" w:cs="宋体"/>
                <w:color w:val="auto"/>
                <w:highlight w:val="none"/>
              </w:rPr>
              <w:t xml:space="preserve">和回原点功能，且速度可调。</w:t>
            </w:r>
            <w:r>
              <w:rPr>
                <w:rFonts w:hint="eastAsia" w:ascii="宋体" w:hAnsi="宋体" w:eastAsia="宋体" w:cs="宋体"/>
                <w:color w:val="auto"/>
                <w:szCs w:val="21"/>
                <w:highlight w:val="none"/>
                <w:lang w:bidi="ar"/>
              </w:rPr>
              <w:t xml:space="preserve">实现轴正传、反转、停止。</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val="en-US" w:eastAsia="zh-CN" w:bidi="ar"/>
              </w:rPr>
              <w:t xml:space="preserve">7</w:t>
            </w:r>
            <w:r>
              <w:rPr>
                <w:rFonts w:hint="eastAsia" w:ascii="宋体" w:hAnsi="宋体" w:eastAsia="宋体" w:cs="宋体"/>
                <w:color w:val="auto"/>
                <w:szCs w:val="21"/>
                <w:highlight w:val="none"/>
                <w:lang w:bidi="ar"/>
              </w:rPr>
              <w:t xml:space="preserve">.设置工件坐标系操作界面，用于存放G54、G55等机械坐标的偏置量，至少包含10组G54</w:t>
            </w:r>
            <w:r>
              <w:rPr>
                <w:rStyle w:val="1462"/>
                <w:rFonts w:hint="eastAsia" w:ascii="宋体" w:hAnsi="宋体" w:eastAsia="宋体" w:cs="宋体"/>
                <w:color w:val="auto"/>
                <w:highlight w:val="none"/>
                <w:lang w:val="en-US" w:eastAsia="zh-CN"/>
              </w:rPr>
              <w:t xml:space="preserve">类型，</w:t>
            </w:r>
            <w:r>
              <w:rPr>
                <w:rFonts w:hint="eastAsia" w:ascii="宋体" w:hAnsi="宋体" w:eastAsia="宋体" w:cs="宋体"/>
                <w:color w:val="auto"/>
                <w:highlight w:val="none"/>
              </w:rPr>
              <w:t xml:space="preserve">该变量支持修改与历史数值复用</w:t>
            </w:r>
            <w:r>
              <w:rPr>
                <w:rFonts w:hint="eastAsia" w:ascii="宋体" w:hAnsi="宋体" w:eastAsia="宋体" w:cs="宋体"/>
                <w:color w:val="auto"/>
                <w:szCs w:val="21"/>
                <w:highlight w:val="none"/>
                <w:lang w:bidi="ar"/>
              </w:rPr>
              <w:t xml:space="preserve">。</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val="en-US" w:eastAsia="zh-CN" w:bidi="ar"/>
              </w:rPr>
              <w:t xml:space="preserve">8</w:t>
            </w:r>
            <w:r>
              <w:rPr>
                <w:rFonts w:hint="eastAsia" w:ascii="宋体" w:hAnsi="宋体" w:eastAsia="宋体" w:cs="宋体"/>
                <w:color w:val="auto"/>
                <w:szCs w:val="21"/>
                <w:highlight w:val="none"/>
                <w:lang w:bidi="ar"/>
              </w:rPr>
              <w:t xml:space="preserve">.设置刀具列表操作界面。</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val="en-US" w:eastAsia="zh-CN" w:bidi="ar"/>
              </w:rPr>
              <w:t xml:space="preserve">9</w:t>
            </w:r>
            <w:r>
              <w:rPr>
                <w:rFonts w:hint="eastAsia" w:ascii="宋体" w:hAnsi="宋体" w:eastAsia="宋体" w:cs="宋体"/>
                <w:color w:val="auto"/>
                <w:szCs w:val="21"/>
                <w:highlight w:val="none"/>
                <w:lang w:bidi="ar"/>
              </w:rPr>
              <w:t xml:space="preserve">.设置实时误差显示操作界面。</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w:t>
            </w:r>
            <w:r>
              <w:rPr>
                <w:rFonts w:hint="eastAsia" w:ascii="宋体" w:hAnsi="宋体" w:eastAsia="宋体" w:cs="宋体"/>
                <w:color w:val="auto"/>
                <w:szCs w:val="21"/>
                <w:highlight w:val="none"/>
                <w:lang w:val="en-US" w:eastAsia="zh-CN" w:bidi="ar"/>
              </w:rPr>
              <w:t xml:space="preserve">0</w:t>
            </w:r>
            <w:r>
              <w:rPr>
                <w:rFonts w:hint="eastAsia" w:ascii="宋体" w:hAnsi="宋体" w:eastAsia="宋体" w:cs="宋体"/>
                <w:color w:val="auto"/>
                <w:szCs w:val="21"/>
                <w:highlight w:val="none"/>
                <w:lang w:bidi="ar"/>
              </w:rPr>
              <w:t xml:space="preserve">.设置光学对刀界面，支持通过相机实现对刀功能，可对曝光、增益、缩放倍数进行修改。</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w:t>
            </w:r>
            <w:r>
              <w:rPr>
                <w:rFonts w:hint="eastAsia" w:ascii="宋体" w:hAnsi="宋体" w:eastAsia="宋体" w:cs="宋体"/>
                <w:color w:val="auto"/>
                <w:szCs w:val="21"/>
                <w:highlight w:val="none"/>
                <w:lang w:val="en-US" w:eastAsia="zh-CN" w:bidi="ar"/>
              </w:rPr>
              <w:t xml:space="preserve">1</w:t>
            </w:r>
            <w:r>
              <w:rPr>
                <w:rFonts w:hint="eastAsia" w:ascii="宋体" w:hAnsi="宋体" w:eastAsia="宋体" w:cs="宋体"/>
                <w:color w:val="auto"/>
                <w:szCs w:val="21"/>
                <w:highlight w:val="none"/>
                <w:lang w:bidi="ar"/>
              </w:rPr>
              <w:t xml:space="preserve">.设置报警界面，可显示设备运行过程出现的报警信息。至少包括以下报警信息：</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w:t>
            </w:r>
            <w:r>
              <w:rPr>
                <w:rFonts w:hint="eastAsia" w:ascii="宋体" w:hAnsi="宋体" w:eastAsia="宋体" w:cs="宋体"/>
                <w:color w:val="auto"/>
                <w:szCs w:val="21"/>
                <w:highlight w:val="none"/>
              </w:rPr>
              <w:t xml:space="preserve">冷却水回水异常报警保护</w:t>
            </w:r>
            <w:r>
              <w:rPr>
                <w:rFonts w:hint="eastAsia" w:ascii="宋体" w:hAnsi="宋体" w:eastAsia="宋体" w:cs="宋体"/>
                <w:color w:val="auto"/>
                <w:szCs w:val="21"/>
                <w:highlight w:val="none"/>
                <w:lang w:bidi="ar"/>
              </w:rPr>
              <w:t xml:space="preserve">；</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w:t>
            </w:r>
            <w:r>
              <w:rPr>
                <w:rFonts w:hint="eastAsia" w:ascii="宋体" w:hAnsi="宋体" w:eastAsia="宋体" w:cs="宋体"/>
                <w:color w:val="auto"/>
                <w:szCs w:val="21"/>
                <w:highlight w:val="none"/>
              </w:rPr>
              <w:t xml:space="preserve">工件主轴和砂轮主轴气浮压力过低报警保护；</w:t>
            </w:r>
            <w:r/>
          </w:p>
          <w:p>
            <w:pPr>
              <w:pStyle w:val="1432"/>
              <w:ind w:left="0" w:firstLine="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w:t>
            </w:r>
            <w:r>
              <w:rPr>
                <w:rFonts w:hint="eastAsia" w:ascii="宋体" w:hAnsi="宋体" w:eastAsia="宋体" w:cs="宋体"/>
                <w:color w:val="auto"/>
                <w:szCs w:val="21"/>
                <w:highlight w:val="none"/>
              </w:rPr>
              <w:t xml:space="preserve">砂轮主轴未转报警提示；</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w:t>
            </w:r>
            <w:r>
              <w:rPr>
                <w:rFonts w:hint="eastAsia" w:ascii="宋体" w:hAnsi="宋体" w:eastAsia="宋体" w:cs="宋体"/>
                <w:color w:val="auto"/>
                <w:szCs w:val="21"/>
                <w:highlight w:val="none"/>
              </w:rPr>
              <w:t xml:space="preserve">跟随误差超限保护；</w:t>
            </w:r>
            <w:r/>
          </w:p>
          <w:p>
            <w:pPr>
              <w:jc w:val="left"/>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bidi="ar"/>
              </w:rPr>
              <w:t xml:space="preserve">1</w:t>
            </w:r>
            <w:r>
              <w:rPr>
                <w:rFonts w:hint="eastAsia" w:ascii="宋体" w:hAnsi="宋体" w:eastAsia="宋体" w:cs="宋体"/>
                <w:color w:val="auto"/>
                <w:szCs w:val="21"/>
                <w:highlight w:val="none"/>
                <w:lang w:val="en-US" w:eastAsia="zh-CN" w:bidi="ar"/>
              </w:rPr>
              <w:t xml:space="preserve">2</w:t>
            </w:r>
            <w:r>
              <w:rPr>
                <w:rFonts w:hint="eastAsia" w:ascii="宋体" w:hAnsi="宋体" w:eastAsia="宋体" w:cs="宋体"/>
                <w:color w:val="auto"/>
                <w:szCs w:val="21"/>
                <w:highlight w:val="none"/>
                <w:lang w:bidi="ar"/>
              </w:rPr>
              <w:t xml:space="preserve">.软件具备</w:t>
            </w:r>
            <w:r>
              <w:rPr>
                <w:rFonts w:hint="eastAsia" w:ascii="宋体" w:hAnsi="宋体" w:eastAsia="宋体" w:cs="宋体"/>
                <w:color w:val="auto"/>
                <w:szCs w:val="21"/>
                <w:highlight w:val="none"/>
              </w:rPr>
              <w:t xml:space="preserve">冷却水和压缩空气异常报警存储功能</w:t>
            </w:r>
            <w:r>
              <w:rPr>
                <w:rStyle w:val="1462"/>
                <w:rFonts w:hint="eastAsia" w:ascii="宋体" w:hAnsi="宋体" w:eastAsia="宋体" w:cs="宋体"/>
                <w:color w:val="auto"/>
                <w:highlight w:val="none"/>
                <w:lang w:eastAsia="zh-CN"/>
              </w:rPr>
              <w:t xml:space="preserve">，</w:t>
            </w:r>
            <w:r>
              <w:rPr>
                <w:rFonts w:hint="eastAsia" w:ascii="宋体" w:hAnsi="宋体" w:eastAsia="宋体" w:cs="宋体"/>
                <w:color w:val="auto"/>
                <w:szCs w:val="21"/>
                <w:highlight w:val="none"/>
                <w:lang w:val="en-US" w:eastAsia="zh-CN"/>
              </w:rPr>
              <w:t xml:space="preserve">能</w:t>
            </w:r>
            <w:r>
              <w:rPr>
                <w:rFonts w:hint="eastAsia" w:ascii="宋体" w:hAnsi="宋体" w:eastAsia="宋体" w:cs="宋体"/>
                <w:color w:val="auto"/>
                <w:szCs w:val="21"/>
                <w:highlight w:val="none"/>
              </w:rPr>
              <w:t xml:space="preserve">将操作信息与故障信息以日志的方式存储于本地的功能，文件格式为txt或csv</w:t>
            </w:r>
            <w:r>
              <w:rPr>
                <w:rFonts w:hint="eastAsia" w:ascii="宋体" w:hAnsi="宋体" w:eastAsia="宋体" w:cs="宋体"/>
                <w:color w:val="auto"/>
                <w:szCs w:val="21"/>
                <w:highlight w:val="none"/>
                <w:lang w:eastAsia="zh-CN"/>
              </w:rPr>
              <w:t xml:space="preserve">。</w:t>
            </w:r>
            <w:r/>
          </w:p>
          <w:p>
            <w:pPr>
              <w:pStyle w:val="1432"/>
              <w:ind w:left="0" w:firstLine="0"/>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.具备软硬件双重互锁功能。</w:t>
            </w:r>
            <w:r/>
          </w:p>
        </w:tc>
      </w:tr>
    </w:tbl>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w:t>
      </w:r>
      <w:r>
        <w:rPr>
          <w:rFonts w:hint="eastAsia" w:ascii="宋体" w:hAnsi="宋体" w:eastAsia="宋体" w:cs="宋体"/>
          <w:b/>
          <w:color w:val="auto"/>
          <w:sz w:val="24"/>
          <w:szCs w:val="24"/>
          <w:highlight w:val="none"/>
          <w:lang w:val="en-US" w:eastAsia="zh-CN"/>
        </w:rPr>
        <w:t xml:space="preserve">设计</w:t>
      </w:r>
      <w:r>
        <w:rPr>
          <w:rFonts w:hint="eastAsia" w:ascii="宋体" w:hAnsi="宋体" w:eastAsia="宋体" w:cs="宋体"/>
          <w:b/>
          <w:color w:val="auto"/>
          <w:sz w:val="24"/>
          <w:szCs w:val="24"/>
          <w:highlight w:val="none"/>
        </w:rPr>
        <w:t xml:space="preserve">和</w:t>
      </w:r>
      <w:r>
        <w:rPr>
          <w:rFonts w:hint="eastAsia" w:ascii="宋体" w:hAnsi="宋体" w:eastAsia="宋体" w:cs="宋体"/>
          <w:b/>
          <w:color w:val="auto"/>
          <w:sz w:val="24"/>
          <w:szCs w:val="24"/>
          <w:highlight w:val="none"/>
          <w:lang w:val="en-US" w:eastAsia="zh-CN"/>
        </w:rPr>
        <w:t xml:space="preserve">调试</w:t>
      </w:r>
      <w:r>
        <w:rPr>
          <w:rFonts w:hint="eastAsia" w:ascii="宋体" w:hAnsi="宋体" w:eastAsia="宋体" w:cs="宋体"/>
          <w:b/>
          <w:color w:val="auto"/>
          <w:sz w:val="24"/>
          <w:szCs w:val="24"/>
          <w:highlight w:val="none"/>
        </w:rPr>
        <w:t xml:space="preserve">要求</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bookmarkStart w:id="29" w:name="_Toc19329"/>
      <w:r/>
      <w:bookmarkStart w:id="30" w:name="_Toc4837"/>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技术设计要求</w:t>
      </w:r>
      <w:bookmarkEnd w:id="29"/>
      <w:r/>
      <w:bookmarkEnd w:id="30"/>
      <w:r/>
      <w:r/>
    </w:p>
    <w:p>
      <w:pPr>
        <w:pStyle w:val="1538"/>
        <w:keepLines w:val="0"/>
        <w:keepNext w:val="0"/>
        <w:pageBreakBefore w:val="0"/>
        <w:spacing w:line="360" w:lineRule="auto"/>
        <w:rPr>
          <w:color w:val="auto"/>
          <w:highlight w:val="none"/>
        </w:rPr>
      </w:pPr>
      <w:r>
        <w:rPr>
          <w:rFonts w:hint="eastAsia" w:ascii="宋体" w:hAnsi="宋体" w:eastAsia="宋体" w:cs="宋体"/>
          <w:bCs/>
          <w:color w:val="auto"/>
          <w:sz w:val="24"/>
          <w:szCs w:val="24"/>
          <w:highlight w:val="none"/>
          <w:lang w:val="en-US" w:eastAsia="zh-CN" w:bidi="ar-SA"/>
        </w:rPr>
        <w:t xml:space="preserve">中标方在开始项目设备生产之前，需完成相关设计工作，并得到甲方确认。设计工作包含以下内容</w:t>
      </w:r>
      <w:r>
        <w:rPr>
          <w:rFonts w:hint="eastAsia" w:hAnsi="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rPr>
        <w:t xml:space="preserve">所有设计工作完成</w:t>
      </w:r>
      <w:r>
        <w:rPr>
          <w:rFonts w:hint="eastAsia" w:hAnsi="宋体" w:cs="宋体"/>
          <w:bCs/>
          <w:color w:val="auto"/>
          <w:sz w:val="24"/>
          <w:szCs w:val="24"/>
          <w:highlight w:val="none"/>
          <w:lang w:val="en-US" w:eastAsia="zh-CN"/>
        </w:rPr>
        <w:t xml:space="preserve">并</w:t>
      </w:r>
      <w:r>
        <w:rPr>
          <w:rFonts w:hint="eastAsia" w:ascii="宋体" w:hAnsi="宋体" w:eastAsia="宋体" w:cs="宋体"/>
          <w:bCs/>
          <w:color w:val="auto"/>
          <w:sz w:val="24"/>
          <w:szCs w:val="24"/>
          <w:highlight w:val="none"/>
        </w:rPr>
        <w:t xml:space="preserve">取</w:t>
      </w:r>
      <w:r>
        <w:rPr>
          <w:rFonts w:hint="eastAsia" w:hAnsi="宋体" w:cs="宋体"/>
          <w:bCs/>
          <w:color w:val="auto"/>
          <w:sz w:val="24"/>
          <w:szCs w:val="24"/>
          <w:highlight w:val="none"/>
          <w:lang w:val="en-US" w:eastAsia="zh-CN"/>
        </w:rPr>
        <w:t xml:space="preserve">得</w:t>
      </w:r>
      <w:r>
        <w:rPr>
          <w:rFonts w:hint="eastAsia" w:ascii="宋体" w:hAnsi="宋体" w:eastAsia="宋体" w:cs="宋体"/>
          <w:bCs/>
          <w:color w:val="auto"/>
          <w:sz w:val="24"/>
          <w:szCs w:val="24"/>
          <w:highlight w:val="none"/>
        </w:rPr>
        <w:t xml:space="preserve">甲方确认后方可实施</w:t>
      </w:r>
      <w:r>
        <w:rPr>
          <w:rFonts w:hint="eastAsia"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bidi="ar-SA"/>
        </w:rPr>
        <w:t xml:space="preserve">：</w:t>
      </w:r>
      <w:r/>
    </w:p>
    <w:p>
      <w:pPr>
        <w:pStyle w:val="1539"/>
        <w:numPr>
          <w:ilvl w:val="0"/>
          <w:numId w:val="0"/>
        </w:numPr>
        <w:ind w:left="420"/>
        <w:keepLines w:val="0"/>
        <w:keepNext w:val="0"/>
        <w:pageBreakBefore w:val="0"/>
        <w:spacing w:line="360" w:lineRule="auto"/>
        <w:rPr>
          <w:color w:val="auto"/>
          <w:highlight w:val="none"/>
        </w:rPr>
      </w:pPr>
      <w:r>
        <w:rPr>
          <w:rFonts w:hint="eastAsia" w:ascii="宋体" w:hAnsi="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bidi="ar-SA"/>
        </w:rPr>
        <w:t xml:space="preserve">硬件选型确认，输出BOM清单；</w:t>
      </w:r>
      <w:r/>
    </w:p>
    <w:p>
      <w:pPr>
        <w:pStyle w:val="1539"/>
        <w:numPr>
          <w:ilvl w:val="0"/>
          <w:numId w:val="0"/>
        </w:numPr>
        <w:ind w:left="420"/>
        <w:keepLines w:val="0"/>
        <w:keepNext w:val="0"/>
        <w:pageBreakBefore w:val="0"/>
        <w:spacing w:line="360" w:lineRule="auto"/>
        <w:rPr>
          <w:color w:val="auto"/>
          <w:highlight w:val="none"/>
        </w:rPr>
      </w:pP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bidi="ar-SA"/>
        </w:rPr>
        <w:t xml:space="preserve">电气控制柜及操作台电气原理图、接线图、布局图等设计。</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bookmarkStart w:id="31" w:name="_Toc15795"/>
      <w:r/>
      <w:bookmarkStart w:id="32" w:name="_Toc29516"/>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设备调试要求</w:t>
      </w:r>
      <w:bookmarkEnd w:id="31"/>
      <w:r/>
      <w:bookmarkEnd w:id="32"/>
      <w:r/>
      <w:r/>
    </w:p>
    <w:p>
      <w:pPr>
        <w:pStyle w:val="1538"/>
        <w:keepLines w:val="0"/>
        <w:keepNext w:val="0"/>
        <w:pageBreakBefore w:val="0"/>
        <w:spacing w:line="360" w:lineRule="auto"/>
        <w:rPr>
          <w:color w:val="auto"/>
          <w:highlight w:val="none"/>
        </w:rPr>
      </w:pPr>
      <w:r>
        <w:rPr>
          <w:rFonts w:hint="eastAsia" w:ascii="宋体" w:hAnsi="宋体" w:eastAsia="宋体" w:cs="宋体"/>
          <w:bCs/>
          <w:color w:val="auto"/>
          <w:sz w:val="24"/>
          <w:szCs w:val="24"/>
          <w:highlight w:val="none"/>
          <w:lang w:val="en-US" w:eastAsia="zh-CN" w:bidi="ar-SA"/>
        </w:rPr>
        <w:t xml:space="preserve">中标方需完成所供设备的调试工作，具体包含以下内容：</w:t>
      </w:r>
      <w:r/>
    </w:p>
    <w:p>
      <w:pPr>
        <w:pStyle w:val="1539"/>
        <w:numPr>
          <w:ilvl w:val="0"/>
          <w:numId w:val="0"/>
        </w:numPr>
        <w:ind w:left="420"/>
        <w:keepLines w:val="0"/>
        <w:keepNext w:val="0"/>
        <w:pageBreakBefore w:val="0"/>
        <w:spacing w:line="360" w:lineRule="auto"/>
        <w:rPr>
          <w:color w:val="auto"/>
          <w:highlight w:val="none"/>
        </w:rPr>
      </w:pPr>
      <w:r>
        <w:rPr>
          <w:rFonts w:hint="eastAsia" w:ascii="宋体" w:hAnsi="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bidi="ar-SA"/>
        </w:rPr>
        <w:t xml:space="preserve">电气控制柜基础功能出厂调试，含线路检查，开关逻辑测试、开关动作验证等；</w:t>
      </w:r>
      <w:r/>
    </w:p>
    <w:p>
      <w:pPr>
        <w:pStyle w:val="1539"/>
        <w:numPr>
          <w:ilvl w:val="0"/>
          <w:numId w:val="0"/>
        </w:numPr>
        <w:ind w:left="420"/>
        <w:keepLines w:val="0"/>
        <w:keepNext w:val="0"/>
        <w:pageBreakBefore w:val="0"/>
        <w:spacing w:line="360" w:lineRule="auto"/>
        <w:rPr>
          <w:color w:val="auto"/>
          <w:highlight w:val="none"/>
        </w:rPr>
      </w:pP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bidi="ar-SA"/>
        </w:rPr>
        <w:t xml:space="preserve">PLC调试程序和正式程序编写及调试；</w:t>
      </w:r>
      <w:r/>
    </w:p>
    <w:p>
      <w:pPr>
        <w:pStyle w:val="1539"/>
        <w:numPr>
          <w:ilvl w:val="0"/>
          <w:numId w:val="0"/>
        </w:numPr>
        <w:ind w:left="420"/>
        <w:keepLines w:val="0"/>
        <w:keepNext w:val="0"/>
        <w:pageBreakBefore w:val="0"/>
        <w:spacing w:line="360" w:lineRule="auto"/>
        <w:rPr>
          <w:color w:val="auto"/>
          <w:highlight w:val="none"/>
        </w:rPr>
      </w:pP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bidi="ar-SA"/>
        </w:rPr>
        <w:t xml:space="preserve">操作台工控机、上位机软件功能编写及调试；</w:t>
      </w:r>
      <w:r/>
    </w:p>
    <w:p>
      <w:pPr>
        <w:pStyle w:val="1539"/>
        <w:numPr>
          <w:ilvl w:val="0"/>
          <w:numId w:val="0"/>
        </w:numPr>
        <w:ind w:left="420"/>
        <w:keepLines w:val="0"/>
        <w:keepNext w:val="0"/>
        <w:pageBreakBefore w:val="0"/>
        <w:spacing w:line="360" w:lineRule="auto"/>
        <w:rPr>
          <w:color w:val="auto"/>
          <w:highlight w:val="none"/>
        </w:rPr>
      </w:pP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bidi="ar-SA"/>
        </w:rPr>
        <w:t xml:space="preserve">现场其他设备控制和状态联合调试。</w:t>
      </w:r>
      <w:r/>
    </w:p>
    <w:p>
      <w:pPr>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（四）</w:t>
      </w:r>
      <w:r>
        <w:rPr>
          <w:rFonts w:hint="eastAsia" w:ascii="宋体" w:hAnsi="宋体" w:cs="宋体"/>
          <w:b/>
          <w:color w:val="auto"/>
          <w:sz w:val="24"/>
          <w:szCs w:val="24"/>
          <w:highlight w:val="none"/>
          <w:lang w:val="en-US" w:eastAsia="zh-CN"/>
        </w:rPr>
        <w:t xml:space="preserve">现场</w:t>
      </w:r>
      <w:r>
        <w:rPr>
          <w:rFonts w:hint="eastAsia" w:ascii="宋体" w:hAnsi="宋体" w:cs="宋体"/>
          <w:b/>
          <w:color w:val="auto"/>
          <w:sz w:val="24"/>
          <w:szCs w:val="24"/>
          <w:highlight w:val="none"/>
        </w:rPr>
        <w:t xml:space="preserve">安装与验收</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1、中标人须派有经验的技术人员，自备安装工具到现场进行安装，直到设备正常使用，其费用由投标人负担，包含在投标总价中。</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2、安装完毕后，由采购人验收。当满足以下条件时，采购人才向中标人签发验收合格单：</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（1）投标人已提供了在合同中签署的全部货物及完整的技术资料。</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（2）符合本标书技术要求和需求的事项技术标准和规范中的要求。</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（3）全部设备已具备出厂合格证书。</w:t>
      </w:r>
      <w:r/>
    </w:p>
    <w:p>
      <w:pPr>
        <w:jc w:val="left"/>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（五）其他相关说明</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1、本次招标的合同价采用固定</w:t>
      </w:r>
      <w:r>
        <w:rPr>
          <w:rFonts w:hint="eastAsia" w:ascii="宋体" w:hAnsi="宋体" w:cs="宋体"/>
          <w:bCs/>
          <w:color w:val="auto"/>
          <w:sz w:val="24"/>
          <w:szCs w:val="24"/>
          <w:highlight w:val="none"/>
          <w:lang w:val="en-US" w:eastAsia="zh-CN"/>
        </w:rPr>
        <w:t xml:space="preserve">单价</w:t>
      </w:r>
      <w:r>
        <w:rPr>
          <w:rFonts w:hint="eastAsia" w:ascii="宋体" w:hAnsi="宋体" w:cs="宋体"/>
          <w:bCs/>
          <w:color w:val="auto"/>
          <w:sz w:val="24"/>
          <w:szCs w:val="24"/>
          <w:highlight w:val="none"/>
        </w:rPr>
        <w:t xml:space="preserve">方式，供货的数量按实计算，除非另有规定，投标人所报的单价和以细目总价填报的价格在合同实施期间应保持不变，均不受市场价格及政策性价格的调整而增减。</w:t>
      </w:r>
      <w:r/>
    </w:p>
    <w:p>
      <w:pPr>
        <w:ind w:firstLine="480"/>
        <w:jc w:val="left"/>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2、最低人员配置要求：不少于3名技术人员。</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投标人必须根据本采购文件“第三章、项目技术要求和有关说明”中规定的技术配置分别对自己所投产品进行报价，并如实地在《投标偏离表》中逐条标明满足与否，并对其真实性负责，如有偏离请于《投标偏离表》中说明。</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、投标总报价包括满足本项目要求的所有产品及其配件、包装、运杂、安装调试、安装结束后现场保洁（含垃圾处理）及售后服务等从项目中标起到项目正式交付以及质保期内所发生的一切费用。</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、投标人必须在满足招标文件要求的基础上进行报价，如有技术偏离请于投标偏离表中说明。</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、本项目合同履行地点：无锡市锡山区半导体先进制造创新中心，具体地点以合同书约定为准。中标人必须按采购人要求将本项目中货物送到指定地点（包括可能的分布范围），并分地实施安装调试。</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项目整体</w:t>
      </w:r>
      <w:r>
        <w:rPr>
          <w:rFonts w:hint="eastAsia" w:ascii="宋体" w:hAnsi="宋体" w:cs="宋体"/>
          <w:bCs/>
          <w:color w:val="auto"/>
          <w:sz w:val="24"/>
          <w:szCs w:val="24"/>
          <w:highlight w:val="none"/>
          <w:lang w:val="en-US" w:eastAsia="zh-CN"/>
        </w:rPr>
        <w:t xml:space="preserve">免费</w:t>
      </w:r>
      <w:r>
        <w:rPr>
          <w:rFonts w:hint="eastAsia" w:ascii="宋体" w:hAnsi="宋体" w:cs="宋体"/>
          <w:bCs/>
          <w:color w:val="auto"/>
          <w:sz w:val="24"/>
          <w:szCs w:val="24"/>
          <w:highlight w:val="none"/>
        </w:rPr>
        <w:t xml:space="preserve">质保期：自验收合格之日起1年。供应商负责货物在使用期间内，提供一年免费保修，在货物保修期内，一旦货物发生质量问题，中标人保证在接到通知1小时内响应，1日历天内赶到现场进行修理、更换或退货，费用由中标人负责。如中标人在接到通知后12小时内没有答复，则视为中标人承认质量问题并承担由此发生的一切费用。保修期间货物的一切质量问题，更换部件及货物本身质量原因造成的直接经济损失应全部由中标人负责。</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质量及验收：采购人根据国家有关规定、招标文件、中标供应商的投标文件以及合同约定的内容和验收标准进行验收。验收情况作为支付货款的依据。如有质疑，以相关质量技术检验检测机构的检验结果为准，如产生检验费用，则该费用由过失方承担。</w:t>
      </w:r>
      <w:r/>
    </w:p>
    <w:p>
      <w:pPr>
        <w:ind w:firstLine="482"/>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注：</w:t>
      </w:r>
      <w:r/>
    </w:p>
    <w:p>
      <w:pPr>
        <w:ind w:firstLine="482"/>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1、需求中涉及量化指标区间范围的，首个数字为该项最低标准，须完全满足，未满足的视为负偏离。</w:t>
      </w:r>
      <w:r/>
    </w:p>
    <w:p>
      <w:pPr>
        <w:ind w:firstLine="482"/>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在完全满足采购需求的基础上，若采购需求中，明确要求提供相关证明材料的，必须按要求提供，未提供的视为负偏离，作为无效投标文件处理。未明确提供相关证明材料的，由供应商根据自身情况提供材料。</w:t>
      </w:r>
      <w:r/>
    </w:p>
    <w:p>
      <w:pPr>
        <w:ind w:firstLine="482"/>
        <w:jc w:val="left"/>
        <w:spacing w:line="360" w:lineRule="auto"/>
        <w:rPr>
          <w:rFonts w:hint="default"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3、本项目需要缴纳履约保证金。</w:t>
      </w:r>
      <w:r/>
    </w:p>
    <w:p>
      <w:pPr>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left"/>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ind w:firstLine="480"/>
        <w:jc w:val="left"/>
        <w:spacing w:line="360" w:lineRule="auto"/>
        <w:rPr>
          <w:rFonts w:ascii="宋体" w:hAnsi="宋体" w:cs="宋体"/>
          <w:bCs/>
          <w:color w:val="auto"/>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Cs/>
          <w:color w:val="auto"/>
          <w:sz w:val="24"/>
          <w:szCs w:val="24"/>
          <w:highlight w:val="none"/>
        </w:rPr>
      </w:r>
      <w:r/>
    </w:p>
    <w:p>
      <w:pPr>
        <w:spacing w:line="360" w:lineRule="auto"/>
        <w:tabs>
          <w:tab w:val="left" w:pos="525" w:leader="none"/>
          <w:tab w:val="left" w:pos="630" w:leader="none"/>
          <w:tab w:val="left" w:pos="735" w:leader="none"/>
          <w:tab w:val="left" w:pos="945" w:leader="none"/>
        </w:tabs>
        <w:rPr>
          <w:rFonts w:hint="eastAsia" w:ascii="宋体" w:hAnsi="宋体"/>
          <w:b/>
          <w:bCs/>
          <w:color w:val="auto"/>
          <w:sz w:val="30"/>
          <w:szCs w:val="30"/>
          <w:highlight w:val="none"/>
        </w:rPr>
      </w:pPr>
      <w:r>
        <w:rPr>
          <w:rFonts w:hint="eastAsia" w:ascii="宋体" w:hAnsi="宋体"/>
          <w:b/>
          <w:color w:val="auto"/>
          <w:sz w:val="30"/>
          <w:szCs w:val="30"/>
          <w:highlight w:val="none"/>
        </w:rPr>
        <w:t xml:space="preserve">附：政府采购政策（包括但不限于下列具体政策要求）</w:t>
      </w:r>
      <w:r/>
    </w:p>
    <w:p>
      <w:pPr>
        <w:contextualSpacing/>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w:t>
      </w:r>
      <w:r>
        <w:rPr>
          <w:rFonts w:hint="eastAsia" w:ascii="宋体" w:hAnsi="宋体" w:cs="宋体"/>
          <w:color w:val="auto"/>
          <w:sz w:val="24"/>
          <w:szCs w:val="24"/>
          <w:highlight w:val="none"/>
          <w:lang w:eastAsia="zh-CN"/>
        </w:rPr>
        <w:t xml:space="preserve">供的</w:t>
      </w:r>
      <w:r>
        <w:rPr>
          <w:rFonts w:hint="eastAsia" w:ascii="宋体" w:hAnsi="宋体" w:cs="宋体"/>
          <w:color w:val="auto"/>
          <w:sz w:val="24"/>
          <w:szCs w:val="24"/>
          <w:highlight w:val="none"/>
        </w:rPr>
        <w:t xml:space="preserve">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contextualSpacing/>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cs="宋体"/>
          <w:b/>
          <w:color w:val="auto"/>
          <w:sz w:val="32"/>
          <w:szCs w:val="32"/>
          <w:highlight w:val="none"/>
        </w:rPr>
      </w:pPr>
      <w:r>
        <w:rPr>
          <w:rFonts w:hint="eastAsia" w:ascii="宋体" w:hAnsi="宋体" w:cs="宋体"/>
          <w:color w:val="auto"/>
          <w:sz w:val="24"/>
          <w:szCs w:val="24"/>
          <w:highlight w:val="none"/>
        </w:rPr>
        <w:t xml:space="preserve">5.有关中小企业政策，如落实政府采购政策需满足的资格要求以及落实政府采购政策的价格调整的相关内容可详见本文件其他章节。</w:t>
      </w:r>
      <w:r>
        <w:rPr>
          <w:rFonts w:hint="eastAsia" w:ascii="宋体" w:hAnsi="宋体" w:cs="宋体"/>
          <w:bCs/>
          <w:color w:val="auto"/>
          <w:sz w:val="24"/>
          <w:szCs w:val="24"/>
          <w:highlight w:val="none"/>
        </w:rPr>
        <w:t xml:space="preserve">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6.中标、成交供应商可采用合同融资形式，中标人可凭政府采购合同办理融资贷款，详见政府采购网“政采贷”专栏。</w:t>
      </w:r>
      <w:r/>
    </w:p>
    <w:p>
      <w:pPr>
        <w:contextualSpacing/>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8.本项目中如有涉及数据库、操作系统、通用服务器、工作站、一体式计算机、便携式计算机、台式计算机等七种软硬件的，投标人不得违反财政部、工信部共同发</w:t>
      </w:r>
      <w:r>
        <w:rPr>
          <w:rFonts w:hint="eastAsia" w:ascii="宋体" w:hAnsi="宋体" w:cs="宋体"/>
          <w:color w:val="auto"/>
          <w:sz w:val="24"/>
          <w:szCs w:val="24"/>
          <w:highlight w:val="none"/>
          <w:lang w:eastAsia="zh-CN"/>
        </w:rPr>
        <w:t xml:space="preserve">布的</w:t>
      </w:r>
      <w:r>
        <w:rPr>
          <w:rFonts w:hint="eastAsia" w:ascii="宋体" w:hAnsi="宋体" w:cs="宋体"/>
          <w:color w:val="auto"/>
          <w:sz w:val="24"/>
          <w:szCs w:val="24"/>
          <w:highlight w:val="none"/>
        </w:rPr>
        <w:t xml:space="preserve">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rPr>
          <w:rFonts w:hint="eastAsia" w:ascii="宋体" w:hAnsi="宋体" w:cs="宋体"/>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rPr>
          <w:rFonts w:hint="eastAsia" w:ascii="宋体" w:hAnsi="宋体" w:cs="宋体"/>
          <w:color w:val="auto"/>
          <w:sz w:val="24"/>
          <w:szCs w:val="24"/>
          <w:highlight w:val="none"/>
          <w:lang w:val="en"/>
        </w:rPr>
        <w:t xml:space="preserve">采购人原则上应当自收到发票后10个工作日内将资金支付到合同约定的供应商账户。</w:t>
      </w:r>
      <w:r/>
    </w:p>
    <w:p>
      <w:pPr>
        <w:pStyle w:val="1436"/>
        <w:ind w:firstLine="480"/>
        <w:spacing w:line="360" w:lineRule="auto"/>
        <w:rPr>
          <w:rFonts w:hint="eastAsia" w:ascii="宋体" w:hAnsi="宋体" w:eastAsia="宋体" w:cs="宋体"/>
          <w:color w:val="auto"/>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4"/>
          <w:szCs w:val="24"/>
          <w:highlight w:val="none"/>
        </w:rPr>
      </w:r>
      <w:bookmarkEnd w:id="28"/>
      <w:r/>
      <w:r/>
    </w:p>
    <w:p>
      <w:pPr>
        <w:jc w:val="center"/>
        <w:spacing w:line="360" w:lineRule="auto"/>
        <w:rPr>
          <w:rFonts w:hint="eastAsia" w:hAnsi="宋体" w:cs="宋体"/>
          <w:b/>
          <w:bCs/>
          <w:color w:val="auto"/>
          <w:sz w:val="32"/>
          <w:szCs w:val="32"/>
          <w:highlight w:val="none"/>
        </w:rPr>
        <w:outlineLvl w:val="0"/>
      </w:pPr>
      <w:r/>
      <w:bookmarkStart w:id="33" w:name="_Toc12214"/>
      <w:r/>
      <w:bookmarkStart w:id="34" w:name="_Toc21985"/>
      <w:r/>
      <w:bookmarkStart w:id="35" w:name="_Toc17918"/>
      <w:r/>
      <w:bookmarkStart w:id="36" w:name="_Toc4709"/>
      <w:r>
        <w:rPr>
          <w:rFonts w:hint="eastAsia" w:hAnsi="宋体" w:cs="宋体"/>
          <w:b/>
          <w:bCs/>
          <w:color w:val="auto"/>
          <w:sz w:val="32"/>
          <w:szCs w:val="32"/>
          <w:highlight w:val="none"/>
        </w:rPr>
        <w:t xml:space="preserve">四、合同书（格式文本）</w:t>
      </w:r>
      <w:bookmarkEnd w:id="33"/>
      <w:r/>
      <w:bookmarkEnd w:id="34"/>
      <w:r/>
      <w:bookmarkEnd w:id="35"/>
      <w:r/>
      <w:bookmarkEnd w:id="36"/>
      <w:r/>
      <w:r/>
    </w:p>
    <w:p>
      <w:pPr>
        <w:spacing w:line="360" w:lineRule="auto"/>
        <w:rPr>
          <w:rFonts w:hint="default" w:ascii="宋体" w:hAnsi="宋体"/>
          <w:bCs/>
          <w:color w:val="auto"/>
          <w:sz w:val="24"/>
          <w:szCs w:val="24"/>
          <w:highlight w:val="none"/>
          <w:lang w:val="en-US"/>
        </w:rPr>
      </w:pPr>
      <w:r>
        <w:rPr>
          <w:rFonts w:hint="eastAsia" w:ascii="宋体" w:hAnsi="宋体"/>
          <w:bCs/>
          <w:color w:val="auto"/>
          <w:sz w:val="24"/>
          <w:szCs w:val="24"/>
          <w:highlight w:val="none"/>
        </w:rPr>
        <w:t xml:space="preserve">甲方（采购人）：</w:t>
      </w:r>
      <w:r>
        <w:rPr>
          <w:rFonts w:hint="eastAsia" w:ascii="宋体" w:hAnsi="宋体"/>
          <w:bCs/>
          <w:color w:val="auto"/>
          <w:sz w:val="24"/>
          <w:szCs w:val="24"/>
          <w:highlight w:val="none"/>
          <w:u w:val="single"/>
          <w:lang w:val="en-US" w:eastAsia="zh-CN"/>
        </w:rPr>
        <w:t xml:space="preserve">                         </w:t>
      </w:r>
      <w:r/>
    </w:p>
    <w:p>
      <w:pPr>
        <w:spacing w:line="360" w:lineRule="auto"/>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乙方（中标方）：</w:t>
      </w:r>
      <w:r>
        <w:rPr>
          <w:rFonts w:hint="eastAsia" w:ascii="宋体" w:hAnsi="宋体"/>
          <w:bCs/>
          <w:color w:val="auto"/>
          <w:sz w:val="24"/>
          <w:szCs w:val="24"/>
          <w:highlight w:val="none"/>
          <w:u w:val="single"/>
        </w:rPr>
        <w:t xml:space="preserve">                         </w:t>
      </w:r>
      <w:r/>
    </w:p>
    <w:p>
      <w:pPr>
        <w:spacing w:line="360" w:lineRule="auto"/>
        <w:rPr>
          <w:rFonts w:hint="default" w:ascii="宋体" w:hAnsi="宋体" w:eastAsia="宋体"/>
          <w:bCs/>
          <w:color w:val="auto"/>
          <w:sz w:val="24"/>
          <w:szCs w:val="24"/>
          <w:highlight w:val="none"/>
          <w:u w:val="none"/>
          <w:lang w:val="en-US" w:eastAsia="zh-CN"/>
        </w:rPr>
      </w:pPr>
      <w:r>
        <w:rPr>
          <w:rFonts w:hint="eastAsia" w:ascii="宋体" w:hAnsi="宋体"/>
          <w:bCs/>
          <w:color w:val="auto"/>
          <w:sz w:val="24"/>
          <w:szCs w:val="24"/>
          <w:highlight w:val="none"/>
          <w:u w:val="none"/>
          <w:lang w:val="en-US" w:eastAsia="zh-CN"/>
        </w:rPr>
        <w:t xml:space="preserve">丙方（招标方）：</w:t>
      </w:r>
      <w:r>
        <w:rPr>
          <w:rFonts w:hint="eastAsia" w:ascii="宋体" w:hAnsi="宋体"/>
          <w:bCs/>
          <w:color w:val="auto"/>
          <w:sz w:val="24"/>
          <w:szCs w:val="24"/>
          <w:highlight w:val="none"/>
          <w:u w:val="single"/>
          <w:lang w:val="en-US" w:eastAsia="zh-CN"/>
        </w:rPr>
        <w:t xml:space="preserve">                          </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一、采购项目编号：</w:t>
      </w:r>
      <w:r>
        <w:rPr>
          <w:rFonts w:hint="eastAsia" w:ascii="宋体" w:hAnsi="宋体"/>
          <w:bCs/>
          <w:color w:val="auto"/>
          <w:sz w:val="24"/>
          <w:szCs w:val="24"/>
          <w:highlight w:val="none"/>
          <w:u w:val="single"/>
        </w:rPr>
        <w:t xml:space="preserve">                       </w:t>
      </w:r>
      <w:r/>
    </w:p>
    <w:p>
      <w:pPr>
        <w:ind w:firstLine="480"/>
        <w:spacing w:line="360" w:lineRule="auto"/>
        <w:tabs>
          <w:tab w:val="left" w:pos="210" w:leader="none"/>
          <w:tab w:val="left" w:pos="840" w:leader="none"/>
          <w:tab w:val="left" w:pos="1260" w:leader="none"/>
        </w:tabs>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二、项目名称：</w:t>
      </w:r>
      <w:r>
        <w:rPr>
          <w:rFonts w:hint="eastAsia" w:ascii="宋体" w:hAnsi="宋体" w:cs="宋体"/>
          <w:bCs/>
          <w:color w:val="auto"/>
          <w:sz w:val="24"/>
          <w:szCs w:val="24"/>
          <w:highlight w:val="none"/>
          <w:u w:val="single"/>
        </w:rPr>
        <w:t xml:space="preserve">                                               </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三、采购内容：</w:t>
      </w:r>
      <w:r>
        <w:rPr>
          <w:rFonts w:hint="eastAsia" w:ascii="宋体" w:hAnsi="宋体"/>
          <w:bCs/>
          <w:color w:val="auto"/>
          <w:sz w:val="24"/>
          <w:szCs w:val="24"/>
          <w:highlight w:val="none"/>
          <w:u w:val="single"/>
        </w:rPr>
        <w:t xml:space="preserve">                           </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四、中标总金额：人民币（大写）</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元；人民币（小写）</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元</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五、质量和服务要求及验收标准：</w:t>
      </w:r>
      <w:r>
        <w:rPr>
          <w:rFonts w:hint="eastAsia" w:ascii="宋体" w:hAnsi="宋体"/>
          <w:bCs/>
          <w:color w:val="auto"/>
          <w:sz w:val="24"/>
          <w:szCs w:val="24"/>
          <w:highlight w:val="none"/>
          <w:u w:val="single"/>
        </w:rPr>
        <w:t xml:space="preserve">                                         </w:t>
      </w:r>
      <w:r/>
    </w:p>
    <w:p>
      <w:pPr>
        <w:ind w:firstLine="480"/>
        <w:spacing w:line="360" w:lineRule="auto"/>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六、供货期及质保期：</w:t>
      </w:r>
      <w:r>
        <w:rPr>
          <w:rFonts w:hint="eastAsia" w:ascii="宋体" w:hAnsi="宋体"/>
          <w:bCs/>
          <w:color w:val="auto"/>
          <w:sz w:val="24"/>
          <w:szCs w:val="24"/>
          <w:highlight w:val="none"/>
          <w:u w:val="single"/>
        </w:rPr>
        <w:t xml:space="preserve">                                               </w:t>
      </w:r>
      <w:r/>
    </w:p>
    <w:p>
      <w:pPr>
        <w:ind w:firstLine="480"/>
        <w:spacing w:line="360" w:lineRule="auto"/>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七、服务地点和方式：</w:t>
      </w:r>
      <w:r>
        <w:rPr>
          <w:rFonts w:hint="eastAsia" w:ascii="宋体" w:hAnsi="宋体"/>
          <w:bCs/>
          <w:color w:val="auto"/>
          <w:sz w:val="24"/>
          <w:szCs w:val="24"/>
          <w:highlight w:val="none"/>
          <w:u w:val="single"/>
        </w:rPr>
        <w:t xml:space="preserve">                                                   </w:t>
      </w:r>
      <w:r/>
    </w:p>
    <w:p>
      <w:pPr>
        <w:ind w:firstLine="480"/>
        <w:spacing w:line="360" w:lineRule="auto"/>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八、货款支付步骤和办法：</w:t>
      </w:r>
      <w:r>
        <w:rPr>
          <w:rFonts w:hint="eastAsia" w:ascii="宋体" w:hAnsi="宋体"/>
          <w:bCs/>
          <w:color w:val="auto"/>
          <w:sz w:val="24"/>
          <w:szCs w:val="24"/>
          <w:highlight w:val="none"/>
          <w:u w:val="single"/>
        </w:rPr>
        <w:t xml:space="preserve">合同签订后支付合同价款的50%作为预付款，甲方验收合格后付至合同价款的90%，丙方验收合格后支付剩余10%。</w:t>
      </w:r>
      <w:r/>
    </w:p>
    <w:p>
      <w:pPr>
        <w:ind w:firstLine="480"/>
        <w:spacing w:line="360" w:lineRule="auto"/>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九、违约责任：</w:t>
      </w:r>
      <w:r>
        <w:rPr>
          <w:rFonts w:hint="eastAsia" w:ascii="宋体" w:hAnsi="宋体"/>
          <w:bCs/>
          <w:color w:val="auto"/>
          <w:sz w:val="24"/>
          <w:szCs w:val="24"/>
          <w:highlight w:val="none"/>
          <w:u w:val="single"/>
        </w:rPr>
        <w:t xml:space="preserve">                                                         </w:t>
      </w:r>
      <w:r/>
    </w:p>
    <w:p>
      <w:pPr>
        <w:ind w:firstLine="480"/>
        <w:spacing w:line="360" w:lineRule="auto"/>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十、解决争议的方式：</w:t>
      </w:r>
      <w:r>
        <w:rPr>
          <w:rFonts w:hint="eastAsia" w:ascii="宋体" w:hAnsi="宋体"/>
          <w:bCs/>
          <w:color w:val="auto"/>
          <w:sz w:val="24"/>
          <w:szCs w:val="24"/>
          <w:highlight w:val="none"/>
          <w:u w:val="single"/>
        </w:rPr>
        <w:t xml:space="preserve">                                                   </w:t>
      </w:r>
      <w:r/>
    </w:p>
    <w:p>
      <w:pPr>
        <w:ind w:firstLine="480"/>
        <w:spacing w:line="360" w:lineRule="auto"/>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十一、其他事项：</w:t>
      </w:r>
      <w:r>
        <w:rPr>
          <w:rFonts w:hint="eastAsia" w:ascii="宋体" w:hAnsi="宋体"/>
          <w:bCs/>
          <w:color w:val="auto"/>
          <w:sz w:val="24"/>
          <w:szCs w:val="24"/>
          <w:highlight w:val="none"/>
          <w:u w:val="single"/>
        </w:rPr>
        <w:t xml:space="preserve">                                                         </w:t>
      </w:r>
      <w:r/>
    </w:p>
    <w:p>
      <w:pPr>
        <w:ind w:firstLine="480"/>
        <w:spacing w:line="360" w:lineRule="auto"/>
        <w:tabs>
          <w:tab w:val="left" w:pos="210" w:leader="none"/>
          <w:tab w:val="left" w:pos="840" w:leader="none"/>
          <w:tab w:val="left" w:pos="1260" w:leader="none"/>
        </w:tabs>
        <w:rPr>
          <w:rFonts w:hint="eastAsia" w:hAnsi="宋体" w:cs="宋体"/>
          <w:bCs/>
          <w:color w:val="auto"/>
          <w:sz w:val="24"/>
          <w:highlight w:val="none"/>
        </w:rPr>
      </w:pPr>
      <w:r>
        <w:rPr>
          <w:rFonts w:hint="eastAsia" w:hAnsi="宋体" w:cs="宋体"/>
          <w:bCs/>
          <w:color w:val="auto"/>
          <w:sz w:val="24"/>
          <w:highlight w:val="none"/>
        </w:rPr>
        <w:t xml:space="preserve">十二、合同不可分割部分：</w:t>
      </w:r>
      <w:r/>
    </w:p>
    <w:p>
      <w:pPr>
        <w:ind w:firstLine="480"/>
        <w:spacing w:line="360" w:lineRule="auto"/>
        <w:tabs>
          <w:tab w:val="left" w:pos="210" w:leader="none"/>
          <w:tab w:val="left" w:pos="840" w:leader="none"/>
          <w:tab w:val="left" w:pos="1260" w:leader="none"/>
        </w:tabs>
        <w:rPr>
          <w:rFonts w:hint="eastAsia" w:hAnsi="宋体" w:cs="宋体"/>
          <w:bCs/>
          <w:color w:val="auto"/>
          <w:sz w:val="24"/>
          <w:highlight w:val="none"/>
        </w:rPr>
      </w:pPr>
      <w:r>
        <w:rPr>
          <w:rFonts w:hint="eastAsia" w:hAnsi="宋体" w:cs="宋体"/>
          <w:bCs/>
          <w:color w:val="auto"/>
          <w:sz w:val="24"/>
          <w:highlight w:val="none"/>
        </w:rPr>
        <w:t xml:space="preserve">招标文件、投标文件、合同条款及中标通知书，乙方在投标、评标过程中所作其他有关承诺、声明、书面澄清等均为合同不可分割的部分，与主合同具有同等法律效力。</w:t>
      </w:r>
      <w:r/>
    </w:p>
    <w:p>
      <w:pPr>
        <w:ind w:firstLine="480"/>
        <w:spacing w:line="360" w:lineRule="auto"/>
        <w:tabs>
          <w:tab w:val="left" w:pos="210" w:leader="none"/>
          <w:tab w:val="left" w:pos="840" w:leader="none"/>
          <w:tab w:val="left" w:pos="1260" w:leader="none"/>
        </w:tabs>
        <w:rPr>
          <w:rFonts w:hint="eastAsia" w:hAnsi="宋体" w:cs="宋体"/>
          <w:bCs/>
          <w:color w:val="auto"/>
          <w:sz w:val="24"/>
          <w:highlight w:val="none"/>
        </w:rPr>
      </w:pPr>
      <w:r>
        <w:rPr>
          <w:rFonts w:hint="eastAsia" w:hAnsi="宋体" w:cs="宋体"/>
          <w:bCs/>
          <w:color w:val="auto"/>
          <w:sz w:val="24"/>
          <w:highlight w:val="none"/>
        </w:rPr>
        <w:t xml:space="preserve">十三、合同备案：</w:t>
      </w:r>
      <w:r/>
    </w:p>
    <w:p>
      <w:pPr>
        <w:ind w:firstLine="480"/>
        <w:spacing w:line="360" w:lineRule="auto"/>
        <w:tabs>
          <w:tab w:val="left" w:pos="210" w:leader="none"/>
          <w:tab w:val="left" w:pos="840" w:leader="none"/>
          <w:tab w:val="left" w:pos="1260" w:leader="none"/>
        </w:tabs>
        <w:rPr>
          <w:rFonts w:hint="eastAsia" w:hAnsi="宋体" w:cs="宋体"/>
          <w:bCs/>
          <w:color w:val="auto"/>
          <w:sz w:val="24"/>
          <w:highlight w:val="none"/>
        </w:rPr>
      </w:pPr>
      <w:r>
        <w:rPr>
          <w:rFonts w:hint="eastAsia" w:hAnsi="宋体" w:cs="宋体"/>
          <w:bCs/>
          <w:color w:val="auto"/>
          <w:sz w:val="24"/>
          <w:highlight w:val="none"/>
        </w:rPr>
        <w:t xml:space="preserve">合同一式</w:t>
      </w:r>
      <w:r>
        <w:rPr>
          <w:rFonts w:hint="eastAsia" w:hAnsi="宋体" w:cs="宋体"/>
          <w:bCs/>
          <w:color w:val="auto"/>
          <w:sz w:val="24"/>
          <w:highlight w:val="none"/>
          <w:lang w:val="en-US" w:eastAsia="zh-CN"/>
        </w:rPr>
        <w:t xml:space="preserve">捌</w:t>
      </w:r>
      <w:r>
        <w:rPr>
          <w:rFonts w:hint="eastAsia" w:hAnsi="宋体" w:cs="宋体"/>
          <w:bCs/>
          <w:color w:val="auto"/>
          <w:sz w:val="24"/>
          <w:highlight w:val="none"/>
        </w:rPr>
        <w:t xml:space="preserve">份，甲乙</w:t>
      </w:r>
      <w:r>
        <w:rPr>
          <w:rFonts w:hint="eastAsia" w:hAnsi="宋体" w:cs="宋体"/>
          <w:bCs/>
          <w:color w:val="auto"/>
          <w:sz w:val="24"/>
          <w:highlight w:val="none"/>
          <w:lang w:val="en-US" w:eastAsia="zh-CN"/>
        </w:rPr>
        <w:t xml:space="preserve">丙三</w:t>
      </w:r>
      <w:r>
        <w:rPr>
          <w:rFonts w:hint="eastAsia" w:hAnsi="宋体" w:cs="宋体"/>
          <w:bCs/>
          <w:color w:val="auto"/>
          <w:sz w:val="24"/>
          <w:highlight w:val="none"/>
        </w:rPr>
        <w:t xml:space="preserve">方各执贰份，</w:t>
      </w:r>
      <w:r>
        <w:rPr>
          <w:rFonts w:hint="eastAsia" w:hAnsi="宋体" w:cs="宋体"/>
          <w:bCs/>
          <w:color w:val="auto"/>
          <w:sz w:val="24"/>
          <w:highlight w:val="none"/>
          <w:lang w:val="en-US" w:eastAsia="zh-CN"/>
        </w:rPr>
        <w:t xml:space="preserve">区财政局结算中心</w:t>
      </w:r>
      <w:r>
        <w:rPr>
          <w:rFonts w:hint="eastAsia" w:hAnsi="宋体" w:cs="宋体"/>
          <w:bCs/>
          <w:color w:val="auto"/>
          <w:sz w:val="24"/>
          <w:highlight w:val="none"/>
        </w:rPr>
        <w:t xml:space="preserve">壹</w:t>
      </w:r>
      <w:r>
        <w:rPr>
          <w:rFonts w:hint="eastAsia" w:hAnsi="宋体" w:cs="宋体"/>
          <w:bCs/>
          <w:color w:val="auto"/>
          <w:sz w:val="24"/>
          <w:highlight w:val="none"/>
          <w:lang w:val="en-US" w:eastAsia="zh-CN"/>
        </w:rPr>
        <w:t xml:space="preserve">份，</w:t>
      </w:r>
      <w:r>
        <w:rPr>
          <w:rFonts w:hint="eastAsia" w:hAnsi="宋体" w:cs="宋体"/>
          <w:bCs/>
          <w:color w:val="auto"/>
          <w:sz w:val="24"/>
          <w:highlight w:val="none"/>
        </w:rPr>
        <w:t xml:space="preserve">采购代理机构执壹份。</w:t>
      </w:r>
      <w:r/>
    </w:p>
    <w:p>
      <w:pPr>
        <w:ind w:firstLine="480"/>
        <w:spacing w:line="360" w:lineRule="auto"/>
        <w:tabs>
          <w:tab w:val="left" w:pos="210" w:leader="none"/>
          <w:tab w:val="left" w:pos="840" w:leader="none"/>
          <w:tab w:val="left" w:pos="1260" w:leader="none"/>
        </w:tabs>
        <w:rPr>
          <w:rFonts w:hint="eastAsia" w:hAnsi="宋体" w:cs="宋体"/>
          <w:bCs/>
          <w:color w:val="auto"/>
          <w:sz w:val="24"/>
          <w:highlight w:val="none"/>
        </w:rPr>
      </w:pPr>
      <w:r>
        <w:rPr>
          <w:rFonts w:hint="eastAsia" w:hAnsi="宋体" w:cs="宋体"/>
          <w:bCs/>
          <w:color w:val="auto"/>
          <w:sz w:val="24"/>
          <w:highlight w:val="none"/>
        </w:rPr>
        <w:t xml:space="preserve">十四、合同生效：</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本合同由</w:t>
      </w:r>
      <w:r>
        <w:rPr>
          <w:rFonts w:hint="eastAsia" w:ascii="宋体" w:hAnsi="宋体"/>
          <w:bCs/>
          <w:color w:val="auto"/>
          <w:sz w:val="24"/>
          <w:highlight w:val="none"/>
        </w:rPr>
        <w:t xml:space="preserve">甲乙</w:t>
      </w:r>
      <w:r>
        <w:rPr>
          <w:rFonts w:hint="eastAsia" w:ascii="宋体" w:hAnsi="宋体"/>
          <w:bCs/>
          <w:color w:val="auto"/>
          <w:sz w:val="24"/>
          <w:highlight w:val="none"/>
          <w:lang w:val="en-US" w:eastAsia="zh-CN"/>
        </w:rPr>
        <w:t xml:space="preserve">丙三</w:t>
      </w:r>
      <w:r>
        <w:rPr>
          <w:rFonts w:hint="eastAsia" w:ascii="宋体" w:hAnsi="宋体"/>
          <w:bCs/>
          <w:color w:val="auto"/>
          <w:sz w:val="24"/>
          <w:szCs w:val="24"/>
          <w:highlight w:val="none"/>
        </w:rPr>
        <w:t xml:space="preserve">方签字、盖章，并经</w:t>
      </w:r>
      <w:r>
        <w:rPr>
          <w:rFonts w:hint="eastAsia" w:ascii="宋体" w:hAnsi="宋体"/>
          <w:b/>
          <w:color w:val="auto"/>
          <w:sz w:val="24"/>
          <w:szCs w:val="24"/>
          <w:highlight w:val="none"/>
        </w:rPr>
        <w:t xml:space="preserve">江苏通汇工程管理咨询有限公司</w:t>
      </w:r>
      <w:r>
        <w:rPr>
          <w:rFonts w:hint="eastAsia" w:ascii="宋体" w:hAnsi="宋体"/>
          <w:bCs/>
          <w:color w:val="auto"/>
          <w:sz w:val="24"/>
          <w:szCs w:val="24"/>
          <w:highlight w:val="none"/>
        </w:rPr>
        <w:t xml:space="preserve">见证后生效。</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bCs/>
          <w:color w:val="auto"/>
          <w:sz w:val="24"/>
          <w:highlight w:val="none"/>
          <w:u w:val="single"/>
        </w:rPr>
      </w:pPr>
      <w:r>
        <w:rPr>
          <w:rFonts w:hint="eastAsia" w:ascii="宋体" w:hAnsi="宋体"/>
          <w:bCs/>
          <w:color w:val="auto"/>
          <w:sz w:val="24"/>
          <w:highlight w:val="none"/>
        </w:rPr>
        <w:t xml:space="preserve">甲方（采购人）：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（盖章）    </w:t>
      </w:r>
      <w:r/>
    </w:p>
    <w:p>
      <w:pPr>
        <w:spacing w:line="360" w:lineRule="auto"/>
        <w:rPr>
          <w:rFonts w:hint="eastAsia" w:ascii="宋体" w:hAnsi="宋体"/>
          <w:bCs/>
          <w:color w:val="auto"/>
          <w:sz w:val="24"/>
          <w:highlight w:val="none"/>
          <w:u w:val="single"/>
        </w:rPr>
      </w:pPr>
      <w:r>
        <w:rPr>
          <w:rFonts w:hint="eastAsia" w:ascii="宋体" w:hAnsi="宋体"/>
          <w:bCs/>
          <w:color w:val="auto"/>
          <w:sz w:val="24"/>
          <w:highlight w:val="none"/>
        </w:rPr>
        <w:t xml:space="preserve">法定（授权）代表人：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     </w:t>
      </w:r>
      <w:r/>
    </w:p>
    <w:p>
      <w:pPr>
        <w:spacing w:line="360" w:lineRule="auto"/>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     </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rPr>
        <w:t xml:space="preserve">乙方（中标方）：</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（盖章）</w:t>
      </w:r>
      <w:r/>
    </w:p>
    <w:p>
      <w:pPr>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rPr>
        <w:t xml:space="preserve">法定（授权）代表人：</w:t>
      </w:r>
      <w:r>
        <w:rPr>
          <w:rFonts w:hint="eastAsia" w:ascii="宋体" w:hAnsi="宋体"/>
          <w:bCs/>
          <w:color w:val="auto"/>
          <w:sz w:val="24"/>
          <w:highlight w:val="none"/>
          <w:u w:val="single"/>
        </w:rPr>
        <w:t xml:space="preserve">              </w:t>
      </w:r>
      <w:r/>
    </w:p>
    <w:p>
      <w:pPr>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p>
      <w:pPr>
        <w:spacing w:line="360" w:lineRule="auto"/>
        <w:rPr>
          <w:rFonts w:hint="eastAsia" w:ascii="宋体" w:hAnsi="宋体"/>
          <w:bCs/>
          <w:color w:val="auto"/>
          <w:sz w:val="24"/>
          <w:highlight w:val="none"/>
          <w:u w:val="single"/>
        </w:rPr>
      </w:pPr>
      <w:r>
        <w:rPr>
          <w:rFonts w:hint="eastAsia" w:ascii="宋体" w:hAnsi="宋体"/>
          <w:bCs/>
          <w:color w:val="auto"/>
          <w:sz w:val="24"/>
          <w:highlight w:val="none"/>
        </w:rPr>
        <w:t xml:space="preserve">乙方户名：</w:t>
      </w:r>
      <w:r>
        <w:rPr>
          <w:rFonts w:hint="eastAsia" w:ascii="宋体" w:hAnsi="宋体"/>
          <w:bCs/>
          <w:color w:val="auto"/>
          <w:sz w:val="24"/>
          <w:highlight w:val="none"/>
          <w:u w:val="single"/>
        </w:rPr>
        <w:t xml:space="preserve">                      </w:t>
      </w:r>
      <w:r/>
    </w:p>
    <w:p>
      <w:pPr>
        <w:spacing w:line="360" w:lineRule="auto"/>
        <w:rPr>
          <w:rFonts w:hint="eastAsia" w:ascii="宋体" w:hAnsi="宋体"/>
          <w:bCs/>
          <w:color w:val="auto"/>
          <w:sz w:val="24"/>
          <w:highlight w:val="none"/>
          <w:u w:val="single"/>
        </w:rPr>
      </w:pPr>
      <w:r>
        <w:rPr>
          <w:rFonts w:hint="eastAsia" w:ascii="宋体" w:hAnsi="宋体"/>
          <w:bCs/>
          <w:color w:val="auto"/>
          <w:sz w:val="24"/>
          <w:highlight w:val="none"/>
        </w:rPr>
        <w:t xml:space="preserve">乙方开户银行：</w:t>
      </w:r>
      <w:r>
        <w:rPr>
          <w:rFonts w:hint="eastAsia" w:ascii="宋体" w:hAnsi="宋体"/>
          <w:bCs/>
          <w:color w:val="auto"/>
          <w:sz w:val="24"/>
          <w:highlight w:val="none"/>
          <w:u w:val="single"/>
        </w:rPr>
        <w:t xml:space="preserve">                  </w:t>
      </w:r>
      <w:r/>
    </w:p>
    <w:p>
      <w:pPr>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rPr>
        <w:t xml:space="preserve">乙方账号：</w:t>
      </w:r>
      <w:r>
        <w:rPr>
          <w:rFonts w:hint="eastAsia" w:ascii="宋体" w:hAnsi="宋体"/>
          <w:bCs/>
          <w:color w:val="auto"/>
          <w:sz w:val="24"/>
          <w:highlight w:val="none"/>
          <w:u w:val="single"/>
        </w:rPr>
        <w:t xml:space="preserve">                      </w:t>
      </w:r>
      <w:r/>
    </w:p>
    <w:p>
      <w:pPr>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丙</w:t>
      </w:r>
      <w:r>
        <w:rPr>
          <w:rFonts w:hint="eastAsia" w:ascii="宋体" w:hAnsi="宋体"/>
          <w:bCs/>
          <w:color w:val="auto"/>
          <w:sz w:val="24"/>
          <w:highlight w:val="none"/>
        </w:rPr>
        <w:t xml:space="preserve">方</w:t>
      </w:r>
      <w:r>
        <w:rPr>
          <w:rFonts w:hint="eastAsia" w:ascii="宋体" w:hAnsi="宋体"/>
          <w:bCs/>
          <w:color w:val="auto"/>
          <w:sz w:val="24"/>
          <w:szCs w:val="24"/>
          <w:highlight w:val="none"/>
          <w:u w:val="none"/>
          <w:lang w:val="en-US" w:eastAsia="zh-CN"/>
        </w:rPr>
        <w:t xml:space="preserve">（招标方）</w:t>
      </w:r>
      <w:r>
        <w:rPr>
          <w:rFonts w:hint="eastAsia" w:ascii="宋体" w:hAnsi="宋体"/>
          <w:bCs/>
          <w:color w:val="auto"/>
          <w:sz w:val="24"/>
          <w:highlight w:val="none"/>
          <w:lang w:eastAsia="zh-CN"/>
        </w:rPr>
        <w:t xml:space="preserve">：</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（盖章）</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法定（授权）代表人：</w:t>
      </w:r>
      <w:r>
        <w:rPr>
          <w:rFonts w:hint="eastAsia" w:ascii="宋体" w:hAnsi="宋体"/>
          <w:bCs/>
          <w:color w:val="auto"/>
          <w:sz w:val="24"/>
          <w:highlight w:val="none"/>
          <w:u w:val="single"/>
        </w:rPr>
        <w:t xml:space="preserve">             </w:t>
      </w:r>
      <w:r/>
    </w:p>
    <w:p>
      <w:pPr>
        <w:spacing w:line="360" w:lineRule="auto"/>
        <w:rPr>
          <w:rFonts w:hint="eastAsia" w:ascii="宋体" w:hAnsi="宋体"/>
          <w:bCs/>
          <w:color w:val="auto"/>
          <w:sz w:val="24"/>
          <w:highlight w:val="non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见证方</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盖章</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：江苏通汇工程管理咨询有限公司</w:t>
      </w:r>
      <w:r/>
    </w:p>
    <w:p>
      <w:pPr>
        <w:spacing w:line="360" w:lineRule="auto"/>
        <w:rPr>
          <w:rFonts w:hint="eastAsia" w:ascii="宋体" w:hAnsi="宋体"/>
          <w:bCs/>
          <w:color w:val="auto"/>
          <w:sz w:val="24"/>
          <w:highlight w:val="non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★备注：</w:t>
      </w:r>
      <w:r>
        <w:rPr>
          <w:rFonts w:hint="eastAsia" w:ascii="宋体" w:hAnsi="宋体"/>
          <w:bCs/>
          <w:color w:val="auto"/>
          <w:sz w:val="24"/>
          <w:highlight w:val="none"/>
        </w:rPr>
        <w:t xml:space="preserve">甲乙</w:t>
      </w:r>
      <w:r>
        <w:rPr>
          <w:rFonts w:hint="eastAsia" w:ascii="宋体" w:hAnsi="宋体"/>
          <w:bCs/>
          <w:color w:val="auto"/>
          <w:sz w:val="24"/>
          <w:highlight w:val="none"/>
          <w:lang w:val="en-US" w:eastAsia="zh-CN"/>
        </w:rPr>
        <w:t xml:space="preserve">丙三</w:t>
      </w:r>
      <w:r>
        <w:rPr>
          <w:rFonts w:hint="eastAsia" w:ascii="宋体" w:hAnsi="宋体"/>
          <w:bCs/>
          <w:color w:val="auto"/>
          <w:sz w:val="24"/>
          <w:szCs w:val="24"/>
          <w:highlight w:val="none"/>
        </w:rPr>
        <w:t xml:space="preserve">方必须以本格式文本，按照合同条款拟订合同。</w:t>
      </w:r>
      <w:r/>
    </w:p>
    <w:p>
      <w:pPr>
        <w:spacing w:line="360" w:lineRule="auto"/>
        <w:rPr>
          <w:rFonts w:hint="eastAsia" w:ascii="宋体" w:hAnsi="宋体"/>
          <w:bCs/>
          <w:color w:val="auto"/>
          <w:sz w:val="24"/>
          <w:szCs w:val="24"/>
          <w:highlight w:val="none"/>
        </w:rPr>
        <w:sectPr>
          <w:footnotePr/>
          <w:endnotePr/>
          <w:type w:val="nextPage"/>
          <w:pgSz w:w="11906" w:h="16838" w:orient="portrait"/>
          <w:pgMar w:top="1440" w:right="1440" w:bottom="1440" w:left="1418" w:header="851" w:footer="992" w:gutter="0"/>
          <w:cols w:num="1" w:sep="0" w:space="720" w:equalWidth="1"/>
          <w:docGrid w:linePitch="360"/>
        </w:sectPr>
      </w:pPr>
      <w:r>
        <w:rPr>
          <w:rFonts w:hint="eastAsia" w:ascii="宋体" w:hAnsi="宋体"/>
          <w:bCs/>
          <w:color w:val="auto"/>
          <w:sz w:val="24"/>
          <w:szCs w:val="24"/>
          <w:highlight w:val="none"/>
        </w:rPr>
      </w:r>
      <w:r/>
    </w:p>
    <w:p>
      <w:pPr>
        <w:jc w:val="center"/>
        <w:spacing w:line="360" w:lineRule="auto"/>
        <w:rPr>
          <w:rFonts w:hint="eastAsia" w:hAnsi="宋体" w:cs="宋体"/>
          <w:b/>
          <w:bCs/>
          <w:color w:val="auto"/>
          <w:sz w:val="32"/>
          <w:szCs w:val="32"/>
          <w:highlight w:val="none"/>
          <w:lang w:val="de-DE"/>
        </w:rPr>
        <w:outlineLvl w:val="0"/>
      </w:pPr>
      <w:r/>
      <w:bookmarkStart w:id="37" w:name="_Toc5730"/>
      <w:r>
        <w:rPr>
          <w:rFonts w:hint="eastAsia" w:hAnsi="宋体" w:cs="宋体"/>
          <w:b/>
          <w:bCs/>
          <w:color w:val="auto"/>
          <w:sz w:val="32"/>
          <w:szCs w:val="32"/>
          <w:highlight w:val="none"/>
        </w:rPr>
        <w:t xml:space="preserve">合同条款（格式）</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lang w:val="en-US" w:eastAsia="zh-CN"/>
        </w:rPr>
        <w:t xml:space="preserve">无锡市政府采购编号</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招标文件和该文件的中标通知书及乙方投标文件，</w:t>
      </w:r>
      <w:r>
        <w:rPr>
          <w:rFonts w:hint="eastAsia" w:ascii="宋体" w:hAnsi="宋体"/>
          <w:bCs/>
          <w:color w:val="auto"/>
          <w:sz w:val="24"/>
          <w:highlight w:val="none"/>
        </w:rPr>
        <w:t xml:space="preserve">甲乙</w:t>
      </w:r>
      <w:r>
        <w:rPr>
          <w:rFonts w:hint="eastAsia" w:ascii="宋体" w:hAnsi="宋体"/>
          <w:bCs/>
          <w:color w:val="auto"/>
          <w:sz w:val="24"/>
          <w:highlight w:val="none"/>
          <w:lang w:val="en-US" w:eastAsia="zh-CN"/>
        </w:rPr>
        <w:t xml:space="preserve">丙三</w:t>
      </w:r>
      <w:r>
        <w:rPr>
          <w:rFonts w:hint="eastAsia" w:ascii="宋体" w:hAnsi="宋体"/>
          <w:bCs/>
          <w:color w:val="auto"/>
          <w:sz w:val="24"/>
          <w:szCs w:val="24"/>
          <w:highlight w:val="none"/>
        </w:rPr>
        <w:t xml:space="preserve">方</w:t>
      </w:r>
      <w:r>
        <w:rPr>
          <w:rFonts w:hint="eastAsia" w:ascii="宋体" w:hAnsi="宋体" w:cs="宋体"/>
          <w:color w:val="auto"/>
          <w:sz w:val="24"/>
          <w:szCs w:val="24"/>
          <w:highlight w:val="none"/>
        </w:rPr>
        <w:t xml:space="preserve">就此次</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及相关问题，同意按下列条款规定执行。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（一）合同内容：甲方向乙方购买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（二）价格及支付：</w:t>
      </w:r>
      <w:r/>
    </w:p>
    <w:p>
      <w:pPr>
        <w:ind w:firstLine="480"/>
        <w:spacing w:line="360" w:lineRule="auto"/>
        <w:tabs>
          <w:tab w:val="left" w:pos="525" w:leader="none"/>
          <w:tab w:val="left" w:pos="1050" w:leader="none"/>
          <w:tab w:val="left" w:pos="115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1.按此次中标价格执行，合同总标的额为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元。上述价格包含甲方为上述采购产品和服务应向乙方支付的一切费用，包括但不限于提供产品和服务的人工费用、包装费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运输费、保险费、安装调试费、验收费、技术指导与培训服务费、税费及其他一切费用，甲方无须再支付任何其他费用。</w:t>
      </w:r>
      <w:r/>
    </w:p>
    <w:p>
      <w:pPr>
        <w:ind w:firstLine="480"/>
        <w:spacing w:line="360" w:lineRule="auto"/>
        <w:rPr>
          <w:rFonts w:hint="eastAsia" w:ascii="宋体" w:hAnsi="宋体" w:cs="宋体"/>
          <w:b/>
          <w:bCs/>
          <w:color w:val="auto"/>
          <w:sz w:val="24"/>
          <w:szCs w:val="24"/>
          <w:highlight w:val="none"/>
        </w:rPr>
        <w:outlineLvl w:val="3"/>
      </w:pPr>
      <w:r>
        <w:rPr>
          <w:rFonts w:hint="eastAsia" w:ascii="宋体" w:hAnsi="宋体" w:cs="宋体"/>
          <w:color w:val="auto"/>
          <w:sz w:val="24"/>
          <w:szCs w:val="24"/>
          <w:highlight w:val="none"/>
        </w:rPr>
        <w:t xml:space="preserve">2.付款方式：</w:t>
      </w:r>
      <w:r>
        <w:rPr>
          <w:rFonts w:hint="eastAsia" w:ascii="宋体" w:hAnsi="宋体" w:cs="宋体"/>
          <w:b/>
          <w:bCs/>
          <w:color w:val="auto"/>
          <w:sz w:val="24"/>
          <w:szCs w:val="24"/>
          <w:highlight w:val="none"/>
        </w:rPr>
        <w:t xml:space="preserve">合同签订后支付合同价款的50%作为预付款，甲方验收合格后付至合同价款的90%，丙方验收合格后支付剩余10%。</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（三）知识产权</w:t>
      </w:r>
      <w:r/>
    </w:p>
    <w:p>
      <w:pPr>
        <w:ind w:firstLine="480"/>
        <w:spacing w:line="360" w:lineRule="auto"/>
        <w:tabs>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乙方应保证甲方在使用其交付物、服务及其任何部分时不受到第三方关于侵犯专利权、商标权或软件著作权等知识产权的指控。任何第三方如果提出侵权指控，乙方应承担可能发生的一切法律责任和费用。</w:t>
      </w:r>
      <w:r/>
    </w:p>
    <w:p>
      <w:pPr>
        <w:ind w:left="420"/>
        <w:spacing w:line="360" w:lineRule="auto"/>
        <w:tabs>
          <w:tab w:val="left" w:pos="73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（四）质量与检验：</w:t>
      </w:r>
      <w:r/>
    </w:p>
    <w:p>
      <w:pPr>
        <w:ind w:firstLine="480"/>
        <w:spacing w:line="360" w:lineRule="auto"/>
        <w:tabs>
          <w:tab w:val="left" w:pos="525" w:leader="none"/>
          <w:tab w:val="left" w:pos="1050" w:leader="none"/>
          <w:tab w:val="left" w:pos="115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1．乙方应严格按照招标文件的有关规定和乙方投标文件提供合格的货物及服务。</w:t>
      </w:r>
      <w:r/>
    </w:p>
    <w:p>
      <w:pPr>
        <w:ind w:firstLine="480"/>
        <w:spacing w:line="360" w:lineRule="auto"/>
        <w:tabs>
          <w:tab w:val="left" w:pos="1050" w:leader="none"/>
          <w:tab w:val="left" w:pos="115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如果任何被检验的货物产品型号、规格、质量、技术规范要求等不符合该产品销售所必须的资格认证，以及强制性的国家技术质量规范和合同约定标准的，甲方均可以拒绝接受，乙方应及时更换被拒绝的货物或重新提供服务，且不得影响甲方正常工作，费用由乙方承担，如因更换或重作导致乙方逾期交付货物的，乙方还应承担逾期交付的违约责任</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若因乙方产品未达到相关的国家标准或行业标准及合同约定的质量，造成甲方或第三方人身伤害、财产损失的，乙方应承担全部法律责任和经济赔偿。若因乙方</w:t>
      </w:r>
      <w:r>
        <w:rPr>
          <w:rFonts w:hint="eastAsia" w:ascii="宋体" w:hAnsi="宋体" w:cs="宋体"/>
          <w:color w:val="auto"/>
          <w:sz w:val="24"/>
          <w:szCs w:val="24"/>
          <w:highlight w:val="none"/>
          <w:lang w:eastAsia="zh-CN"/>
        </w:rPr>
        <w:t xml:space="preserve">怠于</w:t>
      </w:r>
      <w:r>
        <w:rPr>
          <w:rFonts w:hint="eastAsia" w:ascii="宋体" w:hAnsi="宋体" w:cs="宋体"/>
          <w:color w:val="auto"/>
          <w:sz w:val="24"/>
          <w:szCs w:val="24"/>
          <w:highlight w:val="none"/>
        </w:rPr>
        <w:t xml:space="preserve">承担赔偿或支付责任，导致甲方代为支付或丙方无法及时获得赔偿的，甲方均有权向乙方追偿或有权在向乙方支付合同款项时予以扣除，本规定并不免除乙方在本合同项下的货物质量保证义务或其他义务。</w:t>
      </w:r>
      <w:r/>
    </w:p>
    <w:p>
      <w:pPr>
        <w:ind w:firstLine="480"/>
        <w:spacing w:line="360" w:lineRule="auto"/>
        <w:tabs>
          <w:tab w:val="left" w:pos="420" w:leader="none"/>
          <w:tab w:val="left" w:pos="1050" w:leader="none"/>
          <w:tab w:val="left" w:pos="115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3．货物的到货验收包括：数量、外观、质量、性能、随机备件、装箱单、质量证书等随机资料及包装完整无破损。</w:t>
      </w:r>
      <w:r/>
    </w:p>
    <w:p>
      <w:pPr>
        <w:ind w:firstLine="480"/>
        <w:spacing w:line="360" w:lineRule="auto"/>
        <w:tabs>
          <w:tab w:val="left" w:pos="1050" w:leader="none"/>
          <w:tab w:val="left" w:pos="115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4．货物和系统调试验收标准：按行业通行标准、厂方出厂标准、招标文件要求和乙方投标文件的承诺，并不低于国家相关标准。</w:t>
      </w:r>
      <w:r/>
    </w:p>
    <w:p>
      <w:pPr>
        <w:ind w:firstLine="480"/>
        <w:spacing w:line="360" w:lineRule="auto"/>
        <w:tabs>
          <w:tab w:val="left" w:pos="1050" w:leader="none"/>
          <w:tab w:val="left" w:pos="1155"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5．货物运到甲方指定地点并经甲方验证签收后，由于甲方保管不善造成的质量问题，乙方应负责修理，但有关费用由甲方承担</w:t>
      </w:r>
      <w:r>
        <w:rPr>
          <w:rFonts w:hint="eastAsia" w:ascii="宋体" w:hAnsi="宋体" w:cs="宋体"/>
          <w:color w:val="auto"/>
          <w:sz w:val="24"/>
          <w:szCs w:val="24"/>
          <w:highlight w:val="none"/>
          <w:lang w:eastAsia="zh-CN"/>
        </w:rPr>
        <w:t xml:space="preserve">，但由于乙方未告知甲方货物保存的必要条件的，损失由乙方负责。</w:t>
      </w:r>
      <w:r/>
    </w:p>
    <w:p>
      <w:pPr>
        <w:ind w:firstLine="480"/>
        <w:spacing w:line="360" w:lineRule="auto"/>
        <w:tabs>
          <w:tab w:val="left" w:pos="1050" w:leader="none"/>
          <w:tab w:val="left" w:pos="115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6.甲方应在货物运到并接到乙方通知后及时按照招投标文件的约定组织验收。在验收过程中产生的质量及其他问题，甲方须及时以书面形式提出异议并向</w:t>
      </w:r>
      <w:r>
        <w:rPr>
          <w:rFonts w:hint="eastAsia" w:ascii="宋体" w:hAnsi="宋体" w:cs="宋体"/>
          <w:bCs/>
          <w:color w:val="auto"/>
          <w:sz w:val="24"/>
          <w:szCs w:val="24"/>
          <w:highlight w:val="none"/>
        </w:rPr>
        <w:t xml:space="preserve">采购代理机构</w:t>
      </w:r>
      <w:r>
        <w:rPr>
          <w:rFonts w:hint="eastAsia" w:ascii="宋体" w:hAnsi="宋体" w:cs="宋体"/>
          <w:color w:val="auto"/>
          <w:sz w:val="24"/>
          <w:szCs w:val="24"/>
          <w:highlight w:val="none"/>
        </w:rPr>
        <w:t xml:space="preserve">反馈并提出相应处理意见。乙方在接到甲方书面异议后应立即整改，否则承担违约责任。</w:t>
      </w:r>
      <w:r/>
    </w:p>
    <w:p>
      <w:pPr>
        <w:ind w:firstLine="480"/>
        <w:spacing w:line="360" w:lineRule="auto"/>
        <w:tabs>
          <w:tab w:val="left" w:pos="1050" w:leader="none"/>
          <w:tab w:val="left" w:pos="115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7.甲方不得擅自变更招投标文件约定的性能、指标等相关内容，如有变更应按《中华人民共和国政府采购法》、财政部《政府采购货物和服务招标投标管理办法》的相关程序执行。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（五）交货条件：</w:t>
      </w:r>
      <w:r/>
    </w:p>
    <w:p>
      <w:pPr>
        <w:ind w:firstLine="480"/>
        <w:spacing w:line="360" w:lineRule="auto"/>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供货期</w:t>
      </w:r>
      <w:r>
        <w:rPr>
          <w:rFonts w:hint="eastAsia" w:ascii="宋体" w:hAnsi="宋体" w:cs="宋体"/>
          <w:color w:val="auto"/>
          <w:sz w:val="24"/>
          <w:szCs w:val="24"/>
          <w:highlight w:val="none"/>
        </w:rPr>
        <w:t xml:space="preserve">：合同签订生效后</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日历天内完成全部产品供货及安装调试</w:t>
      </w:r>
      <w:r/>
    </w:p>
    <w:p>
      <w:pPr>
        <w:ind w:firstLine="480"/>
        <w:spacing w:line="360" w:lineRule="auto"/>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2．乙方在验收时应先用电子邮件等书面方式通知甲方。</w:t>
      </w:r>
      <w:r/>
    </w:p>
    <w:p>
      <w:pPr>
        <w:ind w:firstLine="480"/>
        <w:spacing w:line="360" w:lineRule="auto"/>
        <w:tabs>
          <w:tab w:val="left" w:pos="115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货物的外观、包装、运输应按国家有关规定或相关部颁标准执行。如因乙方包装或运输不当等原因造成损坏或丢失，应由乙方负责调换或补缺，如因此导致乙方逾期交付货物的，乙方还应承担逾期交付的违约责任。</w:t>
      </w:r>
      <w:r/>
    </w:p>
    <w:p>
      <w:pPr>
        <w:ind w:firstLine="480"/>
        <w:spacing w:line="360" w:lineRule="auto"/>
        <w:tabs>
          <w:tab w:val="left" w:pos="115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4.货物交货时，所有货物必须带有货物质量检验合格证书、中文质保单、装箱单、中文货物安装使用说明书。</w:t>
      </w:r>
      <w:r>
        <w:rPr>
          <w:rFonts w:hint="eastAsia" w:ascii="宋体" w:hAnsi="宋体" w:cs="宋体"/>
          <w:color w:val="auto"/>
          <w:sz w:val="24"/>
          <w:szCs w:val="24"/>
          <w:highlight w:val="none"/>
          <w:lang w:eastAsia="zh-CN"/>
        </w:rPr>
        <w:t xml:space="preserve">其他</w:t>
      </w:r>
      <w:r>
        <w:rPr>
          <w:rFonts w:hint="eastAsia" w:ascii="宋体" w:hAnsi="宋体" w:cs="宋体"/>
          <w:color w:val="auto"/>
          <w:sz w:val="24"/>
          <w:szCs w:val="24"/>
          <w:highlight w:val="none"/>
        </w:rPr>
        <w:t xml:space="preserve">附件所有部件必须原包装。</w:t>
      </w:r>
      <w:r/>
    </w:p>
    <w:p>
      <w:pPr>
        <w:ind w:firstLine="480"/>
        <w:spacing w:line="360" w:lineRule="auto"/>
        <w:tabs>
          <w:tab w:val="left" w:pos="945" w:leader="none"/>
          <w:tab w:val="left" w:pos="115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5.运输及到货地点：由乙方负责办理运输并承担所有费用，直接送到甲方指定地点，即：以合同书上的地点为准。货物运抵甲方指定地点后货物所有权转移至甲方。</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（六）安装调试及售后服务：</w:t>
      </w:r>
      <w:r/>
    </w:p>
    <w:p>
      <w:pPr>
        <w:ind w:firstLine="480"/>
        <w:spacing w:line="360" w:lineRule="auto"/>
        <w:tabs>
          <w:tab w:val="left" w:pos="115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1．乙方负责本项目的安装和调试，并保证其提供的货物符合国家、行业、地方、招投标文件及合同规定的质量、性能和标准，并正确且安全地安装。</w:t>
      </w:r>
      <w:r/>
    </w:p>
    <w:p>
      <w:pPr>
        <w:ind w:firstLine="480"/>
        <w:spacing w:line="360" w:lineRule="auto"/>
        <w:tabs>
          <w:tab w:val="left" w:pos="115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2．乙方提供的服务全部按照国家有关法律法规规章和“三包”规定以及</w:t>
      </w:r>
      <w:r>
        <w:rPr>
          <w:rFonts w:hint="eastAsia" w:ascii="宋体" w:hAnsi="宋体" w:cs="宋体"/>
          <w:color w:val="auto"/>
          <w:sz w:val="24"/>
          <w:szCs w:val="24"/>
          <w:highlight w:val="none"/>
          <w:lang w:eastAsia="zh-CN"/>
        </w:rPr>
        <w:t xml:space="preserve">按照</w:t>
      </w:r>
      <w:r>
        <w:rPr>
          <w:rFonts w:hint="eastAsia" w:ascii="宋体" w:hAnsi="宋体" w:cs="宋体"/>
          <w:color w:val="auto"/>
          <w:sz w:val="24"/>
          <w:szCs w:val="24"/>
          <w:highlight w:val="none"/>
        </w:rPr>
        <w:t xml:space="preserve">招标文件要求和乙方投标文件中的承诺执行。</w:t>
      </w:r>
      <w:r/>
    </w:p>
    <w:p>
      <w:pPr>
        <w:ind w:firstLine="480"/>
        <w:spacing w:line="360" w:lineRule="auto"/>
        <w:tabs>
          <w:tab w:val="left" w:pos="115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．项目整体质保期：</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，质保期后的货物维护由双方协商再定。</w:t>
      </w:r>
      <w:r/>
    </w:p>
    <w:p>
      <w:pPr>
        <w:ind w:firstLine="480"/>
        <w:spacing w:line="360" w:lineRule="auto"/>
        <w:tabs>
          <w:tab w:val="left" w:pos="115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．甲方应向乙方现场调试的技术人员及维修人员</w:t>
      </w:r>
      <w:r>
        <w:rPr>
          <w:rFonts w:hint="eastAsia" w:ascii="宋体" w:hAnsi="宋体" w:cs="宋体"/>
          <w:color w:val="auto"/>
          <w:sz w:val="24"/>
          <w:szCs w:val="24"/>
          <w:highlight w:val="none"/>
          <w:lang w:eastAsia="zh-CN"/>
        </w:rPr>
        <w:t xml:space="preserve">提供方便</w:t>
      </w:r>
      <w:r>
        <w:rPr>
          <w:rFonts w:hint="eastAsia" w:ascii="宋体" w:hAnsi="宋体" w:cs="宋体"/>
          <w:color w:val="auto"/>
          <w:sz w:val="24"/>
          <w:szCs w:val="24"/>
          <w:highlight w:val="none"/>
        </w:rPr>
        <w:t xml:space="preserve">条件，有关费用由乙方负责。</w:t>
      </w:r>
      <w:r/>
    </w:p>
    <w:p>
      <w:pPr>
        <w:ind w:firstLine="480"/>
        <w:spacing w:line="360" w:lineRule="auto"/>
        <w:tabs>
          <w:tab w:val="left" w:pos="115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．甲方如要求乙方提供招标文件及乙方投标文件以外的</w:t>
      </w:r>
      <w:r>
        <w:rPr>
          <w:rFonts w:hint="eastAsia" w:ascii="宋体" w:hAnsi="宋体" w:cs="宋体"/>
          <w:color w:val="auto"/>
          <w:sz w:val="24"/>
          <w:szCs w:val="24"/>
          <w:highlight w:val="none"/>
          <w:lang w:eastAsia="zh-CN"/>
        </w:rPr>
        <w:t xml:space="preserve">其他</w:t>
      </w:r>
      <w:r>
        <w:rPr>
          <w:rFonts w:hint="eastAsia" w:ascii="宋体" w:hAnsi="宋体" w:cs="宋体"/>
          <w:color w:val="auto"/>
          <w:sz w:val="24"/>
          <w:szCs w:val="24"/>
          <w:highlight w:val="none"/>
        </w:rPr>
        <w:t xml:space="preserve">服务，其费用另定。</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（七）违约责任：</w:t>
      </w:r>
      <w:r/>
    </w:p>
    <w:p>
      <w:pPr>
        <w:ind w:firstLine="480"/>
        <w:spacing w:line="360" w:lineRule="auto"/>
        <w:tabs>
          <w:tab w:val="left" w:pos="115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在履行合同的过程中，如果乙方遇到妨碍按时交货和提供服务的情况时，应及时以书面形式将拖延的事实、可能拖延的时间和原因通知甲方。甲方在收到乙方通知后，应尽快对情况进行核实，并有权根据情况确定是否酌情延长交货时间以及是否收取逾期交货的违约金及损害赔偿金（如有），或向乙方发出书面通知书，提出解除部分或全部合同。延期应通过签订补充合同的方式由双方认可并履行。</w:t>
      </w:r>
      <w:r/>
    </w:p>
    <w:p>
      <w:pPr>
        <w:ind w:firstLine="480"/>
        <w:spacing w:line="360" w:lineRule="auto"/>
        <w:tabs>
          <w:tab w:val="left" w:pos="115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如乙方逾期交货且未经甲方同意延长交货时间，除不可抗力外，每逾期一日，乙方应按照逾期交货金额的万分之五的标准累计计算向甲方支付违约金。逾期超过20个工作日的，甲方有权解除合同，甲方如已支付费用的，乙方全部返还；且乙方应按照合同总价的30%向甲方支付违约金，如给甲方造成损失的，还应赔偿损失</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该等损失包括但不限于损害赔偿金、甲方为解决纠纷支付的律师费、诉讼费、差旅费等合理费用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ind w:firstLine="480"/>
        <w:spacing w:line="360" w:lineRule="auto"/>
        <w:tabs>
          <w:tab w:val="left" w:pos="1155"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乙方如无不可抗力，又未履行招标文件、投标文件和合同条款的，一经查实，由乙方赔偿由此给甲方造成的损失，并按照合同总价的30%向甲方支付违约金，因招、投标产生的其他责任及后果按招标文件的相关要求及处理方式执行。</w:t>
      </w:r>
      <w:r/>
    </w:p>
    <w:p>
      <w:pPr>
        <w:ind w:firstLine="480"/>
        <w:spacing w:line="360" w:lineRule="auto"/>
        <w:tabs>
          <w:tab w:val="left" w:pos="115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4．由于乙方提供货物质量和安装存在问题和缺陷导致任何人身、财产损害的，乙方应负责承担由此产生的责任，与甲方无关。如不可避免地造成甲方损失的，甲方有权向乙方追偿</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该等损失包括但不限于损害赔偿金、甲方为解决纠纷支付的律师费、诉讼费、差旅费等合理费用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。乙方并应按照合同总价的20%向甲方支付违约金，如给甲方造成其他损失的，乙方还应负责赔偿。</w:t>
      </w:r>
      <w:r/>
    </w:p>
    <w:p>
      <w:pPr>
        <w:ind w:firstLine="480"/>
        <w:spacing w:line="360" w:lineRule="auto"/>
        <w:tabs>
          <w:tab w:val="left" w:pos="115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．如遭遇不可抗力事件，遭遇不可抗力的一方应尽快以书面形式将不可抗力的情况和原因通知另一方，并积极采取措施防止损失扩大。因不可抗力造成的损失，供、需双方按照法律规定处理。</w:t>
      </w:r>
      <w:r/>
    </w:p>
    <w:p>
      <w:pPr>
        <w:ind w:firstLine="480"/>
        <w:spacing w:line="360" w:lineRule="auto"/>
        <w:tabs>
          <w:tab w:val="left" w:pos="115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．招标文件及合同中所述之“不可抗力”系指不可预见、不可避免、不可克服的事件，包括但不限于：战争、洪水、台风、地震及其他</w:t>
      </w:r>
      <w:r>
        <w:rPr>
          <w:rFonts w:hint="eastAsia" w:ascii="宋体" w:hAnsi="宋体" w:cs="宋体"/>
          <w:color w:val="auto"/>
          <w:sz w:val="24"/>
          <w:szCs w:val="24"/>
          <w:highlight w:val="none"/>
          <w:lang w:eastAsia="zh-CN"/>
        </w:rPr>
        <w:t xml:space="preserve">法律法规</w:t>
      </w:r>
      <w:r>
        <w:rPr>
          <w:rFonts w:hint="eastAsia" w:ascii="宋体" w:hAnsi="宋体" w:cs="宋体"/>
          <w:color w:val="auto"/>
          <w:sz w:val="24"/>
          <w:szCs w:val="24"/>
          <w:highlight w:val="none"/>
        </w:rPr>
        <w:t xml:space="preserve">规定的事件。</w:t>
      </w:r>
      <w:r/>
    </w:p>
    <w:p>
      <w:pPr>
        <w:ind w:firstLine="480"/>
        <w:spacing w:line="360" w:lineRule="auto"/>
        <w:tabs>
          <w:tab w:val="left" w:pos="1155"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．如果乙方在本合同履行完毕之前破产或无清偿能力，甲方可在任何时候以书面形式通知乙方，提出解除合同。该终止合同将不损害或影响甲方已经采取或将要采取的任何行动或补救措施的权力。</w:t>
      </w:r>
      <w:r/>
    </w:p>
    <w:p>
      <w:pPr>
        <w:ind w:firstLine="480"/>
        <w:spacing w:line="360" w:lineRule="auto"/>
        <w:tabs>
          <w:tab w:val="left" w:pos="840"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（八）合同的变更及终止</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有下列情形之一的，本合同自行终止。</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(1)因不可抗力因素及政策原因，造成合同无法履行的。</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(2)经双方协商一致，自愿解除的。</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有下列情形之一的，甲方有权单方终止合同。</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(1)未经甲方书面同意，乙方擅自分包或者转包他人的。</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(2)乙方不履行义务，甲方有权终止承包合同。</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（1）甲方内部工作安排、计划调整等自身原因；</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（2）中央、省、市、区级政策变动，以及规划、计划调整等外部原因；</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（3）其他甲方原因。</w:t>
      </w:r>
      <w:r/>
    </w:p>
    <w:p>
      <w:pPr>
        <w:ind w:firstLine="48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本合同对合同变更、中止或终止合同有其他特殊约定的，按该特殊约定执行。</w:t>
      </w:r>
      <w:r/>
    </w:p>
    <w:p>
      <w:pPr>
        <w:numPr>
          <w:ilvl w:val="0"/>
          <w:numId w:val="6"/>
        </w:num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合同生效及其它：</w:t>
      </w:r>
      <w:r/>
    </w:p>
    <w:p>
      <w:pPr>
        <w:ind w:firstLine="480"/>
        <w:spacing w:line="360" w:lineRule="auto"/>
        <w:tabs>
          <w:tab w:val="left" w:pos="115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1．合同签订后甲乙丙三方即直接产生权利与义务的关系，合同执行过程中出现的问题应按照合同约定、法律法规的规定办理，在合</w:t>
      </w:r>
      <w:r>
        <w:rPr>
          <w:rFonts w:hint="eastAsia" w:ascii="宋体" w:hAnsi="宋体" w:cs="宋体"/>
          <w:color w:val="auto"/>
          <w:sz w:val="24"/>
          <w:szCs w:val="24"/>
          <w:highlight w:val="none"/>
          <w:lang w:eastAsia="zh-CN"/>
        </w:rPr>
        <w:t xml:space="preserve">同履</w:t>
      </w:r>
      <w:r>
        <w:rPr>
          <w:rFonts w:hint="eastAsia" w:ascii="宋体" w:hAnsi="宋体" w:cs="宋体"/>
          <w:color w:val="auto"/>
          <w:sz w:val="24"/>
          <w:szCs w:val="24"/>
          <w:highlight w:val="none"/>
        </w:rPr>
        <w:t xml:space="preserve">行过程中，甲乙丙三方如有争议，由三方协调解决。如协商不能解决，各方可向无锡市锡山区人民法院提起诉讼。</w:t>
      </w:r>
      <w:r/>
    </w:p>
    <w:p>
      <w:pPr>
        <w:ind w:firstLine="480"/>
        <w:spacing w:line="360" w:lineRule="auto"/>
        <w:tabs>
          <w:tab w:val="left" w:pos="115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2．合同在执行过程中出现的未尽事宜，甲乙丙三方在不违背本合同和招标文件的原则下协商解决，协商结果以书面形式签订补充协议，且补充协议与本合同具有同等效力。</w:t>
      </w:r>
      <w:r/>
    </w:p>
    <w:p>
      <w:pPr>
        <w:ind w:firstLine="480"/>
        <w:spacing w:line="360" w:lineRule="auto"/>
        <w:tabs>
          <w:tab w:val="left" w:pos="115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3．合同中未有约定的按照有关的法律法规以及国家行业标准或技术文件规定予以解决。</w:t>
      </w:r>
      <w:r/>
    </w:p>
    <w:p>
      <w:pPr>
        <w:ind w:firstLine="480"/>
        <w:spacing w:line="360" w:lineRule="auto"/>
        <w:tabs>
          <w:tab w:val="left" w:pos="115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4．甲乙丙三方确认</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对本合同条款及后果均已知悉，一致确认不存在欺诈、胁迫、乘人之危、重大误解、显失公平等任何可能导致合同无效或被撤销的情形。</w:t>
      </w:r>
      <w:bookmarkEnd w:id="37"/>
      <w:r/>
      <w:r/>
    </w:p>
    <w:p>
      <w:pPr>
        <w:pStyle w:val="1439"/>
        <w:ind w:firstLine="480"/>
        <w:spacing w:line="360" w:lineRule="auto"/>
        <w:rPr>
          <w:rFonts w:hint="eastAsia" w:ascii="宋体" w:hAnsi="宋体" w:eastAsia="宋体" w:cs="宋体"/>
          <w:strike w:val="0"/>
          <w:sz w:val="24"/>
          <w:szCs w:val="24"/>
          <w:highlight w:val="none"/>
        </w:rPr>
      </w:pPr>
      <w:r>
        <w:rPr>
          <w:rFonts w:hint="eastAsia" w:hAnsi="宋体" w:cs="宋体"/>
          <w:bCs/>
          <w:strike w:val="0"/>
          <w:sz w:val="24"/>
          <w:szCs w:val="24"/>
          <w:highlight w:val="none"/>
        </w:rPr>
        <w:t xml:space="preserve">5．履约保证金</w:t>
      </w:r>
      <w:r/>
    </w:p>
    <w:p>
      <w:pPr>
        <w:pStyle w:val="1439"/>
        <w:ind w:firstLine="480"/>
        <w:spacing w:line="360" w:lineRule="auto"/>
        <w:rPr>
          <w:rFonts w:hint="eastAsia" w:hAnsi="宋体" w:cs="宋体"/>
          <w:strike w:val="0"/>
          <w:sz w:val="24"/>
          <w:szCs w:val="24"/>
          <w:highlight w:val="none"/>
        </w:rPr>
      </w:pPr>
      <w:r>
        <w:rPr>
          <w:rFonts w:hint="eastAsia" w:hAnsi="宋体" w:cs="宋体"/>
          <w:strike w:val="0"/>
          <w:sz w:val="24"/>
          <w:szCs w:val="24"/>
          <w:highlight w:val="none"/>
        </w:rPr>
        <w:t xml:space="preserve">收取履约保证金形式：无需另行提交支票、汇票、本票、保函等，直接</w:t>
      </w:r>
      <w:r>
        <w:rPr>
          <w:rFonts w:hint="eastAsia" w:hAnsi="宋体" w:cs="宋体"/>
          <w:strike w:val="0"/>
          <w:sz w:val="24"/>
          <w:szCs w:val="24"/>
          <w:highlight w:val="none"/>
          <w:lang w:val="en-US" w:eastAsia="zh-CN"/>
        </w:rPr>
        <w:t xml:space="preserve">从</w:t>
      </w:r>
      <w:r>
        <w:rPr>
          <w:rFonts w:hint="eastAsia" w:hAnsi="宋体" w:cs="宋体"/>
          <w:strike w:val="0"/>
          <w:sz w:val="24"/>
          <w:szCs w:val="24"/>
          <w:highlight w:val="none"/>
        </w:rPr>
        <w:t xml:space="preserve">合同款项中一次性扣除；</w:t>
      </w:r>
      <w:r/>
    </w:p>
    <w:p>
      <w:pPr>
        <w:pStyle w:val="1439"/>
        <w:ind w:firstLine="480"/>
        <w:spacing w:line="360" w:lineRule="auto"/>
        <w:rPr>
          <w:rFonts w:hint="eastAsia" w:hAnsi="宋体" w:cs="宋体"/>
          <w:strike w:val="0"/>
          <w:sz w:val="24"/>
          <w:szCs w:val="24"/>
          <w:highlight w:val="none"/>
        </w:rPr>
      </w:pPr>
      <w:r>
        <w:rPr>
          <w:rFonts w:hint="eastAsia" w:hAnsi="宋体" w:cs="宋体"/>
          <w:strike w:val="0"/>
          <w:sz w:val="24"/>
          <w:szCs w:val="24"/>
          <w:highlight w:val="none"/>
        </w:rPr>
        <w:t xml:space="preserve">收取履约保证金金额：合同价的10%</w:t>
      </w:r>
      <w:r>
        <w:rPr>
          <w:rFonts w:hint="eastAsia" w:hAnsi="宋体" w:cs="宋体"/>
          <w:strike w:val="0"/>
          <w:sz w:val="24"/>
          <w:szCs w:val="24"/>
          <w:highlight w:val="none"/>
          <w:lang w:eastAsia="zh-CN"/>
        </w:rPr>
        <w:t xml:space="preserve">，</w:t>
      </w:r>
      <w:r>
        <w:rPr>
          <w:rFonts w:hint="eastAsia" w:hAnsi="宋体" w:cs="宋体"/>
          <w:strike w:val="0"/>
          <w:sz w:val="24"/>
          <w:szCs w:val="24"/>
          <w:highlight w:val="none"/>
          <w:lang w:val="en-US" w:eastAsia="zh-CN"/>
        </w:rPr>
        <w:t xml:space="preserve">即</w:t>
      </w:r>
      <w:r>
        <w:rPr>
          <w:rFonts w:hint="eastAsia" w:hAnsi="宋体" w:cs="宋体"/>
          <w:strike w:val="0"/>
          <w:sz w:val="24"/>
          <w:szCs w:val="24"/>
          <w:highlight w:val="none"/>
          <w:u w:val="single"/>
          <w:lang w:val="en-US" w:eastAsia="zh-CN"/>
        </w:rPr>
        <w:t xml:space="preserve">             </w:t>
      </w:r>
      <w:r>
        <w:rPr>
          <w:rFonts w:hint="eastAsia" w:hAnsi="宋体" w:cs="宋体"/>
          <w:strike w:val="0"/>
          <w:sz w:val="24"/>
          <w:szCs w:val="24"/>
          <w:highlight w:val="none"/>
          <w:lang w:val="en-US" w:eastAsia="zh-CN"/>
        </w:rPr>
        <w:t xml:space="preserve">元</w:t>
      </w:r>
      <w:r>
        <w:rPr>
          <w:rFonts w:hint="eastAsia" w:hAnsi="宋体" w:cs="宋体"/>
          <w:strike w:val="0"/>
          <w:sz w:val="24"/>
          <w:szCs w:val="24"/>
          <w:highlight w:val="none"/>
        </w:rPr>
        <w:t xml:space="preserve">；</w:t>
      </w:r>
      <w:r/>
    </w:p>
    <w:p>
      <w:pPr>
        <w:pStyle w:val="1439"/>
        <w:ind w:firstLine="480"/>
        <w:spacing w:line="360" w:lineRule="auto"/>
        <w:rPr>
          <w:rFonts w:hint="eastAsia" w:hAnsi="宋体" w:cs="宋体"/>
          <w:strike w:val="0"/>
          <w:sz w:val="24"/>
          <w:szCs w:val="24"/>
          <w:highlight w:val="none"/>
        </w:rPr>
      </w:pPr>
      <w:r>
        <w:rPr>
          <w:rFonts w:hint="eastAsia" w:hAnsi="宋体" w:cs="宋体"/>
          <w:strike w:val="0"/>
          <w:sz w:val="24"/>
          <w:szCs w:val="24"/>
          <w:highlight w:val="none"/>
        </w:rPr>
        <w:t xml:space="preserve">履约担保期限：在合同期满后30天内且中标人无任何违约或违法行为，由采购人无息退还给中标人；</w:t>
      </w:r>
      <w:r/>
    </w:p>
    <w:p>
      <w:pPr>
        <w:pStyle w:val="1439"/>
        <w:ind w:firstLine="480"/>
        <w:spacing w:line="360" w:lineRule="auto"/>
        <w:rPr>
          <w:rFonts w:hint="eastAsia" w:hAnsi="宋体" w:cs="宋体"/>
          <w:strike w:val="0"/>
          <w:sz w:val="24"/>
          <w:szCs w:val="24"/>
          <w:highlight w:val="none"/>
        </w:rPr>
      </w:pPr>
      <w:r>
        <w:rPr>
          <w:rFonts w:hint="eastAsia" w:hAnsi="宋体" w:cs="宋体"/>
          <w:strike w:val="0"/>
          <w:sz w:val="24"/>
          <w:szCs w:val="24"/>
          <w:highlight w:val="none"/>
        </w:rPr>
        <w:t xml:space="preserve">履约保证金的缴纳时间：在支付首笔合同款项时同步扣除，无需另行缴纳；</w:t>
      </w:r>
      <w:r/>
    </w:p>
    <w:p>
      <w:pPr>
        <w:pStyle w:val="1439"/>
        <w:ind w:firstLine="480"/>
        <w:spacing w:line="360" w:lineRule="auto"/>
        <w:rPr>
          <w:rFonts w:hint="eastAsia" w:hAnsi="宋体" w:cs="宋体"/>
          <w:strike w:val="0"/>
          <w:sz w:val="24"/>
          <w:szCs w:val="24"/>
          <w:highlight w:val="none"/>
        </w:rPr>
      </w:pPr>
      <w:r>
        <w:rPr>
          <w:rFonts w:hint="eastAsia" w:hAnsi="宋体" w:cs="宋体"/>
          <w:strike w:val="0"/>
          <w:sz w:val="24"/>
          <w:szCs w:val="24"/>
          <w:highlight w:val="none"/>
        </w:rPr>
        <w:t xml:space="preserve">退付办法：以银行转账方式无息退还；</w:t>
      </w:r>
      <w:r/>
    </w:p>
    <w:p>
      <w:pPr>
        <w:pStyle w:val="1439"/>
        <w:ind w:firstLine="480"/>
        <w:spacing w:line="360" w:lineRule="auto"/>
        <w:rPr>
          <w:rFonts w:hint="eastAsia" w:hAnsi="宋体" w:cs="宋体"/>
          <w:strike w:val="0"/>
          <w:sz w:val="24"/>
          <w:szCs w:val="24"/>
          <w:highlight w:val="none"/>
        </w:rPr>
      </w:pPr>
      <w:r>
        <w:rPr>
          <w:rFonts w:hint="eastAsia" w:hAnsi="宋体" w:cs="宋体"/>
          <w:strike w:val="0"/>
          <w:sz w:val="24"/>
          <w:szCs w:val="24"/>
          <w:highlight w:val="none"/>
        </w:rPr>
        <w:t xml:space="preserve">履约保证金不予退还的情形：①由于中标方的原因不能履约的，②在履行合同期间发生重大安全事故，给采购人造成不良影响和严重经济损失的；</w:t>
      </w:r>
      <w:r/>
    </w:p>
    <w:p>
      <w:pPr>
        <w:pStyle w:val="1439"/>
        <w:ind w:firstLine="480"/>
        <w:spacing w:line="360" w:lineRule="auto"/>
        <w:rPr>
          <w:rFonts w:hint="eastAsia" w:hAnsi="宋体" w:cs="宋体"/>
          <w:strike w:val="0"/>
          <w:sz w:val="24"/>
          <w:szCs w:val="24"/>
          <w:highlight w:val="none"/>
          <w:lang w:val="en-US" w:eastAsia="zh-CN"/>
        </w:rPr>
      </w:pPr>
      <w:r>
        <w:rPr>
          <w:rFonts w:hint="eastAsia" w:hAnsi="宋体" w:cs="宋体"/>
          <w:strike w:val="0"/>
          <w:sz w:val="24"/>
          <w:szCs w:val="24"/>
          <w:highlight w:val="none"/>
        </w:rPr>
        <w:t xml:space="preserve">逾期退还履约保证金的违约责任：履约保证金在合同期满后30天内且中标人无任何违约或违法行为，由采购人无息退还给中标人，如采购人未按时退还履约保证金，应当赔偿中标人利息损</w:t>
      </w:r>
      <w:r>
        <w:rPr>
          <w:rFonts w:hint="eastAsia" w:hAnsi="宋体" w:cs="宋体"/>
          <w:strike w:val="0"/>
          <w:sz w:val="24"/>
          <w:szCs w:val="24"/>
          <w:highlight w:val="none"/>
          <w:lang w:val="en-US" w:eastAsia="zh-CN"/>
        </w:rPr>
        <w:t xml:space="preserve">失。</w:t>
      </w:r>
      <w:r/>
    </w:p>
    <w:p>
      <w:pPr>
        <w:pStyle w:val="1440"/>
        <w:ind w:left="0" w:firstLine="0"/>
        <w:rPr>
          <w:rFonts w:hint="eastAsia"/>
          <w:lang w:val="en-US" w:eastAsia="zh-CN"/>
        </w:rPr>
      </w:pPr>
      <w:r>
        <w:rPr>
          <w:rFonts w:hint="eastAsia"/>
          <w:lang w:val="en-US" w:eastAsia="zh-CN"/>
        </w:rPr>
      </w:r>
      <w:r/>
    </w:p>
    <w:p>
      <w:pPr>
        <w:pStyle w:val="1440"/>
        <w:rPr>
          <w:rFonts w:hint="eastAsia"/>
          <w:highlight w:val="none"/>
        </w:rPr>
        <w:sectPr>
          <w:headerReference w:type="default" r:id="rId12"/>
          <w:footerReference w:type="default" r:id="rId23"/>
          <w:footnotePr/>
          <w:endnotePr/>
          <w:type w:val="nextPage"/>
          <w:pgSz w:w="11906" w:h="16838" w:orient="portrait"/>
          <w:pgMar w:top="1440" w:right="1633" w:bottom="1440" w:left="1633" w:header="851" w:footer="992" w:gutter="0"/>
          <w:cols w:num="1" w:sep="0" w:space="720" w:equalWidth="1"/>
          <w:docGrid w:linePitch="360"/>
        </w:sectPr>
      </w:pPr>
      <w:r>
        <w:rPr>
          <w:rFonts w:hint="eastAsia"/>
          <w:highlight w:val="none"/>
        </w:rPr>
      </w:r>
      <w:r/>
    </w:p>
    <w:p>
      <w:pPr>
        <w:jc w:val="center"/>
        <w:spacing w:line="360" w:lineRule="auto"/>
        <w:rPr>
          <w:rFonts w:hint="eastAsia" w:hAnsi="宋体" w:cs="宋体"/>
          <w:b/>
          <w:bCs/>
          <w:color w:val="auto"/>
          <w:sz w:val="32"/>
          <w:szCs w:val="32"/>
          <w:highlight w:val="none"/>
        </w:rPr>
        <w:outlineLvl w:val="0"/>
      </w:pPr>
      <w:r>
        <w:rPr>
          <w:rFonts w:hint="eastAsia" w:hAnsi="宋体" w:cs="宋体"/>
          <w:b/>
          <w:bCs/>
          <w:color w:val="auto"/>
          <w:sz w:val="32"/>
          <w:szCs w:val="32"/>
          <w:highlight w:val="none"/>
        </w:rPr>
        <w:t xml:space="preserve">五、附件</w:t>
      </w:r>
      <w:r/>
    </w:p>
    <w:p>
      <w:pPr>
        <w:jc w:val="left"/>
        <w:spacing w:line="360" w:lineRule="auto"/>
        <w:rPr>
          <w:rFonts w:hint="eastAsia" w:ascii="宋体" w:hAnsi="宋体" w:cs="宋体"/>
          <w:bCs/>
          <w:color w:val="auto"/>
          <w:sz w:val="24"/>
          <w:szCs w:val="24"/>
          <w:highlight w:val="none"/>
        </w:rPr>
        <w:outlineLvl w:val="1"/>
      </w:pPr>
      <w:r>
        <w:rPr>
          <w:rFonts w:hint="eastAsia" w:ascii="宋体" w:hAnsi="宋体" w:cs="宋体"/>
          <w:bCs/>
          <w:color w:val="auto"/>
          <w:sz w:val="24"/>
          <w:szCs w:val="24"/>
          <w:highlight w:val="none"/>
        </w:rPr>
        <w:t xml:space="preserve">附件一：</w:t>
      </w:r>
      <w:r/>
    </w:p>
    <w:p>
      <w:pPr>
        <w:ind w:firstLine="480"/>
        <w:jc w:val="left"/>
        <w:spacing w:line="360" w:lineRule="auto"/>
        <w:rPr>
          <w:rFonts w:hint="eastAsia" w:ascii="宋体" w:hAnsi="宋体" w:cs="宋体"/>
          <w:bCs/>
          <w:color w:val="auto"/>
          <w:sz w:val="24"/>
          <w:szCs w:val="24"/>
          <w:highlight w:val="none"/>
        </w:rPr>
        <w:outlineLvl w:val="2"/>
      </w:pPr>
      <w:r>
        <w:rPr>
          <w:rFonts w:hint="eastAsia" w:ascii="宋体" w:hAnsi="宋体" w:cs="宋体"/>
          <w:bCs/>
          <w:color w:val="auto"/>
          <w:sz w:val="24"/>
          <w:szCs w:val="24"/>
          <w:highlight w:val="none"/>
        </w:rPr>
        <w:t xml:space="preserve">一、评标方法</w:t>
      </w:r>
      <w:r/>
    </w:p>
    <w:p>
      <w:pPr>
        <w:ind w:firstLine="480"/>
        <w:jc w:val="left"/>
        <w:spacing w:line="360" w:lineRule="auto"/>
        <w:tabs>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比较与评价采用综合评分法（计分均保留2位小数），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未列入本评分标准的其他条件不作为评分内容。</w:t>
      </w:r>
      <w:r/>
    </w:p>
    <w:p>
      <w:pPr>
        <w:ind w:firstLine="480"/>
        <w:jc w:val="left"/>
        <w:spacing w:line="360" w:lineRule="auto"/>
        <w:rPr>
          <w:rFonts w:hint="eastAsia" w:ascii="宋体" w:hAnsi="宋体" w:cs="宋体"/>
          <w:bCs/>
          <w:color w:val="auto"/>
          <w:sz w:val="24"/>
          <w:szCs w:val="24"/>
          <w:highlight w:val="none"/>
        </w:rPr>
        <w:outlineLvl w:val="2"/>
      </w:pPr>
      <w:r>
        <w:rPr>
          <w:rFonts w:hint="eastAsia" w:ascii="宋体" w:hAnsi="宋体" w:cs="宋体"/>
          <w:bCs/>
          <w:color w:val="auto"/>
          <w:sz w:val="24"/>
          <w:szCs w:val="24"/>
          <w:highlight w:val="none"/>
        </w:rPr>
        <w:t xml:space="preserve">二、评分标准</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（一）评分项目及分值（总分100分）</w:t>
      </w:r>
      <w:r/>
    </w:p>
    <w:p>
      <w:pPr>
        <w:ind w:firstLine="480"/>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w:t>
      </w:r>
      <w:r>
        <w:rPr>
          <w:rFonts w:hint="eastAsia" w:ascii="宋体" w:hAnsi="宋体" w:cs="宋体"/>
          <w:b/>
          <w:bCs/>
          <w:color w:val="auto"/>
          <w:sz w:val="24"/>
          <w:szCs w:val="24"/>
          <w:highlight w:val="none"/>
        </w:rPr>
        <w:t xml:space="preserve">价格分</w:t>
      </w:r>
      <w:r>
        <w:rPr>
          <w:rFonts w:hint="eastAsia" w:ascii="宋体" w:hAnsi="宋体" w:cs="宋体"/>
          <w:b/>
          <w:color w:val="auto"/>
          <w:sz w:val="24"/>
          <w:szCs w:val="24"/>
          <w:highlight w:val="none"/>
        </w:rPr>
        <w:t xml:space="preserve">                                   </w:t>
      </w:r>
      <w:r>
        <w:rPr>
          <w:rFonts w:hint="eastAsia" w:ascii="宋体" w:hAnsi="宋体" w:cs="宋体"/>
          <w:b/>
          <w:color w:val="auto"/>
          <w:sz w:val="24"/>
          <w:szCs w:val="24"/>
          <w:highlight w:val="none"/>
          <w:lang w:val="en-US" w:eastAsia="zh-CN"/>
        </w:rPr>
        <w:t xml:space="preserve">30</w:t>
      </w:r>
      <w:r>
        <w:rPr>
          <w:rFonts w:hint="eastAsia" w:ascii="宋体" w:hAnsi="宋体" w:cs="宋体"/>
          <w:b/>
          <w:color w:val="auto"/>
          <w:sz w:val="24"/>
          <w:szCs w:val="24"/>
          <w:highlight w:val="none"/>
        </w:rPr>
        <w:t xml:space="preserve">分</w:t>
      </w:r>
      <w:r/>
    </w:p>
    <w:p>
      <w:pPr>
        <w:ind w:firstLine="480"/>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2、投标供应商综合情况                     </w:t>
      </w:r>
      <w:r>
        <w:rPr>
          <w:rFonts w:hint="eastAsia" w:ascii="宋体" w:hAnsi="宋体" w:cs="宋体"/>
          <w:b/>
          <w:color w:val="auto"/>
          <w:sz w:val="24"/>
          <w:szCs w:val="24"/>
          <w:highlight w:val="none"/>
          <w:lang w:val="en-US" w:eastAsia="zh-CN"/>
        </w:rPr>
        <w:t xml:space="preserve">  </w:t>
      </w:r>
      <w:r>
        <w:rPr>
          <w:rFonts w:hint="eastAsia" w:ascii="宋体" w:hAnsi="宋体" w:cs="宋体"/>
          <w:b/>
          <w:color w:val="auto"/>
          <w:sz w:val="24"/>
          <w:szCs w:val="24"/>
          <w:highlight w:val="none"/>
        </w:rPr>
        <w:t xml:space="preserve"> </w:t>
      </w:r>
      <w:r>
        <w:rPr>
          <w:rFonts w:hint="eastAsia" w:ascii="宋体" w:hAnsi="宋体" w:cs="宋体"/>
          <w:b/>
          <w:color w:val="auto"/>
          <w:sz w:val="24"/>
          <w:szCs w:val="24"/>
          <w:highlight w:val="none"/>
          <w:lang w:val="en-US" w:eastAsia="zh-CN"/>
        </w:rPr>
        <w:t xml:space="preserve">8</w:t>
      </w:r>
      <w:r>
        <w:rPr>
          <w:rFonts w:hint="eastAsia" w:ascii="宋体" w:hAnsi="宋体" w:cs="宋体"/>
          <w:b/>
          <w:color w:val="auto"/>
          <w:sz w:val="24"/>
          <w:szCs w:val="24"/>
          <w:highlight w:val="none"/>
        </w:rPr>
        <w:t xml:space="preserve">分</w:t>
      </w:r>
      <w:r/>
    </w:p>
    <w:p>
      <w:pPr>
        <w:ind w:firstLine="480"/>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3、</w:t>
      </w:r>
      <w:r>
        <w:rPr>
          <w:rFonts w:hint="eastAsia" w:ascii="宋体" w:hAnsi="宋体" w:cs="宋体"/>
          <w:b/>
          <w:color w:val="auto"/>
          <w:sz w:val="24"/>
          <w:szCs w:val="24"/>
          <w:highlight w:val="none"/>
        </w:rPr>
        <w:t xml:space="preserve">技术</w:t>
      </w:r>
      <w:r>
        <w:rPr>
          <w:rFonts w:hint="eastAsia" w:ascii="宋体" w:hAnsi="宋体" w:cs="宋体"/>
          <w:b/>
          <w:color w:val="auto"/>
          <w:sz w:val="24"/>
          <w:szCs w:val="24"/>
          <w:highlight w:val="none"/>
          <w:lang w:val="en-US" w:eastAsia="zh-CN"/>
        </w:rPr>
        <w:t xml:space="preserve">部分</w:t>
      </w:r>
      <w:r>
        <w:rPr>
          <w:rFonts w:hint="eastAsia" w:ascii="宋体" w:hAnsi="宋体" w:cs="宋体"/>
          <w:b/>
          <w:color w:val="auto"/>
          <w:sz w:val="24"/>
          <w:szCs w:val="24"/>
          <w:highlight w:val="none"/>
        </w:rPr>
        <w:t xml:space="preserve">                              </w:t>
      </w:r>
      <w:r>
        <w:rPr>
          <w:rFonts w:hint="eastAsia" w:ascii="宋体" w:hAnsi="宋体" w:cs="宋体"/>
          <w:b/>
          <w:color w:val="auto"/>
          <w:sz w:val="24"/>
          <w:szCs w:val="24"/>
          <w:highlight w:val="none"/>
          <w:lang w:val="en-US" w:eastAsia="zh-CN"/>
        </w:rPr>
        <w:t xml:space="preserve">   60分</w:t>
      </w:r>
      <w:r/>
    </w:p>
    <w:p>
      <w:pPr>
        <w:ind w:firstLine="480"/>
        <w:jc w:val="left"/>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5</w:t>
      </w:r>
      <w:r>
        <w:rPr>
          <w:rFonts w:hint="eastAsia" w:ascii="宋体" w:hAnsi="宋体" w:cs="宋体"/>
          <w:b/>
          <w:color w:val="auto"/>
          <w:sz w:val="24"/>
          <w:szCs w:val="24"/>
          <w:highlight w:val="none"/>
        </w:rPr>
        <w:t xml:space="preserve">、加分因素                                  2分</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（二)各项目评分标准</w:t>
      </w:r>
      <w:r/>
    </w:p>
    <w:p>
      <w:pPr>
        <w:pStyle w:val="1454"/>
        <w:ind w:firstLine="480"/>
        <w:jc w:val="left"/>
        <w:spacing w:after="0" w:line="360" w:lineRule="auto"/>
        <w:rPr>
          <w:rFonts w:hint="eastAsia" w:ascii="宋体" w:hAnsi="宋体" w:cs="宋体"/>
          <w:b/>
          <w:color w:val="auto"/>
          <w:sz w:val="24"/>
          <w:highlight w:val="none"/>
        </w:rPr>
        <w:outlineLvl w:val="3"/>
      </w:pPr>
      <w:r>
        <w:rPr>
          <w:rFonts w:hint="eastAsia" w:ascii="宋体" w:hAnsi="宋体" w:cs="宋体"/>
          <w:b/>
          <w:color w:val="auto"/>
          <w:sz w:val="24"/>
          <w:highlight w:val="none"/>
        </w:rPr>
        <w:t xml:space="preserve">1、价格分（</w:t>
      </w:r>
      <w:r>
        <w:rPr>
          <w:rFonts w:hint="eastAsia" w:ascii="宋体" w:hAnsi="宋体" w:cs="宋体"/>
          <w:b/>
          <w:color w:val="auto"/>
          <w:sz w:val="24"/>
          <w:highlight w:val="none"/>
          <w:lang w:val="en-US" w:eastAsia="zh-CN"/>
        </w:rPr>
        <w:t xml:space="preserve">30</w:t>
      </w:r>
      <w:r>
        <w:rPr>
          <w:rFonts w:hint="eastAsia" w:ascii="宋体" w:hAnsi="宋体" w:cs="宋体"/>
          <w:b/>
          <w:color w:val="auto"/>
          <w:sz w:val="24"/>
          <w:highlight w:val="none"/>
        </w:rPr>
        <w:t xml:space="preserve">分）</w:t>
      </w:r>
      <w:r/>
    </w:p>
    <w:p>
      <w:pPr>
        <w:ind w:firstLine="480"/>
        <w:jc w:val="left"/>
        <w:spacing w:line="360" w:lineRule="auto"/>
        <w:tabs>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tabs>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投标报价得分=(评标基准价／投标报价)×价格权值×100。</w:t>
      </w:r>
      <w:r/>
    </w:p>
    <w:p>
      <w:pPr>
        <w:ind w:firstLine="480"/>
        <w:spacing w:line="360" w:lineRule="auto"/>
        <w:tabs>
          <w:tab w:val="left" w:pos="840"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价格扣除：专门面向中小/小微企业的项目除外。</w:t>
      </w:r>
      <w:r/>
    </w:p>
    <w:p>
      <w:pPr>
        <w:ind w:firstLine="480"/>
        <w:spacing w:line="360" w:lineRule="auto"/>
        <w:tabs>
          <w:tab w:val="left" w:pos="840"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①对小型和微型企业产品的价格给予10%的扣除，用扣除后的价格参与评审。参加投标的中小企业，应当按照《政府采购促进中小企业发展管理办法》（财库﹝2020﹞46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80"/>
        <w:spacing w:line="360" w:lineRule="auto"/>
        <w:tabs>
          <w:tab w:val="left" w:pos="840"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②监狱企业视同小型、微型企业，对其产品价格给予10%的扣除，用扣除后的价格参与评审。参加投标的监狱企业，应当按照《关于政府采购支持监狱企业发展有关问题的通知》（财库</w:t>
      </w:r>
      <w:r>
        <w:rPr>
          <w:rFonts w:hint="eastAsia" w:ascii="宋体" w:hAnsi="宋体" w:cs="宋体"/>
          <w:bCs/>
          <w:color w:val="auto"/>
          <w:sz w:val="24"/>
          <w:szCs w:val="24"/>
          <w:highlight w:val="none"/>
          <w:lang w:eastAsia="zh-CN"/>
        </w:rPr>
        <w:t xml:space="preserve">〔2014〕68号</w:t>
      </w:r>
      <w:r>
        <w:rPr>
          <w:rFonts w:hint="eastAsia" w:ascii="宋体" w:hAnsi="宋体" w:cs="宋体"/>
          <w:bCs/>
          <w:color w:val="auto"/>
          <w:sz w:val="24"/>
          <w:szCs w:val="24"/>
          <w:highlight w:val="none"/>
        </w:rPr>
        <w:t xml:space="preserve">）的规定提供由省级以上监狱管理局、戒毒管理局(含新疆生产建设兵团)出具的属于监狱企业的证明文件复印件。</w:t>
      </w:r>
      <w:r/>
    </w:p>
    <w:p>
      <w:pPr>
        <w:ind w:firstLine="480"/>
        <w:spacing w:line="360" w:lineRule="auto"/>
        <w:tabs>
          <w:tab w:val="left" w:pos="840"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360" w:lineRule="auto"/>
        <w:tabs>
          <w:tab w:val="left" w:pos="840"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同一投标人，上述三项价格扣除优惠不得重复享受。</w:t>
      </w:r>
      <w:r/>
    </w:p>
    <w:p>
      <w:pPr>
        <w:pStyle w:val="1454"/>
        <w:ind w:firstLine="480"/>
        <w:jc w:val="left"/>
        <w:spacing w:after="0" w:line="360" w:lineRule="auto"/>
        <w:rPr>
          <w:rFonts w:ascii="宋体" w:hAnsi="宋体" w:cs="宋体"/>
          <w:b/>
          <w:color w:val="auto"/>
          <w:sz w:val="24"/>
          <w:highlight w:val="none"/>
          <w:lang w:val="zh-CN"/>
        </w:rPr>
        <w:outlineLvl w:val="3"/>
      </w:pPr>
      <w:r>
        <w:rPr>
          <w:rFonts w:hint="eastAsia" w:ascii="宋体" w:hAnsi="宋体" w:cs="宋体"/>
          <w:b/>
          <w:color w:val="auto"/>
          <w:sz w:val="24"/>
          <w:highlight w:val="none"/>
        </w:rPr>
        <w:t xml:space="preserve">2、</w:t>
      </w:r>
      <w:r>
        <w:rPr>
          <w:rFonts w:hint="eastAsia" w:ascii="宋体" w:hAnsi="宋体" w:cs="宋体"/>
          <w:b/>
          <w:color w:val="auto"/>
          <w:sz w:val="24"/>
          <w:highlight w:val="none"/>
          <w:lang w:val="zh-CN"/>
        </w:rPr>
        <w:t xml:space="preserve">投标供应商综合情况（</w:t>
      </w:r>
      <w:r>
        <w:rPr>
          <w:rFonts w:hint="eastAsia" w:ascii="宋体" w:hAnsi="宋体" w:cs="宋体"/>
          <w:b/>
          <w:color w:val="auto"/>
          <w:sz w:val="24"/>
          <w:highlight w:val="none"/>
          <w:lang w:val="en-US" w:eastAsia="zh-CN"/>
        </w:rPr>
        <w:t xml:space="preserve">8</w:t>
      </w:r>
      <w:r>
        <w:rPr>
          <w:rFonts w:hint="eastAsia" w:ascii="宋体" w:hAnsi="宋体" w:cs="宋体"/>
          <w:b/>
          <w:color w:val="auto"/>
          <w:sz w:val="24"/>
          <w:highlight w:val="none"/>
          <w:lang w:val="zh-CN"/>
        </w:rPr>
        <w:t xml:space="preserve">分）</w:t>
      </w:r>
      <w:r/>
    </w:p>
    <w:p>
      <w:pPr>
        <w:ind w:firstLine="480"/>
        <w:spacing w:line="360" w:lineRule="auto"/>
        <w:rPr>
          <w:rFonts w:hint="default" w:ascii="宋体" w:hAnsi="宋体" w:cs="宋体"/>
          <w:b w:val="0"/>
          <w:bCs/>
          <w:color w:val="auto"/>
          <w:sz w:val="24"/>
          <w:highlight w:val="none"/>
          <w:lang w:val="en-US" w:eastAsia="zh-CN"/>
        </w:rPr>
      </w:pP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1</w:t>
      </w:r>
      <w:r>
        <w:rPr>
          <w:rFonts w:hint="eastAsia" w:ascii="宋体" w:hAnsi="宋体" w:cs="宋体"/>
          <w:b/>
          <w:bCs w:val="0"/>
          <w:color w:val="auto"/>
          <w:sz w:val="24"/>
          <w:highlight w:val="none"/>
          <w:lang w:eastAsia="zh-CN"/>
        </w:rPr>
        <w:t xml:space="preserve">）认证证书（</w:t>
      </w:r>
      <w:r>
        <w:rPr>
          <w:rFonts w:hint="eastAsia" w:ascii="宋体" w:hAnsi="宋体" w:cs="宋体"/>
          <w:b/>
          <w:bCs w:val="0"/>
          <w:color w:val="auto"/>
          <w:sz w:val="24"/>
          <w:highlight w:val="none"/>
          <w:lang w:val="en-US" w:eastAsia="zh-CN"/>
        </w:rPr>
        <w:t xml:space="preserve">3分</w:t>
      </w:r>
      <w:r>
        <w:rPr>
          <w:rFonts w:hint="eastAsia" w:ascii="宋体" w:hAnsi="宋体" w:cs="宋体"/>
          <w:b/>
          <w:bCs w:val="0"/>
          <w:color w:val="auto"/>
          <w:sz w:val="24"/>
          <w:highlight w:val="none"/>
          <w:lang w:eastAsia="zh-CN"/>
        </w:rPr>
        <w:t xml:space="preserve">）：</w:t>
      </w:r>
      <w:r>
        <w:rPr>
          <w:rFonts w:hint="eastAsia" w:ascii="宋体" w:hAnsi="宋体" w:cs="宋体"/>
          <w:b w:val="0"/>
          <w:bCs/>
          <w:color w:val="auto"/>
          <w:sz w:val="24"/>
          <w:highlight w:val="none"/>
          <w:lang w:val="en-US" w:eastAsia="zh-CN"/>
        </w:rPr>
        <w:t xml:space="preserve">所投产品的制造商具备</w:t>
      </w:r>
      <w:r>
        <w:rPr>
          <w:rFonts w:hint="eastAsia" w:ascii="宋体" w:hAnsi="宋体" w:cs="宋体"/>
          <w:bCs/>
          <w:color w:val="auto"/>
          <w:sz w:val="24"/>
          <w:szCs w:val="24"/>
          <w:highlight w:val="none"/>
        </w:rPr>
        <w:t xml:space="preserve">质量</w:t>
      </w:r>
      <w:r>
        <w:rPr>
          <w:rFonts w:hint="eastAsia" w:ascii="宋体" w:hAnsi="宋体" w:cs="宋体"/>
          <w:bCs/>
          <w:color w:val="auto"/>
          <w:sz w:val="24"/>
          <w:szCs w:val="24"/>
          <w:highlight w:val="none"/>
          <w:lang w:val="en-US" w:eastAsia="zh-CN"/>
        </w:rPr>
        <w:t xml:space="preserve">/健康/安全管理</w:t>
      </w:r>
      <w:r>
        <w:rPr>
          <w:rFonts w:hint="eastAsia" w:ascii="宋体" w:hAnsi="宋体" w:cs="宋体"/>
          <w:bCs/>
          <w:color w:val="auto"/>
          <w:sz w:val="24"/>
          <w:szCs w:val="24"/>
          <w:highlight w:val="none"/>
        </w:rPr>
        <w:t xml:space="preserve">体系认证证书</w:t>
      </w:r>
      <w:r>
        <w:rPr>
          <w:rFonts w:hint="eastAsia" w:ascii="宋体" w:hAnsi="宋体" w:cs="宋体"/>
          <w:bCs/>
          <w:color w:val="auto"/>
          <w:sz w:val="24"/>
          <w:szCs w:val="24"/>
          <w:highlight w:val="none"/>
          <w:lang w:val="en-US" w:eastAsia="zh-CN"/>
        </w:rPr>
        <w:t xml:space="preserve">的，有一个得1分，最高得3分（</w:t>
      </w:r>
      <w:r>
        <w:rPr>
          <w:rFonts w:hint="eastAsia" w:ascii="宋体" w:hAnsi="宋体" w:cs="宋体"/>
          <w:b w:val="0"/>
          <w:bCs/>
          <w:color w:val="auto"/>
          <w:sz w:val="24"/>
          <w:highlight w:val="none"/>
          <w:lang w:val="en-US" w:eastAsia="zh-CN"/>
        </w:rPr>
        <w:t xml:space="preserve">提供有效期内的证书扫描件及“全国认证认可信息公共服务平台” http://cx.cnca.cn 查询截图（显示证书状态）上传至投标文件并电子签章，不提供或提供不全不得分）。</w:t>
      </w:r>
      <w:r/>
    </w:p>
    <w:p>
      <w:pPr>
        <w:ind w:firstLine="480"/>
        <w:spacing w:line="360" w:lineRule="auto"/>
        <w:rPr>
          <w:rFonts w:hint="eastAsia" w:ascii="宋体" w:hAnsi="宋体" w:eastAsia="宋体" w:cs="宋体"/>
          <w:b w:val="0"/>
          <w:bCs/>
          <w:color w:val="auto"/>
          <w:sz w:val="24"/>
          <w:highlight w:val="none"/>
          <w:lang w:eastAsia="zh-CN"/>
        </w:rPr>
      </w:pP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2</w:t>
      </w: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业绩</w:t>
      </w: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3分</w:t>
      </w:r>
      <w:r>
        <w:rPr>
          <w:rFonts w:hint="eastAsia" w:ascii="宋体" w:hAnsi="宋体" w:cs="宋体"/>
          <w:b/>
          <w:bCs w:val="0"/>
          <w:color w:val="auto"/>
          <w:sz w:val="24"/>
          <w:highlight w:val="none"/>
          <w:lang w:eastAsia="zh-CN"/>
        </w:rPr>
        <w:t xml:space="preserve">）：</w:t>
      </w:r>
      <w:r>
        <w:rPr>
          <w:rFonts w:hint="eastAsia" w:ascii="宋体" w:hAnsi="宋体" w:cs="宋体"/>
          <w:b w:val="0"/>
          <w:bCs/>
          <w:color w:val="auto"/>
          <w:sz w:val="24"/>
          <w:highlight w:val="none"/>
        </w:rPr>
        <w:t xml:space="preserve">投标供应商自202</w:t>
      </w:r>
      <w:r>
        <w:rPr>
          <w:rFonts w:hint="eastAsia" w:ascii="宋体" w:hAnsi="宋体" w:cs="宋体"/>
          <w:b w:val="0"/>
          <w:bCs/>
          <w:color w:val="auto"/>
          <w:sz w:val="24"/>
          <w:highlight w:val="none"/>
          <w:lang w:val="en-US" w:eastAsia="zh-CN"/>
        </w:rPr>
        <w:t xml:space="preserve">3</w:t>
      </w:r>
      <w:r>
        <w:rPr>
          <w:rFonts w:hint="eastAsia" w:ascii="宋体" w:hAnsi="宋体" w:cs="宋体"/>
          <w:b w:val="0"/>
          <w:bCs/>
          <w:color w:val="auto"/>
          <w:sz w:val="24"/>
          <w:highlight w:val="none"/>
        </w:rPr>
        <w:t xml:space="preserve">年1月1日以来（以合同签订日期为准，无签订时间的以合同开始履行日期为准）承担过类似项目业绩，每提供1个得</w:t>
      </w:r>
      <w:r>
        <w:rPr>
          <w:rFonts w:hint="eastAsia" w:ascii="宋体" w:hAnsi="宋体" w:cs="宋体"/>
          <w:b w:val="0"/>
          <w:bCs/>
          <w:color w:val="auto"/>
          <w:sz w:val="24"/>
          <w:highlight w:val="none"/>
          <w:lang w:val="en-US" w:eastAsia="zh-CN"/>
        </w:rPr>
        <w:t xml:space="preserve">1</w:t>
      </w:r>
      <w:r>
        <w:rPr>
          <w:rFonts w:hint="eastAsia" w:ascii="宋体" w:hAnsi="宋体" w:cs="宋体"/>
          <w:b w:val="0"/>
          <w:bCs/>
          <w:color w:val="auto"/>
          <w:sz w:val="24"/>
          <w:highlight w:val="none"/>
        </w:rPr>
        <w:t xml:space="preserve">分，本项最高得</w:t>
      </w:r>
      <w:r>
        <w:rPr>
          <w:rFonts w:hint="eastAsia" w:ascii="宋体" w:hAnsi="宋体" w:cs="宋体"/>
          <w:b w:val="0"/>
          <w:bCs/>
          <w:color w:val="auto"/>
          <w:sz w:val="24"/>
          <w:highlight w:val="none"/>
          <w:lang w:val="en-US" w:eastAsia="zh-CN"/>
        </w:rPr>
        <w:t xml:space="preserve">3</w:t>
      </w:r>
      <w:r>
        <w:rPr>
          <w:rFonts w:hint="eastAsia" w:ascii="宋体" w:hAnsi="宋体" w:cs="宋体"/>
          <w:b w:val="0"/>
          <w:bCs/>
          <w:color w:val="auto"/>
          <w:sz w:val="24"/>
          <w:highlight w:val="none"/>
        </w:rPr>
        <w:t xml:space="preserve">分</w:t>
      </w:r>
      <w:r>
        <w:rPr>
          <w:rFonts w:hint="eastAsia" w:ascii="宋体" w:hAnsi="宋体" w:cs="宋体"/>
          <w:b w:val="0"/>
          <w:bCs/>
          <w:color w:val="auto"/>
          <w:sz w:val="24"/>
          <w:highlight w:val="none"/>
          <w:lang w:eastAsia="zh-CN"/>
        </w:rPr>
        <w:t xml:space="preserve">（提供合同</w:t>
      </w:r>
      <w:r>
        <w:rPr>
          <w:rFonts w:hint="eastAsia" w:ascii="宋体" w:hAnsi="宋体" w:cs="宋体"/>
          <w:b w:val="0"/>
          <w:bCs/>
          <w:color w:val="auto"/>
          <w:sz w:val="24"/>
          <w:highlight w:val="none"/>
          <w:lang w:val="en-US" w:eastAsia="zh-CN"/>
        </w:rPr>
        <w:t xml:space="preserve">或</w:t>
      </w:r>
      <w:r>
        <w:rPr>
          <w:rFonts w:hint="eastAsia" w:ascii="宋体" w:hAnsi="宋体" w:cs="宋体"/>
          <w:b w:val="0"/>
          <w:bCs/>
          <w:color w:val="auto"/>
          <w:sz w:val="24"/>
          <w:highlight w:val="none"/>
          <w:lang w:eastAsia="zh-CN"/>
        </w:rPr>
        <w:t xml:space="preserve">中标通知书扫描件加盖公章上传至投标文件中，否则不得分）。</w:t>
      </w:r>
      <w:r/>
    </w:p>
    <w:p>
      <w:pPr>
        <w:ind w:firstLine="480"/>
        <w:spacing w:line="360" w:lineRule="auto"/>
        <w:rPr>
          <w:rFonts w:hint="eastAsia" w:ascii="宋体" w:hAnsi="宋体" w:cs="宋体"/>
          <w:b w:val="0"/>
          <w:bCs/>
          <w:color w:val="auto"/>
          <w:sz w:val="24"/>
          <w:highlight w:val="none"/>
          <w:lang w:val="en-US" w:eastAsia="zh-CN"/>
        </w:rPr>
      </w:pP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3</w:t>
      </w:r>
      <w:r>
        <w:rPr>
          <w:rFonts w:hint="eastAsia" w:ascii="宋体" w:hAnsi="宋体" w:cs="宋体"/>
          <w:b/>
          <w:bCs w:val="0"/>
          <w:color w:val="auto"/>
          <w:sz w:val="24"/>
          <w:highlight w:val="none"/>
          <w:lang w:eastAsia="zh-CN"/>
        </w:rPr>
        <w:t xml:space="preserve">）售后响应程度（</w:t>
      </w:r>
      <w:r>
        <w:rPr>
          <w:rFonts w:hint="eastAsia" w:ascii="宋体" w:hAnsi="宋体" w:cs="宋体"/>
          <w:b/>
          <w:bCs w:val="0"/>
          <w:color w:val="auto"/>
          <w:sz w:val="24"/>
          <w:highlight w:val="none"/>
          <w:lang w:val="en-US" w:eastAsia="zh-CN"/>
        </w:rPr>
        <w:t xml:space="preserve">2</w:t>
      </w:r>
      <w:r>
        <w:rPr>
          <w:rFonts w:hint="eastAsia" w:ascii="宋体" w:hAnsi="宋体" w:cs="宋体"/>
          <w:b/>
          <w:bCs w:val="0"/>
          <w:color w:val="auto"/>
          <w:sz w:val="24"/>
          <w:highlight w:val="none"/>
          <w:lang w:eastAsia="zh-CN"/>
        </w:rPr>
        <w:t xml:space="preserve">分）：</w:t>
      </w:r>
      <w:r>
        <w:rPr>
          <w:rFonts w:hint="eastAsia" w:ascii="宋体" w:hAnsi="宋体" w:cs="宋体"/>
          <w:b w:val="0"/>
          <w:bCs/>
          <w:color w:val="auto"/>
          <w:sz w:val="24"/>
          <w:highlight w:val="none"/>
        </w:rPr>
        <w:t xml:space="preserve">投标供应商承诺中标后将在本地设立常驻售后服务机构或派驻本地服务人员，并能够提供5*8小时的产品服务支持响应，对远程8小时内无法解决的生产环境故障</w:t>
      </w:r>
      <w:r>
        <w:rPr>
          <w:rFonts w:hint="eastAsia" w:ascii="宋体" w:hAnsi="宋体" w:cs="宋体"/>
          <w:b w:val="0"/>
          <w:bCs/>
          <w:color w:val="auto"/>
          <w:sz w:val="24"/>
          <w:highlight w:val="none"/>
          <w:lang w:val="en-US" w:eastAsia="zh-CN"/>
        </w:rPr>
        <w:t xml:space="preserve">能够</w:t>
      </w:r>
      <w:r>
        <w:rPr>
          <w:rFonts w:hint="eastAsia" w:ascii="宋体" w:hAnsi="宋体" w:cs="宋体"/>
          <w:b w:val="0"/>
          <w:bCs/>
          <w:color w:val="auto"/>
          <w:sz w:val="24"/>
          <w:highlight w:val="none"/>
        </w:rPr>
        <w:t xml:space="preserve">在4小时内上门支持</w:t>
      </w:r>
      <w:r>
        <w:rPr>
          <w:rFonts w:hint="eastAsia" w:ascii="宋体" w:hAnsi="宋体" w:cs="宋体"/>
          <w:b w:val="0"/>
          <w:bCs/>
          <w:color w:val="auto"/>
          <w:sz w:val="24"/>
          <w:highlight w:val="none"/>
          <w:lang w:val="en-US" w:eastAsia="zh-CN"/>
        </w:rPr>
        <w:t xml:space="preserve">的，</w:t>
      </w:r>
      <w:r>
        <w:rPr>
          <w:rFonts w:hint="eastAsia" w:ascii="宋体" w:hAnsi="宋体" w:cs="宋体"/>
          <w:b w:val="0"/>
          <w:bCs/>
          <w:color w:val="auto"/>
          <w:sz w:val="24"/>
          <w:highlight w:val="none"/>
        </w:rPr>
        <w:t xml:space="preserve">得</w:t>
      </w:r>
      <w:r>
        <w:rPr>
          <w:rFonts w:hint="eastAsia" w:ascii="宋体" w:hAnsi="宋体" w:cs="宋体"/>
          <w:b w:val="0"/>
          <w:bCs/>
          <w:color w:val="auto"/>
          <w:sz w:val="24"/>
          <w:highlight w:val="none"/>
          <w:lang w:val="en-US" w:eastAsia="zh-CN"/>
        </w:rPr>
        <w:t xml:space="preserve">2</w:t>
      </w:r>
      <w:r>
        <w:rPr>
          <w:rFonts w:hint="eastAsia" w:ascii="宋体" w:hAnsi="宋体" w:cs="宋体"/>
          <w:b w:val="0"/>
          <w:bCs/>
          <w:color w:val="auto"/>
          <w:sz w:val="24"/>
          <w:highlight w:val="none"/>
        </w:rPr>
        <w:t xml:space="preserve">分</w:t>
      </w:r>
      <w:r>
        <w:rPr>
          <w:rFonts w:hint="eastAsia" w:ascii="宋体" w:hAnsi="宋体" w:cs="宋体"/>
          <w:b w:val="0"/>
          <w:bCs/>
          <w:color w:val="auto"/>
          <w:sz w:val="24"/>
          <w:highlight w:val="none"/>
          <w:lang w:val="en-US" w:eastAsia="zh-CN"/>
        </w:rPr>
        <w:t xml:space="preserve">（</w:t>
      </w:r>
      <w:r>
        <w:rPr>
          <w:rFonts w:hint="eastAsia" w:ascii="宋体" w:hAnsi="宋体" w:cs="宋体"/>
          <w:b w:val="0"/>
          <w:bCs/>
          <w:color w:val="auto"/>
          <w:sz w:val="24"/>
          <w:highlight w:val="none"/>
        </w:rPr>
        <w:t xml:space="preserve">提供承诺书（格式自拟）原件扫描件上传至投标文件并电子签章，不提供或提供不全本项不得分</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rPr>
        <w:t xml:space="preserve">。</w:t>
      </w:r>
      <w:r/>
    </w:p>
    <w:p>
      <w:pPr>
        <w:numPr>
          <w:ilvl w:val="0"/>
          <w:numId w:val="0"/>
        </w:numPr>
        <w:jc w:val="left"/>
        <w:spacing w:line="360" w:lineRule="auto"/>
        <w:tabs>
          <w:tab w:val="left" w:pos="945" w:leader="none"/>
          <w:tab w:val="left" w:pos="1155" w:leader="none"/>
        </w:tabs>
        <w:rPr>
          <w:rFonts w:hint="default"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3、技术部分（60分）</w:t>
      </w:r>
      <w:r/>
    </w:p>
    <w:p>
      <w:pPr>
        <w:ind w:firstLine="480"/>
        <w:jc w:val="left"/>
        <w:spacing w:line="360" w:lineRule="auto"/>
        <w:tabs>
          <w:tab w:val="left" w:pos="945" w:leader="none"/>
          <w:tab w:val="left" w:pos="1155" w:leader="none"/>
        </w:tabs>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lang w:val="en-US" w:eastAsia="zh-CN"/>
        </w:rPr>
        <w:t xml:space="preserve">（1）项目实施方案</w:t>
      </w:r>
      <w:r>
        <w:rPr>
          <w:rFonts w:hint="eastAsia" w:ascii="宋体" w:hAnsi="宋体" w:cs="宋体"/>
          <w:b/>
          <w:bCs w:val="0"/>
          <w:color w:val="auto"/>
          <w:sz w:val="24"/>
          <w:szCs w:val="24"/>
          <w:highlight w:val="none"/>
        </w:rPr>
        <w:t xml:space="preserve">（</w:t>
      </w:r>
      <w:r>
        <w:rPr>
          <w:rFonts w:hint="eastAsia" w:ascii="宋体" w:hAnsi="宋体" w:cs="宋体"/>
          <w:b/>
          <w:bCs w:val="0"/>
          <w:color w:val="auto"/>
          <w:sz w:val="24"/>
          <w:szCs w:val="24"/>
          <w:highlight w:val="none"/>
          <w:lang w:val="en-US" w:eastAsia="zh-CN"/>
        </w:rPr>
        <w:t xml:space="preserve">12</w:t>
      </w:r>
      <w:r>
        <w:rPr>
          <w:rFonts w:hint="eastAsia" w:ascii="宋体" w:hAnsi="宋体" w:cs="宋体"/>
          <w:b/>
          <w:bCs w:val="0"/>
          <w:color w:val="auto"/>
          <w:sz w:val="24"/>
          <w:szCs w:val="24"/>
          <w:highlight w:val="none"/>
        </w:rPr>
        <w:t xml:space="preserve">分）</w:t>
      </w:r>
      <w:r/>
    </w:p>
    <w:p>
      <w:pPr>
        <w:ind w:firstLine="480"/>
        <w:jc w:val="both"/>
        <w:spacing w:line="360" w:lineRule="auto"/>
        <w:tabs>
          <w:tab w:val="left" w:pos="945" w:leader="none"/>
          <w:tab w:val="left" w:pos="1155" w:leader="none"/>
        </w:tabs>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①项目实施计划安排（</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分）；</w:t>
      </w:r>
      <w:r>
        <w:rPr>
          <w:rFonts w:hint="eastAsia" w:ascii="宋体" w:hAnsi="宋体" w:cs="宋体"/>
          <w:bCs/>
          <w:color w:val="auto"/>
          <w:sz w:val="24"/>
          <w:szCs w:val="24"/>
          <w:highlight w:val="none"/>
          <w:lang w:val="en-US" w:eastAsia="zh-CN"/>
        </w:rPr>
        <w:t xml:space="preserve">投标人</w:t>
      </w:r>
      <w:r>
        <w:rPr>
          <w:rFonts w:hint="eastAsia" w:ascii="宋体" w:hAnsi="宋体" w:eastAsia="宋体" w:cs="宋体"/>
          <w:bCs/>
          <w:color w:val="auto"/>
          <w:sz w:val="24"/>
          <w:szCs w:val="24"/>
          <w:highlight w:val="none"/>
        </w:rPr>
        <w:t xml:space="preserve">提供一份详尽、可靠的项目实施总体计划，该计划应满足以下要求：</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阶段划分明确</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工期合理</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交付成果具体</w:t>
      </w:r>
      <w:r>
        <w:rPr>
          <w:rFonts w:hint="eastAsia" w:ascii="宋体" w:hAnsi="宋体" w:eastAsia="宋体" w:cs="宋体"/>
          <w:bCs/>
          <w:color w:val="auto"/>
          <w:sz w:val="24"/>
          <w:szCs w:val="24"/>
          <w:highlight w:val="none"/>
          <w:lang w:eastAsia="zh-CN"/>
        </w:rPr>
        <w:t xml:space="preserve">；</w:t>
      </w:r>
      <w:r/>
    </w:p>
    <w:p>
      <w:pPr>
        <w:ind w:firstLine="480"/>
        <w:jc w:val="both"/>
        <w:spacing w:line="360" w:lineRule="auto"/>
        <w:tabs>
          <w:tab w:val="left" w:pos="945" w:leader="none"/>
          <w:tab w:val="left" w:pos="1155" w:leader="none"/>
        </w:tabs>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②项目人员配置方案（</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分）</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投标人必须承诺组建一支稳定、专业、经验丰富的项目团队，并提供</w:t>
      </w:r>
      <w:r>
        <w:rPr>
          <w:rFonts w:hint="eastAsia" w:ascii="宋体" w:hAnsi="宋体" w:eastAsia="宋体" w:cs="宋体"/>
          <w:bCs/>
          <w:color w:val="auto"/>
          <w:sz w:val="24"/>
          <w:szCs w:val="24"/>
          <w:highlight w:val="none"/>
          <w:lang w:val="en-US" w:eastAsia="zh-CN"/>
        </w:rPr>
        <w:t xml:space="preserve">相关</w:t>
      </w:r>
      <w:r>
        <w:rPr>
          <w:rFonts w:hint="eastAsia" w:ascii="宋体" w:hAnsi="宋体" w:eastAsia="宋体" w:cs="宋体"/>
          <w:bCs/>
          <w:color w:val="auto"/>
          <w:sz w:val="24"/>
          <w:szCs w:val="24"/>
          <w:highlight w:val="none"/>
        </w:rPr>
        <w:t xml:space="preserve">具体信息</w:t>
      </w:r>
      <w:r>
        <w:rPr>
          <w:rFonts w:hint="eastAsia" w:ascii="宋体" w:hAnsi="宋体" w:cs="宋体"/>
          <w:bCs/>
          <w:color w:val="auto"/>
          <w:sz w:val="24"/>
          <w:szCs w:val="24"/>
          <w:highlight w:val="none"/>
          <w:lang w:eastAsia="zh-CN"/>
        </w:rPr>
        <w:t xml:space="preserve">；</w:t>
      </w:r>
      <w:r/>
    </w:p>
    <w:p>
      <w:pPr>
        <w:ind w:firstLine="480"/>
        <w:jc w:val="both"/>
        <w:spacing w:line="360" w:lineRule="auto"/>
        <w:tabs>
          <w:tab w:val="left" w:pos="945" w:leader="none"/>
          <w:tab w:val="left" w:pos="1155" w:leader="none"/>
        </w:tabs>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③供货措施（</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分）</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根据投标人针对本项目设备配送、安装、调试、验收方法或方案、采购及管理方案的先进合理进行综合打分</w:t>
      </w:r>
      <w:r>
        <w:rPr>
          <w:rFonts w:hint="eastAsia" w:ascii="宋体" w:hAnsi="宋体" w:cs="宋体"/>
          <w:bCs/>
          <w:color w:val="auto"/>
          <w:sz w:val="24"/>
          <w:szCs w:val="24"/>
          <w:highlight w:val="none"/>
          <w:lang w:eastAsia="zh-CN"/>
        </w:rPr>
        <w:t xml:space="preserve">；</w:t>
      </w:r>
      <w:r/>
    </w:p>
    <w:p>
      <w:pPr>
        <w:ind w:firstLine="480"/>
        <w:jc w:val="left"/>
        <w:spacing w:line="360" w:lineRule="auto"/>
        <w:tabs>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投标人针对上述内容进行阐述，要求阐述内容合理、条理清晰、针对性强、</w:t>
      </w:r>
      <w:bookmarkStart w:id="57" w:name="_GoBack"/>
      <w:r>
        <w:rPr>
          <w:rFonts w:hint="eastAsia" w:ascii="宋体" w:hAnsi="宋体" w:cs="宋体"/>
          <w:bCs/>
          <w:color w:val="auto"/>
          <w:sz w:val="24"/>
          <w:szCs w:val="24"/>
          <w:highlight w:val="none"/>
        </w:rPr>
        <w:t xml:space="preserve">切实可行有效。以上内容不存在瑕疵的该条得</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分；以上内容存在1处瑕疵的该条得</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分；以上内容存在</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处瑕疵的该条得</w:t>
      </w: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rPr>
        <w:t xml:space="preserve">分；未进行阐述或不满足采购需求或内容存在</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处及以上瑕疵的该条得0分；本项最高得</w:t>
      </w:r>
      <w:r>
        <w:rPr>
          <w:rFonts w:hint="eastAsia" w:ascii="宋体" w:hAnsi="宋体" w:cs="宋体"/>
          <w:bCs/>
          <w:color w:val="auto"/>
          <w:sz w:val="24"/>
          <w:szCs w:val="24"/>
          <w:highlight w:val="none"/>
          <w:lang w:val="en-US" w:eastAsia="zh-CN"/>
        </w:rPr>
        <w:t xml:space="preserve">12</w:t>
      </w:r>
      <w:r>
        <w:rPr>
          <w:rFonts w:hint="eastAsia" w:ascii="宋体" w:hAnsi="宋体" w:cs="宋体"/>
          <w:bCs/>
          <w:color w:val="auto"/>
          <w:sz w:val="24"/>
          <w:szCs w:val="24"/>
          <w:highlight w:val="none"/>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jc w:val="left"/>
        <w:spacing w:line="360" w:lineRule="auto"/>
        <w:tabs>
          <w:tab w:val="left" w:pos="945" w:leader="none"/>
          <w:tab w:val="left" w:pos="1155" w:leader="none"/>
        </w:tabs>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（2）技术方案（40分）</w:t>
      </w:r>
      <w:r/>
    </w:p>
    <w:p>
      <w:pPr>
        <w:numPr>
          <w:ilvl w:val="0"/>
          <w:numId w:val="0"/>
        </w:num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技术方案中对能否完成技术指标的实现方法进行详细的分析论述，综合陈述其方案的特点。</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lang w:val="en-US" w:eastAsia="zh-CN"/>
        </w:rPr>
        <w:outlineLvl w:val="9"/>
      </w:pPr>
      <w:r>
        <w:rPr>
          <w:rFonts w:hint="eastAsia" w:ascii="宋体" w:hAnsi="宋体" w:cs="宋体"/>
          <w:bCs/>
          <w:color w:val="auto"/>
          <w:sz w:val="24"/>
          <w:szCs w:val="24"/>
          <w:highlight w:val="none"/>
          <w:lang w:val="en-US" w:eastAsia="zh-CN"/>
        </w:rPr>
        <w:t xml:space="preserve">①</w:t>
      </w:r>
      <w:r>
        <w:rPr>
          <w:rFonts w:hint="eastAsia" w:ascii="宋体" w:hAnsi="宋体" w:eastAsia="宋体" w:cs="宋体"/>
          <w:bCs/>
          <w:color w:val="auto"/>
          <w:sz w:val="24"/>
          <w:szCs w:val="24"/>
          <w:highlight w:val="none"/>
          <w:lang w:val="en-US" w:eastAsia="zh-CN"/>
        </w:rPr>
        <w:t xml:space="preserve">电气控制柜结构方案（6分）；投标人针对电气控制柜结构方案进行阐述并对柜体设计、器件材料布局相关技术性能指标情况进行说明，要求阐述说明内容合理、真实、条理清晰、针对性强、切实可行有效。以上内容不存在瑕疵的该条得</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分；以上内容存在1处瑕疵的该条得</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分；以上内容存在2处瑕疵的该条得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分；未进行阐述或不满足采购需求或内容存在3处及以上瑕疵的该条得0分；本项最高得</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lang w:val="en-US" w:eastAsia="zh-CN"/>
        </w:rPr>
        <w:outlineLvl w:val="9"/>
      </w:pPr>
      <w:r>
        <w:rPr>
          <w:rFonts w:hint="eastAsia" w:ascii="宋体" w:hAnsi="宋体" w:cs="宋体"/>
          <w:bCs/>
          <w:color w:val="auto"/>
          <w:sz w:val="24"/>
          <w:szCs w:val="24"/>
          <w:highlight w:val="none"/>
          <w:lang w:val="en-US" w:eastAsia="zh-CN"/>
        </w:rPr>
        <w:t xml:space="preserve">②</w:t>
      </w:r>
      <w:r>
        <w:rPr>
          <w:rFonts w:hint="eastAsia" w:ascii="宋体" w:hAnsi="宋体" w:eastAsia="宋体" w:cs="宋体"/>
          <w:bCs/>
          <w:color w:val="auto"/>
          <w:sz w:val="24"/>
          <w:szCs w:val="24"/>
          <w:highlight w:val="none"/>
          <w:lang w:val="en-US" w:eastAsia="zh-CN"/>
        </w:rPr>
        <w:t xml:space="preserve">电气控制柜电气方案（6分）；投标人针对电气控制柜电气方案进行阐述并对关键核心器件相关技术性能指标响应情况进行说明，同时对电气施工工艺情况进行说明，要求阐述说明内容合理、真实、条理清晰、针对性强、切实可行有效。以上内容不存在瑕疵的该条得</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分；以上内容存在1处瑕疵的该条得</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分；以上内容存在2处瑕疵的该条得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分；未进行阐述或不满足采购需求或内容存在3处及以上瑕疵的该条得0分；本项最高得</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lang w:val="en-US" w:eastAsia="zh-CN"/>
        </w:rPr>
        <w:outlineLvl w:val="9"/>
      </w:pPr>
      <w:r>
        <w:rPr>
          <w:rFonts w:hint="eastAsia" w:ascii="宋体" w:hAnsi="宋体" w:cs="宋体"/>
          <w:bCs/>
          <w:color w:val="auto"/>
          <w:sz w:val="24"/>
          <w:szCs w:val="24"/>
          <w:highlight w:val="none"/>
          <w:lang w:val="en-US" w:eastAsia="zh-CN"/>
        </w:rPr>
        <w:t xml:space="preserve">③</w:t>
      </w:r>
      <w:r>
        <w:rPr>
          <w:rFonts w:hint="eastAsia" w:ascii="宋体" w:hAnsi="宋体" w:eastAsia="宋体" w:cs="宋体"/>
          <w:bCs/>
          <w:color w:val="auto"/>
          <w:sz w:val="24"/>
          <w:szCs w:val="24"/>
          <w:highlight w:val="none"/>
          <w:lang w:val="en-US" w:eastAsia="zh-CN"/>
        </w:rPr>
        <w:t xml:space="preserve">操作台结构方案（6分）；投标人针对操作台结构方案进行阐述并对柜体设计相关技术性能指标情况进行说明，要求阐述说明内容合理、真实、条理清晰、针对性强、切实可行有效。以上内容不存在瑕疵的该条得</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分；以上内容存在1处瑕疵的该条得</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分；以上内容存在2处瑕疵的该条得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分；未进行阐述或不满足采购需求或内容存在3处及以上瑕疵的该条得0分；本项最高得</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lang w:val="en-US" w:eastAsia="zh-CN"/>
        </w:rPr>
        <w:outlineLvl w:val="9"/>
      </w:pPr>
      <w:r>
        <w:rPr>
          <w:rFonts w:hint="eastAsia" w:ascii="宋体" w:hAnsi="宋体" w:cs="宋体"/>
          <w:bCs/>
          <w:color w:val="auto"/>
          <w:sz w:val="24"/>
          <w:szCs w:val="24"/>
          <w:highlight w:val="none"/>
          <w:lang w:val="en-US" w:eastAsia="zh-CN"/>
        </w:rPr>
        <w:t xml:space="preserve">④</w:t>
      </w:r>
      <w:r>
        <w:rPr>
          <w:rFonts w:hint="eastAsia" w:ascii="宋体" w:hAnsi="宋体" w:eastAsia="宋体" w:cs="宋体"/>
          <w:bCs/>
          <w:color w:val="auto"/>
          <w:sz w:val="24"/>
          <w:szCs w:val="24"/>
          <w:highlight w:val="none"/>
          <w:lang w:val="en-US" w:eastAsia="zh-CN"/>
        </w:rPr>
        <w:t xml:space="preserve">操作台电气方案（6分）；投标人针对操作台电气方案进行阐述并对关键核心器件相关技术性能指标响应情况进行说明，同时对电气施工工艺情况进行说明，要求阐述说明内容合理、真实、条理清晰、针对性强、切实可行有效。以上内容不存在瑕疵的该条得</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分；以上内容存在1处瑕疵的该条得</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分；以上内容存在2处瑕疵的该条得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分；未进行阐述或不满足采购需求或内容存在3处及以上瑕疵的该条得0分；本项最高得</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lang w:val="en-US" w:eastAsia="zh-CN"/>
        </w:rPr>
        <w:outlineLvl w:val="9"/>
      </w:pPr>
      <w:r>
        <w:rPr>
          <w:rFonts w:hint="eastAsia" w:ascii="宋体" w:hAnsi="宋体" w:cs="宋体"/>
          <w:bCs/>
          <w:color w:val="auto"/>
          <w:sz w:val="24"/>
          <w:szCs w:val="24"/>
          <w:highlight w:val="none"/>
          <w:lang w:val="en-US" w:eastAsia="zh-CN"/>
        </w:rPr>
        <w:t xml:space="preserve">⑤</w:t>
      </w:r>
      <w:r>
        <w:rPr>
          <w:rFonts w:hint="eastAsia" w:ascii="宋体" w:hAnsi="宋体" w:eastAsia="宋体" w:cs="宋体"/>
          <w:bCs/>
          <w:color w:val="auto"/>
          <w:sz w:val="24"/>
          <w:szCs w:val="24"/>
          <w:highlight w:val="none"/>
          <w:lang w:val="en-US" w:eastAsia="zh-CN"/>
        </w:rPr>
        <w:t xml:space="preserve">上位机软件方案（6分）；投标人针对上位机软件方案进行阐述，要求阐述内容合理、条理清晰、针对性强、切实可行有效。以上内容不存在瑕疵的该条得</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分；以上内容存在1处瑕疵的该条得</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分；以上内容存在2处瑕疵的该条得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分；未进行阐述或不满足采购需求或内容存在3处及以上瑕疵的该条得0分；本项最高得</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lang w:val="en-US" w:eastAsia="zh-CN"/>
        </w:rPr>
        <w:outlineLvl w:val="9"/>
      </w:pPr>
      <w:r>
        <w:rPr>
          <w:rFonts w:hint="eastAsia" w:ascii="宋体" w:hAnsi="宋体" w:cs="宋体"/>
          <w:bCs/>
          <w:color w:val="auto"/>
          <w:sz w:val="24"/>
          <w:szCs w:val="24"/>
          <w:highlight w:val="none"/>
          <w:lang w:val="en-US" w:eastAsia="zh-CN"/>
        </w:rPr>
        <w:t xml:space="preserve">⑥</w:t>
      </w:r>
      <w:r>
        <w:rPr>
          <w:rFonts w:hint="eastAsia" w:ascii="宋体" w:hAnsi="宋体" w:eastAsia="宋体" w:cs="宋体"/>
          <w:bCs/>
          <w:color w:val="auto"/>
          <w:sz w:val="24"/>
          <w:szCs w:val="24"/>
          <w:highlight w:val="none"/>
          <w:lang w:val="en-US" w:eastAsia="zh-CN"/>
        </w:rPr>
        <w:t xml:space="preserve">出厂调试方案（5分）；投标人针对电气控制柜、操作台出厂调试方案进行阐述，要求阐述内容合理、条理清晰、针对性强、切实可行有效。以上内容不存在瑕疵的该条得</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分；以上内容存在1处瑕疵的该条得</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分；以上内容存在2处瑕疵的该条得</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分；未进行阐述或不满足采购需求或内容存在3处及以上瑕疵的该条得0分；本项最高得</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lang w:val="en-US" w:eastAsia="zh-CN"/>
        </w:rPr>
        <w:outlineLvl w:val="9"/>
      </w:pPr>
      <w:r>
        <w:rPr>
          <w:rFonts w:hint="eastAsia" w:ascii="宋体" w:hAnsi="宋体" w:cs="宋体"/>
          <w:bCs/>
          <w:color w:val="auto"/>
          <w:sz w:val="24"/>
          <w:szCs w:val="24"/>
          <w:highlight w:val="none"/>
          <w:lang w:val="en-US" w:eastAsia="zh-CN"/>
        </w:rPr>
        <w:t xml:space="preserve">⑦</w:t>
      </w:r>
      <w:r>
        <w:rPr>
          <w:rFonts w:hint="eastAsia" w:ascii="宋体" w:hAnsi="宋体" w:eastAsia="宋体" w:cs="宋体"/>
          <w:bCs/>
          <w:color w:val="auto"/>
          <w:sz w:val="24"/>
          <w:szCs w:val="24"/>
          <w:highlight w:val="none"/>
          <w:lang w:val="en-US" w:eastAsia="zh-CN"/>
        </w:rPr>
        <w:t xml:space="preserve">联调方案（5分）；投标人针对电气控制柜、操作台及上位机联调方案进行阐述，要求阐述内容合理、条理清晰、针对性强、切实可行有效。以上内容不存在瑕疵的该条得</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分；以上内容存在1处瑕疵的该条得</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分；以上内容存在2处瑕疵的该条得</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分；未进行阐述或不满足采购需求或内容存在3处及以上瑕疵的该条得0分；本项最高得</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w:t>
      </w:r>
      <w:bookmarkEnd w:id="57"/>
      <w:r>
        <w:rPr>
          <w:rFonts w:hint="eastAsia" w:ascii="宋体" w:hAnsi="宋体" w:eastAsia="宋体" w:cs="宋体"/>
          <w:bCs/>
          <w:color w:val="auto"/>
          <w:sz w:val="24"/>
          <w:szCs w:val="24"/>
          <w:highlight w:val="none"/>
          <w:lang w:val="en-US" w:eastAsia="zh-CN"/>
        </w:rPr>
        <w:t xml:space="preserve">现有技术条件下不可能出现的情形等任意一种情形。</w:t>
      </w:r>
      <w:r/>
    </w:p>
    <w:p>
      <w:pPr>
        <w:ind w:firstLine="480"/>
        <w:spacing w:line="360" w:lineRule="auto"/>
        <w:tabs>
          <w:tab w:val="left" w:pos="840" w:leader="none"/>
          <w:tab w:val="left" w:pos="1050" w:leader="none"/>
        </w:tabs>
        <w:rPr>
          <w:rFonts w:hint="eastAsia" w:ascii="宋体" w:hAnsi="宋体" w:eastAsia="宋体" w:cs="宋体"/>
          <w:b/>
          <w:bCs w:val="0"/>
          <w:color w:val="auto"/>
          <w:sz w:val="24"/>
          <w:szCs w:val="24"/>
          <w:highlight w:val="none"/>
          <w:lang w:eastAsia="zh-CN"/>
        </w:rPr>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3</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培训方案</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8分</w:t>
      </w:r>
      <w:r>
        <w:rPr>
          <w:rFonts w:hint="eastAsia" w:ascii="宋体" w:hAnsi="宋体" w:cs="宋体"/>
          <w:b/>
          <w:bCs w:val="0"/>
          <w:color w:val="auto"/>
          <w:sz w:val="24"/>
          <w:szCs w:val="24"/>
          <w:highlight w:val="none"/>
          <w:lang w:eastAsia="zh-CN"/>
        </w:rPr>
        <w:t xml:space="preserve">）</w:t>
      </w:r>
      <w:r/>
    </w:p>
    <w:p>
      <w:pPr>
        <w:ind w:firstLine="480"/>
        <w:spacing w:line="360" w:lineRule="auto"/>
        <w:tabs>
          <w:tab w:val="left" w:pos="840" w:leader="none"/>
          <w:tab w:val="left" w:pos="1050" w:leader="none"/>
        </w:tabs>
        <w:rPr>
          <w:rFonts w:ascii="宋体" w:hAnsi="宋体" w:eastAsia="宋体" w:cs="宋体"/>
          <w:b w:val="0"/>
          <w:bCs w:val="0"/>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rPr>
        <w:t xml:space="preserve">①培训计划（</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分）</w:t>
      </w:r>
      <w:r>
        <w:rPr>
          <w:rFonts w:hint="eastAsia" w:ascii="宋体" w:hAnsi="宋体" w:cs="宋体"/>
          <w:bCs/>
          <w:color w:val="auto"/>
          <w:sz w:val="24"/>
          <w:szCs w:val="24"/>
          <w:highlight w:val="none"/>
          <w:lang w:val="en-US" w:eastAsia="zh-CN"/>
        </w:rPr>
        <w:t xml:space="preserve">：</w:t>
      </w:r>
      <w:r>
        <w:rPr>
          <w:rFonts w:ascii="宋体" w:hAnsi="宋体" w:eastAsia="宋体" w:cs="宋体"/>
          <w:b w:val="0"/>
          <w:bCs w:val="0"/>
          <w:color w:val="auto"/>
          <w:sz w:val="24"/>
          <w:szCs w:val="24"/>
          <w:highlight w:val="none"/>
          <w:lang w:val="en-US" w:eastAsia="zh-CN" w:bidi="ar"/>
        </w:rPr>
        <w:t xml:space="preserve">培训方案切实可行，能够针对不同层次人员提供不同培训方案</w:t>
      </w:r>
      <w:r>
        <w:rPr>
          <w:rFonts w:hint="eastAsia" w:ascii="宋体" w:hAnsi="宋体" w:cs="宋体"/>
          <w:b w:val="0"/>
          <w:bCs w:val="0"/>
          <w:color w:val="auto"/>
          <w:sz w:val="24"/>
          <w:szCs w:val="24"/>
          <w:highlight w:val="none"/>
          <w:lang w:val="en-US" w:eastAsia="zh-CN" w:bidi="ar"/>
        </w:rPr>
        <w:t xml:space="preserve">，</w:t>
      </w:r>
      <w:r>
        <w:rPr>
          <w:rFonts w:ascii="宋体" w:hAnsi="宋体" w:eastAsia="宋体" w:cs="宋体"/>
          <w:b w:val="0"/>
          <w:bCs w:val="0"/>
          <w:color w:val="auto"/>
          <w:sz w:val="24"/>
          <w:szCs w:val="24"/>
          <w:highlight w:val="none"/>
          <w:lang w:val="en-US" w:eastAsia="zh-CN" w:bidi="ar"/>
        </w:rPr>
        <w:t xml:space="preserve">针对项目特点设计培训方案，培训方式明确</w:t>
      </w:r>
      <w:r>
        <w:rPr>
          <w:rFonts w:hint="eastAsia" w:ascii="宋体" w:hAnsi="宋体" w:cs="宋体"/>
          <w:b w:val="0"/>
          <w:bCs w:val="0"/>
          <w:color w:val="auto"/>
          <w:sz w:val="24"/>
          <w:szCs w:val="24"/>
          <w:highlight w:val="none"/>
          <w:lang w:val="en-US" w:eastAsia="zh-CN" w:bidi="ar"/>
        </w:rPr>
        <w:t xml:space="preserve">；</w:t>
      </w:r>
      <w:r/>
    </w:p>
    <w:p>
      <w:pPr>
        <w:ind w:firstLine="480"/>
        <w:spacing w:line="360" w:lineRule="auto"/>
        <w:tabs>
          <w:tab w:val="left" w:pos="840" w:leader="none"/>
          <w:tab w:val="left" w:pos="1050" w:leader="none"/>
        </w:tabs>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rPr>
        <w:t xml:space="preserve">②培训内容（</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分）</w:t>
      </w:r>
      <w:r>
        <w:rPr>
          <w:rFonts w:hint="eastAsia" w:ascii="宋体" w:hAnsi="宋体" w:cs="宋体"/>
          <w:bCs/>
          <w:color w:val="auto"/>
          <w:sz w:val="24"/>
          <w:szCs w:val="24"/>
          <w:highlight w:val="none"/>
          <w:lang w:val="en-US" w:eastAsia="zh-CN"/>
        </w:rPr>
        <w:t xml:space="preserve">：</w:t>
      </w:r>
      <w:r>
        <w:rPr>
          <w:rFonts w:ascii="宋体" w:hAnsi="宋体" w:eastAsia="宋体" w:cs="宋体"/>
          <w:b w:val="0"/>
          <w:bCs w:val="0"/>
          <w:color w:val="auto"/>
          <w:sz w:val="24"/>
          <w:szCs w:val="24"/>
          <w:highlight w:val="none"/>
          <w:lang w:val="en-US" w:eastAsia="zh-CN" w:bidi="ar"/>
        </w:rPr>
        <w:t xml:space="preserve">培训内容必须全面系统，分为理论和实操两大部分</w:t>
      </w:r>
      <w:r>
        <w:rPr>
          <w:rFonts w:hint="eastAsia" w:ascii="宋体" w:hAnsi="宋体" w:cs="宋体"/>
          <w:b w:val="0"/>
          <w:bCs w:val="0"/>
          <w:color w:val="auto"/>
          <w:sz w:val="24"/>
          <w:szCs w:val="24"/>
          <w:highlight w:val="none"/>
          <w:lang w:val="en-US" w:eastAsia="zh-CN" w:bidi="ar"/>
        </w:rPr>
        <w:t xml:space="preserve">；</w:t>
      </w:r>
      <w:r/>
    </w:p>
    <w:p>
      <w:pPr>
        <w:ind w:firstLine="480"/>
        <w:spacing w:line="360" w:lineRule="auto"/>
        <w:tabs>
          <w:tab w:val="left" w:pos="840" w:leader="none"/>
          <w:tab w:val="left" w:pos="105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③培训对象</w:t>
      </w:r>
      <w:r>
        <w:rPr>
          <w:rFonts w:hint="eastAsia" w:ascii="宋体" w:hAnsi="宋体" w:cs="宋体"/>
          <w:bCs/>
          <w:color w:val="auto"/>
          <w:sz w:val="24"/>
          <w:szCs w:val="24"/>
          <w:highlight w:val="none"/>
          <w:lang w:val="en-US" w:eastAsia="zh-CN"/>
        </w:rPr>
        <w:t xml:space="preserve">及</w:t>
      </w:r>
      <w:r>
        <w:rPr>
          <w:rFonts w:hint="eastAsia" w:ascii="宋体" w:hAnsi="宋体" w:eastAsia="宋体" w:cs="宋体"/>
          <w:bCs/>
          <w:color w:val="auto"/>
          <w:sz w:val="24"/>
          <w:szCs w:val="24"/>
          <w:highlight w:val="none"/>
          <w:lang w:val="en-US" w:eastAsia="zh-CN"/>
        </w:rPr>
        <w:t xml:space="preserve">安排（</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分）</w:t>
      </w:r>
      <w:r>
        <w:rPr>
          <w:rFonts w:hint="eastAsia" w:ascii="宋体" w:hAnsi="宋体" w:cs="宋体"/>
          <w:bCs/>
          <w:color w:val="auto"/>
          <w:sz w:val="24"/>
          <w:szCs w:val="24"/>
          <w:highlight w:val="none"/>
          <w:lang w:val="en-US" w:eastAsia="zh-CN"/>
        </w:rPr>
        <w:t xml:space="preserve">：</w:t>
      </w:r>
      <w:r>
        <w:rPr>
          <w:rFonts w:hint="default" w:ascii="宋体" w:hAnsi="宋体" w:eastAsia="宋体" w:cs="宋体"/>
          <w:bCs/>
          <w:color w:val="auto"/>
          <w:sz w:val="24"/>
          <w:szCs w:val="24"/>
          <w:highlight w:val="none"/>
          <w:lang w:val="en-US" w:eastAsia="zh-CN" w:bidi="ar-SA"/>
        </w:rPr>
        <w:t xml:space="preserve">投标人须为招标方不同角色的员工提供针对性培训</w:t>
      </w:r>
      <w:r>
        <w:rPr>
          <w:rFonts w:hint="eastAsia" w:ascii="宋体" w:hAnsi="宋体" w:cs="宋体"/>
          <w:bCs/>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
        </w:rPr>
        <w:t xml:space="preserve">对</w:t>
      </w:r>
      <w:r>
        <w:rPr>
          <w:rFonts w:ascii="宋体" w:hAnsi="宋体" w:eastAsia="宋体" w:cs="宋体"/>
          <w:b w:val="0"/>
          <w:bCs w:val="0"/>
          <w:color w:val="auto"/>
          <w:sz w:val="24"/>
          <w:szCs w:val="24"/>
          <w:highlight w:val="none"/>
          <w:lang w:val="en-US" w:eastAsia="zh-CN" w:bidi="ar"/>
        </w:rPr>
        <w:t xml:space="preserve">负责培训的技术人员专业化，培训方式多样化</w:t>
      </w:r>
      <w:r>
        <w:rPr>
          <w:rFonts w:hint="eastAsia" w:ascii="宋体" w:hAnsi="宋体" w:cs="宋体"/>
          <w:b w:val="0"/>
          <w:bCs w:val="0"/>
          <w:color w:val="auto"/>
          <w:sz w:val="24"/>
          <w:szCs w:val="24"/>
          <w:highlight w:val="none"/>
          <w:lang w:val="en-US" w:eastAsia="zh-CN" w:bidi="ar"/>
        </w:rPr>
        <w:t xml:space="preserve">；</w:t>
      </w:r>
      <w:r/>
    </w:p>
    <w:p>
      <w:pPr>
        <w:ind w:firstLine="480"/>
        <w:spacing w:line="360" w:lineRule="auto"/>
        <w:tabs>
          <w:tab w:val="left" w:pos="840" w:leader="none"/>
          <w:tab w:val="left" w:pos="105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④培训效果与质量的保证措施（</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分）</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投标人必须提出具体措施以确保培训效果，而非流于形式。</w:t>
      </w:r>
      <w:r/>
    </w:p>
    <w:p>
      <w:pPr>
        <w:ind w:firstLine="480"/>
        <w:spacing w:line="360" w:lineRule="auto"/>
        <w:tabs>
          <w:tab w:val="left" w:pos="840" w:leader="none"/>
          <w:tab w:val="left" w:pos="105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培训方案切实可行，负责培训的技术人员专业化，培训方式多样化，能够针对不同层次人员提供不同培训方案。针对项目特点设计培训方案，培训方式明确，培训内容描述清晰。以上内容不存在瑕疵的该条得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分；以上内容存在1处瑕疵的该条得</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分；以上内容存在2处瑕疵的该条得</w:t>
      </w:r>
      <w:r>
        <w:rPr>
          <w:rFonts w:hint="eastAsia" w:ascii="宋体" w:hAnsi="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lang w:val="en-US" w:eastAsia="zh-CN"/>
        </w:rPr>
        <w:t xml:space="preserve">分；未进行阐述或不满足采购需求或内容存在3处及以上瑕疵的该条得0分；本项最高得</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eastAsia="zh-CN"/>
        </w:rPr>
        <w:t xml:space="preserve">分。</w:t>
      </w:r>
      <w:r/>
    </w:p>
    <w:p>
      <w:pPr>
        <w:ind w:firstLine="480"/>
        <w:spacing w:line="360" w:lineRule="auto"/>
        <w:tabs>
          <w:tab w:val="left" w:pos="840" w:leader="none"/>
          <w:tab w:val="left" w:pos="1050" w:leader="none"/>
        </w:tabs>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pStyle w:val="1454"/>
        <w:ind w:firstLine="480"/>
        <w:jc w:val="left"/>
        <w:spacing w:after="0" w:line="360" w:lineRule="auto"/>
        <w:rPr>
          <w:rFonts w:hint="eastAsia" w:ascii="宋体" w:hAnsi="宋体" w:cs="宋体"/>
          <w:b/>
          <w:color w:val="auto"/>
          <w:sz w:val="24"/>
          <w:highlight w:val="none"/>
        </w:rPr>
        <w:outlineLvl w:val="3"/>
      </w:pPr>
      <w:r>
        <w:rPr>
          <w:rFonts w:hint="eastAsia" w:ascii="宋体" w:hAnsi="宋体" w:cs="宋体"/>
          <w:b/>
          <w:color w:val="auto"/>
          <w:sz w:val="24"/>
          <w:highlight w:val="none"/>
          <w:lang w:val="en-US" w:eastAsia="zh-CN"/>
        </w:rPr>
        <w:t xml:space="preserve">4</w:t>
      </w:r>
      <w:r>
        <w:rPr>
          <w:rFonts w:hint="eastAsia" w:ascii="宋体" w:hAnsi="宋体" w:cs="宋体"/>
          <w:b/>
          <w:color w:val="auto"/>
          <w:sz w:val="24"/>
          <w:highlight w:val="none"/>
        </w:rPr>
        <w:t xml:space="preserve">、加分因素（2分）</w:t>
      </w:r>
      <w:r/>
    </w:p>
    <w:p>
      <w:pPr>
        <w:ind w:firstLine="480"/>
        <w:jc w:val="left"/>
        <w:spacing w:line="360" w:lineRule="auto"/>
        <w:tabs>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0.5分，最高得1分。</w:t>
      </w:r>
      <w:r/>
    </w:p>
    <w:p>
      <w:pPr>
        <w:ind w:firstLine="480"/>
        <w:jc w:val="left"/>
        <w:spacing w:line="360" w:lineRule="auto"/>
        <w:tabs>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注：同一产品同时具备节能产品认证证书、环境标志产品认证证书的，不重复计分。投标时提供认证证书复印件。</w:t>
      </w:r>
      <w:r/>
    </w:p>
    <w:p>
      <w:pPr>
        <w:ind w:firstLine="480"/>
        <w:jc w:val="left"/>
        <w:spacing w:line="360" w:lineRule="auto"/>
        <w:tabs>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ind w:firstLine="480"/>
        <w:jc w:val="left"/>
        <w:spacing w:line="360" w:lineRule="auto"/>
        <w:tabs>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技术标评委在5人及5人以上的，取所有成员的平均值。评分办法及评分细则的解释权属采购人。未列入本评分细则的其他条件不作为评分内容。</w:t>
      </w:r>
      <w:r/>
    </w:p>
    <w:p>
      <w:pPr>
        <w:ind w:firstLine="480"/>
        <w:jc w:val="left"/>
        <w:spacing w:line="360" w:lineRule="auto"/>
        <w:tabs>
          <w:tab w:val="left" w:pos="945" w:leader="none"/>
          <w:tab w:val="left" w:pos="1155"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注：投标文件中需上传证明的材料文件应上传到相关联对应的页面，若在评审过程中，评委在相对应页面找不到相关联的文件，由此产生的后果由投标人自行负责。所需证明文件扫描件上传至投标文件并电子签章。</w:t>
      </w:r>
      <w:r/>
    </w:p>
    <w:p>
      <w:pPr>
        <w:jc w:val="left"/>
        <w:spacing w:line="360" w:lineRule="auto"/>
        <w:rPr>
          <w:rFonts w:hint="eastAsia" w:ascii="宋体" w:hAnsi="宋体" w:cs="宋体"/>
          <w:bCs/>
          <w:color w:val="auto"/>
          <w:sz w:val="24"/>
          <w:szCs w:val="24"/>
          <w:highlight w:val="none"/>
        </w:rPr>
        <w:outlineLvl w:val="1"/>
      </w:pPr>
      <w:r>
        <w:rPr>
          <w:rFonts w:hint="eastAsia" w:ascii="宋体" w:hAnsi="宋体" w:cs="宋体"/>
          <w:bCs/>
          <w:color w:val="auto"/>
          <w:sz w:val="24"/>
          <w:szCs w:val="24"/>
          <w:highlight w:val="none"/>
        </w:rPr>
        <w:t xml:space="preserve">附件二：投标文件格式</w:t>
      </w:r>
      <w:r/>
    </w:p>
    <w:p>
      <w:pPr>
        <w:rPr>
          <w:rFonts w:ascii="黑体" w:eastAsia="黑体"/>
          <w:bCs/>
          <w:color w:val="auto"/>
          <w:sz w:val="32"/>
          <w:highlight w:val="none"/>
        </w:rPr>
      </w:pPr>
      <w:r>
        <w:rPr>
          <w:rFonts w:ascii="黑体" w:eastAsia="黑体"/>
          <w:bCs/>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t xml:space="preserve">投</w:t>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t xml:space="preserve">标</w:t>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t xml:space="preserve">文</w:t>
      </w:r>
      <w:r/>
    </w:p>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t xml:space="preserve">件</w:t>
      </w:r>
      <w:r/>
    </w:p>
    <w:p>
      <w:pPr>
        <w:pStyle w:val="1444"/>
        <w:rPr>
          <w:rFonts w:hint="eastAsia" w:ascii="宋体" w:hAnsi="宋体" w:cs="宋体"/>
          <w:bCs/>
          <w:color w:val="auto"/>
          <w:sz w:val="52"/>
          <w:szCs w:val="52"/>
          <w:highlight w:val="none"/>
        </w:rPr>
      </w:pPr>
      <w:r>
        <w:rPr>
          <w:rFonts w:hint="eastAsia" w:ascii="宋体" w:hAnsi="宋体" w:cs="宋体"/>
          <w:bCs/>
          <w:color w:val="auto"/>
          <w:sz w:val="52"/>
          <w:szCs w:val="52"/>
          <w:highlight w:val="none"/>
        </w:rPr>
      </w:r>
      <w:r/>
    </w:p>
    <w:p>
      <w:pPr>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eastAsia="宋体" w:cs="宋体"/>
          <w:bCs/>
          <w:color w:val="auto"/>
          <w:sz w:val="30"/>
          <w:szCs w:val="30"/>
          <w:highlight w:val="none"/>
          <w:lang w:eastAsia="zh-CN"/>
        </w:rPr>
      </w:pPr>
      <w:r/>
      <w:bookmarkStart w:id="38" w:name="_Toc31708"/>
      <w:r/>
      <w:bookmarkStart w:id="39" w:name="_Toc3725"/>
      <w:r>
        <w:rPr>
          <w:rFonts w:hint="eastAsia" w:ascii="宋体" w:hAnsi="宋体" w:cs="宋体"/>
          <w:bCs/>
          <w:color w:val="auto"/>
          <w:sz w:val="30"/>
          <w:szCs w:val="30"/>
          <w:highlight w:val="none"/>
        </w:rPr>
        <w:t xml:space="preserve">采购项目编号：</w:t>
      </w:r>
      <w:bookmarkEnd w:id="38"/>
      <w:r/>
      <w:bookmarkEnd w:id="39"/>
      <w:r>
        <w:rPr>
          <w:rFonts w:hint="eastAsia" w:ascii="宋体" w:hAnsi="宋体" w:cs="宋体"/>
          <w:color w:val="auto"/>
          <w:sz w:val="30"/>
          <w:szCs w:val="30"/>
          <w:highlight w:val="none"/>
          <w:lang w:eastAsia="zh-CN"/>
        </w:rPr>
        <w:t xml:space="preserve">JSZC-320205-THGC-G2026-0006</w:t>
      </w:r>
      <w:r/>
    </w:p>
    <w:p>
      <w:pPr>
        <w:ind w:left="2100" w:hanging="2100"/>
        <w:spacing w:line="360" w:lineRule="auto"/>
        <w:rPr>
          <w:rFonts w:hint="eastAsia" w:ascii="宋体" w:hAnsi="宋体" w:eastAsia="宋体"/>
          <w:bCs/>
          <w:color w:val="auto"/>
          <w:sz w:val="30"/>
          <w:szCs w:val="30"/>
          <w:highlight w:val="none"/>
          <w:lang w:eastAsia="zh-CN"/>
        </w:rPr>
      </w:pPr>
      <w:r>
        <w:rPr>
          <w:rFonts w:hint="eastAsia" w:ascii="宋体" w:hAnsi="宋体"/>
          <w:bCs/>
          <w:color w:val="auto"/>
          <w:sz w:val="30"/>
          <w:szCs w:val="30"/>
          <w:highlight w:val="none"/>
        </w:rPr>
        <w:t xml:space="preserve">采购项目名称：</w:t>
      </w:r>
      <w:r>
        <w:rPr>
          <w:rFonts w:hint="eastAsia" w:ascii="宋体" w:hAnsi="宋体"/>
          <w:bCs/>
          <w:color w:val="auto"/>
          <w:sz w:val="30"/>
          <w:szCs w:val="30"/>
          <w:highlight w:val="none"/>
          <w:lang w:eastAsia="zh-CN"/>
        </w:rPr>
        <w:t xml:space="preserve">无锡市锡山区半导体先进制造创新中心超精密控制系统采购项目</w:t>
      </w:r>
      <w:r/>
    </w:p>
    <w:p>
      <w:pPr>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投标人：</w:t>
      </w:r>
      <w:r/>
    </w:p>
    <w:p>
      <w:pPr>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jc w:val="center"/>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年  月  日</w:t>
      </w:r>
      <w:bookmarkStart w:id="40" w:name="一．报价函（格式）"/>
      <w:r/>
      <w:bookmarkEnd w:id="40"/>
      <w:r/>
      <w:r/>
    </w:p>
    <w:p>
      <w:pPr>
        <w:jc w:val="center"/>
        <w:rPr>
          <w:rFonts w:hint="eastAsia" w:ascii="宋体" w:hAnsi="宋体" w:cs="宋体"/>
          <w:bCs/>
          <w:color w:val="auto"/>
          <w:sz w:val="28"/>
          <w:szCs w:val="28"/>
          <w:highlight w:val="none"/>
        </w:rPr>
        <w:sectPr>
          <w:headerReference w:type="default" r:id="rId13"/>
          <w:footerReference w:type="default" r:id="rId24"/>
          <w:footerReference w:type="first" r:id="rId25"/>
          <w:footnotePr/>
          <w:endnotePr/>
          <w:type w:val="nextPage"/>
          <w:pgSz w:w="11906" w:h="16838" w:orient="portrait"/>
          <w:pgMar w:top="1440" w:right="1800" w:bottom="1440" w:left="1800" w:header="624" w:footer="907" w:gutter="0"/>
          <w:cols w:num="1" w:sep="0" w:space="720" w:equalWidth="1"/>
          <w:docGrid w:linePitch="360"/>
          <w:titlePg/>
        </w:sectPr>
      </w:pPr>
      <w:r>
        <w:rPr>
          <w:rFonts w:hint="eastAsia" w:ascii="宋体" w:hAnsi="宋体" w:cs="宋体"/>
          <w:bCs/>
          <w:color w:val="auto"/>
          <w:sz w:val="28"/>
          <w:szCs w:val="28"/>
          <w:highlight w:val="none"/>
        </w:rPr>
      </w:r>
      <w:r/>
    </w:p>
    <w:p>
      <w:pPr>
        <w:rPr>
          <w:rFonts w:hint="eastAsia"/>
          <w:color w:val="auto"/>
          <w:highlight w:val="none"/>
        </w:rPr>
        <w:outlineLvl w:val="2"/>
      </w:pPr>
      <w:r>
        <w:rPr>
          <w:rFonts w:hint="eastAsia" w:ascii="宋体" w:hAnsi="宋体" w:cs="宋体"/>
          <w:b/>
          <w:color w:val="auto"/>
          <w:sz w:val="24"/>
          <w:szCs w:val="24"/>
          <w:highlight w:val="none"/>
        </w:rPr>
        <w:t xml:space="preserve">（一）投标函（格式）：</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center"/>
        <w:spacing w:line="360" w:lineRule="auto"/>
        <w:rPr>
          <w:rFonts w:hint="eastAsia"/>
          <w:color w:val="auto"/>
          <w:highlight w:val="none"/>
        </w:rPr>
      </w:pPr>
      <w:r>
        <w:rPr>
          <w:rFonts w:hint="eastAsia" w:ascii="宋体" w:hAnsi="宋体" w:cs="宋体"/>
          <w:bCs/>
          <w:color w:val="auto"/>
          <w:sz w:val="24"/>
          <w:szCs w:val="24"/>
          <w:highlight w:val="none"/>
        </w:rPr>
        <w:t xml:space="preserve">投标函</w:t>
      </w:r>
      <w:r/>
    </w:p>
    <w:p>
      <w:pPr>
        <w:spacing w:line="360" w:lineRule="auto"/>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致：</w:t>
      </w:r>
      <w:r>
        <w:rPr>
          <w:rFonts w:hint="eastAsia" w:ascii="宋体" w:hAnsi="宋体" w:cs="宋体"/>
          <w:bCs/>
          <w:color w:val="auto"/>
          <w:sz w:val="24"/>
          <w:szCs w:val="24"/>
          <w:highlight w:val="none"/>
          <w:u w:val="single"/>
        </w:rPr>
        <w:t xml:space="preserve">江苏通汇工程管理咨询有限公司</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我方收到贵方采购项目编号</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招标文件，经仔细阅读和研究，我方决定参加此次</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的投标。</w:t>
      </w:r>
      <w:r/>
    </w:p>
    <w:p>
      <w:pPr>
        <w:numPr>
          <w:ilvl w:val="0"/>
          <w:numId w:val="7"/>
        </w:numPr>
        <w:ind w:left="0" w:firstLine="525"/>
        <w:spacing w:line="360" w:lineRule="auto"/>
        <w:tabs>
          <w:tab w:val="left" w:pos="315" w:leader="none"/>
          <w:tab w:val="clear" w:pos="552" w:leader="none"/>
          <w:tab w:val="left" w:pos="840" w:leader="none"/>
          <w:tab w:val="left" w:pos="945" w:leader="none"/>
          <w:tab w:val="left" w:pos="1050" w:leader="none"/>
          <w:tab w:val="left" w:pos="126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我方愿意按照招标文件的一切要求，提供本项目的投标，投标总价见《开标一览表》。</w:t>
      </w:r>
      <w:r/>
    </w:p>
    <w:p>
      <w:pPr>
        <w:numPr>
          <w:ilvl w:val="0"/>
          <w:numId w:val="7"/>
        </w:numPr>
        <w:ind w:left="0" w:firstLine="523"/>
        <w:spacing w:line="360" w:lineRule="auto"/>
        <w:tabs>
          <w:tab w:val="left" w:pos="0" w:leader="none"/>
          <w:tab w:val="left" w:pos="315" w:leader="none"/>
          <w:tab w:val="left" w:pos="525" w:leader="none"/>
          <w:tab w:val="clear" w:pos="552" w:leader="none"/>
          <w:tab w:val="left" w:pos="840" w:leader="none"/>
          <w:tab w:val="left" w:pos="945" w:leader="none"/>
          <w:tab w:val="left" w:pos="1050" w:leader="none"/>
        </w:tabs>
        <w:rPr>
          <w:rStyle w:val="1460"/>
          <w:rFonts w:hint="eastAsia"/>
          <w:bCs/>
          <w:color w:val="auto"/>
          <w:highlight w:val="none"/>
        </w:rPr>
      </w:pPr>
      <w:r>
        <w:rPr>
          <w:rFonts w:hint="eastAsia" w:ascii="宋体" w:hAnsi="宋体" w:cs="宋体"/>
          <w:bCs/>
          <w:color w:val="auto"/>
          <w:sz w:val="24"/>
          <w:szCs w:val="24"/>
          <w:highlight w:val="none"/>
        </w:rPr>
        <w:t xml:space="preserve">我方愿意提供招标文件中要求的文件、资料。</w:t>
      </w:r>
      <w:r/>
    </w:p>
    <w:p>
      <w:pPr>
        <w:numPr>
          <w:ilvl w:val="0"/>
          <w:numId w:val="7"/>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我方同意按招标文件中的规定，本投标文件投标的有效期限为开标之日起90天。</w:t>
      </w:r>
      <w:r/>
    </w:p>
    <w:p>
      <w:pPr>
        <w:numPr>
          <w:ilvl w:val="0"/>
          <w:numId w:val="7"/>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如果我方的投标文件被接受，我方将履行招标文件中规定的每一项要求，按期、按质、按量，完成服务任务。</w:t>
      </w:r>
      <w:r/>
    </w:p>
    <w:p>
      <w:pPr>
        <w:numPr>
          <w:ilvl w:val="0"/>
          <w:numId w:val="7"/>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我方认为采购代理机构有权决定中标者。</w:t>
      </w:r>
      <w:r/>
    </w:p>
    <w:p>
      <w:pPr>
        <w:numPr>
          <w:ilvl w:val="0"/>
          <w:numId w:val="7"/>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s="宋体"/>
          <w:color w:val="auto"/>
          <w:sz w:val="24"/>
          <w:szCs w:val="24"/>
          <w:highlight w:val="none"/>
        </w:rPr>
        <w:t xml:space="preserve">和</w:t>
      </w:r>
      <w:r>
        <w:rPr>
          <w:rFonts w:hint="eastAsia" w:ascii="宋体" w:hAnsi="宋体" w:cs="宋体"/>
          <w:bCs/>
          <w:color w:val="auto"/>
          <w:sz w:val="24"/>
          <w:szCs w:val="24"/>
          <w:highlight w:val="none"/>
        </w:rPr>
        <w:t xml:space="preserve">合同条款履行自己的全部责任。</w:t>
      </w:r>
      <w:r/>
    </w:p>
    <w:p>
      <w:pPr>
        <w:numPr>
          <w:ilvl w:val="0"/>
          <w:numId w:val="7"/>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我方认可并遵守招标文件的所有规定，放弃对招标文件提出质疑的权利。</w:t>
      </w:r>
      <w:r/>
    </w:p>
    <w:p>
      <w:pPr>
        <w:numPr>
          <w:ilvl w:val="0"/>
          <w:numId w:val="7"/>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7"/>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如果我方被确定为中标供应商，我方愿意</w:t>
      </w:r>
      <w:r>
        <w:rPr>
          <w:rFonts w:hint="eastAsia" w:ascii="宋体" w:hAnsi="宋体" w:cs="宋体"/>
          <w:color w:val="auto"/>
          <w:sz w:val="24"/>
          <w:szCs w:val="24"/>
          <w:highlight w:val="none"/>
        </w:rPr>
        <w:t xml:space="preserve">向</w:t>
      </w:r>
      <w:r>
        <w:rPr>
          <w:rFonts w:hint="eastAsia" w:ascii="宋体" w:hAnsi="宋体" w:cs="宋体"/>
          <w:bCs/>
          <w:color w:val="auto"/>
          <w:sz w:val="24"/>
          <w:szCs w:val="24"/>
          <w:highlight w:val="none"/>
        </w:rPr>
        <w:t xml:space="preserve">采购人缴纳履约保证金（如有）。且我方如无不可抗力，又未履行招标文件、投标文件和合同条款的，一经查实，我方愿意赔偿由此而造成的一切损失，并同意接受按招标文件的相关要求对我方进行的处理。</w:t>
      </w:r>
      <w:r/>
    </w:p>
    <w:p>
      <w:pPr>
        <w:numPr>
          <w:ilvl w:val="0"/>
          <w:numId w:val="7"/>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72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投标人（盖章）：</w:t>
      </w:r>
      <w:r/>
    </w:p>
    <w:p>
      <w:pPr>
        <w:ind w:firstLine="480"/>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法定代表人或法定代表人授权代表签字或盖章：</w:t>
      </w:r>
      <w:r/>
    </w:p>
    <w:p>
      <w:pPr>
        <w:ind w:firstLine="480"/>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电话：                              传真：</w:t>
      </w:r>
      <w:r/>
    </w:p>
    <w:p>
      <w:pPr>
        <w:ind w:firstLine="480"/>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通讯地址：                          邮编：</w:t>
      </w:r>
      <w:r/>
    </w:p>
    <w:p>
      <w:pPr>
        <w:rPr>
          <w:rFonts w:hint="eastAsia" w:ascii="宋体" w:hAnsi="宋体" w:cs="宋体"/>
          <w:bCs/>
          <w:color w:val="auto"/>
          <w:sz w:val="24"/>
          <w:szCs w:val="24"/>
          <w:highlight w:val="none"/>
        </w:rPr>
        <w:sectPr>
          <w:footnotePr/>
          <w:endnotePr/>
          <w:type w:val="nextPage"/>
          <w:pgSz w:w="11906" w:h="16838" w:orient="portrait"/>
          <w:pgMar w:top="1440" w:right="1800" w:bottom="1440" w:left="1800" w:header="624" w:footer="907" w:gutter="0"/>
          <w:cols w:num="1" w:sep="0" w:space="720" w:equalWidth="1"/>
          <w:docGrid w:linePitch="360"/>
          <w:titlePg/>
        </w:sectPr>
      </w:pPr>
      <w:r>
        <w:rPr>
          <w:rFonts w:hint="eastAsia" w:ascii="宋体" w:hAnsi="宋体" w:cs="宋体"/>
          <w:bCs/>
          <w:color w:val="auto"/>
          <w:sz w:val="24"/>
          <w:szCs w:val="24"/>
          <w:highlight w:val="none"/>
        </w:rPr>
      </w:r>
      <w:r/>
    </w:p>
    <w:p>
      <w:pPr>
        <w:rPr>
          <w:rFonts w:hint="eastAsia" w:ascii="宋体" w:hAnsi="宋体" w:cs="宋体"/>
          <w:b/>
          <w:color w:val="auto"/>
          <w:sz w:val="24"/>
          <w:szCs w:val="24"/>
          <w:highlight w:val="none"/>
        </w:rPr>
        <w:outlineLvl w:val="2"/>
      </w:pPr>
      <w:r>
        <w:rPr>
          <w:rFonts w:hint="eastAsia" w:ascii="宋体" w:hAnsi="宋体" w:cs="宋体"/>
          <w:b/>
          <w:color w:val="auto"/>
          <w:sz w:val="24"/>
          <w:szCs w:val="24"/>
          <w:highlight w:val="none"/>
        </w:rPr>
        <w:t xml:space="preserve">（二）（投标人）关于资格的声明函（格式）：</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center"/>
        <w:rPr>
          <w:rFonts w:hint="eastAsia" w:ascii="宋体" w:hAnsi="宋体" w:cs="宋体"/>
          <w:bCs/>
          <w:color w:val="auto"/>
          <w:sz w:val="24"/>
          <w:szCs w:val="24"/>
          <w:highlight w:val="none"/>
        </w:rPr>
      </w:pPr>
      <w:r/>
      <w:bookmarkStart w:id="41" w:name="报价方关于资格的声明函（格式）"/>
      <w:r/>
      <w:bookmarkEnd w:id="41"/>
      <w:r>
        <w:rPr>
          <w:rFonts w:hint="eastAsia" w:ascii="宋体" w:hAnsi="宋体" w:cs="宋体"/>
          <w:bCs/>
          <w:color w:val="auto"/>
          <w:sz w:val="24"/>
          <w:szCs w:val="24"/>
          <w:highlight w:val="none"/>
        </w:rPr>
        <w:t xml:space="preserve">关于资格的声明函</w:t>
      </w:r>
      <w:r/>
    </w:p>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right"/>
        <w:spacing w:line="48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采购项目编号：       </w:t>
      </w:r>
      <w:r/>
    </w:p>
    <w:p>
      <w:pPr>
        <w:jc w:val="right"/>
        <w:spacing w:line="480" w:lineRule="auto"/>
        <w:tabs>
          <w:tab w:val="left" w:pos="630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日期：               </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我公司(单位)愿针对本次项目</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进行投标。</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我公司</w:t>
      </w:r>
      <w:r>
        <w:rPr>
          <w:rFonts w:hint="eastAsia" w:ascii="宋体" w:hAnsi="宋体" w:cs="宋体"/>
          <w:bCs/>
          <w:color w:val="auto"/>
          <w:sz w:val="24"/>
          <w:szCs w:val="24"/>
          <w:highlight w:val="none"/>
        </w:rPr>
        <w:t xml:space="preserve">(单位)</w:t>
      </w:r>
      <w:r>
        <w:rPr>
          <w:rFonts w:hint="eastAsia" w:ascii="宋体" w:hAnsi="宋体" w:cs="宋体"/>
          <w:color w:val="auto"/>
          <w:sz w:val="24"/>
          <w:szCs w:val="24"/>
          <w:highlight w:val="none"/>
        </w:rPr>
        <w:t xml:space="preserve">符合《中华人民共和国政府采购法》第二十二条的规定，在此郑重承诺具备以下条件：</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(一)具有独立承担民事责任的能力；</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(二)具有良好的商业信誉和健全的财务会计制度；</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(三)具有履行合同所必需的设备和专业技术能力；</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(四)有依法缴纳税收和社会保障资金的良好记录；</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(五)近三年内，在经营活动中没有重大违法记录；</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(六)投标文件中所有关于投标资格的文件、证明、陈述均是真实的、准确的。</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若有违背，我公司(单位)愿意承担由此而产生的一切后果。</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投标人(盖章)：</w:t>
      </w:r>
      <w:r/>
    </w:p>
    <w:p>
      <w:pPr>
        <w:ind w:firstLine="360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法定代表人(签字或盖章)：</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438"/>
        <w:ind w:left="0"/>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备注：上述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财库〔2022〕3号为准]。</w:t>
      </w:r>
      <w:r/>
    </w:p>
    <w:p>
      <w:pPr>
        <w:ind w:firstLine="480"/>
        <w:spacing w:line="360" w:lineRule="auto"/>
        <w:rPr>
          <w:rFonts w:hint="eastAsia" w:ascii="宋体" w:hAnsi="宋体" w:cs="宋体"/>
          <w:bCs/>
          <w:color w:val="auto"/>
          <w:sz w:val="24"/>
          <w:szCs w:val="24"/>
          <w:highlight w:val="none"/>
        </w:rPr>
        <w:sectPr>
          <w:footnotePr/>
          <w:endnotePr/>
          <w:type w:val="nextPage"/>
          <w:pgSz w:w="11906" w:h="16838" w:orient="portrait"/>
          <w:pgMar w:top="1440" w:right="1800" w:bottom="1440" w:left="1800" w:header="624" w:footer="907" w:gutter="0"/>
          <w:cols w:num="1" w:sep="0" w:space="720" w:equalWidth="1"/>
          <w:docGrid w:linePitch="360"/>
          <w:titlePg/>
        </w:sectPr>
      </w:pPr>
      <w:r>
        <w:rPr>
          <w:rFonts w:hint="eastAsia" w:ascii="宋体" w:hAnsi="宋体" w:cs="宋体"/>
          <w:bCs/>
          <w:color w:val="auto"/>
          <w:sz w:val="24"/>
          <w:szCs w:val="24"/>
          <w:highlight w:val="none"/>
        </w:rPr>
      </w:r>
      <w:r/>
    </w:p>
    <w:p>
      <w:pPr>
        <w:rPr>
          <w:rFonts w:hint="eastAsia" w:ascii="宋体" w:hAnsi="宋体" w:cs="宋体"/>
          <w:b/>
          <w:color w:val="auto"/>
          <w:sz w:val="24"/>
          <w:szCs w:val="24"/>
          <w:highlight w:val="none"/>
        </w:rPr>
        <w:outlineLvl w:val="2"/>
      </w:pPr>
      <w:r>
        <w:rPr>
          <w:rFonts w:hint="eastAsia" w:ascii="宋体" w:hAnsi="宋体" w:cs="宋体"/>
          <w:b/>
          <w:color w:val="auto"/>
          <w:sz w:val="24"/>
          <w:szCs w:val="24"/>
          <w:highlight w:val="none"/>
        </w:rPr>
        <w:t xml:space="preserve">（三）(投标人)法定代表人授权委托书（格式）：</w:t>
      </w:r>
      <w:r/>
    </w:p>
    <w:p>
      <w:pPr>
        <w:spacing w:line="360" w:lineRule="auto"/>
        <w:rPr>
          <w:rFonts w:hint="eastAsia" w:ascii="宋体" w:hAnsi="宋体" w:cs="宋体"/>
          <w:bCs/>
          <w:color w:val="auto"/>
          <w:sz w:val="24"/>
          <w:szCs w:val="24"/>
          <w:highlight w:val="none"/>
        </w:rPr>
      </w:pPr>
      <w:r/>
      <w:bookmarkStart w:id="42" w:name="_Toc32348"/>
      <w:r/>
      <w:bookmarkStart w:id="43" w:name="_Toc2444"/>
      <w:r/>
      <w:r/>
    </w:p>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法定代表人授权委托书</w:t>
      </w:r>
      <w:bookmarkEnd w:id="42"/>
      <w:r/>
      <w:bookmarkEnd w:id="43"/>
      <w:r/>
      <w:r/>
    </w:p>
    <w:p>
      <w:pPr>
        <w:spacing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采购项目编号：                                 日期：</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江苏通汇工程管理咨询有限公司：</w:t>
      </w:r>
      <w:r/>
    </w:p>
    <w:p>
      <w:pPr>
        <w:ind w:firstLine="24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系中华人民共和国合法企业（单位），特授权</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代表我公司(单位)全权办理针对本项目</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的投标、参与开标、评标、签约等具体工作，并签署全部有关的文件、协议及合同。</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我公司(单位)对被授权人的签名负全部责任。</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在撤销授权的书面通知送达你处以前，本授权书一直有效，被授权人签署的所有文件(在授权书有效期内签署的)不因授权的撤销而失效。</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被授权人情况：</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姓名：          性别：        电话：</w:t>
      </w:r>
      <w:r/>
    </w:p>
    <w:p>
      <w:pPr>
        <w:ind w:firstLine="504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单位名称(盖章)：</w:t>
      </w:r>
      <w:r/>
    </w:p>
    <w:p>
      <w:pPr>
        <w:ind w:firstLine="40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法定代表人(签字或盖章)：</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432"/>
        <w:ind w:firstLine="480"/>
        <w:rPr>
          <w:rFonts w:hint="eastAsia" w:hAnsi="宋体" w:cs="宋体"/>
          <w:bCs/>
          <w:color w:val="auto"/>
          <w:sz w:val="24"/>
          <w:szCs w:val="24"/>
          <w:highlight w:val="none"/>
        </w:rPr>
      </w:pPr>
      <w:r>
        <w:rPr>
          <w:rFonts w:hint="eastAsia" w:hAnsi="宋体" w:cs="宋体"/>
          <w:bCs/>
          <w:color w:val="auto"/>
          <w:sz w:val="24"/>
          <w:szCs w:val="24"/>
          <w:highlight w:val="none"/>
        </w:rPr>
      </w:r>
      <w:r/>
    </w:p>
    <w:p>
      <w:pPr>
        <w:rPr>
          <w:rFonts w:hint="eastAsia"/>
          <w:color w:val="auto"/>
          <w:highlight w:val="none"/>
        </w:rPr>
      </w:pPr>
      <w:r>
        <w:rPr>
          <w:rFonts w:hint="eastAsia"/>
          <w:color w:val="auto"/>
          <w:highlight w:val="none"/>
        </w:rPr>
      </w:r>
      <w:r/>
    </w:p>
    <w:p>
      <w:pPr>
        <w:ind w:firstLine="480"/>
        <w:spacing w:line="360" w:lineRule="auto"/>
        <w:rPr>
          <w:rFonts w:hint="eastAsia" w:ascii="宋体" w:hAnsi="宋体" w:cs="宋体"/>
          <w:bCs/>
          <w:color w:val="auto"/>
          <w:sz w:val="24"/>
          <w:szCs w:val="24"/>
          <w:highlight w:val="none"/>
        </w:rPr>
        <w:sectPr>
          <w:footnotePr/>
          <w:endnotePr/>
          <w:type w:val="nextPage"/>
          <w:pgSz w:w="11906" w:h="16838" w:orient="portrait"/>
          <w:pgMar w:top="1440" w:right="1800" w:bottom="1440" w:left="1800" w:header="624" w:footer="907" w:gutter="0"/>
          <w:cols w:num="1" w:sep="0" w:space="720" w:equalWidth="1"/>
          <w:docGrid w:linePitch="360"/>
          <w:titlePg/>
        </w:sectPr>
      </w:pPr>
      <w:r>
        <w:rPr>
          <w:rFonts w:hint="eastAsia" w:ascii="宋体" w:hAnsi="宋体" w:cs="宋体"/>
          <w:bCs/>
          <w:color w:val="auto"/>
          <w:sz w:val="24"/>
          <w:szCs w:val="24"/>
          <w:highlight w:val="none"/>
        </w:rPr>
      </w:r>
      <w:r/>
    </w:p>
    <w:p>
      <w:pPr>
        <w:rPr>
          <w:rFonts w:hint="eastAsia" w:ascii="宋体" w:hAnsi="宋体" w:cs="宋体"/>
          <w:b/>
          <w:color w:val="auto"/>
          <w:sz w:val="24"/>
          <w:szCs w:val="24"/>
          <w:highlight w:val="none"/>
        </w:rPr>
        <w:outlineLvl w:val="2"/>
      </w:pPr>
      <w:r>
        <w:rPr>
          <w:rFonts w:hint="eastAsia" w:ascii="宋体" w:hAnsi="宋体" w:cs="宋体"/>
          <w:b/>
          <w:color w:val="auto"/>
          <w:sz w:val="24"/>
          <w:szCs w:val="24"/>
          <w:highlight w:val="none"/>
        </w:rPr>
        <w:t xml:space="preserve">法定代表人亲自参加投标的需提供：</w:t>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法定代表人身份证明书（格式）</w:t>
      </w:r>
      <w:r/>
    </w:p>
    <w:p>
      <w:pPr>
        <w:ind w:firstLine="612"/>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color w:val="auto"/>
          <w:sz w:val="24"/>
          <w:szCs w:val="24"/>
          <w:highlight w:val="none"/>
          <w:u w:val="single"/>
        </w:rPr>
        <w:t xml:space="preserve">                                    </w:t>
      </w:r>
      <w:r/>
    </w:p>
    <w:p>
      <w:pPr>
        <w:ind w:firstLine="612"/>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单位性质：</w:t>
      </w:r>
      <w:r>
        <w:rPr>
          <w:rFonts w:hint="eastAsia" w:ascii="宋体" w:hAnsi="宋体"/>
          <w:color w:val="auto"/>
          <w:sz w:val="24"/>
          <w:szCs w:val="24"/>
          <w:highlight w:val="none"/>
          <w:u w:val="single"/>
        </w:rPr>
        <w:t xml:space="preserve">                                    </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 xml:space="preserve">                                    </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成立时间：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经营期限：</w:t>
      </w:r>
      <w:r>
        <w:rPr>
          <w:rFonts w:hint="eastAsia" w:ascii="宋体" w:hAnsi="宋体"/>
          <w:color w:val="auto"/>
          <w:sz w:val="24"/>
          <w:szCs w:val="24"/>
          <w:highlight w:val="none"/>
          <w:u w:val="single"/>
        </w:rPr>
        <w:t xml:space="preserve">                                    </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姓    名</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性别：</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职务：</w:t>
      </w:r>
      <w:r>
        <w:rPr>
          <w:rFonts w:hint="eastAsia" w:ascii="宋体" w:hAnsi="宋体"/>
          <w:color w:val="auto"/>
          <w:sz w:val="24"/>
          <w:szCs w:val="24"/>
          <w:highlight w:val="none"/>
          <w:u w:val="single"/>
        </w:rPr>
        <w:t xml:space="preserve">        </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系的法定代表人。</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特此证明。</w:t>
      </w:r>
      <w:r/>
    </w:p>
    <w:p>
      <w:pPr>
        <w:ind w:firstLine="4320"/>
        <w:spacing w:line="600" w:lineRule="auto"/>
        <w:tabs>
          <w:tab w:val="left" w:pos="720" w:leader="none"/>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color w:val="auto"/>
          <w:sz w:val="24"/>
          <w:szCs w:val="24"/>
          <w:highlight w:val="none"/>
          <w:u w:val="single"/>
        </w:rPr>
        <w:t xml:space="preserve">             （盖公章）</w:t>
      </w:r>
      <w:r/>
    </w:p>
    <w:p>
      <w:pPr>
        <w:ind w:right="480" w:firstLine="5280"/>
        <w:widowControl/>
        <w:rPr>
          <w:rFonts w:ascii="宋体" w:hAnsi="宋体"/>
          <w:color w:val="auto"/>
          <w:sz w:val="24"/>
          <w:szCs w:val="24"/>
          <w:highlight w:val="none"/>
        </w:rPr>
      </w:pPr>
      <w:r>
        <w:rPr>
          <w:rFonts w:hint="eastAsia" w:ascii="宋体" w:hAnsi="宋体"/>
          <w:color w:val="auto"/>
          <w:sz w:val="24"/>
          <w:szCs w:val="24"/>
          <w:highlight w:val="none"/>
        </w:rPr>
        <w:t xml:space="preserve">日  期：  年  月  日</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rPr>
          <w:rFonts w:hint="eastAsia" w:ascii="宋体" w:hAnsi="宋体" w:cs="宋体"/>
          <w:bCs/>
          <w:color w:val="auto"/>
          <w:sz w:val="24"/>
          <w:szCs w:val="24"/>
          <w:highlight w:val="none"/>
        </w:rPr>
      </w:pPr>
      <w:r/>
      <w:bookmarkStart w:id="44" w:name="_Toc19047"/>
      <w:r/>
      <w:bookmarkStart w:id="45" w:name="_Toc7396"/>
      <w:r/>
      <w:r/>
    </w:p>
    <w:p>
      <w:pPr>
        <w:pStyle w:val="1432"/>
        <w:ind w:firstLine="480"/>
        <w:rPr>
          <w:rFonts w:hint="eastAsia" w:hAnsi="宋体" w:cs="宋体"/>
          <w:bCs/>
          <w:color w:val="auto"/>
          <w:sz w:val="24"/>
          <w:szCs w:val="24"/>
          <w:highlight w:val="none"/>
        </w:rPr>
      </w:pPr>
      <w:r>
        <w:rPr>
          <w:rFonts w:hint="eastAsia" w:hAnsi="宋体" w:cs="宋体"/>
          <w:bCs/>
          <w:color w:val="auto"/>
          <w:sz w:val="24"/>
          <w:szCs w:val="24"/>
          <w:highlight w:val="none"/>
        </w:rPr>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432"/>
        <w:ind w:firstLine="420"/>
        <w:rPr>
          <w:rFonts w:hint="eastAsia"/>
          <w:color w:val="auto"/>
          <w:highlight w:val="none"/>
        </w:rPr>
      </w:pPr>
      <w:r>
        <w:rPr>
          <w:rFonts w:hint="eastAsia"/>
          <w:color w:val="auto"/>
          <w:highlight w:val="none"/>
        </w:rPr>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rPr>
          <w:rFonts w:hint="eastAsia" w:ascii="宋体" w:hAnsi="宋体" w:cs="宋体"/>
          <w:bCs/>
          <w:color w:val="auto"/>
          <w:sz w:val="24"/>
          <w:szCs w:val="24"/>
          <w:highlight w:val="none"/>
        </w:rPr>
        <w:sectPr>
          <w:footnotePr/>
          <w:endnotePr/>
          <w:type w:val="nextPage"/>
          <w:pgSz w:w="11906" w:h="16838" w:orient="portrait"/>
          <w:pgMar w:top="1440" w:right="1800" w:bottom="1440" w:left="1800" w:header="624" w:footer="907" w:gutter="0"/>
          <w:cols w:num="1" w:sep="0" w:space="720" w:equalWidth="1"/>
          <w:docGrid w:linePitch="360"/>
          <w:titlePg/>
        </w:sectPr>
      </w:pPr>
      <w:r>
        <w:rPr>
          <w:rFonts w:hint="eastAsia" w:ascii="宋体" w:hAnsi="宋体" w:cs="宋体"/>
          <w:bCs/>
          <w:color w:val="auto"/>
          <w:sz w:val="24"/>
          <w:szCs w:val="24"/>
          <w:highlight w:val="none"/>
        </w:rPr>
      </w:r>
      <w:r/>
    </w:p>
    <w:p>
      <w:pPr>
        <w:rPr>
          <w:rFonts w:hint="eastAsia" w:ascii="宋体" w:hAnsi="宋体" w:cs="宋体"/>
          <w:b/>
          <w:color w:val="auto"/>
          <w:sz w:val="24"/>
          <w:szCs w:val="24"/>
          <w:highlight w:val="none"/>
        </w:rPr>
        <w:outlineLvl w:val="2"/>
      </w:pPr>
      <w:r>
        <w:rPr>
          <w:rFonts w:hint="eastAsia" w:ascii="宋体" w:hAnsi="宋体" w:cs="宋体"/>
          <w:b/>
          <w:color w:val="auto"/>
          <w:sz w:val="24"/>
          <w:szCs w:val="24"/>
          <w:highlight w:val="none"/>
        </w:rPr>
        <w:t xml:space="preserve">（四）承诺书</w:t>
      </w:r>
      <w:bookmarkEnd w:id="44"/>
      <w:r/>
      <w:bookmarkEnd w:id="45"/>
      <w:r>
        <w:rPr>
          <w:rFonts w:hint="eastAsia" w:ascii="宋体" w:hAnsi="宋体" w:cs="宋体"/>
          <w:b/>
          <w:color w:val="auto"/>
          <w:sz w:val="24"/>
          <w:szCs w:val="24"/>
          <w:highlight w:val="none"/>
        </w:rPr>
        <w:t xml:space="preserve">（格式）：</w:t>
      </w:r>
      <w:r/>
    </w:p>
    <w:p>
      <w:pPr>
        <w:jc w:val="center"/>
        <w:spacing w:line="360" w:lineRule="auto"/>
        <w:tabs>
          <w:tab w:val="left" w:pos="0" w:leader="none"/>
          <w:tab w:val="left" w:pos="315" w:leader="none"/>
          <w:tab w:val="left" w:pos="525" w:leader="none"/>
          <w:tab w:val="left" w:pos="945" w:leader="none"/>
          <w:tab w:val="left" w:pos="1050" w:leader="none"/>
        </w:tabs>
        <w:rPr>
          <w:rFonts w:hint="eastAsia" w:ascii="宋体" w:hAnsi="宋体"/>
          <w:b/>
          <w:bCs/>
          <w:color w:val="auto"/>
          <w:sz w:val="24"/>
          <w:highlight w:val="none"/>
        </w:rPr>
      </w:pPr>
      <w:r>
        <w:rPr>
          <w:rFonts w:hint="eastAsia" w:ascii="宋体" w:hAnsi="宋体"/>
          <w:b/>
          <w:bCs/>
          <w:color w:val="auto"/>
          <w:sz w:val="24"/>
          <w:highlight w:val="none"/>
        </w:rPr>
        <w:t xml:space="preserve">承诺书</w:t>
      </w:r>
      <w:r/>
    </w:p>
    <w:p>
      <w:pPr>
        <w:ind w:firstLine="3840"/>
        <w:jc w:val="left"/>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r>
      <w:r/>
    </w:p>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rPr>
          <w:rFonts w:hint="eastAsia" w:ascii="宋体" w:hAnsi="宋体" w:cs="宋体"/>
          <w:color w:val="auto"/>
          <w:sz w:val="24"/>
          <w:szCs w:val="22"/>
          <w:highlight w:val="none"/>
        </w:rPr>
        <w:t xml:space="preserve">供应商</w:t>
      </w:r>
      <w:r>
        <w:rPr>
          <w:rFonts w:hint="eastAsia" w:ascii="宋体" w:hAnsi="宋体" w:cs="宋体"/>
          <w:color w:val="auto"/>
          <w:sz w:val="24"/>
          <w:szCs w:val="24"/>
          <w:highlight w:val="none"/>
        </w:rPr>
        <w:t xml:space="preserve">名称）在此承诺：</w:t>
      </w:r>
      <w:r/>
    </w:p>
    <w:p>
      <w:pPr>
        <w:jc w:val="left"/>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r>
      <w:r/>
    </w:p>
    <w:p>
      <w:pPr>
        <w:ind w:firstLine="480"/>
        <w:jc w:val="left"/>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1．本公司（单位）对本项目（       ）提供符合采购要求的产品和服务；</w:t>
      </w:r>
      <w:r/>
    </w:p>
    <w:p>
      <w:pPr>
        <w:ind w:firstLine="480"/>
        <w:jc w:val="left"/>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2．本公司（单位）具备履行合同所必需的服务和专业技术能力；</w:t>
      </w:r>
      <w:r/>
    </w:p>
    <w:p>
      <w:pPr>
        <w:ind w:firstLine="480"/>
        <w:jc w:val="left"/>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3．本公司未被“信用中国”网站（www.creditchina.gov.cn）、中国政府采购网（www.ccgp.gov.cn）列入失信被执行人、重大税收违法案件当事人名单、政府采购严重违法失信行为记录名单。</w:t>
      </w:r>
      <w:r/>
    </w:p>
    <w:p>
      <w:pPr>
        <w:ind w:firstLine="480"/>
        <w:jc w:val="left"/>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如违背上述承诺，本公司（单位）将承担一切法律责任。</w:t>
      </w:r>
      <w:r/>
    </w:p>
    <w:p>
      <w:pPr>
        <w:jc w:val="left"/>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r>
      <w:r/>
    </w:p>
    <w:p>
      <w:pPr>
        <w:jc w:val="left"/>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r>
      <w:r/>
    </w:p>
    <w:p>
      <w:pPr>
        <w:ind w:firstLine="3720"/>
        <w:spacing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供应商（盖章）：</w:t>
      </w:r>
      <w:r/>
    </w:p>
    <w:p>
      <w:pPr>
        <w:ind w:firstLine="480"/>
        <w:spacing w:line="480" w:lineRule="auto"/>
        <w:rPr>
          <w:rFonts w:hint="eastAsia" w:ascii="宋体" w:hAnsi="宋体" w:cs="宋体"/>
          <w:color w:val="auto"/>
          <w:szCs w:val="22"/>
          <w:highlight w:val="none"/>
        </w:rPr>
        <w:sectPr>
          <w:headerReference w:type="default" r:id="rId14"/>
          <w:headerReference w:type="first" r:id="rId15"/>
          <w:footerReference w:type="default" r:id="rId26"/>
          <w:footerReference w:type="first" r:id="rId27"/>
          <w:footnotePr/>
          <w:endnotePr/>
          <w:type w:val="nextPage"/>
          <w:pgSz w:w="11906" w:h="16838" w:orient="portrait"/>
          <w:pgMar w:top="1417" w:right="1417" w:bottom="1417" w:left="1418" w:header="624" w:footer="907" w:gutter="0"/>
          <w:cols w:num="1" w:sep="0" w:space="720" w:equalWidth="1"/>
          <w:docGrid w:linePitch="360"/>
          <w:titlePg/>
        </w:sectPr>
      </w:pPr>
      <w:r>
        <w:rPr>
          <w:rFonts w:hint="eastAsia" w:ascii="宋体" w:hAnsi="宋体" w:cs="宋体"/>
          <w:bCs/>
          <w:color w:val="auto"/>
          <w:sz w:val="24"/>
          <w:szCs w:val="24"/>
          <w:highlight w:val="none"/>
        </w:rPr>
        <w:t xml:space="preserve">法定代表人或法定代表人授权代表签字或盖章：</w:t>
      </w:r>
      <w:r/>
    </w:p>
    <w:p>
      <w:pPr>
        <w:rPr>
          <w:rFonts w:hint="eastAsia" w:ascii="宋体" w:hAnsi="宋体" w:cs="宋体"/>
          <w:b/>
          <w:color w:val="auto"/>
          <w:sz w:val="24"/>
          <w:szCs w:val="24"/>
          <w:highlight w:val="none"/>
        </w:rPr>
        <w:outlineLvl w:val="2"/>
      </w:pPr>
      <w:r>
        <w:rPr>
          <w:rFonts w:hint="eastAsia" w:ascii="宋体" w:hAnsi="宋体" w:cs="宋体"/>
          <w:b/>
          <w:color w:val="auto"/>
          <w:sz w:val="24"/>
          <w:szCs w:val="24"/>
          <w:highlight w:val="none"/>
        </w:rPr>
        <w:t xml:space="preserve">（五）开标一览表（格式）：</w:t>
      </w:r>
      <w:r/>
    </w:p>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开标一览表</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供应商名称（盖章） </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项目名称：</w:t>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采购项目编号：</w:t>
      </w:r>
      <w:r>
        <w:rPr>
          <w:rFonts w:hint="eastAsia" w:ascii="宋体" w:hAnsi="宋体" w:cs="宋体"/>
          <w:bCs/>
          <w:color w:val="auto"/>
          <w:sz w:val="24"/>
          <w:szCs w:val="24"/>
          <w:highlight w:val="none"/>
          <w:lang w:eastAsia="zh-CN"/>
        </w:rPr>
        <w:t xml:space="preserve">JSZC-320205-THGC-G2026-0006</w:t>
      </w:r>
      <w:r/>
    </w:p>
    <w:p>
      <w:pPr>
        <w:spacing w:line="360" w:lineRule="auto"/>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分包号：采购包</w:t>
      </w:r>
      <w:r/>
    </w:p>
    <w:tbl>
      <w:tblPr>
        <w:tblStyle w:val="1431"/>
        <w:tblW w:w="93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97"/>
        <w:gridCol w:w="5609"/>
      </w:tblGrid>
      <w:tr>
        <w:trPr>
          <w:jc w:val="center"/>
          <w:trHeight w:val="675"/>
        </w:trPr>
        <w:tc>
          <w:tcPr>
            <w:tcW w:w="3697"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投标货物名称</w:t>
            </w:r>
            <w:r/>
          </w:p>
        </w:tc>
        <w:tc>
          <w:tcPr>
            <w:tcW w:w="5609" w:type="dxa"/>
            <w:vAlign w:val="center"/>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jc w:val="center"/>
          <w:trHeight w:val="527"/>
        </w:trPr>
        <w:tc>
          <w:tcPr>
            <w:tcW w:w="3697"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bCs/>
                <w:color w:val="auto"/>
                <w:sz w:val="24"/>
                <w:szCs w:val="24"/>
                <w:highlight w:val="none"/>
              </w:rPr>
              <w:t xml:space="preserve">总价（小写）</w:t>
            </w:r>
            <w:r/>
          </w:p>
        </w:tc>
        <w:tc>
          <w:tcPr>
            <w:tcW w:w="5609"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27"/>
        </w:trPr>
        <w:tc>
          <w:tcPr>
            <w:tcW w:w="3697"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总价（大写）</w:t>
            </w:r>
            <w:r/>
          </w:p>
        </w:tc>
        <w:tc>
          <w:tcPr>
            <w:tcW w:w="5609"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27"/>
        </w:trPr>
        <w:tc>
          <w:tcPr>
            <w:tcW w:w="369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核心产品品牌</w:t>
            </w:r>
            <w:r/>
          </w:p>
        </w:tc>
        <w:tc>
          <w:tcPr>
            <w:tcW w:w="5609"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spacing w:line="360" w:lineRule="auto"/>
        <w:rPr>
          <w:rFonts w:hint="eastAsia" w:ascii="宋体" w:hAnsi="宋体" w:cs="宋体"/>
          <w:b/>
          <w:color w:val="auto"/>
          <w:sz w:val="24"/>
          <w:szCs w:val="24"/>
          <w:highlight w:val="none"/>
          <w:u w:val="single"/>
        </w:rPr>
      </w:pPr>
      <w:r>
        <w:rPr>
          <w:rFonts w:hint="eastAsia" w:ascii="宋体" w:hAnsi="宋体" w:cs="宋体"/>
          <w:b/>
          <w:bCs/>
          <w:color w:val="auto"/>
          <w:sz w:val="24"/>
          <w:szCs w:val="24"/>
          <w:highlight w:val="none"/>
        </w:rPr>
        <w:t xml:space="preserve">注：评标时一律按苏采云系统自带的开标一览表中内容为准，开标一览表中必须盖章。投标人对所报相关数据的真实性负责，</w:t>
      </w:r>
      <w:r>
        <w:rPr>
          <w:rFonts w:hint="eastAsia" w:ascii="宋体" w:hAnsi="宋体" w:cs="宋体"/>
          <w:b/>
          <w:color w:val="auto"/>
          <w:sz w:val="24"/>
          <w:szCs w:val="24"/>
          <w:highlight w:val="none"/>
          <w:u w:val="single"/>
        </w:rPr>
        <w:t xml:space="preserve">江苏通汇工程管理咨询有限公司有权将相关内容进行公示。</w:t>
      </w:r>
      <w:r/>
    </w:p>
    <w:p>
      <w:pPr>
        <w:spacing w:before="5"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left="720" w:hanging="720"/>
        <w:spacing w:line="400" w:lineRule="exact"/>
        <w:rPr>
          <w:rFonts w:hint="eastAsia" w:ascii="宋体" w:hAnsi="宋体" w:cs="宋体"/>
          <w:bCs/>
          <w:color w:val="auto"/>
          <w:sz w:val="24"/>
          <w:szCs w:val="24"/>
          <w:highlight w:val="none"/>
        </w:rPr>
        <w:sectPr>
          <w:footerReference w:type="default" r:id="rId28"/>
          <w:footnotePr/>
          <w:endnotePr/>
          <w:type w:val="nextPage"/>
          <w:pgSz w:w="11906" w:h="16838" w:orient="portrait"/>
          <w:pgMar w:top="1440" w:right="1800" w:bottom="1440" w:left="1800" w:header="624" w:footer="907" w:gutter="0"/>
          <w:cols w:num="1" w:sep="0" w:space="720" w:equalWidth="1"/>
          <w:docGrid w:linePitch="360"/>
        </w:sectPr>
      </w:pPr>
      <w:r>
        <w:rPr>
          <w:rFonts w:hint="eastAsia" w:ascii="宋体" w:hAnsi="宋体" w:cs="宋体"/>
          <w:bCs/>
          <w:color w:val="auto"/>
          <w:sz w:val="24"/>
          <w:szCs w:val="24"/>
          <w:highlight w:val="none"/>
        </w:rPr>
      </w:r>
      <w:r/>
    </w:p>
    <w:p>
      <w:pPr>
        <w:rPr>
          <w:rFonts w:hint="eastAsia" w:ascii="宋体" w:hAnsi="宋体" w:cs="宋体"/>
          <w:b/>
          <w:color w:val="auto"/>
          <w:sz w:val="24"/>
          <w:szCs w:val="24"/>
          <w:highlight w:val="none"/>
        </w:rPr>
        <w:outlineLvl w:val="2"/>
      </w:pPr>
      <w:r>
        <w:rPr>
          <w:rFonts w:hint="eastAsia" w:ascii="宋体" w:hAnsi="宋体" w:cs="宋体"/>
          <w:b/>
          <w:color w:val="auto"/>
          <w:sz w:val="24"/>
          <w:szCs w:val="24"/>
          <w:highlight w:val="none"/>
        </w:rPr>
        <w:t xml:space="preserve">（六）报价明细表（格式）：</w:t>
      </w:r>
      <w:r/>
    </w:p>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报价明细表</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供应商名称（盖章）                        政府采购编号：</w:t>
      </w:r>
      <w:r/>
    </w:p>
    <w:tbl>
      <w:tblPr>
        <w:tblStyle w:val="1431"/>
        <w:tblW w:w="100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13"/>
        <w:gridCol w:w="800"/>
        <w:gridCol w:w="1351"/>
        <w:gridCol w:w="1074"/>
        <w:gridCol w:w="1074"/>
        <w:gridCol w:w="687"/>
        <w:gridCol w:w="663"/>
        <w:gridCol w:w="600"/>
        <w:gridCol w:w="1025"/>
        <w:gridCol w:w="1125"/>
        <w:gridCol w:w="1062"/>
      </w:tblGrid>
      <w:tr>
        <w:trPr>
          <w:cantSplit/>
          <w:jc w:val="center"/>
          <w:trHeight w:val="519"/>
        </w:trPr>
        <w:tc>
          <w:tcPr>
            <w:tcMar>
              <w:left w:w="15" w:type="dxa"/>
              <w:top w:w="15" w:type="dxa"/>
              <w:right w:w="15" w:type="dxa"/>
              <w:bottom w:w="0" w:type="dxa"/>
            </w:tcMar>
            <w:tcW w:w="613" w:type="dxa"/>
            <w:vAlign w:val="center"/>
            <w:textDirection w:val="lrTb"/>
            <w:noWrap/>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t xml:space="preserve">序号</w:t>
            </w:r>
            <w:r/>
          </w:p>
        </w:tc>
        <w:tc>
          <w:tcPr>
            <w:tcMar>
              <w:left w:w="15" w:type="dxa"/>
              <w:top w:w="15" w:type="dxa"/>
              <w:right w:w="15" w:type="dxa"/>
              <w:bottom w:w="0" w:type="dxa"/>
            </w:tcMar>
            <w:tcW w:w="800" w:type="dxa"/>
            <w:vAlign w:val="center"/>
            <w:textDirection w:val="lrTb"/>
            <w:noWrap/>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t xml:space="preserve">名称</w:t>
            </w:r>
            <w:r/>
          </w:p>
        </w:tc>
        <w:tc>
          <w:tcPr>
            <w:tcMar>
              <w:left w:w="15" w:type="dxa"/>
              <w:top w:w="15" w:type="dxa"/>
              <w:right w:w="15" w:type="dxa"/>
              <w:bottom w:w="0" w:type="dxa"/>
            </w:tcMar>
            <w:tcW w:w="1351" w:type="dxa"/>
            <w:vAlign w:val="center"/>
            <w:textDirection w:val="lrTb"/>
            <w:noWrap/>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t xml:space="preserve">品牌/型号</w:t>
            </w:r>
            <w:r/>
          </w:p>
        </w:tc>
        <w:tc>
          <w:tcPr>
            <w:tcMar>
              <w:left w:w="15" w:type="dxa"/>
              <w:top w:w="15" w:type="dxa"/>
              <w:right w:w="15" w:type="dxa"/>
              <w:bottom w:w="0" w:type="dxa"/>
            </w:tcMar>
            <w:tcW w:w="1074" w:type="dxa"/>
            <w:vAlign w:val="center"/>
            <w:textDirection w:val="lrTb"/>
            <w:noWrap/>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t xml:space="preserve">技术参数</w:t>
            </w:r>
            <w:r/>
          </w:p>
        </w:tc>
        <w:tc>
          <w:tcPr>
            <w:tcMar>
              <w:left w:w="15" w:type="dxa"/>
              <w:top w:w="15" w:type="dxa"/>
              <w:right w:w="15" w:type="dxa"/>
              <w:bottom w:w="0" w:type="dxa"/>
            </w:tcMar>
            <w:tcW w:w="1074" w:type="dxa"/>
            <w:vAlign w:val="center"/>
            <w:textDirection w:val="lrTb"/>
            <w:noWrap/>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t xml:space="preserve">性能指标</w:t>
            </w:r>
            <w:r/>
          </w:p>
        </w:tc>
        <w:tc>
          <w:tcPr>
            <w:tcMar>
              <w:left w:w="15" w:type="dxa"/>
              <w:top w:w="15" w:type="dxa"/>
              <w:right w:w="15" w:type="dxa"/>
              <w:bottom w:w="0" w:type="dxa"/>
            </w:tcMar>
            <w:tcW w:w="687"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t xml:space="preserve">数量</w:t>
            </w:r>
            <w:r/>
          </w:p>
        </w:tc>
        <w:tc>
          <w:tcPr>
            <w:tcMar>
              <w:left w:w="15" w:type="dxa"/>
              <w:top w:w="15" w:type="dxa"/>
              <w:right w:w="15" w:type="dxa"/>
              <w:bottom w:w="0" w:type="dxa"/>
            </w:tcMar>
            <w:tcW w:w="663" w:type="dxa"/>
            <w:vAlign w:val="center"/>
            <w:textDirection w:val="lrTb"/>
            <w:noWrap/>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t xml:space="preserve">单位</w:t>
            </w:r>
            <w:r/>
          </w:p>
        </w:tc>
        <w:tc>
          <w:tcPr>
            <w:tcMar>
              <w:left w:w="15" w:type="dxa"/>
              <w:top w:w="15" w:type="dxa"/>
              <w:right w:w="15" w:type="dxa"/>
              <w:bottom w:w="0" w:type="dxa"/>
            </w:tcMar>
            <w:tcW w:w="600" w:type="dxa"/>
            <w:vAlign w:val="center"/>
            <w:textDirection w:val="lrTb"/>
            <w:noWrap/>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t xml:space="preserve">产地</w:t>
            </w:r>
            <w:r/>
          </w:p>
        </w:tc>
        <w:tc>
          <w:tcPr>
            <w:tcW w:w="1025"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t xml:space="preserve">免费质保期</w:t>
            </w:r>
            <w:r/>
          </w:p>
        </w:tc>
        <w:tc>
          <w:tcPr>
            <w:tcW w:w="1125"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t xml:space="preserve">单报价（元）</w:t>
            </w:r>
            <w:r/>
          </w:p>
        </w:tc>
        <w:tc>
          <w:tcPr>
            <w:tcW w:w="1062"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t xml:space="preserve">分项总报价（元）</w:t>
            </w:r>
            <w:r/>
          </w:p>
        </w:tc>
      </w:tr>
      <w:tr>
        <w:trPr>
          <w:cantSplit/>
          <w:jc w:val="center"/>
          <w:trHeight w:val="615"/>
        </w:trPr>
        <w:tc>
          <w:tcPr>
            <w:tcMar>
              <w:left w:w="15" w:type="dxa"/>
              <w:top w:w="15" w:type="dxa"/>
              <w:right w:w="15" w:type="dxa"/>
              <w:bottom w:w="0" w:type="dxa"/>
            </w:tcMar>
            <w:tcW w:w="613" w:type="dxa"/>
            <w:vAlign w:val="center"/>
            <w:textDirection w:val="lrTb"/>
            <w:noWrap/>
          </w:tcPr>
          <w:p>
            <w:pPr>
              <w:pStyle w:val="1514"/>
              <w:spacing w:before="5"/>
              <w:tabs>
                <w:tab w:val="clear" w:pos="4153" w:leader="none"/>
                <w:tab w:val="clear" w:pos="8306" w:leader="none"/>
              </w:tabs>
              <w:rPr>
                <w:rFonts w:hint="eastAsia" w:ascii="宋体" w:hAnsi="宋体" w:cs="宋体"/>
                <w:color w:val="auto"/>
                <w:highlight w:val="none"/>
              </w:rPr>
              <w:pBdr>
                <w:bottom w:val="none" w:color="000000" w:sz="0" w:space="0"/>
              </w:pBdr>
            </w:pPr>
            <w:r>
              <w:rPr>
                <w:rFonts w:hint="eastAsia" w:ascii="宋体" w:hAnsi="宋体" w:cs="宋体"/>
                <w:color w:val="auto"/>
                <w:highlight w:val="none"/>
              </w:rPr>
            </w:r>
            <w:r/>
          </w:p>
        </w:tc>
        <w:tc>
          <w:tcPr>
            <w:tcMar>
              <w:left w:w="15" w:type="dxa"/>
              <w:top w:w="15" w:type="dxa"/>
              <w:right w:w="15" w:type="dxa"/>
              <w:bottom w:w="0" w:type="dxa"/>
            </w:tcMar>
            <w:tcW w:w="800" w:type="dxa"/>
            <w:vAlign w:val="center"/>
            <w:textDirection w:val="lrTb"/>
            <w:noWrap/>
          </w:tcPr>
          <w:p>
            <w:pPr>
              <w:pStyle w:val="1514"/>
              <w:tabs>
                <w:tab w:val="clear" w:pos="4153" w:leader="none"/>
                <w:tab w:val="clear" w:pos="8306" w:leader="none"/>
              </w:tabs>
              <w:rPr>
                <w:rFonts w:hint="eastAsia" w:ascii="宋体" w:hAnsi="宋体" w:cs="宋体"/>
                <w:bCs/>
                <w:color w:val="auto"/>
                <w:highlight w:val="none"/>
              </w:rPr>
              <w:pBdr>
                <w:bottom w:val="none" w:color="000000" w:sz="0" w:space="0"/>
              </w:pBdr>
            </w:pPr>
            <w:r>
              <w:rPr>
                <w:rFonts w:hint="eastAsia" w:ascii="宋体" w:hAnsi="宋体" w:cs="宋体"/>
                <w:bCs/>
                <w:color w:val="auto"/>
                <w:highlight w:val="none"/>
              </w:rPr>
            </w:r>
            <w:r/>
          </w:p>
        </w:tc>
        <w:tc>
          <w:tcPr>
            <w:tcMar>
              <w:left w:w="15" w:type="dxa"/>
              <w:top w:w="15" w:type="dxa"/>
              <w:right w:w="15" w:type="dxa"/>
              <w:bottom w:w="0" w:type="dxa"/>
            </w:tcMar>
            <w:tcW w:w="1351" w:type="dxa"/>
            <w:vAlign w:val="center"/>
            <w:textDirection w:val="lrTb"/>
            <w:noWrap w:val="false"/>
          </w:tcPr>
          <w:p>
            <w:pPr>
              <w:pStyle w:val="1514"/>
              <w:tabs>
                <w:tab w:val="clear" w:pos="4153" w:leader="none"/>
                <w:tab w:val="clear" w:pos="8306" w:leader="none"/>
              </w:tabs>
              <w:rPr>
                <w:rFonts w:hint="eastAsia" w:ascii="宋体" w:hAnsi="宋体" w:cs="宋体"/>
                <w:bCs/>
                <w:color w:val="auto"/>
                <w:highlight w:val="none"/>
              </w:rPr>
              <w:pBdr>
                <w:bottom w:val="none" w:color="000000" w:sz="0" w:space="0"/>
              </w:pBdr>
            </w:pPr>
            <w:r>
              <w:rPr>
                <w:rFonts w:hint="eastAsia" w:ascii="宋体" w:hAnsi="宋体" w:cs="宋体"/>
                <w:bCs/>
                <w:color w:val="auto"/>
                <w:highlight w:val="none"/>
              </w:rPr>
            </w:r>
            <w:r/>
          </w:p>
        </w:tc>
        <w:tc>
          <w:tcPr>
            <w:tcMar>
              <w:left w:w="15" w:type="dxa"/>
              <w:top w:w="15" w:type="dxa"/>
              <w:right w:w="15" w:type="dxa"/>
              <w:bottom w:w="0" w:type="dxa"/>
            </w:tcMar>
            <w:tcW w:w="1074" w:type="dxa"/>
            <w:vAlign w:val="top"/>
            <w:textDirection w:val="lrTb"/>
            <w:noWrap w:val="false"/>
          </w:tcPr>
          <w:p>
            <w:pPr>
              <w:jc w:val="center"/>
              <w:rPr>
                <w:rFonts w:hint="eastAsia" w:ascii="宋体" w:hAnsi="宋体" w:cs="宋体"/>
                <w:bCs/>
                <w:color w:val="auto"/>
                <w:sz w:val="18"/>
                <w:highlight w:val="none"/>
              </w:rPr>
            </w:pPr>
            <w:r>
              <w:rPr>
                <w:rFonts w:hint="eastAsia" w:ascii="宋体" w:hAnsi="宋体" w:cs="宋体"/>
                <w:bCs/>
                <w:color w:val="auto"/>
                <w:sz w:val="18"/>
                <w:highlight w:val="none"/>
              </w:rPr>
            </w:r>
            <w:r/>
          </w:p>
        </w:tc>
        <w:tc>
          <w:tcPr>
            <w:tcMar>
              <w:left w:w="15" w:type="dxa"/>
              <w:top w:w="15" w:type="dxa"/>
              <w:right w:w="15" w:type="dxa"/>
              <w:bottom w:w="0" w:type="dxa"/>
            </w:tcMar>
            <w:tcW w:w="1074" w:type="dxa"/>
            <w:vAlign w:val="top"/>
            <w:textDirection w:val="lrTb"/>
            <w:noWrap w:val="false"/>
          </w:tcPr>
          <w:p>
            <w:pPr>
              <w:jc w:val="center"/>
              <w:rPr>
                <w:rFonts w:hint="eastAsia" w:ascii="宋体" w:hAnsi="宋体" w:cs="宋体"/>
                <w:bCs/>
                <w:color w:val="auto"/>
                <w:sz w:val="18"/>
                <w:highlight w:val="none"/>
              </w:rPr>
            </w:pPr>
            <w:r>
              <w:rPr>
                <w:rFonts w:hint="eastAsia" w:ascii="宋体" w:hAnsi="宋体" w:cs="宋体"/>
                <w:bCs/>
                <w:color w:val="auto"/>
                <w:sz w:val="18"/>
                <w:highlight w:val="none"/>
              </w:rPr>
            </w:r>
            <w:r/>
          </w:p>
        </w:tc>
        <w:tc>
          <w:tcPr>
            <w:tcMar>
              <w:left w:w="15" w:type="dxa"/>
              <w:top w:w="15" w:type="dxa"/>
              <w:right w:w="15" w:type="dxa"/>
              <w:bottom w:w="0" w:type="dxa"/>
            </w:tcMar>
            <w:tcW w:w="687" w:type="dxa"/>
            <w:vAlign w:val="center"/>
            <w:textDirection w:val="lrTb"/>
            <w:noWrap w:val="false"/>
          </w:tcPr>
          <w:p>
            <w:pPr>
              <w:jc w:val="center"/>
              <w:rPr>
                <w:rFonts w:hint="eastAsia" w:ascii="宋体" w:hAnsi="宋体" w:cs="宋体"/>
                <w:bCs/>
                <w:color w:val="auto"/>
                <w:sz w:val="18"/>
                <w:highlight w:val="none"/>
              </w:rPr>
            </w:pPr>
            <w:r>
              <w:rPr>
                <w:rFonts w:hint="eastAsia" w:ascii="宋体" w:hAnsi="宋体" w:cs="宋体"/>
                <w:bCs/>
                <w:color w:val="auto"/>
                <w:sz w:val="18"/>
                <w:highlight w:val="none"/>
              </w:rPr>
            </w:r>
            <w:r/>
          </w:p>
        </w:tc>
        <w:tc>
          <w:tcPr>
            <w:tcMar>
              <w:left w:w="15" w:type="dxa"/>
              <w:top w:w="15" w:type="dxa"/>
              <w:right w:w="15" w:type="dxa"/>
              <w:bottom w:w="0" w:type="dxa"/>
            </w:tcMar>
            <w:tcW w:w="663" w:type="dxa"/>
            <w:vAlign w:val="center"/>
            <w:textDirection w:val="lrTb"/>
            <w:noWrap/>
          </w:tcPr>
          <w:p>
            <w:pPr>
              <w:jc w:val="center"/>
              <w:rPr>
                <w:rFonts w:hint="eastAsia" w:ascii="宋体" w:hAnsi="宋体" w:cs="宋体"/>
                <w:b/>
                <w:bCs/>
                <w:color w:val="auto"/>
                <w:highlight w:val="none"/>
              </w:rPr>
            </w:pPr>
            <w:r>
              <w:rPr>
                <w:rFonts w:hint="eastAsia" w:ascii="宋体" w:hAnsi="宋体" w:cs="宋体"/>
                <w:b/>
                <w:bCs/>
                <w:color w:val="auto"/>
                <w:highlight w:val="none"/>
              </w:rPr>
            </w:r>
            <w:r/>
          </w:p>
        </w:tc>
        <w:tc>
          <w:tcPr>
            <w:tcMar>
              <w:left w:w="15" w:type="dxa"/>
              <w:top w:w="15" w:type="dxa"/>
              <w:right w:w="15" w:type="dxa"/>
              <w:bottom w:w="0" w:type="dxa"/>
            </w:tcMar>
            <w:tcW w:w="600" w:type="dxa"/>
            <w:vAlign w:val="center"/>
            <w:textDirection w:val="lrTb"/>
            <w:noWrap/>
          </w:tcPr>
          <w:p>
            <w:pPr>
              <w:jc w:val="center"/>
              <w:rPr>
                <w:rFonts w:hint="eastAsia" w:ascii="宋体" w:hAnsi="宋体" w:cs="宋体"/>
                <w:b/>
                <w:bCs/>
                <w:color w:val="auto"/>
                <w:highlight w:val="none"/>
              </w:rPr>
            </w:pPr>
            <w:r>
              <w:rPr>
                <w:rFonts w:hint="eastAsia" w:ascii="宋体" w:hAnsi="宋体" w:cs="宋体"/>
                <w:b/>
                <w:bCs/>
                <w:color w:val="auto"/>
                <w:highlight w:val="none"/>
              </w:rPr>
            </w:r>
            <w:r/>
          </w:p>
        </w:tc>
        <w:tc>
          <w:tcPr>
            <w:tcW w:w="1025" w:type="dxa"/>
            <w:vAlign w:val="center"/>
            <w:textDirection w:val="lrTb"/>
            <w:noWrap w:val="false"/>
          </w:tcPr>
          <w:p>
            <w:pPr>
              <w:jc w:val="center"/>
              <w:rPr>
                <w:rFonts w:hint="eastAsia" w:ascii="宋体" w:hAnsi="宋体" w:cs="宋体"/>
                <w:b/>
                <w:bCs/>
                <w:color w:val="auto"/>
                <w:highlight w:val="none"/>
              </w:rPr>
            </w:pPr>
            <w:r>
              <w:rPr>
                <w:rFonts w:hint="eastAsia" w:ascii="宋体" w:hAnsi="宋体" w:cs="宋体"/>
                <w:b/>
                <w:bCs/>
                <w:color w:val="auto"/>
                <w:highlight w:val="none"/>
              </w:rPr>
            </w:r>
            <w:r/>
          </w:p>
        </w:tc>
        <w:tc>
          <w:tcPr>
            <w:tcW w:w="1125"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062"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cantSplit/>
          <w:jc w:val="center"/>
          <w:trHeight w:val="615"/>
        </w:trPr>
        <w:tc>
          <w:tcPr>
            <w:tcMar>
              <w:left w:w="15" w:type="dxa"/>
              <w:top w:w="15" w:type="dxa"/>
              <w:right w:w="15" w:type="dxa"/>
              <w:bottom w:w="0" w:type="dxa"/>
            </w:tcMar>
            <w:tcW w:w="613" w:type="dxa"/>
            <w:vAlign w:val="center"/>
            <w:textDirection w:val="lrTb"/>
            <w:noWrap/>
          </w:tcPr>
          <w:p>
            <w:pPr>
              <w:pStyle w:val="1514"/>
              <w:spacing w:before="5"/>
              <w:tabs>
                <w:tab w:val="clear" w:pos="4153" w:leader="none"/>
                <w:tab w:val="clear" w:pos="8306" w:leader="none"/>
              </w:tabs>
              <w:rPr>
                <w:rFonts w:hint="eastAsia" w:ascii="宋体" w:hAnsi="宋体" w:cs="宋体"/>
                <w:color w:val="auto"/>
                <w:highlight w:val="none"/>
              </w:rPr>
              <w:pBdr>
                <w:bottom w:val="none" w:color="000000" w:sz="0" w:space="0"/>
              </w:pBdr>
            </w:pPr>
            <w:r>
              <w:rPr>
                <w:rFonts w:hint="eastAsia" w:ascii="宋体" w:hAnsi="宋体" w:cs="宋体"/>
                <w:color w:val="auto"/>
                <w:highlight w:val="none"/>
              </w:rPr>
            </w:r>
            <w:r/>
          </w:p>
        </w:tc>
        <w:tc>
          <w:tcPr>
            <w:tcMar>
              <w:left w:w="15" w:type="dxa"/>
              <w:top w:w="15" w:type="dxa"/>
              <w:right w:w="15" w:type="dxa"/>
              <w:bottom w:w="0" w:type="dxa"/>
            </w:tcMar>
            <w:tcW w:w="800" w:type="dxa"/>
            <w:vAlign w:val="center"/>
            <w:textDirection w:val="lrTb"/>
            <w:noWrap/>
          </w:tcPr>
          <w:p>
            <w:pPr>
              <w:pStyle w:val="1514"/>
              <w:tabs>
                <w:tab w:val="clear" w:pos="4153" w:leader="none"/>
                <w:tab w:val="clear" w:pos="8306" w:leader="none"/>
              </w:tabs>
              <w:rPr>
                <w:rFonts w:hint="eastAsia" w:ascii="宋体" w:hAnsi="宋体" w:cs="宋体"/>
                <w:bCs/>
                <w:color w:val="auto"/>
                <w:highlight w:val="none"/>
              </w:rPr>
              <w:pBdr>
                <w:bottom w:val="none" w:color="000000" w:sz="0" w:space="0"/>
              </w:pBdr>
            </w:pPr>
            <w:r>
              <w:rPr>
                <w:rFonts w:hint="eastAsia" w:ascii="宋体" w:hAnsi="宋体" w:cs="宋体"/>
                <w:bCs/>
                <w:color w:val="auto"/>
                <w:highlight w:val="none"/>
              </w:rPr>
            </w:r>
            <w:r/>
          </w:p>
        </w:tc>
        <w:tc>
          <w:tcPr>
            <w:tcMar>
              <w:left w:w="15" w:type="dxa"/>
              <w:top w:w="15" w:type="dxa"/>
              <w:right w:w="15" w:type="dxa"/>
              <w:bottom w:w="0" w:type="dxa"/>
            </w:tcMar>
            <w:tcW w:w="1351" w:type="dxa"/>
            <w:vAlign w:val="center"/>
            <w:textDirection w:val="lrTb"/>
            <w:noWrap w:val="false"/>
          </w:tcPr>
          <w:p>
            <w:pPr>
              <w:pStyle w:val="1514"/>
              <w:tabs>
                <w:tab w:val="clear" w:pos="4153" w:leader="none"/>
                <w:tab w:val="clear" w:pos="8306" w:leader="none"/>
              </w:tabs>
              <w:rPr>
                <w:rFonts w:hint="eastAsia" w:ascii="宋体" w:hAnsi="宋体" w:cs="宋体"/>
                <w:bCs/>
                <w:color w:val="auto"/>
                <w:highlight w:val="none"/>
              </w:rPr>
              <w:pBdr>
                <w:bottom w:val="none" w:color="000000" w:sz="0" w:space="0"/>
              </w:pBdr>
            </w:pPr>
            <w:r>
              <w:rPr>
                <w:rFonts w:hint="eastAsia" w:ascii="宋体" w:hAnsi="宋体" w:cs="宋体"/>
                <w:bCs/>
                <w:color w:val="auto"/>
                <w:highlight w:val="none"/>
              </w:rPr>
            </w:r>
            <w:r/>
          </w:p>
        </w:tc>
        <w:tc>
          <w:tcPr>
            <w:tcMar>
              <w:left w:w="15" w:type="dxa"/>
              <w:top w:w="15" w:type="dxa"/>
              <w:right w:w="15" w:type="dxa"/>
              <w:bottom w:w="0" w:type="dxa"/>
            </w:tcMar>
            <w:tcW w:w="1074" w:type="dxa"/>
            <w:vAlign w:val="top"/>
            <w:textDirection w:val="lrTb"/>
            <w:noWrap w:val="false"/>
          </w:tcPr>
          <w:p>
            <w:pPr>
              <w:jc w:val="center"/>
              <w:rPr>
                <w:rFonts w:hint="eastAsia" w:ascii="宋体" w:hAnsi="宋体" w:cs="宋体"/>
                <w:bCs/>
                <w:color w:val="auto"/>
                <w:sz w:val="18"/>
                <w:highlight w:val="none"/>
              </w:rPr>
            </w:pPr>
            <w:r>
              <w:rPr>
                <w:rFonts w:hint="eastAsia" w:ascii="宋体" w:hAnsi="宋体" w:cs="宋体"/>
                <w:bCs/>
                <w:color w:val="auto"/>
                <w:sz w:val="18"/>
                <w:highlight w:val="none"/>
              </w:rPr>
            </w:r>
            <w:r/>
          </w:p>
        </w:tc>
        <w:tc>
          <w:tcPr>
            <w:tcMar>
              <w:left w:w="15" w:type="dxa"/>
              <w:top w:w="15" w:type="dxa"/>
              <w:right w:w="15" w:type="dxa"/>
              <w:bottom w:w="0" w:type="dxa"/>
            </w:tcMar>
            <w:tcW w:w="1074" w:type="dxa"/>
            <w:vAlign w:val="top"/>
            <w:textDirection w:val="lrTb"/>
            <w:noWrap w:val="false"/>
          </w:tcPr>
          <w:p>
            <w:pPr>
              <w:jc w:val="center"/>
              <w:rPr>
                <w:rFonts w:hint="eastAsia" w:ascii="宋体" w:hAnsi="宋体" w:cs="宋体"/>
                <w:bCs/>
                <w:color w:val="auto"/>
                <w:sz w:val="18"/>
                <w:highlight w:val="none"/>
              </w:rPr>
            </w:pPr>
            <w:r>
              <w:rPr>
                <w:rFonts w:hint="eastAsia" w:ascii="宋体" w:hAnsi="宋体" w:cs="宋体"/>
                <w:bCs/>
                <w:color w:val="auto"/>
                <w:sz w:val="18"/>
                <w:highlight w:val="none"/>
              </w:rPr>
            </w:r>
            <w:r/>
          </w:p>
        </w:tc>
        <w:tc>
          <w:tcPr>
            <w:tcMar>
              <w:left w:w="15" w:type="dxa"/>
              <w:top w:w="15" w:type="dxa"/>
              <w:right w:w="15" w:type="dxa"/>
              <w:bottom w:w="0" w:type="dxa"/>
            </w:tcMar>
            <w:tcW w:w="687" w:type="dxa"/>
            <w:vAlign w:val="center"/>
            <w:textDirection w:val="lrTb"/>
            <w:noWrap w:val="false"/>
          </w:tcPr>
          <w:p>
            <w:pPr>
              <w:jc w:val="center"/>
              <w:rPr>
                <w:rFonts w:hint="eastAsia" w:ascii="宋体" w:hAnsi="宋体" w:cs="宋体"/>
                <w:bCs/>
                <w:color w:val="auto"/>
                <w:sz w:val="18"/>
                <w:highlight w:val="none"/>
              </w:rPr>
            </w:pPr>
            <w:r>
              <w:rPr>
                <w:rFonts w:hint="eastAsia" w:ascii="宋体" w:hAnsi="宋体" w:cs="宋体"/>
                <w:bCs/>
                <w:color w:val="auto"/>
                <w:sz w:val="18"/>
                <w:highlight w:val="none"/>
              </w:rPr>
            </w:r>
            <w:r/>
          </w:p>
        </w:tc>
        <w:tc>
          <w:tcPr>
            <w:tcMar>
              <w:left w:w="15" w:type="dxa"/>
              <w:top w:w="15" w:type="dxa"/>
              <w:right w:w="15" w:type="dxa"/>
              <w:bottom w:w="0" w:type="dxa"/>
            </w:tcMar>
            <w:tcW w:w="663" w:type="dxa"/>
            <w:vAlign w:val="center"/>
            <w:textDirection w:val="lrTb"/>
            <w:noWrap/>
          </w:tcPr>
          <w:p>
            <w:pPr>
              <w:jc w:val="center"/>
              <w:rPr>
                <w:rFonts w:hint="eastAsia" w:ascii="宋体" w:hAnsi="宋体" w:cs="宋体"/>
                <w:b/>
                <w:bCs/>
                <w:color w:val="auto"/>
                <w:highlight w:val="none"/>
              </w:rPr>
            </w:pPr>
            <w:r>
              <w:rPr>
                <w:rFonts w:hint="eastAsia" w:ascii="宋体" w:hAnsi="宋体" w:cs="宋体"/>
                <w:b/>
                <w:bCs/>
                <w:color w:val="auto"/>
                <w:highlight w:val="none"/>
              </w:rPr>
            </w:r>
            <w:r/>
          </w:p>
        </w:tc>
        <w:tc>
          <w:tcPr>
            <w:tcMar>
              <w:left w:w="15" w:type="dxa"/>
              <w:top w:w="15" w:type="dxa"/>
              <w:right w:w="15" w:type="dxa"/>
              <w:bottom w:w="0" w:type="dxa"/>
            </w:tcMar>
            <w:tcW w:w="600" w:type="dxa"/>
            <w:vAlign w:val="center"/>
            <w:textDirection w:val="lrTb"/>
            <w:noWrap/>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025"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125"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062"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cantSplit/>
          <w:jc w:val="center"/>
          <w:trHeight w:val="567"/>
        </w:trPr>
        <w:tc>
          <w:tcPr>
            <w:tcMar>
              <w:left w:w="15" w:type="dxa"/>
              <w:top w:w="15" w:type="dxa"/>
              <w:right w:w="15" w:type="dxa"/>
              <w:bottom w:w="0" w:type="dxa"/>
            </w:tcMar>
            <w:tcW w:w="613" w:type="dxa"/>
            <w:vAlign w:val="center"/>
            <w:textDirection w:val="lrTb"/>
            <w:noWrap/>
          </w:tcPr>
          <w:p>
            <w:pPr>
              <w:jc w:val="center"/>
              <w:rPr>
                <w:rFonts w:hint="eastAsia" w:ascii="宋体" w:hAnsi="宋体" w:cs="宋体"/>
                <w:color w:val="auto"/>
                <w:sz w:val="18"/>
                <w:highlight w:val="none"/>
              </w:rPr>
            </w:pPr>
            <w:r>
              <w:rPr>
                <w:rFonts w:hint="eastAsia" w:ascii="宋体" w:hAnsi="宋体" w:cs="宋体"/>
                <w:color w:val="auto"/>
                <w:sz w:val="18"/>
                <w:highlight w:val="none"/>
              </w:rPr>
            </w:r>
            <w:r/>
          </w:p>
        </w:tc>
        <w:tc>
          <w:tcPr>
            <w:tcMar>
              <w:left w:w="15" w:type="dxa"/>
              <w:top w:w="15" w:type="dxa"/>
              <w:right w:w="15" w:type="dxa"/>
              <w:bottom w:w="0" w:type="dxa"/>
            </w:tcMar>
            <w:tcW w:w="800"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r>
            <w:r/>
          </w:p>
        </w:tc>
        <w:tc>
          <w:tcPr>
            <w:tcMar>
              <w:left w:w="15" w:type="dxa"/>
              <w:top w:w="15" w:type="dxa"/>
              <w:right w:w="15" w:type="dxa"/>
              <w:bottom w:w="0" w:type="dxa"/>
            </w:tcMar>
            <w:tcW w:w="1351" w:type="dxa"/>
            <w:vAlign w:val="center"/>
            <w:textDirection w:val="lrTb"/>
            <w:noWrap w:val="false"/>
          </w:tcPr>
          <w:p>
            <w:pPr>
              <w:pStyle w:val="1514"/>
              <w:tabs>
                <w:tab w:val="clear" w:pos="4153" w:leader="none"/>
                <w:tab w:val="clear" w:pos="8306" w:leader="none"/>
              </w:tabs>
              <w:rPr>
                <w:rFonts w:hint="eastAsia" w:ascii="宋体" w:hAnsi="宋体" w:cs="宋体"/>
                <w:bCs/>
                <w:color w:val="auto"/>
                <w:highlight w:val="none"/>
              </w:rPr>
              <w:pBdr>
                <w:bottom w:val="none" w:color="000000" w:sz="0" w:space="0"/>
              </w:pBdr>
            </w:pPr>
            <w:r>
              <w:rPr>
                <w:rFonts w:hint="eastAsia" w:ascii="宋体" w:hAnsi="宋体" w:cs="宋体"/>
                <w:bCs/>
                <w:color w:val="auto"/>
                <w:highlight w:val="none"/>
              </w:rPr>
            </w:r>
            <w:r/>
          </w:p>
        </w:tc>
        <w:tc>
          <w:tcPr>
            <w:tcMar>
              <w:left w:w="15" w:type="dxa"/>
              <w:top w:w="15" w:type="dxa"/>
              <w:right w:w="15" w:type="dxa"/>
              <w:bottom w:w="0" w:type="dxa"/>
            </w:tcMar>
            <w:tcW w:w="1074" w:type="dxa"/>
            <w:vAlign w:val="center"/>
            <w:textDirection w:val="lrTb"/>
            <w:noWrap w:val="false"/>
          </w:tcPr>
          <w:p>
            <w:pPr>
              <w:jc w:val="center"/>
              <w:rPr>
                <w:rFonts w:hint="eastAsia" w:ascii="宋体" w:hAnsi="宋体" w:cs="宋体"/>
                <w:bCs/>
                <w:color w:val="auto"/>
                <w:sz w:val="18"/>
                <w:highlight w:val="none"/>
              </w:rPr>
            </w:pPr>
            <w:r>
              <w:rPr>
                <w:rFonts w:hint="eastAsia" w:ascii="宋体" w:hAnsi="宋体" w:cs="宋体"/>
                <w:bCs/>
                <w:color w:val="auto"/>
                <w:sz w:val="18"/>
                <w:highlight w:val="none"/>
              </w:rPr>
            </w:r>
            <w:r/>
          </w:p>
        </w:tc>
        <w:tc>
          <w:tcPr>
            <w:tcMar>
              <w:left w:w="15" w:type="dxa"/>
              <w:top w:w="15" w:type="dxa"/>
              <w:right w:w="15" w:type="dxa"/>
              <w:bottom w:w="0" w:type="dxa"/>
            </w:tcMar>
            <w:tcW w:w="1074" w:type="dxa"/>
            <w:vAlign w:val="center"/>
            <w:textDirection w:val="lrTb"/>
            <w:noWrap w:val="false"/>
          </w:tcPr>
          <w:p>
            <w:pPr>
              <w:jc w:val="center"/>
              <w:rPr>
                <w:rFonts w:hint="eastAsia" w:ascii="宋体" w:hAnsi="宋体" w:cs="宋体"/>
                <w:bCs/>
                <w:color w:val="auto"/>
                <w:sz w:val="18"/>
                <w:highlight w:val="none"/>
              </w:rPr>
            </w:pPr>
            <w:r>
              <w:rPr>
                <w:rFonts w:hint="eastAsia" w:ascii="宋体" w:hAnsi="宋体" w:cs="宋体"/>
                <w:bCs/>
                <w:color w:val="auto"/>
                <w:sz w:val="18"/>
                <w:highlight w:val="none"/>
              </w:rPr>
            </w:r>
            <w:r/>
          </w:p>
        </w:tc>
        <w:tc>
          <w:tcPr>
            <w:tcMar>
              <w:left w:w="15" w:type="dxa"/>
              <w:top w:w="15" w:type="dxa"/>
              <w:right w:w="15" w:type="dxa"/>
              <w:bottom w:w="0" w:type="dxa"/>
            </w:tcMar>
            <w:tcW w:w="687" w:type="dxa"/>
            <w:vAlign w:val="center"/>
            <w:textDirection w:val="lrTb"/>
            <w:noWrap w:val="false"/>
          </w:tcPr>
          <w:p>
            <w:pPr>
              <w:jc w:val="center"/>
              <w:rPr>
                <w:rFonts w:hint="eastAsia" w:ascii="宋体" w:hAnsi="宋体" w:cs="宋体"/>
                <w:bCs/>
                <w:color w:val="auto"/>
                <w:sz w:val="18"/>
                <w:highlight w:val="none"/>
              </w:rPr>
            </w:pPr>
            <w:r>
              <w:rPr>
                <w:rFonts w:hint="eastAsia" w:ascii="宋体" w:hAnsi="宋体" w:cs="宋体"/>
                <w:bCs/>
                <w:color w:val="auto"/>
                <w:sz w:val="18"/>
                <w:highlight w:val="none"/>
              </w:rPr>
            </w:r>
            <w:r/>
          </w:p>
        </w:tc>
        <w:tc>
          <w:tcPr>
            <w:tcMar>
              <w:left w:w="15" w:type="dxa"/>
              <w:top w:w="15" w:type="dxa"/>
              <w:right w:w="15" w:type="dxa"/>
              <w:bottom w:w="0" w:type="dxa"/>
            </w:tcMar>
            <w:tcW w:w="663" w:type="dxa"/>
            <w:vAlign w:val="center"/>
            <w:textDirection w:val="lrTb"/>
            <w:noWrap/>
          </w:tcPr>
          <w:p>
            <w:pPr>
              <w:jc w:val="center"/>
              <w:rPr>
                <w:rFonts w:hint="eastAsia" w:ascii="宋体" w:hAnsi="宋体" w:cs="宋体"/>
                <w:b/>
                <w:bCs/>
                <w:color w:val="auto"/>
                <w:highlight w:val="none"/>
              </w:rPr>
            </w:pPr>
            <w:r>
              <w:rPr>
                <w:rFonts w:hint="eastAsia" w:ascii="宋体" w:hAnsi="宋体" w:cs="宋体"/>
                <w:b/>
                <w:bCs/>
                <w:color w:val="auto"/>
                <w:highlight w:val="none"/>
              </w:rPr>
            </w:r>
            <w:r/>
          </w:p>
        </w:tc>
        <w:tc>
          <w:tcPr>
            <w:tcMar>
              <w:left w:w="15" w:type="dxa"/>
              <w:top w:w="15" w:type="dxa"/>
              <w:right w:w="15" w:type="dxa"/>
              <w:bottom w:w="0" w:type="dxa"/>
            </w:tcMar>
            <w:tcW w:w="600" w:type="dxa"/>
            <w:vAlign w:val="center"/>
            <w:textDirection w:val="lrTb"/>
            <w:noWrap/>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025"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125"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062"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cantSplit/>
          <w:jc w:val="center"/>
          <w:trHeight w:val="635"/>
        </w:trPr>
        <w:tc>
          <w:tcPr>
            <w:gridSpan w:val="3"/>
            <w:tcMar>
              <w:left w:w="15" w:type="dxa"/>
              <w:top w:w="15" w:type="dxa"/>
              <w:right w:w="15" w:type="dxa"/>
              <w:bottom w:w="0" w:type="dxa"/>
            </w:tcMar>
            <w:tcW w:w="2764" w:type="dxa"/>
            <w:vAlign w:val="center"/>
            <w:textDirection w:val="lrTb"/>
            <w:noWrap/>
          </w:tcPr>
          <w:p>
            <w:pPr>
              <w:pStyle w:val="1514"/>
              <w:tabs>
                <w:tab w:val="clear" w:pos="4153" w:leader="none"/>
                <w:tab w:val="clear" w:pos="8306" w:leader="none"/>
              </w:tabs>
              <w:rPr>
                <w:rFonts w:hint="eastAsia" w:ascii="宋体" w:hAnsi="宋体" w:cs="宋体"/>
                <w:b/>
                <w:bCs/>
                <w:color w:val="auto"/>
                <w:sz w:val="24"/>
                <w:highlight w:val="none"/>
              </w:rPr>
              <w:pBdr>
                <w:bottom w:val="none" w:color="000000" w:sz="0" w:space="0"/>
              </w:pBdr>
            </w:pPr>
            <w:r>
              <w:rPr>
                <w:rFonts w:hint="eastAsia" w:ascii="宋体" w:hAnsi="宋体" w:cs="宋体"/>
                <w:b/>
                <w:bCs/>
                <w:color w:val="auto"/>
                <w:sz w:val="24"/>
                <w:highlight w:val="none"/>
              </w:rPr>
              <w:t xml:space="preserve">合计（元）</w:t>
            </w:r>
            <w:r/>
          </w:p>
        </w:tc>
        <w:tc>
          <w:tcPr>
            <w:gridSpan w:val="8"/>
            <w:tcMar>
              <w:left w:w="15" w:type="dxa"/>
              <w:top w:w="15" w:type="dxa"/>
              <w:right w:w="15" w:type="dxa"/>
              <w:bottom w:w="0" w:type="dxa"/>
            </w:tcMar>
            <w:tcW w:w="7310" w:type="dxa"/>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cantSplit/>
          <w:jc w:val="center"/>
          <w:trHeight w:val="635"/>
        </w:trPr>
        <w:tc>
          <w:tcPr>
            <w:gridSpan w:val="3"/>
            <w:tcMar>
              <w:left w:w="15" w:type="dxa"/>
              <w:top w:w="15" w:type="dxa"/>
              <w:right w:w="15" w:type="dxa"/>
              <w:bottom w:w="0" w:type="dxa"/>
            </w:tcMar>
            <w:tcW w:w="2764" w:type="dxa"/>
            <w:vAlign w:val="center"/>
            <w:textDirection w:val="lrTb"/>
            <w:noWrap/>
          </w:tcPr>
          <w:p>
            <w:pPr>
              <w:pStyle w:val="1514"/>
              <w:tabs>
                <w:tab w:val="clear" w:pos="4153" w:leader="none"/>
                <w:tab w:val="clear" w:pos="8306" w:leader="none"/>
              </w:tabs>
              <w:rPr>
                <w:rFonts w:hint="eastAsia" w:ascii="宋体" w:hAnsi="宋体" w:cs="宋体"/>
                <w:b/>
                <w:bCs/>
                <w:color w:val="auto"/>
                <w:sz w:val="24"/>
                <w:highlight w:val="none"/>
              </w:rPr>
              <w:pBdr>
                <w:bottom w:val="none" w:color="000000" w:sz="0" w:space="0"/>
              </w:pBdr>
            </w:pPr>
            <w:r>
              <w:rPr>
                <w:rFonts w:hint="eastAsia" w:ascii="宋体" w:hAnsi="宋体" w:cs="宋体"/>
                <w:b/>
                <w:bCs/>
                <w:color w:val="auto"/>
                <w:sz w:val="24"/>
                <w:highlight w:val="none"/>
              </w:rPr>
              <w:t xml:space="preserve">供货期</w:t>
            </w:r>
            <w:r/>
          </w:p>
        </w:tc>
        <w:tc>
          <w:tcPr>
            <w:gridSpan w:val="8"/>
            <w:tcMar>
              <w:left w:w="15" w:type="dxa"/>
              <w:top w:w="15" w:type="dxa"/>
              <w:right w:w="15" w:type="dxa"/>
              <w:bottom w:w="0" w:type="dxa"/>
            </w:tcMar>
            <w:tcW w:w="7310" w:type="dxa"/>
            <w:vAlign w:val="center"/>
            <w:textDirection w:val="lrTb"/>
            <w:noWrap w:val="false"/>
          </w:tcPr>
          <w:p>
            <w:pPr>
              <w:jc w:val="center"/>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u w:val="single"/>
              </w:rPr>
            </w:r>
            <w:r/>
          </w:p>
        </w:tc>
      </w:tr>
      <w:tr>
        <w:trPr>
          <w:cantSplit/>
          <w:jc w:val="center"/>
          <w:trHeight w:val="645"/>
        </w:trPr>
        <w:tc>
          <w:tcPr>
            <w:gridSpan w:val="3"/>
            <w:tcMar>
              <w:left w:w="15" w:type="dxa"/>
              <w:top w:w="15" w:type="dxa"/>
              <w:right w:w="15" w:type="dxa"/>
              <w:bottom w:w="0" w:type="dxa"/>
            </w:tcMar>
            <w:tcW w:w="2764" w:type="dxa"/>
            <w:vAlign w:val="center"/>
            <w:textDirection w:val="lrTb"/>
            <w:noWrap/>
          </w:tcPr>
          <w:p>
            <w:pPr>
              <w:pStyle w:val="1514"/>
              <w:tabs>
                <w:tab w:val="clear" w:pos="4153" w:leader="none"/>
                <w:tab w:val="clear" w:pos="8306" w:leader="none"/>
              </w:tabs>
              <w:rPr>
                <w:rFonts w:hint="eastAsia" w:ascii="宋体" w:hAnsi="宋体" w:cs="宋体"/>
                <w:b/>
                <w:bCs/>
                <w:color w:val="auto"/>
                <w:sz w:val="24"/>
                <w:highlight w:val="none"/>
              </w:rPr>
              <w:pBdr>
                <w:bottom w:val="none" w:color="000000" w:sz="0" w:space="0"/>
              </w:pBdr>
            </w:pPr>
            <w:r>
              <w:rPr>
                <w:rFonts w:hint="eastAsia" w:ascii="宋体" w:hAnsi="宋体" w:cs="宋体"/>
                <w:b/>
                <w:bCs/>
                <w:color w:val="auto"/>
                <w:sz w:val="24"/>
                <w:highlight w:val="none"/>
              </w:rPr>
              <w:t xml:space="preserve">项目整体免费质保期</w:t>
            </w:r>
            <w:r/>
          </w:p>
        </w:tc>
        <w:tc>
          <w:tcPr>
            <w:gridSpan w:val="8"/>
            <w:tcMar>
              <w:left w:w="15" w:type="dxa"/>
              <w:top w:w="15" w:type="dxa"/>
              <w:right w:w="15" w:type="dxa"/>
              <w:bottom w:w="0" w:type="dxa"/>
            </w:tcMar>
            <w:tcW w:w="7310"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bl>
    <w:p>
      <w:pPr>
        <w:jc w:val="left"/>
        <w:spacing w:line="360" w:lineRule="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jc w:val="left"/>
        <w:spacing w:line="360" w:lineRule="auto"/>
        <w:rPr>
          <w:rFonts w:hint="eastAsia" w:ascii="宋体" w:hAnsi="宋体" w:cs="宋体"/>
          <w:color w:val="auto"/>
          <w:highlight w:val="none"/>
        </w:rPr>
      </w:pPr>
      <w:r>
        <w:rPr>
          <w:rFonts w:hint="eastAsia" w:ascii="宋体" w:hAnsi="宋体" w:cs="宋体"/>
          <w:b/>
          <w:bCs/>
          <w:color w:val="auto"/>
          <w:sz w:val="24"/>
          <w:szCs w:val="24"/>
          <w:highlight w:val="none"/>
        </w:rPr>
        <w:t xml:space="preserve">上述报价表不限于此，结合第三章项目要求和有关说明详细清单自行编制。</w:t>
      </w:r>
      <w:r/>
    </w:p>
    <w:p>
      <w:pPr>
        <w:jc w:val="left"/>
        <w:spacing w:line="360" w:lineRule="auto"/>
        <w:rPr>
          <w:rFonts w:hint="eastAsia" w:ascii="宋体" w:hAnsi="宋体" w:cs="宋体"/>
          <w:color w:val="auto"/>
          <w:sz w:val="24"/>
          <w:szCs w:val="24"/>
          <w:highlight w:val="none"/>
          <w:lang w:val="zh-CN"/>
        </w:rPr>
        <w:outlineLvl w:val="0"/>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）投标供应商应当根据“项目技术要求和有关说明”的内容在上表中详细填写；</w:t>
      </w:r>
      <w:r/>
    </w:p>
    <w:p>
      <w:pPr>
        <w:jc w:val="left"/>
        <w:spacing w:line="360" w:lineRule="auto"/>
        <w:rPr>
          <w:rFonts w:hint="eastAsia" w:ascii="宋体" w:hAnsi="宋体" w:cs="宋体"/>
          <w:bCs/>
          <w:color w:val="auto"/>
          <w:sz w:val="24"/>
          <w:szCs w:val="24"/>
          <w:highlight w:val="none"/>
        </w:rPr>
        <w:outlineLvl w:val="0"/>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）表格不够可自行延长，</w:t>
      </w:r>
      <w:r>
        <w:rPr>
          <w:rFonts w:hint="eastAsia" w:ascii="宋体" w:hAnsi="宋体" w:cs="宋体"/>
          <w:bCs/>
          <w:color w:val="auto"/>
          <w:sz w:val="24"/>
          <w:szCs w:val="24"/>
          <w:highlight w:val="none"/>
        </w:rPr>
        <w:t xml:space="preserve">但不得改变文本格式；</w:t>
      </w:r>
      <w:r/>
    </w:p>
    <w:p>
      <w:pPr>
        <w:jc w:val="left"/>
        <w:spacing w:line="360" w:lineRule="auto"/>
        <w:tabs>
          <w:tab w:val="left" w:pos="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（3）投标供应商对所报相关数据的真实性负责；</w:t>
      </w:r>
      <w:r/>
    </w:p>
    <w:p>
      <w:pPr>
        <w:jc w:val="left"/>
        <w:spacing w:line="360" w:lineRule="auto"/>
        <w:tabs>
          <w:tab w:val="left" w:pos="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（4）该报价包括实施本项目所需的全部设备、辅助材料、人工费、服务费、运输费、税金、安装调试费及其他一切费用。如有漏项，均由中标人承担；以上报价为含税价</w:t>
      </w:r>
      <w:r/>
    </w:p>
    <w:p>
      <w:pPr>
        <w:ind w:firstLine="2880"/>
        <w:jc w:val="left"/>
        <w:spacing w:line="360" w:lineRule="auto"/>
        <w:tabs>
          <w:tab w:val="left" w:pos="0"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法定代表人或法定代表人授权代表签字或盖章：</w:t>
      </w:r>
      <w:r/>
    </w:p>
    <w:p>
      <w:pPr>
        <w:ind w:firstLine="3600"/>
        <w:jc w:val="left"/>
        <w:spacing w:line="360" w:lineRule="auto"/>
        <w:tabs>
          <w:tab w:val="left" w:pos="0"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日期：</w:t>
      </w:r>
      <w:r/>
    </w:p>
    <w:p>
      <w:pPr>
        <w:ind w:firstLine="480"/>
        <w:jc w:val="left"/>
        <w:spacing w:line="360" w:lineRule="auto"/>
        <w:tabs>
          <w:tab w:val="left" w:pos="0"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0"/>
        <w:jc w:val="left"/>
        <w:spacing w:line="360" w:lineRule="auto"/>
        <w:tabs>
          <w:tab w:val="left" w:pos="0" w:leader="none"/>
        </w:tabs>
        <w:rPr>
          <w:rFonts w:hint="eastAsia" w:ascii="宋体" w:hAnsi="宋体" w:cs="宋体"/>
          <w:b/>
          <w:color w:val="auto"/>
          <w:sz w:val="24"/>
          <w:szCs w:val="24"/>
          <w:highlight w:val="none"/>
        </w:rPr>
        <w:sectPr>
          <w:footerReference w:type="default" r:id="rId29"/>
          <w:footnotePr/>
          <w:endnotePr/>
          <w:type w:val="nextPage"/>
          <w:pgSz w:w="11906" w:h="16838" w:orient="portrait"/>
          <w:pgMar w:top="1440" w:right="1800" w:bottom="1440" w:left="1800" w:header="624" w:footer="907" w:gutter="0"/>
          <w:cols w:num="1" w:sep="0" w:space="720" w:equalWidth="1"/>
          <w:docGrid w:linePitch="360"/>
        </w:sectPr>
      </w:pPr>
      <w:r>
        <w:rPr>
          <w:rFonts w:hint="eastAsia" w:ascii="宋体" w:hAnsi="宋体" w:cs="宋体"/>
          <w:b/>
          <w:color w:val="auto"/>
          <w:sz w:val="24"/>
          <w:szCs w:val="24"/>
          <w:highlight w:val="none"/>
        </w:rPr>
      </w:r>
      <w:r/>
    </w:p>
    <w:p>
      <w:pPr>
        <w:rPr>
          <w:rFonts w:hint="eastAsia" w:ascii="宋体" w:hAnsi="宋体" w:cs="宋体"/>
          <w:b/>
          <w:color w:val="auto"/>
          <w:sz w:val="24"/>
          <w:szCs w:val="24"/>
          <w:highlight w:val="none"/>
        </w:rPr>
        <w:outlineLvl w:val="2"/>
      </w:pPr>
      <w:r/>
      <w:bookmarkStart w:id="46" w:name="_Toc11575"/>
      <w:r/>
      <w:bookmarkStart w:id="47" w:name="_Toc17818"/>
      <w:r>
        <w:rPr>
          <w:rFonts w:hint="eastAsia" w:ascii="宋体" w:hAnsi="宋体" w:cs="宋体"/>
          <w:b/>
          <w:color w:val="auto"/>
          <w:sz w:val="24"/>
          <w:szCs w:val="24"/>
          <w:highlight w:val="none"/>
        </w:rPr>
        <w:t xml:space="preserve">（七）服务保障承诺书</w:t>
      </w:r>
      <w:bookmarkEnd w:id="46"/>
      <w:r/>
      <w:bookmarkEnd w:id="47"/>
      <w:r>
        <w:rPr>
          <w:rFonts w:hint="eastAsia" w:ascii="宋体" w:hAnsi="宋体" w:cs="宋体"/>
          <w:b/>
          <w:color w:val="auto"/>
          <w:sz w:val="24"/>
          <w:szCs w:val="24"/>
          <w:highlight w:val="none"/>
        </w:rPr>
        <w:t xml:space="preserve">（格式）：</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服务保障承诺书</w:t>
      </w:r>
      <w:r/>
    </w:p>
    <w:p>
      <w:pPr>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u w:val="single"/>
        </w:rPr>
        <w:t xml:space="preserve">                   (投标人)</w:t>
      </w:r>
      <w:r>
        <w:rPr>
          <w:rFonts w:hint="eastAsia" w:ascii="宋体" w:hAnsi="宋体" w:cs="宋体"/>
          <w:bCs/>
          <w:color w:val="auto"/>
          <w:sz w:val="24"/>
          <w:szCs w:val="24"/>
          <w:highlight w:val="none"/>
        </w:rPr>
        <w:t xml:space="preserve">针对本项目</w:t>
      </w:r>
      <w:r>
        <w:rPr>
          <w:rFonts w:hint="eastAsia" w:ascii="宋体" w:hAnsi="宋体" w:cs="宋体"/>
          <w:bCs/>
          <w:color w:val="auto"/>
          <w:sz w:val="24"/>
          <w:szCs w:val="24"/>
          <w:highlight w:val="none"/>
          <w:u w:val="single"/>
        </w:rPr>
        <w:t xml:space="preserve">                 </w:t>
      </w:r>
      <w:r>
        <w:rPr>
          <w:rFonts w:hint="eastAsia" w:ascii="宋体" w:hAnsi="宋体" w:cs="宋体"/>
          <w:color w:val="auto"/>
          <w:sz w:val="24"/>
          <w:szCs w:val="24"/>
          <w:highlight w:val="none"/>
        </w:rPr>
        <w:t xml:space="preserve">在此承诺：</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1、本公司承诺所有人员无任何犯罪记录，承诺中标之后提供无犯罪记录证明。</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本公司愿意接受本合同要求的作业质量和考核要求；自觉按照国家有关规定，按时足额缴纳各项税费和为本项目中投入人员缴纳社会保险金（养老保险金、医疗保险金、工伤保险金、生育保险金、失业保险金），缴纳比例不低于50%、提供相关福利等，现场所有人员工资、社保及福利等符合国家及地方相关政策最低要求，不享受特殊社保政策；建立职工有关档案。如有特殊情况，将提供合理说明；</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3、本公司承诺中标后器具、设备确保满足项目最低配置的要求。</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4、本公司承诺保质保量按时完成主管部门安排的指令性任务。</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5、本公司承诺中标之后人员配置按工种及人数不低于最低要求配置到位。</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9、</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w:t>
      </w:r>
      <w:r/>
    </w:p>
    <w:p>
      <w:pPr>
        <w:ind w:firstLine="480"/>
        <w:spacing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如违背上述承诺，本公司</w:t>
      </w:r>
      <w:r>
        <w:rPr>
          <w:rFonts w:hint="eastAsia" w:ascii="宋体" w:hAnsi="宋体" w:cs="宋体"/>
          <w:color w:val="auto"/>
          <w:sz w:val="24"/>
          <w:szCs w:val="24"/>
          <w:highlight w:val="none"/>
        </w:rPr>
        <w:t xml:space="preserve">（单位）</w:t>
      </w:r>
      <w:r>
        <w:rPr>
          <w:rFonts w:hint="eastAsia" w:ascii="宋体" w:hAnsi="宋体" w:cs="宋体"/>
          <w:bCs/>
          <w:color w:val="auto"/>
          <w:sz w:val="24"/>
          <w:szCs w:val="24"/>
          <w:highlight w:val="none"/>
        </w:rPr>
        <w:t xml:space="preserve">将承担一切法律责任。</w:t>
      </w:r>
      <w:r/>
    </w:p>
    <w:p>
      <w:pPr>
        <w:ind w:firstLine="5760"/>
        <w:spacing w:line="48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投标人</w:t>
      </w:r>
      <w:r>
        <w:rPr>
          <w:rFonts w:hint="eastAsia" w:ascii="宋体" w:hAnsi="宋体" w:cs="宋体"/>
          <w:bCs/>
          <w:color w:val="auto"/>
          <w:sz w:val="24"/>
          <w:szCs w:val="24"/>
          <w:highlight w:val="none"/>
        </w:rPr>
        <w:t xml:space="preserve">（盖章）：</w:t>
      </w:r>
      <w:r/>
    </w:p>
    <w:p>
      <w:pPr>
        <w:ind w:firstLine="2640"/>
        <w:spacing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法定代表人或法定代表人授权代表签字或盖章：</w:t>
      </w:r>
      <w:r/>
    </w:p>
    <w:p>
      <w:pPr>
        <w:pStyle w:val="1436"/>
        <w:ind w:firstLine="6720"/>
        <w:rPr>
          <w:rFonts w:hint="eastAsia" w:eastAsia="宋体"/>
          <w:color w:val="auto"/>
          <w:highlight w:val="none"/>
        </w:rPr>
      </w:pPr>
      <w:r>
        <w:rPr>
          <w:rFonts w:hint="eastAsia" w:ascii="宋体" w:hAnsi="宋体" w:eastAsia="宋体" w:cs="宋体"/>
          <w:color w:val="auto"/>
          <w:sz w:val="24"/>
          <w:szCs w:val="24"/>
          <w:highlight w:val="none"/>
        </w:rPr>
        <w:t xml:space="preserve">日  期：</w:t>
      </w:r>
      <w:r/>
    </w:p>
    <w:p>
      <w:pPr>
        <w:ind w:firstLine="480"/>
        <w:spacing w:line="48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注：以上内容由投标单位根据采购要求自行完善。</w:t>
      </w:r>
      <w:r/>
    </w:p>
    <w:p>
      <w:pPr>
        <w:pStyle w:val="1436"/>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454"/>
        <w:ind w:firstLine="241"/>
        <w:rPr>
          <w:rFonts w:hint="eastAsia" w:ascii="宋体" w:hAnsi="宋体" w:cs="宋体"/>
          <w:b/>
          <w:color w:val="auto"/>
          <w:sz w:val="24"/>
          <w:highlight w:val="none"/>
        </w:rPr>
      </w:pPr>
      <w:r>
        <w:rPr>
          <w:rFonts w:hint="eastAsia" w:ascii="宋体" w:hAnsi="宋体" w:cs="宋体"/>
          <w:b/>
          <w:color w:val="auto"/>
          <w:sz w:val="24"/>
          <w:highlight w:val="none"/>
        </w:rPr>
      </w:r>
      <w:r/>
    </w:p>
    <w:p>
      <w:pPr>
        <w:pStyle w:val="1454"/>
        <w:ind w:firstLine="241"/>
        <w:rPr>
          <w:rFonts w:hint="eastAsia" w:ascii="宋体" w:hAnsi="宋体" w:cs="宋体"/>
          <w:b/>
          <w:color w:val="auto"/>
          <w:sz w:val="24"/>
          <w:highlight w:val="none"/>
        </w:rPr>
        <w:sectPr>
          <w:footnotePr/>
          <w:endnotePr/>
          <w:type w:val="nextPage"/>
          <w:pgSz w:w="11906" w:h="16838" w:orient="portrait"/>
          <w:pgMar w:top="1440" w:right="1800" w:bottom="1440" w:left="1800" w:header="624" w:footer="907" w:gutter="0"/>
          <w:cols w:num="1" w:sep="0" w:space="720" w:equalWidth="1"/>
          <w:docGrid w:linePitch="360"/>
        </w:sectPr>
      </w:pPr>
      <w:r>
        <w:rPr>
          <w:rFonts w:hint="eastAsia" w:ascii="宋体" w:hAnsi="宋体" w:cs="宋体"/>
          <w:b/>
          <w:color w:val="auto"/>
          <w:sz w:val="24"/>
          <w:highlight w:val="none"/>
        </w:rPr>
      </w:r>
      <w:r/>
    </w:p>
    <w:p>
      <w:pPr>
        <w:rPr>
          <w:rFonts w:hint="eastAsia" w:ascii="宋体" w:hAnsi="宋体" w:cs="宋体"/>
          <w:b/>
          <w:color w:val="auto"/>
          <w:sz w:val="24"/>
          <w:szCs w:val="24"/>
          <w:highlight w:val="none"/>
        </w:rPr>
        <w:outlineLvl w:val="2"/>
      </w:pPr>
      <w:r/>
      <w:bookmarkStart w:id="48" w:name="_Toc4377"/>
      <w:r/>
      <w:bookmarkStart w:id="49" w:name="_Toc28479"/>
      <w:r>
        <w:rPr>
          <w:rFonts w:hint="eastAsia" w:ascii="宋体" w:hAnsi="宋体" w:cs="宋体"/>
          <w:b/>
          <w:color w:val="auto"/>
          <w:sz w:val="24"/>
          <w:szCs w:val="24"/>
          <w:highlight w:val="none"/>
        </w:rPr>
        <w:t xml:space="preserve">（八）投标偏离表</w:t>
      </w:r>
      <w:bookmarkEnd w:id="48"/>
      <w:r/>
      <w:bookmarkEnd w:id="49"/>
      <w:r>
        <w:rPr>
          <w:rFonts w:hint="eastAsia" w:ascii="宋体" w:hAnsi="宋体" w:cs="宋体"/>
          <w:b/>
          <w:color w:val="auto"/>
          <w:sz w:val="24"/>
          <w:szCs w:val="24"/>
          <w:highlight w:val="none"/>
        </w:rPr>
        <w:t xml:space="preserve">（格式）：</w:t>
      </w:r>
      <w:r/>
    </w:p>
    <w:p>
      <w:pPr>
        <w:ind w:firstLine="42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20"/>
        <w:jc w:val="center"/>
        <w:rPr>
          <w:rFonts w:hint="eastAsia" w:ascii="宋体" w:hAnsi="宋体" w:cs="宋体"/>
          <w:bCs/>
          <w:color w:val="auto"/>
          <w:sz w:val="24"/>
          <w:szCs w:val="24"/>
          <w:highlight w:val="none"/>
        </w:rPr>
      </w:pPr>
      <w:r/>
      <w:bookmarkStart w:id="50" w:name="_Toc27971"/>
      <w:r/>
      <w:bookmarkStart w:id="51" w:name="_Toc25155"/>
      <w:r>
        <w:rPr>
          <w:rFonts w:hint="eastAsia" w:ascii="宋体" w:hAnsi="宋体" w:cs="宋体"/>
          <w:bCs/>
          <w:color w:val="auto"/>
          <w:sz w:val="24"/>
          <w:szCs w:val="24"/>
          <w:highlight w:val="none"/>
        </w:rPr>
        <w:t xml:space="preserve">投标偏离表</w:t>
      </w:r>
      <w:bookmarkEnd w:id="50"/>
      <w:r/>
      <w:bookmarkEnd w:id="51"/>
      <w:r/>
      <w:r/>
    </w:p>
    <w:p>
      <w:pPr>
        <w:spacing w:line="400" w:lineRule="exact"/>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供应商名称（盖章）                       采购项目编号：</w:t>
      </w:r>
      <w:r/>
    </w:p>
    <w:tbl>
      <w:tblPr>
        <w:tblStyle w:val="1431"/>
        <w:tblW w:w="0" w:type="auto"/>
        <w:jc w:val="center"/>
        <w:tblLayout w:type="fixed"/>
        <w:tblCellMar>
          <w:left w:w="0" w:type="dxa"/>
          <w:top w:w="0" w:type="dxa"/>
          <w:right w:w="0" w:type="dxa"/>
          <w:bottom w:w="0" w:type="dxa"/>
        </w:tblCellMar>
        <w:tblLook w:val="04A0" w:firstRow="1" w:lastRow="0" w:firstColumn="1" w:lastColumn="0" w:noHBand="0" w:noVBand="1"/>
      </w:tblPr>
      <w:tblGrid>
        <w:gridCol w:w="1858"/>
        <w:gridCol w:w="2410"/>
        <w:gridCol w:w="2410"/>
        <w:gridCol w:w="2551"/>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bl>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2160"/>
        <w:spacing w:before="5"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法定代表人或法定代表人授权代表签字或盖章：</w:t>
      </w:r>
      <w:r/>
    </w:p>
    <w:p>
      <w:pPr>
        <w:ind w:firstLine="4320"/>
        <w:spacing w:before="5"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日  期：</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rPr>
          <w:rFonts w:hint="eastAsia" w:ascii="宋体" w:hAnsi="宋体" w:cs="宋体"/>
          <w:bCs/>
          <w:color w:val="auto"/>
          <w:sz w:val="24"/>
          <w:szCs w:val="24"/>
          <w:highlight w:val="none"/>
        </w:rPr>
      </w:pPr>
      <w:r/>
      <w:bookmarkStart w:id="52" w:name="_Toc8176"/>
      <w:r/>
      <w:bookmarkStart w:id="53" w:name="_Toc2067"/>
      <w:r>
        <w:rPr>
          <w:rFonts w:hint="eastAsia" w:ascii="宋体" w:hAnsi="宋体" w:cs="宋体"/>
          <w:bCs/>
          <w:color w:val="auto"/>
          <w:sz w:val="24"/>
          <w:szCs w:val="24"/>
          <w:highlight w:val="none"/>
        </w:rPr>
        <w:t xml:space="preserve">注：</w:t>
      </w:r>
      <w:bookmarkEnd w:id="52"/>
      <w:r/>
      <w:bookmarkEnd w:id="53"/>
      <w:r>
        <w:rPr>
          <w:rFonts w:hint="eastAsia" w:ascii="宋体" w:hAnsi="宋体" w:cs="宋体"/>
          <w:bCs/>
          <w:color w:val="auto"/>
          <w:sz w:val="24"/>
          <w:szCs w:val="24"/>
          <w:highlight w:val="none"/>
        </w:rPr>
        <w:t xml:space="preserve">（1）本表不得删除；</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（2）如无任何服务偏离，请于本表 “偏离说明”中注明“无偏离”；</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（3）如有服务偏离项，请于本表中列明偏离内容，如需要可自行延长，其余无偏离内容不须赘述。</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（5）表格不够可自行延长，但不得改变文本格式。</w:t>
      </w:r>
      <w:r/>
    </w:p>
    <w:p>
      <w:pPr>
        <w:pStyle w:val="1508"/>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508"/>
        <w:ind w:firstLine="0"/>
        <w:spacing w:line="360" w:lineRule="auto"/>
        <w:tabs>
          <w:tab w:val="left" w:pos="7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508"/>
        <w:ind w:firstLine="0"/>
        <w:spacing w:line="360" w:lineRule="auto"/>
        <w:tabs>
          <w:tab w:val="left" w:pos="7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spacing w:line="360" w:lineRule="auto"/>
        <w:rPr>
          <w:rFonts w:hint="eastAsia" w:ascii="宋体" w:hAnsi="宋体" w:cs="宋体"/>
          <w:bCs/>
          <w:color w:val="auto"/>
          <w:sz w:val="24"/>
          <w:szCs w:val="24"/>
          <w:highlight w:val="none"/>
        </w:rPr>
        <w:sectPr>
          <w:footnotePr/>
          <w:endnotePr/>
          <w:type w:val="nextPage"/>
          <w:pgSz w:w="11906" w:h="16838" w:orient="portrait"/>
          <w:pgMar w:top="1440" w:right="1800" w:bottom="1440" w:left="1800" w:header="624" w:footer="907" w:gutter="0"/>
          <w:cols w:num="1" w:sep="0" w:space="720" w:equalWidth="1"/>
          <w:docGrid w:linePitch="360"/>
        </w:sectPr>
      </w:pPr>
      <w:r>
        <w:rPr>
          <w:rFonts w:hint="eastAsia" w:ascii="宋体" w:hAnsi="宋体" w:cs="宋体"/>
          <w:bCs/>
          <w:color w:val="auto"/>
          <w:sz w:val="24"/>
          <w:szCs w:val="24"/>
          <w:highlight w:val="none"/>
        </w:rPr>
      </w:r>
      <w:r/>
    </w:p>
    <w:p>
      <w:pPr>
        <w:rPr>
          <w:rFonts w:hint="eastAsia" w:ascii="宋体" w:hAnsi="宋体" w:cs="宋体"/>
          <w:b/>
          <w:color w:val="auto"/>
          <w:sz w:val="24"/>
          <w:szCs w:val="24"/>
          <w:highlight w:val="none"/>
        </w:rPr>
        <w:outlineLvl w:val="2"/>
      </w:pPr>
      <w:r>
        <w:rPr>
          <w:rFonts w:hint="eastAsia" w:ascii="宋体" w:hAnsi="宋体" w:cs="宋体"/>
          <w:b/>
          <w:color w:val="auto"/>
          <w:sz w:val="24"/>
          <w:szCs w:val="24"/>
          <w:highlight w:val="none"/>
        </w:rPr>
        <w:t xml:space="preserve">（九）投标供应商情况表（格式）：</w:t>
      </w:r>
      <w:r/>
    </w:p>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20"/>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投标供应商情况表</w:t>
      </w:r>
      <w:r/>
    </w:p>
    <w:p>
      <w:pPr>
        <w:spacing w:line="400" w:lineRule="exact"/>
        <w:rPr>
          <w:rFonts w:hint="eastAsia"/>
          <w:color w:val="auto"/>
          <w:highlight w:val="none"/>
        </w:rPr>
      </w:pPr>
      <w:r>
        <w:rPr>
          <w:rFonts w:hint="eastAsia" w:ascii="宋体" w:hAnsi="宋体"/>
          <w:bCs/>
          <w:color w:val="auto"/>
          <w:sz w:val="24"/>
          <w:szCs w:val="24"/>
          <w:highlight w:val="none"/>
        </w:rPr>
        <w:t xml:space="preserve">供应商名称（盖章）                        采购项目编号：</w:t>
      </w:r>
      <w:r/>
    </w:p>
    <w:tbl>
      <w:tblPr>
        <w:tblStyle w:val="1431"/>
        <w:tblW w:w="95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82"/>
        <w:gridCol w:w="1993"/>
        <w:gridCol w:w="1592"/>
        <w:gridCol w:w="3331"/>
      </w:tblGrid>
      <w:tr>
        <w:trPr>
          <w:cantSplit/>
          <w:jc w:val="center"/>
          <w:trHeight w:val="565"/>
        </w:trPr>
        <w:tc>
          <w:tcPr>
            <w:tcW w:w="2682"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法定代表人</w:t>
            </w:r>
            <w:r/>
          </w:p>
        </w:tc>
        <w:tc>
          <w:tcPr>
            <w:tcW w:w="1993"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r>
            <w:r/>
          </w:p>
        </w:tc>
        <w:tc>
          <w:tcPr>
            <w:tcW w:w="1592"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成立日期</w:t>
            </w:r>
            <w:r/>
          </w:p>
        </w:tc>
        <w:tc>
          <w:tcPr>
            <w:tcW w:w="3331"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r>
            <w:r/>
          </w:p>
        </w:tc>
      </w:tr>
      <w:tr>
        <w:trPr>
          <w:cantSplit/>
          <w:jc w:val="center"/>
          <w:trHeight w:val="503"/>
        </w:trPr>
        <w:tc>
          <w:tcPr>
            <w:tcW w:w="2682"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企业地址</w:t>
            </w:r>
            <w:r/>
          </w:p>
        </w:tc>
        <w:tc>
          <w:tcPr>
            <w:tcW w:w="1993"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r>
            <w:r/>
          </w:p>
        </w:tc>
        <w:tc>
          <w:tcPr>
            <w:tcW w:w="1592"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注册资本</w:t>
            </w:r>
            <w:r/>
          </w:p>
        </w:tc>
        <w:tc>
          <w:tcPr>
            <w:tcW w:w="3331" w:type="dxa"/>
            <w:vAlign w:val="top"/>
            <w:textDirection w:val="lrTb"/>
            <w:noWrap w:val="false"/>
          </w:tcPr>
          <w:p>
            <w:pPr>
              <w:ind w:firstLine="2160"/>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万元</w:t>
            </w:r>
            <w:r/>
          </w:p>
        </w:tc>
      </w:tr>
      <w:tr>
        <w:trPr>
          <w:cantSplit/>
          <w:jc w:val="center"/>
          <w:trHeight w:val="528"/>
        </w:trPr>
        <w:tc>
          <w:tcPr>
            <w:tcW w:w="2682"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经营范围</w:t>
            </w:r>
            <w:r/>
          </w:p>
        </w:tc>
        <w:tc>
          <w:tcPr>
            <w:gridSpan w:val="3"/>
            <w:tcW w:w="6916"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r>
            <w:r/>
          </w:p>
        </w:tc>
      </w:tr>
      <w:tr>
        <w:trPr>
          <w:cantSplit/>
          <w:jc w:val="center"/>
          <w:trHeight w:val="541"/>
        </w:trPr>
        <w:tc>
          <w:tcPr>
            <w:tcW w:w="2682"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开户行</w:t>
            </w:r>
            <w:r/>
          </w:p>
        </w:tc>
        <w:tc>
          <w:tcPr>
            <w:tcW w:w="1993"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r>
            <w:r/>
          </w:p>
        </w:tc>
        <w:tc>
          <w:tcPr>
            <w:tcW w:w="1592"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银行账号</w:t>
            </w:r>
            <w:r/>
          </w:p>
        </w:tc>
        <w:tc>
          <w:tcPr>
            <w:tcW w:w="3331"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r>
            <w:r/>
          </w:p>
        </w:tc>
      </w:tr>
      <w:tr>
        <w:trPr>
          <w:cantSplit/>
          <w:jc w:val="center"/>
          <w:trHeight w:val="541"/>
        </w:trPr>
        <w:tc>
          <w:tcPr>
            <w:tcW w:w="2682" w:type="dxa"/>
            <w:vAlign w:val="center"/>
            <w:textDirection w:val="lrTb"/>
            <w:noWrap w:val="false"/>
          </w:tcPr>
          <w:p>
            <w:pPr>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资产总计</w:t>
            </w:r>
            <w:r/>
          </w:p>
        </w:tc>
        <w:tc>
          <w:tcPr>
            <w:tcW w:w="1993" w:type="dxa"/>
            <w:vAlign w:val="center"/>
            <w:textDirection w:val="lrTb"/>
            <w:noWrap w:val="false"/>
          </w:tcPr>
          <w:p>
            <w:pPr>
              <w:jc w:val="center"/>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      万元</w:t>
            </w:r>
            <w:r/>
          </w:p>
        </w:tc>
        <w:tc>
          <w:tcPr>
            <w:tcW w:w="1592" w:type="dxa"/>
            <w:vAlign w:val="center"/>
            <w:textDirection w:val="lrTb"/>
            <w:noWrap w:val="false"/>
          </w:tcPr>
          <w:p>
            <w:pPr>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净资产</w:t>
            </w:r>
            <w:r/>
          </w:p>
        </w:tc>
        <w:tc>
          <w:tcPr>
            <w:tcW w:w="3331" w:type="dxa"/>
            <w:vAlign w:val="center"/>
            <w:textDirection w:val="lrTb"/>
            <w:noWrap w:val="false"/>
          </w:tcPr>
          <w:p>
            <w:pPr>
              <w:jc w:val="center"/>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万元</w:t>
            </w:r>
            <w:r/>
          </w:p>
        </w:tc>
      </w:tr>
      <w:tr>
        <w:trPr>
          <w:cantSplit/>
          <w:jc w:val="center"/>
          <w:trHeight w:val="515"/>
        </w:trPr>
        <w:tc>
          <w:tcPr>
            <w:tcW w:w="2682" w:type="dxa"/>
            <w:vAlign w:val="center"/>
            <w:textDirection w:val="lrTb"/>
            <w:noWrap w:val="false"/>
          </w:tcPr>
          <w:p>
            <w:pPr>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股东权益</w:t>
            </w:r>
            <w:r/>
          </w:p>
        </w:tc>
        <w:tc>
          <w:tcPr>
            <w:tcW w:w="1993" w:type="dxa"/>
            <w:vAlign w:val="center"/>
            <w:textDirection w:val="lrTb"/>
            <w:noWrap w:val="false"/>
          </w:tcPr>
          <w:p>
            <w:pPr>
              <w:jc w:val="center"/>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     万元</w:t>
            </w:r>
            <w:r/>
          </w:p>
        </w:tc>
        <w:tc>
          <w:tcPr>
            <w:tcW w:w="1592" w:type="dxa"/>
            <w:vAlign w:val="center"/>
            <w:textDirection w:val="lrTb"/>
            <w:noWrap w:val="false"/>
          </w:tcPr>
          <w:p>
            <w:pPr>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主营收入</w:t>
            </w:r>
            <w:r/>
          </w:p>
        </w:tc>
        <w:tc>
          <w:tcPr>
            <w:tcW w:w="3331" w:type="dxa"/>
            <w:vAlign w:val="center"/>
            <w:textDirection w:val="lrTb"/>
            <w:noWrap w:val="false"/>
          </w:tcPr>
          <w:p>
            <w:pPr>
              <w:jc w:val="center"/>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2024年     万元</w:t>
            </w:r>
            <w:r/>
          </w:p>
        </w:tc>
      </w:tr>
      <w:tr>
        <w:trPr>
          <w:cantSplit/>
          <w:jc w:val="center"/>
          <w:trHeight w:val="564"/>
        </w:trPr>
        <w:tc>
          <w:tcPr>
            <w:tcW w:w="2682"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实现利润</w:t>
            </w:r>
            <w:r/>
          </w:p>
        </w:tc>
        <w:tc>
          <w:tcPr>
            <w:tcW w:w="1993"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2024年 万元</w:t>
            </w:r>
            <w:r/>
          </w:p>
        </w:tc>
        <w:tc>
          <w:tcPr>
            <w:tcW w:w="1592"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r>
            <w:r/>
          </w:p>
        </w:tc>
        <w:tc>
          <w:tcPr>
            <w:tcW w:w="3331"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r>
            <w:r/>
          </w:p>
        </w:tc>
      </w:tr>
      <w:tr>
        <w:trPr>
          <w:cantSplit/>
          <w:jc w:val="center"/>
        </w:trPr>
        <w:tc>
          <w:tcPr>
            <w:tcW w:w="2682"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营业面积</w:t>
            </w:r>
            <w:r/>
          </w:p>
        </w:tc>
        <w:tc>
          <w:tcPr>
            <w:tcW w:w="1993" w:type="dxa"/>
            <w:vAlign w:val="center"/>
            <w:textDirection w:val="lrTb"/>
            <w:noWrap w:val="false"/>
          </w:tcPr>
          <w:p>
            <w:pPr>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         平方米</w:t>
            </w:r>
            <w:r/>
          </w:p>
        </w:tc>
        <w:tc>
          <w:tcPr>
            <w:tcW w:w="1592"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其中：</w:t>
            </w:r>
            <w:r/>
          </w:p>
        </w:tc>
        <w:tc>
          <w:tcPr>
            <w:tcW w:w="3331"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自有面积平方米</w:t>
            </w:r>
            <w:r/>
          </w:p>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承租面积平方米</w:t>
            </w:r>
            <w:r/>
          </w:p>
        </w:tc>
      </w:tr>
      <w:tr>
        <w:trPr>
          <w:cantSplit/>
          <w:jc w:val="center"/>
        </w:trPr>
        <w:tc>
          <w:tcPr>
            <w:tcW w:w="2682" w:type="dxa"/>
            <w:vAlign w:val="top"/>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单位简历及内设机构情况</w:t>
            </w:r>
            <w:r/>
          </w:p>
        </w:tc>
        <w:tc>
          <w:tcPr>
            <w:gridSpan w:val="3"/>
            <w:tcW w:w="6916" w:type="dxa"/>
            <w:vAlign w:val="top"/>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r>
            <w:r/>
          </w:p>
        </w:tc>
      </w:tr>
      <w:tr>
        <w:trPr>
          <w:cantSplit/>
          <w:jc w:val="center"/>
          <w:trHeight w:val="703"/>
        </w:trPr>
        <w:tc>
          <w:tcPr>
            <w:tcW w:w="2682" w:type="dxa"/>
            <w:vAlign w:val="top"/>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单位优势及特长</w:t>
            </w:r>
            <w:r/>
          </w:p>
        </w:tc>
        <w:tc>
          <w:tcPr>
            <w:gridSpan w:val="3"/>
            <w:tcW w:w="6916" w:type="dxa"/>
            <w:vAlign w:val="top"/>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r>
            <w:r/>
          </w:p>
        </w:tc>
      </w:tr>
      <w:tr>
        <w:trPr>
          <w:cantSplit/>
          <w:jc w:val="center"/>
        </w:trPr>
        <w:tc>
          <w:tcPr>
            <w:tcW w:w="2682" w:type="dxa"/>
            <w:vAlign w:val="top"/>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近三年来完成或正在履行的重大合同情况</w:t>
            </w:r>
            <w:r/>
          </w:p>
        </w:tc>
        <w:tc>
          <w:tcPr>
            <w:gridSpan w:val="3"/>
            <w:tcW w:w="6916" w:type="dxa"/>
            <w:vAlign w:val="top"/>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r>
            <w:r/>
          </w:p>
        </w:tc>
      </w:tr>
      <w:tr>
        <w:trPr>
          <w:cantSplit/>
          <w:jc w:val="center"/>
        </w:trPr>
        <w:tc>
          <w:tcPr>
            <w:tcW w:w="2682" w:type="dxa"/>
            <w:vAlign w:val="top"/>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最近2年内在经营过程中受到何种奖励或处分</w:t>
            </w:r>
            <w:r/>
          </w:p>
        </w:tc>
        <w:tc>
          <w:tcPr>
            <w:gridSpan w:val="3"/>
            <w:tcW w:w="6916" w:type="dxa"/>
            <w:vAlign w:val="top"/>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（包括财政、工商、税务、物价、技监部门稽查情况和结果）</w:t>
            </w:r>
            <w:r/>
          </w:p>
        </w:tc>
      </w:tr>
      <w:tr>
        <w:trPr>
          <w:cantSplit/>
          <w:jc w:val="center"/>
        </w:trPr>
        <w:tc>
          <w:tcPr>
            <w:tcW w:w="2682" w:type="dxa"/>
            <w:vAlign w:val="top"/>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最近3年内有无因售假、售劣或是其他原因被消费者投诉或起诉的情况及说明</w:t>
            </w:r>
            <w:r/>
          </w:p>
        </w:tc>
        <w:tc>
          <w:tcPr>
            <w:gridSpan w:val="3"/>
            <w:tcW w:w="6916" w:type="dxa"/>
            <w:vAlign w:val="top"/>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（包括解决方式和结果）</w:t>
            </w:r>
            <w:r/>
          </w:p>
        </w:tc>
      </w:tr>
      <w:tr>
        <w:trPr>
          <w:cantSplit/>
          <w:jc w:val="center"/>
        </w:trPr>
        <w:tc>
          <w:tcPr>
            <w:tcW w:w="2682" w:type="dxa"/>
            <w:vAlign w:val="top"/>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参加政府采购活动前三年内，在经营活动中有无重大违法记录情况及说明</w:t>
            </w:r>
            <w:r/>
          </w:p>
        </w:tc>
        <w:tc>
          <w:tcPr>
            <w:gridSpan w:val="3"/>
            <w:tcW w:w="6916" w:type="dxa"/>
            <w:vAlign w:val="top"/>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r>
            <w:r/>
          </w:p>
        </w:tc>
      </w:tr>
      <w:tr>
        <w:trPr>
          <w:cantSplit/>
          <w:jc w:val="center"/>
        </w:trPr>
        <w:tc>
          <w:tcPr>
            <w:tcW w:w="2682" w:type="dxa"/>
            <w:vAlign w:val="top"/>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获得技术认证的工程师及简介</w:t>
            </w:r>
            <w:r/>
          </w:p>
        </w:tc>
        <w:tc>
          <w:tcPr>
            <w:gridSpan w:val="3"/>
            <w:tcW w:w="6916" w:type="dxa"/>
            <w:vAlign w:val="top"/>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r>
            <w:r/>
          </w:p>
        </w:tc>
      </w:tr>
      <w:tr>
        <w:trPr>
          <w:cantSplit/>
          <w:jc w:val="center"/>
          <w:trHeight w:val="947"/>
        </w:trPr>
        <w:tc>
          <w:tcPr>
            <w:tcW w:w="2682" w:type="dxa"/>
            <w:vAlign w:val="top"/>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t xml:space="preserve">其他需要说明的情况</w:t>
            </w:r>
            <w:r/>
          </w:p>
        </w:tc>
        <w:tc>
          <w:tcPr>
            <w:gridSpan w:val="3"/>
            <w:tcW w:w="6916" w:type="dxa"/>
            <w:vAlign w:val="top"/>
            <w:textDirection w:val="lrTb"/>
            <w:noWrap w:val="false"/>
          </w:tcPr>
          <w:p>
            <w:pPr>
              <w:jc w:val="left"/>
              <w:spacing w:line="276" w:lineRule="auto"/>
              <w:rPr>
                <w:rFonts w:hint="eastAsia" w:ascii="宋体" w:hAnsi="宋体" w:cs="宋体"/>
                <w:color w:val="000000"/>
                <w:sz w:val="22"/>
                <w:szCs w:val="21"/>
              </w:rPr>
            </w:pPr>
            <w:r>
              <w:rPr>
                <w:rFonts w:hint="eastAsia" w:ascii="宋体" w:hAnsi="宋体" w:cs="宋体"/>
                <w:color w:val="000000"/>
                <w:sz w:val="22"/>
                <w:szCs w:val="21"/>
              </w:rPr>
            </w:r>
            <w:r/>
          </w:p>
        </w:tc>
      </w:tr>
    </w:tbl>
    <w:p>
      <w:pPr>
        <w:jc w:val="left"/>
        <w:rPr>
          <w:rFonts w:hint="eastAsia" w:ascii="宋体" w:hAnsi="宋体" w:cs="宋体"/>
          <w:color w:val="000000"/>
          <w:szCs w:val="22"/>
        </w:rPr>
      </w:pPr>
      <w:r>
        <w:rPr>
          <w:rFonts w:hint="eastAsia" w:ascii="宋体" w:hAnsi="宋体" w:cs="宋体"/>
          <w:color w:val="000000"/>
          <w:szCs w:val="22"/>
        </w:rPr>
      </w:r>
      <w:r/>
    </w:p>
    <w:p>
      <w:pPr>
        <w:pStyle w:val="1513"/>
        <w:rPr>
          <w:rFonts w:hint="eastAsia" w:ascii="宋体" w:hAnsi="宋体" w:eastAsia="宋体" w:cs="宋体"/>
          <w:b/>
          <w:bCs/>
          <w:color w:val="000000"/>
          <w:sz w:val="24"/>
          <w:szCs w:val="24"/>
        </w:rPr>
        <w:sectPr>
          <w:footnotePr/>
          <w:endnotePr/>
          <w:type w:val="nextPage"/>
          <w:pgSz w:w="11906" w:h="16838" w:orient="portrait"/>
          <w:pgMar w:top="1440" w:right="1800" w:bottom="1440" w:left="1800" w:header="624" w:footer="907" w:gutter="0"/>
          <w:cols w:num="1" w:sep="0" w:space="720" w:equalWidth="1"/>
          <w:docGrid w:linePitch="360"/>
        </w:sectPr>
      </w:pPr>
      <w:r>
        <w:rPr>
          <w:rFonts w:hint="eastAsia" w:ascii="宋体" w:hAnsi="宋体" w:eastAsia="宋体" w:cs="宋体"/>
          <w:b/>
          <w:bCs/>
          <w:color w:val="000000"/>
          <w:sz w:val="24"/>
          <w:szCs w:val="24"/>
        </w:rPr>
      </w:r>
      <w:r/>
    </w:p>
    <w:p>
      <w:pPr>
        <w:rPr>
          <w:rFonts w:hint="eastAsia" w:ascii="宋体" w:hAnsi="宋体" w:cs="宋体"/>
          <w:b/>
          <w:sz w:val="24"/>
          <w:szCs w:val="24"/>
        </w:rPr>
        <w:outlineLvl w:val="2"/>
      </w:pPr>
      <w:r>
        <w:rPr>
          <w:rFonts w:hint="eastAsia" w:ascii="宋体" w:hAnsi="宋体" w:cs="宋体"/>
          <w:b/>
          <w:sz w:val="24"/>
          <w:szCs w:val="24"/>
        </w:rPr>
        <w:t xml:space="preserve">（十）中小企业声明函（格式）：</w:t>
      </w:r>
      <w:r/>
    </w:p>
    <w:p>
      <w:pPr>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ascii="宋体" w:hAnsi="宋体" w:cs="宋体"/>
          <w:bCs/>
          <w:sz w:val="24"/>
          <w:szCs w:val="24"/>
        </w:rPr>
      </w:pPr>
      <w:r>
        <w:rPr>
          <w:rFonts w:hint="eastAsia" w:ascii="宋体" w:hAnsi="宋体" w:cs="宋体"/>
          <w:sz w:val="24"/>
          <w:szCs w:val="24"/>
        </w:rPr>
        <w:t xml:space="preserve">中小企业声明函（货物）</w:t>
      </w:r>
      <w:r/>
    </w:p>
    <w:p>
      <w:pPr>
        <w:ind w:firstLine="480"/>
        <w:spacing w:line="580" w:lineRule="exact"/>
        <w:rPr>
          <w:rFonts w:hint="eastAsia" w:ascii="宋体" w:hAnsi="宋体" w:cs="宋体"/>
          <w:bCs/>
          <w:sz w:val="24"/>
          <w:szCs w:val="24"/>
        </w:rPr>
      </w:pPr>
      <w:r>
        <w:rPr>
          <w:rFonts w:hint="eastAsia" w:ascii="宋体" w:hAnsi="宋体" w:cs="宋体"/>
          <w:bCs/>
          <w:sz w:val="24"/>
          <w:szCs w:val="24"/>
        </w:rPr>
        <w:t xml:space="preserve">本公司（联合体）郑重声明，根据《政府采购促进中小企业发展管理办法》（财库﹝2020﹞46 号）的规定，本公司</w:t>
      </w:r>
      <w:r>
        <w:rPr>
          <w:rFonts w:hint="eastAsia" w:ascii="宋体" w:hAnsi="宋体" w:cs="宋体"/>
          <w:bCs/>
          <w:sz w:val="24"/>
          <w:szCs w:val="24"/>
          <w:u w:val="single"/>
        </w:rPr>
        <w:t xml:space="preserve">         </w:t>
      </w:r>
      <w:r>
        <w:rPr>
          <w:rFonts w:hint="eastAsia" w:ascii="宋体" w:hAnsi="宋体" w:cs="宋体"/>
          <w:bCs/>
          <w:sz w:val="24"/>
          <w:szCs w:val="24"/>
        </w:rPr>
        <w:t xml:space="preserve">参加</w:t>
      </w:r>
      <w:r>
        <w:rPr>
          <w:rFonts w:hint="eastAsia" w:ascii="宋体" w:hAnsi="宋体" w:cs="宋体"/>
          <w:bCs/>
          <w:sz w:val="24"/>
          <w:szCs w:val="24"/>
          <w:u w:val="single"/>
        </w:rPr>
        <w:t xml:space="preserve">（单位名称）</w:t>
      </w:r>
      <w:r>
        <w:rPr>
          <w:rFonts w:hint="eastAsia" w:ascii="宋体" w:hAnsi="宋体" w:cs="宋体"/>
          <w:bCs/>
          <w:sz w:val="24"/>
          <w:szCs w:val="24"/>
        </w:rPr>
        <w:t xml:space="preserve">的</w:t>
      </w:r>
      <w:r>
        <w:rPr>
          <w:rFonts w:hint="eastAsia" w:ascii="宋体" w:hAnsi="宋体" w:cs="宋体"/>
          <w:bCs/>
          <w:sz w:val="24"/>
          <w:szCs w:val="24"/>
          <w:u w:val="single"/>
        </w:rPr>
        <w:t xml:space="preserve">（项目名称）</w:t>
      </w:r>
      <w:r>
        <w:rPr>
          <w:rFonts w:hint="eastAsia" w:ascii="宋体" w:hAnsi="宋体" w:cs="宋体"/>
          <w:bCs/>
          <w:sz w:val="24"/>
          <w:szCs w:val="24"/>
        </w:rPr>
        <w:t xml:space="preserve">采购活动，提供的货物全部由符合政策要求的中小企业制造。企业的具体情况如下：</w:t>
      </w:r>
      <w:r/>
    </w:p>
    <w:p>
      <w:pPr>
        <w:ind w:firstLine="480"/>
        <w:spacing w:line="580" w:lineRule="exact"/>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u w:val="single"/>
        </w:rPr>
        <w:t xml:space="preserve"> （标的名称） </w:t>
      </w:r>
      <w:r>
        <w:rPr>
          <w:rFonts w:hint="eastAsia" w:ascii="宋体" w:hAnsi="宋体" w:cs="宋体"/>
          <w:bCs/>
          <w:sz w:val="24"/>
          <w:szCs w:val="24"/>
        </w:rPr>
        <w:t xml:space="preserve">，属于</w:t>
      </w:r>
      <w:r>
        <w:rPr>
          <w:rFonts w:hint="eastAsia" w:ascii="宋体" w:hAnsi="宋体" w:cs="宋体"/>
          <w:bCs/>
          <w:sz w:val="24"/>
          <w:szCs w:val="24"/>
          <w:u w:val="single"/>
        </w:rPr>
        <w:t xml:space="preserve">（采购文件中明确的所属行业）</w:t>
      </w:r>
      <w:r>
        <w:rPr>
          <w:rFonts w:hint="eastAsia" w:ascii="宋体" w:hAnsi="宋体" w:cs="宋体"/>
          <w:bCs/>
          <w:sz w:val="24"/>
          <w:szCs w:val="24"/>
        </w:rPr>
        <w:t xml:space="preserve">；制造商为</w:t>
      </w:r>
      <w:r>
        <w:rPr>
          <w:rFonts w:hint="eastAsia" w:ascii="宋体" w:hAnsi="宋体" w:cs="宋体"/>
          <w:bCs/>
          <w:sz w:val="24"/>
          <w:szCs w:val="24"/>
          <w:u w:val="single"/>
        </w:rPr>
        <w:t xml:space="preserve"> （企业名称） </w:t>
      </w:r>
      <w:r>
        <w:rPr>
          <w:rFonts w:hint="eastAsia" w:ascii="宋体" w:hAnsi="宋体" w:cs="宋体"/>
          <w:bCs/>
          <w:sz w:val="24"/>
          <w:szCs w:val="24"/>
        </w:rPr>
        <w:t xml:space="preserve">，从业人员</w:t>
      </w:r>
      <w:r>
        <w:rPr>
          <w:rFonts w:hint="eastAsia" w:ascii="宋体" w:hAnsi="宋体" w:cs="宋体"/>
          <w:bCs/>
          <w:sz w:val="24"/>
          <w:szCs w:val="24"/>
          <w:u w:val="single"/>
        </w:rPr>
        <w:t xml:space="preserve">   </w:t>
      </w:r>
      <w:r>
        <w:rPr>
          <w:rFonts w:hint="eastAsia" w:ascii="宋体" w:hAnsi="宋体" w:cs="宋体"/>
          <w:bCs/>
          <w:sz w:val="24"/>
          <w:szCs w:val="24"/>
        </w:rPr>
        <w:t xml:space="preserve">人，营业收入为</w:t>
      </w:r>
      <w:r>
        <w:rPr>
          <w:rFonts w:hint="eastAsia" w:ascii="宋体" w:hAnsi="宋体" w:cs="宋体"/>
          <w:bCs/>
          <w:sz w:val="24"/>
          <w:szCs w:val="24"/>
          <w:u w:val="single"/>
        </w:rPr>
        <w:t xml:space="preserve">   </w:t>
      </w:r>
      <w:r>
        <w:rPr>
          <w:rFonts w:hint="eastAsia" w:ascii="宋体" w:hAnsi="宋体" w:cs="宋体"/>
          <w:bCs/>
          <w:sz w:val="24"/>
          <w:szCs w:val="24"/>
        </w:rPr>
        <w:t xml:space="preserve">万元，资产总额为</w:t>
      </w:r>
      <w:r>
        <w:rPr>
          <w:rFonts w:hint="eastAsia" w:ascii="宋体" w:hAnsi="宋体" w:cs="宋体"/>
          <w:bCs/>
          <w:sz w:val="24"/>
          <w:szCs w:val="24"/>
          <w:u w:val="single"/>
        </w:rPr>
        <w:t xml:space="preserve">   </w:t>
      </w:r>
      <w:r>
        <w:rPr>
          <w:rFonts w:hint="eastAsia" w:ascii="宋体" w:hAnsi="宋体" w:cs="宋体"/>
          <w:bCs/>
          <w:sz w:val="24"/>
          <w:szCs w:val="24"/>
        </w:rPr>
        <w:t xml:space="preserve">万元，属于</w:t>
      </w:r>
      <w:r>
        <w:rPr>
          <w:rFonts w:hint="eastAsia" w:ascii="宋体" w:hAnsi="宋体" w:cs="宋体"/>
          <w:bCs/>
          <w:sz w:val="24"/>
          <w:szCs w:val="24"/>
          <w:u w:val="single"/>
        </w:rPr>
        <w:t xml:space="preserve">（中型企业、 小型企业、微型企业）</w:t>
      </w:r>
      <w:r>
        <w:rPr>
          <w:rFonts w:hint="eastAsia" w:ascii="宋体" w:hAnsi="宋体" w:cs="宋体"/>
          <w:bCs/>
          <w:sz w:val="24"/>
          <w:szCs w:val="24"/>
        </w:rPr>
        <w:t xml:space="preserve">；</w:t>
      </w:r>
      <w:r/>
    </w:p>
    <w:p>
      <w:pPr>
        <w:ind w:firstLine="480"/>
        <w:spacing w:line="580" w:lineRule="exact"/>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u w:val="single"/>
        </w:rPr>
        <w:t xml:space="preserve"> （标的名称） </w:t>
      </w:r>
      <w:r>
        <w:rPr>
          <w:rFonts w:hint="eastAsia" w:ascii="宋体" w:hAnsi="宋体" w:cs="宋体"/>
          <w:bCs/>
          <w:sz w:val="24"/>
          <w:szCs w:val="24"/>
        </w:rPr>
        <w:t xml:space="preserve">，属于</w:t>
      </w:r>
      <w:r>
        <w:rPr>
          <w:rFonts w:hint="eastAsia" w:ascii="宋体" w:hAnsi="宋体" w:cs="宋体"/>
          <w:bCs/>
          <w:sz w:val="24"/>
          <w:szCs w:val="24"/>
          <w:u w:val="single"/>
        </w:rPr>
        <w:t xml:space="preserve">（采购文件中明确的所属行业）</w:t>
      </w:r>
      <w:r>
        <w:rPr>
          <w:rFonts w:hint="eastAsia" w:ascii="宋体" w:hAnsi="宋体" w:cs="宋体"/>
          <w:bCs/>
          <w:sz w:val="24"/>
          <w:szCs w:val="24"/>
        </w:rPr>
        <w:t xml:space="preserve">；制造商为</w:t>
      </w:r>
      <w:r>
        <w:rPr>
          <w:rFonts w:hint="eastAsia" w:ascii="宋体" w:hAnsi="宋体" w:cs="宋体"/>
          <w:bCs/>
          <w:sz w:val="24"/>
          <w:szCs w:val="24"/>
          <w:u w:val="single"/>
        </w:rPr>
        <w:t xml:space="preserve"> （企业名称） </w:t>
      </w:r>
      <w:r>
        <w:rPr>
          <w:rFonts w:hint="eastAsia" w:ascii="宋体" w:hAnsi="宋体" w:cs="宋体"/>
          <w:bCs/>
          <w:sz w:val="24"/>
          <w:szCs w:val="24"/>
        </w:rPr>
        <w:t xml:space="preserve">，从业人员</w:t>
      </w:r>
      <w:r>
        <w:rPr>
          <w:rFonts w:hint="eastAsia" w:ascii="宋体" w:hAnsi="宋体" w:cs="宋体"/>
          <w:bCs/>
          <w:sz w:val="24"/>
          <w:szCs w:val="24"/>
          <w:u w:val="single"/>
        </w:rPr>
        <w:t xml:space="preserve">   </w:t>
      </w:r>
      <w:r>
        <w:rPr>
          <w:rFonts w:hint="eastAsia" w:ascii="宋体" w:hAnsi="宋体" w:cs="宋体"/>
          <w:bCs/>
          <w:sz w:val="24"/>
          <w:szCs w:val="24"/>
        </w:rPr>
        <w:t xml:space="preserve">人，营业收入为</w:t>
      </w:r>
      <w:r>
        <w:rPr>
          <w:rFonts w:hint="eastAsia" w:ascii="宋体" w:hAnsi="宋体" w:cs="宋体"/>
          <w:bCs/>
          <w:sz w:val="24"/>
          <w:szCs w:val="24"/>
          <w:u w:val="single"/>
        </w:rPr>
        <w:t xml:space="preserve">   </w:t>
      </w:r>
      <w:r>
        <w:rPr>
          <w:rFonts w:hint="eastAsia" w:ascii="宋体" w:hAnsi="宋体" w:cs="宋体"/>
          <w:bCs/>
          <w:sz w:val="24"/>
          <w:szCs w:val="24"/>
        </w:rPr>
        <w:t xml:space="preserve">万元，资产总额为</w:t>
      </w:r>
      <w:r>
        <w:rPr>
          <w:rFonts w:hint="eastAsia" w:ascii="宋体" w:hAnsi="宋体" w:cs="宋体"/>
          <w:bCs/>
          <w:sz w:val="24"/>
          <w:szCs w:val="24"/>
          <w:u w:val="single"/>
        </w:rPr>
        <w:t xml:space="preserve">   </w:t>
      </w:r>
      <w:r>
        <w:rPr>
          <w:rFonts w:hint="eastAsia" w:ascii="宋体" w:hAnsi="宋体" w:cs="宋体"/>
          <w:bCs/>
          <w:sz w:val="24"/>
          <w:szCs w:val="24"/>
        </w:rPr>
        <w:t xml:space="preserve">万元，属于</w:t>
      </w:r>
      <w:r>
        <w:rPr>
          <w:rFonts w:hint="eastAsia" w:ascii="宋体" w:hAnsi="宋体" w:cs="宋体"/>
          <w:bCs/>
          <w:sz w:val="24"/>
          <w:szCs w:val="24"/>
          <w:u w:val="single"/>
        </w:rPr>
        <w:t xml:space="preserve">（中型企业、 小型企业、微型企业）</w:t>
      </w:r>
      <w:r>
        <w:rPr>
          <w:rFonts w:hint="eastAsia" w:ascii="宋体" w:hAnsi="宋体" w:cs="宋体"/>
          <w:bCs/>
          <w:sz w:val="24"/>
          <w:szCs w:val="24"/>
        </w:rPr>
        <w:t xml:space="preserve">；</w:t>
      </w:r>
      <w:r/>
    </w:p>
    <w:p>
      <w:pPr>
        <w:ind w:firstLine="480"/>
        <w:spacing w:line="580" w:lineRule="exact"/>
        <w:rPr>
          <w:rFonts w:hint="eastAsia" w:ascii="宋体" w:hAnsi="宋体" w:cs="宋体"/>
          <w:bCs/>
          <w:sz w:val="24"/>
          <w:szCs w:val="24"/>
        </w:rPr>
      </w:pPr>
      <w:r>
        <w:rPr>
          <w:rFonts w:hint="eastAsia" w:ascii="宋体" w:hAnsi="宋体" w:cs="宋体"/>
          <w:bCs/>
          <w:sz w:val="24"/>
          <w:szCs w:val="24"/>
        </w:rPr>
        <w:t xml:space="preserve">……</w:t>
      </w:r>
      <w:r/>
    </w:p>
    <w:p>
      <w:pPr>
        <w:ind w:firstLine="480"/>
        <w:spacing w:line="580" w:lineRule="exact"/>
        <w:rPr>
          <w:rFonts w:hint="eastAsia" w:ascii="宋体" w:hAnsi="宋体" w:cs="宋体"/>
          <w:bCs/>
          <w:sz w:val="24"/>
          <w:szCs w:val="24"/>
        </w:rPr>
      </w:pPr>
      <w:r>
        <w:rPr>
          <w:rFonts w:hint="eastAsia" w:ascii="宋体" w:hAnsi="宋体" w:cs="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w:t>
      </w:r>
      <w:r/>
    </w:p>
    <w:p>
      <w:pPr>
        <w:ind w:firstLine="4800"/>
        <w:jc w:val="left"/>
        <w:spacing w:line="440" w:lineRule="exact"/>
        <w:rPr>
          <w:rFonts w:hint="eastAsia" w:ascii="宋体" w:hAnsi="宋体" w:cs="宋体"/>
          <w:bCs/>
          <w:sz w:val="24"/>
          <w:szCs w:val="24"/>
        </w:rPr>
      </w:pPr>
      <w:r>
        <w:rPr>
          <w:rFonts w:hint="eastAsia" w:ascii="宋体" w:hAnsi="宋体" w:cs="宋体"/>
          <w:bCs/>
          <w:sz w:val="24"/>
        </w:rPr>
        <w:t xml:space="preserve">投标人</w:t>
      </w:r>
      <w:r>
        <w:rPr>
          <w:rFonts w:hint="eastAsia" w:ascii="宋体" w:hAnsi="宋体" w:cs="宋体"/>
          <w:bCs/>
          <w:sz w:val="24"/>
          <w:szCs w:val="24"/>
        </w:rPr>
        <w:t xml:space="preserve">(盖章)：</w:t>
      </w:r>
      <w:r/>
    </w:p>
    <w:p>
      <w:pPr>
        <w:ind w:firstLine="480"/>
        <w:jc w:val="left"/>
        <w:spacing w:line="440" w:lineRule="exact"/>
        <w:rPr>
          <w:rFonts w:hint="eastAsia" w:ascii="宋体" w:hAnsi="宋体" w:cs="宋体"/>
          <w:bCs/>
          <w:sz w:val="24"/>
          <w:szCs w:val="24"/>
        </w:rPr>
      </w:pPr>
      <w:r>
        <w:rPr>
          <w:rFonts w:hint="eastAsia" w:ascii="宋体" w:hAnsi="宋体" w:cs="宋体"/>
          <w:bCs/>
          <w:sz w:val="24"/>
          <w:szCs w:val="24"/>
        </w:rPr>
      </w:r>
      <w:r/>
    </w:p>
    <w:p>
      <w:pPr>
        <w:ind w:firstLine="4800"/>
        <w:spacing w:line="360" w:lineRule="auto"/>
        <w:rPr>
          <w:rFonts w:hint="eastAsia" w:ascii="宋体" w:hAnsi="宋体" w:cs="宋体"/>
          <w:bCs/>
          <w:sz w:val="24"/>
          <w:szCs w:val="24"/>
        </w:rPr>
      </w:pPr>
      <w:r>
        <w:rPr>
          <w:rFonts w:hint="eastAsia" w:ascii="宋体" w:hAnsi="宋体" w:cs="宋体"/>
          <w:bCs/>
          <w:sz w:val="24"/>
          <w:szCs w:val="24"/>
        </w:rPr>
        <w:t xml:space="preserve">日　期：</w:t>
      </w:r>
      <w:r/>
    </w:p>
    <w:p>
      <w:pPr>
        <w:pStyle w:val="1444"/>
        <w:rPr>
          <w:rFonts w:hint="eastAsia"/>
        </w:rPr>
      </w:pPr>
      <w:r>
        <w:rPr>
          <w:rFonts w:hint="eastAsia"/>
        </w:rPr>
      </w:r>
      <w:r/>
    </w:p>
    <w:p>
      <w:pPr>
        <w:ind w:right="-216"/>
        <w:jc w:val="left"/>
        <w:rPr>
          <w:rFonts w:hint="eastAsia" w:ascii="宋体" w:hAnsi="宋体" w:cs="宋体"/>
          <w:sz w:val="24"/>
          <w:szCs w:val="24"/>
        </w:rPr>
      </w:pPr>
      <w:r>
        <w:rPr>
          <w:rFonts w:hint="eastAsia" w:ascii="宋体" w:hAnsi="宋体" w:cs="宋体"/>
          <w:sz w:val="24"/>
          <w:szCs w:val="24"/>
        </w:rPr>
        <w:t xml:space="preserve">说明：</w:t>
      </w:r>
      <w:r/>
    </w:p>
    <w:p>
      <w:pPr>
        <w:ind w:right="-216"/>
        <w:jc w:val="left"/>
        <w:rPr>
          <w:rFonts w:hint="eastAsia" w:ascii="宋体" w:hAnsi="宋体" w:cs="宋体"/>
          <w:b/>
          <w:bCs/>
          <w:sz w:val="24"/>
          <w:szCs w:val="24"/>
        </w:rPr>
      </w:pPr>
      <w:r>
        <w:rPr>
          <w:rFonts w:hint="eastAsia" w:ascii="宋体" w:hAnsi="宋体" w:cs="宋体"/>
          <w:sz w:val="24"/>
          <w:szCs w:val="24"/>
        </w:rPr>
        <w:t xml:space="preserve">（1）根据本《中小企业声明函》类型，项目属性为货物类的，项目技术要求中如对本项目货物标的及其所属行业进行逐一列明的，投标人须根据项目技术要求中所列明的标的及其所属行业逐一进行填报，“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rPr>
          <w:rFonts w:hint="eastAsia" w:ascii="宋体" w:hAnsi="宋体" w:cs="宋体"/>
          <w:b/>
          <w:bCs/>
          <w:sz w:val="24"/>
          <w:szCs w:val="24"/>
        </w:rPr>
        <w:t xml:space="preserve">货物采购项目中，货物的制造商应当为中小微企业，不对其中涉及的服务的承接商、工程的承建商作出要求。</w:t>
      </w:r>
      <w:r/>
    </w:p>
    <w:p>
      <w:pPr>
        <w:ind w:right="-216"/>
        <w:jc w:val="left"/>
        <w:rPr>
          <w:rFonts w:hint="eastAsia" w:ascii="宋体" w:hAnsi="宋体" w:cs="宋体"/>
          <w:sz w:val="24"/>
          <w:szCs w:val="24"/>
        </w:rPr>
      </w:pPr>
      <w:r>
        <w:rPr>
          <w:rFonts w:hint="eastAsia" w:ascii="宋体" w:hAnsi="宋体" w:cs="宋体"/>
          <w:sz w:val="24"/>
          <w:szCs w:val="24"/>
        </w:rPr>
        <w:t xml:space="preserve">（2）从业人员、营业收入、资产总额填报上一年度数据，无上一年度数据的新成立企业可不填报。</w:t>
      </w:r>
      <w:r/>
    </w:p>
    <w:p>
      <w:pPr>
        <w:ind w:right="-216"/>
        <w:jc w:val="left"/>
        <w:rPr>
          <w:rFonts w:hint="eastAsia" w:ascii="宋体" w:hAnsi="宋体" w:cs="宋体"/>
          <w:sz w:val="24"/>
          <w:szCs w:val="24"/>
        </w:rPr>
      </w:pPr>
      <w:r>
        <w:rPr>
          <w:rFonts w:hint="eastAsia" w:ascii="宋体" w:hAnsi="宋体" w:cs="宋体"/>
          <w:sz w:val="24"/>
          <w:szCs w:val="24"/>
        </w:rPr>
        <w:t xml:space="preserve">（3）在货物采购项目中，供应商提供的货物既有中小企业制造货物，也有大型企业制造货物的，不享受本办法规定的中小企业扶持政策。</w:t>
      </w:r>
      <w:r/>
    </w:p>
    <w:p>
      <w:pPr>
        <w:ind w:right="-216"/>
        <w:jc w:val="left"/>
        <w:rPr>
          <w:rFonts w:hint="eastAsia" w:ascii="宋体" w:hAnsi="宋体" w:cs="宋体"/>
          <w:sz w:val="24"/>
          <w:szCs w:val="24"/>
        </w:rPr>
      </w:pPr>
      <w:r>
        <w:rPr>
          <w:rFonts w:hint="eastAsia" w:ascii="宋体" w:hAnsi="宋体" w:cs="宋体"/>
          <w:sz w:val="24"/>
          <w:szCs w:val="24"/>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ind w:right="-216"/>
        <w:jc w:val="left"/>
        <w:rPr>
          <w:rFonts w:hint="eastAsia" w:ascii="宋体" w:hAnsi="宋体" w:cs="宋体"/>
          <w:sz w:val="24"/>
        </w:rPr>
      </w:pPr>
      <w:r>
        <w:rPr>
          <w:rFonts w:hint="eastAsia" w:ascii="宋体" w:hAnsi="宋体" w:cs="宋体"/>
          <w:sz w:val="24"/>
        </w:rPr>
      </w:r>
      <w:r/>
    </w:p>
    <w:p>
      <w:pPr>
        <w:ind w:right="-216"/>
        <w:jc w:val="left"/>
        <w:rPr>
          <w:rFonts w:hint="eastAsia" w:ascii="宋体" w:hAnsi="宋体" w:cs="宋体"/>
          <w:sz w:val="24"/>
        </w:rPr>
        <w:sectPr>
          <w:footnotePr/>
          <w:endnotePr/>
          <w:type w:val="nextPage"/>
          <w:pgSz w:w="11906" w:h="16838" w:orient="portrait"/>
          <w:pgMar w:top="1440" w:right="1800" w:bottom="1440" w:left="1800" w:header="624" w:footer="907" w:gutter="0"/>
          <w:cols w:num="1" w:sep="0" w:space="720" w:equalWidth="1"/>
          <w:docGrid w:linePitch="360"/>
        </w:sectPr>
      </w:pPr>
      <w:r>
        <w:rPr>
          <w:rFonts w:hint="eastAsia" w:ascii="宋体" w:hAnsi="宋体" w:cs="宋体"/>
          <w:sz w:val="24"/>
        </w:rPr>
      </w:r>
      <w:r/>
    </w:p>
    <w:p>
      <w:pPr>
        <w:rPr>
          <w:rFonts w:hint="eastAsia" w:ascii="宋体" w:hAnsi="宋体" w:cs="宋体"/>
          <w:b/>
          <w:sz w:val="24"/>
          <w:szCs w:val="24"/>
        </w:rPr>
        <w:outlineLvl w:val="2"/>
      </w:pPr>
      <w:r/>
      <w:bookmarkStart w:id="54" w:name="OLE_LINK14"/>
      <w:r/>
      <w:bookmarkStart w:id="55" w:name="OLE_LINK13"/>
      <w:r/>
      <w:bookmarkStart w:id="56" w:name="_Hlk6917152"/>
      <w:r>
        <w:rPr>
          <w:rFonts w:hint="eastAsia" w:ascii="宋体" w:hAnsi="宋体" w:cs="宋体"/>
          <w:b/>
          <w:sz w:val="24"/>
          <w:szCs w:val="24"/>
        </w:rPr>
        <w:t xml:space="preserve">（投标人）残疾人福利性单位声明函（格式）：</w:t>
      </w:r>
      <w:bookmarkEnd w:id="54"/>
      <w:r/>
      <w:bookmarkEnd w:id="55"/>
      <w:r/>
      <w:r/>
    </w:p>
    <w:p>
      <w:pPr>
        <w:spacing w:line="588" w:lineRule="exact"/>
        <w:rPr>
          <w:rFonts w:hint="eastAsia" w:ascii="宋体" w:hAnsi="宋体" w:cs="宋体"/>
          <w:b/>
          <w:spacing w:val="6"/>
          <w:sz w:val="24"/>
          <w:szCs w:val="24"/>
        </w:rPr>
      </w:pPr>
      <w:r>
        <w:rPr>
          <w:rFonts w:hint="eastAsia" w:ascii="宋体" w:hAnsi="宋体" w:cs="宋体"/>
          <w:b/>
          <w:spacing w:val="6"/>
          <w:sz w:val="24"/>
          <w:szCs w:val="24"/>
        </w:rPr>
      </w:r>
      <w:r/>
    </w:p>
    <w:p>
      <w:pPr>
        <w:jc w:val="center"/>
        <w:rPr>
          <w:rFonts w:hint="eastAsia" w:ascii="宋体" w:hAnsi="宋体" w:cs="宋体"/>
          <w:bCs/>
          <w:sz w:val="24"/>
          <w:szCs w:val="24"/>
        </w:rPr>
      </w:pPr>
      <w:r>
        <w:rPr>
          <w:rFonts w:hint="eastAsia" w:ascii="宋体" w:hAnsi="宋体" w:cs="宋体"/>
          <w:bCs/>
          <w:sz w:val="24"/>
          <w:szCs w:val="24"/>
        </w:rPr>
        <w:t xml:space="preserve">残疾人福利性单位声明函</w:t>
      </w:r>
      <w:r/>
    </w:p>
    <w:p>
      <w:pPr>
        <w:jc w:val="center"/>
        <w:rPr>
          <w:rFonts w:hint="eastAsia" w:ascii="宋体" w:hAnsi="宋体" w:cs="宋体"/>
          <w:bCs/>
          <w:sz w:val="24"/>
          <w:szCs w:val="24"/>
        </w:rPr>
      </w:pPr>
      <w:r>
        <w:rPr>
          <w:rFonts w:hint="eastAsia" w:ascii="宋体" w:hAnsi="宋体" w:cs="宋体"/>
          <w:bCs/>
          <w:sz w:val="24"/>
          <w:szCs w:val="24"/>
        </w:rPr>
      </w:r>
      <w:r/>
    </w:p>
    <w:p>
      <w:pPr>
        <w:ind w:firstLine="480"/>
        <w:spacing w:line="580" w:lineRule="exact"/>
        <w:rPr>
          <w:rFonts w:hint="eastAsia" w:ascii="宋体" w:hAnsi="宋体" w:cs="宋体"/>
          <w:bCs/>
          <w:sz w:val="24"/>
          <w:szCs w:val="24"/>
        </w:rPr>
      </w:pPr>
      <w:r>
        <w:rPr>
          <w:rFonts w:hint="eastAsia" w:ascii="宋体" w:hAnsi="宋体" w:cs="宋体"/>
          <w:bCs/>
          <w:sz w:val="24"/>
          <w:szCs w:val="24"/>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bCs/>
          <w:sz w:val="24"/>
          <w:szCs w:val="24"/>
          <w:u w:val="single"/>
        </w:rPr>
        <w:t xml:space="preserve">           </w:t>
      </w:r>
      <w:r>
        <w:rPr>
          <w:rFonts w:hint="eastAsia" w:ascii="宋体" w:hAnsi="宋体" w:cs="宋体"/>
          <w:bCs/>
          <w:sz w:val="24"/>
          <w:szCs w:val="24"/>
        </w:rPr>
        <w:t xml:space="preserve">单位的</w:t>
      </w:r>
      <w:r>
        <w:rPr>
          <w:rFonts w:hint="eastAsia" w:ascii="宋体" w:hAnsi="宋体" w:cs="宋体"/>
          <w:bCs/>
          <w:sz w:val="24"/>
          <w:szCs w:val="24"/>
          <w:u w:val="single"/>
        </w:rPr>
        <w:t xml:space="preserve">             </w:t>
      </w:r>
      <w:r>
        <w:rPr>
          <w:rFonts w:hint="eastAsia" w:ascii="宋体" w:hAnsi="宋体" w:cs="宋体"/>
          <w:bCs/>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cs="宋体"/>
          <w:bCs/>
          <w:sz w:val="24"/>
          <w:szCs w:val="24"/>
        </w:rPr>
      </w:pPr>
      <w:r>
        <w:rPr>
          <w:rFonts w:hint="eastAsia" w:ascii="宋体" w:hAnsi="宋体" w:cs="宋体"/>
          <w:bCs/>
          <w:sz w:val="24"/>
          <w:szCs w:val="24"/>
        </w:rPr>
        <w:t xml:space="preserve">本单位对上述声明的真实性负责。如有虚假，将依法承担相应责任。</w:t>
      </w:r>
      <w:r/>
    </w:p>
    <w:p>
      <w:pPr>
        <w:ind w:firstLine="480"/>
        <w:spacing w:line="580" w:lineRule="exact"/>
        <w:rPr>
          <w:rFonts w:hint="eastAsia" w:ascii="宋体" w:hAnsi="宋体" w:cs="宋体"/>
          <w:bCs/>
          <w:sz w:val="24"/>
          <w:szCs w:val="24"/>
        </w:rPr>
      </w:pPr>
      <w:r>
        <w:rPr>
          <w:rFonts w:hint="eastAsia" w:ascii="宋体" w:hAnsi="宋体" w:cs="宋体"/>
          <w:bCs/>
          <w:sz w:val="24"/>
          <w:szCs w:val="24"/>
        </w:rPr>
      </w:r>
      <w:r/>
    </w:p>
    <w:p>
      <w:pPr>
        <w:ind w:firstLine="480"/>
        <w:spacing w:line="580" w:lineRule="exact"/>
        <w:rPr>
          <w:rFonts w:hint="eastAsia" w:ascii="宋体" w:hAnsi="宋体" w:cs="宋体"/>
          <w:bCs/>
          <w:sz w:val="24"/>
          <w:szCs w:val="24"/>
        </w:rPr>
      </w:pPr>
      <w:r>
        <w:rPr>
          <w:rFonts w:hint="eastAsia" w:ascii="宋体" w:hAnsi="宋体" w:cs="宋体"/>
          <w:bCs/>
          <w:sz w:val="24"/>
          <w:szCs w:val="24"/>
        </w:rPr>
      </w:r>
      <w:r/>
    </w:p>
    <w:p>
      <w:pPr>
        <w:ind w:firstLine="5670"/>
        <w:spacing w:line="580" w:lineRule="exact"/>
        <w:rPr>
          <w:rFonts w:hint="eastAsia" w:ascii="宋体" w:hAnsi="宋体" w:cs="宋体"/>
          <w:bCs/>
          <w:sz w:val="24"/>
          <w:szCs w:val="24"/>
        </w:rPr>
      </w:pPr>
      <w:r>
        <w:rPr>
          <w:rFonts w:hint="eastAsia" w:ascii="宋体" w:hAnsi="宋体" w:cs="宋体"/>
        </w:rPr>
        <w:t xml:space="preserve">单位名称</w:t>
      </w:r>
      <w:r>
        <w:rPr>
          <w:rFonts w:hint="eastAsia" w:ascii="宋体" w:hAnsi="宋体" w:cs="宋体"/>
          <w:bCs/>
          <w:sz w:val="24"/>
          <w:szCs w:val="24"/>
        </w:rPr>
        <w:t xml:space="preserve">（盖章）：</w:t>
      </w:r>
      <w:r/>
    </w:p>
    <w:p>
      <w:pPr>
        <w:ind w:firstLine="6720"/>
        <w:spacing w:line="580" w:lineRule="exact"/>
        <w:rPr>
          <w:rFonts w:hint="eastAsia" w:ascii="宋体" w:hAnsi="宋体" w:cs="宋体"/>
          <w:bCs/>
          <w:sz w:val="24"/>
          <w:szCs w:val="24"/>
        </w:rPr>
      </w:pPr>
      <w:r>
        <w:rPr>
          <w:rFonts w:hint="eastAsia" w:ascii="宋体" w:hAnsi="宋体" w:cs="宋体"/>
          <w:bCs/>
          <w:sz w:val="24"/>
          <w:szCs w:val="24"/>
        </w:rPr>
        <w:t xml:space="preserve">日  期：</w:t>
      </w:r>
      <w:bookmarkEnd w:id="56"/>
      <w:r/>
      <w:r/>
    </w:p>
    <w:p>
      <w:pPr>
        <w:pStyle w:val="1508"/>
        <w:ind w:firstLine="480"/>
        <w:rPr>
          <w:rFonts w:hint="eastAsia" w:ascii="宋体" w:hAnsi="宋体" w:cs="宋体"/>
          <w:sz w:val="24"/>
          <w:szCs w:val="24"/>
        </w:rPr>
      </w:pPr>
      <w:r>
        <w:rPr>
          <w:rFonts w:hint="eastAsia" w:ascii="宋体" w:hAnsi="宋体" w:cs="宋体"/>
          <w:sz w:val="24"/>
          <w:szCs w:val="24"/>
        </w:rPr>
      </w:r>
      <w:r/>
    </w:p>
    <w:p>
      <w:pPr>
        <w:pStyle w:val="1508"/>
        <w:ind w:firstLine="480"/>
        <w:rPr>
          <w:rFonts w:hint="eastAsia" w:ascii="宋体" w:hAnsi="宋体" w:cs="宋体"/>
          <w:sz w:val="24"/>
          <w:szCs w:val="24"/>
        </w:rPr>
      </w:pPr>
      <w:r>
        <w:rPr>
          <w:rFonts w:hint="eastAsia" w:ascii="宋体" w:hAnsi="宋体" w:cs="宋体"/>
          <w:sz w:val="24"/>
          <w:szCs w:val="24"/>
        </w:rPr>
      </w:r>
      <w:r/>
    </w:p>
    <w:p>
      <w:pPr>
        <w:pStyle w:val="1508"/>
        <w:ind w:firstLine="480"/>
        <w:rPr>
          <w:rFonts w:hint="eastAsia" w:ascii="宋体" w:hAnsi="宋体" w:cs="宋体"/>
          <w:sz w:val="24"/>
          <w:szCs w:val="24"/>
        </w:rPr>
      </w:pPr>
      <w:r>
        <w:rPr>
          <w:rFonts w:hint="eastAsia" w:ascii="宋体" w:hAnsi="宋体" w:cs="宋体"/>
          <w:sz w:val="24"/>
          <w:szCs w:val="24"/>
        </w:rPr>
      </w:r>
      <w:r/>
    </w:p>
    <w:p>
      <w:pPr>
        <w:pStyle w:val="1508"/>
        <w:ind w:firstLine="480"/>
        <w:rPr>
          <w:rFonts w:hint="eastAsia" w:ascii="宋体" w:hAnsi="宋体" w:cs="宋体"/>
          <w:sz w:val="24"/>
          <w:szCs w:val="24"/>
        </w:rPr>
        <w:sectPr>
          <w:footnotePr/>
          <w:endnotePr/>
          <w:type w:val="nextPage"/>
          <w:pgSz w:w="11906" w:h="16838" w:orient="portrait"/>
          <w:pgMar w:top="1440" w:right="1800" w:bottom="1440" w:left="1800" w:header="624" w:footer="907" w:gutter="0"/>
          <w:cols w:num="1" w:sep="0" w:space="720" w:equalWidth="1"/>
          <w:docGrid w:linePitch="360"/>
        </w:sectPr>
      </w:pPr>
      <w:r>
        <w:rPr>
          <w:rFonts w:hint="eastAsia" w:ascii="宋体" w:hAnsi="宋体" w:cs="宋体"/>
          <w:sz w:val="24"/>
          <w:szCs w:val="24"/>
        </w:rPr>
      </w:r>
      <w:r/>
    </w:p>
    <w:p>
      <w:pPr>
        <w:rPr>
          <w:rFonts w:hint="eastAsia" w:ascii="宋体" w:hAnsi="宋体" w:cs="宋体"/>
          <w:b/>
          <w:sz w:val="24"/>
          <w:szCs w:val="24"/>
        </w:rPr>
        <w:outlineLvl w:val="2"/>
      </w:pPr>
      <w:r>
        <w:rPr>
          <w:rFonts w:hint="eastAsia" w:ascii="宋体" w:hAnsi="宋体" w:cs="宋体"/>
          <w:b/>
          <w:sz w:val="24"/>
          <w:szCs w:val="24"/>
        </w:rPr>
        <w:t xml:space="preserve">（十一）服务方案：</w:t>
      </w:r>
      <w:r/>
    </w:p>
    <w:p>
      <w:pPr>
        <w:pStyle w:val="1508"/>
        <w:ind w:firstLine="480"/>
        <w:rPr>
          <w:rFonts w:hint="eastAsia" w:ascii="宋体" w:hAnsi="宋体" w:cs="宋体"/>
          <w:bCs/>
          <w:sz w:val="24"/>
          <w:szCs w:val="24"/>
        </w:rPr>
      </w:pPr>
      <w:r>
        <w:rPr>
          <w:rFonts w:hint="eastAsia" w:ascii="宋体" w:hAnsi="宋体" w:cs="宋体"/>
          <w:bCs/>
          <w:sz w:val="24"/>
          <w:szCs w:val="24"/>
        </w:rPr>
      </w:r>
      <w:r/>
    </w:p>
    <w:p>
      <w:pPr>
        <w:pStyle w:val="1508"/>
        <w:ind w:firstLine="480"/>
        <w:rPr>
          <w:rFonts w:hint="eastAsia" w:ascii="宋体" w:hAnsi="宋体" w:cs="宋体"/>
          <w:bCs/>
          <w:sz w:val="24"/>
          <w:szCs w:val="24"/>
        </w:rPr>
      </w:pPr>
      <w:r>
        <w:rPr>
          <w:rFonts w:hint="eastAsia" w:ascii="宋体" w:hAnsi="宋体" w:cs="宋体"/>
          <w:bCs/>
          <w:sz w:val="24"/>
          <w:szCs w:val="24"/>
        </w:rPr>
      </w:r>
      <w:r/>
    </w:p>
    <w:p>
      <w:pPr>
        <w:pStyle w:val="1508"/>
        <w:ind w:firstLine="480"/>
        <w:jc w:val="center"/>
        <w:rPr>
          <w:rFonts w:hint="eastAsia" w:ascii="宋体" w:hAnsi="宋体" w:cs="宋体"/>
          <w:bCs/>
          <w:sz w:val="24"/>
          <w:szCs w:val="24"/>
        </w:rPr>
      </w:pPr>
      <w:r>
        <w:rPr>
          <w:rFonts w:hint="eastAsia" w:ascii="宋体" w:hAnsi="宋体" w:cs="宋体"/>
          <w:bCs/>
          <w:sz w:val="24"/>
          <w:szCs w:val="24"/>
        </w:rPr>
        <w:t xml:space="preserve">技术服务方案</w:t>
      </w:r>
      <w:r/>
    </w:p>
    <w:p>
      <w:pPr>
        <w:pStyle w:val="1508"/>
        <w:ind w:firstLine="480"/>
        <w:rPr>
          <w:rFonts w:hint="eastAsia" w:ascii="宋体" w:hAnsi="宋体" w:cs="宋体"/>
          <w:bCs/>
          <w:sz w:val="24"/>
          <w:szCs w:val="24"/>
        </w:rPr>
      </w:pPr>
      <w:r>
        <w:rPr>
          <w:rFonts w:hint="eastAsia" w:ascii="宋体" w:hAnsi="宋体" w:cs="宋体"/>
          <w:bCs/>
          <w:sz w:val="24"/>
          <w:szCs w:val="24"/>
        </w:rPr>
      </w:r>
      <w:r/>
    </w:p>
    <w:p>
      <w:pPr>
        <w:pStyle w:val="1508"/>
        <w:ind w:firstLine="480"/>
        <w:rPr>
          <w:rFonts w:hint="eastAsia" w:ascii="宋体" w:hAnsi="宋体" w:cs="宋体"/>
          <w:bCs/>
          <w:sz w:val="24"/>
          <w:szCs w:val="24"/>
        </w:rPr>
      </w:pPr>
      <w:r>
        <w:rPr>
          <w:rFonts w:hint="eastAsia" w:ascii="宋体" w:hAnsi="宋体" w:cs="宋体"/>
          <w:bCs/>
          <w:sz w:val="24"/>
          <w:szCs w:val="24"/>
        </w:rPr>
        <w:t xml:space="preserve">投标人应按评分点编制完整的技术方案，以便评审。</w:t>
      </w:r>
      <w:r/>
    </w:p>
    <w:p>
      <w:pPr>
        <w:rPr>
          <w:rFonts w:hint="eastAsia" w:ascii="宋体" w:hAnsi="宋体" w:cs="宋体"/>
          <w:sz w:val="24"/>
          <w:szCs w:val="24"/>
        </w:rPr>
        <w:sectPr>
          <w:footnotePr/>
          <w:endnotePr/>
          <w:type w:val="nextPage"/>
          <w:pgSz w:w="11906" w:h="16838" w:orient="portrait"/>
          <w:pgMar w:top="1440" w:right="1800" w:bottom="1440" w:left="1800" w:header="624" w:footer="907" w:gutter="0"/>
          <w:cols w:num="1" w:sep="0" w:space="720" w:equalWidth="1"/>
          <w:docGrid w:linePitch="360"/>
        </w:sectPr>
      </w:pPr>
      <w:r>
        <w:rPr>
          <w:rFonts w:hint="eastAsia" w:ascii="宋体" w:hAnsi="宋体" w:cs="宋体"/>
          <w:sz w:val="24"/>
          <w:szCs w:val="24"/>
        </w:rPr>
      </w:r>
      <w:r/>
    </w:p>
    <w:p>
      <w:pPr>
        <w:rPr>
          <w:rFonts w:hint="eastAsia" w:ascii="宋体" w:hAnsi="宋体" w:cs="宋体"/>
          <w:b/>
          <w:sz w:val="30"/>
          <w:szCs w:val="30"/>
        </w:rPr>
        <w:outlineLvl w:val="2"/>
      </w:pPr>
      <w:r>
        <w:rPr>
          <w:rFonts w:hint="eastAsia" w:ascii="宋体" w:hAnsi="宋体" w:cs="宋体"/>
          <w:b/>
          <w:sz w:val="24"/>
          <w:szCs w:val="24"/>
        </w:rPr>
        <w:t xml:space="preserve">（十二）其他</w:t>
      </w:r>
      <w:r>
        <w:rPr>
          <w:rFonts w:hint="eastAsia" w:ascii="宋体" w:hAnsi="宋体" w:cs="宋体"/>
          <w:b/>
          <w:bCs/>
          <w:sz w:val="24"/>
          <w:szCs w:val="24"/>
        </w:rPr>
        <w:t xml:space="preserve">（投标人认为有必要提供的声明和文件，如有格式自拟）：</w:t>
      </w:r>
      <w:r/>
    </w:p>
    <w:p>
      <w:pPr>
        <w:pStyle w:val="1436"/>
        <w:rPr>
          <w:rFonts w:hint="eastAsia"/>
        </w:rPr>
      </w:pPr>
      <w:r>
        <w:rPr>
          <w:rFonts w:hint="eastAsia"/>
        </w:rPr>
      </w:r>
      <w:r/>
    </w:p>
    <w:sectPr>
      <w:footerReference w:type="default" r:id="rId30"/>
      <w:footerReference w:type="even" r:id="rId31"/>
      <w:footnotePr/>
      <w:endnotePr/>
      <w:type w:val="nextPage"/>
      <w:pgSz w:w="11906" w:h="16838" w:orient="portrait"/>
      <w:pgMar w:top="1440" w:right="1800" w:bottom="1440" w:left="1800" w:header="567" w:footer="28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Calibri">
    <w:panose1 w:val="020F0502020204030204"/>
  </w:font>
  <w:font w:name="等线">
    <w:panose1 w:val="02010600030101010101"/>
  </w:font>
  <w:font w:name="仿宋">
    <w:panose1 w:val="02010609060101010101"/>
  </w:font>
  <w:font w:name="Courier New">
    <w:panose1 w:val="02070309020205020404"/>
  </w:font>
  <w:font w:name="仿宋_GB2312">
    <w:panose1 w:val="02010609060101010101"/>
  </w:font>
  <w:font w:name="黑体">
    <w:panose1 w:val="02010609060101010101"/>
  </w:font>
  <w:font w:name="华文中宋">
    <w:panose1 w:val="0201060004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4"/>
      <w:jc w:val="center"/>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4"/>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44"/>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4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4"/>
      <w:rPr>
        <w:rStyle w:val="1458"/>
      </w:rPr>
      <w:framePr w:wrap="around" w:vAnchor="text" w:hAnchor="margin" w:xAlign="center" w:y="1"/>
    </w:pPr>
    <w:r>
      <w:fldChar w:fldCharType="begin"/>
    </w:r>
    <w:r>
      <w:rPr>
        <w:rStyle w:val="1458"/>
      </w:rPr>
      <w:instrText xml:space="preserve">PAGE  </w:instrText>
    </w:r>
    <w:r>
      <w:fldChar w:fldCharType="separate"/>
    </w:r>
    <w:r>
      <w:rPr>
        <w:rStyle w:val="1458"/>
      </w:rPr>
      <w:t xml:space="preserve">1</w:t>
    </w:r>
    <w:r>
      <w:fldChar w:fldCharType="end"/>
    </w:r>
    <w:r/>
  </w:p>
  <w:p>
    <w:pPr>
      <w:pStyle w:val="1444"/>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44"/>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4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4"/>
    </w:pP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24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44"/>
                          </w:pPr>
                          <w:r>
                            <w:fldChar w:fldCharType="begin"/>
                          </w:r>
                          <w:r>
                            <w:instrText xml:space="preserve"> PAGE  \* MERGEFORMAT </w:instrText>
                          </w:r>
                          <w:r>
                            <w:fldChar w:fldCharType="separate"/>
                          </w:r>
                          <w:r>
                            <w:t xml:space="preserve">5</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44"/>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4"/>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44"/>
                          </w:pPr>
                          <w:r>
                            <w:fldChar w:fldCharType="begin"/>
                          </w:r>
                          <w:r>
                            <w:instrText xml:space="preserve"> PAGE  \* MERGEFORMAT </w:instrText>
                          </w:r>
                          <w:r>
                            <w:fldChar w:fldCharType="separate"/>
                          </w:r>
                          <w:r>
                            <w:t xml:space="preserve">5</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44"/>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4"/>
      <w:jc w:val="center"/>
      <w:rPr>
        <w:sz w:val="24"/>
        <w:szCs w:val="24"/>
      </w:rPr>
    </w:pPr>
    <w:r>
      <w:rPr>
        <w:sz w:val="24"/>
        <w:szCs w:val="24"/>
      </w:rPr>
      <w:t xml:space="preserve">- </w:t>
    </w:r>
    <w:r>
      <w:rPr>
        <w:sz w:val="24"/>
        <w:szCs w:val="24"/>
      </w:rPr>
      <w:fldChar w:fldCharType="begin"/>
    </w:r>
    <w:r>
      <w:rPr>
        <w:sz w:val="24"/>
        <w:szCs w:val="24"/>
      </w:rPr>
      <w:instrText xml:space="preserve"> PAGE </w:instrText>
    </w:r>
    <w:r>
      <w:rPr>
        <w:sz w:val="24"/>
        <w:szCs w:val="24"/>
      </w:rPr>
      <w:fldChar w:fldCharType="separate"/>
    </w:r>
    <w:r>
      <w:rPr>
        <w:sz w:val="24"/>
        <w:szCs w:val="24"/>
      </w:rPr>
      <w:t xml:space="preserve">32</w:t>
    </w:r>
    <w:r>
      <w:rPr>
        <w:sz w:val="24"/>
        <w:szCs w:val="24"/>
      </w:rPr>
      <w:fldChar w:fldCharType="end"/>
    </w:r>
    <w:r>
      <w:rPr>
        <w:sz w:val="24"/>
        <w:szCs w:val="24"/>
      </w:rPr>
      <w:t xml:space="preserve"> -</w:t>
    </w:r>
    <w:r/>
  </w:p>
  <w:p>
    <w:pPr>
      <w:rPr>
        <w:sz w:val="24"/>
        <w:szCs w:val="24"/>
      </w:rPr>
    </w:pPr>
    <w:r>
      <w:rPr>
        <w:sz w:val="24"/>
        <w:szCs w:val="24"/>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4"/>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3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44"/>
                          </w:pPr>
                          <w:r>
                            <w:fldChar w:fldCharType="begin"/>
                          </w:r>
                          <w:r>
                            <w:instrText xml:space="preserve"> PAGE  \* MERGEFORMAT </w:instrText>
                          </w:r>
                          <w:r>
                            <w:fldChar w:fldCharType="separate"/>
                          </w:r>
                          <w:r>
                            <w:t xml:space="preserve">31</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44"/>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24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44"/>
                          </w:pPr>
                          <w:r>
                            <w:fldChar w:fldCharType="begin"/>
                          </w:r>
                          <w:r>
                            <w:instrText xml:space="preserve"> PAGE  \* MERGEFORMAT </w:instrText>
                          </w:r>
                          <w:r>
                            <w:fldChar w:fldCharType="separate"/>
                          </w:r>
                          <w:r>
                            <w:t xml:space="preserve">30</w:t>
                          </w:r>
                          <w: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44"/>
                    </w:pPr>
                    <w:r>
                      <w:fldChar w:fldCharType="begin"/>
                    </w:r>
                    <w:r>
                      <w:instrText xml:space="preserve"> PAGE  \* MERGEFORMAT </w:instrText>
                    </w:r>
                    <w:r>
                      <w:fldChar w:fldCharType="separate"/>
                    </w:r>
                    <w:r>
                      <w:t xml:space="preserve">30</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2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txbxContent>
                    </wps:txbx>
                    <wps:bodyPr wrap="none" lIns="0" tIns="0" rIns="0" bIns="0" upright="0">
                      <a:spAutoFit/>
                    </wps:bodyPr>
                  </wps:wsp>
                </a:graphicData>
              </a:graphic>
            </wp:anchor>
          </w:drawing>
        </mc:Choice>
        <mc:Fallback>
          <w:pict>
            <v:shape id="shape 6" o:spid="_x0000_s6"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19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txbxContent>
                    </wps:txbx>
                    <wps:bodyPr wrap="none" lIns="0" tIns="0" rIns="0" bIns="0" upright="0">
                      <a:spAutoFit/>
                    </wps:bodyPr>
                  </wps:wsp>
                </a:graphicData>
              </a:graphic>
            </wp:anchor>
          </w:drawing>
        </mc:Choice>
        <mc:Fallback>
          <w:pict>
            <v:shape id="shape 7" o:spid="_x0000_s7"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3036570</wp:posOffset>
              </wp:positionH>
              <wp:positionV relativeFrom="paragraph">
                <wp:posOffset>-10795</wp:posOffset>
              </wp:positionV>
              <wp:extent cx="1828800" cy="1828800"/>
              <wp:effectExtent l="0" t="0" r="0" b="0"/>
              <wp:wrapNone/>
              <wp:docPr id="9" name="文本框 105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txbxContent>
                    </wps:txbx>
                    <wps:bodyPr wrap="none" lIns="0" tIns="0" rIns="0" bIns="0" upright="0">
                      <a:spAutoFit/>
                    </wps:bodyPr>
                  </wps:wsp>
                </a:graphicData>
              </a:graphic>
            </wp:anchor>
          </w:drawing>
        </mc:Choice>
        <mc:Fallback>
          <w:pict>
            <v:shape id="shape 8" o:spid="_x0000_s8" o:spt="202" type="#_x0000_t202" style="position:absolute;z-index:251660288;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5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txbxContent>
                    </wps:txbx>
                    <wps:bodyPr wrap="none" lIns="0" tIns="0" rIns="0" bIns="0" upright="0">
                      <a:spAutoFit/>
                    </wps:bodyPr>
                  </wps:wsp>
                </a:graphicData>
              </a:graphic>
            </wp:anchor>
          </w:drawing>
        </mc:Choice>
        <mc:Fallback>
          <w:pict>
            <v:shape id="shape 9" o:spid="_x0000_s9"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5"/>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a:effectLst/>
                    </wps:spPr>
                    <wps:txbx>
                      <w:txbxContent>
                        <w:p>
                          <w:pPr>
                            <w:pStyle w:val="1515"/>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wps:txbx>
                    <wps:bodyPr wrap="none" lIns="0" tIns="0" rIns="0" bIns="0" upright="1">
                      <a:spAutoFit/>
                    </wps:bodyPr>
                  </wps:wsp>
                </a:graphicData>
              </a:graphic>
            </wp:anchor>
          </w:drawing>
        </mc:Choice>
        <mc:Fallback>
          <w:pict>
            <v:shape id="shape 10" o:spid="_x0000_s1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15"/>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5"/>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515"/>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wps:txbx>
                    <wps:bodyPr wrap="none" lIns="0" tIns="0" rIns="0" bIns="0" upright="1">
                      <a:spAutoFit/>
                    </wps:bodyPr>
                  </wps:wsp>
                </a:graphicData>
              </a:graphic>
            </wp:anchor>
          </w:drawing>
        </mc:Choice>
        <mc:Fallback>
          <w:pict>
            <v:shape id="shape 11" o:spid="_x0000_s11"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15"/>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4"/>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24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44"/>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2" o:spid="_x0000_s12"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4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4"/>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2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44"/>
                          </w:pPr>
                          <w:r>
                            <w:fldChar w:fldCharType="begin"/>
                          </w:r>
                          <w:r>
                            <w:instrText xml:space="preserve"> PAGE  \* MERGEFORMAT </w:instrText>
                          </w:r>
                          <w:r>
                            <w:fldChar w:fldCharType="separate"/>
                          </w:r>
                          <w:r>
                            <w:t xml:space="preserve">40</w:t>
                          </w:r>
                          <w:r>
                            <w:fldChar w:fldCharType="end"/>
                          </w:r>
                          <w:r/>
                        </w:p>
                      </w:txbxContent>
                    </wps:txbx>
                    <wps:bodyPr wrap="none" lIns="0" tIns="0" rIns="0" bIns="0" upright="0">
                      <a:spAutoFit/>
                    </wps:bodyPr>
                  </wps:wsp>
                </a:graphicData>
              </a:graphic>
            </wp:anchor>
          </w:drawing>
        </mc:Choice>
        <mc:Fallback>
          <w:pict>
            <v:shape id="shape 13" o:spid="_x0000_s13"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44"/>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4"/>
      <w:spacing w:after="240"/>
      <w:tabs>
        <w:tab w:val="left" w:pos="780" w:leader="none"/>
        <w:tab w:val="clear" w:pos="4153" w:leader="none"/>
        <w:tab w:val="clear"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24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44"/>
                          </w:pPr>
                          <w:r>
                            <w:fldChar w:fldCharType="begin"/>
                          </w:r>
                          <w:r>
                            <w:instrText xml:space="preserve"> PAGE  \* MERGEFORMAT </w:instrText>
                          </w:r>
                          <w:r>
                            <w:fldChar w:fldCharType="separate"/>
                          </w:r>
                          <w:r>
                            <w:t xml:space="preserve">49</w:t>
                          </w:r>
                          <w:r>
                            <w:fldChar w:fldCharType="end"/>
                          </w:r>
                          <w:r/>
                        </w:p>
                      </w:txbxContent>
                    </wps:txbx>
                    <wps:bodyPr wrap="none" lIns="0" tIns="0" rIns="0" bIns="0" upright="0">
                      <a:spAutoFit/>
                    </wps:bodyPr>
                  </wps:wsp>
                </a:graphicData>
              </a:graphic>
            </wp:anchor>
          </w:drawing>
        </mc:Choice>
        <mc:Fallback>
          <w:pict>
            <v:shape id="shape 14" o:spid="_x0000_s14"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44"/>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4"/>
      <w:spacing w:after="240"/>
      <w:rPr>
        <w:rStyle w:val="1458"/>
      </w:rPr>
      <w:framePr w:wrap="around" w:vAnchor="text" w:hAnchor="margin" w:xAlign="center" w:y="1"/>
    </w:pPr>
    <w:r>
      <w:fldChar w:fldCharType="begin"/>
    </w:r>
    <w:r>
      <w:rPr>
        <w:rStyle w:val="1458"/>
      </w:rPr>
      <w:instrText xml:space="preserve">PAGE  </w:instrText>
    </w:r>
    <w:r>
      <w:fldChar w:fldCharType="end"/>
    </w:r>
    <w:r/>
  </w:p>
  <w:p>
    <w:pPr>
      <w:pStyle w:val="1444"/>
      <w:spacing w:after="2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7"/>
      <w:jc w:val="both"/>
      <w:rPr>
        <w:rFonts w:hint="eastAsia" w:eastAsia="楷体_GB2312"/>
        <w:sz w:val="20"/>
      </w:rPr>
      <w:pBdr>
        <w:bottom w:val="none" w:color="auto" w:sz="0" w:space="1"/>
      </w:pBdr>
    </w:pPr>
    <w:r>
      <w:rPr>
        <w:rFonts w:hint="eastAsia" w:eastAsia="楷体_GB2312"/>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7"/>
      <w:jc w:val="both"/>
      <w:rPr>
        <w:rFonts w:hint="eastAsia" w:eastAsia="楷体_GB2312"/>
      </w:rPr>
      <w:pBdr>
        <w:bottom w:val="none" w:color="auto" w:sz="0" w:space="1"/>
      </w:pBdr>
    </w:pPr>
    <w:r>
      <w:rPr>
        <w:rFonts w:hint="eastAsia" w:eastAsia="楷体_GB231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7"/>
      <w:jc w:val="both"/>
      <w:rPr>
        <w:rFonts w:hint="eastAsia" w:ascii="等线" w:hAnsi="等线" w:eastAsia="楷体_GB2312"/>
      </w:rPr>
      <w:pBdr>
        <w:bottom w:val="none" w:color="auto" w:sz="0" w:space="1"/>
      </w:pBdr>
    </w:pPr>
    <w:r>
      <w:rPr>
        <w:rFonts w:hint="eastAsia" w:ascii="等线" w:hAnsi="等线" w:eastAsia="楷体_GB231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7"/>
      <w:jc w:val="both"/>
      <w:rPr>
        <w:rFonts w:ascii="宋体" w:hAnsi="宋体" w:cs="宋体"/>
      </w:rPr>
      <w:pBdr>
        <w:bottom w:val="none" w:color="auto" w:sz="0" w:space="1"/>
      </w:pBdr>
    </w:pPr>
    <w:r>
      <w:rPr>
        <w:rFonts w:ascii="宋体" w:hAnsi="宋体" w:cs="宋体"/>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7"/>
      <w:rPr>
        <w:rFonts w:hint="eastAsia"/>
      </w:rPr>
      <w:pBdr>
        <w:bottom w:val="none" w:color="auto" w:sz="0" w:space="1"/>
      </w:pBdr>
    </w:pPr>
    <w:r>
      <w:rPr>
        <w:rFonts w:hint="eastAsia"/>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4"/>
      <w:jc w:val="both"/>
      <w:rPr>
        <w:rFonts w:hint="eastAsia" w:ascii="宋体" w:hAnsi="宋体" w:cs="宋体"/>
        <w:sz w:val="15"/>
        <w:szCs w:val="15"/>
      </w:rPr>
      <w:pBdr>
        <w:bottom w:val="none" w:color="000000" w:sz="0" w:space="1"/>
      </w:pBdr>
    </w:pPr>
    <w:r>
      <w:rPr>
        <w:rFonts w:hint="eastAsia" w:ascii="宋体" w:hAnsi="宋体" w:cs="宋体"/>
        <w:sz w:val="15"/>
        <w:szCs w:val="15"/>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4"/>
      <w:jc w:val="both"/>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space"/>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space"/>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420" w:hanging="420"/>
      </w:pPr>
      <w:rPr>
        <w:rFonts w:hint="default" w:ascii="Wingdings" w:hAnsi="Wingdings"/>
        <w:sz w:val="18"/>
        <w:szCs w:val="1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space"/>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upperLetter"/>
      <w:pStyle w:val="1429"/>
      <w:isLgl w:val="false"/>
      <w:suff w:val="tab"/>
      <w:lvlText w:val="%1."/>
      <w:lvlJc w:val="left"/>
      <w:pPr>
        <w:ind w:left="360" w:hanging="360"/>
        <w:tabs>
          <w:tab w:val="left" w:pos="36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6"/>
  </w:num>
  <w:num w:numId="2">
    <w:abstractNumId w:val="2"/>
  </w:num>
  <w:num w:numId="3">
    <w:abstractNumId w:val="0"/>
  </w:num>
  <w:num w:numId="4">
    <w:abstractNumId w:val="4"/>
  </w:num>
  <w:num w:numId="5">
    <w:abstractNumId w:val="3"/>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258">
    <w:name w:val="Heading 1 Char"/>
    <w:basedOn w:val="1430"/>
    <w:link w:val="1425"/>
    <w:uiPriority w:val="9"/>
    <w:rPr>
      <w:rFonts w:ascii="Arial" w:hAnsi="Arial" w:eastAsia="Arial" w:cs="Arial"/>
      <w:sz w:val="40"/>
      <w:szCs w:val="40"/>
    </w:rPr>
  </w:style>
  <w:style w:type="character" w:styleId="1259">
    <w:name w:val="Heading 2 Char"/>
    <w:basedOn w:val="1430"/>
    <w:link w:val="1426"/>
    <w:uiPriority w:val="9"/>
    <w:rPr>
      <w:rFonts w:ascii="Arial" w:hAnsi="Arial" w:eastAsia="Arial" w:cs="Arial"/>
      <w:sz w:val="34"/>
    </w:rPr>
  </w:style>
  <w:style w:type="character" w:styleId="1260">
    <w:name w:val="Heading 3 Char"/>
    <w:basedOn w:val="1430"/>
    <w:link w:val="1427"/>
    <w:uiPriority w:val="9"/>
    <w:rPr>
      <w:rFonts w:ascii="Arial" w:hAnsi="Arial" w:eastAsia="Arial" w:cs="Arial"/>
      <w:sz w:val="30"/>
      <w:szCs w:val="30"/>
    </w:rPr>
  </w:style>
  <w:style w:type="character" w:styleId="1261">
    <w:name w:val="Heading 4 Char"/>
    <w:basedOn w:val="1430"/>
    <w:link w:val="1428"/>
    <w:uiPriority w:val="9"/>
    <w:rPr>
      <w:rFonts w:ascii="Arial" w:hAnsi="Arial" w:eastAsia="Arial" w:cs="Arial"/>
      <w:b/>
      <w:bCs/>
      <w:sz w:val="26"/>
      <w:szCs w:val="26"/>
    </w:rPr>
  </w:style>
  <w:style w:type="character" w:styleId="1262">
    <w:name w:val="Heading 5 Char"/>
    <w:basedOn w:val="1430"/>
    <w:link w:val="1429"/>
    <w:uiPriority w:val="9"/>
    <w:rPr>
      <w:rFonts w:ascii="Arial" w:hAnsi="Arial" w:eastAsia="Arial" w:cs="Arial"/>
      <w:b/>
      <w:bCs/>
      <w:sz w:val="24"/>
      <w:szCs w:val="24"/>
    </w:rPr>
  </w:style>
  <w:style w:type="paragraph" w:styleId="1263">
    <w:name w:val="Heading 6"/>
    <w:basedOn w:val="1424"/>
    <w:next w:val="1424"/>
    <w:link w:val="1264"/>
    <w:uiPriority w:val="9"/>
    <w:unhideWhenUsed/>
    <w:qFormat/>
    <w:pPr>
      <w:keepLines/>
      <w:keepNext/>
      <w:spacing w:before="320" w:after="200"/>
      <w:outlineLvl w:val="5"/>
    </w:pPr>
    <w:rPr>
      <w:rFonts w:ascii="Arial" w:hAnsi="Arial" w:eastAsia="Arial" w:cs="Arial"/>
      <w:b/>
      <w:bCs/>
      <w:sz w:val="22"/>
      <w:szCs w:val="22"/>
    </w:rPr>
  </w:style>
  <w:style w:type="character" w:styleId="1264">
    <w:name w:val="Heading 6 Char"/>
    <w:basedOn w:val="1430"/>
    <w:link w:val="1263"/>
    <w:uiPriority w:val="9"/>
    <w:rPr>
      <w:rFonts w:ascii="Arial" w:hAnsi="Arial" w:eastAsia="Arial" w:cs="Arial"/>
      <w:b/>
      <w:bCs/>
      <w:sz w:val="22"/>
      <w:szCs w:val="22"/>
    </w:rPr>
  </w:style>
  <w:style w:type="paragraph" w:styleId="1265">
    <w:name w:val="Heading 7"/>
    <w:basedOn w:val="1424"/>
    <w:next w:val="1424"/>
    <w:link w:val="1266"/>
    <w:uiPriority w:val="9"/>
    <w:unhideWhenUsed/>
    <w:qFormat/>
    <w:pPr>
      <w:keepLines/>
      <w:keepNext/>
      <w:spacing w:before="320" w:after="200"/>
      <w:outlineLvl w:val="6"/>
    </w:pPr>
    <w:rPr>
      <w:rFonts w:ascii="Arial" w:hAnsi="Arial" w:eastAsia="Arial" w:cs="Arial"/>
      <w:b/>
      <w:bCs/>
      <w:i/>
      <w:iCs/>
      <w:sz w:val="22"/>
      <w:szCs w:val="22"/>
    </w:rPr>
  </w:style>
  <w:style w:type="character" w:styleId="1266">
    <w:name w:val="Heading 7 Char"/>
    <w:basedOn w:val="1430"/>
    <w:link w:val="1265"/>
    <w:uiPriority w:val="9"/>
    <w:rPr>
      <w:rFonts w:ascii="Arial" w:hAnsi="Arial" w:eastAsia="Arial" w:cs="Arial"/>
      <w:b/>
      <w:bCs/>
      <w:i/>
      <w:iCs/>
      <w:sz w:val="22"/>
      <w:szCs w:val="22"/>
    </w:rPr>
  </w:style>
  <w:style w:type="paragraph" w:styleId="1267">
    <w:name w:val="Heading 8"/>
    <w:basedOn w:val="1424"/>
    <w:next w:val="1424"/>
    <w:link w:val="1268"/>
    <w:uiPriority w:val="9"/>
    <w:unhideWhenUsed/>
    <w:qFormat/>
    <w:pPr>
      <w:keepLines/>
      <w:keepNext/>
      <w:spacing w:before="320" w:after="200"/>
      <w:outlineLvl w:val="7"/>
    </w:pPr>
    <w:rPr>
      <w:rFonts w:ascii="Arial" w:hAnsi="Arial" w:eastAsia="Arial" w:cs="Arial"/>
      <w:i/>
      <w:iCs/>
      <w:sz w:val="22"/>
      <w:szCs w:val="22"/>
    </w:rPr>
  </w:style>
  <w:style w:type="character" w:styleId="1268">
    <w:name w:val="Heading 8 Char"/>
    <w:basedOn w:val="1430"/>
    <w:link w:val="1267"/>
    <w:uiPriority w:val="9"/>
    <w:rPr>
      <w:rFonts w:ascii="Arial" w:hAnsi="Arial" w:eastAsia="Arial" w:cs="Arial"/>
      <w:i/>
      <w:iCs/>
      <w:sz w:val="22"/>
      <w:szCs w:val="22"/>
    </w:rPr>
  </w:style>
  <w:style w:type="paragraph" w:styleId="1269">
    <w:name w:val="Heading 9"/>
    <w:basedOn w:val="1424"/>
    <w:next w:val="1424"/>
    <w:link w:val="1270"/>
    <w:uiPriority w:val="9"/>
    <w:unhideWhenUsed/>
    <w:qFormat/>
    <w:pPr>
      <w:keepLines/>
      <w:keepNext/>
      <w:spacing w:before="320" w:after="200"/>
      <w:outlineLvl w:val="8"/>
    </w:pPr>
    <w:rPr>
      <w:rFonts w:ascii="Arial" w:hAnsi="Arial" w:eastAsia="Arial" w:cs="Arial"/>
      <w:i/>
      <w:iCs/>
      <w:sz w:val="21"/>
      <w:szCs w:val="21"/>
    </w:rPr>
  </w:style>
  <w:style w:type="character" w:styleId="1270">
    <w:name w:val="Heading 9 Char"/>
    <w:basedOn w:val="1430"/>
    <w:link w:val="1269"/>
    <w:uiPriority w:val="9"/>
    <w:rPr>
      <w:rFonts w:ascii="Arial" w:hAnsi="Arial" w:eastAsia="Arial" w:cs="Arial"/>
      <w:i/>
      <w:iCs/>
      <w:sz w:val="21"/>
      <w:szCs w:val="21"/>
    </w:rPr>
  </w:style>
  <w:style w:type="paragraph" w:styleId="1271">
    <w:name w:val="No Spacing"/>
    <w:uiPriority w:val="1"/>
    <w:qFormat/>
    <w:pPr>
      <w:spacing w:before="0" w:after="0" w:line="240" w:lineRule="auto"/>
    </w:pPr>
  </w:style>
  <w:style w:type="paragraph" w:styleId="1272">
    <w:name w:val="Title"/>
    <w:basedOn w:val="1424"/>
    <w:next w:val="1424"/>
    <w:link w:val="1273"/>
    <w:uiPriority w:val="10"/>
    <w:qFormat/>
    <w:pPr>
      <w:contextualSpacing/>
      <w:spacing w:before="300" w:after="200"/>
    </w:pPr>
    <w:rPr>
      <w:sz w:val="48"/>
      <w:szCs w:val="48"/>
    </w:rPr>
  </w:style>
  <w:style w:type="character" w:styleId="1273">
    <w:name w:val="Title Char"/>
    <w:basedOn w:val="1430"/>
    <w:link w:val="1272"/>
    <w:uiPriority w:val="10"/>
    <w:rPr>
      <w:sz w:val="48"/>
      <w:szCs w:val="48"/>
    </w:rPr>
  </w:style>
  <w:style w:type="paragraph" w:styleId="1274">
    <w:name w:val="Subtitle"/>
    <w:basedOn w:val="1424"/>
    <w:next w:val="1424"/>
    <w:link w:val="1275"/>
    <w:uiPriority w:val="11"/>
    <w:qFormat/>
    <w:pPr>
      <w:spacing w:before="200" w:after="200"/>
    </w:pPr>
    <w:rPr>
      <w:sz w:val="24"/>
      <w:szCs w:val="24"/>
    </w:rPr>
  </w:style>
  <w:style w:type="character" w:styleId="1275">
    <w:name w:val="Subtitle Char"/>
    <w:basedOn w:val="1430"/>
    <w:link w:val="1274"/>
    <w:uiPriority w:val="11"/>
    <w:rPr>
      <w:sz w:val="24"/>
      <w:szCs w:val="24"/>
    </w:rPr>
  </w:style>
  <w:style w:type="paragraph" w:styleId="1276">
    <w:name w:val="Quote"/>
    <w:basedOn w:val="1424"/>
    <w:next w:val="1424"/>
    <w:link w:val="1277"/>
    <w:uiPriority w:val="29"/>
    <w:qFormat/>
    <w:pPr>
      <w:ind w:left="720" w:right="720"/>
    </w:pPr>
    <w:rPr>
      <w:i/>
    </w:rPr>
  </w:style>
  <w:style w:type="character" w:styleId="1277">
    <w:name w:val="Quote Char"/>
    <w:link w:val="1276"/>
    <w:uiPriority w:val="29"/>
    <w:rPr>
      <w:i/>
    </w:rPr>
  </w:style>
  <w:style w:type="paragraph" w:styleId="1278">
    <w:name w:val="Intense Quote"/>
    <w:basedOn w:val="1424"/>
    <w:next w:val="1424"/>
    <w:link w:val="12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79">
    <w:name w:val="Intense Quote Char"/>
    <w:link w:val="1278"/>
    <w:uiPriority w:val="30"/>
    <w:rPr>
      <w:i/>
    </w:rPr>
  </w:style>
  <w:style w:type="character" w:styleId="1280">
    <w:name w:val="Header Char"/>
    <w:basedOn w:val="1430"/>
    <w:link w:val="1447"/>
    <w:uiPriority w:val="99"/>
  </w:style>
  <w:style w:type="character" w:styleId="1281">
    <w:name w:val="Footer Char"/>
    <w:basedOn w:val="1430"/>
    <w:link w:val="1444"/>
    <w:uiPriority w:val="99"/>
  </w:style>
  <w:style w:type="paragraph" w:styleId="1282">
    <w:name w:val="Caption"/>
    <w:basedOn w:val="1424"/>
    <w:next w:val="1424"/>
    <w:uiPriority w:val="35"/>
    <w:semiHidden/>
    <w:unhideWhenUsed/>
    <w:qFormat/>
    <w:pPr>
      <w:spacing w:line="276" w:lineRule="auto"/>
    </w:pPr>
    <w:rPr>
      <w:b/>
      <w:bCs/>
      <w:color w:val="4f81bd" w:themeColor="accent1"/>
      <w:sz w:val="18"/>
      <w:szCs w:val="18"/>
    </w:rPr>
  </w:style>
  <w:style w:type="character" w:styleId="1283">
    <w:name w:val="Caption Char"/>
    <w:basedOn w:val="1282"/>
    <w:link w:val="1444"/>
    <w:uiPriority w:val="99"/>
  </w:style>
  <w:style w:type="table" w:styleId="1284">
    <w:name w:val="Table Grid Light"/>
    <w:basedOn w:val="14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85">
    <w:name w:val="Plain Table 1"/>
    <w:basedOn w:val="14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86">
    <w:name w:val="Plain Table 2"/>
    <w:basedOn w:val="14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87">
    <w:name w:val="Plain Table 3"/>
    <w:basedOn w:val="14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88">
    <w:name w:val="Plain Table 4"/>
    <w:basedOn w:val="14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89">
    <w:name w:val="Plain Table 5"/>
    <w:basedOn w:val="14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90">
    <w:name w:val="Grid Table 1 Light"/>
    <w:basedOn w:val="14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91">
    <w:name w:val="Grid Table 1 Light - Accent 1"/>
    <w:basedOn w:val="14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92">
    <w:name w:val="Grid Table 1 Light - Accent 2"/>
    <w:basedOn w:val="14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293">
    <w:name w:val="Grid Table 1 Light - Accent 3"/>
    <w:basedOn w:val="14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294">
    <w:name w:val="Grid Table 1 Light - Accent 4"/>
    <w:basedOn w:val="14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295">
    <w:name w:val="Grid Table 1 Light - Accent 5"/>
    <w:basedOn w:val="14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296">
    <w:name w:val="Grid Table 1 Light - Accent 6"/>
    <w:basedOn w:val="14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297">
    <w:name w:val="Grid Table 2"/>
    <w:basedOn w:val="14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298">
    <w:name w:val="Grid Table 2 - Accent 1"/>
    <w:basedOn w:val="14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299">
    <w:name w:val="Grid Table 2 - Accent 2"/>
    <w:basedOn w:val="14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300">
    <w:name w:val="Grid Table 2 - Accent 3"/>
    <w:basedOn w:val="14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301">
    <w:name w:val="Grid Table 2 - Accent 4"/>
    <w:basedOn w:val="14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302">
    <w:name w:val="Grid Table 2 - Accent 5"/>
    <w:basedOn w:val="14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303">
    <w:name w:val="Grid Table 2 - Accent 6"/>
    <w:basedOn w:val="14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304">
    <w:name w:val="Grid Table 3"/>
    <w:basedOn w:val="14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05">
    <w:name w:val="Grid Table 3 - Accent 1"/>
    <w:basedOn w:val="14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06">
    <w:name w:val="Grid Table 3 - Accent 2"/>
    <w:basedOn w:val="14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07">
    <w:name w:val="Grid Table 3 - Accent 3"/>
    <w:basedOn w:val="14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08">
    <w:name w:val="Grid Table 3 - Accent 4"/>
    <w:basedOn w:val="14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09">
    <w:name w:val="Grid Table 3 - Accent 5"/>
    <w:basedOn w:val="14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0">
    <w:name w:val="Grid Table 3 - Accent 6"/>
    <w:basedOn w:val="14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1">
    <w:name w:val="Grid Table 4"/>
    <w:basedOn w:val="14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12">
    <w:name w:val="Grid Table 4 - Accent 1"/>
    <w:basedOn w:val="14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313">
    <w:name w:val="Grid Table 4 - Accent 2"/>
    <w:basedOn w:val="14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314">
    <w:name w:val="Grid Table 4 - Accent 3"/>
    <w:basedOn w:val="14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15">
    <w:name w:val="Grid Table 4 - Accent 4"/>
    <w:basedOn w:val="14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316">
    <w:name w:val="Grid Table 4 - Accent 5"/>
    <w:basedOn w:val="14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17">
    <w:name w:val="Grid Table 4 - Accent 6"/>
    <w:basedOn w:val="14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318">
    <w:name w:val="Grid Table 5 Dark"/>
    <w:basedOn w:val="14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19">
    <w:name w:val="Grid Table 5 Dark- Accent 1"/>
    <w:basedOn w:val="14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320">
    <w:name w:val="Grid Table 5 Dark - Accent 2"/>
    <w:basedOn w:val="14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321">
    <w:name w:val="Grid Table 5 Dark - Accent 3"/>
    <w:basedOn w:val="14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322">
    <w:name w:val="Grid Table 5 Dark- Accent 4"/>
    <w:basedOn w:val="14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323">
    <w:name w:val="Grid Table 5 Dark - Accent 5"/>
    <w:basedOn w:val="14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324">
    <w:name w:val="Grid Table 5 Dark - Accent 6"/>
    <w:basedOn w:val="14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325">
    <w:name w:val="Grid Table 6 Colorful"/>
    <w:basedOn w:val="14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26">
    <w:name w:val="Grid Table 6 Colorful - Accent 1"/>
    <w:basedOn w:val="14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327">
    <w:name w:val="Grid Table 6 Colorful - Accent 2"/>
    <w:basedOn w:val="14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328">
    <w:name w:val="Grid Table 6 Colorful - Accent 3"/>
    <w:basedOn w:val="14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329">
    <w:name w:val="Grid Table 6 Colorful - Accent 4"/>
    <w:basedOn w:val="14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330">
    <w:name w:val="Grid Table 6 Colorful - Accent 5"/>
    <w:basedOn w:val="14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31">
    <w:name w:val="Grid Table 6 Colorful - Accent 6"/>
    <w:basedOn w:val="14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32">
    <w:name w:val="Grid Table 7 Colorful"/>
    <w:basedOn w:val="14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333">
    <w:name w:val="Grid Table 7 Colorful - Accent 1"/>
    <w:basedOn w:val="14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334">
    <w:name w:val="Grid Table 7 Colorful - Accent 2"/>
    <w:basedOn w:val="14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335">
    <w:name w:val="Grid Table 7 Colorful - Accent 3"/>
    <w:basedOn w:val="14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336">
    <w:name w:val="Grid Table 7 Colorful - Accent 4"/>
    <w:basedOn w:val="14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337">
    <w:name w:val="Grid Table 7 Colorful - Accent 5"/>
    <w:basedOn w:val="14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338">
    <w:name w:val="Grid Table 7 Colorful - Accent 6"/>
    <w:basedOn w:val="14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339">
    <w:name w:val="List Table 1 Light"/>
    <w:basedOn w:val="14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40">
    <w:name w:val="List Table 1 Light - Accent 1"/>
    <w:basedOn w:val="14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341">
    <w:name w:val="List Table 1 Light - Accent 2"/>
    <w:basedOn w:val="14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342">
    <w:name w:val="List Table 1 Light - Accent 3"/>
    <w:basedOn w:val="14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343">
    <w:name w:val="List Table 1 Light - Accent 4"/>
    <w:basedOn w:val="14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344">
    <w:name w:val="List Table 1 Light - Accent 5"/>
    <w:basedOn w:val="14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345">
    <w:name w:val="List Table 1 Light - Accent 6"/>
    <w:basedOn w:val="14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346">
    <w:name w:val="List Table 2"/>
    <w:basedOn w:val="14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347">
    <w:name w:val="List Table 2 - Accent 1"/>
    <w:basedOn w:val="14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348">
    <w:name w:val="List Table 2 - Accent 2"/>
    <w:basedOn w:val="14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349">
    <w:name w:val="List Table 2 - Accent 3"/>
    <w:basedOn w:val="14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350">
    <w:name w:val="List Table 2 - Accent 4"/>
    <w:basedOn w:val="14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351">
    <w:name w:val="List Table 2 - Accent 5"/>
    <w:basedOn w:val="14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352">
    <w:name w:val="List Table 2 - Accent 6"/>
    <w:basedOn w:val="14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353">
    <w:name w:val="List Table 3"/>
    <w:basedOn w:val="14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54">
    <w:name w:val="List Table 3 - Accent 1"/>
    <w:basedOn w:val="14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55">
    <w:name w:val="List Table 3 - Accent 2"/>
    <w:basedOn w:val="14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356">
    <w:name w:val="List Table 3 - Accent 3"/>
    <w:basedOn w:val="14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357">
    <w:name w:val="List Table 3 - Accent 4"/>
    <w:basedOn w:val="14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358">
    <w:name w:val="List Table 3 - Accent 5"/>
    <w:basedOn w:val="14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359">
    <w:name w:val="List Table 3 - Accent 6"/>
    <w:basedOn w:val="14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360">
    <w:name w:val="List Table 4"/>
    <w:basedOn w:val="14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61">
    <w:name w:val="List Table 4 - Accent 1"/>
    <w:basedOn w:val="14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62">
    <w:name w:val="List Table 4 - Accent 2"/>
    <w:basedOn w:val="14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363">
    <w:name w:val="List Table 4 - Accent 3"/>
    <w:basedOn w:val="14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364">
    <w:name w:val="List Table 4 - Accent 4"/>
    <w:basedOn w:val="14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65">
    <w:name w:val="List Table 4 - Accent 5"/>
    <w:basedOn w:val="14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66">
    <w:name w:val="List Table 4 - Accent 6"/>
    <w:basedOn w:val="14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67">
    <w:name w:val="List Table 5 Dark"/>
    <w:basedOn w:val="14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8">
    <w:name w:val="List Table 5 Dark - Accent 1"/>
    <w:basedOn w:val="14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9">
    <w:name w:val="List Table 5 Dark - Accent 2"/>
    <w:basedOn w:val="14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0">
    <w:name w:val="List Table 5 Dark - Accent 3"/>
    <w:basedOn w:val="14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1">
    <w:name w:val="List Table 5 Dark - Accent 4"/>
    <w:basedOn w:val="14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2">
    <w:name w:val="List Table 5 Dark - Accent 5"/>
    <w:basedOn w:val="14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3">
    <w:name w:val="List Table 5 Dark - Accent 6"/>
    <w:basedOn w:val="14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4">
    <w:name w:val="List Table 6 Colorful"/>
    <w:basedOn w:val="14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75">
    <w:name w:val="List Table 6 Colorful - Accent 1"/>
    <w:basedOn w:val="14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376">
    <w:name w:val="List Table 6 Colorful - Accent 2"/>
    <w:basedOn w:val="14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377">
    <w:name w:val="List Table 6 Colorful - Accent 3"/>
    <w:basedOn w:val="14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378">
    <w:name w:val="List Table 6 Colorful - Accent 4"/>
    <w:basedOn w:val="14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379">
    <w:name w:val="List Table 6 Colorful - Accent 5"/>
    <w:basedOn w:val="14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380">
    <w:name w:val="List Table 6 Colorful - Accent 6"/>
    <w:basedOn w:val="14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381">
    <w:name w:val="List Table 7 Colorful"/>
    <w:basedOn w:val="14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82">
    <w:name w:val="List Table 7 Colorful - Accent 1"/>
    <w:basedOn w:val="14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383">
    <w:name w:val="List Table 7 Colorful - Accent 2"/>
    <w:basedOn w:val="14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384">
    <w:name w:val="List Table 7 Colorful - Accent 3"/>
    <w:basedOn w:val="14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385">
    <w:name w:val="List Table 7 Colorful - Accent 4"/>
    <w:basedOn w:val="14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386">
    <w:name w:val="List Table 7 Colorful - Accent 5"/>
    <w:basedOn w:val="14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387">
    <w:name w:val="List Table 7 Colorful - Accent 6"/>
    <w:basedOn w:val="14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388">
    <w:name w:val="Lined - Accent"/>
    <w:basedOn w:val="14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89">
    <w:name w:val="Lined - Accent 1"/>
    <w:basedOn w:val="14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90">
    <w:name w:val="Lined - Accent 2"/>
    <w:basedOn w:val="14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91">
    <w:name w:val="Lined - Accent 3"/>
    <w:basedOn w:val="14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92">
    <w:name w:val="Lined - Accent 4"/>
    <w:basedOn w:val="14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93">
    <w:name w:val="Lined - Accent 5"/>
    <w:basedOn w:val="14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94">
    <w:name w:val="Lined - Accent 6"/>
    <w:basedOn w:val="14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95">
    <w:name w:val="Bordered &amp; Lined - Accent"/>
    <w:basedOn w:val="14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96">
    <w:name w:val="Bordered &amp; Lined - Accent 1"/>
    <w:basedOn w:val="14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97">
    <w:name w:val="Bordered &amp; Lined - Accent 2"/>
    <w:basedOn w:val="14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98">
    <w:name w:val="Bordered &amp; Lined - Accent 3"/>
    <w:basedOn w:val="14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99">
    <w:name w:val="Bordered &amp; Lined - Accent 4"/>
    <w:basedOn w:val="14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00">
    <w:name w:val="Bordered &amp; Lined - Accent 5"/>
    <w:basedOn w:val="14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01">
    <w:name w:val="Bordered &amp; Lined - Accent 6"/>
    <w:basedOn w:val="14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02">
    <w:name w:val="Bordered"/>
    <w:basedOn w:val="14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403">
    <w:name w:val="Bordered - Accent 1"/>
    <w:basedOn w:val="14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404">
    <w:name w:val="Bordered - Accent 2"/>
    <w:basedOn w:val="14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405">
    <w:name w:val="Bordered - Accent 3"/>
    <w:basedOn w:val="14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406">
    <w:name w:val="Bordered - Accent 4"/>
    <w:basedOn w:val="14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407">
    <w:name w:val="Bordered - Accent 5"/>
    <w:basedOn w:val="14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408">
    <w:name w:val="Bordered - Accent 6"/>
    <w:basedOn w:val="14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409">
    <w:name w:val="footnote text"/>
    <w:basedOn w:val="1424"/>
    <w:link w:val="1410"/>
    <w:uiPriority w:val="99"/>
    <w:semiHidden/>
    <w:unhideWhenUsed/>
    <w:pPr>
      <w:spacing w:after="40" w:line="240" w:lineRule="auto"/>
    </w:pPr>
    <w:rPr>
      <w:sz w:val="18"/>
    </w:rPr>
  </w:style>
  <w:style w:type="character" w:styleId="1410">
    <w:name w:val="Footnote Text Char"/>
    <w:link w:val="1409"/>
    <w:uiPriority w:val="99"/>
    <w:rPr>
      <w:sz w:val="18"/>
    </w:rPr>
  </w:style>
  <w:style w:type="character" w:styleId="1411">
    <w:name w:val="footnote reference"/>
    <w:basedOn w:val="1430"/>
    <w:uiPriority w:val="99"/>
    <w:unhideWhenUsed/>
    <w:rPr>
      <w:vertAlign w:val="superscript"/>
    </w:rPr>
  </w:style>
  <w:style w:type="paragraph" w:styleId="1412">
    <w:name w:val="endnote text"/>
    <w:basedOn w:val="1424"/>
    <w:link w:val="1413"/>
    <w:uiPriority w:val="99"/>
    <w:semiHidden/>
    <w:unhideWhenUsed/>
    <w:pPr>
      <w:spacing w:after="0" w:line="240" w:lineRule="auto"/>
    </w:pPr>
    <w:rPr>
      <w:sz w:val="20"/>
    </w:rPr>
  </w:style>
  <w:style w:type="character" w:styleId="1413">
    <w:name w:val="Endnote Text Char"/>
    <w:link w:val="1412"/>
    <w:uiPriority w:val="99"/>
    <w:rPr>
      <w:sz w:val="20"/>
    </w:rPr>
  </w:style>
  <w:style w:type="character" w:styleId="1414">
    <w:name w:val="endnote reference"/>
    <w:basedOn w:val="1430"/>
    <w:uiPriority w:val="99"/>
    <w:semiHidden/>
    <w:unhideWhenUsed/>
    <w:rPr>
      <w:vertAlign w:val="superscript"/>
    </w:rPr>
  </w:style>
  <w:style w:type="paragraph" w:styleId="1415">
    <w:name w:val="toc 3"/>
    <w:basedOn w:val="1424"/>
    <w:next w:val="1424"/>
    <w:uiPriority w:val="39"/>
    <w:unhideWhenUsed/>
    <w:pPr>
      <w:ind w:left="567" w:right="0" w:firstLine="0"/>
      <w:spacing w:after="57"/>
    </w:pPr>
  </w:style>
  <w:style w:type="paragraph" w:styleId="1416">
    <w:name w:val="toc 4"/>
    <w:basedOn w:val="1424"/>
    <w:next w:val="1424"/>
    <w:uiPriority w:val="39"/>
    <w:unhideWhenUsed/>
    <w:pPr>
      <w:ind w:left="850" w:right="0" w:firstLine="0"/>
      <w:spacing w:after="57"/>
    </w:pPr>
  </w:style>
  <w:style w:type="paragraph" w:styleId="1417">
    <w:name w:val="toc 5"/>
    <w:basedOn w:val="1424"/>
    <w:next w:val="1424"/>
    <w:uiPriority w:val="39"/>
    <w:unhideWhenUsed/>
    <w:pPr>
      <w:ind w:left="1134" w:right="0" w:firstLine="0"/>
      <w:spacing w:after="57"/>
    </w:pPr>
  </w:style>
  <w:style w:type="paragraph" w:styleId="1418">
    <w:name w:val="toc 6"/>
    <w:basedOn w:val="1424"/>
    <w:next w:val="1424"/>
    <w:uiPriority w:val="39"/>
    <w:unhideWhenUsed/>
    <w:pPr>
      <w:ind w:left="1417" w:right="0" w:firstLine="0"/>
      <w:spacing w:after="57"/>
    </w:pPr>
  </w:style>
  <w:style w:type="paragraph" w:styleId="1419">
    <w:name w:val="toc 7"/>
    <w:basedOn w:val="1424"/>
    <w:next w:val="1424"/>
    <w:uiPriority w:val="39"/>
    <w:unhideWhenUsed/>
    <w:pPr>
      <w:ind w:left="1701" w:right="0" w:firstLine="0"/>
      <w:spacing w:after="57"/>
    </w:pPr>
  </w:style>
  <w:style w:type="paragraph" w:styleId="1420">
    <w:name w:val="toc 8"/>
    <w:basedOn w:val="1424"/>
    <w:next w:val="1424"/>
    <w:uiPriority w:val="39"/>
    <w:unhideWhenUsed/>
    <w:pPr>
      <w:ind w:left="1984" w:right="0" w:firstLine="0"/>
      <w:spacing w:after="57"/>
    </w:pPr>
  </w:style>
  <w:style w:type="paragraph" w:styleId="1421">
    <w:name w:val="toc 9"/>
    <w:basedOn w:val="1424"/>
    <w:next w:val="1424"/>
    <w:uiPriority w:val="39"/>
    <w:unhideWhenUsed/>
    <w:pPr>
      <w:ind w:left="2268" w:right="0" w:firstLine="0"/>
      <w:spacing w:after="57"/>
    </w:pPr>
  </w:style>
  <w:style w:type="paragraph" w:styleId="1422">
    <w:name w:val="TOC Heading"/>
    <w:uiPriority w:val="39"/>
    <w:unhideWhenUsed/>
  </w:style>
  <w:style w:type="paragraph" w:styleId="1423">
    <w:name w:val="table of figures"/>
    <w:basedOn w:val="1424"/>
    <w:next w:val="1424"/>
    <w:uiPriority w:val="99"/>
    <w:unhideWhenUsed/>
    <w:pPr>
      <w:spacing w:after="0" w:afterAutospacing="0"/>
    </w:pPr>
  </w:style>
  <w:style w:type="paragraph" w:styleId="1424" w:default="1">
    <w:name w:val="Normal"/>
    <w:next w:val="1432"/>
    <w:uiPriority w:val="0"/>
    <w:qFormat/>
    <w:pPr>
      <w:jc w:val="both"/>
      <w:widowControl w:val="off"/>
    </w:pPr>
    <w:rPr>
      <w:rFonts w:ascii="Times New Roman" w:hAnsi="Times New Roman" w:eastAsia="宋体" w:cs="Times New Roman"/>
      <w:sz w:val="21"/>
      <w:lang w:val="en-US" w:eastAsia="zh-CN" w:bidi="ar-SA"/>
    </w:rPr>
  </w:style>
  <w:style w:type="paragraph" w:styleId="1425">
    <w:name w:val="Heading 1"/>
    <w:basedOn w:val="1424"/>
    <w:next w:val="1424"/>
    <w:link w:val="1463"/>
    <w:uiPriority w:val="0"/>
    <w:qFormat/>
    <w:pPr>
      <w:jc w:val="center"/>
      <w:keepNext/>
      <w:outlineLvl w:val="0"/>
    </w:pPr>
    <w:rPr>
      <w:rFonts w:ascii="楷体_GB2312" w:hAnsi="楷体_GB2312" w:eastAsia="宋体"/>
      <w:b/>
      <w:sz w:val="28"/>
      <w:szCs w:val="32"/>
    </w:rPr>
  </w:style>
  <w:style w:type="paragraph" w:styleId="1426">
    <w:name w:val="Heading 2"/>
    <w:basedOn w:val="1424"/>
    <w:next w:val="1424"/>
    <w:link w:val="1464"/>
    <w:uiPriority w:val="0"/>
    <w:qFormat/>
    <w:pPr>
      <w:jc w:val="center"/>
      <w:keepNext/>
      <w:outlineLvl w:val="1"/>
    </w:pPr>
    <w:rPr>
      <w:rFonts w:ascii="楷体_GB2312" w:eastAsia="楷体_GB2312"/>
      <w:b/>
      <w:bCs/>
      <w:sz w:val="18"/>
    </w:rPr>
  </w:style>
  <w:style w:type="paragraph" w:styleId="1427">
    <w:name w:val="Heading 3"/>
    <w:basedOn w:val="1424"/>
    <w:next w:val="1424"/>
    <w:link w:val="1465"/>
    <w:uiPriority w:val="0"/>
    <w:qFormat/>
    <w:pPr>
      <w:jc w:val="center"/>
      <w:keepNext/>
      <w:outlineLvl w:val="2"/>
    </w:pPr>
    <w:rPr>
      <w:rFonts w:eastAsia="楷体_GB2312"/>
      <w:b/>
      <w:bCs/>
      <w:sz w:val="15"/>
    </w:rPr>
  </w:style>
  <w:style w:type="paragraph" w:styleId="1428">
    <w:name w:val="Heading 4"/>
    <w:basedOn w:val="1424"/>
    <w:next w:val="1424"/>
    <w:link w:val="1466"/>
    <w:uiPriority w:val="0"/>
    <w:qFormat/>
    <w:pPr>
      <w:jc w:val="center"/>
      <w:keepNext/>
      <w:outlineLvl w:val="3"/>
    </w:pPr>
    <w:rPr>
      <w:rFonts w:eastAsia="楷体_GB2312"/>
      <w:b/>
      <w:bCs/>
      <w:sz w:val="13"/>
    </w:rPr>
  </w:style>
  <w:style w:type="paragraph" w:styleId="1429">
    <w:name w:val="Heading 5"/>
    <w:basedOn w:val="1424"/>
    <w:next w:val="1424"/>
    <w:link w:val="1467"/>
    <w:uiPriority w:val="0"/>
    <w:qFormat/>
    <w:pPr>
      <w:numPr>
        <w:ilvl w:val="0"/>
        <w:numId w:val="1"/>
      </w:numPr>
      <w:keepNext/>
      <w:outlineLvl w:val="4"/>
    </w:pPr>
    <w:rPr>
      <w:rFonts w:ascii="楷体_GB2312" w:eastAsia="楷体_GB2312"/>
      <w:bCs/>
      <w:sz w:val="28"/>
    </w:rPr>
  </w:style>
  <w:style w:type="character" w:styleId="1430" w:default="1">
    <w:name w:val="Default Paragraph Font"/>
    <w:uiPriority w:val="1"/>
    <w:unhideWhenUsed/>
    <w:qFormat/>
  </w:style>
  <w:style w:type="table" w:styleId="1431" w:default="1">
    <w:name w:val="Normal Table"/>
    <w:uiPriority w:val="99"/>
    <w:unhideWhenUsed/>
    <w:qFormat/>
    <w:tblPr>
      <w:tblCellMar>
        <w:left w:w="108" w:type="dxa"/>
        <w:top w:w="0" w:type="dxa"/>
        <w:right w:w="108" w:type="dxa"/>
        <w:bottom w:w="0" w:type="dxa"/>
      </w:tblCellMar>
    </w:tblPr>
  </w:style>
  <w:style w:type="paragraph" w:styleId="1432" w:customStyle="1">
    <w:name w:val="段"/>
    <w:next w:val="1424"/>
    <w:uiPriority w:val="0"/>
    <w:qFormat/>
    <w:pPr>
      <w:ind w:firstLine="200"/>
      <w:jc w:val="both"/>
    </w:pPr>
    <w:rPr>
      <w:rFonts w:ascii="宋体" w:hAnsi="Times New Roman" w:eastAsia="宋体" w:cs="Times New Roman"/>
      <w:sz w:val="21"/>
      <w:lang w:val="en-US" w:eastAsia="zh-CN" w:bidi="ar-SA"/>
    </w:rPr>
  </w:style>
  <w:style w:type="paragraph" w:styleId="1433">
    <w:name w:val="Normal Indent"/>
    <w:basedOn w:val="1424"/>
    <w:link w:val="1468"/>
    <w:uiPriority w:val="0"/>
    <w:unhideWhenUsed/>
    <w:qFormat/>
    <w:pPr>
      <w:ind w:firstLine="420"/>
    </w:pPr>
  </w:style>
  <w:style w:type="paragraph" w:styleId="1434">
    <w:name w:val="Document Map"/>
    <w:basedOn w:val="1424"/>
    <w:link w:val="1469"/>
    <w:uiPriority w:val="0"/>
    <w:semiHidden/>
    <w:qFormat/>
    <w:pPr>
      <w:shd w:val="clear" w:color="auto" w:fill="000080"/>
    </w:pPr>
    <w:rPr>
      <w:sz w:val="20"/>
    </w:rPr>
  </w:style>
  <w:style w:type="paragraph" w:styleId="1435">
    <w:name w:val="annotation text"/>
    <w:basedOn w:val="1424"/>
    <w:link w:val="1470"/>
    <w:uiPriority w:val="99"/>
    <w:semiHidden/>
    <w:qFormat/>
    <w:pPr>
      <w:jc w:val="left"/>
    </w:pPr>
    <w:rPr>
      <w:sz w:val="20"/>
      <w:szCs w:val="24"/>
    </w:rPr>
  </w:style>
  <w:style w:type="paragraph" w:styleId="1436">
    <w:name w:val="Body Text"/>
    <w:basedOn w:val="1424"/>
    <w:link w:val="1471"/>
    <w:uiPriority w:val="99"/>
    <w:qFormat/>
    <w:rPr>
      <w:rFonts w:ascii="华文中宋" w:eastAsia="华文中宋"/>
      <w:bCs/>
      <w:sz w:val="28"/>
    </w:rPr>
  </w:style>
  <w:style w:type="paragraph" w:styleId="1437">
    <w:name w:val="Body Text Indent"/>
    <w:basedOn w:val="1424"/>
    <w:next w:val="1424"/>
    <w:link w:val="1473"/>
    <w:uiPriority w:val="0"/>
    <w:qFormat/>
    <w:pPr>
      <w:ind w:firstLine="576"/>
    </w:pPr>
    <w:rPr>
      <w:b/>
      <w:sz w:val="30"/>
    </w:rPr>
  </w:style>
  <w:style w:type="paragraph" w:styleId="1438">
    <w:name w:val="index 4"/>
    <w:basedOn w:val="1424"/>
    <w:next w:val="1424"/>
    <w:uiPriority w:val="99"/>
    <w:qFormat/>
    <w:pPr>
      <w:ind w:left="600"/>
    </w:pPr>
    <w:rPr>
      <w:szCs w:val="24"/>
    </w:rPr>
  </w:style>
  <w:style w:type="paragraph" w:styleId="1439">
    <w:name w:val="Plain Text"/>
    <w:basedOn w:val="1424"/>
    <w:next w:val="1440"/>
    <w:link w:val="1474"/>
    <w:uiPriority w:val="0"/>
    <w:qFormat/>
    <w:rPr>
      <w:rFonts w:ascii="宋体" w:hAnsi="Courier New"/>
    </w:rPr>
  </w:style>
  <w:style w:type="paragraph" w:styleId="1440">
    <w:name w:val="toc 2"/>
    <w:basedOn w:val="1424"/>
    <w:next w:val="1424"/>
    <w:uiPriority w:val="39"/>
    <w:qFormat/>
    <w:pPr>
      <w:ind w:left="210" w:firstLine="150"/>
      <w:jc w:val="left"/>
      <w:tabs>
        <w:tab w:val="right" w:pos="9170" w:leader="dot"/>
      </w:tabs>
    </w:pPr>
    <w:rPr>
      <w:smallCaps/>
      <w:sz w:val="20"/>
    </w:rPr>
  </w:style>
  <w:style w:type="paragraph" w:styleId="1441">
    <w:name w:val="Date"/>
    <w:basedOn w:val="1424"/>
    <w:next w:val="1424"/>
    <w:link w:val="1475"/>
    <w:uiPriority w:val="0"/>
    <w:qFormat/>
    <w:rPr>
      <w:rFonts w:eastAsia="黑体"/>
      <w:b/>
      <w:sz w:val="36"/>
    </w:rPr>
  </w:style>
  <w:style w:type="paragraph" w:styleId="1442">
    <w:name w:val="Body Text Indent 2"/>
    <w:basedOn w:val="1424"/>
    <w:link w:val="1476"/>
    <w:uiPriority w:val="0"/>
    <w:qFormat/>
    <w:pPr>
      <w:ind w:left="900"/>
    </w:pPr>
    <w:rPr>
      <w:rFonts w:ascii="楷体_GB2312" w:eastAsia="楷体_GB2312"/>
      <w:b/>
      <w:sz w:val="28"/>
    </w:rPr>
  </w:style>
  <w:style w:type="paragraph" w:styleId="1443">
    <w:name w:val="Balloon Text"/>
    <w:basedOn w:val="1424"/>
    <w:link w:val="1477"/>
    <w:uiPriority w:val="99"/>
    <w:unhideWhenUsed/>
    <w:qFormat/>
    <w:rPr>
      <w:sz w:val="18"/>
      <w:szCs w:val="18"/>
    </w:rPr>
  </w:style>
  <w:style w:type="paragraph" w:styleId="1444">
    <w:name w:val="Footer"/>
    <w:basedOn w:val="1424"/>
    <w:next w:val="1445"/>
    <w:link w:val="1478"/>
    <w:uiPriority w:val="0"/>
    <w:unhideWhenUsed/>
    <w:qFormat/>
    <w:pPr>
      <w:jc w:val="left"/>
      <w:tabs>
        <w:tab w:val="center" w:pos="4153" w:leader="none"/>
        <w:tab w:val="right" w:pos="8306" w:leader="none"/>
      </w:tabs>
    </w:pPr>
    <w:rPr>
      <w:sz w:val="18"/>
      <w:szCs w:val="18"/>
    </w:rPr>
  </w:style>
  <w:style w:type="paragraph" w:styleId="1445" w:customStyle="1">
    <w:name w:val="TOC Heading1"/>
    <w:next w:val="1424"/>
    <w:uiPriority w:val="0"/>
    <w:qFormat/>
    <w:rPr>
      <w:rFonts w:ascii="Times New Roman" w:hAnsi="Times New Roman" w:eastAsia="宋体" w:cs="Times New Roman"/>
      <w:sz w:val="32"/>
      <w:lang w:val="en-US" w:eastAsia="zh-CN" w:bidi="ar-SA"/>
    </w:rPr>
  </w:style>
  <w:style w:type="paragraph" w:styleId="1446">
    <w:name w:val="envelope return"/>
    <w:basedOn w:val="1424"/>
    <w:uiPriority w:val="0"/>
    <w:qFormat/>
    <w:rPr>
      <w:rFonts w:ascii="Arial" w:hAnsi="Arial"/>
    </w:rPr>
  </w:style>
  <w:style w:type="paragraph" w:styleId="1447">
    <w:name w:val="Header"/>
    <w:basedOn w:val="1424"/>
    <w:link w:val="1479"/>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1448">
    <w:name w:val="toc 1"/>
    <w:basedOn w:val="1424"/>
    <w:next w:val="1424"/>
    <w:uiPriority w:val="39"/>
    <w:unhideWhenUsed/>
    <w:qFormat/>
  </w:style>
  <w:style w:type="paragraph" w:styleId="1449">
    <w:name w:val="List"/>
    <w:basedOn w:val="1424"/>
    <w:uiPriority w:val="0"/>
    <w:qFormat/>
    <w:pPr>
      <w:ind w:left="420" w:hanging="420"/>
      <w:spacing w:after="20" w:line="288" w:lineRule="auto"/>
      <w:tabs>
        <w:tab w:val="left" w:pos="420" w:leader="none"/>
      </w:tabs>
    </w:pPr>
    <w:rPr>
      <w:szCs w:val="20"/>
      <w:lang w:val="en-GB"/>
    </w:rPr>
  </w:style>
  <w:style w:type="paragraph" w:styleId="1450">
    <w:name w:val="Body Text Indent 3"/>
    <w:basedOn w:val="1424"/>
    <w:link w:val="1480"/>
    <w:uiPriority w:val="0"/>
    <w:qFormat/>
    <w:pPr>
      <w:ind w:left="359" w:firstLine="359"/>
    </w:pPr>
    <w:rPr>
      <w:sz w:val="20"/>
    </w:rPr>
  </w:style>
  <w:style w:type="paragraph" w:styleId="1451">
    <w:name w:val="Body Text 2"/>
    <w:basedOn w:val="1424"/>
    <w:link w:val="1481"/>
    <w:uiPriority w:val="0"/>
    <w:qFormat/>
    <w:pPr>
      <w:spacing w:after="120" w:line="480" w:lineRule="auto"/>
    </w:pPr>
    <w:rPr>
      <w:sz w:val="20"/>
    </w:rPr>
  </w:style>
  <w:style w:type="paragraph" w:styleId="1452">
    <w:name w:val="Normal (Web)"/>
    <w:basedOn w:val="1424"/>
    <w:uiPriority w:val="99"/>
    <w:qFormat/>
    <w:pPr>
      <w:jc w:val="left"/>
      <w:spacing w:before="100" w:beforeAutospacing="1" w:after="100" w:afterAutospacing="1"/>
      <w:widowControl/>
    </w:pPr>
    <w:rPr>
      <w:rFonts w:ascii="宋体" w:hAnsi="宋体" w:cs="宋体"/>
      <w:sz w:val="24"/>
      <w:szCs w:val="24"/>
    </w:rPr>
  </w:style>
  <w:style w:type="paragraph" w:styleId="1453">
    <w:name w:val="annotation subject"/>
    <w:basedOn w:val="1435"/>
    <w:next w:val="1435"/>
    <w:link w:val="1482"/>
    <w:uiPriority w:val="99"/>
    <w:semiHidden/>
    <w:qFormat/>
    <w:rPr>
      <w:b/>
      <w:bCs/>
    </w:rPr>
  </w:style>
  <w:style w:type="paragraph" w:styleId="1454">
    <w:name w:val="Body Text First Indent"/>
    <w:basedOn w:val="1436"/>
    <w:link w:val="1472"/>
    <w:uiPriority w:val="0"/>
    <w:qFormat/>
    <w:pPr>
      <w:ind w:firstLine="420"/>
      <w:spacing w:after="120"/>
    </w:pPr>
    <w:rPr>
      <w:rFonts w:ascii="Times New Roman" w:eastAsia="宋体"/>
      <w:sz w:val="21"/>
      <w:szCs w:val="24"/>
    </w:rPr>
  </w:style>
  <w:style w:type="paragraph" w:styleId="1455">
    <w:name w:val="Body Text First Indent 2"/>
    <w:basedOn w:val="1437"/>
    <w:next w:val="1424"/>
    <w:uiPriority w:val="99"/>
    <w:qFormat/>
    <w:pPr>
      <w:ind w:left="420" w:firstLine="420"/>
      <w:spacing w:after="120" w:line="240" w:lineRule="auto"/>
      <w:widowControl w:val="off"/>
    </w:pPr>
    <w:rPr>
      <w:rFonts w:ascii="Times New Roman" w:hAnsi="Times New Roman"/>
      <w:spacing w:val="0"/>
      <w:sz w:val="20"/>
      <w:lang w:val="en-US" w:eastAsia="zh-CN"/>
    </w:rPr>
  </w:style>
  <w:style w:type="table" w:styleId="1456">
    <w:name w:val="Table Grid"/>
    <w:basedOn w:val="143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57">
    <w:name w:val="Strong"/>
    <w:uiPriority w:val="99"/>
    <w:qFormat/>
    <w:rPr>
      <w:rFonts w:cs="Times New Roman"/>
      <w:b/>
      <w:bCs/>
    </w:rPr>
  </w:style>
  <w:style w:type="character" w:styleId="1458">
    <w:name w:val="page number"/>
    <w:uiPriority w:val="0"/>
    <w:qFormat/>
    <w:rPr>
      <w:rFonts w:cs="Times New Roman"/>
    </w:rPr>
  </w:style>
  <w:style w:type="character" w:styleId="1459">
    <w:name w:val="FollowedHyperlink"/>
    <w:uiPriority w:val="99"/>
    <w:qFormat/>
    <w:rPr>
      <w:rFonts w:cs="Times New Roman"/>
      <w:color w:val="auto"/>
      <w:u w:val="none"/>
    </w:rPr>
  </w:style>
  <w:style w:type="character" w:styleId="1460">
    <w:name w:val="HTML Typewriter"/>
    <w:uiPriority w:val="99"/>
    <w:qFormat/>
    <w:rPr>
      <w:rFonts w:ascii="宋体" w:hAnsi="宋体" w:eastAsia="宋体" w:cs="宋体"/>
      <w:sz w:val="24"/>
      <w:szCs w:val="24"/>
    </w:rPr>
  </w:style>
  <w:style w:type="character" w:styleId="1461">
    <w:name w:val="Hyperlink"/>
    <w:uiPriority w:val="0"/>
    <w:qFormat/>
    <w:rPr>
      <w:color w:val="auto"/>
      <w:u w:val="none"/>
    </w:rPr>
  </w:style>
  <w:style w:type="character" w:styleId="1462">
    <w:name w:val="annotation reference"/>
    <w:uiPriority w:val="99"/>
    <w:unhideWhenUsed/>
    <w:qFormat/>
    <w:rPr>
      <w:sz w:val="21"/>
      <w:szCs w:val="21"/>
    </w:rPr>
  </w:style>
  <w:style w:type="character" w:styleId="1463" w:customStyle="1">
    <w:name w:val="标题 1 字符"/>
    <w:link w:val="1425"/>
    <w:uiPriority w:val="0"/>
    <w:qFormat/>
    <w:rPr>
      <w:rFonts w:ascii="楷体_GB2312" w:hAnsi="楷体_GB2312" w:eastAsia="宋体" w:cs="Times New Roman"/>
      <w:b/>
      <w:sz w:val="28"/>
      <w:szCs w:val="32"/>
    </w:rPr>
  </w:style>
  <w:style w:type="character" w:styleId="1464" w:customStyle="1">
    <w:name w:val="标题 2 字符"/>
    <w:link w:val="1426"/>
    <w:uiPriority w:val="0"/>
    <w:qFormat/>
    <w:rPr>
      <w:rFonts w:ascii="楷体_GB2312" w:hAnsi="Times New Roman" w:eastAsia="楷体_GB2312" w:cs="Times New Roman"/>
      <w:b/>
      <w:bCs/>
      <w:sz w:val="18"/>
      <w:szCs w:val="20"/>
    </w:rPr>
  </w:style>
  <w:style w:type="character" w:styleId="1465" w:customStyle="1">
    <w:name w:val="标题 3 字符"/>
    <w:link w:val="1427"/>
    <w:uiPriority w:val="0"/>
    <w:qFormat/>
    <w:rPr>
      <w:rFonts w:ascii="Times New Roman" w:hAnsi="Times New Roman" w:eastAsia="楷体_GB2312" w:cs="Times New Roman"/>
      <w:b/>
      <w:bCs/>
      <w:sz w:val="15"/>
      <w:szCs w:val="20"/>
    </w:rPr>
  </w:style>
  <w:style w:type="character" w:styleId="1466" w:customStyle="1">
    <w:name w:val="标题 4 字符"/>
    <w:link w:val="1428"/>
    <w:uiPriority w:val="0"/>
    <w:qFormat/>
    <w:rPr>
      <w:rFonts w:ascii="Times New Roman" w:hAnsi="Times New Roman" w:eastAsia="楷体_GB2312" w:cs="Times New Roman"/>
      <w:b/>
      <w:bCs/>
      <w:sz w:val="13"/>
      <w:szCs w:val="20"/>
    </w:rPr>
  </w:style>
  <w:style w:type="character" w:styleId="1467" w:customStyle="1">
    <w:name w:val="标题 5 字符"/>
    <w:link w:val="1429"/>
    <w:uiPriority w:val="0"/>
    <w:qFormat/>
    <w:rPr>
      <w:rFonts w:ascii="楷体_GB2312" w:hAnsi="Times New Roman" w:eastAsia="楷体_GB2312" w:cs="Times New Roman"/>
      <w:bCs/>
      <w:sz w:val="28"/>
      <w:szCs w:val="20"/>
    </w:rPr>
  </w:style>
  <w:style w:type="character" w:styleId="1468" w:customStyle="1">
    <w:name w:val="正文缩进 字符"/>
    <w:link w:val="1433"/>
    <w:uiPriority w:val="0"/>
    <w:semiHidden/>
    <w:qFormat/>
    <w:rPr>
      <w:rFonts w:ascii="Times New Roman" w:hAnsi="Times New Roman"/>
      <w:sz w:val="21"/>
    </w:rPr>
  </w:style>
  <w:style w:type="character" w:styleId="1469" w:customStyle="1">
    <w:name w:val="文档结构图 字符"/>
    <w:link w:val="1434"/>
    <w:uiPriority w:val="0"/>
    <w:semiHidden/>
    <w:qFormat/>
    <w:rPr>
      <w:rFonts w:ascii="Times New Roman" w:hAnsi="Times New Roman" w:eastAsia="宋体" w:cs="Times New Roman"/>
      <w:szCs w:val="20"/>
      <w:shd w:val="clear" w:color="auto" w:fill="000080"/>
    </w:rPr>
  </w:style>
  <w:style w:type="character" w:styleId="1470" w:customStyle="1">
    <w:name w:val="批注文字 字符"/>
    <w:link w:val="1435"/>
    <w:uiPriority w:val="99"/>
    <w:semiHidden/>
    <w:qFormat/>
    <w:rPr>
      <w:rFonts w:ascii="Times New Roman" w:hAnsi="Times New Roman" w:eastAsia="宋体" w:cs="Times New Roman"/>
      <w:szCs w:val="24"/>
    </w:rPr>
  </w:style>
  <w:style w:type="character" w:styleId="1471" w:customStyle="1">
    <w:name w:val="正文文本 字符"/>
    <w:link w:val="1436"/>
    <w:uiPriority w:val="99"/>
    <w:qFormat/>
    <w:rPr>
      <w:rFonts w:ascii="华文中宋" w:hAnsi="Times New Roman" w:eastAsia="华文中宋" w:cs="Times New Roman"/>
      <w:bCs/>
      <w:sz w:val="28"/>
      <w:szCs w:val="20"/>
    </w:rPr>
  </w:style>
  <w:style w:type="character" w:styleId="1472" w:customStyle="1">
    <w:name w:val="正文文本首行缩进 字符"/>
    <w:link w:val="1454"/>
    <w:uiPriority w:val="0"/>
    <w:qFormat/>
    <w:rPr>
      <w:rFonts w:ascii="Times New Roman" w:eastAsia="宋体"/>
      <w:sz w:val="21"/>
      <w:szCs w:val="24"/>
    </w:rPr>
  </w:style>
  <w:style w:type="character" w:styleId="1473" w:customStyle="1">
    <w:name w:val="正文文本缩进 字符"/>
    <w:link w:val="1437"/>
    <w:uiPriority w:val="0"/>
    <w:qFormat/>
    <w:rPr>
      <w:rFonts w:ascii="Times New Roman" w:hAnsi="Times New Roman" w:eastAsia="宋体" w:cs="Times New Roman"/>
      <w:b/>
      <w:sz w:val="30"/>
      <w:szCs w:val="20"/>
    </w:rPr>
  </w:style>
  <w:style w:type="character" w:styleId="1474" w:customStyle="1">
    <w:name w:val="纯文本 字符"/>
    <w:link w:val="1439"/>
    <w:uiPriority w:val="0"/>
    <w:qFormat/>
    <w:rPr>
      <w:rFonts w:ascii="宋体" w:hAnsi="Courier New"/>
      <w:sz w:val="21"/>
    </w:rPr>
  </w:style>
  <w:style w:type="character" w:styleId="1475" w:customStyle="1">
    <w:name w:val="日期 字符"/>
    <w:link w:val="1441"/>
    <w:uiPriority w:val="0"/>
    <w:qFormat/>
    <w:rPr>
      <w:rFonts w:ascii="Times New Roman" w:hAnsi="Times New Roman" w:eastAsia="黑体" w:cs="Times New Roman"/>
      <w:b/>
      <w:sz w:val="36"/>
      <w:szCs w:val="20"/>
    </w:rPr>
  </w:style>
  <w:style w:type="character" w:styleId="1476" w:customStyle="1">
    <w:name w:val="正文文本缩进 2 字符"/>
    <w:link w:val="1442"/>
    <w:uiPriority w:val="0"/>
    <w:qFormat/>
    <w:rPr>
      <w:rFonts w:ascii="楷体_GB2312" w:hAnsi="Times New Roman" w:eastAsia="楷体_GB2312" w:cs="Times New Roman"/>
      <w:b/>
      <w:sz w:val="28"/>
      <w:szCs w:val="20"/>
    </w:rPr>
  </w:style>
  <w:style w:type="character" w:styleId="1477" w:customStyle="1">
    <w:name w:val="批注框文本 字符"/>
    <w:link w:val="1443"/>
    <w:uiPriority w:val="99"/>
    <w:semiHidden/>
    <w:qFormat/>
    <w:rPr>
      <w:rFonts w:ascii="Times New Roman" w:hAnsi="Times New Roman" w:eastAsia="宋体" w:cs="Times New Roman"/>
      <w:sz w:val="18"/>
      <w:szCs w:val="18"/>
    </w:rPr>
  </w:style>
  <w:style w:type="character" w:styleId="1478" w:customStyle="1">
    <w:name w:val="页脚 字符"/>
    <w:link w:val="1444"/>
    <w:uiPriority w:val="0"/>
    <w:qFormat/>
    <w:rPr>
      <w:sz w:val="18"/>
      <w:szCs w:val="18"/>
    </w:rPr>
  </w:style>
  <w:style w:type="character" w:styleId="1479" w:customStyle="1">
    <w:name w:val="页眉 字符"/>
    <w:link w:val="1447"/>
    <w:uiPriority w:val="0"/>
    <w:qFormat/>
    <w:rPr>
      <w:sz w:val="18"/>
      <w:szCs w:val="18"/>
    </w:rPr>
  </w:style>
  <w:style w:type="character" w:styleId="1480" w:customStyle="1">
    <w:name w:val="正文文本缩进 3 字符"/>
    <w:link w:val="1450"/>
    <w:uiPriority w:val="0"/>
    <w:qFormat/>
    <w:rPr>
      <w:rFonts w:ascii="Times New Roman" w:hAnsi="Times New Roman" w:eastAsia="宋体" w:cs="Times New Roman"/>
      <w:szCs w:val="20"/>
    </w:rPr>
  </w:style>
  <w:style w:type="character" w:styleId="1481" w:customStyle="1">
    <w:name w:val="正文文本 2 字符"/>
    <w:link w:val="1451"/>
    <w:uiPriority w:val="0"/>
    <w:qFormat/>
    <w:rPr>
      <w:rFonts w:ascii="Times New Roman" w:hAnsi="Times New Roman" w:eastAsia="宋体" w:cs="Times New Roman"/>
      <w:szCs w:val="20"/>
    </w:rPr>
  </w:style>
  <w:style w:type="character" w:styleId="1482" w:customStyle="1">
    <w:name w:val="批注主题 字符"/>
    <w:link w:val="1453"/>
    <w:uiPriority w:val="99"/>
    <w:semiHidden/>
    <w:qFormat/>
    <w:rPr>
      <w:rFonts w:ascii="Times New Roman" w:hAnsi="Times New Roman" w:eastAsia="宋体" w:cs="Times New Roman"/>
      <w:b/>
      <w:bCs/>
      <w:szCs w:val="24"/>
    </w:rPr>
  </w:style>
  <w:style w:type="character" w:styleId="1483" w:customStyle="1">
    <w:name w:val="NormalCharacter"/>
    <w:link w:val="1484"/>
    <w:uiPriority w:val="99"/>
    <w:qFormat/>
    <w:rPr>
      <w:sz w:val="20"/>
    </w:rPr>
  </w:style>
  <w:style w:type="paragraph" w:styleId="1484" w:customStyle="1">
    <w:name w:val="UserStyle_4"/>
    <w:basedOn w:val="1424"/>
    <w:link w:val="1483"/>
    <w:uiPriority w:val="99"/>
    <w:qFormat/>
    <w:pPr>
      <w:widowControl/>
    </w:pPr>
    <w:rPr>
      <w:sz w:val="20"/>
    </w:rPr>
  </w:style>
  <w:style w:type="character" w:styleId="1485" w:customStyle="1">
    <w:name w:val="font31"/>
    <w:uiPriority w:val="0"/>
    <w:qFormat/>
    <w:rPr>
      <w:rFonts w:hint="eastAsia" w:ascii="仿宋" w:hAnsi="仿宋" w:eastAsia="仿宋" w:cs="仿宋"/>
      <w:color w:val="000000"/>
      <w:sz w:val="24"/>
      <w:szCs w:val="24"/>
      <w:u w:val="none"/>
    </w:rPr>
  </w:style>
  <w:style w:type="character" w:styleId="1486" w:customStyle="1">
    <w:name w:val="正文文本缩进 Char1"/>
    <w:uiPriority w:val="0"/>
    <w:semiHidden/>
    <w:qFormat/>
    <w:rPr>
      <w:rFonts w:ascii="Times New Roman" w:hAnsi="Times New Roman" w:eastAsia="宋体" w:cs="Times New Roman"/>
      <w:szCs w:val="20"/>
    </w:rPr>
  </w:style>
  <w:style w:type="character" w:styleId="1487" w:customStyle="1">
    <w:name w:val="font11"/>
    <w:uiPriority w:val="0"/>
    <w:qFormat/>
    <w:rPr>
      <w:rFonts w:hint="eastAsia" w:ascii="宋体" w:hAnsi="宋体" w:eastAsia="宋体" w:cs="宋体"/>
      <w:color w:val="000000"/>
      <w:sz w:val="20"/>
      <w:szCs w:val="20"/>
      <w:u w:val="none"/>
    </w:rPr>
  </w:style>
  <w:style w:type="character" w:styleId="1488" w:customStyle="1">
    <w:name w:val="正文首行缩进两字 Char"/>
    <w:link w:val="1489"/>
    <w:uiPriority w:val="0"/>
    <w:qFormat/>
    <w:rPr>
      <w:sz w:val="24"/>
      <w:szCs w:val="24"/>
      <w:lang w:val="en-US" w:eastAsia="zh-CN" w:bidi="ar-SA"/>
    </w:rPr>
  </w:style>
  <w:style w:type="paragraph" w:styleId="1489" w:customStyle="1">
    <w:name w:val="正文首行缩进两字"/>
    <w:link w:val="1488"/>
    <w:uiPriority w:val="0"/>
    <w:qFormat/>
    <w:pPr>
      <w:ind w:left="240" w:right="240" w:firstLine="480"/>
      <w:spacing w:line="300" w:lineRule="auto"/>
    </w:pPr>
    <w:rPr>
      <w:rFonts w:ascii="Times New Roman" w:hAnsi="Times New Roman" w:eastAsia="宋体" w:cs="Times New Roman"/>
      <w:sz w:val="24"/>
      <w:szCs w:val="24"/>
      <w:lang w:val="en-US" w:eastAsia="zh-CN" w:bidi="ar-SA"/>
    </w:rPr>
  </w:style>
  <w:style w:type="character" w:styleId="1490" w:customStyle="1">
    <w:name w:val="日期 Char1"/>
    <w:uiPriority w:val="0"/>
    <w:semiHidden/>
    <w:qFormat/>
    <w:rPr>
      <w:rFonts w:ascii="Times New Roman" w:hAnsi="Times New Roman" w:eastAsia="宋体" w:cs="Times New Roman"/>
      <w:szCs w:val="20"/>
    </w:rPr>
  </w:style>
  <w:style w:type="character" w:styleId="1491" w:customStyle="1">
    <w:name w:val="正文文本 2 Char1"/>
    <w:uiPriority w:val="0"/>
    <w:semiHidden/>
    <w:qFormat/>
    <w:rPr>
      <w:rFonts w:ascii="Times New Roman" w:hAnsi="Times New Roman" w:eastAsia="宋体" w:cs="Times New Roman"/>
      <w:szCs w:val="20"/>
    </w:rPr>
  </w:style>
  <w:style w:type="character" w:styleId="1492" w:customStyle="1">
    <w:name w:val="文档结构图 Char1"/>
    <w:uiPriority w:val="0"/>
    <w:semiHidden/>
    <w:qFormat/>
    <w:rPr>
      <w:rFonts w:ascii="宋体" w:hAnsi="Times New Roman" w:eastAsia="宋体" w:cs="Times New Roman"/>
      <w:sz w:val="18"/>
      <w:szCs w:val="18"/>
    </w:rPr>
  </w:style>
  <w:style w:type="character" w:styleId="1493" w:customStyle="1">
    <w:name w:val="正文文本缩进 2 Char1"/>
    <w:uiPriority w:val="0"/>
    <w:semiHidden/>
    <w:qFormat/>
    <w:rPr>
      <w:rFonts w:ascii="Times New Roman" w:hAnsi="Times New Roman" w:eastAsia="宋体" w:cs="Times New Roman"/>
      <w:szCs w:val="20"/>
    </w:rPr>
  </w:style>
  <w:style w:type="character" w:styleId="1494" w:customStyle="1">
    <w:name w:val="正文文本缩进 3 Char1"/>
    <w:uiPriority w:val="0"/>
    <w:semiHidden/>
    <w:qFormat/>
    <w:rPr>
      <w:rFonts w:ascii="Times New Roman" w:hAnsi="Times New Roman" w:eastAsia="宋体" w:cs="Times New Roman"/>
      <w:sz w:val="16"/>
      <w:szCs w:val="16"/>
    </w:rPr>
  </w:style>
  <w:style w:type="character" w:styleId="1495" w:customStyle="1">
    <w:name w:val="批注框文本 Char1"/>
    <w:uiPriority w:val="99"/>
    <w:semiHidden/>
    <w:qFormat/>
    <w:rPr>
      <w:rFonts w:ascii="Times New Roman" w:hAnsi="Times New Roman" w:eastAsia="宋体" w:cs="Times New Roman"/>
      <w:sz w:val="18"/>
      <w:szCs w:val="18"/>
    </w:rPr>
  </w:style>
  <w:style w:type="character" w:styleId="1496" w:customStyle="1">
    <w:name w:val="case31"/>
    <w:uiPriority w:val="0"/>
    <w:qFormat/>
    <w:rPr>
      <w:spacing w:val="390"/>
      <w:sz w:val="21"/>
      <w:szCs w:val="21"/>
    </w:rPr>
  </w:style>
  <w:style w:type="character" w:styleId="1497" w:customStyle="1">
    <w:name w:val="font21"/>
    <w:uiPriority w:val="0"/>
    <w:qFormat/>
    <w:rPr>
      <w:rFonts w:hint="eastAsia" w:ascii="仿宋" w:hAnsi="仿宋" w:eastAsia="仿宋" w:cs="仿宋"/>
      <w:color w:val="000000"/>
      <w:sz w:val="24"/>
      <w:szCs w:val="24"/>
      <w:u w:val="none"/>
    </w:rPr>
  </w:style>
  <w:style w:type="paragraph" w:styleId="1498" w:customStyle="1">
    <w:name w:val="_Style 1"/>
    <w:basedOn w:val="1424"/>
    <w:uiPriority w:val="99"/>
    <w:qFormat/>
    <w:pPr>
      <w:ind w:firstLine="420"/>
    </w:pPr>
    <w:rPr>
      <w:rFonts w:ascii="Calibri" w:hAnsi="Calibri" w:eastAsia="宋体" w:cs="Calibri"/>
      <w:sz w:val="34"/>
      <w:szCs w:val="34"/>
    </w:rPr>
  </w:style>
  <w:style w:type="paragraph" w:styleId="1499" w:customStyle="1">
    <w:name w:val="p0 paragraphindent"/>
    <w:basedOn w:val="1424"/>
    <w:uiPriority w:val="0"/>
    <w:qFormat/>
    <w:pPr>
      <w:jc w:val="left"/>
      <w:spacing w:before="100" w:beforeAutospacing="1" w:after="100" w:afterAutospacing="1"/>
      <w:widowControl/>
    </w:pPr>
    <w:rPr>
      <w:rFonts w:ascii="宋体" w:hAnsi="宋体" w:cs="宋体"/>
      <w:sz w:val="24"/>
      <w:szCs w:val="24"/>
    </w:rPr>
  </w:style>
  <w:style w:type="paragraph" w:styleId="1500" w:customStyle="1">
    <w:name w:val="二级无"/>
    <w:basedOn w:val="1424"/>
    <w:uiPriority w:val="0"/>
    <w:qFormat/>
    <w:pPr>
      <w:ind w:left="552" w:hanging="420"/>
      <w:jc w:val="left"/>
      <w:widowControl/>
      <w:tabs>
        <w:tab w:val="left" w:pos="552" w:leader="none"/>
      </w:tabs>
      <w:outlineLvl w:val="3"/>
    </w:pPr>
    <w:rPr>
      <w:rFonts w:ascii="宋体"/>
      <w:szCs w:val="21"/>
    </w:rPr>
  </w:style>
  <w:style w:type="paragraph" w:styleId="1501" w:customStyle="1">
    <w:name w:val="List Paragraph2"/>
    <w:basedOn w:val="1424"/>
    <w:uiPriority w:val="0"/>
    <w:qFormat/>
    <w:pPr>
      <w:ind w:left="0" w:right="0" w:firstLine="420"/>
      <w:jc w:val="both"/>
      <w:keepLines w:val="0"/>
      <w:keepNext w:val="0"/>
      <w:spacing w:before="0" w:beforeAutospacing="0" w:after="0" w:afterAutospacing="0"/>
      <w:widowControl w:val="off"/>
      <w:suppressLineNumbers w:val="0"/>
    </w:pPr>
    <w:rPr>
      <w:rFonts w:hint="default" w:ascii="Times New Roman" w:hAnsi="Times New Roman" w:eastAsia="宋体" w:cs="Times New Roman"/>
      <w:sz w:val="21"/>
      <w:szCs w:val="21"/>
      <w:lang w:val="en-US" w:eastAsia="zh-CN" w:bidi="ar"/>
    </w:rPr>
  </w:style>
  <w:style w:type="paragraph" w:styleId="1502" w:customStyle="1">
    <w:name w:val="正文文本1"/>
    <w:basedOn w:val="1424"/>
    <w:next w:val="1424"/>
    <w:uiPriority w:val="0"/>
    <w:qFormat/>
    <w:rPr>
      <w:rFonts w:ascii="仿宋_GB2312" w:hAnsi="Times New Roman" w:eastAsia="仿宋_GB2312"/>
      <w:sz w:val="28"/>
      <w:szCs w:val="20"/>
    </w:rPr>
  </w:style>
  <w:style w:type="paragraph" w:styleId="1503" w:customStyle="1">
    <w:name w:val="列表1"/>
    <w:basedOn w:val="1424"/>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1504" w:customStyle="1">
    <w:name w:val="标题 41"/>
    <w:basedOn w:val="1424"/>
    <w:next w:val="1424"/>
    <w:uiPriority w:val="0"/>
    <w:qFormat/>
    <w:pPr>
      <w:jc w:val="center"/>
      <w:keepNext/>
      <w:outlineLvl w:val="3"/>
    </w:pPr>
    <w:rPr>
      <w:rFonts w:eastAsia="楷体_GB2312"/>
      <w:b/>
      <w:bCs/>
      <w:sz w:val="13"/>
    </w:rPr>
  </w:style>
  <w:style w:type="paragraph" w:styleId="1505" w:customStyle="1">
    <w:name w:val="普通文字"/>
    <w:basedOn w:val="1424"/>
    <w:next w:val="1424"/>
    <w:uiPriority w:val="0"/>
    <w:qFormat/>
    <w:rPr>
      <w:rFonts w:ascii="宋体"/>
      <w:sz w:val="24"/>
      <w:u w:val="none"/>
    </w:rPr>
  </w:style>
  <w:style w:type="paragraph" w:styleId="1506" w:customStyle="1">
    <w:name w:val="字母编号列项（一级）"/>
    <w:uiPriority w:val="0"/>
    <w:qFormat/>
    <w:pPr>
      <w:ind w:left="552" w:hanging="420"/>
      <w:jc w:val="both"/>
      <w:tabs>
        <w:tab w:val="left" w:pos="552" w:leader="none"/>
        <w:tab w:val="left" w:pos="840" w:leader="none"/>
      </w:tabs>
    </w:pPr>
    <w:rPr>
      <w:rFonts w:ascii="宋体" w:hAnsi="Times New Roman" w:eastAsia="宋体" w:cs="Times New Roman"/>
      <w:sz w:val="21"/>
      <w:lang w:val="en-US" w:eastAsia="zh-CN" w:bidi="ar-SA"/>
    </w:rPr>
  </w:style>
  <w:style w:type="paragraph" w:styleId="1507" w:customStyle="1">
    <w:name w:val="样式 小四 段前: 5 磅 段后: 5 磅 首行缩进:  2 字符"/>
    <w:basedOn w:val="1424"/>
    <w:uiPriority w:val="0"/>
    <w:qFormat/>
    <w:pPr>
      <w:jc w:val="center"/>
      <w:spacing w:line="360" w:lineRule="auto"/>
    </w:pPr>
    <w:rPr>
      <w:rFonts w:ascii="宋体" w:hAnsi="宋体"/>
      <w:bCs/>
      <w:color w:val="ff0000"/>
      <w:sz w:val="24"/>
      <w:szCs w:val="24"/>
    </w:rPr>
  </w:style>
  <w:style w:type="paragraph" w:styleId="1508" w:customStyle="1">
    <w:name w:val="List Paragraph1"/>
    <w:basedOn w:val="1424"/>
    <w:uiPriority w:val="0"/>
    <w:qFormat/>
    <w:pPr>
      <w:ind w:firstLine="420"/>
    </w:pPr>
    <w:rPr>
      <w:szCs w:val="21"/>
    </w:rPr>
  </w:style>
  <w:style w:type="paragraph" w:styleId="1509" w:customStyle="1">
    <w:name w:val="首行缩进"/>
    <w:basedOn w:val="1424"/>
    <w:uiPriority w:val="0"/>
    <w:qFormat/>
    <w:pPr>
      <w:ind w:firstLine="480"/>
    </w:pPr>
    <w:rPr>
      <w:szCs w:val="20"/>
      <w:lang w:val="zh-CN"/>
    </w:rPr>
  </w:style>
  <w:style w:type="paragraph" w:styleId="1510">
    <w:name w:val="List Paragraph"/>
    <w:basedOn w:val="1424"/>
    <w:uiPriority w:val="34"/>
    <w:qFormat/>
    <w:pPr>
      <w:ind w:firstLine="420"/>
    </w:pPr>
  </w:style>
  <w:style w:type="paragraph" w:styleId="1511" w:customStyle="1">
    <w:name w:val="一级条标题"/>
    <w:next w:val="1424"/>
    <w:uiPriority w:val="0"/>
    <w:qFormat/>
    <w:pPr>
      <w:ind w:left="552" w:hanging="420"/>
      <w:tabs>
        <w:tab w:val="left" w:pos="552" w:leader="none"/>
      </w:tabs>
      <w:outlineLvl w:val="2"/>
    </w:pPr>
    <w:rPr>
      <w:rFonts w:ascii="黑体" w:hAnsi="Times New Roman" w:eastAsia="黑体" w:cs="Times New Roman"/>
      <w:sz w:val="21"/>
      <w:szCs w:val="21"/>
      <w:lang w:val="en-US" w:eastAsia="zh-CN" w:bidi="ar-SA"/>
    </w:rPr>
  </w:style>
  <w:style w:type="paragraph" w:styleId="1512" w:customStyle="1">
    <w:name w:val="正文缩进1"/>
    <w:basedOn w:val="1424"/>
    <w:next w:val="1424"/>
    <w:uiPriority w:val="0"/>
    <w:qFormat/>
    <w:pPr>
      <w:ind w:firstLine="420"/>
    </w:pPr>
    <w:rPr>
      <w:rFonts w:ascii="Times New Roman" w:hAnsi="Times New Roman" w:eastAsia="宋体" w:cs="Times New Roman"/>
      <w:szCs w:val="20"/>
    </w:rPr>
  </w:style>
  <w:style w:type="paragraph" w:styleId="1513" w:customStyle="1">
    <w:name w:val="正文首行缩进1"/>
    <w:basedOn w:val="1502"/>
    <w:uiPriority w:val="99"/>
    <w:unhideWhenUsed/>
    <w:qFormat/>
    <w:pPr>
      <w:ind w:firstLine="420"/>
      <w:spacing w:after="120"/>
    </w:pPr>
    <w:rPr>
      <w:rFonts w:ascii="等线" w:hAnsi="等线" w:eastAsia="等线" w:cs="Times New Roman"/>
      <w:sz w:val="21"/>
      <w:szCs w:val="22"/>
    </w:rPr>
  </w:style>
  <w:style w:type="paragraph" w:styleId="1514" w:customStyle="1">
    <w:name w:val="页眉1"/>
    <w:basedOn w:val="142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515" w:customStyle="1">
    <w:name w:val="页脚1"/>
    <w:basedOn w:val="1424"/>
    <w:next w:val="1445"/>
    <w:uiPriority w:val="99"/>
    <w:unhideWhenUsed/>
    <w:qFormat/>
    <w:pPr>
      <w:jc w:val="left"/>
      <w:tabs>
        <w:tab w:val="center" w:pos="4153" w:leader="none"/>
        <w:tab w:val="right" w:pos="8306" w:leader="none"/>
      </w:tabs>
    </w:pPr>
    <w:rPr>
      <w:sz w:val="18"/>
      <w:szCs w:val="18"/>
    </w:rPr>
  </w:style>
  <w:style w:type="character" w:styleId="1516" w:customStyle="1">
    <w:name w:val="font281"/>
    <w:uiPriority w:val="0"/>
    <w:qFormat/>
    <w:rPr>
      <w:rFonts w:hint="default" w:ascii="方正黑体_GBK" w:hAnsi="方正黑体_GBK" w:eastAsia="方正黑体_GBK" w:cs="方正黑体_GBK"/>
      <w:b/>
      <w:bCs/>
      <w:color w:val="000000"/>
      <w:sz w:val="24"/>
      <w:szCs w:val="24"/>
      <w:u w:val="none"/>
    </w:rPr>
  </w:style>
  <w:style w:type="character" w:styleId="1517" w:customStyle="1">
    <w:name w:val="font51"/>
    <w:uiPriority w:val="0"/>
    <w:qFormat/>
    <w:rPr>
      <w:rFonts w:hint="default" w:ascii="方正黑体_GBK" w:hAnsi="方正黑体_GBK" w:eastAsia="方正黑体_GBK" w:cs="方正黑体_GBK"/>
      <w:b/>
      <w:bCs/>
      <w:color w:val="000000"/>
      <w:sz w:val="24"/>
      <w:szCs w:val="24"/>
      <w:u w:val="none"/>
    </w:rPr>
  </w:style>
  <w:style w:type="character" w:styleId="1518" w:customStyle="1">
    <w:name w:val="font71"/>
    <w:uiPriority w:val="0"/>
    <w:qFormat/>
    <w:rPr>
      <w:rFonts w:hint="default" w:ascii="Times New Roman" w:hAnsi="Times New Roman" w:cs="Times New Roman"/>
      <w:b/>
      <w:bCs/>
      <w:color w:val="000000"/>
      <w:sz w:val="20"/>
      <w:szCs w:val="20"/>
      <w:u w:val="none"/>
    </w:rPr>
  </w:style>
  <w:style w:type="character" w:styleId="1519" w:customStyle="1">
    <w:name w:val="font61"/>
    <w:uiPriority w:val="0"/>
    <w:qFormat/>
    <w:rPr>
      <w:rFonts w:hint="eastAsia" w:ascii="宋体" w:hAnsi="宋体" w:eastAsia="宋体" w:cs="宋体"/>
      <w:b/>
      <w:bCs/>
      <w:color w:val="000000"/>
      <w:sz w:val="20"/>
      <w:szCs w:val="20"/>
      <w:u w:val="none"/>
    </w:rPr>
  </w:style>
  <w:style w:type="character" w:styleId="1520" w:customStyle="1">
    <w:name w:val="font131"/>
    <w:uiPriority w:val="0"/>
    <w:qFormat/>
    <w:rPr>
      <w:rFonts w:hint="eastAsia" w:ascii="宋体" w:hAnsi="宋体" w:eastAsia="宋体" w:cs="宋体"/>
      <w:b/>
      <w:bCs/>
      <w:color w:val="000000"/>
      <w:sz w:val="18"/>
      <w:szCs w:val="18"/>
      <w:u w:val="none"/>
    </w:rPr>
  </w:style>
  <w:style w:type="character" w:styleId="1521" w:customStyle="1">
    <w:name w:val="font81"/>
    <w:uiPriority w:val="0"/>
    <w:qFormat/>
    <w:rPr>
      <w:rFonts w:hint="default" w:ascii="Times New Roman" w:hAnsi="Times New Roman" w:cs="Times New Roman"/>
      <w:b/>
      <w:bCs/>
      <w:color w:val="000000"/>
      <w:sz w:val="18"/>
      <w:szCs w:val="18"/>
      <w:u w:val="none"/>
    </w:rPr>
  </w:style>
  <w:style w:type="character" w:styleId="1522" w:customStyle="1">
    <w:name w:val="font231"/>
    <w:uiPriority w:val="0"/>
    <w:qFormat/>
    <w:rPr>
      <w:rFonts w:hint="eastAsia" w:ascii="宋体" w:hAnsi="宋体" w:eastAsia="宋体" w:cs="宋体"/>
      <w:color w:val="000000"/>
      <w:sz w:val="22"/>
      <w:szCs w:val="22"/>
      <w:u w:val="none"/>
    </w:rPr>
  </w:style>
  <w:style w:type="character" w:styleId="1523" w:customStyle="1">
    <w:name w:val="font201"/>
    <w:uiPriority w:val="0"/>
    <w:qFormat/>
    <w:rPr>
      <w:rFonts w:hint="eastAsia" w:ascii="宋体" w:hAnsi="宋体" w:eastAsia="宋体" w:cs="宋体"/>
      <w:color w:val="000000"/>
      <w:sz w:val="18"/>
      <w:szCs w:val="18"/>
      <w:u w:val="none"/>
    </w:rPr>
  </w:style>
  <w:style w:type="character" w:styleId="1524" w:customStyle="1">
    <w:name w:val="font101"/>
    <w:uiPriority w:val="0"/>
    <w:qFormat/>
    <w:rPr>
      <w:rFonts w:hint="default" w:ascii="Times New Roman" w:hAnsi="Times New Roman" w:cs="Times New Roman"/>
      <w:color w:val="000000"/>
      <w:sz w:val="18"/>
      <w:szCs w:val="18"/>
      <w:u w:val="none"/>
    </w:rPr>
  </w:style>
  <w:style w:type="character" w:styleId="1525" w:customStyle="1">
    <w:name w:val="font291"/>
    <w:uiPriority w:val="0"/>
    <w:qFormat/>
    <w:rPr>
      <w:rFonts w:hint="eastAsia" w:ascii="宋体" w:hAnsi="宋体" w:eastAsia="宋体" w:cs="宋体"/>
      <w:color w:val="000000"/>
      <w:sz w:val="18"/>
      <w:szCs w:val="18"/>
      <w:u w:val="none"/>
    </w:rPr>
  </w:style>
  <w:style w:type="character" w:styleId="1526" w:customStyle="1">
    <w:name w:val="font171"/>
    <w:uiPriority w:val="0"/>
    <w:qFormat/>
    <w:rPr>
      <w:rFonts w:hint="default" w:ascii="Times New Roman" w:hAnsi="Times New Roman" w:cs="Times New Roman"/>
      <w:color w:val="000000"/>
      <w:sz w:val="18"/>
      <w:szCs w:val="18"/>
      <w:u w:val="none"/>
    </w:rPr>
  </w:style>
  <w:style w:type="character" w:styleId="1527" w:customStyle="1">
    <w:name w:val="font151"/>
    <w:uiPriority w:val="0"/>
    <w:qFormat/>
    <w:rPr>
      <w:rFonts w:hint="eastAsia" w:ascii="宋体" w:hAnsi="宋体" w:eastAsia="宋体" w:cs="宋体"/>
      <w:b/>
      <w:bCs/>
      <w:color w:val="000000"/>
      <w:sz w:val="18"/>
      <w:szCs w:val="18"/>
      <w:u w:val="none"/>
    </w:rPr>
  </w:style>
  <w:style w:type="character" w:styleId="1528" w:customStyle="1">
    <w:name w:val="font301"/>
    <w:uiPriority w:val="0"/>
    <w:qFormat/>
    <w:rPr>
      <w:rFonts w:hint="eastAsia" w:ascii="宋体" w:hAnsi="宋体" w:eastAsia="宋体" w:cs="宋体"/>
      <w:color w:val="000000"/>
      <w:sz w:val="22"/>
      <w:szCs w:val="22"/>
      <w:u w:val="none"/>
    </w:rPr>
  </w:style>
  <w:style w:type="character" w:styleId="1529" w:customStyle="1">
    <w:name w:val="font312"/>
    <w:uiPriority w:val="0"/>
    <w:qFormat/>
    <w:rPr>
      <w:rFonts w:hint="eastAsia" w:ascii="宋体" w:hAnsi="宋体" w:eastAsia="宋体" w:cs="宋体"/>
      <w:b/>
      <w:bCs/>
      <w:color w:val="000000"/>
      <w:sz w:val="19"/>
      <w:szCs w:val="19"/>
      <w:u w:val="none"/>
    </w:rPr>
  </w:style>
  <w:style w:type="character" w:styleId="1530" w:customStyle="1">
    <w:name w:val="font321"/>
    <w:uiPriority w:val="0"/>
    <w:qFormat/>
    <w:rPr>
      <w:rFonts w:hint="eastAsia" w:ascii="宋体" w:hAnsi="宋体" w:eastAsia="宋体" w:cs="宋体"/>
      <w:color w:val="000000"/>
      <w:sz w:val="19"/>
      <w:szCs w:val="19"/>
      <w:u w:val="none"/>
    </w:rPr>
  </w:style>
  <w:style w:type="character" w:styleId="1531" w:customStyle="1">
    <w:name w:val="font222"/>
    <w:uiPriority w:val="0"/>
    <w:qFormat/>
    <w:rPr>
      <w:rFonts w:hint="default" w:ascii="Times New Roman" w:hAnsi="Times New Roman" w:cs="Times New Roman"/>
      <w:color w:val="000000"/>
      <w:sz w:val="19"/>
      <w:szCs w:val="19"/>
      <w:u w:val="none"/>
    </w:rPr>
  </w:style>
  <w:style w:type="character" w:styleId="1532" w:customStyle="1">
    <w:name w:val="font331"/>
    <w:uiPriority w:val="0"/>
    <w:qFormat/>
    <w:rPr>
      <w:rFonts w:hint="eastAsia" w:ascii="宋体" w:hAnsi="宋体" w:eastAsia="宋体" w:cs="宋体"/>
      <w:b/>
      <w:bCs/>
      <w:color w:val="000000"/>
      <w:sz w:val="19"/>
      <w:szCs w:val="19"/>
      <w:u w:val="none"/>
    </w:rPr>
  </w:style>
  <w:style w:type="character" w:styleId="1533" w:customStyle="1">
    <w:name w:val="font341"/>
    <w:uiPriority w:val="0"/>
    <w:qFormat/>
    <w:rPr>
      <w:rFonts w:hint="eastAsia" w:ascii="宋体" w:hAnsi="宋体" w:eastAsia="宋体" w:cs="宋体"/>
      <w:color w:val="000000"/>
      <w:sz w:val="19"/>
      <w:szCs w:val="19"/>
      <w:u w:val="none"/>
    </w:rPr>
  </w:style>
  <w:style w:type="character" w:styleId="1534" w:customStyle="1">
    <w:name w:val="font271"/>
    <w:uiPriority w:val="0"/>
    <w:qFormat/>
    <w:rPr>
      <w:rFonts w:hint="default" w:ascii="Times New Roman" w:hAnsi="Times New Roman" w:cs="Times New Roman"/>
      <w:color w:val="000000"/>
      <w:sz w:val="19"/>
      <w:szCs w:val="19"/>
      <w:u w:val="none"/>
    </w:rPr>
  </w:style>
  <w:style w:type="paragraph" w:styleId="1535" w:customStyle="1">
    <w:name w:val="引文目录1"/>
    <w:basedOn w:val="1424"/>
    <w:next w:val="1424"/>
    <w:uiPriority w:val="0"/>
    <w:qFormat/>
    <w:pPr>
      <w:ind w:left="420"/>
    </w:pPr>
  </w:style>
  <w:style w:type="paragraph" w:styleId="1536" w:customStyle="1">
    <w:name w:val="索引 411"/>
    <w:basedOn w:val="1424"/>
    <w:next w:val="1424"/>
    <w:uiPriority w:val="99"/>
    <w:qFormat/>
    <w:pPr>
      <w:ind w:left="600"/>
    </w:pPr>
    <w:rPr>
      <w:szCs w:val="24"/>
    </w:rPr>
  </w:style>
  <w:style w:type="paragraph" w:styleId="1537" w:customStyle="1">
    <w:name w:val="标题 31"/>
    <w:basedOn w:val="1424"/>
    <w:next w:val="1424"/>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paragraph" w:styleId="1538" w:customStyle="1">
    <w:name w:val="ZS_A正文"/>
    <w:uiPriority w:val="0"/>
    <w:qFormat/>
    <w:pPr>
      <w:ind w:firstLine="420"/>
      <w:jc w:val="both"/>
      <w:tabs>
        <w:tab w:val="center" w:pos="4201" w:leader="none"/>
        <w:tab w:val="right" w:pos="9298" w:leader="dot"/>
      </w:tabs>
    </w:pPr>
    <w:rPr>
      <w:rFonts w:ascii="宋体" w:hAnsi="Times New Roman" w:eastAsia="宋体" w:cs="Times New Roman"/>
      <w:sz w:val="21"/>
      <w:lang w:val="en-US" w:eastAsia="zh-CN" w:bidi="ar-SA"/>
    </w:rPr>
  </w:style>
  <w:style w:type="paragraph" w:styleId="1539" w:customStyle="1">
    <w:name w:val="列出段落1"/>
    <w:basedOn w:val="1424"/>
    <w:uiPriority w:val="0"/>
    <w:qFormat/>
    <w:pPr>
      <w:ind w:firstLine="420"/>
    </w:pPr>
    <w:rPr>
      <w:rFonts w:ascii="Calibri" w:hAnsi="Calibri"/>
      <w:szCs w:val="22"/>
    </w:rPr>
  </w:style>
  <w:style w:type="numbering" w:styleId="15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footer" Target="footer12.xml" /><Relationship Id="rId28" Type="http://schemas.openxmlformats.org/officeDocument/2006/relationships/footer" Target="footer13.xml" /><Relationship Id="rId29" Type="http://schemas.openxmlformats.org/officeDocument/2006/relationships/footer" Target="footer14.xml" /><Relationship Id="rId30" Type="http://schemas.openxmlformats.org/officeDocument/2006/relationships/footer" Target="footer15.xml" /><Relationship Id="rId31" Type="http://schemas.openxmlformats.org/officeDocument/2006/relationships/footer" Target="footer16.xml" /><Relationship Id="rId3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时缪悦</dc:creator>
  <cp:lastModifiedBy>陆翠芹</cp:lastModifiedBy>
  <cp:revision>12</cp:revision>
  <dcterms:created xsi:type="dcterms:W3CDTF">2023-03-28T06:55:00Z</dcterms:created>
  <dcterms:modified xsi:type="dcterms:W3CDTF">2026-03-11T03:39:07Z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EC89C869635C444C8B973B8BA05FFB11_13</vt:lpwstr>
  </property>
  <property fmtid="{D5CDD505-2E9C-101B-9397-08002B2CF9AE}" pid="4" name="KSOTemplateDocerSaveRecord">
    <vt:lpwstr>eyJoZGlkIjoiZDdkZWJiYmIxZTUyOTE4MWNiZjc5OTU0OGYxOTMwYjMiLCJ1c2VySWQiOiIxMzY2NzkwNjUwIn0=</vt:lpwstr>
  </property>
</Properties>
</file>