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rPr>
          <w:rFonts w:eastAsia="黑体"/>
          <w:b/>
          <w:bCs/>
          <w:sz w:val="84"/>
        </w:rPr>
      </w:pPr>
      <w:r>
        <w:rPr>
          <w:rFonts w:eastAsia="黑体"/>
          <w:b/>
          <w:bCs/>
          <w:sz w:val="84"/>
        </w:rPr>
      </w:r>
      <w:r/>
    </w:p>
    <w:p>
      <w:pPr>
        <w:pStyle w:val="983"/>
        <w:ind w:firstLine="0"/>
        <w:jc w:val="center"/>
        <w:rPr>
          <w:rFonts w:eastAsia="黑体"/>
          <w:b/>
          <w:bCs/>
          <w:sz w:val="84"/>
        </w:rPr>
      </w:pPr>
      <w:r>
        <w:rPr>
          <w:rFonts w:hint="eastAsia" w:eastAsia="黑体"/>
          <w:b/>
          <w:bCs/>
          <w:sz w:val="84"/>
        </w:rPr>
        <w:t xml:space="preserve">招　标　文　件</w:t>
      </w:r>
      <w:r/>
    </w:p>
    <w:p>
      <w:pPr>
        <w:pStyle w:val="983"/>
        <w:ind w:firstLine="2240"/>
        <w:rPr>
          <w:b/>
          <w:bCs/>
          <w:sz w:val="32"/>
          <w:u w:val="single"/>
        </w:rPr>
      </w:pPr>
      <w:r>
        <w:rPr>
          <w:rFonts w:hint="eastAsia"/>
          <w:b/>
          <w:bCs/>
          <w:sz w:val="32"/>
        </w:rPr>
        <w:t xml:space="preserve">项目名称：</w:t>
      </w:r>
      <w:r>
        <w:rPr>
          <w:rFonts w:hint="eastAsia" w:hAnsi="宋体"/>
          <w:u w:val="single"/>
        </w:rPr>
        <w:t xml:space="preserve">常州工程职业技术学院低(无)代码+BPM 敏捷开发平台</w:t>
      </w:r>
      <w:r/>
    </w:p>
    <w:p>
      <w:pPr>
        <w:ind w:left="2100" w:firstLine="160"/>
        <w:rPr>
          <w:b/>
          <w:color w:val="ff0000"/>
          <w:sz w:val="30"/>
          <w:szCs w:val="30"/>
        </w:rPr>
      </w:pPr>
      <w:r>
        <w:rPr>
          <w:rFonts w:hint="eastAsia"/>
          <w:b/>
          <w:bCs/>
          <w:color w:val="ff0000"/>
          <w:sz w:val="32"/>
        </w:rPr>
        <w:t xml:space="preserve">项目编号：JSZC-320400-JZCG-G2026-0056</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专门面向中小企业）</w:t>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spacing w:before="0" w:after="0"/>
        <w:rPr>
          <w:rFonts w:ascii="宋体" w:hAnsi="宋体"/>
        </w:rPr>
      </w:pPr>
      <w:r>
        <w:rPr>
          <w:rFonts w:ascii="宋体" w:hAnsi="宋体"/>
        </w:rPr>
      </w:r>
      <w:r/>
    </w:p>
    <w:p>
      <w:pPr>
        <w:pStyle w:val="983"/>
        <w:ind w:firstLine="0"/>
        <w:jc w:val="center"/>
        <w:rPr>
          <w:b/>
          <w:bCs/>
          <w:sz w:val="32"/>
        </w:rPr>
      </w:pPr>
      <w:r>
        <w:rPr>
          <w:rFonts w:hint="eastAsia"/>
          <w:b/>
          <w:bCs/>
          <w:sz w:val="32"/>
        </w:rPr>
        <w:t xml:space="preserve">常州市政府采购中心</w:t>
      </w:r>
      <w:r/>
    </w:p>
    <w:p>
      <w:pPr>
        <w:pStyle w:val="983"/>
        <w:ind w:firstLine="0"/>
        <w:jc w:val="center"/>
        <w:rPr>
          <w:b/>
          <w:bCs/>
          <w:sz w:val="32"/>
        </w:rPr>
      </w:pPr>
      <w:r>
        <w:rPr>
          <w:rFonts w:hint="eastAsia"/>
          <w:b/>
          <w:bCs/>
          <w:sz w:val="32"/>
        </w:rPr>
        <w:t xml:space="preserve">2026年03月05日</w:t>
      </w:r>
      <w:r/>
    </w:p>
    <w:p>
      <w:pPr>
        <w:pStyle w:val="983"/>
        <w:ind w:firstLine="0"/>
        <w:rPr>
          <w:u w:val="single"/>
        </w:rPr>
      </w:pPr>
      <w:r>
        <w:rPr>
          <w:rFonts w:hint="eastAsia"/>
        </w:rPr>
        <w:t xml:space="preserve">                        </w:t>
      </w:r>
      <w:r/>
    </w:p>
    <w:p>
      <w:pPr>
        <w:pStyle w:val="98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8"/>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受[常州工程职业技术学院]的委托，常州市政府采购中心就[常州工程职业技术学院低(无)代码+BPM 敏捷开发平台]([JSZC-320400-JZCG-G2026-0056])项目进行公开招标采购，欢迎符合条件的供应商投标。</w:t>
      </w:r>
      <w:r/>
    </w:p>
    <w:p>
      <w:pPr>
        <w:pStyle w:val="891"/>
        <w:ind w:firstLine="496"/>
        <w:spacing w:before="156" w:after="156" w:line="360" w:lineRule="auto"/>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1.项目编号：JSZC-320400-JZCG-G2026-0056</w:t>
      </w:r>
      <w:r/>
    </w:p>
    <w:p>
      <w:pPr>
        <w:ind w:firstLine="480"/>
        <w:rPr>
          <w:rFonts w:ascii="宋体" w:hAnsi="宋体"/>
          <w:sz w:val="24"/>
          <w:szCs w:val="24"/>
        </w:rPr>
      </w:pPr>
      <w:r>
        <w:rPr>
          <w:rFonts w:hint="eastAsia" w:ascii="宋体" w:hAnsi="宋体"/>
          <w:sz w:val="24"/>
          <w:szCs w:val="24"/>
        </w:rPr>
        <w:t xml:space="preserve">2.项目名称：</w:t>
      </w:r>
      <w:r>
        <w:rPr>
          <w:rFonts w:hint="eastAsia" w:ascii="Segoe UI" w:hAnsi="Segoe UI" w:eastAsia="Segoe UI" w:cs="Segoe UI"/>
          <w:lang w:bidi="ar"/>
        </w:rPr>
        <w:t xml:space="preserve">常州工程职业技术学院低(无)代码+BPM 敏捷开发平台</w:t>
      </w:r>
      <w:bookmarkEnd w:id="11"/>
      <w:r/>
    </w:p>
    <w:p>
      <w:pPr>
        <w:ind w:firstLine="480"/>
        <w:tabs>
          <w:tab w:val="left" w:pos="3080" w:leader="none"/>
        </w:tabs>
        <w:rPr>
          <w:rFonts w:ascii="宋体" w:hAnsi="宋体"/>
          <w:sz w:val="24"/>
          <w:szCs w:val="24"/>
        </w:rPr>
      </w:pPr>
      <w:r>
        <w:rPr>
          <w:rFonts w:hint="eastAsia" w:ascii="宋体" w:hAnsi="宋体"/>
          <w:sz w:val="24"/>
          <w:szCs w:val="24"/>
        </w:rPr>
        <w:t xml:space="preserve">3.预算金额：27.5万元</w:t>
      </w:r>
      <w:r>
        <w:tab/>
      </w:r>
      <w:r/>
    </w:p>
    <w:p>
      <w:pPr>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rPr>
        <w:t xml:space="preserve"> 27.5</w:t>
      </w:r>
      <w:r>
        <w:rPr>
          <w:rFonts w:hint="eastAsia" w:ascii="宋体" w:hAnsi="宋体"/>
          <w:sz w:val="24"/>
          <w:szCs w:val="24"/>
        </w:rPr>
        <w:t xml:space="preserve">万元。</w:t>
      </w:r>
      <w:r/>
    </w:p>
    <w:p>
      <w:pPr>
        <w:ind w:firstLine="480"/>
        <w:spacing w:line="360" w:lineRule="auto"/>
        <w:rPr>
          <w:rFonts w:ascii="宋体" w:hAnsi="宋体"/>
          <w:sz w:val="24"/>
          <w:szCs w:val="24"/>
        </w:rPr>
      </w:pPr>
      <w:r>
        <w:rPr>
          <w:rFonts w:hint="eastAsia" w:ascii="宋体" w:hAnsi="宋体"/>
          <w:sz w:val="24"/>
          <w:szCs w:val="24"/>
        </w:rPr>
        <w:t xml:space="preserve">5.采购需求（简介）：</w:t>
      </w:r>
      <w:r/>
    </w:p>
    <w:p>
      <w:pPr>
        <w:ind w:firstLine="480"/>
        <w:spacing w:line="360" w:lineRule="auto"/>
        <w:rPr>
          <w:rFonts w:ascii="宋体" w:hAnsi="宋体" w:cs="微软雅黑"/>
          <w:color w:val="000000"/>
          <w:sz w:val="24"/>
          <w:szCs w:val="24"/>
          <w:shd w:val="clear" w:color="auto" w:fill="ffffff"/>
        </w:rPr>
      </w:pPr>
      <w:r>
        <w:rPr>
          <w:rFonts w:hint="eastAsia" w:ascii="宋体" w:hAnsi="宋体" w:cs="微软雅黑"/>
          <w:color w:val="000000"/>
          <w:sz w:val="24"/>
          <w:szCs w:val="24"/>
          <w:shd w:val="clear" w:color="auto" w:fill="ffffff"/>
        </w:rPr>
        <w:t xml:space="preserve">以低(无)代码能力、流程引擎、个人服务门户引擎为基础，以“数据多跑路，师生少跑腿”为原则，以重新梳理各业务服务流程和满足师生办事办文实际需求为目标，统筹各部门业务、整合各类数据资源，解决跨部门、跨系统业务协同的难题，通过建设一个统一的</w:t>
      </w:r>
      <w:r>
        <w:rPr>
          <w:rFonts w:hint="eastAsia" w:ascii="宋体" w:hAnsi="宋体" w:cs="Segoe UI"/>
          <w:sz w:val="23"/>
          <w:szCs w:val="23"/>
        </w:rPr>
        <w:t xml:space="preserve">低(无)代码+BPM敏捷开发平台</w:t>
      </w:r>
      <w:r>
        <w:rPr>
          <w:rFonts w:hint="eastAsia" w:ascii="宋体" w:hAnsi="宋体" w:cs="微软雅黑"/>
          <w:color w:val="000000"/>
          <w:sz w:val="24"/>
          <w:szCs w:val="24"/>
          <w:shd w:val="clear" w:color="auto" w:fill="ffffff"/>
        </w:rPr>
        <w:t xml:space="preserve">，实现学校各种应用系统的快速构建，为全校师生提供全程、快捷、公开、透明的服务，提高学校办事效率和治理能力。</w:t>
      </w:r>
      <w:r/>
    </w:p>
    <w:p>
      <w:pPr>
        <w:ind w:firstLine="480"/>
        <w:rPr>
          <w:rFonts w:ascii="宋体" w:hAnsi="宋体"/>
          <w:sz w:val="24"/>
          <w:szCs w:val="24"/>
          <w:u w:val="single"/>
        </w:rPr>
      </w:pPr>
      <w:r>
        <w:rPr>
          <w:rFonts w:hint="eastAsia" w:ascii="宋体" w:hAnsi="宋体" w:cs="微软雅黑"/>
          <w:color w:val="000000"/>
          <w:sz w:val="24"/>
          <w:szCs w:val="24"/>
          <w:shd w:val="clear" w:color="auto" w:fill="ffffff"/>
        </w:rPr>
        <w:t xml:space="preserve">本次项目是为实现全校各个信息化应用的快速搭建，建设一个融合全场景业务流程管理（BPM）与低(无)代码平台的数字基座。</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6个月</w:t>
      </w:r>
      <w:r/>
    </w:p>
    <w:p>
      <w:pPr>
        <w:pStyle w:val="891"/>
        <w:ind w:firstLine="496"/>
        <w:spacing w:before="156" w:after="156" w:line="360" w:lineRule="auto"/>
      </w:pPr>
      <w:r/>
      <w:bookmarkStart w:id="12" w:name="_Toc28359080"/>
      <w:r/>
      <w:bookmarkStart w:id="13" w:name="_Toc38985264"/>
      <w:r/>
      <w:bookmarkStart w:id="14" w:name="_Toc35393622"/>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28359004"/>
      <w:r/>
      <w:bookmarkStart w:id="18" w:name="_Toc35393792"/>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sz w:val="24"/>
          <w:szCs w:val="24"/>
        </w:rPr>
      </w:pPr>
      <w:r>
        <w:rPr>
          <w:rFonts w:hint="eastAsia" w:ascii="宋体" w:hAnsi="宋体"/>
          <w:sz w:val="24"/>
          <w:szCs w:val="24"/>
        </w:rPr>
        <w:t xml:space="preserve">无</w:t>
      </w:r>
      <w:r/>
    </w:p>
    <w:p>
      <w:pPr>
        <w:pStyle w:val="891"/>
        <w:ind w:firstLine="496"/>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8985266"/>
      <w:r/>
      <w:bookmarkStart w:id="23" w:name="_Toc28359005"/>
      <w:r/>
      <w:bookmarkStart w:id="24" w:name="_Toc28359082"/>
      <w:r/>
      <w:bookmarkStart w:id="25" w:name="_Toc35393624"/>
      <w:r/>
      <w:bookmarkStart w:id="26" w:name="_Toc35393793"/>
      <w:r>
        <w:rPr>
          <w:rFonts w:hint="eastAsia" w:ascii="宋体" w:hAnsi="宋体" w:cs="宋体"/>
          <w:sz w:val="24"/>
          <w:szCs w:val="24"/>
        </w:rPr>
        <w:t xml:space="preserve">1.时间：详见招标文件公告。</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bookmarkEnd w:id="23"/>
      <w:bookmarkEnd w:id="24"/>
      <w:bookmarkEnd w:id="25"/>
      <w:bookmarkEnd w:id="26"/>
      <w:r/>
    </w:p>
    <w:p>
      <w:pPr>
        <w:pStyle w:val="891"/>
        <w:ind w:firstLine="496"/>
        <w:spacing w:before="156" w:after="156" w:line="360" w:lineRule="auto"/>
      </w:pPr>
      <w:r/>
      <w:bookmarkStart w:id="27" w:name="_Toc28359007"/>
      <w:r/>
      <w:bookmarkStart w:id="28" w:name="_Toc38985267"/>
      <w:r/>
      <w:bookmarkStart w:id="29" w:name="_Toc28359084"/>
      <w:r/>
      <w:bookmarkStart w:id="30" w:name="_Toc35393625"/>
      <w:r/>
      <w:bookmarkStart w:id="31" w:name="_Toc35393794"/>
      <w:r>
        <w:rPr>
          <w:rFonts w:hint="eastAsia"/>
        </w:rPr>
        <w:t xml:space="preserve">四、投标文件提交</w:t>
      </w:r>
      <w:r/>
    </w:p>
    <w:p>
      <w:pPr>
        <w:ind w:firstLine="540"/>
        <w:spacing w:line="360" w:lineRule="auto"/>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rPr>
      </w:pPr>
      <w:r>
        <w:rPr>
          <w:rFonts w:hint="eastAsia" w:ascii="宋体" w:hAnsi="宋体" w:cs="宋体"/>
          <w:sz w:val="24"/>
          <w:szCs w:val="24"/>
        </w:rPr>
        <w:t xml:space="preserve">2.地点：苏采云政府采购一体化平台</w:t>
      </w:r>
      <w:r/>
    </w:p>
    <w:p>
      <w:pPr>
        <w:pStyle w:val="891"/>
        <w:ind w:firstLine="496"/>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891"/>
        <w:ind w:firstLine="496"/>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91"/>
        <w:ind w:firstLine="496"/>
        <w:spacing w:before="156" w:after="156" w:line="360" w:lineRule="auto"/>
      </w:pPr>
      <w:r/>
      <w:bookmarkStart w:id="35" w:name="_Toc28359008"/>
      <w:r/>
      <w:bookmarkStart w:id="36" w:name="_Toc35393627"/>
      <w:r/>
      <w:bookmarkStart w:id="37" w:name="_Toc28359085"/>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常州工程职业技术学院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常州市武进区滆湖中路33号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张老师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0519-86332120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rPr>
          <w:rFonts w:hint="eastAsia" w:ascii="宋体" w:hAnsi="宋体"/>
          <w:sz w:val="24"/>
          <w:szCs w:val="24"/>
        </w:rPr>
        <w:t xml:space="preserve">采购文件相关联系人：卢先生                </w:t>
      </w:r>
      <w:r/>
    </w:p>
    <w:p>
      <w:pPr>
        <w:ind w:firstLine="720"/>
        <w:spacing w:line="360" w:lineRule="auto"/>
        <w:rPr>
          <w:rFonts w:ascii="宋体" w:hAnsi="宋体"/>
          <w:sz w:val="24"/>
          <w:szCs w:val="24"/>
        </w:rPr>
      </w:pPr>
      <w:r>
        <w:rPr>
          <w:rFonts w:hint="eastAsia" w:ascii="宋体" w:hAnsi="宋体"/>
          <w:sz w:val="24"/>
          <w:szCs w:val="24"/>
        </w:rPr>
        <w:t xml:space="preserve">电  　话：0519-85588157</w:t>
      </w:r>
      <w:r/>
    </w:p>
    <w:p>
      <w:pPr>
        <w:ind w:firstLine="720"/>
        <w:spacing w:line="360" w:lineRule="auto"/>
        <w:rPr>
          <w:rFonts w:ascii="宋体" w:hAnsi="宋体"/>
          <w:sz w:val="24"/>
          <w:szCs w:val="24"/>
        </w:rPr>
      </w:pPr>
      <w:r>
        <w:rPr>
          <w:rFonts w:hint="eastAsia" w:ascii="宋体" w:hAnsi="宋体"/>
          <w:sz w:val="24"/>
          <w:szCs w:val="24"/>
        </w:rPr>
        <w:t xml:space="preserve">开标评审相关联系人：马女士             </w:t>
      </w:r>
      <w:r/>
    </w:p>
    <w:p>
      <w:pPr>
        <w:ind w:firstLine="720"/>
        <w:spacing w:line="360" w:lineRule="auto"/>
        <w:rPr>
          <w:rFonts w:ascii="宋体" w:hAnsi="宋体"/>
          <w:sz w:val="24"/>
          <w:szCs w:val="24"/>
        </w:rPr>
      </w:pPr>
      <w:r>
        <w:rPr>
          <w:rFonts w:hint="eastAsia" w:ascii="宋体" w:hAnsi="宋体"/>
          <w:sz w:val="24"/>
          <w:szCs w:val="24"/>
        </w:rPr>
        <w:t xml:space="preserve">电  　话：0519-85588166</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pStyle w:val="891"/>
        <w:ind w:firstLine="496"/>
        <w:spacing w:before="156" w:after="156" w:line="360" w:lineRule="auto"/>
      </w:pPr>
      <w:r>
        <w:rPr>
          <w:rFonts w:hint="eastAsia"/>
        </w:rPr>
        <w:t xml:space="preserve">八、其他</w:t>
      </w:r>
      <w:r/>
    </w:p>
    <w:p>
      <w:pPr>
        <w:ind w:firstLine="480"/>
        <w:jc w:val="left"/>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ascii="宋体" w:hAnsi="宋体"/>
          <w:sz w:val="24"/>
        </w:rPr>
      </w:pPr>
      <w:r>
        <w:rPr>
          <w:rFonts w:ascii="宋体" w:hAnsi="宋体"/>
          <w:sz w:val="24"/>
        </w:rPr>
      </w:r>
      <w:r/>
    </w:p>
    <w:p>
      <w:pPr>
        <w:ind w:right="840"/>
        <w:rPr>
          <w:rFonts w:ascii="宋体" w:hAnsi="宋体"/>
          <w:sz w:val="24"/>
          <w:szCs w:val="24"/>
        </w:rPr>
      </w:pPr>
      <w:r>
        <w:rPr>
          <w:rFonts w:ascii="宋体" w:hAnsi="宋体"/>
          <w:sz w:val="24"/>
          <w:szCs w:val="24"/>
        </w:rPr>
        <w:br w:type="page" w:clear="all"/>
      </w:r>
      <w:r/>
    </w:p>
    <w:p>
      <w:pPr>
        <w:pStyle w:val="889"/>
        <w:ind w:firstLine="2420"/>
        <w:jc w:val="both"/>
        <w:rPr>
          <w:rFonts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eastAsia="黑体"/>
        </w:rPr>
        <w:t xml:space="preserve">投标人须知</w:t>
      </w:r>
      <w:bookmarkEnd w:id="43"/>
      <w:r/>
      <w:bookmarkEnd w:id="44"/>
      <w:r/>
      <w:bookmarkEnd w:id="45"/>
      <w:r/>
      <w:bookmarkEnd w:id="46"/>
      <w:r/>
      <w:r/>
    </w:p>
    <w:p>
      <w:pPr>
        <w:pStyle w:val="891"/>
        <w:ind w:firstLine="496"/>
        <w:spacing w:before="156" w:after="156" w:line="360" w:lineRule="auto"/>
      </w:pPr>
      <w:r/>
      <w:bookmarkStart w:id="47" w:name="_Toc120614214"/>
      <w:r/>
      <w:bookmarkStart w:id="48" w:name="_Toc20823275"/>
      <w:r/>
      <w:bookmarkStart w:id="49" w:name="_Toc16938519"/>
      <w:r/>
      <w:bookmarkStart w:id="50" w:name="_Toc513029203"/>
      <w:r>
        <w:rPr>
          <w:rFonts w:hint="eastAsia"/>
        </w:rPr>
        <w:t xml:space="preserve">一、总则</w:t>
      </w:r>
      <w:bookmarkEnd w:id="47"/>
      <w:r/>
      <w:bookmarkEnd w:id="48"/>
      <w:r/>
      <w:bookmarkEnd w:id="49"/>
      <w:r/>
      <w:bookmarkEnd w:id="50"/>
      <w:r/>
      <w:r/>
    </w:p>
    <w:p>
      <w:pPr>
        <w:pStyle w:val="892"/>
        <w:ind w:firstLine="420"/>
        <w:spacing w:before="0" w:after="0" w:line="240" w:lineRule="auto"/>
        <w:rPr>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892"/>
        <w:ind w:firstLine="420"/>
        <w:spacing w:before="0" w:after="0" w:line="240" w:lineRule="auto"/>
        <w:rPr>
          <w:b w:val="0"/>
          <w:bCs w:val="0"/>
        </w:rPr>
      </w:pPr>
      <w:r/>
      <w:bookmarkStart w:id="56" w:name="_Toc513029205"/>
      <w:r/>
      <w:bookmarkStart w:id="57" w:name="_Toc16938521"/>
      <w:r/>
      <w:bookmarkStart w:id="58" w:name="_Toc20823277"/>
      <w:r>
        <w:rPr>
          <w:rFonts w:hint="eastAsia"/>
          <w:b w:val="0"/>
          <w:bCs w:val="0"/>
        </w:rPr>
        <w:t xml:space="preserve">2、合格的投标人</w:t>
      </w:r>
      <w:bookmarkEnd w:id="56"/>
      <w:r/>
      <w:bookmarkEnd w:id="57"/>
      <w:r/>
      <w:bookmarkEnd w:id="58"/>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892"/>
        <w:ind w:firstLine="420"/>
        <w:spacing w:before="0" w:after="0" w:line="240" w:lineRule="auto"/>
        <w:rPr>
          <w:b w:val="0"/>
          <w:bCs w:val="0"/>
        </w:rPr>
      </w:pPr>
      <w:r/>
      <w:bookmarkStart w:id="59" w:name="_Toc20823278"/>
      <w:r/>
      <w:bookmarkStart w:id="60" w:name="_Toc16938522"/>
      <w:r/>
      <w:bookmarkStart w:id="61" w:name="_Toc513029206"/>
      <w:r>
        <w:rPr>
          <w:rFonts w:hint="eastAsia"/>
          <w:b w:val="0"/>
          <w:bCs w:val="0"/>
        </w:rPr>
        <w:t xml:space="preserve">3、适用法律</w:t>
      </w:r>
      <w:bookmarkEnd w:id="59"/>
      <w:r/>
      <w:bookmarkEnd w:id="60"/>
      <w:r/>
      <w:bookmarkEnd w:id="61"/>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2"/>
        <w:ind w:firstLine="420"/>
        <w:spacing w:before="0" w:after="0" w:line="240" w:lineRule="auto"/>
        <w:rPr>
          <w:b w:val="0"/>
          <w:bCs w:val="0"/>
        </w:rPr>
      </w:pPr>
      <w:r/>
      <w:bookmarkStart w:id="62" w:name="_Toc513029207"/>
      <w:r/>
      <w:bookmarkStart w:id="63" w:name="_Toc16938523"/>
      <w:r/>
      <w:bookmarkStart w:id="64" w:name="_Toc20823279"/>
      <w:r/>
      <w:bookmarkStart w:id="65" w:name="_Toc462564067"/>
      <w:r>
        <w:rPr>
          <w:rFonts w:hint="eastAsia"/>
          <w:b w:val="0"/>
          <w:bCs w:val="0"/>
        </w:rPr>
        <w:t xml:space="preserve">4、投标费用</w:t>
      </w:r>
      <w:bookmarkEnd w:id="62"/>
      <w:r/>
      <w:bookmarkEnd w:id="63"/>
      <w:r/>
      <w:bookmarkEnd w:id="64"/>
      <w:r/>
      <w:bookmarkEnd w:id="65"/>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4.2本次招标采购中心和采购人不收取标书工本费与中标服务费。</w:t>
      </w:r>
      <w:r/>
    </w:p>
    <w:p>
      <w:pPr>
        <w:pStyle w:val="892"/>
        <w:ind w:firstLine="600"/>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1"/>
        <w:ind w:firstLine="320"/>
        <w:spacing w:before="156" w:after="156" w:line="360" w:lineRule="auto"/>
      </w:pPr>
      <w:r/>
      <w:bookmarkStart w:id="66" w:name="_Toc513029209"/>
      <w:r/>
      <w:bookmarkStart w:id="67" w:name="_Toc16938525"/>
      <w:r/>
      <w:bookmarkStart w:id="68" w:name="_Toc20823281"/>
      <w:r/>
      <w:bookmarkStart w:id="69" w:name="_Toc120614215"/>
      <w:r>
        <w:rPr>
          <w:rFonts w:hint="eastAsia"/>
        </w:rPr>
        <w:t xml:space="preserve">二、招标文件</w:t>
      </w:r>
      <w:bookmarkEnd w:id="66"/>
      <w:r/>
      <w:bookmarkEnd w:id="67"/>
      <w:r/>
      <w:bookmarkEnd w:id="68"/>
      <w:r/>
      <w:bookmarkEnd w:id="69"/>
      <w:r/>
      <w:r/>
    </w:p>
    <w:p>
      <w:pPr>
        <w:pStyle w:val="892"/>
        <w:ind w:firstLine="420"/>
        <w:spacing w:before="0" w:after="0" w:line="240" w:lineRule="auto"/>
        <w:rPr>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560"/>
        <w:spacing w:before="0" w:after="0" w:line="240" w:lineRule="auto"/>
        <w:rPr>
          <w:b w:val="0"/>
          <w:bCs w:val="0"/>
        </w:rPr>
      </w:pPr>
      <w:r/>
      <w:bookmarkStart w:id="73" w:name="_Toc513029211"/>
      <w:r/>
      <w:bookmarkStart w:id="74" w:name="_Toc16938527"/>
      <w:r/>
      <w:bookmarkStart w:id="75" w:name="_Toc20823283"/>
      <w:r/>
      <w:bookmarkStart w:id="76" w:name="_Toc462564070"/>
      <w:r>
        <w:rPr>
          <w:rFonts w:hint="eastAsia"/>
          <w:b w:val="0"/>
          <w:bCs w:val="0"/>
        </w:rPr>
        <w:t xml:space="preserve">7、招标文件的澄清</w:t>
      </w:r>
      <w:bookmarkEnd w:id="73"/>
      <w:r/>
      <w:bookmarkEnd w:id="74"/>
      <w:r/>
      <w:bookmarkEnd w:id="75"/>
      <w:r/>
      <w:bookmarkEnd w:id="76"/>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92"/>
        <w:ind w:firstLine="560"/>
        <w:spacing w:before="0" w:after="0" w:line="240" w:lineRule="auto"/>
        <w:rPr>
          <w:b w:val="0"/>
          <w:bCs w:val="0"/>
        </w:rPr>
      </w:pPr>
      <w:r/>
      <w:bookmarkStart w:id="77" w:name="_Toc16938528"/>
      <w:r/>
      <w:bookmarkStart w:id="78" w:name="_Toc20823284"/>
      <w:r/>
      <w:bookmarkStart w:id="79" w:name="_Toc513029212"/>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1"/>
        <w:ind w:firstLine="480"/>
        <w:spacing w:before="156" w:after="156" w:line="360" w:lineRule="auto"/>
      </w:pPr>
      <w:r/>
      <w:bookmarkStart w:id="81" w:name="_Toc16938529"/>
      <w:r/>
      <w:bookmarkStart w:id="82" w:name="_Toc20823285"/>
      <w:r/>
      <w:bookmarkStart w:id="83" w:name="_Toc513029213"/>
      <w:r/>
      <w:bookmarkStart w:id="84" w:name="_Toc462564072"/>
      <w:r/>
      <w:bookmarkStart w:id="85" w:name="_Toc120614216"/>
      <w:r>
        <w:rPr>
          <w:rFonts w:hint="eastAsia"/>
        </w:rPr>
        <w:t xml:space="preserve">三、投标文件的编制</w:t>
      </w:r>
      <w:bookmarkEnd w:id="81"/>
      <w:r/>
      <w:bookmarkEnd w:id="82"/>
      <w:r/>
      <w:bookmarkEnd w:id="83"/>
      <w:r/>
      <w:bookmarkEnd w:id="84"/>
      <w:r/>
      <w:bookmarkEnd w:id="85"/>
      <w:r/>
      <w:r/>
    </w:p>
    <w:p>
      <w:pPr>
        <w:pStyle w:val="892"/>
        <w:ind w:firstLine="560"/>
        <w:spacing w:before="0" w:after="0" w:line="240" w:lineRule="auto"/>
        <w:rPr>
          <w:bCs w:val="0"/>
        </w:rPr>
      </w:pPr>
      <w:r/>
      <w:bookmarkStart w:id="86" w:name="_Toc513029214"/>
      <w:r/>
      <w:bookmarkStart w:id="87" w:name="_Toc462564073"/>
      <w:r/>
      <w:bookmarkStart w:id="88" w:name="_Toc20823286"/>
      <w:r/>
      <w:bookmarkStart w:id="89" w:name="_Toc16938530"/>
      <w:r>
        <w:rPr>
          <w:rFonts w:hint="eastAsia"/>
          <w:b w:val="0"/>
          <w:bCs w:val="0"/>
        </w:rPr>
        <w:t xml:space="preserve">9、投标文件的语言及度量衡单位</w:t>
      </w:r>
      <w:bookmarkEnd w:id="86"/>
      <w:r/>
      <w:bookmarkEnd w:id="87"/>
      <w:r/>
      <w:bookmarkEnd w:id="88"/>
      <w:r/>
      <w:bookmarkEnd w:id="89"/>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92"/>
        <w:ind w:firstLine="420"/>
        <w:spacing w:before="0" w:after="0" w:line="240" w:lineRule="auto"/>
        <w:rPr>
          <w:b w:val="0"/>
          <w:bCs w:val="0"/>
        </w:rPr>
      </w:pPr>
      <w:r/>
      <w:bookmarkStart w:id="90" w:name="_Toc16938531"/>
      <w:r/>
      <w:bookmarkStart w:id="91" w:name="_Toc20823287"/>
      <w:r/>
      <w:bookmarkStart w:id="92" w:name="_Toc513029215"/>
      <w:r/>
      <w:bookmarkStart w:id="93" w:name="_Toc462564074"/>
      <w:r>
        <w:rPr>
          <w:rFonts w:hint="eastAsia"/>
          <w:b w:val="0"/>
          <w:bCs w:val="0"/>
        </w:rPr>
        <w:t xml:space="preserve">10、投标文件构成</w:t>
      </w:r>
      <w:bookmarkEnd w:id="90"/>
      <w:r/>
      <w:bookmarkEnd w:id="91"/>
      <w:r/>
      <w:bookmarkEnd w:id="92"/>
      <w:r/>
      <w:bookmarkEnd w:id="93"/>
      <w:r/>
      <w:r/>
    </w:p>
    <w:p>
      <w:pPr>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9"/>
      <w:r/>
      <w:bookmarkStart w:id="99" w:name="_Toc14577357"/>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92"/>
        <w:ind w:firstLine="420"/>
        <w:spacing w:before="0" w:after="0" w:line="240" w:lineRule="auto"/>
        <w:rPr>
          <w:b w:val="0"/>
          <w:bCs w:val="0"/>
        </w:rPr>
      </w:pPr>
      <w:r>
        <w:rPr>
          <w:rFonts w:hint="eastAsia"/>
          <w:b w:val="0"/>
          <w:bCs w:val="0"/>
        </w:rPr>
        <w:t xml:space="preserve">11、证明投标人及投标标的符合招标文件规定的文件</w:t>
      </w:r>
      <w:bookmarkEnd w:id="97"/>
      <w:r/>
      <w:bookmarkEnd w:id="98"/>
      <w:r/>
      <w:bookmarkEnd w:id="99"/>
      <w:r/>
      <w:bookmarkEnd w:id="100"/>
      <w:bookmarkEnd w:id="101"/>
      <w:bookmarkEnd w:id="102"/>
      <w:r/>
    </w:p>
    <w:p>
      <w:pPr>
        <w:spacing w:line="48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2"/>
        <w:ind w:firstLine="420"/>
        <w:spacing w:before="0" w:after="0" w:line="240" w:lineRule="auto"/>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92"/>
        <w:ind w:firstLine="420"/>
        <w:spacing w:before="0" w:after="0" w:line="240" w:lineRule="auto"/>
        <w:rPr>
          <w:b w:val="0"/>
          <w:bCs w:val="0"/>
        </w:rPr>
      </w:pPr>
      <w:r/>
      <w:bookmarkStart w:id="108" w:name="_Hlt26954848"/>
      <w:r/>
      <w:bookmarkEnd w:id="108"/>
      <w:r/>
      <w:bookmarkStart w:id="109" w:name="_Hlt26954842"/>
      <w:r/>
      <w:bookmarkEnd w:id="109"/>
      <w:r/>
      <w:bookmarkStart w:id="110" w:name="_Hlt26954844"/>
      <w:r/>
      <w:bookmarkEnd w:id="110"/>
      <w:r/>
      <w:bookmarkStart w:id="111" w:name="_Hlt26670403"/>
      <w:r/>
      <w:bookmarkEnd w:id="111"/>
      <w:r/>
      <w:bookmarkStart w:id="112" w:name="_Hlt26954846"/>
      <w:r/>
      <w:bookmarkEnd w:id="112"/>
      <w:r/>
      <w:bookmarkStart w:id="113" w:name="_Hlt26670425"/>
      <w:r/>
      <w:bookmarkEnd w:id="113"/>
      <w:r/>
      <w:bookmarkStart w:id="114" w:name="_Hlt26670486"/>
      <w:r/>
      <w:bookmarkEnd w:id="114"/>
      <w:r/>
      <w:bookmarkStart w:id="115" w:name="_Hlt26670482"/>
      <w:r/>
      <w:bookmarkEnd w:id="115"/>
      <w:r/>
      <w:bookmarkStart w:id="116" w:name="_Hlt26668983"/>
      <w:r/>
      <w:bookmarkEnd w:id="116"/>
      <w:r/>
      <w:bookmarkStart w:id="117" w:name="_Hlt26954731"/>
      <w:r/>
      <w:bookmarkEnd w:id="117"/>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92"/>
        <w:ind w:firstLine="420"/>
        <w:spacing w:before="0" w:after="0" w:line="240" w:lineRule="auto"/>
        <w:rPr>
          <w:b w:val="0"/>
          <w:bCs w:val="0"/>
        </w:rPr>
      </w:pPr>
      <w:r/>
      <w:bookmarkStart w:id="118" w:name="_Toc49090510"/>
      <w:r/>
      <w:bookmarkStart w:id="119" w:name="_Toc14577359"/>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bookmarkEnd w:id="119"/>
      <w:r/>
    </w:p>
    <w:p>
      <w:pPr>
        <w:pStyle w:val="892"/>
        <w:ind w:firstLine="420"/>
        <w:spacing w:before="0" w:after="0" w:line="240" w:lineRule="auto"/>
        <w:rPr>
          <w:b w:val="0"/>
          <w:bCs w:val="0"/>
        </w:rPr>
      </w:pPr>
      <w:r/>
      <w:bookmarkStart w:id="120" w:name="_Hlt26670489"/>
      <w:r/>
      <w:bookmarkEnd w:id="120"/>
      <w:r/>
      <w:bookmarkStart w:id="121" w:name="_Hlt26954850"/>
      <w:r/>
      <w:bookmarkEnd w:id="121"/>
      <w:r/>
      <w:bookmarkStart w:id="122" w:name="_Hlt26954734"/>
      <w:r/>
      <w:bookmarkEnd w:id="122"/>
      <w:r/>
      <w:bookmarkStart w:id="123" w:name="_Toc14577360"/>
      <w:r/>
      <w:bookmarkStart w:id="124" w:name="_Toc49090511"/>
      <w:r>
        <w:rPr>
          <w:rFonts w:hint="eastAsia"/>
          <w:b w:val="0"/>
          <w:bCs w:val="0"/>
        </w:rPr>
        <w:t xml:space="preserve">15、投标有效期</w:t>
      </w:r>
      <w:bookmarkEnd w:id="123"/>
      <w:r/>
      <w:bookmarkEnd w:id="124"/>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2"/>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1"/>
        <w:ind w:firstLine="480"/>
        <w:spacing w:before="156" w:after="156" w:line="360" w:lineRule="auto"/>
      </w:pPr>
      <w:r/>
      <w:bookmarkStart w:id="125" w:name="_Hlt26954739"/>
      <w:r/>
      <w:bookmarkEnd w:id="125"/>
      <w:r/>
      <w:bookmarkStart w:id="126" w:name="_Hlt26954852"/>
      <w:r/>
      <w:bookmarkEnd w:id="126"/>
      <w:r/>
      <w:bookmarkStart w:id="127" w:name="_Toc513029224"/>
      <w:r/>
      <w:bookmarkStart w:id="128" w:name="_Toc120614217"/>
      <w:r/>
      <w:bookmarkStart w:id="129" w:name="_Toc20823296"/>
      <w:r/>
      <w:bookmarkStart w:id="130" w:name="_Toc16938540"/>
      <w:r>
        <w:rPr>
          <w:rFonts w:hint="eastAsia"/>
        </w:rPr>
        <w:t xml:space="preserve">四、投标文件的递交</w:t>
      </w:r>
      <w:bookmarkEnd w:id="127"/>
      <w:r/>
      <w:bookmarkEnd w:id="128"/>
      <w:r/>
      <w:bookmarkEnd w:id="129"/>
      <w:r/>
      <w:bookmarkEnd w:id="130"/>
      <w:r/>
      <w:r/>
    </w:p>
    <w:p>
      <w:pPr>
        <w:pStyle w:val="892"/>
        <w:ind w:firstLine="560"/>
        <w:spacing w:before="0" w:after="0" w:line="240" w:lineRule="auto"/>
        <w:rPr>
          <w:rFonts w:ascii="黑体"/>
          <w:b w:val="0"/>
          <w:bCs w:val="0"/>
        </w:rPr>
      </w:pPr>
      <w:r/>
      <w:bookmarkStart w:id="131" w:name="_Toc513029225"/>
      <w:r/>
      <w:bookmarkStart w:id="132" w:name="_Toc20823297"/>
      <w:r/>
      <w:bookmarkStart w:id="133" w:name="_Toc16938541"/>
      <w:r/>
      <w:bookmarkStart w:id="134" w:name="_Toc462564084"/>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66"/>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
    </w:p>
    <w:p>
      <w:pPr>
        <w:pStyle w:val="892"/>
        <w:ind w:firstLine="420"/>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2"/>
        <w:ind w:firstLine="420"/>
        <w:spacing w:before="0" w:after="0" w:line="240" w:lineRule="auto"/>
        <w:rPr>
          <w:b w:val="0"/>
          <w:bCs w:val="0"/>
        </w:rPr>
      </w:pPr>
      <w:r/>
      <w:bookmarkStart w:id="138" w:name="_Toc16938543"/>
      <w:r/>
      <w:bookmarkStart w:id="139" w:name="_Toc20823299"/>
      <w:r/>
      <w:bookmarkStart w:id="140" w:name="_Toc513029227"/>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2"/>
        <w:ind w:firstLine="420"/>
        <w:spacing w:before="0" w:after="0" w:line="240" w:lineRule="auto"/>
        <w:rPr>
          <w:b w:val="0"/>
          <w:bCs w:val="0"/>
        </w:rPr>
      </w:pPr>
      <w:r/>
      <w:bookmarkStart w:id="141" w:name="_Toc16938544"/>
      <w:r/>
      <w:bookmarkStart w:id="142" w:name="_Toc20823300"/>
      <w:r/>
      <w:bookmarkStart w:id="143" w:name="_Toc513029228"/>
      <w:r>
        <w:rPr>
          <w:rFonts w:hint="eastAsia"/>
          <w:b w:val="0"/>
          <w:bCs w:val="0"/>
        </w:rPr>
        <w:t xml:space="preserve">20、投标文件的撤回和修改</w:t>
      </w:r>
      <w:bookmarkEnd w:id="141"/>
      <w:r/>
      <w:bookmarkEnd w:id="142"/>
      <w:r/>
      <w:bookmarkEnd w:id="143"/>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20.1.1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91"/>
        <w:ind w:firstLine="480"/>
        <w:spacing w:before="156" w:after="156" w:line="360" w:lineRule="auto"/>
      </w:pPr>
      <w:r/>
      <w:bookmarkStart w:id="144" w:name="_Toc20823301"/>
      <w:r/>
      <w:bookmarkStart w:id="145" w:name="_Toc120614218"/>
      <w:r/>
      <w:bookmarkStart w:id="146" w:name="_Toc16938545"/>
      <w:r/>
      <w:bookmarkStart w:id="147" w:name="_Toc513029229"/>
      <w:r>
        <w:rPr>
          <w:rFonts w:hint="eastAsia"/>
        </w:rPr>
        <w:t xml:space="preserve">五、开标与评标</w:t>
      </w:r>
      <w:bookmarkEnd w:id="144"/>
      <w:r/>
      <w:bookmarkEnd w:id="145"/>
      <w:r/>
      <w:bookmarkEnd w:id="146"/>
      <w:r/>
      <w:bookmarkEnd w:id="147"/>
      <w:r/>
      <w:r/>
    </w:p>
    <w:p>
      <w:pPr>
        <w:pStyle w:val="892"/>
        <w:ind w:firstLine="420"/>
        <w:spacing w:before="0" w:after="0" w:line="240" w:lineRule="auto"/>
        <w:rPr>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92"/>
        <w:ind w:firstLine="420"/>
        <w:spacing w:before="0" w:after="0" w:line="240" w:lineRule="auto"/>
        <w:rPr>
          <w:b w:val="0"/>
          <w:bCs w:val="0"/>
        </w:rPr>
      </w:pPr>
      <w:r/>
      <w:bookmarkStart w:id="151" w:name="_Toc20823303"/>
      <w:r/>
      <w:bookmarkStart w:id="152" w:name="_Toc16938547"/>
      <w:r/>
      <w:bookmarkStart w:id="153" w:name="_Toc513029231"/>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92"/>
        <w:ind w:firstLine="420"/>
        <w:spacing w:before="0" w:after="0" w:line="240" w:lineRule="auto"/>
        <w:rPr>
          <w:rFonts w:ascii="黑体"/>
          <w:b w:val="0"/>
          <w:bCs w:val="0"/>
        </w:rPr>
      </w:pPr>
      <w:r>
        <w:rPr>
          <w:rFonts w:hint="eastAsia" w:ascii="黑体"/>
          <w:b w:val="0"/>
          <w:bCs w:val="0"/>
        </w:rPr>
        <w:t xml:space="preserve">23、评标过程的保密与公正</w:t>
      </w:r>
      <w:bookmarkEnd w:id="151"/>
      <w:bookmarkEnd w:id="152"/>
      <w:bookmarkEnd w:id="153"/>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92"/>
        <w:ind w:firstLine="420"/>
        <w:spacing w:before="0" w:after="0" w:line="240" w:lineRule="auto"/>
        <w:rPr>
          <w:b w:val="0"/>
          <w:bCs w:val="0"/>
        </w:rPr>
      </w:pPr>
      <w:r/>
      <w:bookmarkStart w:id="154" w:name="_Toc513029232"/>
      <w:r/>
      <w:bookmarkStart w:id="155" w:name="_Toc20823304"/>
      <w:r/>
      <w:bookmarkStart w:id="156" w:name="_Toc16938548"/>
      <w:r>
        <w:rPr>
          <w:rFonts w:hint="eastAsia"/>
          <w:b w:val="0"/>
          <w:bCs w:val="0"/>
        </w:rPr>
        <w:t xml:space="preserve">24、投标文件的澄清</w:t>
      </w:r>
      <w:bookmarkEnd w:id="154"/>
      <w:r/>
      <w:bookmarkEnd w:id="155"/>
      <w:r/>
      <w:bookmarkEnd w:id="156"/>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92"/>
        <w:ind w:firstLine="420"/>
        <w:spacing w:before="0" w:after="0" w:line="240" w:lineRule="auto"/>
        <w:rPr>
          <w:b w:val="0"/>
          <w:bCs w:val="0"/>
        </w:rPr>
      </w:pPr>
      <w:r/>
      <w:bookmarkStart w:id="157" w:name="_Toc513029233"/>
      <w:r/>
      <w:bookmarkStart w:id="158" w:name="_Toc16938549"/>
      <w:r/>
      <w:bookmarkStart w:id="159" w:name="_Toc20823305"/>
      <w:r>
        <w:rPr>
          <w:rFonts w:hint="eastAsia"/>
          <w:b w:val="0"/>
          <w:bCs w:val="0"/>
        </w:rPr>
        <w:t xml:space="preserve">25、对投标文件的初审</w:t>
      </w:r>
      <w:bookmarkEnd w:id="157"/>
      <w:r/>
      <w:bookmarkEnd w:id="158"/>
      <w:r/>
      <w:bookmarkEnd w:id="159"/>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0" w:name="_Toc16938550"/>
      <w:r/>
      <w:bookmarkStart w:id="161" w:name="_Toc513029234"/>
      <w:r/>
      <w:bookmarkStart w:id="16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2"/>
        <w:ind w:firstLine="420"/>
        <w:spacing w:before="0" w:after="0" w:line="240" w:lineRule="auto"/>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440" w:lineRule="exact"/>
        <w:rPr>
          <w:rFonts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91"/>
        <w:ind w:firstLine="480"/>
        <w:spacing w:before="156" w:after="156" w:line="360" w:lineRule="auto"/>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92"/>
        <w:ind w:firstLine="600"/>
        <w:spacing w:before="0" w:after="0" w:line="240" w:lineRule="auto"/>
        <w:rPr>
          <w:rFonts w:ascii="黑体" w:hAnsi="宋体" w:cs="Times New Roman"/>
          <w:b w:val="0"/>
          <w:sz w:val="30"/>
          <w:szCs w:val="30"/>
        </w:rPr>
      </w:pPr>
      <w:r/>
      <w:bookmarkStart w:id="167" w:name="_Toc513029238"/>
      <w:r/>
      <w:bookmarkStart w:id="168" w:name="_Toc20823310"/>
      <w:r/>
      <w:bookmarkStart w:id="169" w:name="_Toc16938554"/>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0"/>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1"/>
        <w:spacing w:before="156" w:after="156" w:line="360" w:lineRule="auto"/>
      </w:pPr>
      <w:r/>
      <w:bookmarkStart w:id="171" w:name="_Toc120614220"/>
      <w:r/>
      <w:bookmarkStart w:id="172" w:name="_Toc20823308"/>
      <w:r/>
      <w:bookmarkStart w:id="173" w:name="_Toc513029236"/>
      <w:r/>
      <w:bookmarkStart w:id="174" w:name="_Toc16938552"/>
      <w:r>
        <w:rPr>
          <w:rFonts w:hint="eastAsia"/>
        </w:rPr>
        <w:t xml:space="preserve">七、授予合同</w:t>
      </w:r>
      <w:bookmarkEnd w:id="171"/>
      <w:r/>
      <w:bookmarkEnd w:id="172"/>
      <w:bookmarkEnd w:id="173"/>
      <w:bookmarkEnd w:id="174"/>
      <w:r/>
    </w:p>
    <w:p>
      <w:pPr>
        <w:pStyle w:val="892"/>
        <w:ind w:firstLine="600"/>
        <w:spacing w:before="0" w:after="0" w:line="240" w:lineRule="auto"/>
        <w:rPr>
          <w:rFonts w:ascii="黑体" w:hAnsi="宋体" w:cs="Times New Roman"/>
          <w:b w:val="0"/>
          <w:sz w:val="30"/>
          <w:szCs w:val="30"/>
        </w:rPr>
      </w:pPr>
      <w:r/>
      <w:bookmarkStart w:id="175" w:name="_Toc20823309"/>
      <w:r/>
      <w:bookmarkStart w:id="176" w:name="_Toc16938553"/>
      <w:r/>
      <w:bookmarkStart w:id="177" w:name="_Toc513029237"/>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600"/>
        <w:spacing w:line="480" w:lineRule="exact"/>
        <w:rPr>
          <w:rFonts w:ascii="宋体" w:hAnsi="宋体"/>
          <w:sz w:val="24"/>
          <w:szCs w:val="24"/>
        </w:rPr>
      </w:pPr>
      <w:r>
        <w:rPr>
          <w:rFonts w:ascii="宋体" w:hAnsi="宋体"/>
          <w:sz w:val="24"/>
          <w:szCs w:val="24"/>
        </w:rPr>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5"/>
      <w:bookmarkEnd w:id="176"/>
      <w:bookmarkEnd w:id="177"/>
      <w:r/>
    </w:p>
    <w:p>
      <w:pPr>
        <w:pStyle w:val="892"/>
        <w:ind w:firstLine="600"/>
        <w:spacing w:before="0" w:after="0" w:line="240" w:lineRule="auto"/>
        <w:rPr>
          <w:rFonts w:ascii="黑体" w:hAnsi="宋体" w:cs="Times New Roman"/>
          <w:b w:val="0"/>
          <w:sz w:val="30"/>
          <w:szCs w:val="30"/>
        </w:rPr>
      </w:pPr>
      <w:r/>
      <w:bookmarkStart w:id="178" w:name="_Toc479757207"/>
      <w:r/>
      <w:bookmarkStart w:id="179" w:name="_Toc120614221"/>
      <w:r/>
      <w:bookmarkStart w:id="180" w:name="_Toc20823314"/>
      <w:r/>
      <w:bookmarkStart w:id="181" w:name="_Toc513029242"/>
      <w:r/>
      <w:bookmarkStart w:id="182" w:name="_Toc16938558"/>
      <w:r>
        <w:rPr>
          <w:rFonts w:hint="eastAsia" w:ascii="黑体" w:hAnsi="宋体" w:cs="Times New Roman"/>
          <w:b w:val="0"/>
          <w:sz w:val="30"/>
          <w:szCs w:val="30"/>
        </w:rPr>
        <w:t xml:space="preserve">32、需要执行的政府采购政策（包括但不限于）</w:t>
      </w:r>
      <w:r/>
    </w:p>
    <w:p>
      <w:pPr>
        <w:ind w:firstLine="480"/>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0"/>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0"/>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0"/>
        <w:spacing w:line="480" w:lineRule="exact"/>
        <w:rPr>
          <w:rFonts w:ascii="宋体" w:hAnsi="宋体"/>
          <w:b/>
          <w:sz w:val="24"/>
          <w:szCs w:val="24"/>
        </w:rPr>
      </w:pPr>
      <w:r>
        <w:rPr>
          <w:rFonts w:hint="eastAsia" w:ascii="宋体" w:hAnsi="宋体"/>
          <w:b/>
          <w:sz w:val="24"/>
          <w:szCs w:val="24"/>
        </w:rPr>
        <w:t xml:space="preserve">32.5绿色包装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80" w:lineRule="exact"/>
        <w:rPr>
          <w:rFonts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0"/>
        <w:spacing w:line="480" w:lineRule="exact"/>
        <w:rPr>
          <w:rFonts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pPr>
        <w:pStyle w:val="890"/>
      </w:pPr>
      <w:r/>
      <w:r/>
    </w:p>
    <w:p>
      <w:r/>
      <w:r/>
    </w:p>
    <w:p>
      <w:r/>
      <w:r/>
    </w:p>
    <w:p>
      <w:r/>
      <w:r/>
    </w:p>
    <w:p>
      <w:r/>
      <w:r/>
    </w:p>
    <w:p>
      <w:r/>
      <w:r/>
    </w:p>
    <w:p>
      <w:r/>
      <w:r/>
    </w:p>
    <w:p>
      <w:r/>
      <w:r/>
    </w:p>
    <w:p>
      <w:r/>
      <w:r/>
    </w:p>
    <w:p>
      <w:r/>
      <w:r/>
    </w:p>
    <w:p>
      <w:r/>
      <w:r/>
    </w:p>
    <w:p>
      <w:pPr>
        <w:pStyle w:val="888"/>
        <w:rPr>
          <w:rFonts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ascii="宋体" w:hAnsi="宋体"/>
          <w:bCs/>
          <w:sz w:val="24"/>
        </w:rPr>
      </w:pPr>
      <w:r/>
      <w:bookmarkStart w:id="183" w:name="_Toc20823315"/>
      <w:r/>
      <w:bookmarkStart w:id="184" w:name="_Toc513029243"/>
      <w:r/>
      <w:bookmarkStart w:id="185" w:name="_Toc16938559"/>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22"/>
        <w:spacing w:before="120" w:after="120"/>
        <w:rPr>
          <w:rFonts w:hAnsi="宋体"/>
          <w:sz w:val="24"/>
          <w:szCs w:val="24"/>
        </w:rPr>
      </w:pPr>
      <w:r>
        <w:rPr>
          <w:rFonts w:hAnsi="宋体"/>
          <w:sz w:val="24"/>
          <w:szCs w:val="24"/>
        </w:rPr>
        <w:t xml:space="preserve">项目名称：                                       项目编号：</w:t>
      </w:r>
      <w:r/>
    </w:p>
    <w:p>
      <w:pPr>
        <w:pStyle w:val="922"/>
        <w:spacing w:before="120" w:after="120"/>
        <w:rPr>
          <w:rFonts w:hAnsi="宋体"/>
          <w:sz w:val="24"/>
          <w:szCs w:val="24"/>
        </w:rPr>
      </w:pPr>
      <w:r>
        <w:rPr>
          <w:rFonts w:hAnsi="宋体"/>
          <w:sz w:val="24"/>
          <w:szCs w:val="24"/>
        </w:rPr>
        <w:t xml:space="preserve">甲方：（买方）_________</w:t>
      </w:r>
      <w:r/>
    </w:p>
    <w:p>
      <w:pPr>
        <w:pStyle w:val="922"/>
        <w:spacing w:before="120" w:after="120"/>
        <w:rPr>
          <w:rFonts w:hAnsi="宋体"/>
          <w:sz w:val="24"/>
          <w:szCs w:val="24"/>
        </w:rPr>
      </w:pPr>
      <w:r>
        <w:rPr>
          <w:rFonts w:hAnsi="宋体"/>
          <w:sz w:val="24"/>
          <w:szCs w:val="24"/>
        </w:rPr>
        <w:t xml:space="preserve">乙方：（卖方）_________</w:t>
      </w:r>
      <w:r/>
    </w:p>
    <w:p>
      <w:pPr>
        <w:pStyle w:val="9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2"/>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22"/>
        <w:spacing w:before="120" w:after="120"/>
        <w:rPr>
          <w:rFonts w:hAnsi="宋体"/>
          <w:sz w:val="24"/>
          <w:szCs w:val="24"/>
        </w:rPr>
      </w:pPr>
      <w:r>
        <w:rPr>
          <w:rFonts w:hint="eastAsia" w:hAnsi="宋体"/>
          <w:sz w:val="24"/>
          <w:szCs w:val="24"/>
        </w:rPr>
        <w:t xml:space="preserve">1.3 标的数量（规模）：</w:t>
      </w:r>
      <w:r/>
    </w:p>
    <w:p>
      <w:pPr>
        <w:pStyle w:val="922"/>
        <w:spacing w:before="120" w:after="120"/>
        <w:rPr>
          <w:rFonts w:hAnsi="宋体"/>
          <w:sz w:val="24"/>
          <w:szCs w:val="24"/>
        </w:rPr>
      </w:pPr>
      <w:r>
        <w:rPr>
          <w:rFonts w:hint="eastAsia" w:hAnsi="宋体"/>
          <w:sz w:val="24"/>
          <w:szCs w:val="24"/>
        </w:rPr>
        <w:t xml:space="preserve">1.4 履行时间（期限）：</w:t>
      </w:r>
      <w:r/>
    </w:p>
    <w:p>
      <w:pPr>
        <w:pStyle w:val="922"/>
        <w:spacing w:before="120" w:after="120"/>
        <w:rPr>
          <w:rFonts w:hAnsi="宋体"/>
          <w:sz w:val="24"/>
          <w:szCs w:val="24"/>
        </w:rPr>
      </w:pPr>
      <w:r>
        <w:rPr>
          <w:rFonts w:hint="eastAsia" w:hAnsi="宋体"/>
          <w:sz w:val="24"/>
          <w:szCs w:val="24"/>
        </w:rPr>
        <w:t xml:space="preserve">1.5 履行地点：</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22"/>
        <w:spacing w:before="120" w:after="120"/>
        <w:rPr>
          <w:rFonts w:hAnsi="宋体"/>
          <w:b/>
          <w:sz w:val="24"/>
          <w:szCs w:val="24"/>
        </w:rPr>
      </w:pPr>
      <w:r>
        <w:rPr>
          <w:rFonts w:hAnsi="宋体"/>
          <w:b/>
          <w:sz w:val="24"/>
          <w:szCs w:val="24"/>
        </w:rPr>
        <w:t xml:space="preserve">二、合同金额</w:t>
      </w:r>
      <w:r/>
    </w:p>
    <w:p>
      <w:pPr>
        <w:pStyle w:val="92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2"/>
        <w:spacing w:before="120" w:after="120"/>
        <w:rPr>
          <w:rFonts w:hAnsi="宋体"/>
          <w:b/>
          <w:sz w:val="24"/>
          <w:szCs w:val="24"/>
        </w:rPr>
      </w:pPr>
      <w:r>
        <w:rPr>
          <w:rFonts w:hAnsi="宋体"/>
          <w:b/>
          <w:sz w:val="24"/>
          <w:szCs w:val="24"/>
        </w:rPr>
        <w:t xml:space="preserve">三、技术资料</w:t>
      </w:r>
      <w:r/>
    </w:p>
    <w:p>
      <w:pPr>
        <w:pStyle w:val="922"/>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2"/>
        <w:ind w:left="410" w:hanging="410"/>
        <w:spacing w:before="120" w:after="120"/>
        <w:rPr>
          <w:rFonts w:hAnsi="宋体"/>
          <w:b/>
          <w:sz w:val="24"/>
          <w:szCs w:val="24"/>
        </w:rPr>
      </w:pPr>
      <w:r>
        <w:rPr>
          <w:rFonts w:hAnsi="宋体"/>
          <w:b/>
          <w:sz w:val="24"/>
          <w:szCs w:val="24"/>
        </w:rPr>
        <w:t xml:space="preserve">四、知识产权</w:t>
      </w:r>
      <w:r/>
    </w:p>
    <w:p>
      <w:pPr>
        <w:pStyle w:val="922"/>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2"/>
        <w:spacing w:before="120" w:after="120"/>
        <w:rPr>
          <w:rFonts w:hAnsi="宋体"/>
          <w:sz w:val="24"/>
          <w:szCs w:val="24"/>
          <w:u w:val="single"/>
        </w:rPr>
      </w:pPr>
      <w:r>
        <w:rPr>
          <w:rFonts w:hAnsi="宋体"/>
          <w:b/>
          <w:sz w:val="24"/>
          <w:szCs w:val="24"/>
        </w:rPr>
        <w:t xml:space="preserve">五、产权担保</w:t>
      </w:r>
      <w:r/>
    </w:p>
    <w:p>
      <w:pPr>
        <w:pStyle w:val="9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22"/>
        <w:ind w:left="408" w:hanging="408"/>
        <w:spacing w:before="120" w:after="120"/>
        <w:rPr>
          <w:rFonts w:hAnsi="宋体"/>
          <w:b/>
          <w:sz w:val="24"/>
          <w:szCs w:val="24"/>
        </w:rPr>
      </w:pPr>
      <w:r>
        <w:rPr>
          <w:rFonts w:hAnsi="宋体"/>
          <w:b/>
          <w:sz w:val="24"/>
          <w:szCs w:val="24"/>
        </w:rPr>
        <w:t xml:space="preserve">六、履约保证金</w:t>
      </w:r>
      <w:r/>
    </w:p>
    <w:p>
      <w:pPr>
        <w:pStyle w:val="92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p>
    <w:p>
      <w:pPr>
        <w:pStyle w:val="92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合同金额5%</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2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22"/>
        <w:ind w:left="408" w:hanging="408"/>
        <w:spacing w:before="120" w:after="120"/>
        <w:rPr>
          <w:rFonts w:hAnsi="宋体"/>
          <w:sz w:val="24"/>
          <w:szCs w:val="24"/>
        </w:rPr>
      </w:pPr>
      <w:r>
        <w:rPr>
          <w:rFonts w:hint="eastAsia" w:hAnsi="宋体"/>
          <w:sz w:val="24"/>
          <w:szCs w:val="24"/>
        </w:rPr>
        <w:t xml:space="preserve">6.2.1履约保证金退还方式：退回保函</w:t>
      </w:r>
      <w:r/>
    </w:p>
    <w:p>
      <w:pPr>
        <w:pStyle w:val="922"/>
        <w:ind w:left="408" w:hanging="408"/>
        <w:spacing w:before="120" w:after="120"/>
        <w:rPr>
          <w:rFonts w:hAnsi="宋体"/>
          <w:sz w:val="24"/>
          <w:szCs w:val="24"/>
        </w:rPr>
      </w:pPr>
      <w:r>
        <w:rPr>
          <w:rFonts w:hint="eastAsia" w:hAnsi="宋体"/>
          <w:sz w:val="24"/>
          <w:szCs w:val="24"/>
        </w:rPr>
        <w:t xml:space="preserve">6.2.2履约保证金退还时间：质保期满10个工作日内退还</w:t>
      </w:r>
      <w:r/>
    </w:p>
    <w:p>
      <w:pPr>
        <w:pStyle w:val="922"/>
        <w:ind w:left="408" w:hanging="408"/>
        <w:spacing w:before="120" w:after="120"/>
        <w:rPr>
          <w:rFonts w:hAnsi="宋体"/>
          <w:sz w:val="24"/>
          <w:szCs w:val="24"/>
        </w:rPr>
      </w:pPr>
      <w:r>
        <w:rPr>
          <w:rFonts w:hint="eastAsia" w:hAnsi="宋体"/>
          <w:sz w:val="24"/>
          <w:szCs w:val="24"/>
        </w:rPr>
        <w:t xml:space="preserve">6.2.3履约保证金退还条件：验收通过并质保期满</w:t>
      </w:r>
      <w:r/>
    </w:p>
    <w:p>
      <w:pPr>
        <w:pStyle w:val="922"/>
        <w:ind w:left="408" w:hanging="408"/>
        <w:spacing w:before="120" w:after="120"/>
        <w:rPr>
          <w:rFonts w:hAnsi="宋体"/>
          <w:sz w:val="24"/>
          <w:szCs w:val="24"/>
        </w:rPr>
      </w:pPr>
      <w:r>
        <w:rPr>
          <w:rFonts w:hint="eastAsia" w:hAnsi="宋体"/>
          <w:sz w:val="24"/>
          <w:szCs w:val="24"/>
        </w:rPr>
        <w:t xml:space="preserve">6.2.4履约保证金不予退还的情形：质保期内没有按照合同完成履约</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ascii="宋体" w:hAnsi="宋体"/>
          <w:sz w:val="24"/>
        </w:rPr>
      </w:pPr>
      <w:r>
        <w:rPr>
          <w:rFonts w:hint="eastAsia" w:ascii="宋体" w:hAnsi="宋体"/>
          <w:sz w:val="24"/>
        </w:rPr>
        <w:t xml:space="preserve">8.1全额付款：</w:t>
      </w:r>
      <w:r>
        <w:rPr>
          <w:rFonts w:hint="eastAsia" w:ascii="宋体" w:hAnsi="宋体"/>
          <w:sz w:val="24"/>
          <w:u w:val="single"/>
        </w:rPr>
        <w:t xml:space="preserve"> </w:t>
      </w:r>
      <w:r>
        <w:rPr>
          <w:rFonts w:hint="eastAsia" w:ascii="宋体" w:hAnsi="宋体"/>
          <w:sz w:val="24"/>
          <w:szCs w:val="24"/>
        </w:rPr>
        <w:t xml:space="preserve">项目验收后，十个工作日内采购人向成交供应商支付合同金额的100% ，满足合</w:t>
      </w:r>
      <w:r>
        <w:rPr>
          <w:rFonts w:hint="eastAsia" w:ascii="宋体" w:hAnsi="宋体"/>
          <w:sz w:val="24"/>
        </w:rPr>
        <w:t xml:space="preserve">同约定支付条件并收到供应商履约保证金的，自收到发票后10个工作日内支付。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2"/>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22"/>
        <w:ind w:left="480" w:hanging="480"/>
        <w:spacing w:before="120" w:after="12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2"/>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22"/>
        <w:ind w:left="480" w:hanging="480"/>
        <w:spacing w:before="120" w:after="12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2"/>
        <w:ind w:left="480" w:hanging="480"/>
        <w:spacing w:before="120" w:after="12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2"/>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   </w:t>
      </w:r>
      <w:r>
        <w:rPr>
          <w:rFonts w:hAnsi="宋体"/>
          <w:sz w:val="24"/>
          <w:szCs w:val="24"/>
        </w:rPr>
        <w:t xml:space="preserve">的违约金。</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   </w:t>
      </w:r>
      <w:r>
        <w:rPr>
          <w:rFonts w:hAnsi="宋体"/>
          <w:sz w:val="24"/>
          <w:szCs w:val="24"/>
        </w:rPr>
        <w:t xml:space="preserve">的违约金，如造成甲方损失超过违约金的，超出部分由乙方继续承担赔偿责任。 </w:t>
      </w:r>
      <w:r/>
    </w:p>
    <w:p>
      <w:pPr>
        <w:pStyle w:val="9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2"/>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2"/>
        <w:ind w:left="480" w:hanging="480"/>
        <w:spacing w:before="120" w:after="120" w:line="0" w:lineRule="atLeast"/>
        <w:rPr>
          <w:rFonts w:hAnsi="宋体"/>
          <w:sz w:val="24"/>
          <w:szCs w:val="24"/>
        </w:rPr>
      </w:pPr>
      <w:r>
        <w:rPr>
          <w:rFonts w:hAnsi="宋体"/>
          <w:sz w:val="24"/>
          <w:szCs w:val="24"/>
        </w:rPr>
        <w:t xml:space="preserve">  甲方：                        乙方： </w:t>
      </w:r>
      <w:r/>
    </w:p>
    <w:p>
      <w:pPr>
        <w:pStyle w:val="9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2"/>
        <w:ind w:firstLine="240"/>
        <w:spacing w:before="120" w:after="120" w:line="0" w:lineRule="atLeast"/>
      </w:pPr>
      <w:r>
        <w:rPr>
          <w:rFonts w:hint="eastAsia" w:hAnsi="宋体"/>
          <w:sz w:val="24"/>
          <w:szCs w:val="24"/>
        </w:rPr>
        <w:t xml:space="preserve">联系电话：                    联系电话：          </w:t>
      </w:r>
      <w:r/>
    </w:p>
    <w:p>
      <w:pPr>
        <w:pStyle w:val="92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62564139"/>
      <w:r/>
      <w:bookmarkStart w:id="192" w:name="_Toc479757211"/>
      <w:r/>
      <w:bookmarkEnd w:id="187"/>
      <w:bookmarkEnd w:id="188"/>
      <w:bookmarkEnd w:id="189"/>
      <w:bookmarkEnd w:id="190"/>
      <w:r/>
    </w:p>
    <w:p>
      <w:pPr>
        <w:pStyle w:val="922"/>
        <w:jc w:val="center"/>
        <w:spacing w:before="120" w:after="120" w:line="0" w:lineRule="atLeast"/>
        <w:rPr>
          <w:rFonts w:hAnsi="宋体"/>
          <w:sz w:val="24"/>
          <w:szCs w:val="24"/>
        </w:rPr>
      </w:pPr>
      <w:r/>
      <w:bookmarkStart w:id="193" w:name="_Toc26554093"/>
      <w:r/>
      <w:bookmarkStart w:id="194" w:name="_Toc49090575"/>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922"/>
        <w:jc w:val="center"/>
        <w:spacing w:before="120" w:after="120" w:line="0" w:lineRule="atLeast"/>
        <w:rPr>
          <w:rFonts w:hAnsi="宋体"/>
          <w:sz w:val="24"/>
          <w:szCs w:val="24"/>
        </w:rPr>
      </w:pPr>
      <w:r>
        <w:rPr>
          <w:rFonts w:hAnsi="宋体"/>
          <w:sz w:val="24"/>
          <w:szCs w:val="24"/>
        </w:rPr>
      </w:r>
      <w:r/>
    </w:p>
    <w:p>
      <w:pPr>
        <w:pStyle w:val="888"/>
        <w:rPr>
          <w:rFonts w:ascii="黑体" w:eastAsia="黑体"/>
          <w:b/>
          <w:bCs/>
          <w:sz w:val="44"/>
        </w:rPr>
      </w:pPr>
      <w:r>
        <w:rPr>
          <w:rFonts w:hint="eastAsia" w:ascii="黑体" w:eastAsia="黑体"/>
          <w:b/>
          <w:bCs/>
          <w:sz w:val="44"/>
        </w:rPr>
        <w:t xml:space="preserve">第四章 采购需求</w:t>
      </w:r>
      <w:r/>
    </w:p>
    <w:p>
      <w:pPr>
        <w:pStyle w:val="959"/>
        <w:numPr>
          <w:ilvl w:val="0"/>
          <w:numId w:val="5"/>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rFonts w:hint="eastAsia" w:ascii="Segoe UI" w:hAnsi="Segoe UI" w:eastAsia="Segoe UI" w:cs="Segoe UI"/>
          <w:lang w:bidi="ar"/>
        </w:rPr>
        <w:t xml:space="preserve">常州工程职业技术学院低（无）代码+BPM敏捷开发平台</w:t>
      </w:r>
      <w:r>
        <w:rPr>
          <w:bCs/>
          <w:sz w:val="24"/>
        </w:rPr>
        <w:t xml:space="preserve"> </w:t>
      </w:r>
      <w:r/>
    </w:p>
    <w:p>
      <w:pPr>
        <w:rPr>
          <w:rFonts w:ascii="宋体" w:hAnsi="宋体"/>
          <w:sz w:val="24"/>
        </w:rPr>
      </w:pPr>
      <w:r>
        <w:rPr>
          <w:rFonts w:hint="eastAsia" w:ascii="宋体" w:hAnsi="宋体"/>
          <w:sz w:val="24"/>
        </w:rPr>
        <w:t xml:space="preserve">2.预算金额：27.5万元</w:t>
      </w:r>
      <w:r>
        <w:rPr>
          <w:rFonts w:ascii="宋体" w:hAnsi="宋体"/>
          <w:sz w:val="24"/>
        </w:rPr>
        <w:t xml:space="preserve"> </w:t>
      </w:r>
      <w:r/>
    </w:p>
    <w:p>
      <w:pPr>
        <w:rPr>
          <w:rFonts w:ascii="宋体" w:hAnsi="宋体"/>
          <w:sz w:val="24"/>
        </w:rPr>
      </w:pPr>
      <w:r>
        <w:rPr>
          <w:rFonts w:hint="eastAsia" w:ascii="宋体" w:hAnsi="宋体"/>
          <w:sz w:val="24"/>
        </w:rPr>
        <w:t xml:space="preserve">3.最高限价：27.5万元</w:t>
      </w:r>
      <w:r/>
    </w:p>
    <w:p>
      <w:pPr>
        <w:rPr>
          <w:rFonts w:ascii="宋体" w:hAnsi="宋体"/>
          <w:sz w:val="24"/>
        </w:rPr>
      </w:pPr>
      <w:r>
        <w:rPr>
          <w:rFonts w:hint="eastAsia" w:ascii="宋体" w:hAnsi="宋体"/>
          <w:sz w:val="24"/>
        </w:rPr>
        <w:t xml:space="preserve">4.采购项目概况（简介）：</w:t>
      </w:r>
      <w:r/>
    </w:p>
    <w:p>
      <w:pPr>
        <w:ind w:firstLine="480"/>
        <w:spacing w:line="360" w:lineRule="auto"/>
        <w:rPr>
          <w:rFonts w:ascii="宋体" w:hAnsi="宋体" w:cs="微软雅黑"/>
          <w:color w:val="000000"/>
          <w:sz w:val="24"/>
          <w:szCs w:val="24"/>
          <w:shd w:val="clear" w:color="auto" w:fill="ffffff"/>
        </w:rPr>
      </w:pPr>
      <w:r>
        <w:rPr>
          <w:rFonts w:hint="eastAsia" w:ascii="宋体" w:hAnsi="宋体" w:cs="微软雅黑"/>
          <w:color w:val="000000"/>
          <w:sz w:val="24"/>
          <w:szCs w:val="24"/>
          <w:shd w:val="clear" w:color="auto" w:fill="ffffff"/>
        </w:rPr>
        <w:t xml:space="preserve">以低(无)代码能力、流程引擎、个人服务门户引擎为基础，以“数据多跑路，师生少跑腿”为原则，以重新梳理各业务服务流程和满足师生办事办文实际需求为目标，统筹各部门业务、整合各类数据资源，解决跨部门、跨系统业务协同的难题，通过建设一个统一的</w:t>
      </w:r>
      <w:r>
        <w:rPr>
          <w:rFonts w:hint="eastAsia" w:ascii="宋体" w:hAnsi="宋体" w:cs="Segoe UI"/>
          <w:sz w:val="23"/>
          <w:szCs w:val="23"/>
        </w:rPr>
        <w:t xml:space="preserve">低(无)代码+BPM敏捷开发平台</w:t>
      </w:r>
      <w:r>
        <w:rPr>
          <w:rFonts w:hint="eastAsia" w:ascii="宋体" w:hAnsi="宋体" w:cs="微软雅黑"/>
          <w:color w:val="000000"/>
          <w:sz w:val="24"/>
          <w:szCs w:val="24"/>
          <w:shd w:val="clear" w:color="auto" w:fill="ffffff"/>
        </w:rPr>
        <w:t xml:space="preserve">，实现学校各种应用系统的快速构建，为全校师生提供全程、快捷、公开、透明的服务，提高学校办事效率和治理能力。</w:t>
      </w:r>
      <w:r/>
    </w:p>
    <w:p>
      <w:pPr>
        <w:rPr>
          <w:rFonts w:ascii="宋体" w:hAnsi="宋体"/>
          <w:sz w:val="24"/>
          <w:u w:val="single"/>
        </w:rPr>
      </w:pPr>
      <w:r>
        <w:rPr>
          <w:rFonts w:hint="eastAsia" w:ascii="宋体" w:hAnsi="宋体" w:cs="微软雅黑"/>
          <w:color w:val="000000"/>
          <w:sz w:val="24"/>
          <w:szCs w:val="24"/>
          <w:shd w:val="clear" w:color="auto" w:fill="ffffff"/>
        </w:rPr>
        <w:t xml:space="preserve">本次项目是为实现全校各个信息化应用的快速搭建，建设一个融合全场景业务流程管理（BPM）与低(无)代码平台的数字基座。</w:t>
      </w:r>
      <w:r>
        <w:rPr>
          <w:rFonts w:hint="eastAsia" w:ascii="宋体" w:hAnsi="宋体" w:cs="宋体"/>
          <w:sz w:val="24"/>
        </w:rPr>
        <w:t xml:space="preserve"> </w:t>
      </w:r>
      <w:r/>
    </w:p>
    <w:p>
      <w:pPr>
        <w:rPr>
          <w:rFonts w:ascii="宋体" w:hAnsi="宋体"/>
          <w:sz w:val="24"/>
        </w:rPr>
      </w:pPr>
      <w:r>
        <w:rPr>
          <w:rFonts w:hint="eastAsia" w:ascii="宋体" w:hAnsi="宋体"/>
          <w:sz w:val="24"/>
        </w:rPr>
        <w:t xml:space="preserve">5.合同履行期限：6个月</w:t>
      </w:r>
      <w:r/>
    </w:p>
    <w:p>
      <w:pPr>
        <w:rPr>
          <w:rFonts w:ascii="宋体" w:hAnsi="宋体"/>
          <w:sz w:val="24"/>
        </w:rPr>
      </w:pPr>
      <w:r>
        <w:rPr>
          <w:rFonts w:hint="eastAsia" w:ascii="宋体" w:hAnsi="宋体"/>
          <w:sz w:val="24"/>
        </w:rPr>
        <w:t xml:space="preserve">6.是/否接受联合体投标： 否  ；</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rPr>
          <w:sz w:val="24"/>
        </w:rPr>
      </w:pPr>
      <w:r>
        <w:rPr>
          <w:rFonts w:hint="eastAsia"/>
          <w:sz w:val="24"/>
        </w:rPr>
        <w:t xml:space="preserve">11.本项目的特定资格要求：无</w:t>
      </w:r>
      <w:r/>
    </w:p>
    <w:p>
      <w:pPr>
        <w:rPr>
          <w:rFonts w:ascii="宋体" w:hAnsi="宋体"/>
          <w:bCs/>
          <w:sz w:val="24"/>
        </w:rPr>
      </w:pPr>
      <w:r>
        <w:rPr>
          <w:rFonts w:hint="eastAsia" w:ascii="宋体" w:hAnsi="宋体"/>
          <w:bCs/>
          <w:sz w:val="24"/>
        </w:rPr>
        <w:t xml:space="preserve">12.项目类别： 服务类</w:t>
      </w:r>
      <w:r/>
    </w:p>
    <w:p>
      <w:pPr>
        <w:rPr>
          <w:rFonts w:ascii="宋体" w:hAnsi="宋体"/>
          <w:sz w:val="24"/>
        </w:rPr>
      </w:pPr>
      <w:r>
        <w:rPr>
          <w:rFonts w:ascii="宋体" w:hAnsi="宋体"/>
          <w:sz w:val="24"/>
        </w:rPr>
      </w:r>
      <w:r/>
    </w:p>
    <w:p>
      <w:pPr>
        <w:pStyle w:val="959"/>
        <w:numPr>
          <w:ilvl w:val="0"/>
          <w:numId w:val="5"/>
        </w:numPr>
        <w:jc w:val="both"/>
        <w:widowControl w:val="off"/>
        <w:rPr>
          <w:rFonts w:ascii="Times New Roman" w:hAnsi="Times New Roman"/>
          <w:b/>
        </w:rPr>
      </w:pPr>
      <w:r>
        <w:rPr>
          <w:rFonts w:ascii="Times New Roman" w:hAnsi="Times New Roman"/>
          <w:b/>
          <w:lang w:eastAsia="zh-CN"/>
        </w:rPr>
        <w:t xml:space="preserve">商务要求</w:t>
      </w:r>
      <w:r/>
    </w:p>
    <w:p>
      <w:pPr>
        <w:numPr>
          <w:ilvl w:val="0"/>
          <w:numId w:val="6"/>
        </w:numPr>
        <w:rPr>
          <w:sz w:val="24"/>
        </w:rPr>
      </w:pPr>
      <w:r>
        <w:rPr>
          <w:sz w:val="24"/>
        </w:rPr>
        <w:t xml:space="preserve">交付的时间和地点</w:t>
      </w:r>
      <w:r/>
    </w:p>
    <w:p>
      <w:pPr>
        <w:rPr>
          <w:rFonts w:hint="eastAsia"/>
          <w:sz w:val="24"/>
        </w:rPr>
      </w:pPr>
      <w:r>
        <w:rPr>
          <w:rFonts w:hint="eastAsia"/>
          <w:sz w:val="24"/>
        </w:rPr>
        <w:t xml:space="preserve">交货要求</w:t>
      </w:r>
      <w:r/>
    </w:p>
    <w:p>
      <w:pPr>
        <w:rPr>
          <w:rFonts w:hint="eastAsia"/>
          <w:sz w:val="24"/>
        </w:rPr>
      </w:pPr>
      <w:r>
        <w:rPr>
          <w:rFonts w:hint="eastAsia"/>
          <w:sz w:val="24"/>
        </w:rPr>
        <w:t xml:space="preserve">1、交付期限:签订合同后6个月内交付完整服务。</w:t>
      </w:r>
      <w:r/>
    </w:p>
    <w:p>
      <w:pPr>
        <w:rPr>
          <w:rFonts w:hint="eastAsia"/>
          <w:sz w:val="24"/>
        </w:rPr>
      </w:pPr>
      <w:r>
        <w:rPr>
          <w:rFonts w:hint="eastAsia"/>
          <w:sz w:val="24"/>
        </w:rPr>
        <w:t xml:space="preserve">2、交货地点:常州工程职业技术学院。</w:t>
      </w:r>
      <w:r/>
    </w:p>
    <w:p>
      <w:pPr>
        <w:rPr>
          <w:rFonts w:hint="eastAsia"/>
          <w:sz w:val="24"/>
        </w:rPr>
      </w:pPr>
      <w:r>
        <w:rPr>
          <w:rFonts w:hint="eastAsia"/>
          <w:sz w:val="24"/>
        </w:rPr>
        <w:t xml:space="preserve">3、交货方式:中标单位按合同文件中约定的时间、地点及标准提供完整服务，送达采购人指定地点。</w:t>
      </w:r>
      <w:r/>
    </w:p>
    <w:p>
      <w:pPr>
        <w:rPr>
          <w:rFonts w:hint="eastAsia"/>
          <w:sz w:val="24"/>
        </w:rPr>
      </w:pPr>
      <w:r>
        <w:rPr>
          <w:rFonts w:hint="eastAsia"/>
          <w:sz w:val="24"/>
        </w:rPr>
        <w:t xml:space="preserve">验收标准</w:t>
      </w:r>
      <w:r/>
    </w:p>
    <w:p>
      <w:pPr>
        <w:rPr>
          <w:rFonts w:hint="eastAsia"/>
          <w:sz w:val="24"/>
        </w:rPr>
      </w:pPr>
      <w:r>
        <w:rPr>
          <w:rFonts w:hint="eastAsia"/>
          <w:sz w:val="24"/>
        </w:rPr>
        <w:t xml:space="preserve">1、所提供服务符合采购合同要求。</w:t>
      </w:r>
      <w:r/>
    </w:p>
    <w:p>
      <w:pPr>
        <w:rPr>
          <w:rFonts w:hint="eastAsia"/>
          <w:sz w:val="24"/>
        </w:rPr>
      </w:pPr>
      <w:r>
        <w:rPr>
          <w:rFonts w:hint="eastAsia"/>
          <w:sz w:val="24"/>
        </w:rPr>
        <w:t xml:space="preserve">2、中标单位应保证采购人在使用该项目服务时不受第三方提出侵犯其专利权、版权、商标权和工业设计权等知识产权的起诉。一旦出现侵权，一律由中标单位承担全部责任。</w:t>
      </w:r>
      <w:r/>
    </w:p>
    <w:p>
      <w:pPr>
        <w:rPr>
          <w:rFonts w:hint="eastAsia"/>
          <w:sz w:val="24"/>
        </w:rPr>
      </w:pPr>
      <w:r>
        <w:rPr>
          <w:rFonts w:hint="eastAsia"/>
          <w:sz w:val="24"/>
        </w:rPr>
        <w:t xml:space="preserve">3、经双方共同验收，服务达不到采购合同要求的，采购人可以要求中标单位及时整改，直至达到验收标准。</w:t>
      </w:r>
      <w:r/>
    </w:p>
    <w:p>
      <w:pPr>
        <w:rPr>
          <w:sz w:val="24"/>
        </w:rPr>
      </w:pPr>
      <w:r>
        <w:rPr>
          <w:sz w:val="24"/>
        </w:rPr>
      </w:r>
      <w:r/>
    </w:p>
    <w:p>
      <w:pPr>
        <w:rPr>
          <w:i/>
          <w:sz w:val="24"/>
        </w:rPr>
      </w:pPr>
      <w:r>
        <w:rPr>
          <w:i/>
          <w:sz w:val="24"/>
        </w:rPr>
      </w:r>
      <w:r/>
    </w:p>
    <w:p>
      <w:pPr>
        <w:rPr>
          <w:sz w:val="24"/>
        </w:rPr>
      </w:pPr>
      <w:r>
        <w:rPr>
          <w:sz w:val="24"/>
        </w:rPr>
        <w:t xml:space="preserve">2. 付款条件</w:t>
      </w:r>
      <w:r/>
    </w:p>
    <w:p>
      <w:pPr>
        <w:ind w:firstLine="480"/>
        <w:spacing w:before="156" w:after="156"/>
        <w:rPr>
          <w:sz w:val="24"/>
        </w:rPr>
      </w:pPr>
      <w:r>
        <w:rPr>
          <w:rFonts w:hint="eastAsia" w:ascii="宋体" w:hAnsi="宋体"/>
          <w:sz w:val="24"/>
        </w:rPr>
        <w:t xml:space="preserve">全额付款： 项目验收后，十个工作日内采购人向成交供应商支付合同金额的100% ，满足合同约定支付条件并收到供应商履约保证金的，自收到发票后10个工作日内支付。</w:t>
      </w:r>
      <w:r/>
    </w:p>
    <w:p>
      <w:pPr>
        <w:rPr>
          <w:sz w:val="24"/>
        </w:rPr>
      </w:pPr>
      <w:r>
        <w:rPr>
          <w:sz w:val="24"/>
        </w:rPr>
      </w:r>
      <w:r/>
    </w:p>
    <w:p>
      <w:pPr>
        <w:rPr>
          <w:sz w:val="24"/>
        </w:rPr>
      </w:pPr>
      <w:r>
        <w:rPr>
          <w:sz w:val="24"/>
        </w:rPr>
        <w:t xml:space="preserve">3. 包装和运输</w:t>
      </w:r>
      <w:r/>
    </w:p>
    <w:p>
      <w:pPr>
        <w:rPr>
          <w:sz w:val="24"/>
        </w:rPr>
      </w:pPr>
      <w:r>
        <w:rPr>
          <w:rFonts w:hint="eastAsia"/>
          <w:sz w:val="24"/>
          <w:highlight w:val="yellow"/>
        </w:rPr>
        <w:t xml:space="preserve">无</w:t>
      </w:r>
      <w:r/>
    </w:p>
    <w:p>
      <w:pPr>
        <w:rPr>
          <w:sz w:val="24"/>
        </w:rPr>
      </w:pPr>
      <w:r>
        <w:rPr>
          <w:sz w:val="24"/>
        </w:rPr>
      </w:r>
      <w:r/>
    </w:p>
    <w:p>
      <w:pPr>
        <w:numPr>
          <w:ilvl w:val="0"/>
          <w:numId w:val="7"/>
        </w:numPr>
        <w:rPr>
          <w:sz w:val="24"/>
        </w:rPr>
      </w:pPr>
      <w:r>
        <w:rPr>
          <w:sz w:val="24"/>
        </w:rPr>
        <w:t xml:space="preserve">售后服务</w:t>
      </w:r>
      <w:r/>
    </w:p>
    <w:p>
      <w:pPr>
        <w:ind w:firstLine="480"/>
        <w:spacing w:before="156" w:after="156"/>
        <w:rPr>
          <w:rFonts w:hint="eastAsia" w:ascii="宋体" w:hAnsi="宋体"/>
          <w:sz w:val="24"/>
        </w:rPr>
      </w:pPr>
      <w:r>
        <w:rPr>
          <w:rFonts w:hint="eastAsia" w:ascii="宋体" w:hAnsi="宋体"/>
          <w:sz w:val="24"/>
        </w:rPr>
        <w:t xml:space="preserve">质保期及售后服务</w:t>
      </w:r>
      <w:r/>
    </w:p>
    <w:p>
      <w:pPr>
        <w:ind w:firstLine="480"/>
        <w:spacing w:before="156" w:after="156"/>
        <w:rPr>
          <w:rFonts w:hint="eastAsia" w:ascii="宋体" w:hAnsi="宋体"/>
          <w:sz w:val="24"/>
        </w:rPr>
      </w:pPr>
      <w:r>
        <w:rPr>
          <w:rFonts w:hint="eastAsia" w:ascii="宋体" w:hAnsi="宋体"/>
          <w:sz w:val="24"/>
        </w:rPr>
        <w:t xml:space="preserve">1、质保期限:免费质保期3年，自验收合格之日起算。</w:t>
      </w:r>
      <w:r/>
    </w:p>
    <w:p>
      <w:pPr>
        <w:ind w:firstLine="480"/>
        <w:spacing w:before="156" w:after="156"/>
        <w:rPr>
          <w:rFonts w:hint="eastAsia" w:ascii="宋体" w:hAnsi="宋体"/>
          <w:sz w:val="24"/>
        </w:rPr>
      </w:pPr>
      <w:r>
        <w:rPr>
          <w:rFonts w:hint="eastAsia" w:ascii="宋体" w:hAnsi="宋体"/>
          <w:sz w:val="24"/>
        </w:rPr>
        <w:t xml:space="preserve">2、乙方设置专门人员，为本项目售后技术支持与运维提供优质、高效的服务。</w:t>
      </w:r>
      <w:r/>
    </w:p>
    <w:p>
      <w:pPr>
        <w:ind w:firstLine="480"/>
        <w:spacing w:before="156" w:after="156"/>
        <w:rPr>
          <w:rFonts w:hint="eastAsia" w:ascii="宋体" w:hAnsi="宋体"/>
          <w:sz w:val="24"/>
        </w:rPr>
      </w:pPr>
      <w:r>
        <w:rPr>
          <w:rFonts w:hint="eastAsia" w:ascii="宋体" w:hAnsi="宋体"/>
          <w:sz w:val="24"/>
        </w:rPr>
        <w:t xml:space="preserve">3、自验收合格后的3年内，乙方应对系统提供维护工作。</w:t>
      </w:r>
      <w:r/>
    </w:p>
    <w:p>
      <w:pPr>
        <w:ind w:firstLine="480"/>
        <w:spacing w:before="156" w:after="156"/>
        <w:rPr>
          <w:rFonts w:hint="eastAsia" w:ascii="宋体" w:hAnsi="宋体"/>
          <w:sz w:val="24"/>
        </w:rPr>
      </w:pPr>
      <w:r>
        <w:rPr>
          <w:rFonts w:hint="eastAsia" w:ascii="宋体" w:hAnsi="宋体"/>
          <w:sz w:val="24"/>
        </w:rPr>
        <w:t xml:space="preserve">4、在质量保证期（质保期3年）内，如发生系统应用软件功能升级的情况，投标人应负责系统升级，并提供对应技术资料（若需要），提供现场支持人员验收后每年完成5个以上流程免费建设。</w:t>
      </w:r>
      <w:r/>
    </w:p>
    <w:p>
      <w:pPr>
        <w:ind w:firstLine="480"/>
        <w:spacing w:before="156" w:after="156"/>
        <w:rPr>
          <w:rFonts w:hint="eastAsia" w:ascii="宋体" w:hAnsi="宋体"/>
          <w:sz w:val="24"/>
        </w:rPr>
      </w:pPr>
      <w:r>
        <w:rPr>
          <w:rFonts w:hint="eastAsia" w:ascii="宋体" w:hAnsi="宋体"/>
          <w:sz w:val="24"/>
        </w:rPr>
        <w:t xml:space="preserve">5、承诺维护期内，系统遇到问题，乙方应在收到甲方包括电话、微信、短信、邮件、QQ等方式发出的通知后2小时内响应，六小时到达现场。</w:t>
      </w:r>
      <w:r/>
    </w:p>
    <w:p>
      <w:pPr>
        <w:ind w:firstLine="480"/>
        <w:spacing w:before="156" w:after="156"/>
        <w:rPr>
          <w:rFonts w:hint="eastAsia" w:ascii="宋体" w:hAnsi="宋体"/>
          <w:sz w:val="24"/>
        </w:rPr>
      </w:pPr>
      <w:r>
        <w:rPr>
          <w:rFonts w:hint="eastAsia" w:ascii="宋体" w:hAnsi="宋体"/>
          <w:sz w:val="24"/>
        </w:rPr>
        <w:t xml:space="preserve">6、在质保期满时，乙方应和甲方友好协商是否续签维护服务，若继续服务则甲方须按照当时市场价向乙方缴纳相应的维护费；若不继续服务，则乙方须配合甲方做好项目交接工作。</w:t>
      </w:r>
      <w:r/>
    </w:p>
    <w:p>
      <w:pPr>
        <w:rPr>
          <w:sz w:val="24"/>
        </w:rPr>
      </w:pPr>
      <w:r>
        <w:rPr>
          <w:sz w:val="24"/>
        </w:rPr>
      </w:r>
      <w:r/>
    </w:p>
    <w:p>
      <w:pPr>
        <w:rPr>
          <w:sz w:val="24"/>
        </w:rPr>
      </w:pPr>
      <w:r>
        <w:rPr>
          <w:sz w:val="24"/>
        </w:rPr>
      </w:r>
      <w:r/>
    </w:p>
    <w:p>
      <w:pPr>
        <w:rPr>
          <w:sz w:val="24"/>
        </w:rPr>
      </w:pPr>
      <w:r>
        <w:rPr>
          <w:sz w:val="24"/>
        </w:rPr>
        <w:t xml:space="preserve">5. 保险</w:t>
      </w:r>
      <w:r/>
    </w:p>
    <w:p>
      <w:pPr>
        <w:rPr>
          <w:b/>
          <w:i/>
          <w:sz w:val="24"/>
        </w:rPr>
      </w:pPr>
      <w:r>
        <w:rPr>
          <w:rFonts w:hint="eastAsia"/>
          <w:sz w:val="24"/>
        </w:rPr>
        <w:t xml:space="preserve">无</w:t>
      </w:r>
      <w:r/>
    </w:p>
    <w:p>
      <w:pPr>
        <w:rPr>
          <w:b/>
          <w:i/>
          <w:sz w:val="24"/>
        </w:rPr>
      </w:pPr>
      <w:r>
        <w:rPr>
          <w:b/>
          <w:i/>
          <w:sz w:val="24"/>
        </w:rPr>
      </w:r>
      <w:r/>
    </w:p>
    <w:p>
      <w:pPr>
        <w:pStyle w:val="959"/>
        <w:numPr>
          <w:ilvl w:val="0"/>
          <w:numId w:val="5"/>
        </w:numPr>
        <w:jc w:val="both"/>
        <w:widowControl w:val="off"/>
        <w:rPr>
          <w:rFonts w:ascii="Times New Roman" w:hAnsi="Times New Roman"/>
          <w:b/>
        </w:rPr>
      </w:pPr>
      <w:r>
        <w:rPr>
          <w:rFonts w:ascii="Times New Roman" w:hAnsi="Times New Roman"/>
          <w:b/>
        </w:rPr>
        <w:t xml:space="preserve">技术要求</w:t>
      </w:r>
      <w:r/>
    </w:p>
    <w:p>
      <w:pPr>
        <w:ind w:firstLine="480"/>
        <w:spacing w:line="360" w:lineRule="auto"/>
        <w:rPr>
          <w:rFonts w:hint="eastAsia" w:ascii="宋体" w:hAnsi="宋体" w:cs="微软雅黑"/>
          <w:color w:val="000000"/>
          <w:sz w:val="24"/>
          <w:szCs w:val="24"/>
          <w:shd w:val="clear" w:color="auto" w:fill="ffffff"/>
        </w:rPr>
      </w:pPr>
      <w:r>
        <w:rPr>
          <w:rFonts w:hint="eastAsia" w:ascii="宋体" w:hAnsi="宋体" w:cs="微软雅黑"/>
          <w:color w:val="000000"/>
          <w:sz w:val="24"/>
          <w:szCs w:val="24"/>
          <w:shd w:val="clear" w:color="auto" w:fill="ffffff"/>
        </w:rPr>
        <w:t xml:space="preserve">1. 基本要求</w:t>
      </w:r>
      <w:r/>
    </w:p>
    <w:p>
      <w:pPr>
        <w:ind w:firstLine="480"/>
        <w:spacing w:line="360" w:lineRule="auto"/>
        <w:rPr>
          <w:rFonts w:ascii="宋体" w:hAnsi="宋体" w:cs="微软雅黑"/>
          <w:color w:val="000000"/>
          <w:sz w:val="24"/>
          <w:szCs w:val="24"/>
          <w:shd w:val="clear" w:color="auto" w:fill="ffffff"/>
        </w:rPr>
      </w:pPr>
      <w:r>
        <w:rPr>
          <w:rFonts w:hint="eastAsia" w:ascii="宋体" w:hAnsi="宋体" w:cs="微软雅黑"/>
          <w:color w:val="000000"/>
          <w:sz w:val="24"/>
          <w:szCs w:val="24"/>
          <w:shd w:val="clear" w:color="auto" w:fill="ffffff"/>
        </w:rPr>
        <w:t xml:space="preserve">以低(无)代码能力、流程引擎、个人服务门户引擎为基础，以“数据多跑路，师生少跑腿”为原则，以重新梳理各业务服务流程和满足师生办事办文实际需求为目标，统筹各部门业务、整合各类数据资源，解决跨部门、跨系统业务协同的难题，通过建设一个统一的</w:t>
      </w:r>
      <w:r>
        <w:rPr>
          <w:rFonts w:hint="eastAsia" w:ascii="宋体" w:hAnsi="宋体" w:cs="Segoe UI"/>
          <w:sz w:val="24"/>
          <w:szCs w:val="24"/>
        </w:rPr>
        <w:t xml:space="preserve">低(无)代码+BPM敏捷开发平台</w:t>
      </w:r>
      <w:r>
        <w:rPr>
          <w:rFonts w:hint="eastAsia" w:ascii="宋体" w:hAnsi="宋体" w:cs="微软雅黑"/>
          <w:color w:val="000000"/>
          <w:sz w:val="24"/>
          <w:szCs w:val="24"/>
          <w:shd w:val="clear" w:color="auto" w:fill="ffffff"/>
        </w:rPr>
        <w:t xml:space="preserve">，实现学校各种应用系统的快速构建，为全校师生提供全程、快捷、公开、透明的服务，提高学校办事效率和治理能力。</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微软雅黑"/>
          <w:color w:val="000000"/>
          <w:sz w:val="24"/>
          <w:szCs w:val="24"/>
          <w:shd w:val="clear" w:color="auto" w:fill="ffffff"/>
        </w:rPr>
        <w:t xml:space="preserve">本次项目是为实现全校各个信息化应用的快速搭建，建设一个融合全场景业务流程管理（BPM）与低(无)代码平台的数字基座，并基于低代码平台进行学校流程实施及构建，中标方需派专人，至少5人团队驻校30日内实施完2.1要求中</w:t>
      </w:r>
      <w:r>
        <w:rPr>
          <w:rFonts w:hint="eastAsia" w:ascii="宋体" w:hAnsi="宋体" w:cs="宋体"/>
          <w:sz w:val="22"/>
          <w:szCs w:val="22"/>
        </w:rPr>
        <w:t xml:space="preserve">基于平台的流程及应用构建的</w:t>
      </w:r>
      <w:r>
        <w:rPr>
          <w:rFonts w:hint="eastAsia" w:ascii="宋体" w:hAnsi="宋体" w:cs="微软雅黑"/>
          <w:color w:val="000000"/>
          <w:sz w:val="24"/>
          <w:szCs w:val="24"/>
          <w:shd w:val="clear" w:color="auto" w:fill="ffffff"/>
        </w:rPr>
        <w:t xml:space="preserve">相关流程，并对接老平台的使用数据，通过验收。</w:t>
      </w:r>
      <w:r/>
    </w:p>
    <w:p>
      <w:pPr>
        <w:rPr>
          <w:sz w:val="24"/>
        </w:rPr>
      </w:pPr>
      <w:r>
        <w:rPr>
          <w:sz w:val="24"/>
        </w:rPr>
      </w:r>
      <w:r/>
    </w:p>
    <w:p>
      <w:pPr>
        <w:numPr>
          <w:ilvl w:val="0"/>
          <w:numId w:val="6"/>
        </w:numPr>
        <w:rPr>
          <w:sz w:val="24"/>
        </w:rPr>
      </w:pPr>
      <w:r>
        <w:rPr>
          <w:sz w:val="24"/>
        </w:rPr>
        <w:t xml:space="preserve">技术要求</w:t>
      </w:r>
      <w:r/>
    </w:p>
    <w:p>
      <w:pPr>
        <w:rPr>
          <w:sz w:val="24"/>
        </w:rPr>
      </w:pPr>
      <w:r>
        <w:rPr>
          <w:rFonts w:hint="eastAsia"/>
          <w:sz w:val="24"/>
        </w:rPr>
        <w:t xml:space="preserve">2.1采购清单及技术要求</w:t>
      </w:r>
      <w:r/>
    </w:p>
    <w:tbl>
      <w:tblPr>
        <w:tblStyle w:val="714"/>
        <w:tblW w:w="85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258"/>
        <w:gridCol w:w="1318"/>
        <w:gridCol w:w="5060"/>
      </w:tblGrid>
      <w:tr>
        <w:trPr>
          <w:jc w:val="center"/>
        </w:trPr>
        <w:tc>
          <w:tcPr>
            <w:tcW w:w="881" w:type="dxa"/>
            <w:vAlign w:val="center"/>
            <w:textDirection w:val="lrTb"/>
            <w:noWrap w:val="false"/>
          </w:tcPr>
          <w:p>
            <w:pPr>
              <w:jc w:val="center"/>
              <w:spacing w:line="300" w:lineRule="exact"/>
              <w:rPr>
                <w:rFonts w:ascii="宋体" w:hAnsi="宋体" w:cs="宋体"/>
                <w:b/>
                <w:bCs/>
                <w:sz w:val="22"/>
                <w:szCs w:val="22"/>
              </w:rPr>
            </w:pPr>
            <w:r>
              <w:rPr>
                <w:rFonts w:hint="eastAsia" w:ascii="宋体" w:hAnsi="宋体" w:cs="宋体"/>
                <w:b/>
                <w:bCs/>
                <w:sz w:val="22"/>
                <w:szCs w:val="22"/>
              </w:rPr>
              <w:t xml:space="preserve">序号</w:t>
            </w:r>
            <w:r/>
          </w:p>
        </w:tc>
        <w:tc>
          <w:tcPr>
            <w:tcW w:w="1258" w:type="dxa"/>
            <w:vAlign w:val="center"/>
            <w:textDirection w:val="lrTb"/>
            <w:noWrap w:val="false"/>
          </w:tcPr>
          <w:p>
            <w:pPr>
              <w:jc w:val="center"/>
              <w:spacing w:line="300" w:lineRule="exact"/>
              <w:rPr>
                <w:rFonts w:ascii="宋体" w:hAnsi="宋体" w:cs="宋体"/>
                <w:b/>
                <w:bCs/>
                <w:sz w:val="22"/>
                <w:szCs w:val="22"/>
              </w:rPr>
            </w:pPr>
            <w:r>
              <w:rPr>
                <w:rFonts w:hint="eastAsia" w:ascii="宋体" w:hAnsi="宋体" w:cs="宋体"/>
                <w:b/>
                <w:bCs/>
                <w:sz w:val="22"/>
                <w:szCs w:val="22"/>
              </w:rPr>
              <w:t xml:space="preserve">模块</w:t>
            </w:r>
            <w:r/>
          </w:p>
        </w:tc>
        <w:tc>
          <w:tcPr>
            <w:tcW w:w="1318" w:type="dxa"/>
            <w:vAlign w:val="center"/>
            <w:textDirection w:val="lrTb"/>
            <w:noWrap w:val="false"/>
          </w:tcPr>
          <w:p>
            <w:pPr>
              <w:jc w:val="center"/>
              <w:spacing w:line="300" w:lineRule="exact"/>
              <w:rPr>
                <w:rFonts w:ascii="宋体" w:hAnsi="宋体" w:cs="宋体"/>
                <w:b/>
                <w:bCs/>
                <w:sz w:val="22"/>
                <w:szCs w:val="22"/>
              </w:rPr>
            </w:pPr>
            <w:r>
              <w:rPr>
                <w:rFonts w:hint="eastAsia" w:ascii="宋体" w:hAnsi="宋体" w:cs="宋体"/>
                <w:b/>
                <w:bCs/>
                <w:sz w:val="22"/>
                <w:szCs w:val="22"/>
              </w:rPr>
              <w:t xml:space="preserve">技术分类</w:t>
            </w:r>
            <w:r/>
          </w:p>
        </w:tc>
        <w:tc>
          <w:tcPr>
            <w:tcW w:w="5060" w:type="dxa"/>
            <w:vAlign w:val="center"/>
            <w:textDirection w:val="lrTb"/>
            <w:noWrap w:val="false"/>
          </w:tcPr>
          <w:p>
            <w:pPr>
              <w:jc w:val="center"/>
              <w:spacing w:line="300" w:lineRule="exact"/>
              <w:rPr>
                <w:rFonts w:ascii="宋体" w:hAnsi="宋体" w:cs="宋体"/>
                <w:b/>
                <w:bCs/>
                <w:sz w:val="22"/>
                <w:szCs w:val="22"/>
              </w:rPr>
            </w:pPr>
            <w:r>
              <w:rPr>
                <w:rFonts w:hint="eastAsia" w:ascii="宋体" w:hAnsi="宋体" w:cs="宋体"/>
                <w:b/>
                <w:bCs/>
                <w:sz w:val="22"/>
                <w:szCs w:val="22"/>
              </w:rPr>
              <w:t xml:space="preserve">技术要求</w:t>
            </w:r>
            <w:r/>
          </w:p>
        </w:tc>
      </w:tr>
      <w:tr>
        <w:trPr>
          <w:cantSplit/>
          <w:jc w:val="center"/>
        </w:trPr>
        <w:tc>
          <w:tcPr>
            <w:tcW w:w="881"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（一）</w:t>
            </w:r>
            <w:r/>
          </w:p>
        </w:tc>
        <w:tc>
          <w:tcPr>
            <w:tcW w:w="125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低(无)代码+BPM敏捷开发平台</w:t>
            </w:r>
            <w:r/>
          </w:p>
        </w:tc>
        <w:tc>
          <w:tcPr>
            <w:tcW w:w="1318" w:type="dxa"/>
            <w:vAlign w:val="center"/>
            <w:vMerge w:val="restart"/>
            <w:textDirection w:val="lrTb"/>
            <w:noWrap w:val="false"/>
          </w:tcPr>
          <w:p>
            <w:pPr>
              <w:jc w:val="cente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应用管理</w:t>
            </w:r>
            <w:r/>
          </w:p>
        </w:tc>
        <w:tc>
          <w:tcPr>
            <w:tcW w:w="5060" w:type="dxa"/>
            <w:vAlign w:val="center"/>
            <w:textDirection w:val="lrTb"/>
            <w:noWrap w:val="false"/>
          </w:tcPr>
          <w:p>
            <w:pPr>
              <w:rPr>
                <w:rFonts w:ascii="宋体" w:hAnsi="宋体" w:cs="宋体"/>
                <w:sz w:val="22"/>
                <w:szCs w:val="22"/>
              </w:rPr>
            </w:pPr>
            <w:r>
              <w:rPr>
                <w:rFonts w:hint="eastAsia" w:ascii="宋体" w:hAnsi="宋体" w:cs="宋体"/>
                <w:sz w:val="22"/>
                <w:szCs w:val="22"/>
                <w:shd w:val="clear" w:color="auto" w:fill="ffffff"/>
              </w:rPr>
              <w:t xml:space="preserve">◎1.通过使用预制模板和组件可以快速构建应用，能够单应用管理、授权、启停、分发、升级、卸载等，使应用修改和更新更容易，只需调整图形界面或配置设置，能够对单个应用设置管理员。</w:t>
            </w:r>
            <w:r>
              <w:rPr>
                <w:rFonts w:hint="eastAsia" w:ascii="宋体" w:hAnsi="宋体" w:cs="宋体"/>
                <w:b/>
                <w:bCs/>
                <w:sz w:val="22"/>
                <w:szCs w:val="22"/>
                <w:shd w:val="clear" w:color="auto" w:fill="ffffff"/>
              </w:rPr>
              <w:t xml:space="preserve">此项需要演示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rPr>
            </w:pPr>
            <w:r>
              <w:rPr>
                <w:rFonts w:hint="eastAsia" w:ascii="宋体" w:hAnsi="宋体" w:cs="宋体"/>
                <w:sz w:val="22"/>
                <w:szCs w:val="22"/>
                <w:shd w:val="clear" w:color="auto" w:fill="ffffff"/>
              </w:rPr>
              <w:t xml:space="preserve">▲2.可以为每个开发小组独立配置开发和维护权限，管理各自的流程资源，包括与流程定义相关的资源（如Jar程序包、表单模型、存储模型、数据字典模型等），小组权限被更高级别的系统管理员分配。</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高性能要求</w:t>
            </w:r>
            <w:r/>
          </w:p>
        </w:tc>
        <w:tc>
          <w:tcPr>
            <w:tcW w:w="5060" w:type="dxa"/>
            <w:vAlign w:val="center"/>
            <w:textDirection w:val="lrTb"/>
            <w:noWrap w:val="false"/>
          </w:tcPr>
          <w:p>
            <w:pPr>
              <w:spacing w:line="300" w:lineRule="exact"/>
              <w:rPr>
                <w:rFonts w:ascii="宋体" w:hAnsi="宋体" w:cs="宋体"/>
                <w:sz w:val="22"/>
                <w:szCs w:val="22"/>
              </w:rPr>
            </w:pPr>
            <w:r>
              <w:rPr>
                <w:rFonts w:hint="eastAsia" w:ascii="宋体" w:hAnsi="宋体" w:cs="宋体"/>
                <w:sz w:val="22"/>
                <w:szCs w:val="22"/>
                <w:shd w:val="clear" w:color="auto" w:fill="ffffff"/>
              </w:rPr>
              <w:t xml:space="preserve">3.能够提供不同部署方式（分层部署、集群部署、双机热备、虚拟环境部署），由负载均衡+应用服务器+数据库服务器+缓存服务器组成+存储服务器等。可根据系统负载情况，当某一些系统资源紧张时，弹性拓展和分配置资源，实现经济性、稳定性、高可用性。</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应用构建</w:t>
            </w:r>
            <w:r/>
          </w:p>
        </w:tc>
        <w:tc>
          <w:tcPr>
            <w:tcW w:w="5060" w:type="dxa"/>
            <w:vAlign w:val="center"/>
            <w:textDirection w:val="lrTb"/>
            <w:noWrap w:val="false"/>
          </w:tcPr>
          <w:p>
            <w:pPr>
              <w:spacing w:line="300" w:lineRule="exact"/>
              <w:rPr>
                <w:rFonts w:ascii="宋体" w:hAnsi="宋体" w:cs="宋体"/>
                <w:sz w:val="22"/>
                <w:szCs w:val="22"/>
              </w:rPr>
            </w:pPr>
            <w:r>
              <w:rPr>
                <w:rFonts w:hint="eastAsia" w:ascii="宋体" w:hAnsi="宋体" w:cs="宋体"/>
                <w:sz w:val="22"/>
                <w:szCs w:val="22"/>
                <w:shd w:val="clear" w:color="auto" w:fill="ffffff"/>
              </w:rPr>
              <w:t xml:space="preserve">▲4.采用模型驱动的技术架构，能够提供在线可视化及组件化配置，为方便内外部数据调用，需支持如http、SOAP、Elasticsearch、Redis等身份策略，可完整支撑学院的IT架构和业务内容实现。能够提供对产品使用所需要的组织模型、存储模型、表单模型、流程模型、报表模型、权限模型的可视化设计、运行、维护和优化变更的支持，并针对所有的应用模型提供便捷的模型及数据迁移(导入与导出)工具。</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数据模型</w:t>
            </w:r>
            <w:r/>
          </w:p>
        </w:tc>
        <w:tc>
          <w:tcPr>
            <w:tcW w:w="5060" w:type="dxa"/>
            <w:vAlign w:val="center"/>
            <w:textDirection w:val="lrTb"/>
            <w:noWrap w:val="false"/>
          </w:tcPr>
          <w:p>
            <w:pPr>
              <w:spacing w:line="300" w:lineRule="exact"/>
              <w:rPr>
                <w:rFonts w:ascii="宋体" w:hAnsi="宋体" w:cs="宋体"/>
                <w:sz w:val="22"/>
                <w:szCs w:val="22"/>
              </w:rPr>
            </w:pPr>
            <w:r>
              <w:rPr>
                <w:rFonts w:hint="eastAsia" w:ascii="宋体" w:hAnsi="宋体" w:cs="宋体"/>
                <w:sz w:val="22"/>
                <w:szCs w:val="22"/>
                <w:shd w:val="clear" w:color="auto" w:fill="ffffff"/>
              </w:rPr>
              <w:t xml:space="preserve">5.提供可视化数据库结构设计，具备常用的UI组件，设计存储模型时可方便地选择使用与存储字段对应：支持Oracle、SQLServer、DB2等常见数据库建模。</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rPr>
            </w:pPr>
            <w:r>
              <w:rPr>
                <w:rFonts w:hint="eastAsia" w:ascii="宋体" w:hAnsi="宋体" w:cs="宋体"/>
                <w:sz w:val="22"/>
                <w:szCs w:val="22"/>
                <w:shd w:val="clear" w:color="auto" w:fill="ffffff"/>
              </w:rPr>
              <w:t xml:space="preserve">6.提供索引管理工具，优化大数据业务。</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▲7.提供大量接口方便与表单、流程、报表的无缝集成。提供直接执行SQL的接口，可将SQL自动生成一张报表；提供View视图创建和管理。</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8.能够提供通过URL方式挂接外部Web报表的报表模型，由程序员通过Web代码或其他专用报表工具开发，平台可不参与其执行过程，只负责界面的调用，借助权限控制将报表授权给用户使用。</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表单模型</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9.要求支持表单组件，通过拖拉拽及在线可视化配置结构化表单。</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◎10.要求支持主表、主子表、主子子、</w:t>
            </w:r>
            <w:r>
              <w:rPr>
                <w:rFonts w:hint="eastAsia" w:ascii="宋体" w:hAnsi="宋体" w:cs="宋体"/>
                <w:sz w:val="22"/>
                <w:szCs w:val="22"/>
                <w:highlight w:val="none"/>
                <w:shd w:val="clear" w:color="auto" w:fill="ffffff"/>
              </w:rPr>
              <w:t xml:space="preserve">子表行折叠结构等复杂数据关系的数据源。</w:t>
            </w:r>
            <w:r>
              <w:rPr>
                <w:rFonts w:hint="eastAsia" w:ascii="宋体" w:hAnsi="宋体" w:cs="宋体"/>
                <w:b/>
                <w:bCs/>
                <w:sz w:val="22"/>
                <w:szCs w:val="22"/>
                <w:highlight w:val="none"/>
                <w:shd w:val="clear" w:color="auto" w:fill="ffffff"/>
              </w:rPr>
              <w:t xml:space="preserve">此项需要演示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11.要求支持自动生成表单、html表单模式。</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表单明细表数据支持Excel上传和下载。</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12.当表单上有多个数据表的数据时，要求平台支持对多个数据表之间的关联关系进行管理。</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▲13.定制的表单支持加入事件代码，扩展表单业务处理功能。</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▲14.能够从现有的存储模型中导入字段属性，修改生成新的存储字段。</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15.多种子表交互风格，包括但不限于：按普通HTML网页技术设计的普通表格模式按交互式网页应用开发技术设计的Ajax表格模式。</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16.允许用户能够扩展开发自己的表单、视图展现模板。</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17.支持流程节点中表单数据导入导出，以及整个报表模型的导入导出。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18.支持字段级的权限管理；提供可视化视图设计界面。</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19.支持自主选择视图列要显示字段或操作链接，定义列宽等属性。</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20.支持对视图数据进行动态分组显示。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21.视图设计完毕后，可以执行sql验证功能，校验视图sql的正确性。</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22.支持匿名数据外链查询，使其它网站的页面能够链接到平台上，助力相关网站排名提升、提高网站的可见度。</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流程模型</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◎23.能够利用流程引擎提供的各类功能，通过图形化+参数化实现流程配置，在Web页面采用拖拽方式定制流程。要求流程设计器应简单、易用，无需安装任何插件，支持拖拽完成设计。</w:t>
            </w:r>
            <w:r>
              <w:rPr>
                <w:rFonts w:hint="eastAsia" w:ascii="宋体" w:hAnsi="宋体" w:cs="宋体"/>
                <w:b/>
                <w:bCs/>
                <w:sz w:val="22"/>
                <w:szCs w:val="22"/>
                <w:shd w:val="clear" w:color="auto" w:fill="ffffff"/>
              </w:rPr>
              <w:t xml:space="preserve">此项需要演示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◎24.能够基于BPMN2.0图形注解规范，兼容XPDL2.1工作流交换格式，接口可接口实现的WAPI和Web Service WAPI；提供流程图自动检查功能，帮助建模人员自动纠正不合理的结构设计并给出解决方案提示，结构调整至正确后，校验错误消失。提供流程梳理工具，能够一键导入后端执行平台  </w:t>
            </w:r>
            <w:r>
              <w:rPr>
                <w:rFonts w:hint="eastAsia" w:ascii="宋体" w:hAnsi="宋体" w:cs="宋体"/>
                <w:b/>
                <w:bCs/>
                <w:sz w:val="22"/>
                <w:szCs w:val="22"/>
                <w:shd w:val="clear" w:color="auto" w:fill="ffffff"/>
              </w:rPr>
              <w:t xml:space="preserve">此项需要演示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▲25.提供流程自动化测试工具，系统自动完成流程的测试。</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▲26.流程任务支持超时控制，当任务超过时限未完成，提供后续执行策略，可自定义动作。</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27.流程规则支持传阅、会签、加签、协同、流程跳转、指定回退等。支持批量办理、委托办理、任务通知。</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28.支持多种流转模式：支持顺序、并行、同步、聚合、多重聚合、多实例、人工路由选择、取消活动、取消实例等流转模式。流程节点可挂接多表单，可设置每一个表单、字段的访问权限和字段的读写隐藏权限。</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29.可指定流程的管理员，便于分配流程管理权限，设置不同的节点办理人员。</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30.当多人同时设计同一个流程文件时自动进入锁状态，确保同一时刻只有1个人可编辑。</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集成能力</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▲31.流程引擎能够为其它系统提供引擎服务，供其它系统直接调用。</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▲32.要求能够提供统一的三方服务连接入口服务，数据源要求能够支持如RDS、LDAP、Elasticsearch、Redis、MongoDB、FTP、HTTP、SOAP、ActiveMQ、RabbitMQ等服务。</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33.提供标准webservices接口(SOAP和HTTP)，包含分类：流程接口、任务接口、数据读写接口、FORM表单接口、文件接口、组织架构接口、权限接口。</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▲34.提供引擎调用API接口、WebService服务接口、规则扩展接口等。消息接口：支持待办事宜接口。</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35.提供消息通信接口，实现将内部系统和外部系统的消息进行聚合；支持与LDAP目录服务器（如AD域）或者其他第三方系统同步组织架构。</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36.要求具备接入三方系统信息维护模块，能够对三方系统地址配置、议转换（如SOAP发布成HTTP）、访问控制（身份/业务安全策略）、流量控制（限流/熔断）、监控告警（规则/通知数据库相关信息）等。</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部署环境</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37.要求支持Chrome、FireFox、Safari等主流浏览器；Linux操作系统（如CentOS、Redhat）；Windows操作系统（如Windows Server 2008、2010、2012）；数据库：MySQL、Oracle、SQL Server、DB2、Infomix；客户端支持Windows、Linux、Mac等。</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b/>
                <w:bCs/>
                <w:sz w:val="22"/>
                <w:szCs w:val="22"/>
                <w:u w:val="single"/>
                <w:shd w:val="clear" w:color="auto" w:fill="ffffff"/>
              </w:rPr>
            </w:pPr>
            <w:r>
              <w:rPr>
                <w:rFonts w:hint="eastAsia" w:ascii="宋体" w:hAnsi="宋体" w:cs="宋体"/>
                <w:sz w:val="22"/>
                <w:szCs w:val="22"/>
              </w:rPr>
              <w:t xml:space="preserve">▲38.系统支持在软硬件层面（芯片，操作系统、中间件、数据库等方面）全部国产化产品部署，在产品维保期内需无条件配合学校进行迁移。</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扩展能力</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39.</w:t>
            </w:r>
            <w:r>
              <w:rPr>
                <w:rFonts w:hint="eastAsia" w:ascii="宋体" w:hAnsi="宋体" w:cs="宋体"/>
                <w:sz w:val="22"/>
                <w:szCs w:val="22"/>
              </w:rPr>
              <w:t xml:space="preserve">提供的软件具有较强的二次开发能力，即系统具备良好的可扩展性，支持系统规模的扩大和业务范围的扩展，在增加新业务时不需要更改系统的软件结构。</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rPr>
              <w:t xml:space="preserve">40.为能够减少了应用程序开发和维护的时间及成本，要求提供专门的代码开发工具，并可进行断点调试，非技术人员也能参与应用开发，降低技能门槛，提高团队协作效率，提高业务敏捷性，快速构建和修改应用程序；</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rPr>
              <w:t xml:space="preserve">▲41.具有良好的扩展性与二次开发能力，提供二次开发SDKAPI，并提供详细的开发规范和扩展开发说明文档。</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42.</w:t>
            </w:r>
            <w:r>
              <w:rPr>
                <w:rFonts w:hint="eastAsia" w:ascii="宋体" w:hAnsi="宋体" w:cs="宋体"/>
                <w:sz w:val="22"/>
                <w:szCs w:val="22"/>
              </w:rPr>
              <w:t xml:space="preserve">可扩展流程节点参与者路由方案。</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43.</w:t>
            </w:r>
            <w:r>
              <w:rPr>
                <w:rFonts w:hint="eastAsia" w:ascii="宋体" w:hAnsi="宋体" w:cs="宋体"/>
                <w:sz w:val="22"/>
                <w:szCs w:val="22"/>
              </w:rPr>
              <w:t xml:space="preserve">提供流程事件、节点事件处理框架，可注册事件处理代码。</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rPr>
              <w:t xml:space="preserve">44.提供定时调度服务，可自定义触发频率和执行动作。</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权限模型</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w:t>
            </w:r>
            <w:r>
              <w:rPr>
                <w:rFonts w:hint="eastAsia" w:ascii="宋体" w:hAnsi="宋体" w:cs="宋体"/>
                <w:sz w:val="22"/>
                <w:szCs w:val="22"/>
              </w:rPr>
              <w:t xml:space="preserve">45.能够具备三员管理体系（系统管理员、安全保密员、安全审计员）；允许对平台组织、角色设置二级管理权限；允许对权限范围内的权限，进行管理（例如建立自己的权限组）和资源授权。</w:t>
            </w:r>
            <w:r>
              <w:rPr>
                <w:rFonts w:hint="eastAsia" w:ascii="宋体" w:hAnsi="宋体" w:cs="宋体"/>
                <w:b/>
                <w:bCs/>
                <w:sz w:val="22"/>
                <w:szCs w:val="22"/>
                <w:shd w:val="clear" w:color="auto" w:fill="ffffff"/>
              </w:rPr>
              <w:t xml:space="preserve">此项需要演示</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rPr>
              <w:t xml:space="preserve">▲</w:t>
            </w:r>
            <w:r>
              <w:rPr>
                <w:rFonts w:hint="eastAsia" w:ascii="宋体" w:hAnsi="宋体" w:cs="宋体"/>
                <w:sz w:val="22"/>
                <w:szCs w:val="22"/>
                <w:shd w:val="clear" w:color="auto" w:fill="ffffff"/>
              </w:rPr>
              <w:t xml:space="preserve">46.允许对平台各类模型（如流程、存储、表单、报表）设置二级管理权限。</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47.允许对平台门户导航菜单的管理设置二级管理权限；当进行后台运行维护时，只能查询和管理权限范围的流程实例、任务实例。</w:t>
            </w:r>
            <w:r/>
          </w:p>
        </w:tc>
      </w:tr>
      <w:tr>
        <w:trPr>
          <w:cantSplit/>
          <w:jc w:val="center"/>
          <w:trHeight w:val="913"/>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ind w:firstLine="420"/>
              <w:jc w:val="center"/>
              <w:spacing w:line="300" w:lineRule="exact"/>
              <w:rPr>
                <w:rFonts w:ascii="宋体" w:hAnsi="宋体" w:cs="宋体"/>
                <w:sz w:val="22"/>
                <w:szCs w:val="22"/>
              </w:rPr>
            </w:pPr>
            <w:r>
              <w:rPr>
                <w:rFonts w:hint="eastAsia" w:ascii="宋体" w:hAnsi="宋体" w:cs="宋体"/>
                <w:sz w:val="22"/>
                <w:szCs w:val="22"/>
              </w:rPr>
              <w:t xml:space="preserve">人员管理</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48.基本信息录入、存储、查询和更新，如姓名、性别、年龄、学历、工作经历、研究方向、职称和在职状态等。</w:t>
            </w:r>
            <w:r/>
          </w:p>
        </w:tc>
      </w:tr>
      <w:tr>
        <w:trPr>
          <w:cantSplit/>
          <w:jc w:val="center"/>
          <w:trHeight w:val="693"/>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ind w:firstLine="420"/>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49.实现记录教职工的入职、离职、调动、进修等各种人事变动情况。</w:t>
            </w:r>
            <w:r/>
          </w:p>
        </w:tc>
      </w:tr>
      <w:tr>
        <w:trPr>
          <w:cantSplit/>
          <w:jc w:val="center"/>
          <w:trHeight w:val="612"/>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ind w:firstLine="420"/>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50.人员数据支持实时与数据中台对接，方便其他业务系统使用。</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组织管理</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51.提供独立的组织机构模型管理工具，可配置任意层级性组织机构，支持虚拟部门配置。</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52.支持多组织架构；对单位/部门/人员的增、删、改、查、创建并管理用户组、允许一人多岗等能力；需提供批量导入导出工具，方便不同环境间(开发/测试/生产)切换时初始化大组织结构。</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53.提供部门拆分、合并工具；要求组织人员信息能够与数据中心同步，且能够支持通过HR系统入转调离的变动进行同步</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角色管理</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54.能够自定义角色，实现对于门户不同角色授权管理、角色基本信息维护、角色权限授权。</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55.能够支持给二级管理员分配相关角色/岗位分类的管理权限。</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56.流程引擎中能够引用角色授权；能够支持当业务上需要扩展维护更多角色/岗位属性信息时，可通过该功能实现个性化的属性支持，例如：为角色/岗位属性增加等级属性等业务信息。</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运维管理</w:t>
            </w:r>
            <w:r/>
          </w:p>
        </w:tc>
        <w:tc>
          <w:tcPr>
            <w:tcW w:w="5060" w:type="dxa"/>
            <w:vAlign w:val="center"/>
            <w:textDirection w:val="lrTb"/>
            <w:noWrap w:val="false"/>
          </w:tcPr>
          <w:p>
            <w:pPr>
              <w:spacing w:line="300" w:lineRule="exact"/>
              <w:rPr>
                <w:rFonts w:ascii="宋体" w:hAnsi="宋体" w:cs="宋体"/>
                <w:b/>
                <w:bCs/>
                <w:sz w:val="22"/>
                <w:szCs w:val="22"/>
                <w:u w:val="single"/>
                <w:shd w:val="clear" w:color="auto" w:fill="ffffff"/>
              </w:rPr>
            </w:pPr>
            <w:r>
              <w:rPr>
                <w:rFonts w:hint="eastAsia" w:ascii="宋体" w:hAnsi="宋体" w:cs="宋体"/>
                <w:sz w:val="22"/>
                <w:szCs w:val="22"/>
                <w:shd w:val="clear" w:color="auto" w:fill="ffffff"/>
              </w:rPr>
              <w:t xml:space="preserve">▲57.能够提供服务等级协议(Service-Level Agreement,SLA)监控指标能力，对资源/服务指标的连续监控和分析，帮助技术团队实时发现服务质量隐患，回放故障发生时刻的内部运行状况，为问题的解决提供线索。平台运行的仪表盘或监控平台，对系统运行的各项指标和报警信息进行及时监控。可实时监控所有流程的运行状态，并以图形化的方式显示。 </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58.能够查看流程的跟踪执行图，包括通过的节点、通过时间、审核人等，并可通过监控列表直接点击查看。可在监控平台直接操作流程，包括查看、删除、挂起、恢复、重置等。</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59.可对找不到办理人的断点任务手动分配办理者、手动处理员工离岗后待办、已办任务交接。支持对平台运行状态的监控，包括CPU、线程池、内存使用、数据库连接、应用请求、缓存对象等。</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60.支持对运行状态提出预警，并提供详细分析信息。提供平台运行日志记录，可在线查看，也可下载日志查看。</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61.能够提供对API程序接口的监控指标定义、注册监听器、开放对指标监控数据和告警日志记录的查询，当与三方系统集成发生问题时可以更快便捷开发人员对API接口进行分析。</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restart"/>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安全管理</w:t>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62.确保其能够满足国家安全防护标准，要求平台信息安全等级保护资质必须达到二级以上。</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63.超权限操作的授权用户和非授权用户不允许执行非法操作，不能访问有关数据。能够在表单级和字段级进行数据安全控制。</w:t>
            </w:r>
            <w:r/>
          </w:p>
        </w:tc>
      </w:tr>
      <w:tr>
        <w:trPr>
          <w:cantSplit/>
          <w:jc w:val="center"/>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64.系统要支持对关键应用数据和系统数据的定期备份，数据出现损坏可及时进行数据恢复。</w:t>
            </w:r>
            <w:r/>
          </w:p>
        </w:tc>
      </w:tr>
      <w:tr>
        <w:trPr>
          <w:cantSplit/>
          <w:jc w:val="center"/>
          <w:trHeight w:val="1262"/>
        </w:trPr>
        <w:tc>
          <w:tcPr>
            <w:tcW w:w="881"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25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1318" w:type="dxa"/>
            <w:vAlign w:val="center"/>
            <w:vMerge w:val="continue"/>
            <w:textDirection w:val="lrTb"/>
            <w:noWrap w:val="false"/>
          </w:tcPr>
          <w:p>
            <w:pPr>
              <w:jc w:val="center"/>
              <w:spacing w:line="300" w:lineRule="exact"/>
              <w:rPr>
                <w:rFonts w:ascii="宋体" w:hAnsi="宋体" w:cs="宋体"/>
                <w:sz w:val="22"/>
                <w:szCs w:val="22"/>
              </w:rPr>
            </w:pPr>
            <w:r>
              <w:rPr>
                <w:rFonts w:ascii="宋体" w:hAnsi="宋体" w:cs="宋体"/>
                <w:sz w:val="22"/>
                <w:szCs w:val="22"/>
              </w:rPr>
            </w:r>
            <w:r/>
          </w:p>
        </w:tc>
        <w:tc>
          <w:tcPr>
            <w:tcW w:w="5060" w:type="dxa"/>
            <w:vAlign w:val="center"/>
            <w:textDirection w:val="lrTb"/>
            <w:noWrap w:val="false"/>
          </w:tcPr>
          <w:p>
            <w:pPr>
              <w:spacing w:line="300" w:lineRule="exact"/>
              <w:rPr>
                <w:rFonts w:hint="eastAsia" w:ascii="宋体" w:hAnsi="宋体" w:eastAsia="宋体" w:cs="宋体"/>
                <w:sz w:val="22"/>
                <w:szCs w:val="22"/>
                <w:shd w:val="clear" w:color="auto" w:fill="ffffff"/>
                <w:lang w:eastAsia="zh-CN"/>
              </w:rPr>
            </w:pPr>
            <w:r>
              <w:rPr>
                <w:rFonts w:hint="eastAsia" w:ascii="宋体" w:hAnsi="宋体" w:cs="宋体"/>
                <w:sz w:val="22"/>
                <w:szCs w:val="22"/>
                <w:shd w:val="clear" w:color="auto" w:fill="ffffff"/>
              </w:rPr>
              <w:t xml:space="preserve">▲65.系统要支持800并发用户执行流程申请测试平均响应时间不多于2.0秒，事务成功率不低于99.9%，系统支持集成CA等认证方式，统一对使用人员进行身份认证</w:t>
            </w:r>
            <w:r>
              <w:rPr>
                <w:rFonts w:hint="eastAsia" w:ascii="宋体" w:hAnsi="宋体" w:cs="宋体"/>
                <w:sz w:val="22"/>
                <w:szCs w:val="22"/>
                <w:shd w:val="clear" w:color="auto" w:fill="ffffff"/>
                <w:lang w:eastAsia="zh-CN"/>
              </w:rPr>
              <w:t xml:space="preserve">。</w:t>
            </w:r>
            <w:r/>
          </w:p>
        </w:tc>
      </w:tr>
      <w:tr>
        <w:trPr>
          <w:cantSplit/>
          <w:jc w:val="center"/>
          <w:trHeight w:val="1262"/>
        </w:trPr>
        <w:tc>
          <w:tcPr>
            <w:tcW w:w="881" w:type="dxa"/>
            <w:vAlign w:val="center"/>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（二）</w:t>
            </w:r>
            <w:r/>
          </w:p>
        </w:tc>
        <w:tc>
          <w:tcPr>
            <w:tcW w:w="1258" w:type="dxa"/>
            <w:vAlign w:val="center"/>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基于平台的流程及应用构建</w:t>
            </w:r>
            <w:r/>
          </w:p>
        </w:tc>
        <w:tc>
          <w:tcPr>
            <w:tcW w:w="1318" w:type="dxa"/>
            <w:vAlign w:val="center"/>
            <w:textDirection w:val="lrTb"/>
            <w:noWrap w:val="false"/>
          </w:tcPr>
          <w:p>
            <w:pPr>
              <w:jc w:val="center"/>
              <w:spacing w:line="300" w:lineRule="exact"/>
              <w:rPr>
                <w:rFonts w:ascii="宋体" w:hAnsi="宋体" w:cs="宋体"/>
                <w:sz w:val="22"/>
                <w:szCs w:val="22"/>
              </w:rPr>
            </w:pPr>
            <w:r>
              <w:rPr>
                <w:rFonts w:hint="eastAsia" w:ascii="宋体" w:hAnsi="宋体" w:cs="宋体"/>
                <w:sz w:val="22"/>
                <w:szCs w:val="22"/>
              </w:rPr>
              <w:t xml:space="preserve">党务管理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1.抄送传阅查询</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查询全系统“抄送”、“传阅”类任务</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2.部门发文流程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支持PC+移动端使用，由校内各部门自主发起拟稿，经部门内部审核、分管校领导审批、编号备案后发布</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3.学校发文分发流程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支持PC+移动端使用，学校正式发文后，按发文范围向各二级单位、院系、部门进行定向分发、签收确认与存档备案，流程节点明确、覆盖范围广、需全程留痕可追溯。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4.学校发文流程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由拟稿部门发起，经多级审核、会签、校领导签发、编号排版、印发归档等多环节闭环完成。其中涉及WPS集成（WPS在线编辑、预览、下载等）、E签宝集成（电子签章）、消息通知（短信+企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5.督办流程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支持PC+移动端使用，对学校及上级部署的重点工作、会议决议等进行立项、派单、承办、反馈、催办、审核与销号，流程闭环性强、时效要求高、需多部门协同跟踪。</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6.督办反馈流程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承办部门针对督办事项完成情况提交反馈材料，经督办部门审核、复核，确认符合要求后完成反馈归档，不符合则退回补充整改，流程需严格对应督办事项、审核标准明确、存在退回补充的分支环节。</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7.督办任务库</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督办任务库是督办流程的核心业务台账，归集所有督办任务的基础信息、办理进度等数据，且会同步接收督办反馈流程的结果，实时更新对应任务的办理状态，数据关联性强、需动态同步更新、兼具台账管理与进度追溯功能。</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8.党委会会议议题申报流程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各部门提前申报党委会会议议题，经审查、排期、党委书记签批、党委委员会签，且需与党委会会议议题发起流程关联联动，流程严谨规范、审批层级高、上下游流程关联性强。需集成消息通知（短信+企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9.党委会会议议题发起流程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各部门提前申报党委会会议议题，先完成议题审查与排期，提交党委书记签批通过后，再由党委委员会签确认，流程审批严谨、环节衔接紧密、对议题合规性与排期合理性要求高。需集成消息通知（短信+企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10.校长办公会议议题申报流程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支持PC+移动端使用，各二级部门在线提交校长办公会议题，且需与校长办公会议议题发起流程关联联动，流程线上化、部门参与度广、上下游流程绑定紧密。需集成消息通知（短信+企微）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11.校长办公会议议题发起流程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支持PC+移动端使用，由院办牵头发起校长办公会议题的申报、采集与审批流转，最终形成会议决议，流程统筹性强、环节规范、需按议事规则闭环推进。需集成消息通知（短信+企微）</w:t>
            </w:r>
            <w:r/>
          </w:p>
          <w:p>
            <w:pPr>
              <w:spacing w:line="300" w:lineRule="exact"/>
              <w:rPr>
                <w:rFonts w:ascii="仿宋" w:hAnsi="仿宋" w:eastAsia="仿宋"/>
                <w:shd w:val="clear" w:color="auto" w:fill="ffffff"/>
              </w:rPr>
            </w:pPr>
            <w:r>
              <w:rPr>
                <w:rFonts w:ascii="仿宋" w:hAnsi="仿宋" w:eastAsia="仿宋"/>
                <w:shd w:val="clear" w:color="auto" w:fill="ffffff"/>
              </w:rPr>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后勤管理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1.维修改造工程前期工作流程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支持PC+移动端使用，"维修改造工程前期工作流程操作流程</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本流程为维修改造工程（1万元及以上项目）前期工作流程，流程包含项目发起→平面方案设计→施工图设计→预算编制四个环节（见附表1），操作过程中注意以下几点：</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（1）四个环节顺序依次进行，不可逆，如：某项目已进行施工图设计后，不可再进行平面方案设计工作。</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（2）各环节内节点可反复，如节点4-平面方案确认如有审核意见可在审核意见中批注后选择驳回返回至节点3平面方案设计，直至节点4完成，方可进入下一环节。</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（3）对于不需要设计的项目，可直接从项目发起环节跳至预算编制环节，省略平面方案设计和施工图设计环节，具体由后勤保障部(国资处)根据项目难易程度、估算造价及二级学院（部门）意见综合判断执行。</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项目发起人应按附表2填写改造内容及要求并作为附件上传，改造内容一般包括土建改造、装饰改造、照明系统改造、电气系统改造、给排水系统改造、弱电系统改造、智能化系统改造、设备安装配套建设要求（若有重大设备需注明，避免后期设备进场后现场无法满足使用要求）等，改造要求内容应准确、全面，避免后期施工过程中工程量大幅度变更。</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（5）项目预算申请金额应包含改造费用、设计费、造价咨询费，其中改造费用在提交控制价成果中显示，设计费和造价咨询费可联系后勤保障部(国资处)确定。</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流程各环节服务周期如下：平面方案设计（5工作日）→平面方案修改（3工作日/次）→施工图设计（8工作日）→施工图修改（5工作日/次）→效果图设计（5工作日）→效果图修改（3工作日/次）→预算编制（5工作日）→预算修改（3工作日/次）。以上为一般服务周期（特殊情况除外），周期不含各环节部门审批、沟通、协调时间。</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为了保证项目的顺利实施，请需求部门合理安排前期工作时间（估算造价在10万以上的项目必须经过设计后才能编制预算），及时推送各环节流程，精准考虑项目需求（可减少各环节成果修改次数），以缩短项目工期。</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2.医疗物资领用申请流程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校内相关部门 / 人员提交医疗物资领用申请，经审批、核对出库、登记留存，流程合规要求高、物资属性特殊、需严格管控领用与库存。</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3.公共楼宇报修申请流程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用户在线提交公共楼宇报修申请，可按物业、土建、空调三类报修类型分流派单，经处置、验收后办结，流程分支多、分类处置明确、覆盖范围广、协同要求高。</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4.教职工家属体检申请流程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教职工提交家属体检申请，经所在部门审核、校相关部门复核确认后，完成体检名额分配与信息备案，流程审核层级清晰、针对性强、需严格核对家属身份信息。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纪检管理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1.重点领域工作监督检查报备登记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各部门对招生、采购、基建、人事等重点领域工作开展自查与监督检查，按要求提交报备材料并完成登记归档，合规要求高、监管严格、事项敏感、需全程留痕备查。</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2.操办婚丧喜庆报备流程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教职工操办婚丧喜庆实行事前报备、事后报告、分级审批、纪委备案，喜庆与丧事流程、时限不同，全程留痕、从严管控。</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3.纪检监察督改流程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纪检监察督改流程：对监督、巡察、审计中发现的问题下达整改通知，责任单位制定方案、落实整改、提交报告，经纪检部门审核验收、销号归档，全程跟踪问效，流程闭环严谨、纪律约束强、整改要求严格、需多级复核销号。</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教学管理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1.教师教学类竞赛获奖登记流程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支持PC+移动端使用，教师自行申报教学类竞赛获奖信息，提交获奖证明材料，经所在院系审核、教务处复核后完成登记备案并纳入业绩统计，流程清晰、材料核验严格、需与教师业绩数据联动。</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2.校外实践教学基地备案流程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支持PC+移动端使用，院系提交校外实践教学基地备案申请及合作协议等材料，经审核、复核、审批后完成备案入库，流程材料要求多、审核层级明确、需规范建档长期留存。</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3.技能竞赛获奖备案流程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教师 / 团队提交技能竞赛参赛申请及赛事相关材料，经院系、教务处等逐级审核审批后完成参赛备案，流程前置性强、审核严谨、需明确赛事与参赛资格。</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4.技能竞赛参赛备案流程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由相关部门对技能竞赛的等级、规格、主办单位进行认定备案，作为赛事与获奖认定依据，标准性强、认定严格、是后续参赛与评奖的基础。</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5.技能竞赛级别备案流程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参赛师生提交获奖证书等材料申报备案，经院系核验、教务处审核、公示确认后完成登记并纳入成果管理，材料核验严格、流程规范、与教学业绩直接挂钩。</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6.校级及以上教改项目立项备案流程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负责人申报校级及以上教改项目，提交申报书、实施方案等材料，经院系初审、专家评审、学校审批后完成立项备案，审核层级多、学术要求高、流程规范严谨。</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7.校级及以上教改项目结项备案流程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项目负责人提交结题报告、成果材料、验收意见等申请结项，经审核、验收、复核后完成结项备案，成果核验严格、需闭环归档、与教学科研考核挂钩。</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行政管理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1.教职工出差申请流程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教职工在线提交出差申请并完成逐级审批，审批通过后形成有效出差凭证，作为财务差旅费报销的前置流程，流程线上化、审批链条清晰、与财务报销强关联、前置约束严格。</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2.通知公告申请流程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支持PC+移动端使用，部门提交通知公告发布申请，经内容审核、权限审批后统一发布，流程规范、审核严谨、需确保信息准确合规。</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3.会议管理</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会议管理全生命周期流程：覆盖会议申请、会议安排、会议变更、会议通知、会场资源调度、会后归档与纪要发布全环节，实现从发起至闭环的统一管控，流程联动性强、资源调度规范、审批与发布一体化、可追溯可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4.合同审核流程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支持PC+移动端使用，合同申请部门提交合同文本及相关材料，经业务审核、法务 / 合规审查、分级审批后完成定稿用印，流程严谨、法律风险高、审核节点多、全程留痕可追溯。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5.外部来文流程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支持PC+移动端使用，外部来文流程：对上级、校外单位等外来公文进行登记、拟办、分办、承办、督办、归档全流程处理，流转规范、责任明确、需及时响应并全程留痕。</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6.教代会提案流程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支持PC+移动端使用，教代会提案流程：教职工代表提交提案，经征集、初审、分类交办、承办落实、答复反馈、满意度评价、归档备案，全程闭环办理，流程规范、民主性强、督办严格、注重实效与反馈。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7.校领导接待日预约流程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 / 师生按规定提交预约申请，说明事由、诉求与参与人员，经审核、统筹安排后确定接待时间与地点，流程规范、注重隐私、诉求响应及时、全程闭环反馈。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8.法律顾问服务申请流程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校内部门提交法律事务服务申请及相关材料，经审核后由法律顾问提供咨询、审查、把关等服务，专业性强、合规要求高、风险防控前置。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9.教育信访单办理流程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对教育类信访事项进行登记、受理、分办、承办、督办、答复、归档全流程办理，流程严谨、时效要求高、全程留痕、责任可追溯。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10.教职工请假申请流程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教职工在线提交请假申请，按请假类型与天数完成逐级审批，审批通过后生效，可作为考勤、薪资核算与销假依据，流程清晰、审批链条规范、与考勤管理强关联。</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11.英文证明开具流程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英文证明开具流程：面向教职工、教职工子女、学生三类对象，实现出国相关英文证明的在线申请、材料提交、分级审核与盖章开具，对象分类清晰、审批流程规范、证明用途明确、全程线上办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12.学校印章使用流程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"申请人在线填报用章申请，经部门领导、分管校领导逐级审批后，根据申请用章类型分流处理：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学院用章：</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若为党委印章、校长名章等重要用章，需经党委院长办公室审核，再由校长、书记审批；</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若为行政印章、学校钢印、介绍信等常规用章，经党委院长办公室审核后即可进入备案环节。</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专项用章：审计处、科技处、继教院、纪委等部门管理的专用印章，由对应职能部门直接办理使用。</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特殊用章：涉及协议、非采购类合同类用章，需通过 “法律顾问服务申请” 流程办理，通过后直接用章，不进入本流程。</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所有用章事项最终均需在校办完成备案归档，流程分级审批严格、用章类型分流清晰、特殊事项前置办理、全程留痕可追溯。"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13.社会租车申请流程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支持PC+移动端使用，部门或个人因公务需求提交社会租车申请，明确行程、车型与时长，经逐级审批通过后，按规定对接租车服务商并完成备案，流程规范、费用可控、手续齐全。</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14.公务用车申请流程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教职工在线提交公务用车申请，经审核后由管理部门统筹派车；若校内暂无可用车辆，系统自动触发社会租车流程，实现用车保障闭环，审批清晰、调度联动、应急保障高效。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15.公务接待申请流程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"（1）提交申请：接待部门填写申请表，注明接待事由、对象、时间、预计费用等信息，提交给部门负责人。</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(2)审批流程：部门负责人审核后，依次交由财务部门（审核费用）和学校领导审批，各级审批通过后接待申请生效。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(3)接待执行与备案：按获批方案执行接待，结束后整理实际费用明细和接待情况报告，提交财务备案。"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16.校领导及中层干部请假流程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校领导及中层干部请假流程，是根据人员职级和请假天数进行分级审批、因公因私分流备案，并支持销假与续假的全线上闭环管理流程。</w:t>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专项监督</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1.信息化项目基本情况登记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对校内各类信息化项目的立项、建设、运维等基本信息进行统一登记与备案。</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2.信息系统基本情况登记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登记学校各类信息系统的功能、部署、使用范围、负责人等基础信息，实现统一台账管理。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3.商用成品软件、数字化教学资源登记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支持PC端使用，登记学校采购的商用软件、数字化教学资源，规范资产与使用管理。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4.数据资源目录</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梳理并登记学校各类数据资源，形成标准统一、可共享、可管理的数据资源目录。</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5.信息化建设自查自纠问题清单</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支持PC端使用，记录信息化建设过程中自查发现的问题、整改措施及完成情况，形成闭环管理。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6.信息化专项监督检查登记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支持PC端使用，对信息化领域专项监督、检查结果及整改情况进行登记，强化过程留痕与监督管理。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7.信息化项目采购基本情况登记</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支持PC端使用，登记信息化项目采购方式、供应商、合同金额、实施周期等关键信息，规范采购管理。</w:t>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资产管理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1.出租出借项目库</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支持PC+移动端使用，统一归集学校各类出租出借项目信息，形成标准化管理台账，支撑全流程管控。</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2.出租出借立项流程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支持PC+移动端使用，发起出租出借立项申请，经审批通过后，将立项信息同步回写至出租出借项目库，完成项目入库。</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3.出租实务申请流程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支持PC+移动端使用，提交出租实务相关申请，办理完成后，实时更新出租出借项目库对应项目的实务进展信息。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4.出租出借日常管理及备案流程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支持PC+移动端使用，开展出租出借日常管控、备案工作，同步将管理及备案信息更新至出租出借项目库，实现动态管理。</w:t>
            </w:r>
            <w:r/>
          </w:p>
        </w:tc>
      </w:tr>
      <w:tr>
        <w:trPr>
          <w:cantSplit/>
          <w:jc w:val="center"/>
          <w:trHeight w:val="1262"/>
        </w:trPr>
        <w:tc>
          <w:tcPr>
            <w:tcW w:w="881"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25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tc>
        <w:tc>
          <w:tcPr>
            <w:tcW w:w="1318"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综合管理</w:t>
            </w:r>
            <w:r/>
          </w:p>
        </w:tc>
        <w:tc>
          <w:tcPr>
            <w:tcW w:w="5060" w:type="dxa"/>
            <w:vAlign w:val="center"/>
            <w:textDirection w:val="lrTb"/>
            <w:noWrap w:val="false"/>
          </w:tcPr>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1.领导教师听课流程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支持PC+移动端使用，领导教师听课流程，集成听课系统接口，听课相关信息直接从听课系统中获取，实现听课安排、记录、归档全流程与系统联动，规范高效且数据同步。</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2.大额现金支付申请流程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支持PC+移动端使用，大额现金支付申请流程，对大额现金支付实行线上申请、分级审批与合规审核，规范资金支付管理，保障财务安全，全程留痕可追溯。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3.档案利用流程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支持PC+移动端使用，档案利用流程，办理档案查阅、借阅、复制等利用申请，经逐级审批、登记备案后规范使用，保障档案安全，实现全程留痕可追溯。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4.领导教师听课流程查询</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支持PC+移动端使用，领导教师听课流程查询，提供领导教师听课流程相关数据查询服务，支持信息检索、查看与统计，方便管理与追溯。</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5.教育经费分配方案</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支持PC+移动端使用，教育经费分配方案，用于教育经费分配数据的维护与管理，为其他相关流程提供统一数据引用来源。</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6.数据申请流程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支持PC+移动端使用，数据申请流程，用于校内数据资源的申请、审批与授权管理，规范数据共享使用，保障数据安全与合规。</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7.学历继续教育经费分配流程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支持PC+移动端使用，学历继续教育经费分配流程，实现学历教育经费分配方案在线提交与审批，分配数据从教育经费分配方案自动获取。</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8.非学历教育项目申报流程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支持PC+移动端使用，非学历教育项目申报流程，实现各二级单位在线申报非学历教育办班申请与审批。</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9.非学历教育经费分配流程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支持PC+移动端使用，非学历教育经费分配流程，实现非学历教育经费分配方案在线申报与审批，分配数据从教育经费分配方案自动获取。</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10.校园开放日申请流程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支持PC+移动端使用，校园开放日申请流程，用于二级学院（部）、行政部门 “校园开放” 活动的在线申请与审批，规范活动申报流程，实现全程线上闭环管理。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11.学校重大活动摄影摄像预约申请流程支持PC+移动端使用，用于校内重大活动摄影摄像服务的在线预约与审批，保障活动影像记录规范有序。</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12.校园文化阵地宣传申请流程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支持PC+移动端使用，用于各类校园文化阵地宣传活动的在线申请与审批，规范宣传内容与流程管理。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13.论坛活动申报流程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支持PC+移动端使用，用于校内各类论坛活动的在线申报与审批，把控活动主题、内容与举办规范。</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14.信息中心资源申请流程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支持PC+移动端使用，用于申请信息中心各类软硬件、技术支持等资源，实现资源申请、审批与调配的规范化管理。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15.信息化项目技术评估流程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支持PC+移动端使用，对各类信息化项目进行技术可行性、合规性评估，为项目推进提供技术支撑与审核依据。</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16.流程新建和变更申请流程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支持PC+移动端使用，用于校内各类流程的新建、修改与变更申请，规范流程管理，确保流程适配实际需求。</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17.因私出国（境）人员申请流程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支持PC+移动端使用，用于校内人员因私出国（境）的在线申请、审批与备案，严格规范出国（境）管理。</w:t>
            </w:r>
            <w:r/>
          </w:p>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t xml:space="preserve">18.外事活动申请流程</w:t>
            </w:r>
            <w:r>
              <w:rPr>
                <w:rFonts w:hint="eastAsia" w:ascii="宋体" w:hAnsi="宋体" w:cs="宋体"/>
                <w:sz w:val="22"/>
                <w:szCs w:val="22"/>
                <w:shd w:val="clear" w:color="auto" w:fill="ffffff"/>
              </w:rPr>
              <w:tab/>
            </w:r>
            <w:r>
              <w:rPr>
                <w:rFonts w:hint="eastAsia" w:ascii="宋体" w:hAnsi="宋体" w:cs="宋体"/>
                <w:sz w:val="22"/>
                <w:szCs w:val="22"/>
                <w:shd w:val="clear" w:color="auto" w:fill="ffffff"/>
              </w:rPr>
              <w:t xml:space="preserve">支持PC+移动端使用，用于校内各类外事交流、合作等活动的在线申请与审批，保障外事活动合规有序开展。</w:t>
            </w:r>
            <w:r/>
          </w:p>
        </w:tc>
      </w:tr>
    </w:tbl>
    <w:p>
      <w:pPr>
        <w:spacing w:line="300" w:lineRule="exact"/>
        <w:rPr>
          <w:rFonts w:hint="eastAsia" w:ascii="宋体" w:hAnsi="宋体" w:cs="宋体"/>
          <w:sz w:val="22"/>
          <w:szCs w:val="22"/>
          <w:shd w:val="clear" w:color="auto" w:fill="ffffff"/>
        </w:rPr>
      </w:pPr>
      <w:r>
        <w:rPr>
          <w:rFonts w:hint="eastAsia" w:ascii="宋体" w:hAnsi="宋体" w:cs="宋体"/>
          <w:sz w:val="22"/>
          <w:szCs w:val="22"/>
          <w:shd w:val="clear" w:color="auto" w:fill="ffffff"/>
        </w:rPr>
      </w:r>
      <w:r/>
    </w:p>
    <w:p>
      <w:pPr>
        <w:rPr>
          <w:sz w:val="24"/>
        </w:rPr>
      </w:pPr>
      <w:r>
        <w:rPr>
          <w:rFonts w:hint="eastAsia"/>
          <w:sz w:val="24"/>
        </w:rPr>
        <w:t xml:space="preserve">2.2性能要求</w:t>
      </w:r>
      <w:r/>
    </w:p>
    <w:p>
      <w:pPr>
        <w:numPr>
          <w:ilvl w:val="0"/>
          <w:numId w:val="8"/>
        </w:numPr>
        <w:ind w:left="0" w:firstLine="480"/>
        <w:spacing w:line="360" w:lineRule="auto"/>
        <w:rPr>
          <w:rFonts w:ascii="宋体" w:hAnsi="宋体" w:cs="仿宋_GB2312"/>
          <w:bCs/>
          <w:sz w:val="24"/>
        </w:rPr>
      </w:pPr>
      <w:r>
        <w:rPr>
          <w:rFonts w:hint="eastAsia" w:ascii="宋体" w:hAnsi="宋体" w:cs="仿宋_GB2312"/>
          <w:bCs/>
          <w:sz w:val="24"/>
        </w:rPr>
        <w:t xml:space="preserve">系统应支持 7*24 小时不间断运行。 </w:t>
      </w:r>
      <w:r/>
    </w:p>
    <w:p>
      <w:pPr>
        <w:numPr>
          <w:ilvl w:val="0"/>
          <w:numId w:val="8"/>
        </w:numPr>
        <w:ind w:left="0" w:firstLine="480"/>
        <w:spacing w:line="360" w:lineRule="auto"/>
        <w:rPr>
          <w:rFonts w:ascii="宋体" w:hAnsi="宋体" w:cs="仿宋_GB2312"/>
          <w:bCs/>
          <w:sz w:val="24"/>
        </w:rPr>
      </w:pPr>
      <w:r>
        <w:rPr>
          <w:rFonts w:hint="eastAsia" w:ascii="宋体" w:hAnsi="宋体" w:cs="仿宋_GB2312"/>
          <w:bCs/>
          <w:sz w:val="24"/>
        </w:rPr>
        <w:t xml:space="preserve">系统容量：平台不限用户数，在硬件无瓶颈的条件下，应满足不少于2000用户同时在线并发用户性能要求。 </w:t>
      </w:r>
      <w:r/>
    </w:p>
    <w:p>
      <w:pPr>
        <w:numPr>
          <w:ilvl w:val="0"/>
          <w:numId w:val="8"/>
        </w:numPr>
        <w:ind w:left="0" w:firstLine="480"/>
        <w:spacing w:line="360" w:lineRule="auto"/>
      </w:pPr>
      <w:r>
        <w:rPr>
          <w:rFonts w:hint="eastAsia" w:ascii="宋体" w:hAnsi="宋体" w:cs="仿宋_GB2312"/>
          <w:bCs/>
          <w:sz w:val="24"/>
        </w:rPr>
        <w:t xml:space="preserve">可靠性：系统应该具有很强的防错、抗错能力。在 7*24 连续运行情况下，系统可靠性达到 99.9%。平均故障修复时间小于 2 小时</w:t>
      </w:r>
      <w:r/>
    </w:p>
    <w:p>
      <w:pPr>
        <w:rPr>
          <w:sz w:val="24"/>
        </w:rPr>
      </w:pPr>
      <w:r>
        <w:rPr>
          <w:rFonts w:hint="eastAsia"/>
          <w:sz w:val="24"/>
        </w:rPr>
        <w:t xml:space="preserve">2.3安全要求</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系统底层支持三员管理模式，即系统管理员、安全管理员、审计管理员三权分立，避免单个管理员权限过大。</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数据加密，服务器端存储的数据支持加密处理，保障数据存储安全。</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密码加密，用户密码加密存储，保证密码不会外泄。系统能提供账户密码的更换周期控制；密码强弱度的校验等措施，有效保证用户密码的安全使用。</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传输加密，要求能实现 HTTPS 通道访问加密；</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第三方认证，要求在用户名和密码支持外，可以结合第三方认证，包括第三方统一身份认证等。</w:t>
      </w:r>
      <w:r/>
    </w:p>
    <w:p>
      <w:pPr>
        <w:numPr>
          <w:ilvl w:val="0"/>
          <w:numId w:val="9"/>
        </w:numPr>
        <w:ind w:left="0" w:firstLine="480"/>
        <w:spacing w:line="360" w:lineRule="auto"/>
        <w:rPr>
          <w:rFonts w:ascii="宋体" w:hAnsi="宋体" w:cs="仿宋_GB2312"/>
          <w:bCs/>
          <w:sz w:val="24"/>
        </w:rPr>
      </w:pPr>
      <w:r>
        <w:rPr>
          <w:rFonts w:hint="eastAsia" w:ascii="宋体" w:hAnsi="宋体" w:cs="仿宋_GB2312"/>
          <w:bCs/>
          <w:sz w:val="24"/>
        </w:rPr>
        <w:t xml:space="preserve">完善的应用级别权限控制：系统能提供基于个人、单位、部门、群组、角色、岗位、级别的多维度权限控制，系统可以针对以上属性进行灵活的权限设定，确保信息安全的可定义和可执行性。</w:t>
      </w:r>
      <w:r/>
    </w:p>
    <w:p>
      <w:pPr>
        <w:rPr>
          <w:i/>
          <w:iCs/>
          <w:sz w:val="24"/>
        </w:rPr>
      </w:pPr>
      <w:r>
        <w:rPr>
          <w:sz w:val="24"/>
        </w:rPr>
        <w:t xml:space="preserve">3. 验收标准</w:t>
      </w:r>
      <w:r/>
    </w:p>
    <w:p>
      <w:pPr>
        <w:numPr>
          <w:ilvl w:val="0"/>
          <w:numId w:val="0"/>
        </w:numPr>
        <w:ind w:left="480"/>
        <w:spacing w:line="360" w:lineRule="auto"/>
        <w:rPr>
          <w:rFonts w:hint="eastAsia" w:ascii="宋体" w:hAnsi="宋体" w:cs="仿宋_GB2312"/>
          <w:bCs/>
          <w:sz w:val="24"/>
        </w:rPr>
      </w:pPr>
      <w:r>
        <w:rPr>
          <w:rFonts w:hint="eastAsia" w:ascii="宋体" w:hAnsi="宋体" w:cs="仿宋_GB2312"/>
          <w:bCs/>
          <w:sz w:val="24"/>
        </w:rPr>
        <w:t xml:space="preserve">1、所提供服务符合采购合同要求。</w:t>
      </w:r>
      <w:r/>
    </w:p>
    <w:p>
      <w:pPr>
        <w:numPr>
          <w:ilvl w:val="0"/>
          <w:numId w:val="0"/>
        </w:numPr>
        <w:ind w:left="480"/>
        <w:spacing w:line="360" w:lineRule="auto"/>
        <w:rPr>
          <w:rFonts w:hint="eastAsia" w:ascii="宋体" w:hAnsi="宋体" w:cs="仿宋_GB2312"/>
          <w:bCs/>
          <w:sz w:val="24"/>
        </w:rPr>
      </w:pPr>
      <w:r>
        <w:rPr>
          <w:rFonts w:hint="eastAsia" w:ascii="宋体" w:hAnsi="宋体" w:cs="仿宋_GB2312"/>
          <w:bCs/>
          <w:sz w:val="24"/>
        </w:rPr>
        <w:t xml:space="preserve">2、中标单位应保证采购人在使用该项目服务时不受第三方提出侵犯其专利权、版权、商标权和工业设计权等知识产权的起诉。一旦出现侵权，一律由中标单位承担全部责任。</w:t>
      </w:r>
      <w:r/>
    </w:p>
    <w:p>
      <w:pPr>
        <w:numPr>
          <w:ilvl w:val="0"/>
          <w:numId w:val="0"/>
        </w:numPr>
        <w:ind w:left="480"/>
        <w:spacing w:line="360" w:lineRule="auto"/>
        <w:rPr>
          <w:rFonts w:hint="eastAsia" w:ascii="宋体" w:hAnsi="宋体" w:cs="仿宋_GB2312"/>
          <w:bCs/>
          <w:sz w:val="24"/>
        </w:rPr>
      </w:pPr>
      <w:r>
        <w:rPr>
          <w:rFonts w:hint="eastAsia" w:ascii="宋体" w:hAnsi="宋体" w:cs="仿宋_GB2312"/>
          <w:bCs/>
          <w:sz w:val="24"/>
        </w:rPr>
        <w:t xml:space="preserve">3、经双方共同验收，服务达不到采购合同要求的，采购人可以要求中标单位及时整改，直至达到验收标准。</w:t>
      </w:r>
      <w:r/>
    </w:p>
    <w:p>
      <w:pPr>
        <w:rPr>
          <w:sz w:val="24"/>
        </w:rPr>
      </w:pPr>
      <w:r>
        <w:rPr>
          <w:sz w:val="24"/>
        </w:rPr>
        <w:t xml:space="preserve">4. 其他要求</w:t>
      </w:r>
      <w:r/>
    </w:p>
    <w:p>
      <w:pPr>
        <w:rPr>
          <w:sz w:val="24"/>
        </w:rPr>
      </w:pPr>
      <w:r>
        <w:rPr>
          <w:rFonts w:hint="eastAsia"/>
          <w:sz w:val="24"/>
        </w:rPr>
        <w:t xml:space="preserve">无</w:t>
      </w:r>
      <w:r/>
    </w:p>
    <w:p>
      <w:pPr>
        <w:rPr>
          <w:b/>
          <w:sz w:val="28"/>
          <w:szCs w:val="28"/>
        </w:rPr>
      </w:pPr>
      <w:r>
        <w:rPr>
          <w:rFonts w:hint="eastAsia"/>
          <w:sz w:val="28"/>
          <w:szCs w:val="28"/>
        </w:rPr>
        <w:t xml:space="preserve">5. </w:t>
      </w:r>
      <w:r>
        <w:rPr>
          <w:rFonts w:hint="eastAsia"/>
          <w:b/>
          <w:sz w:val="28"/>
          <w:szCs w:val="28"/>
        </w:rPr>
        <w:t xml:space="preserve">实质性要求</w:t>
      </w:r>
      <w:r/>
    </w:p>
    <w:p>
      <w:pPr>
        <w:rPr>
          <w:sz w:val="24"/>
        </w:rPr>
      </w:pPr>
      <w:r>
        <w:rPr>
          <w:rFonts w:hint="eastAsia"/>
          <w:sz w:val="24"/>
        </w:rPr>
        <w:t xml:space="preserve">无。</w:t>
      </w:r>
      <w:r/>
    </w:p>
    <w:p>
      <w:pPr>
        <w:rPr>
          <w:sz w:val="24"/>
          <w:highlight w:val="yellow"/>
        </w:rPr>
      </w:pPr>
      <w:r>
        <w:rPr>
          <w:sz w:val="24"/>
          <w:highlight w:val="yellow"/>
        </w:rPr>
      </w:r>
      <w:r/>
    </w:p>
    <w:p>
      <w:pPr>
        <w:rPr>
          <w:sz w:val="24"/>
        </w:rPr>
      </w:pPr>
      <w:r>
        <w:rPr>
          <w:rFonts w:hint="eastAsia"/>
          <w:sz w:val="24"/>
        </w:rPr>
        <w:t xml:space="preserve">6. 样品</w:t>
      </w:r>
      <w:r/>
    </w:p>
    <w:p>
      <w:pPr>
        <w:rPr>
          <w:sz w:val="24"/>
        </w:rPr>
      </w:pPr>
      <w:r>
        <w:rPr>
          <w:rFonts w:hint="eastAsia"/>
          <w:sz w:val="24"/>
        </w:rPr>
        <w:t xml:space="preserve">无。</w:t>
      </w:r>
      <w:r/>
    </w:p>
    <w:p>
      <w:pPr>
        <w:rPr>
          <w:color w:val="000000"/>
          <w:sz w:val="24"/>
        </w:rPr>
      </w:pPr>
      <w:r>
        <w:rPr>
          <w:rFonts w:hint="eastAsia"/>
          <w:color w:val="000000"/>
          <w:sz w:val="24"/>
        </w:rPr>
        <w:t xml:space="preserve">7. 演示</w:t>
      </w:r>
      <w:r/>
    </w:p>
    <w:p>
      <w:pPr>
        <w:rPr>
          <w:color w:val="000000"/>
          <w:sz w:val="24"/>
        </w:rPr>
      </w:pPr>
      <w:r>
        <w:rPr>
          <w:rFonts w:hint="eastAsia"/>
          <w:color w:val="000000"/>
          <w:sz w:val="24"/>
        </w:rPr>
        <w:t xml:space="preserve">需要演示，根据要求演示。</w:t>
      </w:r>
      <w:r/>
    </w:p>
    <w:p>
      <w:pPr>
        <w:ind w:firstLine="480"/>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8.采购标的对应的中小企业划分标准所属行业一览表</w:t>
      </w:r>
      <w:r/>
    </w:p>
    <w:tbl>
      <w:tblPr>
        <w:tblStyle w:val="714"/>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hint="eastAsia" w:ascii="宋体" w:hAnsi="宋体" w:cs="宋体"/>
                <w:sz w:val="22"/>
                <w:szCs w:val="22"/>
              </w:rPr>
              <w:t xml:space="preserve">低(无)代码+BPM敏捷开发平台</w:t>
            </w:r>
            <w:r/>
          </w:p>
        </w:tc>
        <w:tc>
          <w:tcPr>
            <w:tcW w:w="2852" w:type="dxa"/>
            <w:textDirection w:val="lrTb"/>
            <w:noWrap w:val="false"/>
          </w:tcPr>
          <w:p>
            <w:pPr>
              <w:jc w:val="center"/>
              <w:rPr>
                <w:rFonts w:ascii="宋体" w:hAnsi="宋体"/>
                <w:sz w:val="24"/>
              </w:rPr>
            </w:pPr>
            <w:r>
              <w:rPr>
                <w:rFonts w:hint="eastAsia" w:ascii="宋体" w:hAnsi="宋体"/>
                <w:sz w:val="24"/>
              </w:rPr>
              <w:t xml:space="preserve">软件和信息技术服务业</w:t>
            </w:r>
            <w:r/>
          </w:p>
        </w:tc>
      </w:tr>
    </w:tbl>
    <w:p>
      <w:pPr>
        <w:pStyle w:val="959"/>
        <w:ind w:left="0"/>
        <w:rPr>
          <w:rFonts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ind w:firstLine="480"/>
        <w:rPr>
          <w:rFonts w:ascii="宋体" w:hAnsi="宋体"/>
          <w:color w:val="000000"/>
          <w:sz w:val="24"/>
        </w:rPr>
      </w:pPr>
      <w:r>
        <w:rPr>
          <w:rFonts w:ascii="宋体" w:hAnsi="宋体"/>
          <w:color w:val="000000"/>
          <w:sz w:val="24"/>
        </w:rPr>
      </w:r>
      <w:r/>
    </w:p>
    <w:p>
      <w:r/>
      <w:r/>
    </w:p>
    <w:p>
      <w:r/>
      <w:r/>
    </w:p>
    <w:p>
      <w:r/>
      <w:r/>
    </w:p>
    <w:p>
      <w:pPr>
        <w:pStyle w:val="922"/>
        <w:jc w:val="center"/>
        <w:spacing w:before="120" w:after="120" w:line="0" w:lineRule="atLeast"/>
        <w:rPr>
          <w:rFonts w:hAnsi="宋体"/>
          <w:sz w:val="24"/>
          <w:szCs w:val="24"/>
        </w:rPr>
      </w:pPr>
      <w:r>
        <w:rPr>
          <w:rFonts w:hint="eastAsia" w:hAnsi="宋体"/>
          <w:sz w:val="24"/>
          <w:szCs w:val="24"/>
        </w:rPr>
        <w:t xml:space="preserve"> </w:t>
      </w:r>
      <w:r/>
    </w:p>
    <w:p>
      <w:r/>
      <w:bookmarkStart w:id="195" w:name="_Toc120614281"/>
      <w:r/>
      <w:r/>
    </w:p>
    <w:p>
      <w:pPr>
        <w:pStyle w:val="888"/>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83"/>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83"/>
        <w:ind w:firstLine="439"/>
        <w:rPr>
          <w:rFonts w:ascii="宋体" w:hAnsi="宋体"/>
          <w:b/>
          <w:highlight w:val="yellow"/>
        </w:rPr>
      </w:pPr>
      <w:r>
        <w:rPr>
          <w:rFonts w:hint="eastAsia" w:ascii="宋体" w:hAnsi="宋体"/>
          <w:b/>
        </w:rPr>
        <w:t xml:space="preserve">政府采购政策功能落实</w:t>
      </w:r>
      <w:r/>
    </w:p>
    <w:p>
      <w:pPr>
        <w:pStyle w:val="983"/>
        <w:spacing w:line="0" w:lineRule="atLeast"/>
        <w:rPr>
          <w:rFonts w:ascii="宋体" w:hAnsi="宋体"/>
        </w:rPr>
      </w:pPr>
      <w:r>
        <w:rPr>
          <w:rFonts w:hint="eastAsia" w:ascii="宋体" w:hAnsi="宋体"/>
        </w:rPr>
        <w:t xml:space="preserve">本项目属于专门面向中小企业预留份额采购项目，按规定不再执行小微型企业价格扣除政策。</w:t>
      </w:r>
      <w:r/>
    </w:p>
    <w:p>
      <w:pPr>
        <w:pStyle w:val="983"/>
        <w:spacing w:line="0" w:lineRule="atLeast"/>
        <w:rPr>
          <w:rFonts w:ascii="宋体" w:hAnsi="宋体"/>
          <w:b/>
        </w:rPr>
      </w:pPr>
      <w:r>
        <w:rPr>
          <w:rFonts w:ascii="宋体" w:hAnsi="宋体"/>
          <w:b/>
        </w:rPr>
      </w:r>
      <w:r/>
    </w:p>
    <w:p>
      <w:pPr>
        <w:pStyle w:val="983"/>
        <w:spacing w:line="0" w:lineRule="atLeast"/>
        <w:rPr>
          <w:rFonts w:ascii="宋体" w:hAnsi="宋体"/>
          <w:b/>
          <w:highlight w:val="yellow"/>
        </w:rPr>
      </w:pPr>
      <w:r>
        <w:rPr>
          <w:rFonts w:hint="eastAsia" w:ascii="宋体" w:hAnsi="宋体"/>
          <w:b/>
        </w:rPr>
        <w:t xml:space="preserve">评标方法与评标标准</w:t>
      </w:r>
      <w:r/>
    </w:p>
    <w:tbl>
      <w:tblPr>
        <w:tblStyle w:val="714"/>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919"/>
        <w:gridCol w:w="4932"/>
        <w:gridCol w:w="636"/>
        <w:gridCol w:w="491"/>
        <w:gridCol w:w="494"/>
        <w:gridCol w:w="494"/>
      </w:tblGrid>
      <w:tr>
        <w:trPr>
          <w:jc w:val="center"/>
          <w:trHeight w:val="450"/>
        </w:trPr>
        <w:tc>
          <w:tcPr>
            <w:tcW w:w="553" w:type="dxa"/>
            <w:vAlign w:val="center"/>
            <w:textDirection w:val="lrTb"/>
            <w:noWrap w:val="false"/>
          </w:tcPr>
          <w:p>
            <w:pPr>
              <w:jc w:val="center"/>
              <w:spacing w:line="320" w:lineRule="exact"/>
              <w:rPr>
                <w:rFonts w:ascii="宋体" w:hAnsi="宋体" w:cs="宋体"/>
                <w:b/>
                <w:bCs/>
              </w:rPr>
            </w:pPr>
            <w:r>
              <w:rPr>
                <w:rFonts w:hint="eastAsia" w:ascii="宋体" w:hAnsi="宋体" w:cs="宋体"/>
                <w:b/>
                <w:bCs/>
              </w:rPr>
              <w:t xml:space="preserve">序号</w:t>
            </w:r>
            <w:r/>
          </w:p>
        </w:tc>
        <w:tc>
          <w:tcPr>
            <w:tcW w:w="919" w:type="dxa"/>
            <w:vAlign w:val="center"/>
            <w:textDirection w:val="lrTb"/>
            <w:noWrap w:val="false"/>
          </w:tcPr>
          <w:p>
            <w:pPr>
              <w:jc w:val="center"/>
              <w:spacing w:line="320" w:lineRule="exact"/>
              <w:rPr>
                <w:rFonts w:ascii="宋体" w:hAnsi="宋体" w:cs="宋体"/>
                <w:b/>
                <w:bCs/>
              </w:rPr>
            </w:pPr>
            <w:r>
              <w:rPr>
                <w:rFonts w:hint="eastAsia" w:ascii="宋体" w:hAnsi="宋体" w:cs="宋体"/>
                <w:b/>
                <w:bCs/>
              </w:rPr>
              <w:t xml:space="preserve">评分因素</w:t>
            </w:r>
            <w:r/>
          </w:p>
        </w:tc>
        <w:tc>
          <w:tcPr>
            <w:tcW w:w="4932" w:type="dxa"/>
            <w:vAlign w:val="center"/>
            <w:textDirection w:val="lrTb"/>
            <w:noWrap w:val="false"/>
          </w:tcPr>
          <w:p>
            <w:pPr>
              <w:jc w:val="center"/>
              <w:spacing w:line="320" w:lineRule="exact"/>
              <w:rPr>
                <w:rFonts w:ascii="宋体" w:hAnsi="宋体" w:cs="宋体"/>
                <w:b/>
                <w:bCs/>
              </w:rPr>
            </w:pPr>
            <w:r>
              <w:rPr>
                <w:rFonts w:hint="eastAsia" w:ascii="宋体" w:hAnsi="宋体" w:cs="宋体"/>
                <w:b/>
                <w:bCs/>
              </w:rPr>
              <w:t xml:space="preserve">评分标准和评审材料</w:t>
            </w:r>
            <w:r/>
          </w:p>
        </w:tc>
        <w:tc>
          <w:tcPr>
            <w:tcW w:w="636" w:type="dxa"/>
            <w:vAlign w:val="center"/>
            <w:textDirection w:val="lrTb"/>
            <w:noWrap w:val="false"/>
          </w:tcPr>
          <w:p>
            <w:pPr>
              <w:jc w:val="center"/>
              <w:spacing w:line="320" w:lineRule="exact"/>
              <w:rPr>
                <w:rFonts w:ascii="宋体" w:hAnsi="宋体" w:cs="宋体"/>
                <w:b/>
                <w:bCs/>
              </w:rPr>
            </w:pPr>
            <w:r>
              <w:rPr>
                <w:rFonts w:hint="eastAsia" w:ascii="宋体" w:hAnsi="宋体" w:cs="宋体"/>
                <w:b/>
                <w:bCs/>
              </w:rPr>
              <w:t xml:space="preserve">最低分值</w:t>
            </w:r>
            <w:r/>
          </w:p>
        </w:tc>
        <w:tc>
          <w:tcPr>
            <w:tcW w:w="491" w:type="dxa"/>
            <w:vAlign w:val="center"/>
            <w:textDirection w:val="lrTb"/>
            <w:noWrap w:val="false"/>
          </w:tcPr>
          <w:p>
            <w:pPr>
              <w:jc w:val="center"/>
              <w:spacing w:line="320" w:lineRule="exact"/>
              <w:rPr>
                <w:rFonts w:ascii="宋体" w:hAnsi="宋体" w:cs="宋体"/>
                <w:b/>
                <w:bCs/>
              </w:rPr>
            </w:pPr>
            <w:r>
              <w:rPr>
                <w:rFonts w:hint="eastAsia" w:ascii="宋体" w:hAnsi="宋体" w:cs="宋体"/>
                <w:b/>
                <w:bCs/>
              </w:rPr>
              <w:t xml:space="preserve">最高分值</w:t>
            </w:r>
            <w:r/>
          </w:p>
        </w:tc>
        <w:tc>
          <w:tcPr>
            <w:tcW w:w="494" w:type="dxa"/>
            <w:vAlign w:val="center"/>
            <w:textDirection w:val="lrTb"/>
            <w:noWrap w:val="false"/>
          </w:tcPr>
          <w:p>
            <w:pPr>
              <w:jc w:val="center"/>
              <w:spacing w:line="320" w:lineRule="exact"/>
              <w:rPr>
                <w:rFonts w:ascii="宋体" w:hAnsi="宋体" w:cs="宋体"/>
                <w:b/>
                <w:bCs/>
              </w:rPr>
            </w:pPr>
            <w:r>
              <w:rPr>
                <w:rFonts w:ascii="宋体" w:hAnsi="宋体" w:cs="宋体"/>
                <w:b/>
                <w:bCs/>
              </w:rPr>
            </w:r>
            <w:r/>
          </w:p>
        </w:tc>
        <w:tc>
          <w:tcPr>
            <w:tcW w:w="494" w:type="dxa"/>
            <w:vAlign w:val="center"/>
            <w:textDirection w:val="lrTb"/>
            <w:noWrap w:val="false"/>
          </w:tcPr>
          <w:p>
            <w:pPr>
              <w:jc w:val="center"/>
              <w:spacing w:line="320" w:lineRule="exact"/>
              <w:rPr>
                <w:rFonts w:ascii="宋体" w:hAnsi="宋体" w:cs="宋体"/>
                <w:b/>
                <w:bCs/>
              </w:rPr>
            </w:pPr>
            <w:r>
              <w:rPr>
                <w:rFonts w:ascii="宋体" w:hAnsi="宋体" w:cs="宋体"/>
                <w:b/>
                <w:bCs/>
              </w:rPr>
            </w:r>
            <w:r/>
          </w:p>
        </w:tc>
      </w:tr>
      <w:tr>
        <w:trPr>
          <w:jc w:val="center"/>
        </w:trPr>
        <w:tc>
          <w:tcPr>
            <w:tcW w:w="553" w:type="dxa"/>
            <w:vAlign w:val="center"/>
            <w:textDirection w:val="lrTb"/>
            <w:noWrap w:val="false"/>
          </w:tcPr>
          <w:p>
            <w:pPr>
              <w:jc w:val="center"/>
              <w:spacing w:line="320" w:lineRule="exact"/>
              <w:rPr>
                <w:rFonts w:ascii="宋体" w:hAnsi="宋体" w:cs="宋体"/>
                <w:b/>
                <w:bCs/>
                <w:lang w:val="zh-CN" w:bidi="zh-CN"/>
              </w:rPr>
            </w:pPr>
            <w:r>
              <w:rPr>
                <w:rFonts w:hint="eastAsia" w:ascii="宋体" w:hAnsi="宋体" w:cs="宋体"/>
                <w:b/>
                <w:bCs/>
                <w:lang w:val="zh-CN" w:bidi="zh-CN"/>
              </w:rPr>
              <w:t xml:space="preserve">1</w:t>
            </w:r>
            <w:r/>
          </w:p>
        </w:tc>
        <w:tc>
          <w:tcPr>
            <w:tcW w:w="919" w:type="dxa"/>
            <w:vAlign w:val="center"/>
            <w:textDirection w:val="lrTb"/>
            <w:noWrap w:val="false"/>
          </w:tcPr>
          <w:p>
            <w:pPr>
              <w:jc w:val="center"/>
              <w:spacing w:line="320" w:lineRule="exact"/>
              <w:rPr>
                <w:rFonts w:ascii="宋体" w:hAnsi="宋体" w:cs="宋体"/>
                <w:b/>
                <w:bCs/>
                <w:lang w:val="zh-CN" w:bidi="zh-CN"/>
              </w:rPr>
            </w:pPr>
            <w:r>
              <w:rPr>
                <w:rFonts w:hint="eastAsia" w:ascii="宋体" w:hAnsi="宋体" w:cs="宋体"/>
                <w:b/>
                <w:bCs/>
                <w:lang w:val="zh-CN" w:bidi="zh-CN"/>
              </w:rPr>
              <w:t xml:space="preserve">价格分</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w:t>
            </w:r>
            <w:r>
              <w:rPr>
                <w:rFonts w:hint="eastAsia" w:ascii="宋体" w:hAnsi="宋体" w:cs="宋体"/>
                <w:lang w:val="zh-CN" w:bidi="zh-CN"/>
              </w:rPr>
              <w:t xml:space="preserve">采用低价优先法计算，即满足采购文件要求且</w:t>
            </w:r>
            <w:r>
              <w:rPr>
                <w:rFonts w:hint="eastAsia" w:ascii="宋体" w:hAnsi="宋体" w:cs="宋体"/>
                <w:lang w:bidi="zh-CN"/>
              </w:rPr>
              <w:t xml:space="preserve">磋商</w:t>
            </w:r>
            <w:r>
              <w:rPr>
                <w:rFonts w:hint="eastAsia" w:ascii="宋体" w:hAnsi="宋体" w:cs="宋体"/>
                <w:lang w:val="zh-CN" w:bidi="zh-CN"/>
              </w:rPr>
              <w:t xml:space="preserve">价格最低的</w:t>
            </w:r>
            <w:r>
              <w:rPr>
                <w:rFonts w:hint="eastAsia" w:ascii="宋体" w:hAnsi="宋体" w:cs="宋体"/>
                <w:lang w:bidi="zh-CN"/>
              </w:rPr>
              <w:t xml:space="preserve">磋商</w:t>
            </w:r>
            <w:r>
              <w:rPr>
                <w:rFonts w:hint="eastAsia" w:ascii="宋体" w:hAnsi="宋体" w:cs="宋体"/>
                <w:lang w:val="zh-CN" w:bidi="zh-CN"/>
              </w:rPr>
              <w:t xml:space="preserve">报价为评标基准价，其价格分为满分。其他供应商的价格分统一按照下列公式计算：</w:t>
            </w:r>
            <w:r>
              <w:rPr>
                <w:rFonts w:hint="eastAsia" w:ascii="宋体" w:hAnsi="宋体" w:cs="宋体"/>
                <w:lang w:bidi="zh-CN"/>
              </w:rPr>
              <w:t xml:space="preserve">磋商</w:t>
            </w:r>
            <w:r>
              <w:rPr>
                <w:rFonts w:hint="eastAsia" w:ascii="宋体" w:hAnsi="宋体" w:cs="宋体"/>
                <w:lang w:val="zh-CN" w:bidi="zh-CN"/>
              </w:rPr>
              <w:t xml:space="preserve">报价得分=(评标基准价／</w:t>
            </w:r>
            <w:r>
              <w:rPr>
                <w:rFonts w:hint="eastAsia" w:ascii="宋体" w:hAnsi="宋体" w:cs="宋体"/>
                <w:lang w:bidi="zh-CN"/>
              </w:rPr>
              <w:t xml:space="preserve">磋商</w:t>
            </w:r>
            <w:r>
              <w:rPr>
                <w:rFonts w:hint="eastAsia" w:ascii="宋体" w:hAnsi="宋体" w:cs="宋体"/>
                <w:lang w:val="zh-CN" w:bidi="zh-CN"/>
              </w:rPr>
              <w:t xml:space="preserve">报价)×价格权值×100。</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提供开标一览表、投标分项报价表</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15</w:t>
            </w:r>
            <w:r/>
          </w:p>
        </w:tc>
        <w:tc>
          <w:tcPr>
            <w:tcW w:w="494" w:type="dxa"/>
            <w:vAlign w:val="center"/>
            <w:textDirection w:val="lrTb"/>
            <w:noWrap w:val="false"/>
          </w:tcPr>
          <w:p>
            <w:pPr>
              <w:jc w:val="center"/>
              <w:spacing w:line="320" w:lineRule="exact"/>
              <w:rPr>
                <w:rFonts w:ascii="宋体" w:hAnsi="宋体" w:cs="宋体"/>
                <w:lang w:bidi="zh-CN"/>
              </w:rPr>
            </w:pPr>
            <w:r>
              <w:rPr>
                <w:rFonts w:ascii="宋体" w:hAnsi="宋体" w:cs="宋体"/>
                <w:lang w:bidi="zh-CN"/>
              </w:rPr>
            </w:r>
            <w:r/>
          </w:p>
        </w:tc>
        <w:tc>
          <w:tcPr>
            <w:tcW w:w="494" w:type="dxa"/>
            <w:vAlign w:val="center"/>
            <w:textDirection w:val="lrTb"/>
            <w:noWrap w:val="false"/>
          </w:tcPr>
          <w:p>
            <w:pPr>
              <w:jc w:val="center"/>
              <w:spacing w:line="320" w:lineRule="exact"/>
              <w:rPr>
                <w:rFonts w:ascii="宋体" w:hAnsi="宋体" w:cs="宋体"/>
                <w:lang w:bidi="zh-CN"/>
              </w:rPr>
            </w:pPr>
            <w:r>
              <w:rPr>
                <w:rFonts w:ascii="宋体" w:hAnsi="宋体" w:cs="宋体"/>
                <w:lang w:bidi="zh-CN"/>
              </w:rPr>
            </w:r>
            <w:r/>
          </w:p>
        </w:tc>
      </w:tr>
      <w:tr>
        <w:trPr>
          <w:jc w:val="center"/>
        </w:trPr>
        <w:tc>
          <w:tcPr>
            <w:tcW w:w="553"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rPr>
              <w:t xml:space="preserve">序号</w:t>
            </w:r>
            <w:r/>
          </w:p>
        </w:tc>
        <w:tc>
          <w:tcPr>
            <w:tcW w:w="919"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rPr>
              <w:t xml:space="preserve">评分因素</w:t>
            </w:r>
            <w:r/>
          </w:p>
        </w:tc>
        <w:tc>
          <w:tcPr>
            <w:tcW w:w="4932"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b/>
                <w:bCs/>
              </w:rPr>
              <w:t xml:space="preserve">评分标准和评审材料</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b/>
                <w:bCs/>
              </w:rPr>
              <w:t xml:space="preserve">最低分值</w:t>
            </w:r>
            <w:r/>
          </w:p>
        </w:tc>
        <w:tc>
          <w:tcPr>
            <w:tcW w:w="491"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rPr>
              <w:t xml:space="preserve">最高分值</w:t>
            </w:r>
            <w:r/>
          </w:p>
        </w:tc>
        <w:tc>
          <w:tcPr>
            <w:tcW w:w="494"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lang w:bidi="zh-CN"/>
              </w:rPr>
              <w:t xml:space="preserve">是否暗标评审</w:t>
            </w:r>
            <w:r/>
          </w:p>
        </w:tc>
        <w:tc>
          <w:tcPr>
            <w:tcW w:w="494"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lang w:bidi="zh-CN"/>
              </w:rPr>
              <w:t xml:space="preserve">是否客观分</w:t>
            </w:r>
            <w:r/>
          </w:p>
        </w:tc>
      </w:tr>
      <w:tr>
        <w:trPr>
          <w:jc w:val="center"/>
        </w:trPr>
        <w:tc>
          <w:tcPr>
            <w:tcW w:w="553" w:type="dxa"/>
            <w:vAlign w:val="center"/>
            <w:textDirection w:val="lrTb"/>
            <w:noWrap w:val="false"/>
          </w:tcPr>
          <w:p>
            <w:pPr>
              <w:jc w:val="center"/>
              <w:spacing w:line="320" w:lineRule="exact"/>
              <w:rPr>
                <w:rFonts w:ascii="宋体" w:hAnsi="宋体" w:cs="宋体"/>
                <w:b/>
                <w:bCs/>
                <w:lang w:bidi="zh-CN"/>
              </w:rPr>
            </w:pPr>
            <w:r>
              <w:rPr>
                <w:rFonts w:ascii="宋体" w:hAnsi="宋体" w:cs="宋体"/>
                <w:b/>
                <w:bCs/>
                <w:lang w:bidi="zh-CN"/>
              </w:rPr>
            </w:r>
            <w:r/>
          </w:p>
        </w:tc>
        <w:tc>
          <w:tcPr>
            <w:tcW w:w="91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spacing w:line="320" w:lineRule="exact"/>
              <w:rPr>
                <w:rFonts w:ascii="宋体" w:hAnsi="宋体" w:cs="宋体"/>
                <w:b/>
                <w:bCs/>
                <w:lang w:bidi="zh-CN"/>
              </w:rPr>
            </w:pPr>
            <w:r>
              <w:rPr>
                <w:rFonts w:hint="eastAsia" w:ascii="宋体" w:hAnsi="宋体" w:cs="宋体"/>
                <w:b/>
                <w:bCs/>
                <w:sz w:val="20"/>
                <w:szCs w:val="20"/>
              </w:rPr>
              <w:t xml:space="preserve">（主观分）</w:t>
            </w:r>
            <w:r/>
          </w:p>
        </w:tc>
        <w:tc>
          <w:tcPr>
            <w:tcW w:w="4932"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b/>
                <w:bCs/>
                <w:color w:val="191919"/>
                <w:sz w:val="24"/>
                <w:szCs w:val="24"/>
                <w:lang w:bidi="ar"/>
              </w:rPr>
              <w:t xml:space="preserve">下列评分项属于暗标评审项，各投标人（供应商）提供评审材料（含样品）中不能出现投标人（供应商）的名称、标志、标记以及其它能够体现投标人（供应商）的信息，否则所有暗标评审项目均不得分。</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b/>
                <w:bCs/>
                <w:lang w:bidi="zh-CN"/>
              </w:rPr>
              <w:t xml:space="preserve">20</w:t>
            </w:r>
            <w:r/>
          </w:p>
        </w:tc>
        <w:tc>
          <w:tcPr>
            <w:tcW w:w="494"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rPr>
              <w:t xml:space="preserve">是</w:t>
            </w:r>
            <w:r/>
          </w:p>
        </w:tc>
        <w:tc>
          <w:tcPr>
            <w:tcW w:w="494" w:type="dxa"/>
            <w:vAlign w:val="center"/>
            <w:textDirection w:val="lrTb"/>
            <w:noWrap w:val="false"/>
          </w:tcPr>
          <w:p>
            <w:pPr>
              <w:jc w:val="center"/>
              <w:spacing w:line="320" w:lineRule="exact"/>
              <w:rPr>
                <w:rFonts w:ascii="宋体" w:hAnsi="宋体" w:cs="宋体"/>
                <w:b/>
                <w:bCs/>
                <w:lang w:bidi="zh-CN"/>
              </w:rPr>
            </w:pPr>
            <w:r>
              <w:rPr>
                <w:rFonts w:hint="eastAsia" w:ascii="宋体" w:hAnsi="宋体" w:cs="宋体"/>
              </w:rPr>
              <w:t xml:space="preserve">否</w:t>
            </w:r>
            <w:r/>
          </w:p>
        </w:tc>
      </w:tr>
      <w:tr>
        <w:trPr>
          <w:jc w:val="center"/>
          <w:trHeight w:val="2960"/>
        </w:trPr>
        <w:tc>
          <w:tcPr>
            <w:tcW w:w="553"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2.1</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整体方案设计</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w:t>
            </w:r>
            <w:r>
              <w:rPr>
                <w:rFonts w:hint="eastAsia" w:ascii="宋体" w:hAnsi="宋体" w:cs="宋体"/>
                <w:b/>
                <w:bCs/>
                <w:lang w:val="zh-CN" w:bidi="zh-CN"/>
              </w:rPr>
              <w:t xml:space="preserve">根据方案可行性、操作便捷性、与本项目低代码技术要求契合度、系统总体设计的可靠性、可维护性等打分：</w:t>
            </w:r>
            <w:r>
              <w:rPr>
                <w:rFonts w:hint="eastAsia" w:ascii="宋体" w:hAnsi="宋体" w:cs="宋体"/>
                <w:lang w:val="zh-CN" w:bidi="zh-CN"/>
              </w:rPr>
              <w:t xml:space="preserve">方案可行性、操作便捷性、与本项目契合度、系统总体设计的可靠性、可维护性强、完全理解需求且说明清晰、产品扩展能力及产品能力契合度高得</w:t>
            </w:r>
            <w:r>
              <w:rPr>
                <w:rFonts w:hint="eastAsia" w:ascii="宋体" w:hAnsi="宋体" w:cs="宋体"/>
                <w:lang w:bidi="zh-CN"/>
              </w:rPr>
              <w:t xml:space="preserve">4</w:t>
            </w:r>
            <w:r>
              <w:rPr>
                <w:rFonts w:hint="eastAsia" w:ascii="宋体" w:hAnsi="宋体" w:cs="宋体"/>
                <w:lang w:val="zh-CN" w:bidi="zh-CN"/>
              </w:rPr>
              <w:t xml:space="preserve">分；方案可行性、技术操作性、与本项目契合度、系统总体设计的可靠性、可维护性较强，得</w:t>
            </w:r>
            <w:r>
              <w:rPr>
                <w:rFonts w:hint="eastAsia" w:ascii="宋体" w:hAnsi="宋体" w:cs="宋体"/>
                <w:lang w:bidi="zh-CN"/>
              </w:rPr>
              <w:t xml:space="preserve">3</w:t>
            </w:r>
            <w:r>
              <w:rPr>
                <w:rFonts w:hint="eastAsia" w:ascii="宋体" w:hAnsi="宋体" w:cs="宋体"/>
                <w:lang w:val="zh-CN" w:bidi="zh-CN"/>
              </w:rPr>
              <w:t xml:space="preserve">分；方案可行性、技术操作性、与本项目契合度、系统总体设计的可靠性、可维护性一般得</w:t>
            </w:r>
            <w:r>
              <w:rPr>
                <w:rFonts w:hint="eastAsia" w:ascii="宋体" w:hAnsi="宋体" w:cs="宋体"/>
                <w:lang w:bidi="zh-CN"/>
              </w:rPr>
              <w:t xml:space="preserve">2</w:t>
            </w:r>
            <w:r>
              <w:rPr>
                <w:rFonts w:hint="eastAsia" w:ascii="宋体" w:hAnsi="宋体" w:cs="宋体"/>
                <w:lang w:val="zh-CN" w:bidi="zh-CN"/>
              </w:rPr>
              <w:t xml:space="preserve">分；案可行性、技术操作性、与本项目契合度、系统总体设计的可靠性、可维护性较差得</w:t>
            </w:r>
            <w:r>
              <w:rPr>
                <w:rFonts w:hint="eastAsia" w:ascii="宋体" w:hAnsi="宋体" w:cs="宋体"/>
                <w:lang w:bidi="zh-CN"/>
              </w:rPr>
              <w:t xml:space="preserve">1</w:t>
            </w:r>
            <w:r>
              <w:rPr>
                <w:rFonts w:hint="eastAsia" w:ascii="宋体" w:hAnsi="宋体" w:cs="宋体"/>
                <w:lang w:val="zh-CN" w:bidi="zh-CN"/>
              </w:rPr>
              <w:t xml:space="preserve">分；无方案不得分。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提供整体设计方案</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bidi="zh-CN"/>
              </w:rPr>
            </w:pPr>
            <w:r>
              <w:rPr>
                <w:rFonts w:hint="eastAsia" w:ascii="宋体" w:hAnsi="宋体" w:cs="宋体"/>
              </w:rPr>
              <w:t xml:space="preserve">4</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是</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r>
      <w:tr>
        <w:trPr>
          <w:jc w:val="center"/>
          <w:trHeight w:val="466"/>
        </w:trPr>
        <w:tc>
          <w:tcPr>
            <w:tcW w:w="553"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val="zh-CN" w:bidi="zh-CN"/>
              </w:rPr>
              <w:t xml:space="preserve">2.</w:t>
            </w:r>
            <w:r>
              <w:rPr>
                <w:rFonts w:hint="eastAsia" w:ascii="宋体" w:hAnsi="宋体" w:cs="宋体"/>
                <w:lang w:bidi="zh-CN"/>
              </w:rPr>
              <w:t xml:space="preserve">2</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项目实施方案</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w:t>
            </w:r>
            <w:r>
              <w:rPr>
                <w:rFonts w:hint="eastAsia" w:ascii="宋体" w:hAnsi="宋体" w:cs="宋体"/>
                <w:b/>
                <w:bCs/>
                <w:lang w:val="zh-CN" w:bidi="zh-CN"/>
              </w:rPr>
              <w:t xml:space="preserve">根据供应商对本项目整体管理方案和实施的科学性、可行性、先进性、合理性、完善程度进行整体评价（</w:t>
            </w:r>
            <w:r>
              <w:rPr>
                <w:rFonts w:hint="eastAsia" w:ascii="宋体" w:hAnsi="宋体" w:cs="宋体"/>
                <w:b/>
                <w:bCs/>
                <w:lang w:bidi="zh-CN"/>
              </w:rPr>
              <w:t xml:space="preserve">内容包括但不限于</w:t>
            </w:r>
            <w:r>
              <w:rPr>
                <w:rFonts w:hint="eastAsia" w:ascii="宋体" w:hAnsi="宋体" w:cs="宋体"/>
                <w:b/>
                <w:bCs/>
                <w:lang w:val="zh-CN" w:bidi="zh-CN"/>
              </w:rPr>
              <w:t xml:space="preserve">技术要求响应、项目实施计划、项目组织方式、人员安排与任务分工、项目进度控制、项目汇报沟通机制等</w:t>
            </w:r>
            <w:r>
              <w:rPr>
                <w:rFonts w:hint="eastAsia" w:ascii="宋体" w:hAnsi="宋体" w:cs="宋体"/>
                <w:b/>
                <w:bCs/>
                <w:lang w:bidi="zh-CN"/>
              </w:rPr>
              <w:t xml:space="preserve">）：</w:t>
            </w:r>
            <w:r>
              <w:rPr>
                <w:rFonts w:hint="eastAsia" w:ascii="宋体" w:hAnsi="宋体" w:cs="宋体"/>
                <w:lang w:val="zh-CN" w:bidi="zh-CN"/>
              </w:rPr>
              <w:t xml:space="preserve">实施方案完全符合采购人实际需求，方案内容完整，设计合理，结构性强、可行性强、有项目保障措施得</w:t>
            </w:r>
            <w:r>
              <w:rPr>
                <w:rFonts w:hint="eastAsia" w:ascii="宋体" w:hAnsi="宋体" w:cs="宋体"/>
                <w:lang w:bidi="zh-CN"/>
              </w:rPr>
              <w:t xml:space="preserve">4</w:t>
            </w:r>
            <w:r>
              <w:rPr>
                <w:rFonts w:hint="eastAsia" w:ascii="宋体" w:hAnsi="宋体" w:cs="宋体"/>
                <w:lang w:val="zh-CN" w:bidi="zh-CN"/>
              </w:rPr>
              <w:t xml:space="preserve">分，方案基本符合采购人实际需求，架构满足需求，具有一定的分析阐述方案，内容较完整，设计较合理，可行性较强的</w:t>
            </w:r>
            <w:r>
              <w:rPr>
                <w:rFonts w:hint="eastAsia" w:ascii="宋体" w:hAnsi="宋体" w:cs="宋体"/>
                <w:lang w:bidi="zh-CN"/>
              </w:rPr>
              <w:t xml:space="preserve">得3</w:t>
            </w:r>
            <w:r>
              <w:rPr>
                <w:rFonts w:hint="eastAsia" w:ascii="宋体" w:hAnsi="宋体" w:cs="宋体"/>
                <w:lang w:val="zh-CN" w:bidi="zh-CN"/>
              </w:rPr>
              <w:t xml:space="preserve">分；方案部分符合采购人实际需求，方案内容欠完整，设计欠合理，可行性低</w:t>
            </w:r>
            <w:r>
              <w:rPr>
                <w:rFonts w:hint="eastAsia" w:ascii="宋体" w:hAnsi="宋体" w:cs="宋体"/>
                <w:lang w:bidi="zh-CN"/>
              </w:rPr>
              <w:t xml:space="preserve">得2</w:t>
            </w:r>
            <w:r>
              <w:rPr>
                <w:rFonts w:hint="eastAsia" w:ascii="宋体" w:hAnsi="宋体" w:cs="宋体"/>
                <w:lang w:val="zh-CN" w:bidi="zh-CN"/>
              </w:rPr>
              <w:t xml:space="preserve">分，不提供不得分。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：提供项目实施方案</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4</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是</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rPr>
              <w:t xml:space="preserve">否</w:t>
            </w:r>
            <w:r/>
          </w:p>
        </w:tc>
      </w:tr>
      <w:tr>
        <w:trPr>
          <w:jc w:val="center"/>
        </w:trPr>
        <w:tc>
          <w:tcPr>
            <w:tcW w:w="553"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2.3</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项目保障方案</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评分标准：供应商提供</w:t>
            </w:r>
            <w:r>
              <w:rPr>
                <w:rFonts w:hint="eastAsia" w:ascii="宋体" w:hAnsi="宋体" w:cs="宋体"/>
                <w:b/>
                <w:bCs/>
                <w:lang w:val="zh-CN" w:bidi="zh-CN"/>
              </w:rPr>
              <w:t xml:space="preserve">项目保障方案（</w:t>
            </w:r>
            <w:r>
              <w:rPr>
                <w:rFonts w:hint="eastAsia" w:ascii="宋体" w:hAnsi="宋体" w:cs="宋体"/>
                <w:b/>
                <w:bCs/>
                <w:lang w:bidi="zh-CN"/>
              </w:rPr>
              <w:t xml:space="preserve">内容包括但不限于</w:t>
            </w:r>
            <w:r>
              <w:rPr>
                <w:rFonts w:hint="eastAsia" w:ascii="宋体" w:hAnsi="宋体" w:cs="宋体"/>
                <w:b/>
                <w:bCs/>
                <w:lang w:val="zh-CN" w:bidi="zh-CN"/>
              </w:rPr>
              <w:t xml:space="preserve">质量目标承诺、质量保证措施；项目开发进度计划目标承诺、进度计划以及保证措施</w:t>
            </w:r>
            <w:r>
              <w:rPr>
                <w:rFonts w:hint="eastAsia" w:ascii="宋体" w:hAnsi="宋体" w:cs="宋体"/>
                <w:b/>
                <w:bCs/>
                <w:lang w:bidi="zh-CN"/>
              </w:rPr>
              <w:t xml:space="preserve">等）：</w:t>
            </w:r>
            <w:r>
              <w:rPr>
                <w:rFonts w:hint="eastAsia" w:ascii="宋体" w:hAnsi="宋体" w:cs="宋体"/>
                <w:lang w:bidi="zh-CN"/>
              </w:rPr>
              <w:t xml:space="preserve">方案内容完善具体，保证措施合理性、可行性强得4分；</w:t>
            </w:r>
            <w:r>
              <w:rPr>
                <w:rFonts w:hint="eastAsia" w:ascii="宋体" w:hAnsi="宋体" w:cs="宋体"/>
                <w:lang w:val="zh-CN" w:bidi="zh-CN"/>
              </w:rPr>
              <w:t xml:space="preserve">方案基本符合采购人实际需求，满足需求，具有一定的分析阐述方案，内容较完整，设计较合理，可行性较强的</w:t>
            </w:r>
            <w:r>
              <w:rPr>
                <w:rFonts w:hint="eastAsia" w:ascii="宋体" w:hAnsi="宋体" w:cs="宋体"/>
                <w:lang w:bidi="zh-CN"/>
              </w:rPr>
              <w:t xml:space="preserve">得3</w:t>
            </w:r>
            <w:r>
              <w:rPr>
                <w:rFonts w:hint="eastAsia" w:ascii="宋体" w:hAnsi="宋体" w:cs="宋体"/>
                <w:lang w:val="zh-CN" w:bidi="zh-CN"/>
              </w:rPr>
              <w:t xml:space="preserve">分；</w:t>
            </w:r>
            <w:r>
              <w:rPr>
                <w:rFonts w:hint="eastAsia" w:ascii="宋体" w:hAnsi="宋体" w:cs="宋体"/>
                <w:lang w:bidi="zh-CN"/>
              </w:rPr>
              <w:t xml:space="preserve">方案内容</w:t>
            </w:r>
            <w:r>
              <w:rPr>
                <w:rFonts w:hint="eastAsia" w:ascii="宋体" w:hAnsi="宋体" w:cs="宋体"/>
                <w:lang w:val="zh-CN" w:bidi="zh-CN"/>
              </w:rPr>
              <w:t xml:space="preserve">有详细计划，内容</w:t>
            </w:r>
            <w:r>
              <w:rPr>
                <w:rFonts w:hint="eastAsia" w:ascii="宋体" w:hAnsi="宋体" w:cs="宋体"/>
                <w:lang w:bidi="zh-CN"/>
              </w:rPr>
              <w:t xml:space="preserve">欠</w:t>
            </w:r>
            <w:r>
              <w:rPr>
                <w:rFonts w:hint="eastAsia" w:ascii="宋体" w:hAnsi="宋体" w:cs="宋体"/>
                <w:lang w:val="zh-CN" w:bidi="zh-CN"/>
              </w:rPr>
              <w:t xml:space="preserve">完善得</w:t>
            </w:r>
            <w:r>
              <w:rPr>
                <w:rFonts w:hint="eastAsia" w:ascii="宋体" w:hAnsi="宋体" w:cs="宋体"/>
                <w:lang w:bidi="zh-CN"/>
              </w:rPr>
              <w:t xml:space="preserve">2</w:t>
            </w:r>
            <w:r>
              <w:rPr>
                <w:rFonts w:hint="eastAsia" w:ascii="宋体" w:hAnsi="宋体" w:cs="宋体"/>
                <w:lang w:val="zh-CN" w:bidi="zh-CN"/>
              </w:rPr>
              <w:t xml:space="preserve">分；不提供不得分。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提供项目保障方案</w:t>
            </w:r>
            <w:r/>
          </w:p>
        </w:tc>
        <w:tc>
          <w:tcPr>
            <w:tcW w:w="636"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0</w:t>
            </w:r>
            <w:r/>
          </w:p>
        </w:tc>
        <w:tc>
          <w:tcPr>
            <w:tcW w:w="491"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4</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是</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r>
      <w:tr>
        <w:trPr>
          <w:jc w:val="center"/>
        </w:trPr>
        <w:tc>
          <w:tcPr>
            <w:tcW w:w="553"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val="zh-CN" w:bidi="zh-CN"/>
              </w:rPr>
              <w:t xml:space="preserve">2.</w:t>
            </w:r>
            <w:r>
              <w:rPr>
                <w:rFonts w:hint="eastAsia" w:ascii="宋体" w:hAnsi="宋体" w:cs="宋体"/>
                <w:lang w:bidi="zh-CN"/>
              </w:rPr>
              <w:t xml:space="preserve">4</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培训方案</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评分标准：供应商提供培训方案（内容</w:t>
            </w:r>
            <w:r>
              <w:rPr>
                <w:rFonts w:hint="eastAsia" w:ascii="宋体" w:hAnsi="宋体" w:cs="宋体"/>
                <w:b/>
                <w:bCs/>
                <w:lang w:val="zh-CN" w:bidi="zh-CN"/>
              </w:rPr>
              <w:t xml:space="preserve">包括但不限于：培训计划、培训类别、培训课程、授课人员、培训对象与人数等）：</w:t>
            </w:r>
            <w:r>
              <w:rPr>
                <w:rFonts w:hint="eastAsia" w:ascii="宋体" w:hAnsi="宋体" w:cs="宋体"/>
                <w:lang w:val="zh-CN" w:bidi="zh-CN"/>
              </w:rPr>
              <w:t xml:space="preserve">方案科学合理、完整、切实可行，能保证采购人熟练操作和使用，培训人员安排2人以上、授课课程内容安排清晰得</w:t>
            </w:r>
            <w:r>
              <w:rPr>
                <w:rFonts w:hint="eastAsia" w:ascii="宋体" w:hAnsi="宋体" w:cs="宋体"/>
                <w:lang w:bidi="zh-CN"/>
              </w:rPr>
              <w:t xml:space="preserve">4</w:t>
            </w:r>
            <w:r>
              <w:rPr>
                <w:rFonts w:hint="eastAsia" w:ascii="宋体" w:hAnsi="宋体" w:cs="宋体"/>
                <w:lang w:val="zh-CN" w:bidi="zh-CN"/>
              </w:rPr>
              <w:t xml:space="preserve">分；方案内容较完善、较符合项目要求，得</w:t>
            </w:r>
            <w:r>
              <w:rPr>
                <w:rFonts w:hint="eastAsia" w:ascii="宋体" w:hAnsi="宋体" w:cs="宋体"/>
                <w:lang w:bidi="zh-CN"/>
              </w:rPr>
              <w:t xml:space="preserve">3</w:t>
            </w:r>
            <w:r>
              <w:rPr>
                <w:rFonts w:hint="eastAsia" w:ascii="宋体" w:hAnsi="宋体" w:cs="宋体"/>
                <w:lang w:val="zh-CN" w:bidi="zh-CN"/>
              </w:rPr>
              <w:t xml:space="preserve">分；无指定人员培训、培训内容简单、基本符合要求，得</w:t>
            </w:r>
            <w:r>
              <w:rPr>
                <w:rFonts w:hint="eastAsia" w:ascii="宋体" w:hAnsi="宋体" w:cs="宋体"/>
                <w:lang w:bidi="zh-CN"/>
              </w:rPr>
              <w:t xml:space="preserve">2</w:t>
            </w:r>
            <w:r>
              <w:rPr>
                <w:rFonts w:hint="eastAsia" w:ascii="宋体" w:hAnsi="宋体" w:cs="宋体"/>
                <w:lang w:val="zh-CN" w:bidi="zh-CN"/>
              </w:rPr>
              <w:t xml:space="preserve">分，不提供不得分。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提供培训方案</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4</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是</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rPr>
              <w:t xml:space="preserve">否</w:t>
            </w:r>
            <w:r/>
          </w:p>
        </w:tc>
      </w:tr>
      <w:tr>
        <w:trPr>
          <w:jc w:val="center"/>
        </w:trPr>
        <w:tc>
          <w:tcPr>
            <w:tcW w:w="553"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val="zh-CN" w:bidi="zh-CN"/>
              </w:rPr>
              <w:t xml:space="preserve">2.</w:t>
            </w:r>
            <w:r>
              <w:rPr>
                <w:rFonts w:hint="eastAsia" w:ascii="宋体" w:hAnsi="宋体" w:cs="宋体"/>
                <w:lang w:bidi="zh-CN"/>
              </w:rPr>
              <w:t xml:space="preserve">5</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售后服务方案</w:t>
            </w:r>
            <w:r/>
          </w:p>
        </w:tc>
        <w:tc>
          <w:tcPr>
            <w:tcW w:w="4932" w:type="dxa"/>
            <w:textDirection w:val="lrTb"/>
            <w:noWrap w:val="false"/>
          </w:tcPr>
          <w:p>
            <w:pPr>
              <w:jc w:val="left"/>
              <w:spacing w:line="320" w:lineRule="exact"/>
              <w:rPr>
                <w:rFonts w:ascii="宋体" w:hAnsi="宋体" w:cs="宋体"/>
                <w:b/>
                <w:bCs/>
                <w:lang w:val="zh-CN" w:bidi="zh-CN"/>
              </w:rPr>
            </w:pPr>
            <w:r>
              <w:rPr>
                <w:rFonts w:hint="eastAsia" w:ascii="宋体" w:hAnsi="宋体" w:cs="宋体"/>
                <w:b/>
                <w:bCs/>
                <w:lang w:bidi="zh-CN"/>
              </w:rPr>
              <w:t xml:space="preserve">评分标准：供应商提供</w:t>
            </w:r>
            <w:r>
              <w:rPr>
                <w:rFonts w:hint="eastAsia" w:ascii="宋体" w:hAnsi="宋体" w:cs="宋体"/>
                <w:b/>
                <w:bCs/>
                <w:lang w:val="zh-CN" w:bidi="zh-CN"/>
              </w:rPr>
              <w:t xml:space="preserve">售后服务方案（</w:t>
            </w:r>
            <w:r>
              <w:rPr>
                <w:rFonts w:hint="eastAsia" w:ascii="宋体" w:hAnsi="宋体" w:cs="宋体"/>
                <w:b/>
                <w:bCs/>
                <w:lang w:bidi="zh-CN"/>
              </w:rPr>
              <w:t xml:space="preserve">内容</w:t>
            </w:r>
            <w:r>
              <w:rPr>
                <w:rFonts w:hint="eastAsia" w:ascii="宋体" w:hAnsi="宋体" w:cs="宋体"/>
                <w:b/>
                <w:bCs/>
                <w:lang w:val="zh-CN" w:bidi="zh-CN"/>
              </w:rPr>
              <w:t xml:space="preserve">包括但不限于：售后服务的响应程度、质量保证措施、服务方式等）：</w:t>
            </w:r>
            <w:r/>
          </w:p>
          <w:p>
            <w:pPr>
              <w:jc w:val="left"/>
              <w:spacing w:line="320" w:lineRule="exact"/>
              <w:rPr>
                <w:rFonts w:ascii="宋体" w:hAnsi="宋体" w:cs="宋体"/>
                <w:lang w:val="zh-CN" w:bidi="zh-CN"/>
              </w:rPr>
            </w:pPr>
            <w:r>
              <w:rPr>
                <w:rFonts w:hint="eastAsia" w:ascii="宋体" w:hAnsi="宋体" w:cs="宋体"/>
                <w:lang w:val="zh-CN" w:bidi="zh-CN"/>
              </w:rPr>
              <w:t xml:space="preserve">售后服务的响应时间最快、质量保证</w:t>
            </w:r>
            <w:r>
              <w:rPr>
                <w:rFonts w:hint="eastAsia" w:ascii="宋体" w:hAnsi="宋体" w:cs="宋体"/>
                <w:spacing w:val="-5"/>
                <w:lang w:val="zh-CN" w:bidi="zh-CN"/>
              </w:rPr>
              <w:t xml:space="preserve">措施完善、服务方式最佳，得 </w:t>
            </w:r>
            <w:r>
              <w:rPr>
                <w:rFonts w:hint="eastAsia" w:ascii="宋体" w:hAnsi="宋体" w:cs="宋体"/>
                <w:spacing w:val="-5"/>
                <w:lang w:bidi="zh-CN"/>
              </w:rPr>
              <w:t xml:space="preserve">4</w:t>
            </w:r>
            <w:r>
              <w:rPr>
                <w:rFonts w:hint="eastAsia" w:ascii="宋体" w:hAnsi="宋体" w:cs="宋体"/>
                <w:spacing w:val="-11"/>
                <w:lang w:val="zh-CN" w:bidi="zh-CN"/>
              </w:rPr>
              <w:t xml:space="preserve">分，售后服务</w:t>
            </w:r>
            <w:r>
              <w:rPr>
                <w:rFonts w:hint="eastAsia" w:ascii="宋体" w:hAnsi="宋体" w:cs="宋体"/>
                <w:lang w:val="zh-CN" w:bidi="zh-CN"/>
              </w:rPr>
              <w:t xml:space="preserve">的响应时间较快、质量保证措施较完善、服</w:t>
            </w:r>
            <w:r>
              <w:rPr>
                <w:rFonts w:hint="eastAsia" w:ascii="宋体" w:hAnsi="宋体" w:cs="宋体"/>
                <w:spacing w:val="-8"/>
                <w:lang w:val="zh-CN" w:bidi="zh-CN"/>
              </w:rPr>
              <w:t xml:space="preserve">务方式较好得</w:t>
            </w:r>
            <w:r>
              <w:rPr>
                <w:rFonts w:hint="eastAsia" w:ascii="宋体" w:hAnsi="宋体" w:cs="宋体"/>
                <w:spacing w:val="-8"/>
                <w:lang w:bidi="zh-CN"/>
              </w:rPr>
              <w:t xml:space="preserve">3</w:t>
            </w:r>
            <w:r>
              <w:rPr>
                <w:rFonts w:hint="eastAsia" w:ascii="宋体" w:hAnsi="宋体" w:cs="宋体"/>
                <w:spacing w:val="-9"/>
                <w:lang w:val="zh-CN" w:bidi="zh-CN"/>
              </w:rPr>
              <w:t xml:space="preserve">分，售后服务的响应时间一</w:t>
            </w:r>
            <w:r>
              <w:rPr>
                <w:rFonts w:hint="eastAsia" w:ascii="宋体" w:hAnsi="宋体" w:cs="宋体"/>
                <w:lang w:val="zh-CN" w:bidi="zh-CN"/>
              </w:rPr>
              <w:t xml:space="preserve">般、质量保证措施一般、服务方式一般得</w:t>
            </w:r>
            <w:r>
              <w:rPr>
                <w:rFonts w:hint="eastAsia" w:ascii="宋体" w:hAnsi="宋体" w:cs="宋体"/>
                <w:lang w:bidi="zh-CN"/>
              </w:rPr>
              <w:t xml:space="preserve">2</w:t>
            </w:r>
            <w:r>
              <w:rPr>
                <w:rFonts w:hint="eastAsia" w:ascii="宋体" w:hAnsi="宋体" w:cs="宋体"/>
                <w:lang w:val="zh-CN" w:bidi="zh-CN"/>
              </w:rPr>
              <w:t xml:space="preserve">分，不提供不得分。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提供售后服务方案</w:t>
            </w:r>
            <w:r/>
          </w:p>
        </w:tc>
        <w:tc>
          <w:tcPr>
            <w:tcW w:w="636"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0</w:t>
            </w:r>
            <w:r/>
          </w:p>
        </w:tc>
        <w:tc>
          <w:tcPr>
            <w:tcW w:w="491"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4</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是</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r>
      <w:tr>
        <w:trPr>
          <w:jc w:val="center"/>
        </w:trPr>
        <w:tc>
          <w:tcPr>
            <w:tcW w:w="553" w:type="dxa"/>
            <w:vAlign w:val="center"/>
            <w:textDirection w:val="lrTb"/>
            <w:noWrap w:val="false"/>
          </w:tcPr>
          <w:p>
            <w:pPr>
              <w:jc w:val="center"/>
              <w:spacing w:line="320" w:lineRule="exact"/>
              <w:rPr>
                <w:rFonts w:ascii="宋体" w:hAnsi="宋体" w:cs="宋体"/>
                <w:lang w:val="zh-CN" w:bidi="zh-CN"/>
              </w:rPr>
            </w:pPr>
            <w:r>
              <w:rPr>
                <w:rFonts w:ascii="宋体" w:hAnsi="宋体" w:cs="宋体"/>
                <w:lang w:val="zh-CN" w:bidi="zh-CN"/>
              </w:rPr>
            </w:r>
            <w:r/>
          </w:p>
        </w:tc>
        <w:tc>
          <w:tcPr>
            <w:tcW w:w="919" w:type="dxa"/>
            <w:vAlign w:val="center"/>
            <w:textDirection w:val="lrTb"/>
            <w:noWrap w:val="false"/>
          </w:tcPr>
          <w:p>
            <w:pPr>
              <w:jc w:val="center"/>
              <w:spacing w:line="320" w:lineRule="exact"/>
              <w:rPr>
                <w:rFonts w:ascii="宋体" w:hAnsi="宋体" w:cs="宋体"/>
                <w:lang w:bidi="zh-CN"/>
              </w:rPr>
            </w:pPr>
            <w:r>
              <w:rPr>
                <w:rFonts w:hint="eastAsia" w:ascii="宋体" w:hAnsi="宋体" w:cs="宋体"/>
                <w:b/>
                <w:bCs/>
                <w:lang w:bidi="zh-CN"/>
              </w:rPr>
              <w:t xml:space="preserve">商务分（客观分）</w:t>
            </w:r>
            <w:r/>
          </w:p>
        </w:tc>
        <w:tc>
          <w:tcPr>
            <w:tcW w:w="4932" w:type="dxa"/>
            <w:textDirection w:val="lrTb"/>
            <w:noWrap w:val="false"/>
          </w:tcPr>
          <w:p>
            <w:pPr>
              <w:jc w:val="left"/>
              <w:spacing w:line="320" w:lineRule="exact"/>
              <w:rPr>
                <w:rFonts w:ascii="宋体" w:hAnsi="宋体" w:cs="宋体"/>
                <w:lang w:val="zh-CN" w:bidi="zh-CN"/>
              </w:rPr>
            </w:pPr>
            <w:r>
              <w:rPr>
                <w:rFonts w:ascii="宋体" w:hAnsi="宋体" w:cs="宋体"/>
                <w:lang w:val="zh-CN" w:bidi="zh-CN"/>
              </w:rPr>
            </w:r>
            <w:r/>
          </w:p>
        </w:tc>
        <w:tc>
          <w:tcPr>
            <w:tcW w:w="636"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0</w:t>
            </w:r>
            <w:r/>
          </w:p>
        </w:tc>
        <w:tc>
          <w:tcPr>
            <w:tcW w:w="491"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65</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是 </w:t>
            </w:r>
            <w:r/>
          </w:p>
        </w:tc>
      </w:tr>
      <w:tr>
        <w:trPr>
          <w:jc w:val="center"/>
        </w:trPr>
        <w:tc>
          <w:tcPr>
            <w:tcW w:w="553"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3.1</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供应商实力</w:t>
            </w:r>
            <w:r/>
          </w:p>
        </w:tc>
        <w:tc>
          <w:tcPr>
            <w:tcW w:w="4932" w:type="dxa"/>
            <w:textDirection w:val="lrTb"/>
            <w:noWrap w:val="false"/>
          </w:tcPr>
          <w:p>
            <w:pPr>
              <w:jc w:val="left"/>
              <w:spacing w:line="320" w:lineRule="exact"/>
              <w:rPr>
                <w:rFonts w:ascii="宋体" w:hAnsi="宋体" w:cs="宋体"/>
              </w:rPr>
            </w:pPr>
            <w:r>
              <w:rPr>
                <w:rFonts w:hint="eastAsia" w:ascii="宋体" w:hAnsi="宋体" w:cs="宋体"/>
                <w:b/>
                <w:bCs/>
              </w:rPr>
              <w:t xml:space="preserve">评分标准：</w:t>
            </w:r>
            <w:r>
              <w:rPr>
                <w:rFonts w:hint="eastAsia" w:ascii="宋体" w:hAnsi="宋体" w:cs="宋体"/>
              </w:rPr>
              <w:t xml:space="preserve">投标人具有有效的ISO9001质量管理体系认证证书、ISO14001环境管理体系认证证书、ISO 45001职业健康安全管理体系认证证书、ISO27001信息安全管理体系认证证书、ISO20000信息技术服务管理体系认证证书，每提供一个得2分，最高得10分。</w:t>
            </w:r>
            <w:r/>
          </w:p>
          <w:p>
            <w:pPr>
              <w:jc w:val="left"/>
              <w:spacing w:line="320" w:lineRule="exact"/>
              <w:rPr>
                <w:rFonts w:ascii="宋体" w:hAnsi="宋体" w:cs="宋体"/>
                <w:b/>
                <w:bCs/>
                <w:lang w:bidi="zh-CN"/>
              </w:rPr>
            </w:pPr>
            <w:r>
              <w:rPr>
                <w:rFonts w:hint="eastAsia" w:ascii="宋体" w:hAnsi="宋体" w:cs="宋体"/>
                <w:b/>
                <w:bCs/>
                <w:lang w:bidi="zh-CN"/>
              </w:rPr>
              <w:t xml:space="preserve">注：提供相关证书扫描件</w:t>
            </w:r>
            <w:r>
              <w:rPr>
                <w:rFonts w:hint="eastAsia" w:ascii="宋体" w:hAnsi="宋体" w:cs="宋体"/>
                <w:b/>
                <w:bCs/>
                <w:lang w:val="en-US" w:bidi="zh-CN"/>
              </w:rPr>
              <w:t xml:space="preserve">并加盖供应商公章</w:t>
            </w:r>
            <w:r>
              <w:rPr>
                <w:rFonts w:hint="eastAsia" w:ascii="宋体" w:hAnsi="宋体" w:cs="宋体"/>
                <w:b/>
                <w:bCs/>
                <w:lang w:bidi="zh-CN"/>
              </w:rPr>
              <w:t xml:space="preserve">，</w:t>
            </w:r>
            <w:bookmarkStart w:id="219" w:name="_GoBack"/>
            <w:r/>
            <w:bookmarkEnd w:id="219"/>
            <w:r>
              <w:rPr>
                <w:rFonts w:hint="eastAsia" w:ascii="宋体" w:hAnsi="宋体" w:cs="宋体"/>
                <w:b/>
                <w:bCs/>
                <w:lang w:bidi="zh-CN"/>
              </w:rPr>
              <w:t xml:space="preserve">不提供不得分。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提供</w:t>
            </w:r>
            <w:r>
              <w:rPr>
                <w:rFonts w:hint="eastAsia" w:ascii="宋体" w:hAnsi="宋体" w:cs="宋体"/>
              </w:rPr>
              <w:t xml:space="preserve">ISO9001质量管理体系认证证书、ISO14001环境管理体系认证证书、ISO 45001职业健康安全管理体系认证证书、ISO27001信息安全管理体系认证证书、ISO20000信息技术服务管理体系认证证书</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1</w:t>
            </w:r>
            <w:r>
              <w:rPr>
                <w:rFonts w:hint="eastAsia" w:ascii="宋体" w:hAnsi="宋体" w:cs="宋体"/>
                <w:lang w:bidi="zh-CN"/>
              </w:rPr>
              <w:t xml:space="preserve">0</w:t>
            </w:r>
            <w:r/>
          </w:p>
        </w:tc>
        <w:tc>
          <w:tcPr>
            <w:tcW w:w="494" w:type="dxa"/>
            <w:vAlign w:val="center"/>
            <w:textDirection w:val="lrTb"/>
            <w:noWrap w:val="false"/>
          </w:tcPr>
          <w:p>
            <w:pPr>
              <w:jc w:val="center"/>
              <w:spacing w:line="320" w:lineRule="exact"/>
              <w:rPr>
                <w:rFonts w:ascii="宋体" w:hAnsi="宋体" w:cs="宋体"/>
                <w:lang w:bidi="zh-CN"/>
              </w:rPr>
            </w:pPr>
            <w:r>
              <w:rPr>
                <w:rFonts w:hint="eastAsia"/>
              </w:rPr>
              <w:t xml:space="preserve">否</w:t>
            </w:r>
            <w:r/>
          </w:p>
        </w:tc>
        <w:tc>
          <w:tcPr>
            <w:tcW w:w="494"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val="zh-CN" w:bidi="zh-CN"/>
              </w:rPr>
              <w:t xml:space="preserve">是</w:t>
            </w:r>
            <w:r/>
          </w:p>
        </w:tc>
      </w:tr>
      <w:tr>
        <w:trPr>
          <w:jc w:val="center"/>
        </w:trPr>
        <w:tc>
          <w:tcPr>
            <w:tcW w:w="553"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3.2</w:t>
            </w:r>
            <w:r/>
          </w:p>
        </w:tc>
        <w:tc>
          <w:tcPr>
            <w:tcW w:w="919" w:type="dxa"/>
            <w:vAlign w:val="center"/>
            <w:textDirection w:val="lrTb"/>
            <w:noWrap w:val="false"/>
          </w:tcPr>
          <w:p>
            <w:pPr>
              <w:jc w:val="center"/>
              <w:spacing w:line="320" w:lineRule="exact"/>
              <w:rPr>
                <w:rFonts w:ascii="宋体" w:hAnsi="宋体" w:cs="宋体"/>
                <w:lang w:val="zh-CN" w:bidi="zh-CN"/>
              </w:rPr>
            </w:pPr>
            <w:r>
              <w:rPr>
                <w:rFonts w:hint="eastAsia" w:ascii="宋体" w:hAnsi="宋体" w:cs="宋体"/>
                <w:lang w:bidi="zh-CN"/>
              </w:rPr>
              <w:t xml:space="preserve">项目团队配置</w:t>
            </w:r>
            <w:r/>
          </w:p>
        </w:tc>
        <w:tc>
          <w:tcPr>
            <w:tcW w:w="4932" w:type="dxa"/>
            <w:textDirection w:val="lrTb"/>
            <w:noWrap w:val="false"/>
          </w:tcPr>
          <w:p>
            <w:pPr>
              <w:jc w:val="left"/>
              <w:spacing w:line="320" w:lineRule="exact"/>
              <w:rPr>
                <w:rFonts w:ascii="宋体" w:hAnsi="宋体" w:cs="宋体"/>
                <w:lang w:bidi="zh-CN"/>
              </w:rPr>
            </w:pPr>
            <w:r>
              <w:rPr>
                <w:rFonts w:hint="eastAsia" w:ascii="宋体" w:hAnsi="宋体" w:cs="宋体"/>
                <w:b/>
                <w:bCs/>
                <w:lang w:bidi="zh-CN"/>
              </w:rPr>
              <w:t xml:space="preserve">评分标准：</w:t>
            </w:r>
            <w:r>
              <w:rPr>
                <w:rFonts w:hint="eastAsia" w:ascii="宋体" w:hAnsi="宋体" w:cs="宋体"/>
                <w:lang w:bidi="zh-CN"/>
              </w:rPr>
              <w:t xml:space="preserve">1、项目经理1名：具有助理工程师及以上职称得2分；</w:t>
            </w:r>
            <w:r/>
          </w:p>
          <w:p>
            <w:pPr>
              <w:numPr>
                <w:ilvl w:val="0"/>
                <w:numId w:val="10"/>
              </w:numPr>
              <w:jc w:val="left"/>
              <w:spacing w:line="320" w:lineRule="exact"/>
              <w:rPr>
                <w:rFonts w:ascii="宋体" w:hAnsi="宋体" w:cs="宋体"/>
                <w:lang w:bidi="zh-CN"/>
              </w:rPr>
            </w:pPr>
            <w:r>
              <w:rPr>
                <w:rFonts w:hint="eastAsia" w:ascii="宋体" w:hAnsi="宋体" w:cs="宋体"/>
                <w:lang w:bidi="zh-CN"/>
              </w:rPr>
              <w:t xml:space="preserve">项目技术负责人1名（项目经理与技术负责人不能为同一人），具有ITSS 服务工程师、人社部门颁发的数字经济（电子信息）工程助理工程师及以上职称、具有注册信息安全工程师（CISP)认证证书的，有一项得2分，最高得6分。</w:t>
            </w:r>
            <w:r/>
          </w:p>
          <w:p>
            <w:pPr>
              <w:jc w:val="left"/>
              <w:spacing w:line="320" w:lineRule="exact"/>
              <w:rPr>
                <w:rFonts w:ascii="宋体" w:hAnsi="宋体" w:cs="宋体"/>
                <w:lang w:bidi="zh-CN"/>
              </w:rPr>
            </w:pPr>
            <w:r>
              <w:rPr>
                <w:rFonts w:hint="eastAsia" w:ascii="宋体" w:hAnsi="宋体" w:cs="宋体"/>
                <w:b/>
                <w:bCs/>
                <w:lang w:bidi="zh-CN"/>
              </w:rPr>
              <w:t xml:space="preserve">评审材料：</w:t>
            </w:r>
            <w:r>
              <w:rPr>
                <w:rFonts w:hint="eastAsia" w:ascii="宋体" w:hAnsi="宋体" w:cs="宋体"/>
                <w:lang w:bidi="zh-CN"/>
              </w:rPr>
              <w:t xml:space="preserve">1、提供项目经理助理工程师证书2、提供项目技术负责人ITSS 服务工程师、人社部门颁发的数字经济（电子信息）工程助理工程师及以上职称、具有注册信息安全工程师（CISP)认证证书</w:t>
            </w:r>
            <w:r/>
          </w:p>
          <w:p>
            <w:pPr>
              <w:jc w:val="left"/>
              <w:spacing w:line="320" w:lineRule="exact"/>
              <w:rPr>
                <w:rFonts w:ascii="宋体" w:hAnsi="宋体" w:cs="宋体"/>
                <w:lang w:bidi="zh-CN"/>
              </w:rPr>
            </w:pPr>
            <w:r>
              <w:rPr>
                <w:rFonts w:hint="eastAsia" w:ascii="宋体" w:hAnsi="宋体" w:cs="宋体"/>
                <w:lang w:bidi="zh-CN"/>
              </w:rPr>
              <w:t xml:space="preserve">注：供应商需提供证书持证人近3个月内任意一个月的社保证明</w:t>
            </w:r>
            <w:r>
              <w:rPr>
                <w:rFonts w:hint="eastAsia" w:ascii="宋体" w:hAnsi="宋体" w:cs="宋体"/>
                <w:lang w:val="en-US" w:bidi="zh-CN"/>
              </w:rPr>
              <w:t xml:space="preserve">并加盖供应商公章</w:t>
            </w:r>
            <w:r/>
          </w:p>
        </w:tc>
        <w:tc>
          <w:tcPr>
            <w:tcW w:w="636"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0</w:t>
            </w:r>
            <w:r/>
          </w:p>
        </w:tc>
        <w:tc>
          <w:tcPr>
            <w:tcW w:w="491"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8</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否</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val="zh-CN" w:bidi="zh-CN"/>
              </w:rPr>
              <w:t xml:space="preserve">是</w:t>
            </w:r>
            <w:r/>
          </w:p>
        </w:tc>
      </w:tr>
      <w:tr>
        <w:trPr>
          <w:jc w:val="center"/>
        </w:trPr>
        <w:tc>
          <w:tcPr>
            <w:tcW w:w="553"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3.3</w:t>
            </w:r>
            <w:r/>
          </w:p>
        </w:tc>
        <w:tc>
          <w:tcPr>
            <w:tcW w:w="919"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技术响应</w:t>
            </w:r>
            <w:r/>
          </w:p>
        </w:tc>
        <w:tc>
          <w:tcPr>
            <w:tcW w:w="4932" w:type="dxa"/>
            <w:textDirection w:val="lrTb"/>
            <w:noWrap w:val="false"/>
          </w:tcPr>
          <w:p>
            <w:pPr>
              <w:jc w:val="left"/>
              <w:spacing w:line="320" w:lineRule="exact"/>
              <w:rPr>
                <w:rFonts w:ascii="宋体" w:hAnsi="宋体" w:cs="宋体"/>
                <w:lang w:val="zh-CN" w:bidi="zh-CN"/>
              </w:rPr>
            </w:pPr>
            <w:r>
              <w:rPr>
                <w:rFonts w:hint="eastAsia" w:ascii="宋体" w:hAnsi="宋体" w:cs="宋体"/>
                <w:b/>
                <w:bCs/>
                <w:lang w:bidi="zh-CN"/>
              </w:rPr>
              <w:t xml:space="preserve">评分标准：</w:t>
            </w:r>
            <w:r>
              <w:rPr>
                <w:rFonts w:hint="eastAsia" w:ascii="宋体" w:hAnsi="宋体" w:cs="宋体"/>
                <w:lang w:val="zh-CN" w:bidi="zh-CN"/>
              </w:rPr>
              <w:t xml:space="preserve">满足</w:t>
            </w:r>
            <w:r>
              <w:rPr>
                <w:rFonts w:hint="eastAsia" w:ascii="宋体" w:hAnsi="宋体" w:cs="宋体"/>
                <w:lang w:bidi="zh-CN"/>
              </w:rPr>
              <w:t xml:space="preserve">采购文件项目需求中</w:t>
            </w:r>
            <w:r>
              <w:rPr>
                <w:rFonts w:hint="eastAsia" w:ascii="宋体" w:hAnsi="宋体" w:cs="宋体"/>
                <w:lang w:val="zh-CN" w:bidi="zh-CN"/>
              </w:rPr>
              <w:t xml:space="preserve">所有技术指标或优于采购需求的，得</w:t>
            </w:r>
            <w:r>
              <w:rPr>
                <w:rFonts w:hint="eastAsia" w:ascii="宋体" w:hAnsi="宋体" w:cs="宋体"/>
                <w:lang w:bidi="zh-CN"/>
              </w:rPr>
              <w:t xml:space="preserve">27</w:t>
            </w:r>
            <w:r>
              <w:rPr>
                <w:rFonts w:hint="eastAsia" w:ascii="宋体" w:hAnsi="宋体" w:cs="宋体"/>
                <w:lang w:val="zh-CN" w:bidi="zh-CN"/>
              </w:rPr>
              <w:t xml:space="preserve">分；</w:t>
            </w:r>
            <w:r>
              <w:rPr>
                <w:rFonts w:hint="eastAsia" w:ascii="宋体" w:hAnsi="宋体" w:cs="宋体"/>
                <w:lang w:bidi="zh-CN"/>
              </w:rPr>
              <w:t xml:space="preserve">采购文件第四章《采购需求》中</w:t>
            </w:r>
            <w:r>
              <w:rPr>
                <w:rFonts w:hint="eastAsia" w:ascii="宋体" w:hAnsi="宋体" w:cs="宋体"/>
                <w:lang w:val="zh-CN" w:bidi="zh-CN"/>
              </w:rPr>
              <w:t xml:space="preserve">标注“▲”的内容为关键条款，每有一项负偏离扣</w:t>
            </w:r>
            <w:r>
              <w:rPr>
                <w:rFonts w:hint="eastAsia" w:ascii="宋体" w:hAnsi="宋体" w:cs="宋体"/>
                <w:lang w:bidi="zh-CN"/>
              </w:rPr>
              <w:t xml:space="preserve">2</w:t>
            </w:r>
            <w:r>
              <w:rPr>
                <w:rFonts w:hint="eastAsia" w:ascii="宋体" w:hAnsi="宋体" w:cs="宋体"/>
                <w:lang w:val="zh-CN" w:bidi="zh-CN"/>
              </w:rPr>
              <w:t xml:space="preserve">分,其它指标项，每有一项负偏离扣</w:t>
            </w:r>
            <w:r>
              <w:rPr>
                <w:rFonts w:hint="eastAsia" w:ascii="宋体" w:hAnsi="宋体" w:cs="宋体"/>
                <w:lang w:bidi="zh-CN"/>
              </w:rPr>
              <w:t xml:space="preserve">1</w:t>
            </w:r>
            <w:r>
              <w:rPr>
                <w:rFonts w:hint="eastAsia" w:ascii="宋体" w:hAnsi="宋体" w:cs="宋体"/>
                <w:lang w:val="zh-CN" w:bidi="zh-CN"/>
              </w:rPr>
              <w:t xml:space="preserve">分，</w:t>
            </w:r>
            <w:r>
              <w:rPr>
                <w:rFonts w:hint="eastAsia" w:ascii="宋体" w:hAnsi="宋体" w:cs="宋体"/>
                <w:lang w:bidi="zh-CN"/>
              </w:rPr>
              <w:t xml:space="preserve">满分27分</w:t>
            </w:r>
            <w:r>
              <w:rPr>
                <w:rFonts w:hint="eastAsia" w:ascii="宋体" w:hAnsi="宋体" w:cs="宋体"/>
                <w:lang w:val="zh-CN" w:bidi="zh-CN"/>
              </w:rPr>
              <w:t xml:space="preserve">扣完为止。</w:t>
            </w:r>
            <w:r/>
          </w:p>
          <w:p>
            <w:pPr>
              <w:jc w:val="left"/>
              <w:spacing w:line="320" w:lineRule="exact"/>
              <w:rPr>
                <w:rFonts w:ascii="宋体" w:hAnsi="宋体" w:cs="宋体"/>
                <w:b/>
                <w:bCs/>
                <w:lang w:val="zh-CN" w:bidi="zh-CN"/>
              </w:rPr>
            </w:pPr>
            <w:r>
              <w:rPr>
                <w:rFonts w:hint="eastAsia" w:ascii="宋体" w:hAnsi="宋体" w:cs="宋体"/>
                <w:b/>
                <w:bCs/>
                <w:lang w:bidi="zh-CN"/>
              </w:rPr>
              <w:t xml:space="preserve">注：项目需求中</w:t>
            </w:r>
            <w:r>
              <w:rPr>
                <w:rFonts w:hint="eastAsia" w:ascii="宋体" w:hAnsi="宋体" w:cs="宋体"/>
                <w:b/>
                <w:bCs/>
                <w:lang w:val="zh-CN" w:bidi="zh-CN"/>
              </w:rPr>
              <w:t xml:space="preserve">标“</w:t>
            </w:r>
            <w:r>
              <w:rPr>
                <w:rFonts w:hint="eastAsia" w:ascii="宋体" w:hAnsi="宋体" w:cs="宋体"/>
                <w:lang w:val="zh-CN" w:bidi="zh-CN"/>
              </w:rPr>
              <w:t xml:space="preserve">▲</w:t>
            </w:r>
            <w:r>
              <w:rPr>
                <w:rFonts w:hint="eastAsia" w:ascii="宋体" w:hAnsi="宋体" w:cs="宋体"/>
                <w:b/>
                <w:bCs/>
                <w:lang w:val="zh-CN" w:bidi="zh-CN"/>
              </w:rPr>
              <w:t xml:space="preserve">”项必须提供功能截图，</w:t>
            </w:r>
            <w:r>
              <w:rPr>
                <w:rFonts w:hint="eastAsia" w:ascii="宋体" w:hAnsi="宋体" w:cs="宋体"/>
                <w:b/>
                <w:bCs/>
                <w:lang w:bidi="zh-CN"/>
              </w:rPr>
              <w:t xml:space="preserve">否则不得分</w:t>
            </w:r>
            <w:r>
              <w:rPr>
                <w:rFonts w:hint="eastAsia" w:ascii="宋体" w:hAnsi="宋体" w:cs="宋体"/>
                <w:b/>
                <w:bCs/>
                <w:lang w:val="zh-CN" w:bidi="zh-CN"/>
              </w:rPr>
              <w:t xml:space="preserve">。其他项响应文件中提供参数证明材料（包括但不限于：技术说明书或产品功能截图等。</w:t>
            </w:r>
            <w:r/>
          </w:p>
          <w:p>
            <w:pPr>
              <w:jc w:val="left"/>
              <w:spacing w:line="320" w:lineRule="exact"/>
              <w:rPr>
                <w:rFonts w:ascii="宋体" w:hAnsi="宋体" w:cs="宋体"/>
                <w:b/>
                <w:bCs/>
                <w:lang w:bidi="zh-CN"/>
              </w:rPr>
            </w:pPr>
            <w:r>
              <w:rPr>
                <w:rFonts w:hint="eastAsia" w:ascii="宋体" w:hAnsi="宋体" w:cs="宋体"/>
                <w:b/>
                <w:bCs/>
                <w:lang w:bidi="zh-CN"/>
              </w:rPr>
              <w:t xml:space="preserve">评审材料：</w:t>
            </w:r>
            <w:r>
              <w:rPr>
                <w:rFonts w:hint="eastAsia" w:ascii="宋体" w:hAnsi="宋体" w:cs="宋体"/>
                <w:lang w:bidi="zh-CN"/>
              </w:rPr>
              <w:t xml:space="preserve">1、提供技术要求响应及偏离表2、提供</w:t>
            </w:r>
            <w:r>
              <w:rPr>
                <w:rFonts w:hint="eastAsia" w:ascii="宋体" w:hAnsi="宋体" w:cs="宋体"/>
                <w:lang w:val="zh-CN" w:bidi="zh-CN"/>
              </w:rPr>
              <w:t xml:space="preserve">标“▲”项功能截图</w:t>
            </w:r>
            <w:r>
              <w:rPr>
                <w:rFonts w:hint="eastAsia" w:ascii="宋体" w:hAnsi="宋体" w:cs="宋体"/>
                <w:lang w:bidi="zh-CN"/>
              </w:rPr>
              <w:t xml:space="preserve">3、提供</w:t>
            </w:r>
            <w:r>
              <w:rPr>
                <w:rFonts w:hint="eastAsia" w:ascii="宋体" w:hAnsi="宋体" w:cs="宋体"/>
                <w:lang w:val="zh-CN" w:bidi="zh-CN"/>
              </w:rPr>
              <w:t xml:space="preserve">其他项参数证明材料（包括但不限于：技术说明书或产品功能截图等。</w:t>
            </w:r>
            <w:r/>
          </w:p>
        </w:tc>
        <w:tc>
          <w:tcPr>
            <w:tcW w:w="636"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0</w:t>
            </w:r>
            <w:r/>
          </w:p>
        </w:tc>
        <w:tc>
          <w:tcPr>
            <w:tcW w:w="491"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27</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lang w:val="zh-CN" w:bidi="zh-CN"/>
              </w:rPr>
              <w:t xml:space="preserve">是</w:t>
            </w:r>
            <w:r/>
          </w:p>
        </w:tc>
      </w:tr>
      <w:tr>
        <w:trPr>
          <w:jc w:val="center"/>
        </w:trPr>
        <w:tc>
          <w:tcPr>
            <w:tcW w:w="553"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3.4</w:t>
            </w:r>
            <w:r/>
          </w:p>
        </w:tc>
        <w:tc>
          <w:tcPr>
            <w:tcW w:w="919"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功能演示</w:t>
            </w:r>
            <w:r/>
          </w:p>
        </w:tc>
        <w:tc>
          <w:tcPr>
            <w:tcW w:w="4932" w:type="dxa"/>
            <w:textDirection w:val="lrTb"/>
            <w:noWrap w:val="false"/>
          </w:tcPr>
          <w:p>
            <w:pPr>
              <w:jc w:val="left"/>
              <w:spacing w:line="320" w:lineRule="exact"/>
              <w:rPr>
                <w:rFonts w:ascii="宋体" w:hAnsi="宋体" w:cs="宋体"/>
                <w:sz w:val="22"/>
                <w:szCs w:val="22"/>
                <w:shd w:val="clear" w:color="auto" w:fill="ffffff"/>
              </w:rPr>
            </w:pPr>
            <w:r>
              <w:rPr>
                <w:rFonts w:hint="eastAsia" w:ascii="宋体" w:hAnsi="宋体" w:cs="宋体"/>
                <w:sz w:val="22"/>
                <w:szCs w:val="22"/>
                <w:shd w:val="clear" w:color="auto" w:fill="ffffff"/>
              </w:rPr>
              <w:t xml:space="preserve">投标人需根据功能参数要求中加◎的项逐项进行演示，每项能全部完整演示得4分，部分演示得2分，不演示不得分，供20分。</w:t>
            </w:r>
            <w:r/>
          </w:p>
          <w:p>
            <w:pPr>
              <w:jc w:val="left"/>
              <w:spacing w:line="320" w:lineRule="exact"/>
              <w:rPr>
                <w:rFonts w:ascii="宋体" w:hAnsi="宋体" w:cs="宋体"/>
                <w:b/>
                <w:bCs/>
                <w:lang w:bidi="zh-CN"/>
              </w:rPr>
            </w:pPr>
            <w:r>
              <w:rPr>
                <w:rFonts w:hint="eastAsia" w:ascii="宋体" w:hAnsi="宋体" w:cs="宋体"/>
                <w:b/>
                <w:bCs/>
                <w:sz w:val="22"/>
                <w:szCs w:val="22"/>
                <w:shd w:val="clear" w:color="auto" w:fill="ffffff"/>
              </w:rPr>
              <w:t xml:space="preserve">注：</w:t>
            </w:r>
            <w:r>
              <w:rPr>
                <w:rFonts w:hint="eastAsia" w:ascii="宋体" w:hAnsi="宋体" w:cs="宋体"/>
                <w:sz w:val="22"/>
                <w:szCs w:val="22"/>
                <w:shd w:val="clear" w:color="auto" w:fill="ffffff"/>
              </w:rPr>
              <w:t xml:space="preserve">需使用正式的系统进行演示，使用假页面或PPT演示不得分。需把演示项制作为视频演示按照要求上传到平台</w:t>
            </w:r>
            <w:r/>
          </w:p>
        </w:tc>
        <w:tc>
          <w:tcPr>
            <w:tcW w:w="636"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0</w:t>
            </w:r>
            <w:r/>
          </w:p>
        </w:tc>
        <w:tc>
          <w:tcPr>
            <w:tcW w:w="491"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20</w:t>
            </w:r>
            <w:r/>
          </w:p>
        </w:tc>
        <w:tc>
          <w:tcPr>
            <w:tcW w:w="494" w:type="dxa"/>
            <w:vAlign w:val="center"/>
            <w:textDirection w:val="lrTb"/>
            <w:noWrap w:val="false"/>
          </w:tcPr>
          <w:p>
            <w:pPr>
              <w:jc w:val="center"/>
              <w:spacing w:line="320" w:lineRule="exact"/>
              <w:rPr>
                <w:rFonts w:ascii="宋体" w:hAnsi="宋体" w:cs="宋体"/>
              </w:rPr>
            </w:pPr>
            <w:r>
              <w:rPr>
                <w:rFonts w:hint="eastAsia" w:ascii="宋体" w:hAnsi="宋体" w:cs="宋体"/>
              </w:rPr>
              <w:t xml:space="preserve">否</w:t>
            </w:r>
            <w:r/>
          </w:p>
        </w:tc>
        <w:tc>
          <w:tcPr>
            <w:tcW w:w="494" w:type="dxa"/>
            <w:vAlign w:val="center"/>
            <w:textDirection w:val="lrTb"/>
            <w:noWrap w:val="false"/>
          </w:tcPr>
          <w:p>
            <w:pPr>
              <w:jc w:val="center"/>
              <w:spacing w:line="320" w:lineRule="exact"/>
              <w:rPr>
                <w:rFonts w:ascii="宋体" w:hAnsi="宋体" w:cs="宋体"/>
                <w:lang w:bidi="zh-CN"/>
              </w:rPr>
            </w:pPr>
            <w:r>
              <w:rPr>
                <w:rFonts w:hint="eastAsia" w:ascii="宋体" w:hAnsi="宋体" w:cs="宋体"/>
                <w:lang w:bidi="zh-CN"/>
              </w:rPr>
              <w:t xml:space="preserve">是</w:t>
            </w:r>
            <w:r/>
          </w:p>
        </w:tc>
      </w:tr>
    </w:tbl>
    <w:p>
      <w:r/>
      <w:r/>
    </w:p>
    <w:p>
      <w:pPr>
        <w:jc w:val="left"/>
        <w:spacing w:line="400" w:lineRule="exact"/>
        <w:widowControl/>
      </w:pPr>
      <w:r>
        <w:rPr>
          <w:rFonts w:hint="eastAsia" w:ascii="宋体" w:hAnsi="宋体"/>
          <w:bCs/>
          <w:sz w:val="24"/>
        </w:rPr>
        <w:t xml:space="preserve">注：</w:t>
      </w:r>
      <w:r/>
    </w:p>
    <w:p>
      <w:pPr>
        <w:ind w:firstLine="480"/>
        <w:jc w:val="left"/>
        <w:spacing w:line="400" w:lineRule="exact"/>
        <w:widowControl/>
        <w:rPr>
          <w:rFonts w:ascii="宋体" w:hAnsi="宋体" w:cs="宋体"/>
          <w:sz w:val="24"/>
        </w:rPr>
      </w:pPr>
      <w:r>
        <w:rPr>
          <w:rFonts w:hint="eastAsia" w:ascii="宋体" w:hAnsi="宋体" w:cs="宋体"/>
          <w:bCs/>
          <w:sz w:val="24"/>
        </w:rPr>
        <w:t xml:space="preserve">1.</w:t>
      </w:r>
      <w:r>
        <w:rPr>
          <w:rFonts w:hint="eastAsia" w:ascii="宋体" w:hAnsi="宋体" w:cs="宋体"/>
          <w:bCs/>
          <w:sz w:val="24"/>
          <w:u w:val="single"/>
        </w:rPr>
        <w:t xml:space="preserve">评审标准中要求提供的证明文件及资料等在响应文件中提供扫描件，扫描</w:t>
      </w:r>
      <w:r>
        <w:rPr>
          <w:rFonts w:hint="eastAsia" w:ascii="宋体" w:hAnsi="宋体" w:cs="宋体"/>
          <w:b/>
          <w:bCs/>
          <w:sz w:val="24"/>
          <w:u w:val="single"/>
        </w:rPr>
        <w:t xml:space="preserve">件须加盖供应商公章。</w:t>
      </w:r>
      <w:r/>
    </w:p>
    <w:p>
      <w:pPr>
        <w:ind w:firstLine="480"/>
        <w:spacing w:line="400" w:lineRule="exact"/>
        <w:rPr>
          <w:rFonts w:ascii="宋体" w:hAnsi="宋体" w:cs="宋体"/>
          <w:bCs/>
          <w:sz w:val="24"/>
        </w:rPr>
      </w:pPr>
      <w:r>
        <w:rPr>
          <w:rFonts w:hint="eastAsia" w:ascii="宋体" w:hAnsi="宋体" w:cs="宋体"/>
          <w:bCs/>
          <w:sz w:val="24"/>
        </w:rPr>
        <w:t xml:space="preserve">2.未能按以上要求提供相应证明的，不作为评审依据，不得分。</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8"/>
        <w:rPr>
          <w:rFonts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jc w:val="center"/>
        <w:rPr>
          <w:rFonts w:ascii="宋体" w:hAnsi="宋体"/>
          <w:b/>
          <w:sz w:val="72"/>
        </w:rPr>
      </w:pPr>
      <w:r/>
      <w:bookmarkStart w:id="196" w:name="_Hlt26955039"/>
      <w:r/>
      <w:bookmarkEnd w:id="196"/>
      <w:r/>
      <w:bookmarkStart w:id="197" w:name="_Hlt26671244"/>
      <w:r/>
      <w:bookmarkEnd w:id="197"/>
      <w:r/>
      <w:bookmarkStart w:id="198" w:name="_Toc49090576"/>
      <w:r/>
      <w:bookmarkStart w:id="199" w:name="_Toc26554094"/>
      <w:r/>
      <w:bookmarkStart w:id="200" w:name="_Toc120614282"/>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0"/>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0"/>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0"/>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三、法人授权书</w:t>
      </w:r>
      <w:r/>
    </w:p>
    <w:p>
      <w:pPr>
        <w:ind w:firstLine="480"/>
        <w:spacing w:line="440" w:lineRule="exact"/>
        <w:rPr>
          <w:rFonts w:ascii="宋体" w:hAnsi="宋体"/>
          <w:i/>
          <w:sz w:val="24"/>
          <w:u w:val="single"/>
        </w:rPr>
      </w:pPr>
      <w:r>
        <w:rPr>
          <w:rFonts w:hint="eastAsia" w:ascii="宋体" w:hAnsi="宋体"/>
          <w:i/>
          <w:sz w:val="24"/>
          <w:u w:val="single"/>
        </w:rPr>
        <w:t xml:space="preserve">四、投标函</w:t>
      </w:r>
      <w:r/>
    </w:p>
    <w:p>
      <w:pPr>
        <w:ind w:firstLine="480"/>
        <w:spacing w:line="440" w:lineRule="exact"/>
        <w:rPr>
          <w:rFonts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ascii="宋体" w:hAnsi="宋体"/>
          <w:sz w:val="24"/>
        </w:rPr>
      </w:pPr>
      <w:r>
        <w:rPr>
          <w:rFonts w:hint="eastAsia" w:ascii="宋体" w:hAnsi="宋体"/>
          <w:sz w:val="24"/>
        </w:rPr>
        <w:t xml:space="preserve">七、联合体协议</w:t>
      </w:r>
      <w:r/>
    </w:p>
    <w:p>
      <w:pPr>
        <w:ind w:firstLine="480"/>
        <w:spacing w:line="440" w:lineRule="exact"/>
        <w:rPr>
          <w:rFonts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8"/>
      <w:bookmarkEnd w:id="199"/>
      <w:bookmarkEnd w:id="200"/>
      <w:r/>
    </w:p>
    <w:p>
      <w:pPr>
        <w:rPr>
          <w:rFonts w:ascii="黑体" w:hAnsi="黑体" w:eastAsia="黑体"/>
          <w:i/>
          <w:sz w:val="32"/>
          <w:szCs w:val="32"/>
          <w:u w:val="single"/>
        </w:rPr>
      </w:pPr>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90"/>
        <w:ind w:firstLine="480"/>
        <w:spacing w:line="460" w:lineRule="exact"/>
      </w:pPr>
      <w:r/>
      <w:r/>
    </w:p>
    <w:p>
      <w:pPr>
        <w:pStyle w:val="890"/>
        <w:ind w:firstLine="480"/>
        <w:spacing w:line="460" w:lineRule="exact"/>
      </w:pPr>
      <w:r>
        <w:rPr>
          <w:rFonts w:hint="eastAsia"/>
        </w:rPr>
        <w:t xml:space="preserve">致：常州市政府采购中心</w:t>
      </w:r>
      <w:r/>
    </w:p>
    <w:p>
      <w:pPr>
        <w:pStyle w:val="890"/>
        <w:ind w:firstLine="840"/>
        <w:spacing w:line="460" w:lineRule="exact"/>
        <w:rPr>
          <w:u w:val="single"/>
        </w:rPr>
      </w:pPr>
      <w:r>
        <w:rPr>
          <w:rFonts w:hint="eastAsia"/>
          <w:u w:val="single"/>
        </w:rPr>
        <w:t xml:space="preserve">（采购人名称）</w:t>
      </w:r>
      <w:r/>
    </w:p>
    <w:p>
      <w:pPr>
        <w:pStyle w:val="890"/>
        <w:ind w:firstLine="480"/>
        <w:spacing w:line="460" w:lineRule="exact"/>
      </w:pPr>
      <w:r/>
      <w:r/>
    </w:p>
    <w:p>
      <w:pPr>
        <w:pStyle w:val="890"/>
        <w:ind w:firstLine="480"/>
        <w:spacing w:line="460" w:lineRule="exact"/>
      </w:pPr>
      <w:r>
        <w:rPr>
          <w:rFonts w:hint="eastAsia"/>
        </w:rPr>
        <w:t xml:space="preserve">按照《中华人民共和国政府采购法》第二十二条和招标文件的规定，我单位郑重声明如下：</w:t>
      </w:r>
      <w:r/>
    </w:p>
    <w:p>
      <w:pPr>
        <w:pStyle w:val="89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90"/>
        <w:ind w:firstLine="480"/>
        <w:spacing w:line="460" w:lineRule="exact"/>
      </w:pPr>
      <w:r>
        <w:rPr>
          <w:rFonts w:hint="eastAsia"/>
        </w:rPr>
        <w:t xml:space="preserve">二、我单位具有良好的商业信誉（指投标人经营状况良好，无本资格声明第十条情形）和健全的财务会计制度。</w:t>
      </w:r>
      <w:r/>
    </w:p>
    <w:p>
      <w:pPr>
        <w:pStyle w:val="890"/>
        <w:ind w:firstLine="480"/>
        <w:spacing w:line="460" w:lineRule="exact"/>
      </w:pPr>
      <w:r>
        <w:rPr>
          <w:rFonts w:hint="eastAsia"/>
        </w:rPr>
        <w:t xml:space="preserve">三、我单位依法进行纳税和社会保险申报并实际履行了义务。</w:t>
      </w:r>
      <w:r/>
    </w:p>
    <w:p>
      <w:pPr>
        <w:pStyle w:val="89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90"/>
        <w:ind w:firstLine="480"/>
        <w:spacing w:line="460" w:lineRule="exact"/>
      </w:pPr>
      <w:r>
        <w:rPr>
          <w:rFonts w:hint="eastAsia"/>
        </w:rPr>
        <w:t xml:space="preserve">主要设备有：</w:t>
      </w:r>
      <w:r>
        <w:rPr>
          <w:u w:val="single"/>
        </w:rPr>
        <w:t xml:space="preserve">            </w:t>
      </w:r>
      <w:r/>
    </w:p>
    <w:p>
      <w:pPr>
        <w:pStyle w:val="890"/>
        <w:ind w:firstLine="480"/>
        <w:spacing w:line="460" w:lineRule="exact"/>
      </w:pPr>
      <w:r>
        <w:rPr>
          <w:rFonts w:hint="eastAsia"/>
        </w:rPr>
        <w:t xml:space="preserve">主要专业技术能力有</w:t>
      </w:r>
      <w:r>
        <w:rPr>
          <w:rFonts w:hint="eastAsia"/>
          <w:u w:val="single"/>
        </w:rPr>
        <w:t xml:space="preserve">                 </w:t>
      </w:r>
      <w:r/>
    </w:p>
    <w:p>
      <w:pPr>
        <w:pStyle w:val="89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90"/>
        <w:ind w:firstLine="480"/>
        <w:spacing w:line="460" w:lineRule="exact"/>
      </w:pPr>
      <w:r>
        <w:rPr>
          <w:rFonts w:hint="eastAsia"/>
        </w:rPr>
        <w:t xml:space="preserve">六、我单位具备法律、行政法规规定的其他条件。</w:t>
      </w:r>
      <w:r/>
    </w:p>
    <w:p>
      <w:pPr>
        <w:pStyle w:val="89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9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9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9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9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90"/>
        <w:ind w:firstLine="480"/>
        <w:spacing w:line="460" w:lineRule="exact"/>
      </w:pPr>
      <w:r>
        <w:rPr>
          <w:rFonts w:hint="eastAsia"/>
        </w:rPr>
        <w:t xml:space="preserve">九、</w:t>
      </w:r>
      <w:r>
        <w:t xml:space="preserve">我单位无以下不良信用记录情形：</w:t>
      </w:r>
      <w:r/>
    </w:p>
    <w:p>
      <w:pPr>
        <w:pStyle w:val="890"/>
        <w:ind w:firstLine="480"/>
        <w:spacing w:line="460" w:lineRule="exact"/>
      </w:pPr>
      <w:r>
        <w:t xml:space="preserve">1</w:t>
      </w:r>
      <w:r>
        <w:rPr>
          <w:rFonts w:hint="eastAsia"/>
        </w:rPr>
        <w:t xml:space="preserve">、在“信用中国”网站被列入失信被执行人和重大税收违法案件当事人名单；</w:t>
      </w:r>
      <w:r/>
    </w:p>
    <w:p>
      <w:pPr>
        <w:pStyle w:val="890"/>
        <w:ind w:firstLine="480"/>
        <w:spacing w:line="460" w:lineRule="exact"/>
      </w:pPr>
      <w:r>
        <w:t xml:space="preserve">2</w:t>
      </w:r>
      <w:r>
        <w:rPr>
          <w:rFonts w:hint="eastAsia"/>
        </w:rPr>
        <w:t xml:space="preserve">、在“中国政府采购网”网站被列入政府采购严重违法失信行为记录名单；</w:t>
      </w:r>
      <w:r/>
    </w:p>
    <w:p>
      <w:pPr>
        <w:pStyle w:val="890"/>
        <w:ind w:firstLine="480"/>
        <w:spacing w:line="460" w:lineRule="exact"/>
      </w:pPr>
      <w:r>
        <w:t xml:space="preserve">3</w:t>
      </w:r>
      <w:r>
        <w:rPr>
          <w:rFonts w:hint="eastAsia"/>
        </w:rPr>
        <w:t xml:space="preserve">、</w:t>
      </w:r>
      <w:r>
        <w:t xml:space="preserve">不符合《政府采购法》第二十二条规定的条件。</w:t>
      </w:r>
      <w:r/>
    </w:p>
    <w:p>
      <w:pPr>
        <w:pStyle w:val="890"/>
        <w:ind w:firstLine="480"/>
        <w:spacing w:line="460" w:lineRule="exact"/>
      </w:pPr>
      <w:r/>
      <w:r/>
    </w:p>
    <w:p>
      <w:pPr>
        <w:pStyle w:val="89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90"/>
        <w:ind w:firstLine="480"/>
        <w:spacing w:line="460" w:lineRule="exact"/>
      </w:pPr>
      <w:r/>
      <w:r/>
    </w:p>
    <w:p>
      <w:pPr>
        <w:pStyle w:val="890"/>
        <w:ind w:firstLine="480"/>
        <w:spacing w:line="460" w:lineRule="exact"/>
      </w:pPr>
      <w:r/>
      <w:r/>
    </w:p>
    <w:p>
      <w:pPr>
        <w:pStyle w:val="890"/>
        <w:ind w:firstLine="480"/>
        <w:spacing w:line="460" w:lineRule="exact"/>
      </w:pPr>
      <w:r>
        <w:rPr>
          <w:rFonts w:hint="eastAsia"/>
        </w:rPr>
        <w:t xml:space="preserve">                                            投标人：（加盖公章）</w:t>
      </w:r>
      <w:r/>
    </w:p>
    <w:p>
      <w:pPr>
        <w:pStyle w:val="890"/>
        <w:ind w:firstLine="480"/>
        <w:spacing w:line="460" w:lineRule="exact"/>
      </w:pPr>
      <w:r>
        <w:rPr>
          <w:rFonts w:hint="eastAsia"/>
        </w:rPr>
        <w:t xml:space="preserve">                                           法定代表人（或单位负责人）签字或盖章：</w:t>
      </w:r>
      <w:r/>
    </w:p>
    <w:p>
      <w:pPr>
        <w:pStyle w:val="890"/>
        <w:ind w:firstLine="4305"/>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68"/>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8"/>
        <w:ind w:firstLine="480"/>
        <w:rPr>
          <w:sz w:val="24"/>
          <w:szCs w:val="24"/>
        </w:rPr>
      </w:pPr>
      <w:r>
        <w:rPr>
          <w:rFonts w:hint="eastAsia"/>
          <w:sz w:val="24"/>
          <w:szCs w:val="24"/>
        </w:rPr>
        <w:t xml:space="preserve">本授权书于______年____月____日起生效，特此声明。</w:t>
      </w:r>
      <w:r/>
    </w:p>
    <w:p>
      <w:pPr>
        <w:pStyle w:val="968"/>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8"/>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8"/>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68"/>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68"/>
        <w:ind w:firstLine="480"/>
        <w:rPr>
          <w:sz w:val="24"/>
          <w:szCs w:val="24"/>
        </w:rPr>
      </w:pPr>
      <w:r>
        <w:rPr>
          <w:rFonts w:hint="eastAsia"/>
          <w:sz w:val="24"/>
          <w:szCs w:val="24"/>
        </w:rPr>
        <w:t xml:space="preserve">      日期：</w:t>
      </w:r>
      <w:bookmarkStart w:id="202" w:name="_格式3__银行出具的资信证明"/>
      <w:r/>
      <w:bookmarkEnd w:id="202"/>
      <w:r/>
      <w:bookmarkStart w:id="203" w:name="_Hlt26955070"/>
      <w:r/>
      <w:bookmarkEnd w:id="203"/>
      <w:r/>
      <w:bookmarkStart w:id="204" w:name="_Hlt26671380"/>
      <w:r/>
      <w:bookmarkEnd w:id="204"/>
      <w:r>
        <w:rPr>
          <w:rFonts w:hint="eastAsia"/>
          <w:sz w:val="24"/>
          <w:szCs w:val="24"/>
          <w:u w:val="single"/>
        </w:rPr>
        <w:t xml:space="preserve">                                         </w:t>
      </w:r>
      <w:r/>
    </w:p>
    <w:p>
      <w:pPr>
        <w:pStyle w:val="890"/>
        <w:rPr>
          <w:i/>
          <w:sz w:val="24"/>
          <w:szCs w:val="24"/>
          <w:u w:val="single"/>
        </w:rPr>
      </w:pPr>
      <w:r>
        <w:rPr>
          <w:i/>
          <w:sz w:val="24"/>
          <w:szCs w:val="24"/>
          <w:u w:val="single"/>
        </w:rPr>
      </w:r>
      <w:r/>
    </w:p>
    <w:p>
      <w:pPr>
        <w:pStyle w:val="890"/>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889"/>
        <w:ind w:firstLine="3377"/>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83"/>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83"/>
        <w:spacing w:before="0" w:after="0" w:line="420" w:lineRule="exact"/>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83"/>
        <w:spacing w:before="0" w:after="0" w:line="420" w:lineRule="exact"/>
        <w:rPr>
          <w:rFonts w:ascii="宋体" w:hAnsi="宋体"/>
          <w:szCs w:val="21"/>
        </w:rPr>
      </w:pPr>
      <w:r>
        <w:rPr>
          <w:rFonts w:hint="eastAsia" w:ascii="宋体" w:hAnsi="宋体"/>
          <w:szCs w:val="21"/>
        </w:rPr>
        <w:t xml:space="preserve">据此函，__________被授权人兹宣布同意如下：</w:t>
      </w:r>
      <w:r/>
    </w:p>
    <w:p>
      <w:pPr>
        <w:pStyle w:val="983"/>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8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8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3"/>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3"/>
        <w:ind w:left="420"/>
        <w:spacing w:before="0" w:after="0" w:line="420" w:lineRule="exact"/>
        <w:rPr>
          <w:rFonts w:ascii="宋体" w:hAnsi="宋体"/>
          <w:szCs w:val="21"/>
        </w:rPr>
      </w:pPr>
      <w:r>
        <w:rPr>
          <w:rFonts w:hint="eastAsia" w:ascii="宋体" w:hAnsi="宋体"/>
          <w:szCs w:val="21"/>
        </w:rPr>
        <w:t xml:space="preserve">地          址：</w:t>
      </w:r>
      <w:r/>
    </w:p>
    <w:p>
      <w:pPr>
        <w:pStyle w:val="983"/>
        <w:ind w:left="420"/>
        <w:spacing w:before="0" w:after="0" w:line="420" w:lineRule="exact"/>
        <w:rPr>
          <w:rFonts w:ascii="宋体" w:hAnsi="宋体"/>
          <w:szCs w:val="21"/>
        </w:rPr>
      </w:pPr>
      <w:r>
        <w:rPr>
          <w:rFonts w:hint="eastAsia" w:ascii="宋体" w:hAnsi="宋体"/>
          <w:szCs w:val="21"/>
        </w:rPr>
        <w:t xml:space="preserve">邮          编：</w:t>
      </w:r>
      <w:r/>
    </w:p>
    <w:p>
      <w:pPr>
        <w:pStyle w:val="983"/>
        <w:ind w:left="420"/>
        <w:spacing w:before="0" w:after="0" w:line="420" w:lineRule="exact"/>
        <w:rPr>
          <w:rFonts w:ascii="宋体" w:hAnsi="宋体"/>
          <w:szCs w:val="21"/>
        </w:rPr>
      </w:pPr>
      <w:r>
        <w:rPr>
          <w:rFonts w:hint="eastAsia" w:ascii="宋体" w:hAnsi="宋体"/>
          <w:szCs w:val="21"/>
        </w:rPr>
        <w:t xml:space="preserve">电          话：</w:t>
      </w:r>
      <w:r/>
    </w:p>
    <w:p>
      <w:pPr>
        <w:pStyle w:val="983"/>
        <w:ind w:left="420"/>
        <w:spacing w:before="0" w:after="0" w:line="420" w:lineRule="exact"/>
        <w:rPr>
          <w:rFonts w:ascii="宋体" w:hAnsi="宋体"/>
          <w:szCs w:val="21"/>
        </w:rPr>
      </w:pPr>
      <w:r>
        <w:rPr>
          <w:rFonts w:hint="eastAsia" w:ascii="宋体" w:hAnsi="宋体"/>
          <w:szCs w:val="21"/>
        </w:rPr>
        <w:t xml:space="preserve">传          真：</w:t>
      </w:r>
      <w:r/>
    </w:p>
    <w:p>
      <w:pPr>
        <w:pStyle w:val="983"/>
        <w:ind w:left="420"/>
        <w:spacing w:before="0" w:after="0" w:line="420" w:lineRule="exact"/>
        <w:rPr>
          <w:rFonts w:ascii="宋体" w:hAnsi="宋体"/>
          <w:szCs w:val="21"/>
        </w:rPr>
      </w:pPr>
      <w:r>
        <w:rPr>
          <w:rFonts w:hint="eastAsia" w:ascii="宋体" w:hAnsi="宋体"/>
          <w:szCs w:val="21"/>
        </w:rPr>
        <w:t xml:space="preserve">投标人开户行：</w:t>
      </w:r>
      <w:r/>
    </w:p>
    <w:p>
      <w:pPr>
        <w:pStyle w:val="983"/>
        <w:ind w:left="420"/>
        <w:spacing w:before="0" w:after="0" w:line="420" w:lineRule="exact"/>
        <w:rPr>
          <w:rFonts w:ascii="宋体" w:hAnsi="宋体"/>
          <w:szCs w:val="21"/>
        </w:rPr>
      </w:pPr>
      <w:r>
        <w:rPr>
          <w:rFonts w:hint="eastAsia" w:ascii="宋体" w:hAnsi="宋体"/>
          <w:szCs w:val="21"/>
        </w:rPr>
        <w:t xml:space="preserve">账          号： </w:t>
      </w:r>
      <w:r/>
    </w:p>
    <w:p>
      <w:pPr>
        <w:pStyle w:val="983"/>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9"/>
        <w:rPr>
          <w:rFonts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pStyle w:val="889"/>
        <w:rPr>
          <w:rFonts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00"/>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00"/>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ind w:firstLine="640"/>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ind w:firstLine="627"/>
        <w:jc w:val="left"/>
        <w:spacing w:line="4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14"/>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u w:val="single"/>
        </w:rPr>
      </w:pPr>
      <w:r>
        <w:rPr>
          <w:rFonts w:ascii="宋体" w:hAnsi="宋体"/>
          <w:sz w:val="24"/>
          <w:szCs w:val="24"/>
          <w:u w:val="single"/>
        </w:rPr>
      </w:r>
      <w:r/>
    </w:p>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1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01"/>
      <w:r/>
    </w:p>
    <w:p>
      <w:pPr>
        <w:jc w:val="center"/>
        <w:rPr>
          <w:rFonts w:ascii="黑体" w:hAnsi="黑体" w:eastAsia="黑体"/>
          <w:b/>
          <w:sz w:val="32"/>
          <w:szCs w:val="32"/>
        </w:rPr>
      </w:pPr>
      <w:r/>
      <w:bookmarkStart w:id="205" w:name="_Hlt26955054"/>
      <w:r/>
      <w:bookmarkEnd w:id="205"/>
      <w:r>
        <w:rPr>
          <w:rFonts w:hint="eastAsia" w:ascii="黑体" w:hAnsi="黑体" w:eastAsia="黑体"/>
          <w:b/>
          <w:sz w:val="32"/>
          <w:szCs w:val="32"/>
        </w:rPr>
        <w:t xml:space="preserve">十、商务要求响应及偏离表（分包号：**）</w:t>
      </w:r>
      <w:r/>
    </w:p>
    <w:tbl>
      <w:tblPr>
        <w:tblStyle w:val="71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06" w:name="_Hlt26671372"/>
            <w:r/>
            <w:bookmarkEnd w:id="206"/>
            <w:r/>
            <w:bookmarkStart w:id="207" w:name="_Hlt26955064"/>
            <w:r/>
            <w:bookmarkEnd w:id="207"/>
            <w:r/>
            <w:bookmarkStart w:id="208" w:name="_Hlt26671343"/>
            <w:r/>
            <w:bookmarkEnd w:id="208"/>
            <w:r/>
            <w:bookmarkStart w:id="209" w:name="_Hlt26782999"/>
            <w:r/>
            <w:bookmarkEnd w:id="209"/>
            <w:r/>
            <w:bookmarkStart w:id="210" w:name="_Hlt26955056"/>
            <w:r/>
            <w:bookmarkEnd w:id="210"/>
            <w:r/>
            <w:bookmarkStart w:id="211" w:name="_Hlt24879081"/>
            <w:r/>
            <w:bookmarkEnd w:id="211"/>
            <w:r/>
            <w:bookmarkStart w:id="212" w:name="_Hlt26609391"/>
            <w:r/>
            <w:bookmarkEnd w:id="212"/>
            <w:r/>
            <w:bookmarkStart w:id="213" w:name="_Hlt26580838"/>
            <w:r/>
            <w:bookmarkEnd w:id="213"/>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890"/>
        <w:ind w:firstLine="0"/>
        <w:rPr>
          <w:rFonts w:ascii="宋体" w:hAnsi="宋体"/>
          <w:sz w:val="24"/>
        </w:rPr>
      </w:pPr>
      <w:r/>
      <w:bookmarkStart w:id="214" w:name="_Hlt26609389"/>
      <w:r/>
      <w:bookmarkEnd w:id="214"/>
      <w:r/>
      <w:bookmarkStart w:id="215" w:name="_Hlt26671374"/>
      <w:r/>
      <w:bookmarkEnd w:id="215"/>
      <w:r/>
      <w:bookmarkStart w:id="216" w:name="_Hlt26955066"/>
      <w:r/>
      <w:bookmarkEnd w:id="216"/>
      <w:r/>
      <w:bookmarkStart w:id="217" w:name="_Toc462564146"/>
      <w:r/>
      <w:bookmarkEnd w:id="191"/>
      <w:bookmarkEnd w:id="192"/>
      <w:bookmarkEnd w:id="217"/>
      <w:r/>
    </w:p>
    <w:p>
      <w:pPr>
        <w:jc w:val="center"/>
        <w:rPr>
          <w:rFonts w:ascii="黑体" w:hAnsi="黑体" w:eastAsia="黑体"/>
          <w:b/>
          <w:sz w:val="32"/>
          <w:szCs w:val="32"/>
        </w:rPr>
      </w:pPr>
      <w:r/>
      <w:bookmarkStart w:id="218" w:name="_格式2__法定代表人授权书"/>
      <w:r/>
      <w:bookmarkEnd w:id="218"/>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4"/>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3"/>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714"/>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center"/>
              <w:widowControl/>
              <w:rPr>
                <w:rFonts w:ascii="宋体" w:hAnsi="宋体" w:cs="宋体"/>
                <w:color w:val="000000"/>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ascii="宋体" w:hAnsi="宋体"/>
          <w:bCs/>
          <w:sz w:val="24"/>
        </w:rPr>
      </w:pPr>
      <w:r>
        <w:rPr>
          <w:rFonts w:ascii="宋体" w:hAnsi="宋体"/>
          <w:bCs/>
          <w:sz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90"/>
        <w:rPr>
          <w:sz w:val="24"/>
          <w:szCs w:val="24"/>
        </w:rPr>
      </w:pPr>
      <w:r>
        <w:rPr>
          <w:sz w:val="24"/>
          <w:szCs w:val="24"/>
        </w:rPr>
      </w:r>
      <w:r/>
    </w:p>
    <w:p>
      <w:pPr>
        <w:pStyle w:val="890"/>
        <w:rPr>
          <w:sz w:val="24"/>
          <w:szCs w:val="24"/>
        </w:rPr>
      </w:pPr>
      <w:r>
        <w:rPr>
          <w:sz w:val="24"/>
          <w:szCs w:val="24"/>
        </w:rPr>
      </w:r>
      <w:r/>
    </w:p>
    <w:p>
      <w:r/>
      <w:r/>
    </w:p>
    <w:p>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Pr>
    <w:r>
      <w:fldChar w:fldCharType="begin"/>
    </w:r>
    <w:r>
      <w:instrText xml:space="preserve">PAGE   \* MERGEFORMAT</w:instrText>
    </w:r>
    <w:r>
      <w:fldChar w:fldCharType="separate"/>
    </w:r>
    <w:r>
      <w:rPr>
        <w:lang w:val="zh-CN"/>
      </w:rPr>
      <w:t xml:space="preserve">-</w:t>
    </w:r>
    <w:r>
      <w:t xml:space="preserve"> 47 -</w:t>
    </w:r>
    <w:r>
      <w:fldChar w:fldCharType="end"/>
    </w:r>
    <w:r/>
  </w:p>
  <w:p>
    <w:pPr>
      <w:pStyle w:val="93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2"/>
  </w:num>
  <w:num w:numId="4">
    <w:abstractNumId w:val="1"/>
  </w:num>
  <w:num w:numId="5">
    <w:abstractNumId w:val="0"/>
  </w:num>
  <w:num w:numId="6">
    <w:abstractNumId w:val="5"/>
  </w:num>
  <w:num w:numId="7">
    <w:abstractNumId w:val="6"/>
  </w:num>
  <w:num w:numId="8">
    <w:abstractNumId w:val="9"/>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4"/>
    <w:uiPriority w:val="9"/>
    <w:rPr>
      <w:rFonts w:ascii="Arial" w:hAnsi="Arial" w:eastAsia="Arial" w:cs="Arial"/>
      <w:sz w:val="40"/>
      <w:szCs w:val="40"/>
    </w:rPr>
  </w:style>
  <w:style w:type="character" w:styleId="15">
    <w:name w:val="Heading 2 Char"/>
    <w:basedOn w:val="713"/>
    <w:link w:val="705"/>
    <w:uiPriority w:val="9"/>
    <w:rPr>
      <w:rFonts w:ascii="Arial" w:hAnsi="Arial" w:eastAsia="Arial" w:cs="Arial"/>
      <w:sz w:val="34"/>
    </w:rPr>
  </w:style>
  <w:style w:type="character" w:styleId="17">
    <w:name w:val="Heading 3 Char"/>
    <w:basedOn w:val="713"/>
    <w:link w:val="706"/>
    <w:uiPriority w:val="9"/>
    <w:rPr>
      <w:rFonts w:ascii="Arial" w:hAnsi="Arial" w:eastAsia="Arial" w:cs="Arial"/>
      <w:sz w:val="30"/>
      <w:szCs w:val="30"/>
    </w:rPr>
  </w:style>
  <w:style w:type="character" w:styleId="19">
    <w:name w:val="Heading 4 Char"/>
    <w:basedOn w:val="713"/>
    <w:link w:val="707"/>
    <w:uiPriority w:val="9"/>
    <w:rPr>
      <w:rFonts w:ascii="Arial" w:hAnsi="Arial" w:eastAsia="Arial" w:cs="Arial"/>
      <w:b/>
      <w:bCs/>
      <w:sz w:val="26"/>
      <w:szCs w:val="26"/>
    </w:rPr>
  </w:style>
  <w:style w:type="character" w:styleId="21">
    <w:name w:val="Heading 5 Char"/>
    <w:basedOn w:val="713"/>
    <w:link w:val="708"/>
    <w:uiPriority w:val="9"/>
    <w:rPr>
      <w:rFonts w:ascii="Arial" w:hAnsi="Arial" w:eastAsia="Arial" w:cs="Arial"/>
      <w:b/>
      <w:bCs/>
      <w:sz w:val="24"/>
      <w:szCs w:val="24"/>
    </w:rPr>
  </w:style>
  <w:style w:type="character" w:styleId="23">
    <w:name w:val="Heading 6 Char"/>
    <w:basedOn w:val="713"/>
    <w:link w:val="709"/>
    <w:uiPriority w:val="9"/>
    <w:rPr>
      <w:rFonts w:ascii="Arial" w:hAnsi="Arial" w:eastAsia="Arial" w:cs="Arial"/>
      <w:b/>
      <w:bCs/>
      <w:sz w:val="22"/>
      <w:szCs w:val="22"/>
    </w:rPr>
  </w:style>
  <w:style w:type="character" w:styleId="25">
    <w:name w:val="Heading 7 Char"/>
    <w:basedOn w:val="713"/>
    <w:link w:val="710"/>
    <w:uiPriority w:val="9"/>
    <w:rPr>
      <w:rFonts w:ascii="Arial" w:hAnsi="Arial" w:eastAsia="Arial" w:cs="Arial"/>
      <w:b/>
      <w:bCs/>
      <w:i/>
      <w:iCs/>
      <w:sz w:val="22"/>
      <w:szCs w:val="22"/>
    </w:rPr>
  </w:style>
  <w:style w:type="character" w:styleId="27">
    <w:name w:val="Heading 8 Char"/>
    <w:basedOn w:val="713"/>
    <w:link w:val="711"/>
    <w:uiPriority w:val="9"/>
    <w:rPr>
      <w:rFonts w:ascii="Arial" w:hAnsi="Arial" w:eastAsia="Arial" w:cs="Arial"/>
      <w:i/>
      <w:iCs/>
      <w:sz w:val="22"/>
      <w:szCs w:val="22"/>
    </w:rPr>
  </w:style>
  <w:style w:type="character" w:styleId="29">
    <w:name w:val="Heading 9 Char"/>
    <w:basedOn w:val="713"/>
    <w:link w:val="712"/>
    <w:uiPriority w:val="9"/>
    <w:rPr>
      <w:rFonts w:ascii="Arial" w:hAnsi="Arial" w:eastAsia="Arial" w:cs="Arial"/>
      <w:i/>
      <w:iCs/>
      <w:sz w:val="21"/>
      <w:szCs w:val="21"/>
    </w:rPr>
  </w:style>
  <w:style w:type="character" w:styleId="34">
    <w:name w:val="Title Char"/>
    <w:basedOn w:val="713"/>
    <w:link w:val="734"/>
    <w:uiPriority w:val="10"/>
    <w:rPr>
      <w:sz w:val="48"/>
      <w:szCs w:val="48"/>
    </w:rPr>
  </w:style>
  <w:style w:type="character" w:styleId="36">
    <w:name w:val="Subtitle Char"/>
    <w:basedOn w:val="713"/>
    <w:link w:val="728"/>
    <w:uiPriority w:val="11"/>
    <w:rPr>
      <w:sz w:val="24"/>
      <w:szCs w:val="24"/>
    </w:rPr>
  </w:style>
  <w:style w:type="character" w:styleId="38">
    <w:name w:val="Quote Char"/>
    <w:link w:val="753"/>
    <w:uiPriority w:val="29"/>
    <w:rPr>
      <w:i/>
    </w:rPr>
  </w:style>
  <w:style w:type="character" w:styleId="40">
    <w:name w:val="Intense Quote Char"/>
    <w:link w:val="755"/>
    <w:uiPriority w:val="30"/>
    <w:rPr>
      <w:i/>
    </w:rPr>
  </w:style>
  <w:style w:type="character" w:styleId="42">
    <w:name w:val="Header Char"/>
    <w:basedOn w:val="713"/>
    <w:link w:val="725"/>
    <w:uiPriority w:val="99"/>
  </w:style>
  <w:style w:type="character" w:styleId="46">
    <w:name w:val="Caption Char"/>
    <w:basedOn w:val="718"/>
    <w:link w:val="724"/>
    <w:uiPriority w:val="99"/>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9"/>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70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4">
    <w:name w:val="Heading 1"/>
    <w:basedOn w:val="703"/>
    <w:next w:val="703"/>
    <w:link w:val="740"/>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1"/>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2"/>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4"/>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5"/>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47"/>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48"/>
    <w:uiPriority w:val="9"/>
    <w:unhideWhenUsed/>
    <w:qFormat/>
    <w:pPr>
      <w:keepLines/>
      <w:keepNext/>
      <w:spacing w:before="320" w:after="200"/>
      <w:outlineLvl w:val="8"/>
    </w:pPr>
    <w:rPr>
      <w:rFonts w:ascii="Arial" w:hAnsi="Arial" w:eastAsia="Arial" w:cs="Arial"/>
      <w:i/>
      <w:iCs/>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Layout w:type="fixed"/>
      <w:tblCellMar>
        <w:left w:w="108" w:type="dxa"/>
        <w:top w:w="0" w:type="dxa"/>
        <w:right w:w="108" w:type="dxa"/>
        <w:bottom w:w="0" w:type="dxa"/>
      </w:tblCellMar>
    </w:tblPr>
  </w:style>
  <w:style w:type="paragraph" w:styleId="715">
    <w:name w:val="annotation subject"/>
    <w:basedOn w:val="716"/>
    <w:next w:val="716"/>
    <w:link w:val="992"/>
    <w:uiPriority w:val="99"/>
    <w:semiHidden/>
    <w:unhideWhenUsed/>
    <w:qFormat/>
    <w:rPr>
      <w:b/>
      <w:bCs/>
    </w:rPr>
  </w:style>
  <w:style w:type="paragraph" w:styleId="716">
    <w:name w:val="annotation text"/>
    <w:basedOn w:val="703"/>
    <w:link w:val="991"/>
    <w:uiPriority w:val="99"/>
    <w:semiHidden/>
    <w:unhideWhenUsed/>
    <w:qFormat/>
    <w:pPr>
      <w:jc w:val="left"/>
    </w:pPr>
  </w:style>
  <w:style w:type="paragraph" w:styleId="717">
    <w:name w:val="toc 7"/>
    <w:basedOn w:val="703"/>
    <w:next w:val="703"/>
    <w:uiPriority w:val="0"/>
    <w:semiHidden/>
    <w:qFormat/>
    <w:pPr>
      <w:ind w:left="1260"/>
      <w:jc w:val="left"/>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toc 5"/>
    <w:basedOn w:val="703"/>
    <w:next w:val="703"/>
    <w:uiPriority w:val="0"/>
    <w:semiHidden/>
    <w:qFormat/>
    <w:pPr>
      <w:ind w:left="840"/>
      <w:jc w:val="left"/>
    </w:pPr>
  </w:style>
  <w:style w:type="paragraph" w:styleId="720">
    <w:name w:val="toc 3"/>
    <w:basedOn w:val="703"/>
    <w:next w:val="703"/>
    <w:uiPriority w:val="0"/>
    <w:semiHidden/>
    <w:qFormat/>
    <w:pPr>
      <w:ind w:left="420"/>
      <w:jc w:val="left"/>
    </w:pPr>
    <w:rPr>
      <w:i/>
      <w:iCs/>
      <w:szCs w:val="24"/>
    </w:rPr>
  </w:style>
  <w:style w:type="paragraph" w:styleId="721">
    <w:name w:val="toc 8"/>
    <w:basedOn w:val="703"/>
    <w:next w:val="703"/>
    <w:uiPriority w:val="0"/>
    <w:semiHidden/>
    <w:qFormat/>
    <w:pPr>
      <w:ind w:left="1470"/>
      <w:jc w:val="left"/>
    </w:pPr>
  </w:style>
  <w:style w:type="paragraph" w:styleId="722">
    <w:name w:val="endnote text"/>
    <w:basedOn w:val="703"/>
    <w:link w:val="886"/>
    <w:uiPriority w:val="99"/>
    <w:semiHidden/>
    <w:unhideWhenUsed/>
    <w:qFormat/>
    <w:rPr>
      <w:sz w:val="20"/>
    </w:rPr>
  </w:style>
  <w:style w:type="paragraph" w:styleId="723">
    <w:name w:val="Balloon Text"/>
    <w:basedOn w:val="703"/>
    <w:link w:val="993"/>
    <w:uiPriority w:val="99"/>
    <w:semiHidden/>
    <w:unhideWhenUsed/>
    <w:qFormat/>
    <w:rPr>
      <w:sz w:val="18"/>
      <w:szCs w:val="18"/>
    </w:rPr>
  </w:style>
  <w:style w:type="paragraph" w:styleId="724">
    <w:name w:val="Footer"/>
    <w:basedOn w:val="703"/>
    <w:link w:val="759"/>
    <w:uiPriority w:val="99"/>
    <w:unhideWhenUsed/>
    <w:qFormat/>
    <w:pPr>
      <w:tabs>
        <w:tab w:val="center" w:pos="7143" w:leader="none"/>
        <w:tab w:val="right" w:pos="14287" w:leader="none"/>
      </w:tabs>
    </w:pPr>
  </w:style>
  <w:style w:type="paragraph" w:styleId="725">
    <w:name w:val="Header"/>
    <w:basedOn w:val="703"/>
    <w:link w:val="757"/>
    <w:uiPriority w:val="99"/>
    <w:unhideWhenUsed/>
    <w:qFormat/>
    <w:pPr>
      <w:tabs>
        <w:tab w:val="center" w:pos="7143" w:leader="none"/>
        <w:tab w:val="right" w:pos="14287" w:leader="none"/>
      </w:tabs>
    </w:pPr>
  </w:style>
  <w:style w:type="paragraph" w:styleId="726">
    <w:name w:val="toc 1"/>
    <w:basedOn w:val="703"/>
    <w:next w:val="703"/>
    <w:uiPriority w:val="0"/>
    <w:semiHidden/>
    <w:qFormat/>
    <w:pPr>
      <w:jc w:val="left"/>
      <w:spacing w:before="120" w:after="120" w:line="400" w:lineRule="exact"/>
      <w:tabs>
        <w:tab w:val="right" w:pos="8720" w:leader="dot"/>
      </w:tabs>
    </w:pPr>
    <w:rPr>
      <w:rFonts w:ascii="宋体" w:hAnsi="宋体"/>
      <w:caps/>
      <w:sz w:val="24"/>
      <w:szCs w:val="24"/>
    </w:rPr>
  </w:style>
  <w:style w:type="paragraph" w:styleId="727">
    <w:name w:val="toc 4"/>
    <w:basedOn w:val="703"/>
    <w:next w:val="703"/>
    <w:uiPriority w:val="0"/>
    <w:semiHidden/>
    <w:qFormat/>
    <w:pPr>
      <w:ind w:left="630"/>
      <w:jc w:val="left"/>
    </w:pPr>
  </w:style>
  <w:style w:type="paragraph" w:styleId="728">
    <w:name w:val="Subtitle"/>
    <w:basedOn w:val="703"/>
    <w:next w:val="703"/>
    <w:link w:val="752"/>
    <w:uiPriority w:val="11"/>
    <w:qFormat/>
    <w:pPr>
      <w:spacing w:before="200" w:after="200"/>
    </w:pPr>
    <w:rPr>
      <w:sz w:val="24"/>
      <w:szCs w:val="24"/>
    </w:rPr>
  </w:style>
  <w:style w:type="paragraph" w:styleId="729">
    <w:name w:val="footnote text"/>
    <w:basedOn w:val="703"/>
    <w:link w:val="885"/>
    <w:uiPriority w:val="99"/>
    <w:semiHidden/>
    <w:unhideWhenUsed/>
    <w:qFormat/>
    <w:pPr>
      <w:spacing w:after="40"/>
    </w:pPr>
    <w:rPr>
      <w:sz w:val="18"/>
    </w:rPr>
  </w:style>
  <w:style w:type="paragraph" w:styleId="730">
    <w:name w:val="toc 6"/>
    <w:basedOn w:val="703"/>
    <w:next w:val="703"/>
    <w:uiPriority w:val="0"/>
    <w:semiHidden/>
    <w:qFormat/>
    <w:pPr>
      <w:ind w:left="1050"/>
      <w:jc w:val="left"/>
    </w:pPr>
  </w:style>
  <w:style w:type="paragraph" w:styleId="731">
    <w:name w:val="table of figures"/>
    <w:basedOn w:val="703"/>
    <w:next w:val="703"/>
    <w:uiPriority w:val="99"/>
    <w:unhideWhenUsed/>
    <w:qFormat/>
  </w:style>
  <w:style w:type="paragraph" w:styleId="732">
    <w:name w:val="toc 2"/>
    <w:basedOn w:val="703"/>
    <w:next w:val="703"/>
    <w:uiPriority w:val="0"/>
    <w:semiHidden/>
    <w:qFormat/>
    <w:pPr>
      <w:ind w:left="210"/>
      <w:jc w:val="left"/>
    </w:pPr>
    <w:rPr>
      <w:smallCaps/>
      <w:szCs w:val="24"/>
    </w:rPr>
  </w:style>
  <w:style w:type="paragraph" w:styleId="733">
    <w:name w:val="toc 9"/>
    <w:basedOn w:val="703"/>
    <w:next w:val="703"/>
    <w:uiPriority w:val="0"/>
    <w:semiHidden/>
    <w:qFormat/>
    <w:pPr>
      <w:ind w:left="1680"/>
      <w:jc w:val="left"/>
    </w:pPr>
  </w:style>
  <w:style w:type="paragraph" w:styleId="734">
    <w:name w:val="Title"/>
    <w:basedOn w:val="703"/>
    <w:next w:val="703"/>
    <w:link w:val="751"/>
    <w:uiPriority w:val="10"/>
    <w:qFormat/>
    <w:pPr>
      <w:contextualSpacing/>
      <w:spacing w:before="300" w:after="200"/>
    </w:pPr>
    <w:rPr>
      <w:sz w:val="48"/>
      <w:szCs w:val="48"/>
    </w:r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annotation reference"/>
    <w:basedOn w:val="713"/>
    <w:uiPriority w:val="99"/>
    <w:semiHidden/>
    <w:unhideWhenUsed/>
    <w:qFormat/>
    <w:rPr>
      <w:sz w:val="21"/>
      <w:szCs w:val="21"/>
    </w:rPr>
  </w:style>
  <w:style w:type="character" w:styleId="738">
    <w:name w:val="footnote reference"/>
    <w:uiPriority w:val="99"/>
    <w:unhideWhenUsed/>
    <w:qFormat/>
    <w:rPr>
      <w:vertAlign w:val="superscript"/>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0" w:customStyle="1">
    <w:name w:val="标题 1 字符1"/>
    <w:link w:val="704"/>
    <w:uiPriority w:val="9"/>
    <w:qFormat/>
    <w:rPr>
      <w:rFonts w:ascii="Arial" w:hAnsi="Arial" w:eastAsia="Arial" w:cs="Arial"/>
      <w:sz w:val="40"/>
      <w:szCs w:val="40"/>
    </w:rPr>
  </w:style>
  <w:style w:type="character" w:styleId="741" w:customStyle="1">
    <w:name w:val="标题 2 字符1"/>
    <w:link w:val="705"/>
    <w:uiPriority w:val="9"/>
    <w:qFormat/>
    <w:rPr>
      <w:rFonts w:ascii="Arial" w:hAnsi="Arial" w:eastAsia="Arial" w:cs="Arial"/>
      <w:sz w:val="34"/>
    </w:rPr>
  </w:style>
  <w:style w:type="character" w:styleId="742" w:customStyle="1">
    <w:name w:val="标题 3 字符1"/>
    <w:link w:val="706"/>
    <w:uiPriority w:val="9"/>
    <w:qFormat/>
    <w:rPr>
      <w:rFonts w:ascii="Arial" w:hAnsi="Arial" w:eastAsia="Arial" w:cs="Arial"/>
      <w:sz w:val="30"/>
      <w:szCs w:val="30"/>
    </w:rPr>
  </w:style>
  <w:style w:type="character" w:styleId="743" w:customStyle="1">
    <w:name w:val="标题 4 字符1"/>
    <w:link w:val="707"/>
    <w:uiPriority w:val="9"/>
    <w:qFormat/>
    <w:rPr>
      <w:rFonts w:ascii="Arial" w:hAnsi="Arial" w:eastAsia="Arial" w:cs="Arial"/>
      <w:b/>
      <w:bCs/>
      <w:sz w:val="26"/>
      <w:szCs w:val="26"/>
    </w:rPr>
  </w:style>
  <w:style w:type="character" w:styleId="744" w:customStyle="1">
    <w:name w:val="标题 5 字符1"/>
    <w:link w:val="708"/>
    <w:uiPriority w:val="9"/>
    <w:qFormat/>
    <w:rPr>
      <w:rFonts w:ascii="Arial" w:hAnsi="Arial" w:eastAsia="Arial" w:cs="Arial"/>
      <w:b/>
      <w:bCs/>
      <w:sz w:val="24"/>
      <w:szCs w:val="24"/>
    </w:rPr>
  </w:style>
  <w:style w:type="character" w:styleId="745" w:customStyle="1">
    <w:name w:val="标题 6 字符1"/>
    <w:link w:val="709"/>
    <w:uiPriority w:val="9"/>
    <w:qFormat/>
    <w:rPr>
      <w:rFonts w:ascii="Arial" w:hAnsi="Arial" w:eastAsia="Arial" w:cs="Arial"/>
      <w:b/>
      <w:bCs/>
      <w:sz w:val="22"/>
      <w:szCs w:val="22"/>
    </w:rPr>
  </w:style>
  <w:style w:type="character" w:styleId="746" w:customStyle="1">
    <w:name w:val="标题 7 字符1"/>
    <w:link w:val="710"/>
    <w:uiPriority w:val="9"/>
    <w:qFormat/>
    <w:rPr>
      <w:rFonts w:ascii="Arial" w:hAnsi="Arial" w:eastAsia="Arial" w:cs="Arial"/>
      <w:b/>
      <w:bCs/>
      <w:i/>
      <w:iCs/>
      <w:sz w:val="22"/>
      <w:szCs w:val="22"/>
    </w:rPr>
  </w:style>
  <w:style w:type="character" w:styleId="747" w:customStyle="1">
    <w:name w:val="标题 8 字符1"/>
    <w:link w:val="711"/>
    <w:uiPriority w:val="9"/>
    <w:qFormat/>
    <w:rPr>
      <w:rFonts w:ascii="Arial" w:hAnsi="Arial" w:eastAsia="Arial" w:cs="Arial"/>
      <w:i/>
      <w:iCs/>
      <w:sz w:val="22"/>
      <w:szCs w:val="22"/>
    </w:rPr>
  </w:style>
  <w:style w:type="character" w:styleId="748" w:customStyle="1">
    <w:name w:val="标题 9 字符1"/>
    <w:link w:val="712"/>
    <w:uiPriority w:val="9"/>
    <w:qFormat/>
    <w:rPr>
      <w:rFonts w:ascii="Arial" w:hAnsi="Arial" w:eastAsia="Arial" w:cs="Arial"/>
      <w:i/>
      <w:iCs/>
      <w:sz w:val="21"/>
      <w:szCs w:val="21"/>
    </w:rPr>
  </w:style>
  <w:style w:type="paragraph" w:styleId="749">
    <w:name w:val="List Paragraph"/>
    <w:basedOn w:val="703"/>
    <w:uiPriority w:val="34"/>
    <w:qFormat/>
    <w:pPr>
      <w:contextualSpacing/>
      <w:ind w:left="720"/>
    </w:pPr>
  </w:style>
  <w:style w:type="paragraph" w:styleId="750">
    <w:name w:val="No Spacing"/>
    <w:uiPriority w:val="1"/>
    <w:qFormat/>
    <w:rPr>
      <w:rFonts w:ascii="Times New Roman" w:hAnsi="Times New Roman" w:eastAsia="宋体" w:cs="Times New Roman"/>
      <w:lang w:val="en-US" w:eastAsia="zh-CN" w:bidi="ar-SA"/>
    </w:rPr>
  </w:style>
  <w:style w:type="character" w:styleId="751" w:customStyle="1">
    <w:name w:val="标题 字符"/>
    <w:link w:val="734"/>
    <w:uiPriority w:val="10"/>
    <w:qFormat/>
    <w:rPr>
      <w:sz w:val="48"/>
      <w:szCs w:val="48"/>
    </w:rPr>
  </w:style>
  <w:style w:type="character" w:styleId="752" w:customStyle="1">
    <w:name w:val="副标题 字符"/>
    <w:link w:val="728"/>
    <w:uiPriority w:val="11"/>
    <w:qFormat/>
    <w:rPr>
      <w:sz w:val="24"/>
      <w:szCs w:val="24"/>
    </w:rPr>
  </w:style>
  <w:style w:type="paragraph" w:styleId="753">
    <w:name w:val="Quote"/>
    <w:basedOn w:val="703"/>
    <w:next w:val="703"/>
    <w:link w:val="754"/>
    <w:uiPriority w:val="29"/>
    <w:qFormat/>
    <w:pPr>
      <w:ind w:left="720" w:right="720"/>
    </w:pPr>
    <w:rPr>
      <w:i/>
    </w:rPr>
  </w:style>
  <w:style w:type="character" w:styleId="754" w:customStyle="1">
    <w:name w:val="引用 字符"/>
    <w:link w:val="753"/>
    <w:uiPriority w:val="29"/>
    <w:qFormat/>
    <w:rPr>
      <w:i/>
    </w:rPr>
  </w:style>
  <w:style w:type="paragraph" w:styleId="755">
    <w:name w:val="Intense Quote"/>
    <w:basedOn w:val="703"/>
    <w:next w:val="703"/>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字符"/>
    <w:link w:val="755"/>
    <w:uiPriority w:val="30"/>
    <w:qFormat/>
    <w:rPr>
      <w:i/>
    </w:rPr>
  </w:style>
  <w:style w:type="character" w:styleId="757" w:customStyle="1">
    <w:name w:val="页眉 字符1"/>
    <w:link w:val="725"/>
    <w:uiPriority w:val="99"/>
    <w:qFormat/>
  </w:style>
  <w:style w:type="character" w:styleId="758" w:customStyle="1">
    <w:name w:val="Footer Char"/>
    <w:uiPriority w:val="99"/>
    <w:qFormat/>
  </w:style>
  <w:style w:type="character" w:styleId="759" w:customStyle="1">
    <w:name w:val="页脚 字符1"/>
    <w:link w:val="724"/>
    <w:uiPriority w:val="99"/>
    <w:qFormat/>
  </w:style>
  <w:style w:type="table" w:styleId="7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脚注文本 字符"/>
    <w:link w:val="729"/>
    <w:uiPriority w:val="99"/>
    <w:qFormat/>
    <w:rPr>
      <w:sz w:val="18"/>
    </w:rPr>
  </w:style>
  <w:style w:type="character" w:styleId="886" w:customStyle="1">
    <w:name w:val="尾注文本 字符"/>
    <w:link w:val="722"/>
    <w:uiPriority w:val="99"/>
    <w:qFormat/>
    <w:rPr>
      <w:sz w:val="20"/>
    </w:rPr>
  </w:style>
  <w:style w:type="paragraph" w:styleId="887" w:customStyle="1">
    <w:name w:val="TOC 标题1"/>
    <w:uiPriority w:val="39"/>
    <w:unhideWhenUsed/>
    <w:qFormat/>
    <w:rPr>
      <w:rFonts w:ascii="Times New Roman" w:hAnsi="Times New Roman" w:eastAsia="宋体" w:cs="Times New Roman"/>
      <w:lang w:val="en-US" w:eastAsia="zh-CN" w:bidi="ar-SA"/>
    </w:rPr>
  </w:style>
  <w:style w:type="paragraph" w:styleId="888" w:customStyle="1">
    <w:name w:val="标题 11"/>
    <w:basedOn w:val="703"/>
    <w:next w:val="703"/>
    <w:link w:val="900"/>
    <w:uiPriority w:val="0"/>
    <w:qFormat/>
    <w:pPr>
      <w:jc w:val="center"/>
      <w:keepNext/>
      <w:outlineLvl w:val="0"/>
    </w:pPr>
    <w:rPr>
      <w:rFonts w:ascii="楷体_GB2312" w:eastAsia="楷体_GB2312"/>
      <w:sz w:val="28"/>
      <w:szCs w:val="28"/>
    </w:rPr>
  </w:style>
  <w:style w:type="paragraph" w:styleId="889" w:customStyle="1">
    <w:name w:val="标题 21"/>
    <w:basedOn w:val="703"/>
    <w:next w:val="890"/>
    <w:link w:val="9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0" w:customStyle="1">
    <w:name w:val="正文缩进1"/>
    <w:basedOn w:val="703"/>
    <w:link w:val="902"/>
    <w:uiPriority w:val="99"/>
    <w:qFormat/>
    <w:pPr>
      <w:ind w:firstLine="420"/>
    </w:pPr>
  </w:style>
  <w:style w:type="paragraph" w:styleId="891" w:customStyle="1">
    <w:name w:val="标题 31"/>
    <w:basedOn w:val="703"/>
    <w:next w:val="890"/>
    <w:link w:val="903"/>
    <w:uiPriority w:val="0"/>
    <w:qFormat/>
    <w:pPr>
      <w:keepLines/>
      <w:keepNext/>
      <w:spacing w:before="260" w:after="260" w:line="416" w:lineRule="auto"/>
      <w:outlineLvl w:val="2"/>
    </w:pPr>
    <w:rPr>
      <w:b/>
      <w:bCs/>
      <w:sz w:val="32"/>
      <w:szCs w:val="32"/>
    </w:rPr>
  </w:style>
  <w:style w:type="paragraph" w:styleId="892" w:customStyle="1">
    <w:name w:val="标题 41"/>
    <w:basedOn w:val="703"/>
    <w:next w:val="890"/>
    <w:link w:val="904"/>
    <w:uiPriority w:val="0"/>
    <w:qFormat/>
    <w:pPr>
      <w:keepLines/>
      <w:keepNext/>
      <w:spacing w:before="280" w:after="290" w:line="376" w:lineRule="auto"/>
      <w:outlineLvl w:val="3"/>
    </w:pPr>
    <w:rPr>
      <w:rFonts w:ascii="Arial" w:hAnsi="Arial" w:eastAsia="黑体" w:cs="Arial"/>
      <w:b/>
      <w:bCs/>
      <w:sz w:val="28"/>
      <w:szCs w:val="28"/>
    </w:rPr>
  </w:style>
  <w:style w:type="paragraph" w:styleId="893" w:customStyle="1">
    <w:name w:val="标题 51"/>
    <w:basedOn w:val="703"/>
    <w:next w:val="890"/>
    <w:link w:val="905"/>
    <w:uiPriority w:val="0"/>
    <w:qFormat/>
    <w:pPr>
      <w:keepNext/>
      <w:outlineLvl w:val="4"/>
    </w:pPr>
    <w:rPr>
      <w:rFonts w:ascii="宋体"/>
      <w:color w:val="000000"/>
      <w:sz w:val="28"/>
      <w:szCs w:val="28"/>
    </w:rPr>
  </w:style>
  <w:style w:type="paragraph" w:styleId="894" w:customStyle="1">
    <w:name w:val="标题 61"/>
    <w:basedOn w:val="703"/>
    <w:next w:val="703"/>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3"/>
    <w:next w:val="703"/>
    <w:link w:val="907"/>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3"/>
    <w:next w:val="703"/>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3"/>
    <w:next w:val="703"/>
    <w:link w:val="909"/>
    <w:uiPriority w:val="0"/>
    <w:qFormat/>
    <w:pPr>
      <w:numPr>
        <w:ilvl w:val="8"/>
        <w:numId w:val="1"/>
      </w:numPr>
      <w:keepLines/>
      <w:keepNext/>
      <w:spacing w:before="240" w:after="64" w:line="320" w:lineRule="auto"/>
      <w:outlineLvl w:val="8"/>
    </w:pPr>
    <w:rPr>
      <w:rFonts w:ascii="Arial" w:hAnsi="Arial" w:eastAsia="黑体"/>
    </w:rPr>
  </w:style>
  <w:style w:type="character" w:styleId="898" w:customStyle="1">
    <w:name w:val="默认段落字体1"/>
    <w:uiPriority w:val="1"/>
    <w:unhideWhenUsed/>
    <w:qFormat/>
  </w:style>
  <w:style w:type="table" w:styleId="899" w:customStyle="1">
    <w:name w:val="普通表格1"/>
    <w:uiPriority w:val="99"/>
    <w:unhideWhenUsed/>
    <w:qFormat/>
    <w:tblPr>
      <w:tblLayout w:type="fixed"/>
      <w:tblCellMar>
        <w:left w:w="0" w:type="dxa"/>
        <w:top w:w="0" w:type="dxa"/>
        <w:right w:w="0" w:type="dxa"/>
        <w:bottom w:w="0" w:type="dxa"/>
      </w:tblCellMar>
    </w:tblPr>
  </w:style>
  <w:style w:type="character" w:styleId="900" w:customStyle="1">
    <w:name w:val="标题 1 字符"/>
    <w:link w:val="888"/>
    <w:uiPriority w:val="0"/>
    <w:qFormat/>
    <w:rPr>
      <w:rFonts w:ascii="楷体_GB2312" w:hAnsi="Times New Roman" w:eastAsia="楷体_GB2312" w:cs="Times New Roman"/>
      <w:sz w:val="28"/>
      <w:szCs w:val="28"/>
    </w:rPr>
  </w:style>
  <w:style w:type="character" w:styleId="901" w:customStyle="1">
    <w:name w:val="标题 2 字符"/>
    <w:link w:val="889"/>
    <w:uiPriority w:val="0"/>
    <w:qFormat/>
    <w:rPr>
      <w:rFonts w:ascii="Arial" w:hAnsi="Arial" w:eastAsia="幼圆" w:cs="Arial"/>
      <w:b/>
      <w:bCs/>
      <w:sz w:val="44"/>
      <w:szCs w:val="44"/>
    </w:rPr>
  </w:style>
  <w:style w:type="character" w:styleId="902" w:customStyle="1">
    <w:name w:val="正文缩进 字符"/>
    <w:link w:val="890"/>
    <w:uiPriority w:val="0"/>
    <w:qFormat/>
    <w:rPr>
      <w:rFonts w:ascii="Times New Roman" w:hAnsi="Times New Roman" w:eastAsia="宋体" w:cs="Times New Roman"/>
      <w:szCs w:val="21"/>
    </w:rPr>
  </w:style>
  <w:style w:type="character" w:styleId="903" w:customStyle="1">
    <w:name w:val="标题 3 字符"/>
    <w:link w:val="891"/>
    <w:uiPriority w:val="0"/>
    <w:qFormat/>
    <w:rPr>
      <w:rFonts w:ascii="Times New Roman" w:hAnsi="Times New Roman" w:eastAsia="宋体" w:cs="Times New Roman"/>
      <w:b/>
      <w:bCs/>
      <w:sz w:val="32"/>
      <w:szCs w:val="32"/>
    </w:rPr>
  </w:style>
  <w:style w:type="character" w:styleId="904" w:customStyle="1">
    <w:name w:val="标题 4 字符"/>
    <w:link w:val="892"/>
    <w:uiPriority w:val="0"/>
    <w:qFormat/>
    <w:rPr>
      <w:rFonts w:ascii="Arial" w:hAnsi="Arial" w:eastAsia="黑体" w:cs="Arial"/>
      <w:b/>
      <w:bCs/>
      <w:sz w:val="28"/>
      <w:szCs w:val="28"/>
    </w:rPr>
  </w:style>
  <w:style w:type="character" w:styleId="905" w:customStyle="1">
    <w:name w:val="标题 5 字符"/>
    <w:link w:val="893"/>
    <w:uiPriority w:val="0"/>
    <w:qFormat/>
    <w:rPr>
      <w:rFonts w:ascii="宋体" w:hAnsi="Times New Roman" w:eastAsia="宋体" w:cs="Times New Roman"/>
      <w:color w:val="000000"/>
      <w:sz w:val="28"/>
      <w:szCs w:val="28"/>
    </w:rPr>
  </w:style>
  <w:style w:type="character" w:styleId="906" w:customStyle="1">
    <w:name w:val="标题 6 字符"/>
    <w:link w:val="894"/>
    <w:uiPriority w:val="0"/>
    <w:qFormat/>
    <w:rPr>
      <w:rFonts w:ascii="Arial" w:hAnsi="Arial" w:eastAsia="黑体" w:cs="Times New Roman"/>
      <w:b/>
      <w:bCs/>
      <w:sz w:val="24"/>
      <w:szCs w:val="24"/>
    </w:rPr>
  </w:style>
  <w:style w:type="character" w:styleId="907" w:customStyle="1">
    <w:name w:val="标题 7 字符"/>
    <w:link w:val="895"/>
    <w:uiPriority w:val="0"/>
    <w:qFormat/>
    <w:rPr>
      <w:rFonts w:ascii="Times New Roman" w:hAnsi="Times New Roman" w:eastAsia="宋体" w:cs="Times New Roman"/>
      <w:b/>
      <w:bCs/>
      <w:sz w:val="24"/>
      <w:szCs w:val="24"/>
    </w:rPr>
  </w:style>
  <w:style w:type="character" w:styleId="908" w:customStyle="1">
    <w:name w:val="标题 8 字符"/>
    <w:link w:val="896"/>
    <w:uiPriority w:val="0"/>
    <w:qFormat/>
    <w:rPr>
      <w:rFonts w:ascii="Arial" w:hAnsi="Arial" w:eastAsia="黑体" w:cs="Times New Roman"/>
      <w:sz w:val="24"/>
      <w:szCs w:val="24"/>
    </w:rPr>
  </w:style>
  <w:style w:type="character" w:styleId="909" w:customStyle="1">
    <w:name w:val="标题 9 字符"/>
    <w:link w:val="897"/>
    <w:uiPriority w:val="0"/>
    <w:qFormat/>
    <w:rPr>
      <w:rFonts w:ascii="Arial" w:hAnsi="Arial" w:eastAsia="黑体" w:cs="Times New Roman"/>
      <w:szCs w:val="21"/>
    </w:rPr>
  </w:style>
  <w:style w:type="paragraph" w:styleId="910" w:customStyle="1">
    <w:name w:val="列表 31"/>
    <w:basedOn w:val="703"/>
    <w:uiPriority w:val="0"/>
    <w:qFormat/>
    <w:pPr>
      <w:ind w:left="100" w:hanging="200"/>
    </w:pPr>
  </w:style>
  <w:style w:type="paragraph" w:styleId="911" w:customStyle="1">
    <w:name w:val="文档结构图1"/>
    <w:basedOn w:val="703"/>
    <w:link w:val="912"/>
    <w:uiPriority w:val="0"/>
    <w:semiHidden/>
    <w:qFormat/>
    <w:pPr>
      <w:shd w:val="clear" w:color="auto" w:fill="000080"/>
    </w:pPr>
  </w:style>
  <w:style w:type="character" w:styleId="912" w:customStyle="1">
    <w:name w:val="文档结构图 字符"/>
    <w:link w:val="911"/>
    <w:uiPriority w:val="0"/>
    <w:semiHidden/>
    <w:qFormat/>
    <w:rPr>
      <w:rFonts w:ascii="Times New Roman" w:hAnsi="Times New Roman" w:eastAsia="宋体" w:cs="Times New Roman"/>
      <w:szCs w:val="21"/>
      <w:shd w:val="clear" w:color="auto" w:fill="000080"/>
    </w:rPr>
  </w:style>
  <w:style w:type="paragraph" w:styleId="913" w:customStyle="1">
    <w:name w:val="批注文字1"/>
    <w:basedOn w:val="703"/>
    <w:link w:val="914"/>
    <w:uiPriority w:val="0"/>
    <w:qFormat/>
    <w:pPr>
      <w:jc w:val="left"/>
    </w:pPr>
  </w:style>
  <w:style w:type="character" w:styleId="914" w:customStyle="1">
    <w:name w:val="批注文字 字符"/>
    <w:link w:val="913"/>
    <w:uiPriority w:val="0"/>
    <w:qFormat/>
    <w:rPr>
      <w:rFonts w:ascii="Times New Roman" w:hAnsi="Times New Roman" w:eastAsia="宋体" w:cs="Times New Roman"/>
      <w:szCs w:val="21"/>
    </w:rPr>
  </w:style>
  <w:style w:type="paragraph" w:styleId="915" w:customStyle="1">
    <w:name w:val="正文文本 31"/>
    <w:basedOn w:val="703"/>
    <w:link w:val="916"/>
    <w:uiPriority w:val="0"/>
    <w:qFormat/>
    <w:rPr>
      <w:rFonts w:ascii="仿宋_GB2312" w:hAnsi="Arial" w:eastAsia="仿宋_GB2312"/>
      <w:sz w:val="32"/>
      <w:szCs w:val="32"/>
    </w:rPr>
  </w:style>
  <w:style w:type="character" w:styleId="916" w:customStyle="1">
    <w:name w:val="正文文本 3 字符"/>
    <w:link w:val="915"/>
    <w:uiPriority w:val="0"/>
    <w:qFormat/>
    <w:rPr>
      <w:rFonts w:ascii="仿宋_GB2312" w:hAnsi="Arial" w:eastAsia="仿宋_GB2312" w:cs="Times New Roman"/>
      <w:sz w:val="32"/>
      <w:szCs w:val="32"/>
    </w:rPr>
  </w:style>
  <w:style w:type="paragraph" w:styleId="917" w:customStyle="1">
    <w:name w:val="正文文本1"/>
    <w:basedOn w:val="703"/>
    <w:link w:val="918"/>
    <w:uiPriority w:val="0"/>
    <w:qFormat/>
    <w:rPr>
      <w:rFonts w:ascii="楷体_GB2312" w:hAnsi="Arial" w:eastAsia="楷体_GB2312"/>
      <w:sz w:val="28"/>
      <w:szCs w:val="28"/>
    </w:rPr>
  </w:style>
  <w:style w:type="character" w:styleId="918" w:customStyle="1">
    <w:name w:val="正文文本 字符"/>
    <w:link w:val="917"/>
    <w:uiPriority w:val="0"/>
    <w:qFormat/>
    <w:rPr>
      <w:rFonts w:ascii="楷体_GB2312" w:hAnsi="Arial" w:eastAsia="楷体_GB2312" w:cs="Times New Roman"/>
      <w:sz w:val="28"/>
      <w:szCs w:val="28"/>
    </w:rPr>
  </w:style>
  <w:style w:type="paragraph" w:styleId="919" w:customStyle="1">
    <w:name w:val="正文文本缩进1"/>
    <w:basedOn w:val="703"/>
    <w:link w:val="920"/>
    <w:uiPriority w:val="0"/>
    <w:qFormat/>
    <w:pPr>
      <w:ind w:firstLine="645"/>
    </w:pPr>
    <w:rPr>
      <w:rFonts w:ascii="楷体_GB2312" w:eastAsia="楷体_GB2312"/>
      <w:sz w:val="32"/>
      <w:szCs w:val="32"/>
    </w:rPr>
  </w:style>
  <w:style w:type="character" w:styleId="920" w:customStyle="1">
    <w:name w:val="正文文本缩进 字符"/>
    <w:link w:val="919"/>
    <w:uiPriority w:val="0"/>
    <w:qFormat/>
    <w:rPr>
      <w:rFonts w:ascii="楷体_GB2312" w:hAnsi="Times New Roman" w:eastAsia="楷体_GB2312" w:cs="Times New Roman"/>
      <w:sz w:val="32"/>
      <w:szCs w:val="32"/>
    </w:rPr>
  </w:style>
  <w:style w:type="paragraph" w:styleId="921" w:customStyle="1">
    <w:name w:val="列表 21"/>
    <w:basedOn w:val="703"/>
    <w:uiPriority w:val="0"/>
    <w:qFormat/>
    <w:pPr>
      <w:ind w:left="100" w:hanging="200"/>
    </w:pPr>
  </w:style>
  <w:style w:type="paragraph" w:styleId="922" w:customStyle="1">
    <w:name w:val="纯文本1"/>
    <w:basedOn w:val="703"/>
    <w:link w:val="923"/>
    <w:uiPriority w:val="0"/>
    <w:qFormat/>
    <w:rPr>
      <w:rFonts w:ascii="宋体" w:hAnsi="Courier New" w:cs="Courier New"/>
    </w:rPr>
  </w:style>
  <w:style w:type="character" w:styleId="923" w:customStyle="1">
    <w:name w:val="纯文本 字符"/>
    <w:link w:val="922"/>
    <w:uiPriority w:val="0"/>
    <w:qFormat/>
    <w:rPr>
      <w:rFonts w:ascii="宋体" w:hAnsi="Courier New" w:eastAsia="宋体" w:cs="Courier New"/>
      <w:szCs w:val="21"/>
    </w:rPr>
  </w:style>
  <w:style w:type="paragraph" w:styleId="924" w:customStyle="1">
    <w:name w:val="日期1"/>
    <w:basedOn w:val="703"/>
    <w:next w:val="703"/>
    <w:link w:val="925"/>
    <w:uiPriority w:val="0"/>
    <w:qFormat/>
    <w:rPr>
      <w:sz w:val="24"/>
      <w:szCs w:val="24"/>
    </w:rPr>
  </w:style>
  <w:style w:type="character" w:styleId="925" w:customStyle="1">
    <w:name w:val="日期 字符"/>
    <w:link w:val="924"/>
    <w:uiPriority w:val="0"/>
    <w:qFormat/>
    <w:rPr>
      <w:rFonts w:ascii="Times New Roman" w:hAnsi="Times New Roman" w:eastAsia="宋体" w:cs="Times New Roman"/>
      <w:sz w:val="24"/>
      <w:szCs w:val="24"/>
    </w:rPr>
  </w:style>
  <w:style w:type="paragraph" w:styleId="926" w:customStyle="1">
    <w:name w:val="正文文本缩进 21"/>
    <w:basedOn w:val="703"/>
    <w:link w:val="927"/>
    <w:uiPriority w:val="0"/>
    <w:qFormat/>
    <w:pPr>
      <w:ind w:left="630" w:firstLine="645"/>
    </w:pPr>
    <w:rPr>
      <w:rFonts w:ascii="Arial" w:hAnsi="Arial" w:eastAsia="仿宋_GB2312" w:cs="Arial"/>
      <w:sz w:val="32"/>
      <w:szCs w:val="32"/>
    </w:rPr>
  </w:style>
  <w:style w:type="character" w:styleId="927" w:customStyle="1">
    <w:name w:val="正文文本缩进 2 字符"/>
    <w:link w:val="926"/>
    <w:uiPriority w:val="0"/>
    <w:qFormat/>
    <w:rPr>
      <w:rFonts w:ascii="Arial" w:hAnsi="Arial" w:eastAsia="仿宋_GB2312" w:cs="Arial"/>
      <w:sz w:val="32"/>
      <w:szCs w:val="32"/>
    </w:rPr>
  </w:style>
  <w:style w:type="paragraph" w:styleId="928" w:customStyle="1">
    <w:name w:val="批注框文本1"/>
    <w:basedOn w:val="703"/>
    <w:link w:val="929"/>
    <w:uiPriority w:val="0"/>
    <w:semiHidden/>
    <w:qFormat/>
    <w:rPr>
      <w:sz w:val="18"/>
      <w:szCs w:val="18"/>
    </w:rPr>
  </w:style>
  <w:style w:type="character" w:styleId="929" w:customStyle="1">
    <w:name w:val="批注框文本 字符"/>
    <w:link w:val="928"/>
    <w:uiPriority w:val="0"/>
    <w:semiHidden/>
    <w:qFormat/>
    <w:rPr>
      <w:rFonts w:ascii="Times New Roman" w:hAnsi="Times New Roman" w:eastAsia="宋体" w:cs="Times New Roman"/>
      <w:sz w:val="18"/>
      <w:szCs w:val="18"/>
    </w:rPr>
  </w:style>
  <w:style w:type="paragraph" w:styleId="930" w:customStyle="1">
    <w:name w:val="页脚1"/>
    <w:basedOn w:val="703"/>
    <w:link w:val="931"/>
    <w:uiPriority w:val="99"/>
    <w:qFormat/>
    <w:pPr>
      <w:jc w:val="left"/>
      <w:tabs>
        <w:tab w:val="center" w:pos="4153" w:leader="none"/>
        <w:tab w:val="right" w:pos="8306" w:leader="none"/>
      </w:tabs>
    </w:pPr>
    <w:rPr>
      <w:sz w:val="18"/>
      <w:szCs w:val="18"/>
    </w:rPr>
  </w:style>
  <w:style w:type="character" w:styleId="931" w:customStyle="1">
    <w:name w:val="页脚 字符"/>
    <w:link w:val="930"/>
    <w:uiPriority w:val="99"/>
    <w:qFormat/>
    <w:rPr>
      <w:rFonts w:ascii="Times New Roman" w:hAnsi="Times New Roman" w:eastAsia="宋体" w:cs="Times New Roman"/>
      <w:sz w:val="18"/>
      <w:szCs w:val="18"/>
    </w:rPr>
  </w:style>
  <w:style w:type="paragraph" w:styleId="932" w:customStyle="1">
    <w:name w:val="页眉1"/>
    <w:basedOn w:val="703"/>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0"/>
    <w:qFormat/>
    <w:rPr>
      <w:rFonts w:ascii="Times New Roman" w:hAnsi="Times New Roman" w:eastAsia="宋体" w:cs="Times New Roman"/>
      <w:sz w:val="18"/>
      <w:szCs w:val="18"/>
    </w:rPr>
  </w:style>
  <w:style w:type="paragraph" w:styleId="934" w:customStyle="1">
    <w:name w:val="列表1"/>
    <w:basedOn w:val="703"/>
    <w:uiPriority w:val="0"/>
    <w:qFormat/>
    <w:pPr>
      <w:ind w:left="200" w:hanging="200"/>
    </w:pPr>
  </w:style>
  <w:style w:type="paragraph" w:styleId="935" w:customStyle="1">
    <w:name w:val="正文文本缩进 31"/>
    <w:basedOn w:val="703"/>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字符"/>
    <w:link w:val="935"/>
    <w:uiPriority w:val="0"/>
    <w:qFormat/>
    <w:rPr>
      <w:rFonts w:ascii="Arial" w:hAnsi="Arial" w:eastAsia="仿宋_GB2312" w:cs="Arial"/>
      <w:color w:val="ffff00"/>
      <w:sz w:val="32"/>
      <w:szCs w:val="32"/>
    </w:rPr>
  </w:style>
  <w:style w:type="paragraph" w:styleId="937" w:customStyle="1">
    <w:name w:val="图表目录1"/>
    <w:basedOn w:val="703"/>
    <w:next w:val="703"/>
    <w:uiPriority w:val="0"/>
    <w:semiHidden/>
    <w:qFormat/>
    <w:pPr>
      <w:ind w:left="840" w:hanging="420"/>
    </w:pPr>
  </w:style>
  <w:style w:type="paragraph" w:styleId="938" w:customStyle="1">
    <w:name w:val="正文文本 21"/>
    <w:basedOn w:val="703"/>
    <w:link w:val="939"/>
    <w:uiPriority w:val="0"/>
    <w:qFormat/>
    <w:pPr>
      <w:jc w:val="center"/>
      <w:widowControl/>
    </w:pPr>
    <w:rPr>
      <w:rFonts w:ascii="楷体_GB2312" w:eastAsia="楷体_GB2312"/>
      <w:sz w:val="28"/>
      <w:szCs w:val="28"/>
    </w:rPr>
  </w:style>
  <w:style w:type="character" w:styleId="939" w:customStyle="1">
    <w:name w:val="正文文本 2 字符"/>
    <w:link w:val="938"/>
    <w:uiPriority w:val="0"/>
    <w:qFormat/>
    <w:rPr>
      <w:rFonts w:ascii="楷体_GB2312" w:hAnsi="Times New Roman" w:eastAsia="楷体_GB2312" w:cs="Times New Roman"/>
      <w:sz w:val="28"/>
      <w:szCs w:val="28"/>
    </w:rPr>
  </w:style>
  <w:style w:type="paragraph" w:styleId="940" w:customStyle="1">
    <w:name w:val="普通(网站)1"/>
    <w:basedOn w:val="703"/>
    <w:uiPriority w:val="99"/>
    <w:qFormat/>
    <w:pPr>
      <w:jc w:val="left"/>
      <w:spacing w:before="100" w:beforeAutospacing="1" w:after="100" w:afterAutospacing="1"/>
      <w:widowControl/>
    </w:pPr>
    <w:rPr>
      <w:rFonts w:ascii="宋体" w:hAnsi="宋体" w:cs="宋体"/>
      <w:sz w:val="24"/>
      <w:szCs w:val="24"/>
    </w:rPr>
  </w:style>
  <w:style w:type="paragraph" w:styleId="941" w:customStyle="1">
    <w:name w:val="索引 11"/>
    <w:basedOn w:val="703"/>
    <w:next w:val="703"/>
    <w:uiPriority w:val="0"/>
    <w:semiHidden/>
    <w:qFormat/>
    <w:pPr>
      <w:spacing w:line="240" w:lineRule="atLeast"/>
    </w:pPr>
    <w:rPr>
      <w:b/>
      <w:bCs/>
    </w:rPr>
  </w:style>
  <w:style w:type="paragraph" w:styleId="942" w:customStyle="1">
    <w:name w:val="批注主题1"/>
    <w:basedOn w:val="913"/>
    <w:next w:val="913"/>
    <w:link w:val="943"/>
    <w:uiPriority w:val="0"/>
    <w:semiHidden/>
    <w:qFormat/>
    <w:rPr>
      <w:b/>
      <w:bCs/>
    </w:rPr>
  </w:style>
  <w:style w:type="character" w:styleId="943" w:customStyle="1">
    <w:name w:val="批注主题 字符"/>
    <w:link w:val="942"/>
    <w:uiPriority w:val="0"/>
    <w:semiHidden/>
    <w:qFormat/>
    <w:rPr>
      <w:rFonts w:ascii="Times New Roman" w:hAnsi="Times New Roman" w:eastAsia="宋体" w:cs="Times New Roman"/>
      <w:b/>
      <w:bCs/>
      <w:szCs w:val="21"/>
    </w:rPr>
  </w:style>
  <w:style w:type="paragraph" w:styleId="944" w:customStyle="1">
    <w:name w:val="正文文本首行缩进1"/>
    <w:basedOn w:val="703"/>
    <w:link w:val="945"/>
    <w:uiPriority w:val="0"/>
    <w:qFormat/>
    <w:pPr>
      <w:ind w:firstLine="200"/>
      <w:spacing w:line="360" w:lineRule="auto"/>
    </w:pPr>
    <w:rPr>
      <w:rFonts w:ascii="仿宋_GB2312" w:eastAsia="仿宋_GB2312"/>
      <w:sz w:val="30"/>
      <w:szCs w:val="30"/>
    </w:rPr>
  </w:style>
  <w:style w:type="character" w:styleId="945" w:customStyle="1">
    <w:name w:val="正文文本首行缩进 字符"/>
    <w:link w:val="944"/>
    <w:uiPriority w:val="0"/>
    <w:qFormat/>
    <w:rPr>
      <w:rFonts w:ascii="仿宋_GB2312" w:hAnsi="Times New Roman" w:eastAsia="仿宋_GB2312" w:cs="Times New Roman"/>
      <w:sz w:val="30"/>
      <w:szCs w:val="30"/>
    </w:rPr>
  </w:style>
  <w:style w:type="paragraph" w:styleId="946" w:customStyle="1">
    <w:name w:val="正文文本首行缩进 21"/>
    <w:basedOn w:val="919"/>
    <w:link w:val="947"/>
    <w:uiPriority w:val="0"/>
    <w:qFormat/>
    <w:pPr>
      <w:ind w:firstLine="420"/>
      <w:spacing w:line="360" w:lineRule="auto"/>
    </w:pPr>
    <w:rPr>
      <w:rFonts w:ascii="宋体" w:hAnsi="宋体" w:eastAsia="宋体"/>
      <w:sz w:val="21"/>
      <w:szCs w:val="20"/>
    </w:rPr>
  </w:style>
  <w:style w:type="character" w:styleId="947" w:customStyle="1">
    <w:name w:val="正文文本首行缩进 2 字符"/>
    <w:link w:val="946"/>
    <w:uiPriority w:val="0"/>
    <w:qFormat/>
    <w:rPr>
      <w:rFonts w:ascii="宋体" w:hAnsi="宋体" w:eastAsia="宋体" w:cs="Times New Roman"/>
      <w:sz w:val="32"/>
      <w:szCs w:val="20"/>
    </w:rPr>
  </w:style>
  <w:style w:type="table" w:styleId="948" w:customStyle="1">
    <w:name w:val="网格型1"/>
    <w:basedOn w:val="899"/>
    <w:uiPriority w:val="0"/>
    <w:qFormat/>
    <w:pPr>
      <w:jc w:val="both"/>
      <w:widowControl w:val="off"/>
    </w:pPr>
    <w:tblPr/>
  </w:style>
  <w:style w:type="character" w:styleId="949" w:customStyle="1">
    <w:name w:val="要点1"/>
    <w:uiPriority w:val="0"/>
    <w:qFormat/>
    <w:rPr>
      <w:b/>
      <w:bCs/>
    </w:rPr>
  </w:style>
  <w:style w:type="character" w:styleId="950" w:customStyle="1">
    <w:name w:val="页码1"/>
    <w:uiPriority w:val="0"/>
    <w:qFormat/>
  </w:style>
  <w:style w:type="character" w:styleId="951" w:customStyle="1">
    <w:name w:val="访问过的超链接1"/>
    <w:uiPriority w:val="0"/>
    <w:qFormat/>
    <w:rPr>
      <w:color w:val="800080"/>
      <w:u w:val="single"/>
    </w:rPr>
  </w:style>
  <w:style w:type="character" w:styleId="952" w:customStyle="1">
    <w:name w:val="超链接1"/>
    <w:uiPriority w:val="0"/>
    <w:qFormat/>
    <w:rPr>
      <w:color w:val="0000ff"/>
      <w:u w:val="single"/>
    </w:rPr>
  </w:style>
  <w:style w:type="character" w:styleId="953" w:customStyle="1">
    <w:name w:val="批注引用1"/>
    <w:uiPriority w:val="0"/>
    <w:qFormat/>
    <w:rPr>
      <w:sz w:val="21"/>
      <w:szCs w:val="21"/>
    </w:rPr>
  </w:style>
  <w:style w:type="character" w:styleId="954" w:customStyle="1">
    <w:name w:val="二级目录 Char"/>
    <w:link w:val="955"/>
    <w:uiPriority w:val="0"/>
    <w:qFormat/>
    <w:rPr>
      <w:b/>
      <w:sz w:val="30"/>
      <w:szCs w:val="28"/>
    </w:rPr>
  </w:style>
  <w:style w:type="paragraph" w:styleId="955" w:customStyle="1">
    <w:name w:val="二级目录"/>
    <w:next w:val="703"/>
    <w:link w:val="95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703"/>
    <w:link w:val="956"/>
    <w:uiPriority w:val="0"/>
    <w:qFormat/>
    <w:pPr>
      <w:contextualSpacing/>
      <w:ind w:left="720"/>
      <w:jc w:val="left"/>
      <w:widowControl/>
    </w:pPr>
    <w:rPr>
      <w:rFonts w:ascii="Calibri" w:hAnsi="Calibri"/>
      <w:sz w:val="24"/>
      <w:szCs w:val="24"/>
      <w:lang w:eastAsia="en-US" w:bidi="en-US"/>
    </w:rPr>
  </w:style>
  <w:style w:type="character" w:styleId="958" w:customStyle="1">
    <w:name w:val="列表段落 字符"/>
    <w:link w:val="959"/>
    <w:uiPriority w:val="34"/>
    <w:qFormat/>
    <w:rPr>
      <w:sz w:val="24"/>
      <w:szCs w:val="24"/>
      <w:lang w:eastAsia="en-US" w:bidi="en-US"/>
    </w:rPr>
  </w:style>
  <w:style w:type="paragraph" w:styleId="959" w:customStyle="1">
    <w:name w:val="列表段落1"/>
    <w:basedOn w:val="703"/>
    <w:link w:val="958"/>
    <w:uiPriority w:val="34"/>
    <w:qFormat/>
    <w:pPr>
      <w:contextualSpacing/>
      <w:ind w:left="720"/>
      <w:jc w:val="left"/>
      <w:widowControl/>
    </w:pPr>
    <w:rPr>
      <w:rFonts w:ascii="Calibri" w:hAnsi="Calibri"/>
      <w:sz w:val="24"/>
      <w:szCs w:val="24"/>
      <w:lang w:eastAsia="en-US" w:bidi="en-US"/>
    </w:rPr>
  </w:style>
  <w:style w:type="character" w:styleId="960" w:customStyle="1">
    <w:name w:val="font5 Char"/>
    <w:uiPriority w:val="0"/>
    <w:qFormat/>
    <w:rPr>
      <w:rFonts w:ascii="宋体" w:hAnsi="宋体" w:eastAsia="宋体"/>
      <w:sz w:val="28"/>
      <w:szCs w:val="28"/>
      <w:lang w:val="en-US" w:eastAsia="zh-CN" w:bidi="ar-SA"/>
    </w:rPr>
  </w:style>
  <w:style w:type="paragraph" w:styleId="961" w:customStyle="1">
    <w:name w:val="font7"/>
    <w:basedOn w:val="703"/>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xl30"/>
    <w:basedOn w:val="703"/>
    <w:uiPriority w:val="0"/>
    <w:qFormat/>
    <w:pPr>
      <w:jc w:val="center"/>
      <w:spacing w:before="100" w:beforeAutospacing="1" w:after="100" w:afterAutospacing="1"/>
      <w:widowControl/>
    </w:pPr>
    <w:rPr>
      <w:rFonts w:ascii="宋体" w:hAnsi="宋体"/>
      <w:b/>
      <w:bCs/>
      <w:sz w:val="36"/>
      <w:szCs w:val="36"/>
    </w:rPr>
  </w:style>
  <w:style w:type="paragraph" w:styleId="963" w:customStyle="1">
    <w:name w:val="标题3"/>
    <w:basedOn w:val="703"/>
    <w:next w:val="703"/>
    <w:uiPriority w:val="0"/>
    <w:qFormat/>
    <w:pPr>
      <w:ind w:firstLine="624"/>
      <w:spacing w:line="590" w:lineRule="atLeast"/>
    </w:pPr>
    <w:rPr>
      <w:rFonts w:ascii="方正黑体_GBK" w:eastAsia="方正黑体_GBK"/>
      <w:sz w:val="32"/>
      <w:szCs w:val="32"/>
    </w:rPr>
  </w:style>
  <w:style w:type="paragraph" w:styleId="964" w:customStyle="1">
    <w:name w:val="table_lines"/>
    <w:basedOn w:val="703"/>
    <w:uiPriority w:val="0"/>
    <w:qFormat/>
    <w:pPr>
      <w:jc w:val="left"/>
      <w:widowControl/>
    </w:pPr>
    <w:rPr>
      <w:sz w:val="20"/>
      <w:szCs w:val="20"/>
      <w:lang w:val="de-DE" w:eastAsia="de-DE"/>
    </w:rPr>
  </w:style>
  <w:style w:type="paragraph" w:styleId="965" w:customStyle="1">
    <w:name w:val="xl2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67" w:customStyle="1">
    <w:name w:val="Char Char Char Char Char Char Char Char Char Char"/>
    <w:basedOn w:val="703"/>
    <w:uiPriority w:val="0"/>
    <w:qFormat/>
    <w:pPr>
      <w:spacing w:line="360" w:lineRule="auto"/>
    </w:pPr>
    <w:rPr>
      <w:sz w:val="24"/>
      <w:szCs w:val="20"/>
    </w:rPr>
  </w:style>
  <w:style w:type="paragraph" w:styleId="968" w:customStyle="1">
    <w:name w:val="Char"/>
    <w:basedOn w:val="703"/>
    <w:uiPriority w:val="0"/>
    <w:qFormat/>
    <w:pPr>
      <w:ind w:firstLine="200"/>
      <w:tabs>
        <w:tab w:val="left" w:pos="360" w:leader="none"/>
      </w:tabs>
    </w:pPr>
    <w:rPr>
      <w:sz w:val="28"/>
      <w:szCs w:val="30"/>
    </w:rPr>
  </w:style>
  <w:style w:type="paragraph" w:styleId="969" w:customStyle="1">
    <w:name w:val="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970" w:customStyle="1">
    <w:name w:val="font5"/>
    <w:basedOn w:val="703"/>
    <w:uiPriority w:val="0"/>
    <w:qFormat/>
    <w:pPr>
      <w:jc w:val="left"/>
      <w:spacing w:before="100" w:beforeAutospacing="1" w:after="100" w:afterAutospacing="1"/>
      <w:widowControl/>
    </w:pPr>
    <w:rPr>
      <w:rFonts w:hint="eastAsia" w:ascii="宋体" w:hAnsi="宋体"/>
      <w:sz w:val="28"/>
      <w:szCs w:val="28"/>
    </w:rPr>
  </w:style>
  <w:style w:type="paragraph" w:styleId="971" w:customStyle="1">
    <w:name w:val="xl24"/>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Char Char Char Char"/>
    <w:basedOn w:val="911"/>
    <w:uiPriority w:val="0"/>
    <w:qFormat/>
    <w:pPr>
      <w:spacing w:line="360" w:lineRule="auto"/>
    </w:pPr>
    <w:rPr>
      <w:rFonts w:ascii="Tahoma" w:hAnsi="Tahoma"/>
      <w:sz w:val="24"/>
      <w:szCs w:val="24"/>
    </w:rPr>
  </w:style>
  <w:style w:type="paragraph" w:styleId="973" w:customStyle="1">
    <w:name w:val="Body Text(ch)"/>
    <w:basedOn w:val="703"/>
    <w:next w:val="917"/>
    <w:uiPriority w:val="0"/>
    <w:qFormat/>
    <w:pPr>
      <w:spacing w:after="120"/>
    </w:pPr>
    <w:rPr>
      <w:rFonts w:ascii="宋体" w:hAnsi="Arial"/>
      <w:bCs/>
      <w:iCs/>
      <w:szCs w:val="24"/>
    </w:rPr>
  </w:style>
  <w:style w:type="paragraph" w:styleId="974" w:customStyle="1">
    <w:name w:val="图标"/>
    <w:basedOn w:val="703"/>
    <w:next w:val="70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xl2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Char Char Char Char Char Char Char1"/>
    <w:basedOn w:val="703"/>
    <w:uiPriority w:val="0"/>
    <w:qFormat/>
    <w:pPr>
      <w:jc w:val="left"/>
      <w:spacing w:after="160" w:line="240" w:lineRule="exact"/>
      <w:widowControl/>
    </w:pPr>
    <w:rPr>
      <w:rFonts w:ascii="Verdana" w:hAnsi="Verdana"/>
      <w:sz w:val="20"/>
      <w:szCs w:val="20"/>
      <w:lang w:eastAsia="en-US"/>
    </w:rPr>
  </w:style>
  <w:style w:type="paragraph" w:styleId="977" w:customStyle="1">
    <w:name w:val="xl25"/>
    <w:basedOn w:val="70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xl2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xl29"/>
    <w:basedOn w:val="7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1"/>
    <w:basedOn w:val="911"/>
    <w:uiPriority w:val="0"/>
    <w:qFormat/>
    <w:rPr>
      <w:rFonts w:ascii="Tahoma" w:hAnsi="Tahoma"/>
      <w:sz w:val="24"/>
      <w:szCs w:val="24"/>
    </w:rPr>
  </w:style>
  <w:style w:type="paragraph" w:styleId="981" w:customStyle="1">
    <w:name w:val="Char Char Char Char1"/>
    <w:basedOn w:val="911"/>
    <w:uiPriority w:val="0"/>
    <w:qFormat/>
    <w:pPr>
      <w:spacing w:line="360" w:lineRule="auto"/>
    </w:pPr>
    <w:rPr>
      <w:rFonts w:ascii="Tahoma" w:hAnsi="Tahoma"/>
      <w:sz w:val="24"/>
      <w:szCs w:val="24"/>
    </w:rPr>
  </w:style>
  <w:style w:type="paragraph" w:styleId="982" w:customStyle="1">
    <w:name w:val="table_1stline"/>
    <w:basedOn w:val="703"/>
    <w:uiPriority w:val="0"/>
    <w:qFormat/>
    <w:pPr>
      <w:jc w:val="left"/>
      <w:spacing w:before="120"/>
      <w:widowControl/>
    </w:pPr>
    <w:rPr>
      <w:bCs/>
      <w:sz w:val="20"/>
      <w:szCs w:val="20"/>
      <w:lang w:val="de-DE" w:eastAsia="de-DE"/>
    </w:rPr>
  </w:style>
  <w:style w:type="paragraph" w:styleId="983"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984" w:customStyle="1">
    <w:name w:val="普通 (Web)"/>
    <w:basedOn w:val="703"/>
    <w:uiPriority w:val="0"/>
    <w:qFormat/>
    <w:pPr>
      <w:jc w:val="left"/>
      <w:spacing w:before="100" w:beforeAutospacing="1" w:after="100" w:afterAutospacing="1"/>
      <w:widowControl/>
    </w:pPr>
    <w:rPr>
      <w:rFonts w:ascii="宋体" w:hAnsi="宋体"/>
      <w:sz w:val="24"/>
      <w:szCs w:val="24"/>
    </w:rPr>
  </w:style>
  <w:style w:type="paragraph" w:styleId="985" w:customStyle="1">
    <w:name w:val="样式1"/>
    <w:basedOn w:val="703"/>
    <w:uiPriority w:val="0"/>
    <w:qFormat/>
    <w:pPr>
      <w:numPr>
        <w:ilvl w:val="0"/>
        <w:numId w:val="2"/>
      </w:numPr>
    </w:pPr>
    <w:rPr>
      <w:rFonts w:ascii="宋体" w:hAnsi="宋体"/>
    </w:rPr>
  </w:style>
  <w:style w:type="paragraph" w:styleId="986" w:customStyle="1">
    <w:name w:val="修订1"/>
    <w:uiPriority w:val="99"/>
    <w:semiHidden/>
    <w:qFormat/>
    <w:rPr>
      <w:rFonts w:ascii="Times New Roman" w:hAnsi="Times New Roman" w:eastAsia="宋体" w:cs="Times New Roman"/>
      <w:sz w:val="21"/>
      <w:szCs w:val="21"/>
      <w:lang w:val="en-US" w:eastAsia="zh-CN" w:bidi="ar-SA"/>
    </w:rPr>
  </w:style>
  <w:style w:type="paragraph" w:styleId="987"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88" w:customStyle="1">
    <w:name w:val="font6"/>
    <w:basedOn w:val="703"/>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4"/>
    <w:basedOn w:val="703"/>
    <w:next w:val="935"/>
    <w:uiPriority w:val="0"/>
    <w:qFormat/>
    <w:pPr>
      <w:ind w:firstLine="420"/>
      <w:spacing w:line="360" w:lineRule="auto"/>
    </w:pPr>
    <w:rPr>
      <w:color w:val="ff0000"/>
      <w:sz w:val="24"/>
      <w:szCs w:val="24"/>
    </w:rPr>
  </w:style>
  <w:style w:type="paragraph" w:styleId="990" w:customStyle="1">
    <w:name w:val="标题1"/>
    <w:basedOn w:val="703"/>
    <w:next w:val="70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991" w:customStyle="1">
    <w:name w:val="批注文字 字符1"/>
    <w:basedOn w:val="713"/>
    <w:link w:val="716"/>
    <w:uiPriority w:val="99"/>
    <w:semiHidden/>
    <w:qFormat/>
    <w:rPr>
      <w:rFonts w:ascii="Times New Roman" w:hAnsi="Times New Roman" w:eastAsia="宋体" w:cs="Times New Roman"/>
      <w:sz w:val="21"/>
      <w:szCs w:val="21"/>
    </w:rPr>
  </w:style>
  <w:style w:type="character" w:styleId="992" w:customStyle="1">
    <w:name w:val="批注主题 字符1"/>
    <w:basedOn w:val="991"/>
    <w:link w:val="715"/>
    <w:uiPriority w:val="99"/>
    <w:semiHidden/>
    <w:qFormat/>
    <w:rPr>
      <w:rFonts w:ascii="Times New Roman" w:hAnsi="Times New Roman" w:eastAsia="宋体" w:cs="Times New Roman"/>
      <w:b/>
      <w:bCs/>
      <w:sz w:val="21"/>
      <w:szCs w:val="21"/>
    </w:rPr>
  </w:style>
  <w:style w:type="character" w:styleId="993" w:customStyle="1">
    <w:name w:val="批注框文本 字符1"/>
    <w:basedOn w:val="713"/>
    <w:link w:val="723"/>
    <w:uiPriority w:val="99"/>
    <w:semiHidden/>
    <w:qFormat/>
    <w:rPr>
      <w:rFonts w:ascii="Times New Roman" w:hAnsi="Times New Roman" w:eastAsia="宋体" w:cs="Times New Roman"/>
      <w:sz w:val="18"/>
      <w:szCs w:val="18"/>
    </w:rPr>
  </w:style>
  <w:style w:type="numbering" w:styleId="12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卢先生</cp:lastModifiedBy>
  <cp:revision>6</cp:revision>
  <dcterms:created xsi:type="dcterms:W3CDTF">2024-07-29T06:58:00Z</dcterms:created>
  <dcterms:modified xsi:type="dcterms:W3CDTF">2026-03-10T05:56:06Z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eyJoZGlkIjoiMzEwNTM5NzYwMDRjMzkwZTVkZjY2ODkwMGIxNGU0OTUiLCJ1c2VySWQiOiIxNDk5NDcwMjMyIn0=</vt:lpwstr>
  </property>
  <property fmtid="{D5CDD505-2E9C-101B-9397-08002B2CF9AE}" pid="3" name="KSOProductBuildVer">
    <vt:lpwstr>2052-10.8.2.6543</vt:lpwstr>
  </property>
  <property fmtid="{D5CDD505-2E9C-101B-9397-08002B2CF9AE}" pid="4" name="ICV">
    <vt:lpwstr>E5A8FA9FA6044B52998F05D8C9000EE1_13</vt:lpwstr>
  </property>
</Properties>
</file>