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4"/>
        <w:jc w:val="center"/>
        <w:rPr>
          <w:rFonts w:hint="eastAsia" w:ascii="宋体" w:hAnsi="宋体" w:eastAsia="宋体" w:cs="宋体"/>
          <w:color w:val="000000" w:themeColor="text1"/>
          <w:sz w:val="40"/>
          <w:szCs w:val="36"/>
          <w:highlight w:val="none"/>
          <w14:textFill>
            <w14:solidFill>
              <w14:schemeClr w14:val="tx1"/>
            </w14:solidFill>
          </w14:textFill>
        </w:rPr>
      </w:pPr>
      <w:bookmarkStart w:id="0" w:name="_Hlk69393945"/>
      <w:bookmarkStart w:id="1" w:name="_Toc528771312"/>
      <w:bookmarkStart w:id="2" w:name="_Toc27744861"/>
      <w:r>
        <w:rPr>
          <w:rFonts w:hint="eastAsia" w:ascii="宋体" w:hAnsi="宋体"/>
          <w:sz w:val="32"/>
          <w:szCs w:val="32"/>
          <w:highlight w:val="none"/>
          <w:lang w:val="en-US" w:eastAsia="zh-CN"/>
        </w:rPr>
        <w:t xml:space="preserve">                                  SSXZB</w:t>
      </w:r>
      <w:r>
        <w:rPr>
          <w:rFonts w:hint="eastAsia" w:ascii="宋体" w:hAnsi="宋体"/>
          <w:sz w:val="32"/>
          <w:szCs w:val="32"/>
          <w:highlight w:val="none"/>
        </w:rPr>
        <w:t>-202</w:t>
      </w:r>
      <w:r>
        <w:rPr>
          <w:rFonts w:hint="eastAsia" w:ascii="宋体" w:hAnsi="宋体"/>
          <w:sz w:val="32"/>
          <w:szCs w:val="32"/>
          <w:highlight w:val="none"/>
          <w:lang w:val="en-US" w:eastAsia="zh-CN"/>
        </w:rPr>
        <w:t>6</w:t>
      </w:r>
      <w:r>
        <w:rPr>
          <w:rFonts w:hint="eastAsia" w:ascii="宋体" w:hAnsi="宋体"/>
          <w:sz w:val="32"/>
          <w:szCs w:val="32"/>
          <w:highlight w:val="none"/>
        </w:rPr>
        <w:t>0</w:t>
      </w:r>
      <w:r>
        <w:rPr>
          <w:rFonts w:hint="eastAsia" w:ascii="宋体" w:hAnsi="宋体"/>
          <w:sz w:val="32"/>
          <w:szCs w:val="32"/>
          <w:highlight w:val="none"/>
          <w:lang w:val="en-US" w:eastAsia="zh-CN"/>
        </w:rPr>
        <w:t>4</w:t>
      </w:r>
      <w:r>
        <w:rPr>
          <w:rFonts w:hint="eastAsia" w:ascii="宋体" w:hAnsi="宋体"/>
          <w:sz w:val="32"/>
          <w:szCs w:val="32"/>
          <w:highlight w:val="none"/>
        </w:rPr>
        <w:t>0</w:t>
      </w:r>
      <w:r>
        <w:rPr>
          <w:rFonts w:hint="eastAsia" w:ascii="宋体" w:hAnsi="宋体"/>
          <w:sz w:val="32"/>
          <w:szCs w:val="32"/>
          <w:highlight w:val="none"/>
          <w:lang w:val="en-US" w:eastAsia="zh-CN"/>
        </w:rPr>
        <w:t>9</w:t>
      </w:r>
      <w:r>
        <w:rPr>
          <w:rFonts w:hint="eastAsia" w:ascii="宋体" w:hAnsi="宋体"/>
          <w:sz w:val="32"/>
          <w:szCs w:val="32"/>
          <w:highlight w:val="none"/>
        </w:rPr>
        <w:t>号</w:t>
      </w:r>
    </w:p>
    <w:p>
      <w:pPr>
        <w:ind w:right="84"/>
        <w:jc w:val="center"/>
        <w:rPr>
          <w:rFonts w:hint="eastAsia" w:ascii="宋体" w:hAnsi="宋体" w:eastAsia="宋体" w:cs="宋体"/>
          <w:color w:val="000000" w:themeColor="text1"/>
          <w:sz w:val="40"/>
          <w:szCs w:val="36"/>
          <w:highlight w:val="none"/>
          <w14:textFill>
            <w14:solidFill>
              <w14:schemeClr w14:val="tx1"/>
            </w14:solidFill>
          </w14:textFill>
        </w:rPr>
      </w:pPr>
    </w:p>
    <w:p>
      <w:pPr>
        <w:ind w:right="84"/>
        <w:jc w:val="center"/>
        <w:outlineLvl w:val="0"/>
        <w:rPr>
          <w:rFonts w:hint="eastAsia" w:ascii="宋体" w:hAnsi="宋体" w:cs="宋体"/>
          <w:color w:val="000000" w:themeColor="text1"/>
          <w:sz w:val="44"/>
          <w:szCs w:val="44"/>
          <w:highlight w:val="yellow"/>
          <w:lang w:eastAsia="zh-CN"/>
          <w14:textFill>
            <w14:solidFill>
              <w14:schemeClr w14:val="tx1"/>
            </w14:solidFill>
          </w14:textFill>
        </w:rPr>
      </w:pPr>
      <w:bookmarkStart w:id="3" w:name="_Toc23403"/>
    </w:p>
    <w:p>
      <w:pPr>
        <w:ind w:right="84"/>
        <w:jc w:val="center"/>
        <w:outlineLvl w:val="0"/>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lang w:eastAsia="zh-CN"/>
          <w14:textFill>
            <w14:solidFill>
              <w14:schemeClr w14:val="tx1"/>
            </w14:solidFill>
          </w14:textFill>
        </w:rPr>
        <w:t>扬州市江都区2026年农村生态河道建设项目二标段(小纪镇)</w:t>
      </w:r>
      <w:r>
        <w:rPr>
          <w:rFonts w:hint="eastAsia" w:ascii="宋体" w:hAnsi="宋体" w:eastAsia="宋体" w:cs="宋体"/>
          <w:color w:val="000000" w:themeColor="text1"/>
          <w:sz w:val="44"/>
          <w:szCs w:val="44"/>
          <w:highlight w:val="none"/>
          <w14:textFill>
            <w14:solidFill>
              <w14:schemeClr w14:val="tx1"/>
            </w14:solidFill>
          </w14:textFill>
        </w:rPr>
        <w:t>竞争性磋商文件</w:t>
      </w:r>
      <w:bookmarkEnd w:id="3"/>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pStyle w:val="190"/>
        <w:spacing w:before="0" w:after="0" w:line="240" w:lineRule="auto"/>
        <w:rPr>
          <w:rFonts w:hint="eastAsia" w:ascii="宋体" w:hAnsi="宋体" w:eastAsia="宋体" w:cs="宋体"/>
          <w:color w:val="000000" w:themeColor="text1"/>
          <w:sz w:val="36"/>
          <w:szCs w:val="36"/>
          <w:highlight w:val="none"/>
          <w14:textFill>
            <w14:solidFill>
              <w14:schemeClr w14:val="tx1"/>
            </w14:solidFill>
          </w14:textFill>
        </w:rPr>
      </w:pPr>
    </w:p>
    <w:p>
      <w:pPr>
        <w:rPr>
          <w:rFonts w:hint="eastAsia"/>
          <w:lang w:val="en-US" w:eastAsia="zh-CN"/>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sz w:val="36"/>
          <w:lang w:val="en-US" w:eastAsia="zh-CN"/>
        </w:rPr>
        <w:t xml:space="preserve">          </w:t>
      </w:r>
      <w:r>
        <w:rPr>
          <w:rFonts w:ascii="宋体" w:hAnsi="宋体"/>
          <w:sz w:val="36"/>
          <w:lang w:val="zh-CN"/>
        </w:rPr>
        <w:drawing>
          <wp:inline distT="0" distB="0" distL="114300" distR="114300">
            <wp:extent cx="2982595" cy="2022475"/>
            <wp:effectExtent l="0" t="0" r="8255"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982595" cy="2022475"/>
                    </a:xfrm>
                    <a:prstGeom prst="rect">
                      <a:avLst/>
                    </a:prstGeom>
                    <a:noFill/>
                    <a:ln>
                      <a:noFill/>
                    </a:ln>
                  </pic:spPr>
                </pic:pic>
              </a:graphicData>
            </a:graphic>
          </wp:inline>
        </w:drawing>
      </w:r>
    </w:p>
    <w:p>
      <w:pPr>
        <w:ind w:right="934"/>
        <w:jc w:val="both"/>
        <w:rPr>
          <w:rFonts w:hint="eastAsia" w:ascii="宋体" w:hAnsi="宋体" w:eastAsia="宋体" w:cs="宋体"/>
          <w:color w:val="000000" w:themeColor="text1"/>
          <w:sz w:val="32"/>
          <w:szCs w:val="36"/>
          <w:highlight w:val="none"/>
          <w14:textFill>
            <w14:solidFill>
              <w14:schemeClr w14:val="tx1"/>
            </w14:solidFill>
          </w14:textFill>
        </w:rPr>
      </w:pPr>
    </w:p>
    <w:p>
      <w:pPr>
        <w:ind w:right="934"/>
        <w:jc w:val="center"/>
        <w:rPr>
          <w:rFonts w:hint="eastAsia" w:ascii="宋体" w:hAnsi="宋体" w:eastAsia="宋体" w:cs="宋体"/>
          <w:color w:val="000000" w:themeColor="text1"/>
          <w:sz w:val="32"/>
          <w:szCs w:val="36"/>
          <w:highlight w:val="none"/>
          <w14:textFill>
            <w14:solidFill>
              <w14:schemeClr w14:val="tx1"/>
            </w14:solidFill>
          </w14:textFill>
        </w:rPr>
      </w:pPr>
    </w:p>
    <w:p>
      <w:pPr>
        <w:ind w:right="934"/>
        <w:jc w:val="both"/>
        <w:rPr>
          <w:rFonts w:hint="eastAsia" w:ascii="宋体" w:hAnsi="宋体" w:eastAsia="宋体" w:cs="宋体"/>
          <w:color w:val="000000" w:themeColor="text1"/>
          <w:sz w:val="32"/>
          <w:szCs w:val="36"/>
          <w:highlight w:val="none"/>
          <w14:textFill>
            <w14:solidFill>
              <w14:schemeClr w14:val="tx1"/>
            </w14:solidFill>
          </w14:textFill>
        </w:rPr>
      </w:pPr>
    </w:p>
    <w:p>
      <w:pPr>
        <w:pStyle w:val="190"/>
        <w:rPr>
          <w:rFonts w:hint="eastAsia" w:ascii="宋体" w:hAnsi="宋体" w:eastAsia="宋体" w:cs="宋体"/>
          <w:color w:val="000000" w:themeColor="text1"/>
          <w:szCs w:val="36"/>
          <w:highlight w:val="none"/>
          <w14:textFill>
            <w14:solidFill>
              <w14:schemeClr w14:val="tx1"/>
            </w14:solidFill>
          </w14:textFill>
        </w:rPr>
      </w:pPr>
    </w:p>
    <w:p>
      <w:pPr>
        <w:ind w:right="934" w:firstLine="640" w:firstLineChars="200"/>
        <w:jc w:val="both"/>
        <w:rPr>
          <w:rFonts w:hint="eastAsia" w:ascii="宋体" w:hAnsi="宋体" w:eastAsia="宋体" w:cs="宋体"/>
          <w:color w:val="000000" w:themeColor="text1"/>
          <w:sz w:val="32"/>
          <w:szCs w:val="36"/>
          <w:highlight w:val="none"/>
          <w:lang w:eastAsia="zh-CN"/>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采</w:t>
      </w:r>
      <w:r>
        <w:rPr>
          <w:rFonts w:hint="eastAsia" w:ascii="宋体" w:hAnsi="宋体" w:eastAsia="宋体" w:cs="宋体"/>
          <w:color w:val="000000" w:themeColor="text1"/>
          <w:sz w:val="32"/>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购</w:t>
      </w:r>
      <w:r>
        <w:rPr>
          <w:rFonts w:hint="eastAsia" w:ascii="宋体" w:hAnsi="宋体" w:eastAsia="宋体" w:cs="宋体"/>
          <w:color w:val="000000" w:themeColor="text1"/>
          <w:sz w:val="32"/>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6"/>
          <w:highlight w:val="none"/>
          <w14:textFill>
            <w14:solidFill>
              <w14:schemeClr w14:val="tx1"/>
            </w14:solidFill>
          </w14:textFill>
        </w:rPr>
        <w:t>人：</w:t>
      </w:r>
      <w:r>
        <w:rPr>
          <w:rFonts w:hint="eastAsia" w:ascii="宋体" w:hAnsi="宋体" w:cs="宋体"/>
          <w:color w:val="000000" w:themeColor="text1"/>
          <w:sz w:val="32"/>
          <w:szCs w:val="36"/>
          <w:highlight w:val="none"/>
          <w:lang w:eastAsia="zh-CN"/>
          <w14:textFill>
            <w14:solidFill>
              <w14:schemeClr w14:val="tx1"/>
            </w14:solidFill>
          </w14:textFill>
        </w:rPr>
        <w:t>扬州市江都区小纪镇人民政府</w:t>
      </w:r>
    </w:p>
    <w:p>
      <w:pPr>
        <w:ind w:right="934" w:firstLine="640" w:firstLineChars="200"/>
        <w:jc w:val="both"/>
        <w:rPr>
          <w:rFonts w:hint="eastAsia" w:ascii="宋体" w:hAnsi="宋体" w:eastAsia="宋体" w:cs="宋体"/>
          <w:color w:val="000000" w:themeColor="text1"/>
          <w:sz w:val="32"/>
          <w:szCs w:val="36"/>
          <w:highlight w:val="none"/>
          <w:lang w:eastAsia="zh-CN"/>
          <w14:textFill>
            <w14:solidFill>
              <w14:schemeClr w14:val="tx1"/>
            </w14:solidFill>
          </w14:textFill>
        </w:rPr>
      </w:pPr>
      <w:r>
        <w:rPr>
          <w:rFonts w:hint="eastAsia" w:ascii="宋体" w:hAnsi="宋体" w:eastAsia="宋体" w:cs="宋体"/>
          <w:color w:val="000000" w:themeColor="text1"/>
          <w:sz w:val="32"/>
          <w:szCs w:val="36"/>
          <w:highlight w:val="none"/>
          <w14:textFill>
            <w14:solidFill>
              <w14:schemeClr w14:val="tx1"/>
            </w14:solidFill>
          </w14:textFill>
        </w:rPr>
        <w:t>代理机构：</w:t>
      </w:r>
      <w:r>
        <w:rPr>
          <w:rFonts w:hint="eastAsia" w:ascii="宋体" w:hAnsi="宋体" w:cs="宋体"/>
          <w:color w:val="000000" w:themeColor="text1"/>
          <w:sz w:val="32"/>
          <w:szCs w:val="36"/>
          <w:highlight w:val="none"/>
          <w:lang w:eastAsia="zh-CN"/>
          <w14:textFill>
            <w14:solidFill>
              <w14:schemeClr w14:val="tx1"/>
            </w14:solidFill>
          </w14:textFill>
        </w:rPr>
        <w:t>江苏三思行房地产评估造价有限公司</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二〇二</w:t>
      </w:r>
      <w:r>
        <w:rPr>
          <w:rFonts w:hint="eastAsia" w:ascii="宋体" w:hAnsi="宋体" w:eastAsia="宋体" w:cs="宋体"/>
          <w:color w:val="000000" w:themeColor="text1"/>
          <w:sz w:val="36"/>
          <w:szCs w:val="36"/>
          <w:highlight w:val="none"/>
          <w:lang w:val="en-US" w:eastAsia="zh-CN"/>
          <w14:textFill>
            <w14:solidFill>
              <w14:schemeClr w14:val="tx1"/>
            </w14:solidFill>
          </w14:textFill>
        </w:rPr>
        <w:t>六</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四</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eastAsia="宋体" w:cs="宋体"/>
          <w:color w:val="000000" w:themeColor="text1"/>
          <w:highlight w:val="none"/>
          <w14:textFill>
            <w14:solidFill>
              <w14:schemeClr w14:val="tx1"/>
            </w14:solidFill>
          </w14:textFill>
        </w:rPr>
        <w:br w:type="page" w:clear="all"/>
      </w:r>
    </w:p>
    <w:p>
      <w:pPr>
        <w:spacing w:line="360" w:lineRule="auto"/>
        <w:jc w:val="center"/>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 录</w:t>
      </w:r>
    </w:p>
    <w:p>
      <w:pPr>
        <w:pStyle w:val="213"/>
        <w:tabs>
          <w:tab w:val="right" w:leader="dot" w:pos="9922"/>
        </w:tabs>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TOC \o "1-3" \f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竞争性磋商采购公告</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_Toc24299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213"/>
        <w:tabs>
          <w:tab w:val="right" w:leader="dot" w:pos="9922"/>
        </w:tabs>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第二章 磋商须知</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_Toc23352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213"/>
        <w:tabs>
          <w:tab w:val="right" w:leader="dot" w:pos="9922"/>
        </w:tabs>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第三章 合同条款及格式</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_Toc24601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18</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213"/>
        <w:tabs>
          <w:tab w:val="right" w:leader="dot" w:pos="9922"/>
        </w:tabs>
        <w:spacing w:line="360" w:lineRule="auto"/>
        <w:jc w:val="both"/>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第四章 项目需求</w:t>
      </w:r>
      <w:r>
        <w:rPr>
          <w:rFonts w:hint="eastAsia" w:ascii="宋体" w:hAnsi="宋体" w:cs="宋体"/>
          <w:color w:val="000000" w:themeColor="text1"/>
          <w:sz w:val="28"/>
          <w:szCs w:val="28"/>
          <w:highlight w:val="none"/>
          <w:lang w:val="en-US" w:eastAsia="zh-CN"/>
          <w14:textFill>
            <w14:solidFill>
              <w14:schemeClr w14:val="tx1"/>
            </w14:solidFill>
          </w14:textFill>
        </w:rPr>
        <w:t>........................................31</w:t>
      </w:r>
    </w:p>
    <w:p>
      <w:pPr>
        <w:pStyle w:val="213"/>
        <w:tabs>
          <w:tab w:val="right" w:leader="dot" w:pos="9922"/>
        </w:tabs>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第五章 评审方法及评审标准</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_Toc10645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b/>
        </w:rPr>
        <w:t>错误！未定义书签。</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213"/>
        <w:tabs>
          <w:tab w:val="right" w:leader="dot" w:pos="9922"/>
        </w:tabs>
        <w:spacing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第六章 竞争性磋商响应文件式</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_Toc7178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37</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jc w:val="center"/>
        <w:rPr>
          <w:rFonts w:hint="eastAsia" w:ascii="宋体" w:hAnsi="宋体" w:eastAsia="宋体" w:cs="宋体"/>
          <w:color w:val="000000" w:themeColor="text1"/>
          <w:sz w:val="28"/>
          <w:szCs w:val="28"/>
          <w:highlight w:val="none"/>
          <w14:textFill>
            <w14:solidFill>
              <w14:schemeClr w14:val="tx1"/>
            </w14:solidFill>
          </w14:textFill>
        </w:rPr>
      </w:pPr>
    </w:p>
    <w:p>
      <w:pPr>
        <w:jc w:val="center"/>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87"/>
        <w:spacing w:line="360" w:lineRule="auto"/>
        <w:rPr>
          <w:rFonts w:hint="eastAsia" w:ascii="宋体" w:hAnsi="宋体" w:eastAsia="宋体" w:cs="宋体"/>
          <w:color w:val="000000" w:themeColor="text1"/>
          <w:szCs w:val="36"/>
          <w:highlight w:val="none"/>
          <w14:textFill>
            <w14:solidFill>
              <w14:schemeClr w14:val="tx1"/>
            </w14:solidFill>
          </w14:textFill>
        </w:rPr>
        <w:sectPr>
          <w:footerReference r:id="rId5" w:type="first"/>
          <w:headerReference r:id="rId3" w:type="default"/>
          <w:footerReference r:id="rId4" w:type="default"/>
          <w:pgSz w:w="11906" w:h="16838"/>
          <w:pgMar w:top="1440" w:right="1803" w:bottom="1440" w:left="1803" w:header="851" w:footer="992" w:gutter="0"/>
          <w:pgNumType w:start="1"/>
          <w:cols w:space="720" w:num="1"/>
          <w:titlePg/>
          <w:docGrid w:linePitch="360" w:charSpace="0"/>
        </w:sectPr>
      </w:pPr>
      <w:bookmarkStart w:id="4" w:name="_Toc109304965"/>
    </w:p>
    <w:p>
      <w:pPr>
        <w:pStyle w:val="187"/>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bookmarkStart w:id="5" w:name="_Toc152"/>
      <w:bookmarkStart w:id="6" w:name="_Toc24299"/>
      <w:r>
        <w:rPr>
          <w:rFonts w:hint="eastAsia" w:ascii="宋体" w:hAnsi="宋体" w:eastAsia="宋体" w:cs="宋体"/>
          <w:color w:val="000000" w:themeColor="text1"/>
          <w:sz w:val="36"/>
          <w:szCs w:val="36"/>
          <w:highlight w:val="none"/>
          <w14:textFill>
            <w14:solidFill>
              <w14:schemeClr w14:val="tx1"/>
            </w14:solidFill>
          </w14:textFill>
        </w:rPr>
        <w:t xml:space="preserve">第一章 </w:t>
      </w:r>
      <w:r>
        <w:rPr>
          <w:rFonts w:hint="eastAsia" w:ascii="宋体" w:hAnsi="宋体" w:cs="宋体"/>
          <w:color w:val="000000" w:themeColor="text1"/>
          <w:sz w:val="36"/>
          <w:szCs w:val="36"/>
          <w:highlight w:val="none"/>
          <w:lang w:eastAsia="zh-CN"/>
          <w14:textFill>
            <w14:solidFill>
              <w14:schemeClr w14:val="tx1"/>
            </w14:solidFill>
          </w14:textFill>
        </w:rPr>
        <w:t>扬州市江都区2026年农村生态河道建设项目二标段(小纪镇)</w:t>
      </w:r>
      <w:r>
        <w:rPr>
          <w:rFonts w:hint="eastAsia" w:ascii="宋体" w:hAnsi="宋体" w:eastAsia="宋体" w:cs="宋体"/>
          <w:color w:val="000000" w:themeColor="text1"/>
          <w:sz w:val="36"/>
          <w:szCs w:val="36"/>
          <w:highlight w:val="none"/>
          <w14:textFill>
            <w14:solidFill>
              <w14:schemeClr w14:val="tx1"/>
            </w14:solidFill>
          </w14:textFill>
        </w:rPr>
        <w:t>竞争性磋商采购公告</w:t>
      </w:r>
      <w:bookmarkEnd w:id="5"/>
      <w:bookmarkEnd w:id="6"/>
    </w:p>
    <w:p>
      <w:pPr>
        <w:widowControl/>
        <w:spacing w:line="360" w:lineRule="auto"/>
        <w:ind w:firstLine="48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受（</w:t>
      </w:r>
      <w:r>
        <w:rPr>
          <w:rFonts w:hint="eastAsia" w:ascii="宋体" w:hAnsi="宋体" w:cs="宋体"/>
          <w:color w:val="000000" w:themeColor="text1"/>
          <w:sz w:val="21"/>
          <w:szCs w:val="21"/>
          <w:highlight w:val="none"/>
          <w:lang w:eastAsia="zh-CN"/>
          <w14:textFill>
            <w14:solidFill>
              <w14:schemeClr w14:val="tx1"/>
            </w14:solidFill>
          </w14:textFill>
        </w:rPr>
        <w:t>扬州市江都区小纪镇人民政府</w:t>
      </w:r>
      <w:r>
        <w:rPr>
          <w:rFonts w:hint="eastAsia" w:ascii="宋体" w:hAnsi="宋体" w:eastAsia="宋体" w:cs="宋体"/>
          <w:color w:val="000000" w:themeColor="text1"/>
          <w:sz w:val="21"/>
          <w:szCs w:val="21"/>
          <w:highlight w:val="none"/>
          <w14:textFill>
            <w14:solidFill>
              <w14:schemeClr w14:val="tx1"/>
            </w14:solidFill>
          </w14:textFill>
        </w:rPr>
        <w:t>）的委托，（</w:t>
      </w:r>
      <w:r>
        <w:rPr>
          <w:rFonts w:hint="eastAsia" w:ascii="宋体" w:hAnsi="宋体" w:cs="宋体"/>
          <w:color w:val="000000" w:themeColor="text1"/>
          <w:sz w:val="21"/>
          <w:szCs w:val="21"/>
          <w:highlight w:val="none"/>
          <w:lang w:eastAsia="zh-CN"/>
          <w14:textFill>
            <w14:solidFill>
              <w14:schemeClr w14:val="tx1"/>
            </w14:solidFill>
          </w14:textFill>
        </w:rPr>
        <w:t>江苏三思行房地产评估造价有限公司</w:t>
      </w:r>
      <w:r>
        <w:rPr>
          <w:rFonts w:hint="eastAsia" w:ascii="宋体" w:hAnsi="宋体" w:eastAsia="宋体" w:cs="宋体"/>
          <w:color w:val="000000" w:themeColor="text1"/>
          <w:sz w:val="21"/>
          <w:szCs w:val="21"/>
          <w:highlight w:val="none"/>
          <w14:textFill>
            <w14:solidFill>
              <w14:schemeClr w14:val="tx1"/>
            </w14:solidFill>
          </w14:textFill>
        </w:rPr>
        <w:t>）关于（</w:t>
      </w:r>
      <w:r>
        <w:rPr>
          <w:rFonts w:hint="eastAsia" w:ascii="宋体" w:hAnsi="宋体" w:cs="宋体"/>
          <w:color w:val="000000" w:themeColor="text1"/>
          <w:sz w:val="21"/>
          <w:szCs w:val="21"/>
          <w:highlight w:val="none"/>
          <w:lang w:eastAsia="zh-CN"/>
          <w14:textFill>
            <w14:solidFill>
              <w14:schemeClr w14:val="tx1"/>
            </w14:solidFill>
          </w14:textFill>
        </w:rPr>
        <w:t>扬州市江都区2026年农村生态河道建设项目二标段(小纪镇)</w:t>
      </w:r>
      <w:r>
        <w:rPr>
          <w:rFonts w:hint="eastAsia" w:ascii="宋体" w:hAnsi="宋体" w:eastAsia="宋体" w:cs="宋体"/>
          <w:color w:val="000000" w:themeColor="text1"/>
          <w:sz w:val="21"/>
          <w:szCs w:val="21"/>
          <w:highlight w:val="none"/>
          <w14:textFill>
            <w14:solidFill>
              <w14:schemeClr w14:val="tx1"/>
            </w14:solidFill>
          </w14:textFill>
        </w:rPr>
        <w:t>）实施政府采购，本次采购采用竞争性磋商方式，欢迎符合条件的供应商参加磋商。</w:t>
      </w:r>
    </w:p>
    <w:p>
      <w:pPr>
        <w:pBdr>
          <w:top w:val="single" w:color="000000" w:sz="4" w:space="1"/>
          <w:left w:val="single" w:color="000000" w:sz="4" w:space="4"/>
          <w:bottom w:val="single" w:color="000000" w:sz="4" w:space="1"/>
          <w:right w:val="single" w:color="000000" w:sz="4" w:space="4"/>
        </w:pBdr>
        <w:spacing w:line="360" w:lineRule="auto"/>
        <w:ind w:firstLine="42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cs="宋体"/>
          <w:color w:val="000000" w:themeColor="text1"/>
          <w:sz w:val="21"/>
          <w:szCs w:val="21"/>
          <w:highlight w:val="none"/>
          <w:u w:val="single"/>
          <w:lang w:eastAsia="zh-CN"/>
          <w14:textFill>
            <w14:solidFill>
              <w14:schemeClr w14:val="tx1"/>
            </w14:solidFill>
          </w14:textFill>
        </w:rPr>
        <w:t>扬州市江都区2026年农村生态河道建设项目二标段(小纪镇)</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采购项目的潜在供应商</w:t>
      </w:r>
      <w:r>
        <w:rPr>
          <w:rFonts w:hint="eastAsia" w:ascii="宋体" w:hAnsi="宋体" w:eastAsia="宋体" w:cs="宋体"/>
          <w:color w:val="000000" w:themeColor="text1"/>
          <w:sz w:val="21"/>
          <w:szCs w:val="21"/>
          <w:highlight w:val="none"/>
          <w:u w:val="single"/>
          <w14:textFill>
            <w14:solidFill>
              <w14:schemeClr w14:val="tx1"/>
            </w14:solidFill>
          </w14:textFill>
        </w:rPr>
        <w:t>可在“扬州市政府采购网”、“江苏省政府采购网”、自行免费下载</w:t>
      </w:r>
      <w:r>
        <w:rPr>
          <w:rFonts w:hint="eastAsia" w:ascii="宋体" w:hAnsi="宋体" w:eastAsia="宋体" w:cs="宋体"/>
          <w:color w:val="000000" w:themeColor="text1"/>
          <w:sz w:val="21"/>
          <w:szCs w:val="21"/>
          <w:highlight w:val="none"/>
          <w14:textFill>
            <w14:solidFill>
              <w14:schemeClr w14:val="tx1"/>
            </w14:solidFill>
          </w14:textFill>
        </w:rPr>
        <w:t>采购文件，并于</w:t>
      </w:r>
      <w:bookmarkStart w:id="448" w:name="_GoBack"/>
      <w:bookmarkEnd w:id="448"/>
      <w:r>
        <w:rPr>
          <w:rFonts w:hint="eastAsia" w:ascii="宋体" w:hAnsi="宋体" w:cs="宋体"/>
          <w:bCs/>
          <w:color w:val="000000" w:themeColor="text1"/>
          <w:sz w:val="21"/>
          <w:szCs w:val="21"/>
          <w:highlight w:val="none"/>
          <w:u w:val="single"/>
          <w:lang w:eastAsia="zh-CN"/>
          <w14:textFill>
            <w14:solidFill>
              <w14:schemeClr w14:val="tx1"/>
            </w14:solidFill>
          </w14:textFill>
        </w:rPr>
        <w:t>2026年5月8日14点00分</w:t>
      </w:r>
      <w:r>
        <w:rPr>
          <w:rFonts w:hint="eastAsia" w:ascii="宋体" w:hAnsi="宋体" w:eastAsia="宋体" w:cs="宋体"/>
          <w:bCs/>
          <w:color w:val="000000" w:themeColor="text1"/>
          <w:sz w:val="21"/>
          <w:szCs w:val="21"/>
          <w:highlight w:val="none"/>
          <w14:textFill>
            <w14:solidFill>
              <w14:schemeClr w14:val="tx1"/>
            </w14:solidFill>
          </w14:textFill>
        </w:rPr>
        <w:t>（北京时间）前提交响应文件</w:t>
      </w:r>
      <w:r>
        <w:rPr>
          <w:rFonts w:hint="eastAsia" w:ascii="宋体" w:hAnsi="宋体" w:eastAsia="宋体" w:cs="宋体"/>
          <w:color w:val="000000" w:themeColor="text1"/>
          <w:sz w:val="21"/>
          <w:szCs w:val="21"/>
          <w:highlight w:val="none"/>
          <w14:textFill>
            <w14:solidFill>
              <w14:schemeClr w14:val="tx1"/>
            </w14:solidFill>
          </w14:textFill>
        </w:rPr>
        <w:t>。</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7" w:name="_Toc30774"/>
      <w:bookmarkStart w:id="8" w:name="_Toc109304963"/>
      <w:r>
        <w:rPr>
          <w:rFonts w:hint="eastAsia" w:ascii="宋体" w:hAnsi="宋体" w:eastAsia="宋体" w:cs="宋体"/>
          <w:bCs w:val="0"/>
          <w:color w:val="000000" w:themeColor="text1"/>
          <w:sz w:val="21"/>
          <w:szCs w:val="21"/>
          <w:highlight w:val="none"/>
          <w14:textFill>
            <w14:solidFill>
              <w14:schemeClr w14:val="tx1"/>
            </w14:solidFill>
          </w14:textFill>
        </w:rPr>
        <w:t>一、项目基本情况</w:t>
      </w:r>
      <w:bookmarkEnd w:id="7"/>
      <w:bookmarkEnd w:id="8"/>
    </w:p>
    <w:p>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1.项目编号：</w:t>
      </w:r>
      <w:r>
        <w:rPr>
          <w:rFonts w:hint="eastAsia" w:ascii="宋体" w:hAnsi="宋体" w:cs="宋体"/>
          <w:color w:val="000000" w:themeColor="text1"/>
          <w:sz w:val="21"/>
          <w:szCs w:val="21"/>
          <w:highlight w:val="none"/>
          <w:lang w:eastAsia="zh-CN"/>
          <w14:textFill>
            <w14:solidFill>
              <w14:schemeClr w14:val="tx1"/>
            </w14:solidFill>
          </w14:textFill>
        </w:rPr>
        <w:t>SSXZB-20260409</w:t>
      </w:r>
    </w:p>
    <w:p>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2.项目名称：</w:t>
      </w:r>
      <w:r>
        <w:rPr>
          <w:rFonts w:hint="eastAsia" w:ascii="宋体" w:hAnsi="宋体" w:cs="宋体"/>
          <w:color w:val="000000" w:themeColor="text1"/>
          <w:sz w:val="21"/>
          <w:szCs w:val="21"/>
          <w:highlight w:val="none"/>
          <w:lang w:eastAsia="zh-CN"/>
          <w14:textFill>
            <w14:solidFill>
              <w14:schemeClr w14:val="tx1"/>
            </w14:solidFill>
          </w14:textFill>
        </w:rPr>
        <w:t>扬州市江都区2026年农村生态河道建设项目二标段(小纪镇)</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3.采购方式：竞争性磋商</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4.预算价：</w:t>
      </w:r>
      <w:r>
        <w:rPr>
          <w:rFonts w:hint="eastAsia" w:ascii="宋体" w:hAnsi="宋体" w:cs="宋体"/>
          <w:color w:val="000000" w:themeColor="text1"/>
          <w:sz w:val="21"/>
          <w:szCs w:val="21"/>
          <w:highlight w:val="yellow"/>
          <w:lang w:eastAsia="zh-CN"/>
          <w14:textFill>
            <w14:solidFill>
              <w14:schemeClr w14:val="tx1"/>
            </w14:solidFill>
          </w14:textFill>
        </w:rPr>
        <w:t>183.113609</w:t>
      </w:r>
      <w:r>
        <w:rPr>
          <w:rFonts w:hint="eastAsia" w:ascii="宋体" w:hAnsi="宋体" w:eastAsia="宋体" w:cs="宋体"/>
          <w:color w:val="000000" w:themeColor="text1"/>
          <w:sz w:val="21"/>
          <w:szCs w:val="21"/>
          <w:highlight w:val="yellow"/>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yellow"/>
          <w:lang w:eastAsia="zh-CN"/>
          <w14:textFill>
            <w14:solidFill>
              <w14:schemeClr w14:val="tx1"/>
            </w14:solidFill>
          </w14:textFill>
        </w:rPr>
        <w:t>183.113609</w:t>
      </w:r>
      <w:r>
        <w:rPr>
          <w:rFonts w:hint="eastAsia" w:ascii="宋体" w:hAnsi="宋体" w:eastAsia="宋体" w:cs="宋体"/>
          <w:color w:val="000000" w:themeColor="text1"/>
          <w:sz w:val="21"/>
          <w:szCs w:val="21"/>
          <w:highlight w:val="yellow"/>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，报价高于最高限价的为无效标。</w:t>
      </w:r>
    </w:p>
    <w:p>
      <w:pPr>
        <w:spacing w:line="360" w:lineRule="auto"/>
        <w:ind w:firstLine="420"/>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5.采购需求：</w:t>
      </w:r>
      <w:r>
        <w:rPr>
          <w:rFonts w:hint="eastAsia" w:ascii="宋体" w:hAnsi="宋体" w:eastAsia="宋体" w:cs="宋体"/>
          <w:color w:val="000000" w:themeColor="text1"/>
          <w:sz w:val="21"/>
          <w:szCs w:val="21"/>
          <w:highlight w:val="none"/>
          <w:u w:val="none"/>
          <w14:textFill>
            <w14:solidFill>
              <w14:schemeClr w14:val="tx1"/>
            </w14:solidFill>
          </w14:textFill>
        </w:rPr>
        <w:t>详见磋商文件第四章</w:t>
      </w:r>
      <w:r>
        <w:rPr>
          <w:rFonts w:hint="eastAsia" w:ascii="宋体" w:hAnsi="宋体" w:cs="宋体"/>
          <w:color w:val="000000" w:themeColor="text1"/>
          <w:sz w:val="21"/>
          <w:szCs w:val="21"/>
          <w:highlight w:val="none"/>
          <w:u w:val="none"/>
          <w:lang w:eastAsia="zh-CN"/>
          <w14:textFill>
            <w14:solidFill>
              <w14:schemeClr w14:val="tx1"/>
            </w14:solidFill>
          </w14:textFill>
        </w:rPr>
        <w:t>。</w:t>
      </w:r>
    </w:p>
    <w:p>
      <w:pPr>
        <w:spacing w:line="360" w:lineRule="auto"/>
        <w:ind w:firstLine="420"/>
        <w:rPr>
          <w:rFonts w:hint="default" w:ascii="宋体" w:hAnsi="宋体" w:eastAsia="宋体" w:cs="宋体"/>
          <w:color w:val="000000" w:themeColor="text1"/>
          <w:sz w:val="21"/>
          <w:szCs w:val="21"/>
          <w:highlight w:val="none"/>
          <w:u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6.合同履行期限：</w:t>
      </w:r>
      <w:r>
        <w:rPr>
          <w:rFonts w:hint="eastAsia" w:ascii="宋体" w:hAnsi="宋体" w:cs="宋体"/>
          <w:color w:val="000000" w:themeColor="text1"/>
          <w:sz w:val="21"/>
          <w:szCs w:val="21"/>
          <w:highlight w:val="yellow"/>
          <w:lang w:val="en-US" w:eastAsia="zh-CN"/>
          <w14:textFill>
            <w14:solidFill>
              <w14:schemeClr w14:val="tx1"/>
            </w14:solidFill>
          </w14:textFill>
        </w:rPr>
        <w:t>150日历天。</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7.本项目不接受联合体投标。</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9" w:name="_Toc32345"/>
      <w:bookmarkStart w:id="10" w:name="_Toc109304964"/>
      <w:r>
        <w:rPr>
          <w:rFonts w:hint="eastAsia" w:ascii="宋体" w:hAnsi="宋体" w:eastAsia="宋体" w:cs="宋体"/>
          <w:bCs w:val="0"/>
          <w:color w:val="000000" w:themeColor="text1"/>
          <w:sz w:val="21"/>
          <w:szCs w:val="21"/>
          <w:highlight w:val="none"/>
          <w14:textFill>
            <w14:solidFill>
              <w14:schemeClr w14:val="tx1"/>
            </w14:solidFill>
          </w14:textFill>
        </w:rPr>
        <w:t>二、申请人的资格要求：</w:t>
      </w:r>
      <w:bookmarkEnd w:id="9"/>
      <w:bookmarkEnd w:id="10"/>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1.满足《中华人民共和国政府采购法》第二十二条规定，并提供下列材料：</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法人或者其他组织的营业执照等证明文件，自然人的身份证明（身份证为正、反面）</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依法缴纳职工社会保障资金的证明材料（可提供“基本资格条件承诺函”）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依法纳税的缴款凭证（可提供“基本资格条件承诺函”）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具有良好的商业信誉和健全的财务会计制度（可提供“基本资格条件承诺函”）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具备履行合同所必需的设备和专业技术能力（可提供“基本资格条件承诺函”）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14:ligatures w14:val="none"/>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参加本次政府采购活动前3年内在经营活动中没有重大违法记录的书面声明（可提供“基本资格条件承诺函”）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未被“信用中国”网站（www.creditchina.gov.cn）、“中国政府采购网"(www.ccgp.gov.cn)列入失信被执行人、重大税收违法案件当事人名单、政府采购严重违法失信行为记录名单（可提供“基本资格条件承诺函”）</w:t>
      </w:r>
    </w:p>
    <w:p>
      <w:pPr>
        <w:spacing w:line="360" w:lineRule="auto"/>
        <w:ind w:firstLine="420"/>
        <w:rPr>
          <w:rFonts w:hint="eastAsia" w:ascii="宋体" w:hAnsi="宋体" w:eastAsia="宋体" w:cs="宋体"/>
          <w:i/>
          <w:i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供应商信用承诺函</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根据《政府采购促进中小企业发展管理办法》的规定，本项目专门面向中小企业采购，供应商投标时须提供《中小企业声明函》，《中小企业声明函》不符合要求或未提供的，投标文件无效。</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bookmarkStart w:id="11" w:name="_Toc17557"/>
    </w:p>
    <w:p>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i/>
          <w:iCs/>
          <w:color w:val="000000"/>
          <w:sz w:val="21"/>
          <w:szCs w:val="21"/>
          <w:u w:val="single"/>
        </w:rPr>
      </w:pPr>
      <w:r>
        <w:rPr>
          <w:rFonts w:hint="eastAsia" w:ascii="宋体" w:hAnsi="宋体" w:eastAsia="宋体" w:cs="宋体"/>
          <w:i/>
          <w:iCs/>
          <w:color w:val="000000"/>
          <w:sz w:val="21"/>
          <w:szCs w:val="21"/>
          <w:u w:val="single"/>
          <w:lang w:val="en-US" w:eastAsia="zh-CN"/>
        </w:rPr>
        <w:t>3.</w:t>
      </w:r>
      <w:r>
        <w:rPr>
          <w:rFonts w:hint="eastAsia" w:ascii="宋体" w:hAnsi="宋体" w:eastAsia="宋体" w:cs="宋体"/>
          <w:i/>
          <w:iCs/>
          <w:color w:val="000000"/>
          <w:sz w:val="21"/>
          <w:szCs w:val="21"/>
          <w:u w:val="single"/>
        </w:rPr>
        <w:t>1供应商应具备水利水电工程施工总承包三级（含）以上资质</w:t>
      </w:r>
      <w:r>
        <w:rPr>
          <w:rFonts w:hint="eastAsia" w:ascii="宋体" w:hAnsi="宋体" w:eastAsia="宋体" w:cs="宋体"/>
          <w:b/>
          <w:bCs/>
          <w:i/>
          <w:iCs/>
          <w:color w:val="000000"/>
          <w:sz w:val="21"/>
          <w:szCs w:val="21"/>
          <w:u w:val="single"/>
        </w:rPr>
        <w:t>(供应商提供证书原件扫描上传）</w:t>
      </w:r>
    </w:p>
    <w:p>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i/>
          <w:iCs/>
          <w:color w:val="000000"/>
          <w:sz w:val="21"/>
          <w:szCs w:val="21"/>
          <w:u w:val="single"/>
        </w:rPr>
      </w:pPr>
      <w:r>
        <w:rPr>
          <w:rFonts w:hint="eastAsia" w:ascii="宋体" w:hAnsi="宋体" w:eastAsia="宋体" w:cs="宋体"/>
          <w:i/>
          <w:iCs/>
          <w:color w:val="000000"/>
          <w:sz w:val="21"/>
          <w:szCs w:val="21"/>
          <w:u w:val="single"/>
          <w:lang w:val="en-US" w:eastAsia="zh-CN"/>
        </w:rPr>
        <w:t>3.</w:t>
      </w:r>
      <w:r>
        <w:rPr>
          <w:rFonts w:hint="eastAsia" w:ascii="宋体" w:hAnsi="宋体" w:eastAsia="宋体" w:cs="宋体"/>
          <w:i/>
          <w:iCs/>
          <w:color w:val="000000"/>
          <w:sz w:val="21"/>
          <w:szCs w:val="21"/>
          <w:u w:val="single"/>
        </w:rPr>
        <w:t>2拟派项目经理为本公司正式员工，正常缴纳社会保险，无在建工程，应具有水利水电工程专业注册建造师二级（含）以上资格</w:t>
      </w:r>
      <w:r>
        <w:rPr>
          <w:rFonts w:hint="eastAsia" w:ascii="宋体" w:hAnsi="宋体" w:eastAsia="宋体" w:cs="宋体"/>
          <w:b/>
          <w:bCs/>
          <w:i/>
          <w:iCs/>
          <w:color w:val="000000"/>
          <w:sz w:val="21"/>
          <w:szCs w:val="21"/>
          <w:u w:val="single"/>
        </w:rPr>
        <w:t>（供应商提供上述人员证书原件扫描上传、供应商为其缴纳的近三个月内任意一个月社保证明原件扫描上传、项目经理无在建工程承诺书原件扫描上传）</w:t>
      </w:r>
    </w:p>
    <w:p>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i/>
          <w:iCs/>
          <w:color w:val="000000"/>
          <w:sz w:val="21"/>
          <w:szCs w:val="21"/>
          <w:u w:val="single"/>
        </w:rPr>
      </w:pPr>
      <w:r>
        <w:rPr>
          <w:rFonts w:hint="eastAsia" w:ascii="宋体" w:hAnsi="宋体" w:eastAsia="宋体" w:cs="宋体"/>
          <w:i/>
          <w:iCs/>
          <w:color w:val="000000"/>
          <w:sz w:val="21"/>
          <w:szCs w:val="21"/>
          <w:u w:val="single"/>
          <w:lang w:val="en-US" w:eastAsia="zh-CN"/>
        </w:rPr>
        <w:t>3.</w:t>
      </w:r>
      <w:r>
        <w:rPr>
          <w:rFonts w:hint="eastAsia" w:ascii="宋体" w:hAnsi="宋体" w:eastAsia="宋体" w:cs="宋体"/>
          <w:i/>
          <w:iCs/>
          <w:color w:val="000000"/>
          <w:sz w:val="21"/>
          <w:szCs w:val="21"/>
          <w:u w:val="single"/>
        </w:rPr>
        <w:t>3供应商具备安全生产条件，并取得有效期内的安全生产许可证</w:t>
      </w:r>
      <w:r>
        <w:rPr>
          <w:rFonts w:hint="eastAsia" w:ascii="宋体" w:hAnsi="宋体" w:eastAsia="宋体" w:cs="宋体"/>
          <w:b/>
          <w:bCs/>
          <w:i/>
          <w:iCs/>
          <w:color w:val="000000"/>
          <w:sz w:val="21"/>
          <w:szCs w:val="21"/>
          <w:u w:val="single"/>
        </w:rPr>
        <w:t>(供应商提供证书原件扫描上传）</w:t>
      </w:r>
    </w:p>
    <w:p>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ascii="宋体" w:hAnsi="宋体" w:eastAsia="宋体" w:cs="宋体"/>
          <w:b/>
          <w:bCs/>
          <w:i/>
          <w:color w:val="000000"/>
          <w:sz w:val="21"/>
          <w:szCs w:val="21"/>
          <w:u w:val="single"/>
          <w14:ligatures w14:val="none"/>
        </w:rPr>
      </w:pPr>
      <w:r>
        <w:rPr>
          <w:rFonts w:hint="eastAsia" w:ascii="宋体" w:hAnsi="宋体" w:eastAsia="宋体" w:cs="宋体"/>
          <w:i/>
          <w:iCs/>
          <w:color w:val="000000"/>
          <w:sz w:val="21"/>
          <w:szCs w:val="21"/>
          <w:u w:val="single"/>
          <w:lang w:val="en-US" w:eastAsia="zh-CN"/>
        </w:rPr>
        <w:t>3.</w:t>
      </w:r>
      <w:r>
        <w:rPr>
          <w:rFonts w:hint="eastAsia" w:ascii="宋体" w:hAnsi="宋体" w:eastAsia="宋体" w:cs="宋体"/>
          <w:i/>
          <w:iCs/>
          <w:color w:val="000000"/>
          <w:sz w:val="21"/>
          <w:szCs w:val="21"/>
          <w:u w:val="single"/>
        </w:rPr>
        <w:t>4供应商主要负责人、项目经理、专职安全员（下称“三类人员”）均应具有水行政主管部门颁发的安全生产考核合格证（分别为A、B、C类）。</w:t>
      </w:r>
      <w:r>
        <w:rPr>
          <w:rFonts w:hint="eastAsia" w:ascii="宋体" w:hAnsi="宋体" w:eastAsia="宋体" w:cs="宋体"/>
          <w:b/>
          <w:bCs/>
          <w:i/>
          <w:iCs/>
          <w:color w:val="000000"/>
          <w:sz w:val="21"/>
          <w:szCs w:val="21"/>
          <w:u w:val="single"/>
        </w:rPr>
        <w:t>(供应商提供证书原件扫描上传、供应商为其缴纳的近三个月内任意一个月社保证明原件扫描上传）</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三、获取采购文件</w:t>
      </w:r>
      <w:bookmarkEnd w:id="4"/>
      <w:bookmarkEnd w:id="11"/>
    </w:p>
    <w:p>
      <w:pPr>
        <w:spacing w:line="360" w:lineRule="auto"/>
        <w:ind w:firstLine="5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1.时间：自磋商公告发布之日起5个工作日。5个工作日后仍可下载采购文件，但不作为供应商权益受到损害的证明材料和依据</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2.获取方式：本项目采用网上注册登记方式。</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3.潜在供应商访问政府采购管理交易系统（苏采云）的网络地址和方法：</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（2）“CA数字证书”的获取：供应商需办理CA锁，“苏采云”系统目前仅支持“苏采云”系统下的政务CA，省内各地区办理的“苏采云”系统下的政务CA全省通用。</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（3）“CA数字证书”的办理材料以及供应商操作手册详见：</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http://zfcg.yangzhou.gov.cn/zfcg/xzzx/202309/4d7de1f7865f4a2894fc22bc452f94d8.shtml。</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（4）潜在供应商访问“苏采云”系统的网络地址和方法：“苏采云”系统的网址：http://jszfcg.jsczt.cn/。</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（5）采购文件（后缀名为“.kedt”）、供应商操作手册及政府采购客户端工具也可通过“苏采云”系统--已报名项目--报名详情页面内相应链接进行下载。</w:t>
      </w:r>
    </w:p>
    <w:p>
      <w:pPr>
        <w:spacing w:line="360" w:lineRule="auto"/>
        <w:ind w:firstLine="5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（6）招标代理机构（采购代理机构）将数据电文形式的采购文件加载至“苏采云”系统，供潜在供应商下载或者查阅。     </w:t>
      </w:r>
    </w:p>
    <w:p>
      <w:pPr>
        <w:spacing w:line="360" w:lineRule="auto"/>
        <w:ind w:firstLine="540"/>
        <w:rPr>
          <w:rFonts w:hint="eastAsia" w:ascii="宋体" w:hAnsi="宋体" w:eastAsia="宋体" w:cs="宋体"/>
          <w:b w:val="0"/>
          <w:bCs w:val="0"/>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（7）苏采云系统使用谷歌浏览器参与不见面开标。</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12" w:name="_Toc15334"/>
      <w:bookmarkStart w:id="13" w:name="_Toc109304966"/>
      <w:r>
        <w:rPr>
          <w:rFonts w:hint="eastAsia" w:ascii="宋体" w:hAnsi="宋体" w:eastAsia="宋体" w:cs="宋体"/>
          <w:bCs w:val="0"/>
          <w:color w:val="000000" w:themeColor="text1"/>
          <w:sz w:val="21"/>
          <w:szCs w:val="21"/>
          <w:highlight w:val="none"/>
          <w14:textFill>
            <w14:solidFill>
              <w14:schemeClr w14:val="tx1"/>
            </w14:solidFill>
          </w14:textFill>
        </w:rPr>
        <w:t>四、响应文件提交</w:t>
      </w:r>
      <w:bookmarkEnd w:id="12"/>
      <w:bookmarkEnd w:id="13"/>
    </w:p>
    <w:p>
      <w:pPr>
        <w:spacing w:line="360" w:lineRule="auto"/>
        <w:ind w:firstLine="42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1.截止时间：</w:t>
      </w:r>
      <w:r>
        <w:rPr>
          <w:rFonts w:hint="eastAsia" w:ascii="宋体" w:hAnsi="宋体" w:cs="宋体"/>
          <w:bCs/>
          <w:color w:val="000000" w:themeColor="text1"/>
          <w:sz w:val="21"/>
          <w:szCs w:val="21"/>
          <w:highlight w:val="yellow"/>
          <w:u w:val="single"/>
          <w:lang w:eastAsia="zh-CN"/>
          <w14:textFill>
            <w14:solidFill>
              <w14:schemeClr w14:val="tx1"/>
            </w14:solidFill>
          </w14:textFill>
        </w:rPr>
        <w:t>2026年5月8日14点00分</w:t>
      </w:r>
      <w:r>
        <w:rPr>
          <w:rFonts w:hint="eastAsia" w:ascii="宋体" w:hAnsi="宋体" w:eastAsia="宋体" w:cs="宋体"/>
          <w:bCs/>
          <w:color w:val="000000" w:themeColor="text1"/>
          <w:sz w:val="21"/>
          <w:szCs w:val="21"/>
          <w:highlight w:val="none"/>
          <w14:textFill>
            <w14:solidFill>
              <w14:schemeClr w14:val="tx1"/>
            </w14:solidFill>
          </w14:textFill>
        </w:rPr>
        <w:t>（北京时间）</w:t>
      </w:r>
    </w:p>
    <w:p>
      <w:pPr>
        <w:spacing w:line="360" w:lineRule="auto"/>
        <w:ind w:firstLine="422"/>
        <w:rPr>
          <w:rFonts w:hint="eastAsia" w:ascii="宋体" w:hAnsi="宋体" w:eastAsia="宋体" w:cs="宋体"/>
          <w:b w:val="0"/>
          <w:bCs w:val="0"/>
          <w:color w:val="000000" w:themeColor="text1"/>
          <w:sz w:val="21"/>
          <w:szCs w:val="21"/>
          <w:highlight w:val="none"/>
          <w:u w:val="single"/>
          <w14:textFill>
            <w14:solidFill>
              <w14:schemeClr w14:val="tx1"/>
            </w14:solidFill>
          </w14:textFill>
        </w:rPr>
      </w:pPr>
      <w:bookmarkStart w:id="14" w:name="_Toc109304967"/>
      <w:r>
        <w:rPr>
          <w:rFonts w:hint="eastAsia" w:ascii="宋体" w:hAnsi="宋体" w:eastAsia="宋体" w:cs="宋体"/>
          <w:b w:val="0"/>
          <w:bCs w:val="0"/>
          <w:color w:val="000000" w:themeColor="text1"/>
          <w:sz w:val="21"/>
          <w:szCs w:val="21"/>
          <w:highlight w:val="none"/>
          <w14:textFill>
            <w14:solidFill>
              <w14:schemeClr w14:val="tx1"/>
            </w14:solidFill>
          </w14:textFill>
        </w:rPr>
        <w:t>2.投标地点：“苏采云”系统（网址：http://jszfcg.jsczt.cn/）“报名详情”</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15" w:name="_Toc15383"/>
      <w:r>
        <w:rPr>
          <w:rFonts w:hint="eastAsia" w:ascii="宋体" w:hAnsi="宋体" w:eastAsia="宋体" w:cs="宋体"/>
          <w:bCs w:val="0"/>
          <w:color w:val="000000" w:themeColor="text1"/>
          <w:sz w:val="21"/>
          <w:szCs w:val="21"/>
          <w:highlight w:val="none"/>
          <w14:textFill>
            <w14:solidFill>
              <w14:schemeClr w14:val="tx1"/>
            </w14:solidFill>
          </w14:textFill>
        </w:rPr>
        <w:t>五、开启</w:t>
      </w:r>
      <w:bookmarkEnd w:id="14"/>
      <w:bookmarkEnd w:id="15"/>
    </w:p>
    <w:p>
      <w:pPr>
        <w:pStyle w:val="189"/>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1.时间</w:t>
      </w:r>
      <w:r>
        <w:rPr>
          <w:rFonts w:hint="eastAsia" w:ascii="宋体" w:hAnsi="宋体" w:cs="宋体"/>
          <w:bCs/>
          <w:color w:val="000000" w:themeColor="text1"/>
          <w:sz w:val="21"/>
          <w:szCs w:val="21"/>
          <w:highlight w:val="yellow"/>
          <w:u w:val="single"/>
          <w:lang w:eastAsia="zh-CN"/>
          <w14:textFill>
            <w14:solidFill>
              <w14:schemeClr w14:val="tx1"/>
            </w14:solidFill>
          </w14:textFill>
        </w:rPr>
        <w:t>2026年5月8日14点00分</w:t>
      </w:r>
      <w:r>
        <w:rPr>
          <w:rFonts w:hint="eastAsia" w:ascii="宋体" w:hAnsi="宋体" w:eastAsia="宋体" w:cs="宋体"/>
          <w:bCs/>
          <w:color w:val="000000" w:themeColor="text1"/>
          <w:sz w:val="21"/>
          <w:szCs w:val="21"/>
          <w:highlight w:val="none"/>
          <w14:textFill>
            <w14:solidFill>
              <w14:schemeClr w14:val="tx1"/>
            </w14:solidFill>
          </w14:textFill>
        </w:rPr>
        <w:t>（北京时间）</w:t>
      </w:r>
    </w:p>
    <w:p>
      <w:pPr>
        <w:spacing w:line="360" w:lineRule="auto"/>
        <w:ind w:firstLine="422"/>
        <w:rPr>
          <w:rFonts w:hint="eastAsia" w:ascii="宋体" w:hAnsi="宋体" w:eastAsia="宋体" w:cs="宋体"/>
          <w:b w:val="0"/>
          <w:bCs/>
          <w:color w:val="000000" w:themeColor="text1"/>
          <w:sz w:val="21"/>
          <w:szCs w:val="21"/>
          <w:highlight w:val="none"/>
          <w14:textFill>
            <w14:solidFill>
              <w14:schemeClr w14:val="tx1"/>
            </w14:solidFill>
          </w14:textFill>
        </w:rPr>
      </w:pPr>
      <w:bookmarkStart w:id="16" w:name="_Toc109304968"/>
      <w:r>
        <w:rPr>
          <w:rFonts w:hint="eastAsia" w:ascii="宋体" w:hAnsi="宋体" w:eastAsia="宋体" w:cs="宋体"/>
          <w:b w:val="0"/>
          <w:bCs/>
          <w:color w:val="000000" w:themeColor="text1"/>
          <w:sz w:val="21"/>
          <w:szCs w:val="21"/>
          <w:highlight w:val="none"/>
          <w14:textFill>
            <w14:solidFill>
              <w14:schemeClr w14:val="tx1"/>
            </w14:solidFill>
          </w14:textFill>
        </w:rPr>
        <w:t>2.开标地点：“苏采云”系统（网址：http://jszfcg.jsczt.cn/）“开标大厅”</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17" w:name="_Toc31874"/>
      <w:r>
        <w:rPr>
          <w:rFonts w:hint="eastAsia" w:ascii="宋体" w:hAnsi="宋体" w:eastAsia="宋体" w:cs="宋体"/>
          <w:bCs w:val="0"/>
          <w:color w:val="000000" w:themeColor="text1"/>
          <w:sz w:val="21"/>
          <w:szCs w:val="21"/>
          <w:highlight w:val="none"/>
          <w14:textFill>
            <w14:solidFill>
              <w14:schemeClr w14:val="tx1"/>
            </w14:solidFill>
          </w14:textFill>
        </w:rPr>
        <w:t>六、公告期限</w:t>
      </w:r>
      <w:bookmarkEnd w:id="16"/>
      <w:bookmarkEnd w:id="17"/>
    </w:p>
    <w:p>
      <w:pPr>
        <w:spacing w:line="360" w:lineRule="auto"/>
        <w:ind w:firstLine="42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自本公告发布之日起5个工作日。</w:t>
      </w:r>
    </w:p>
    <w:p>
      <w:pPr>
        <w:pStyle w:val="188"/>
        <w:spacing w:before="0" w:after="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18" w:name="_Toc24056"/>
      <w:bookmarkStart w:id="19" w:name="_Toc109304969"/>
      <w:r>
        <w:rPr>
          <w:rFonts w:hint="eastAsia" w:ascii="宋体" w:hAnsi="宋体" w:eastAsia="宋体" w:cs="宋体"/>
          <w:color w:val="000000" w:themeColor="text1"/>
          <w:sz w:val="21"/>
          <w:szCs w:val="21"/>
          <w:highlight w:val="none"/>
          <w14:textFill>
            <w14:solidFill>
              <w14:schemeClr w14:val="tx1"/>
            </w14:solidFill>
          </w14:textFill>
        </w:rPr>
        <w:t>七、其他补充事宜</w:t>
      </w:r>
      <w:bookmarkEnd w:id="18"/>
      <w:bookmarkEnd w:id="19"/>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20" w:name="_Toc24673"/>
      <w:bookmarkStart w:id="21" w:name="_Toc109304970"/>
      <w:r>
        <w:rPr>
          <w:rFonts w:hint="eastAsia" w:ascii="宋体" w:hAnsi="宋体" w:eastAsia="宋体" w:cs="宋体"/>
          <w:bCs w:val="0"/>
          <w:color w:val="000000" w:themeColor="text1"/>
          <w:sz w:val="21"/>
          <w:szCs w:val="21"/>
          <w:highlight w:val="none"/>
          <w14:textFill>
            <w14:solidFill>
              <w14:schemeClr w14:val="tx1"/>
            </w14:solidFill>
          </w14:textFill>
        </w:rPr>
        <w:t>八、本次竞争性磋商联系方式</w:t>
      </w:r>
      <w:bookmarkEnd w:id="20"/>
      <w:bookmarkEnd w:id="21"/>
    </w:p>
    <w:p>
      <w:pPr>
        <w:pStyle w:val="204"/>
        <w:spacing w:line="360" w:lineRule="auto"/>
        <w:ind w:firstLine="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1.采购人信息</w:t>
      </w:r>
    </w:p>
    <w:p>
      <w:pPr>
        <w:spacing w:line="360" w:lineRule="auto"/>
        <w:ind w:firstLine="42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称：</w:t>
      </w:r>
      <w:r>
        <w:rPr>
          <w:rFonts w:hint="eastAsia" w:ascii="宋体" w:hAnsi="宋体" w:cs="宋体"/>
          <w:color w:val="000000" w:themeColor="text1"/>
          <w:sz w:val="21"/>
          <w:szCs w:val="21"/>
          <w:highlight w:val="yellow"/>
          <w:u w:val="none"/>
          <w:lang w:eastAsia="zh-CN"/>
          <w14:textFill>
            <w14:solidFill>
              <w14:schemeClr w14:val="tx1"/>
            </w14:solidFill>
          </w14:textFill>
        </w:rPr>
        <w:t>扬州市江都区小纪镇人民政府</w:t>
      </w:r>
    </w:p>
    <w:p>
      <w:pPr>
        <w:spacing w:line="360" w:lineRule="auto"/>
        <w:ind w:firstLine="420"/>
        <w:jc w:val="left"/>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址：</w:t>
      </w:r>
      <w:r>
        <w:rPr>
          <w:rFonts w:hint="eastAsia" w:ascii="宋体" w:hAnsi="宋体" w:cs="宋体"/>
          <w:color w:val="000000" w:themeColor="text1"/>
          <w:sz w:val="21"/>
          <w:szCs w:val="21"/>
          <w:highlight w:val="yellow"/>
          <w:u w:val="none"/>
          <w:lang w:eastAsia="zh-CN"/>
          <w14:textFill>
            <w14:solidFill>
              <w14:schemeClr w14:val="tx1"/>
            </w14:solidFill>
          </w14:textFill>
        </w:rPr>
        <w:t>扬州市江都区小纪镇人民中路15号</w:t>
      </w:r>
    </w:p>
    <w:p>
      <w:pPr>
        <w:spacing w:line="360" w:lineRule="auto"/>
        <w:ind w:firstLine="420"/>
        <w:jc w:val="left"/>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cs="宋体"/>
          <w:color w:val="000000" w:themeColor="text1"/>
          <w:sz w:val="21"/>
          <w:szCs w:val="21"/>
          <w:highlight w:val="none"/>
          <w:u w:val="none"/>
          <w:lang w:val="en-US" w:eastAsia="zh-CN"/>
          <w14:textFill>
            <w14:solidFill>
              <w14:schemeClr w14:val="tx1"/>
            </w14:solidFill>
          </w14:textFill>
        </w:rPr>
        <w:t>联 系 人</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cs="宋体"/>
          <w:color w:val="000000" w:themeColor="text1"/>
          <w:sz w:val="21"/>
          <w:szCs w:val="21"/>
          <w:highlight w:val="yellow"/>
          <w:u w:val="none"/>
          <w:lang w:val="en-US" w:eastAsia="zh-CN"/>
          <w14:textFill>
            <w14:solidFill>
              <w14:schemeClr w14:val="tx1"/>
            </w14:solidFill>
          </w14:textFill>
        </w:rPr>
        <w:t>马先生</w:t>
      </w:r>
    </w:p>
    <w:p>
      <w:pPr>
        <w:spacing w:line="360" w:lineRule="auto"/>
        <w:ind w:firstLine="420"/>
        <w:jc w:val="left"/>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联系方式：</w:t>
      </w:r>
      <w:r>
        <w:rPr>
          <w:rFonts w:hint="eastAsia" w:ascii="宋体" w:hAnsi="宋体" w:cs="宋体"/>
          <w:color w:val="000000" w:themeColor="text1"/>
          <w:sz w:val="21"/>
          <w:szCs w:val="21"/>
          <w:highlight w:val="yellow"/>
          <w:lang w:val="en-US" w:eastAsia="zh-CN"/>
          <w14:textFill>
            <w14:solidFill>
              <w14:schemeClr w14:val="tx1"/>
            </w14:solidFill>
          </w14:textFill>
        </w:rPr>
        <w:t>15715253116</w:t>
      </w:r>
    </w:p>
    <w:p>
      <w:pPr>
        <w:pStyle w:val="204"/>
        <w:spacing w:line="360" w:lineRule="auto"/>
        <w:ind w:firstLine="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2.采购代理机构信息</w:t>
      </w:r>
    </w:p>
    <w:p>
      <w:pPr>
        <w:pStyle w:val="204"/>
        <w:spacing w:line="360" w:lineRule="auto"/>
        <w:ind w:firstLine="4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hAnsi="宋体" w:cs="宋体"/>
          <w:color w:val="000000" w:themeColor="text1"/>
          <w:sz w:val="21"/>
          <w:szCs w:val="21"/>
          <w:highlight w:val="none"/>
          <w:lang w:eastAsia="zh-CN"/>
          <w14:textFill>
            <w14:solidFill>
              <w14:schemeClr w14:val="tx1"/>
            </w14:solidFill>
          </w14:textFill>
        </w:rPr>
        <w:t>江苏三思行房地产评估造价有限公司</w:t>
      </w:r>
    </w:p>
    <w:p>
      <w:pPr>
        <w:pStyle w:val="204"/>
        <w:spacing w:line="360" w:lineRule="auto"/>
        <w:ind w:firstLine="4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hAnsi="宋体" w:cs="宋体"/>
          <w:color w:val="000000" w:themeColor="text1"/>
          <w:sz w:val="21"/>
          <w:szCs w:val="21"/>
          <w:highlight w:val="none"/>
          <w:lang w:eastAsia="zh-CN"/>
          <w14:textFill>
            <w14:solidFill>
              <w14:schemeClr w14:val="tx1"/>
            </w14:solidFill>
          </w14:textFill>
        </w:rPr>
        <w:t>扬州市江都区工农西路41号3楼</w:t>
      </w:r>
    </w:p>
    <w:p>
      <w:pPr>
        <w:pStyle w:val="204"/>
        <w:spacing w:line="360" w:lineRule="auto"/>
        <w:ind w:firstLine="4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联 系 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彭震</w:t>
      </w:r>
    </w:p>
    <w:p>
      <w:pPr>
        <w:pStyle w:val="204"/>
        <w:spacing w:line="360" w:lineRule="auto"/>
        <w:ind w:firstLine="4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hAnsi="宋体" w:cs="宋体"/>
          <w:color w:val="000000" w:themeColor="text1"/>
          <w:sz w:val="21"/>
          <w:szCs w:val="21"/>
          <w:highlight w:val="none"/>
          <w:lang w:eastAsia="zh-CN"/>
          <w14:textFill>
            <w14:solidFill>
              <w14:schemeClr w14:val="tx1"/>
            </w14:solidFill>
          </w14:textFill>
        </w:rPr>
        <w:t>13101858999</w:t>
      </w:r>
    </w:p>
    <w:p>
      <w:pPr>
        <w:pStyle w:val="204"/>
        <w:spacing w:line="360" w:lineRule="auto"/>
        <w:ind w:firstLine="4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    箱：</w:t>
      </w:r>
      <w:r>
        <w:rPr>
          <w:rFonts w:hint="eastAsia" w:hAnsi="宋体" w:cs="宋体"/>
          <w:color w:val="000000" w:themeColor="text1"/>
          <w:sz w:val="21"/>
          <w:szCs w:val="21"/>
          <w:highlight w:val="none"/>
          <w:lang w:eastAsia="zh-CN"/>
          <w14:textFill>
            <w14:solidFill>
              <w14:schemeClr w14:val="tx1"/>
            </w14:solidFill>
          </w14:textFill>
        </w:rPr>
        <w:t>3417219</w:t>
      </w:r>
      <w:r>
        <w:rPr>
          <w:rFonts w:hint="eastAsia" w:ascii="宋体" w:hAnsi="宋体" w:eastAsia="宋体" w:cs="宋体"/>
          <w:color w:val="000000" w:themeColor="text1"/>
          <w:sz w:val="21"/>
          <w:szCs w:val="21"/>
          <w:highlight w:val="none"/>
          <w14:textFill>
            <w14:solidFill>
              <w14:schemeClr w14:val="tx1"/>
            </w14:solidFill>
          </w14:textFill>
        </w:rPr>
        <w:t>@qq.com</w:t>
      </w:r>
    </w:p>
    <w:p>
      <w:pPr>
        <w:pStyle w:val="204"/>
        <w:spacing w:line="360" w:lineRule="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w:t>
      </w:r>
      <w:r>
        <w:rPr>
          <w:rFonts w:hint="eastAsia" w:ascii="宋体" w:hAnsi="宋体" w:eastAsia="宋体" w:cs="宋体"/>
          <w:b w:val="0"/>
          <w:bCs/>
          <w:color w:val="000000" w:themeColor="text1"/>
          <w:sz w:val="21"/>
          <w:szCs w:val="21"/>
          <w:highlight w:val="none"/>
          <w14:textFill>
            <w14:solidFill>
              <w14:schemeClr w14:val="tx1"/>
            </w14:solidFill>
          </w14:textFill>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pPr>
        <w:pStyle w:val="188"/>
        <w:spacing w:before="0" w:after="0" w:line="360" w:lineRule="auto"/>
        <w:rPr>
          <w:rFonts w:hint="eastAsia" w:ascii="宋体" w:hAnsi="宋体" w:eastAsia="宋体" w:cs="宋体"/>
          <w:bCs w:val="0"/>
          <w:color w:val="000000" w:themeColor="text1"/>
          <w:sz w:val="21"/>
          <w:szCs w:val="21"/>
          <w:highlight w:val="none"/>
          <w14:textFill>
            <w14:solidFill>
              <w14:schemeClr w14:val="tx1"/>
            </w14:solidFill>
          </w14:textFill>
        </w:rPr>
      </w:pPr>
      <w:bookmarkStart w:id="22" w:name="_Toc30711"/>
      <w:bookmarkStart w:id="23" w:name="_Toc109304971"/>
      <w:r>
        <w:rPr>
          <w:rFonts w:hint="eastAsia" w:ascii="宋体" w:hAnsi="宋体" w:eastAsia="宋体" w:cs="宋体"/>
          <w:bCs w:val="0"/>
          <w:color w:val="000000" w:themeColor="text1"/>
          <w:sz w:val="21"/>
          <w:szCs w:val="21"/>
          <w:highlight w:val="none"/>
          <w14:textFill>
            <w14:solidFill>
              <w14:schemeClr w14:val="tx1"/>
            </w14:solidFill>
          </w14:textFill>
        </w:rPr>
        <w:t>十、其他</w:t>
      </w:r>
      <w:bookmarkEnd w:id="22"/>
      <w:bookmarkEnd w:id="23"/>
    </w:p>
    <w:bookmarkEnd w:id="0"/>
    <w:p>
      <w:pPr>
        <w:spacing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2.供应商如确定参加磋商，可自行下载采购文件及有关资料，按照《操作手册》进行注册，领取CA和办理电子签章，并按《操作手册》要求制作、上传电子投标文件，技术支持联系</w:t>
      </w:r>
      <w:r>
        <w:rPr>
          <w:rFonts w:hint="eastAsia" w:ascii="宋体" w:hAnsi="宋体" w:eastAsia="宋体" w:cs="宋体"/>
          <w:b w:val="0"/>
          <w:bCs/>
          <w:color w:val="000000" w:themeColor="text1"/>
          <w:spacing w:val="0"/>
          <w:sz w:val="21"/>
          <w:szCs w:val="21"/>
          <w:highlight w:val="none"/>
          <w14:textFill>
            <w14:solidFill>
              <w14:schemeClr w14:val="tx1"/>
            </w14:solidFill>
          </w14:textFill>
        </w:rPr>
        <w:t>方式：13813140731。</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承担其后果。</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4.供应商对于投标产品的包装应按照“财办库〔2020〕123号《关于印发《商品包装政府采购需求标准（试行）》、《快递包装政府采购需求标准（试行）》的通知》”执行。</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5.落实好政府采购履约资金扶持政策。中标/成交供应商可凭政府采购合同办理融资贷款，详见江苏政府采购网“政采贷”专栏。</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7.潜在供应商对采购文件项目需求部分的询问、质疑请向采购人提出，由采购人负责答复。</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8.本次采购不收取保证金。</w:t>
      </w:r>
    </w:p>
    <w:p>
      <w:pPr>
        <w:spacing w:line="360" w:lineRule="auto"/>
        <w:ind w:firstLine="42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9.有关本次采购的事项若存在变动或修改，敬请及时关注“扬州市政府采购网”、”江苏省政府采购网”发布的信息。</w:t>
      </w:r>
    </w:p>
    <w:p>
      <w:pPr>
        <w:pStyle w:val="204"/>
        <w:spacing w:line="360" w:lineRule="auto"/>
        <w:ind w:firstLine="400"/>
        <w:rPr>
          <w:rFonts w:hint="eastAsia" w:ascii="宋体" w:hAnsi="宋体" w:eastAsia="宋体" w:cs="宋体"/>
          <w:b/>
          <w:i/>
          <w:iCs/>
          <w:color w:val="000000" w:themeColor="text1"/>
          <w:sz w:val="21"/>
          <w:szCs w:val="21"/>
          <w:highlight w:val="none"/>
          <w:u w:val="singl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10.本项目采购文件中所有斜体下划线部分为实质性条款，如不满足，则为无效响应。</w:t>
      </w:r>
    </w:p>
    <w:p>
      <w:pPr>
        <w:pStyle w:val="187"/>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24" w:name="_Toc23352"/>
      <w:r>
        <w:rPr>
          <w:rFonts w:hint="eastAsia" w:ascii="宋体" w:hAnsi="宋体" w:eastAsia="宋体" w:cs="宋体"/>
          <w:color w:val="000000" w:themeColor="text1"/>
          <w:highlight w:val="none"/>
          <w14:textFill>
            <w14:solidFill>
              <w14:schemeClr w14:val="tx1"/>
            </w14:solidFill>
          </w14:textFill>
        </w:rPr>
        <w:br w:type="page" w:clear="all"/>
      </w:r>
      <w:bookmarkStart w:id="25" w:name="_Toc25416"/>
      <w:r>
        <w:rPr>
          <w:rFonts w:hint="eastAsia" w:ascii="宋体" w:hAnsi="宋体" w:eastAsia="宋体" w:cs="宋体"/>
          <w:color w:val="000000" w:themeColor="text1"/>
          <w:sz w:val="36"/>
          <w:szCs w:val="36"/>
          <w:highlight w:val="none"/>
          <w14:textFill>
            <w14:solidFill>
              <w14:schemeClr w14:val="tx1"/>
            </w14:solidFill>
          </w14:textFill>
        </w:rPr>
        <w:t>第二章 磋商须知</w:t>
      </w:r>
      <w:bookmarkEnd w:id="24"/>
      <w:bookmarkEnd w:id="25"/>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1、采购方式</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 本次采购采取竞争性磋商方式，本采购文件仅适用于</w:t>
      </w:r>
      <w:r>
        <w:rPr>
          <w:rFonts w:hint="eastAsia" w:ascii="宋体" w:hAnsi="宋体" w:cs="宋体"/>
          <w:color w:val="000000" w:themeColor="text1"/>
          <w:highlight w:val="yellow"/>
          <w:lang w:eastAsia="zh-CN"/>
          <w14:textFill>
            <w14:solidFill>
              <w14:schemeClr w14:val="tx1"/>
            </w14:solidFill>
          </w14:textFill>
        </w:rPr>
        <w:t>SSXZB-20260409</w:t>
      </w:r>
      <w:r>
        <w:rPr>
          <w:rFonts w:hint="eastAsia" w:ascii="宋体" w:hAnsi="宋体" w:eastAsia="宋体" w:cs="宋体"/>
          <w:color w:val="000000" w:themeColor="text1"/>
          <w:highlight w:val="none"/>
          <w14:textFill>
            <w14:solidFill>
              <w14:schemeClr w14:val="tx1"/>
            </w14:solidFill>
          </w14:textFill>
        </w:rPr>
        <w:t>号项目。</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2.1 参加竞争性磋商的供应商以下简称“供应商”，是指参加磋商并符合采购文件规定资格条件的法人、其他组织或者自然人。</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2.2合格的供应商</w:t>
      </w:r>
    </w:p>
    <w:p>
      <w:pPr>
        <w:spacing w:line="360" w:lineRule="auto"/>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2.2.1 满足采购公告中供应商的资格条件要求的规定。</w:t>
      </w:r>
    </w:p>
    <w:p>
      <w:pPr>
        <w:spacing w:line="360" w:lineRule="auto"/>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2.2.2 满足本文件实质性条款的规定。</w:t>
      </w:r>
    </w:p>
    <w:p>
      <w:pPr>
        <w:spacing w:line="360" w:lineRule="auto"/>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3、适用法律</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3.1 本次采购及由此产生的合同受中华人民共和国有关的法律法规制约和保护。</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4、参加磋商费用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供应商应自行承担所有与参加磋商有关的费用，无论磋商过程中的做法和结果如何，（</w:t>
      </w:r>
      <w:r>
        <w:rPr>
          <w:rFonts w:hint="eastAsia" w:ascii="宋体" w:hAnsi="宋体" w:cs="宋体"/>
          <w:color w:val="000000" w:themeColor="text1"/>
          <w:highlight w:val="none"/>
          <w:lang w:eastAsia="zh-CN"/>
          <w14:textFill>
            <w14:solidFill>
              <w14:schemeClr w14:val="tx1"/>
            </w14:solidFill>
          </w14:textFill>
        </w:rPr>
        <w:t>江苏三思行房地产评估造价有限公司</w:t>
      </w:r>
      <w:r>
        <w:rPr>
          <w:rFonts w:hint="eastAsia" w:ascii="宋体" w:hAnsi="宋体" w:eastAsia="宋体" w:cs="宋体"/>
          <w:color w:val="000000" w:themeColor="text1"/>
          <w:highlight w:val="none"/>
          <w14:textFill>
            <w14:solidFill>
              <w14:schemeClr w14:val="tx1"/>
            </w14:solidFill>
          </w14:textFill>
        </w:rPr>
        <w:t>）(以下简称代理机构)在任何情况下均无义务和责任承担这些费用。</w:t>
      </w:r>
    </w:p>
    <w:p>
      <w:pPr>
        <w:spacing w:line="360" w:lineRule="auto"/>
        <w:ind w:firstLine="42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w:t>
      </w:r>
      <w:bookmarkStart w:id="26" w:name="_Hlk115095815"/>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本次采购由成交单位在领取成交通知书前按照</w:t>
      </w:r>
      <w:r>
        <w:rPr>
          <w:rFonts w:hint="eastAsia" w:ascii="宋体" w:hAnsi="宋体" w:eastAsia="宋体" w:cs="宋体"/>
          <w:color w:val="000000" w:themeColor="text1"/>
          <w:highlight w:val="yellow"/>
          <w14:textFill>
            <w14:solidFill>
              <w14:schemeClr w14:val="tx1"/>
            </w14:solidFill>
          </w14:textFill>
        </w:rPr>
        <w:t>苏招协（2022）2号文</w:t>
      </w:r>
      <w:r>
        <w:rPr>
          <w:rFonts w:hint="eastAsia" w:ascii="宋体" w:hAnsi="宋体" w:cs="宋体"/>
          <w:color w:val="000000" w:themeColor="text1"/>
          <w:highlight w:val="yellow"/>
          <w:lang w:eastAsia="zh-CN"/>
          <w14:textFill>
            <w14:solidFill>
              <w14:schemeClr w14:val="tx1"/>
            </w14:solidFill>
          </w14:textFill>
        </w:rPr>
        <w:t>、</w:t>
      </w:r>
      <w:r>
        <w:rPr>
          <w:rFonts w:hint="eastAsia" w:ascii="宋体" w:hAnsi="宋体" w:cs="宋体"/>
          <w:color w:val="000000" w:themeColor="text1"/>
          <w:highlight w:val="yellow"/>
          <w:lang w:val="en-US" w:eastAsia="zh-CN"/>
          <w14:textFill>
            <w14:solidFill>
              <w14:schemeClr w14:val="tx1"/>
            </w14:solidFill>
          </w14:textFill>
        </w:rPr>
        <w:t>苏建价协（2022）7号文</w:t>
      </w:r>
      <w:r>
        <w:rPr>
          <w:rFonts w:hint="eastAsia" w:ascii="宋体" w:hAnsi="宋体" w:eastAsia="宋体" w:cs="宋体"/>
          <w:color w:val="000000" w:themeColor="text1"/>
          <w:highlight w:val="none"/>
          <w14:textFill>
            <w14:solidFill>
              <w14:schemeClr w14:val="tx1"/>
            </w14:solidFill>
          </w14:textFill>
        </w:rPr>
        <w:t>标准一次性支付给招标代理机构代理服务费</w:t>
      </w:r>
      <w:r>
        <w:rPr>
          <w:rFonts w:hint="eastAsia" w:ascii="宋体" w:hAnsi="宋体" w:eastAsia="宋体" w:cs="宋体"/>
          <w:color w:val="000000" w:themeColor="text1"/>
          <w:highlight w:val="none"/>
          <w:lang w:val="en-US" w:eastAsia="zh-CN"/>
          <w14:textFill>
            <w14:solidFill>
              <w14:schemeClr w14:val="tx1"/>
            </w14:solidFill>
          </w14:textFill>
        </w:rPr>
        <w:t>及招标控制价编制费</w:t>
      </w:r>
      <w:r>
        <w:rPr>
          <w:rFonts w:hint="eastAsia" w:ascii="宋体" w:hAnsi="宋体" w:cs="宋体"/>
          <w:color w:val="000000" w:themeColor="text1"/>
          <w:highlight w:val="none"/>
          <w:lang w:eastAsia="zh-CN"/>
          <w14:textFill>
            <w14:solidFill>
              <w14:schemeClr w14:val="tx1"/>
            </w14:solidFill>
          </w14:textFill>
        </w:rPr>
        <w:t>。</w:t>
      </w:r>
    </w:p>
    <w:p>
      <w:pPr>
        <w:spacing w:line="360"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yellow"/>
          <w14:textFill>
            <w14:solidFill>
              <w14:schemeClr w14:val="tx1"/>
            </w14:solidFill>
          </w14:textFill>
        </w:rPr>
        <w:t>专家评审费按扬州市政府采购专家评审费标准执行结算</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（1）代理服务费以人民币支付；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（2）代理服务费一次性以电汇、转账等非现金形式支付；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（3）招标代理服务费不在磋商报价中单列，包含在磋商总价中，由成交单位支付给代理机构。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代理单位名称：</w:t>
      </w:r>
      <w:r>
        <w:rPr>
          <w:rFonts w:hint="eastAsia" w:ascii="宋体" w:hAnsi="宋体" w:cs="宋体"/>
          <w:color w:val="000000" w:themeColor="text1"/>
          <w:highlight w:val="none"/>
          <w:lang w:eastAsia="zh-CN"/>
          <w14:textFill>
            <w14:solidFill>
              <w14:schemeClr w14:val="tx1"/>
            </w14:solidFill>
          </w14:textFill>
        </w:rPr>
        <w:t>江苏三思行房地产评估造价有限公司</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税        号：91321091MA1Y9EKW63</w:t>
      </w:r>
    </w:p>
    <w:p>
      <w:pPr>
        <w:spacing w:line="360"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   户   行：</w:t>
      </w:r>
      <w:r>
        <w:rPr>
          <w:rFonts w:hint="eastAsia" w:ascii="宋体" w:hAnsi="宋体" w:cs="宋体"/>
          <w:color w:val="000000" w:themeColor="text1"/>
          <w:highlight w:val="none"/>
          <w:lang w:eastAsia="zh-CN"/>
          <w14:textFill>
            <w14:solidFill>
              <w14:schemeClr w14:val="tx1"/>
            </w14:solidFill>
          </w14:textFill>
        </w:rPr>
        <w:t>交通银行扬州邗江支行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账        号：</w:t>
      </w:r>
      <w:r>
        <w:rPr>
          <w:rFonts w:hint="eastAsia" w:ascii="宋体" w:hAnsi="宋体" w:cs="宋体"/>
          <w:color w:val="000000" w:themeColor="text1"/>
          <w:highlight w:val="none"/>
          <w:lang w:eastAsia="zh-CN"/>
          <w14:textFill>
            <w14:solidFill>
              <w14:schemeClr w14:val="tx1"/>
            </w14:solidFill>
          </w14:textFill>
        </w:rPr>
        <w:t>395068100018010111639</w:t>
      </w:r>
      <w:r>
        <w:rPr>
          <w:rFonts w:hint="eastAsia" w:ascii="宋体" w:hAnsi="宋体" w:eastAsia="宋体" w:cs="宋体"/>
          <w:color w:val="000000" w:themeColor="text1"/>
          <w:highlight w:val="none"/>
          <w14:textFill>
            <w14:solidFill>
              <w14:schemeClr w14:val="tx1"/>
            </w14:solidFill>
          </w14:textFill>
        </w:rPr>
        <w:t xml:space="preserve"> </w:t>
      </w:r>
    </w:p>
    <w:bookmarkEnd w:id="26"/>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5、采购文件的约束力</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 供应商一旦参加本项目采购活动，即被认为接受了本采购文件的规定和约束。</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6、采购文件构成</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 采购文件有以下部分组成：</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（1）采购公告</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（2）磋商须知</w:t>
      </w:r>
      <w:r>
        <w:rPr>
          <w:rFonts w:hint="eastAsia" w:ascii="宋体" w:hAnsi="宋体" w:eastAsia="宋体" w:cs="宋体"/>
          <w:color w:val="000000" w:themeColor="text1"/>
          <w:highlight w:val="none"/>
          <w14:textFill>
            <w14:solidFill>
              <w14:schemeClr w14:val="tx1"/>
            </w14:solidFill>
          </w14:textFill>
        </w:rPr>
        <w:tab/>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（3）合同条款及格式</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（4）项目需求</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（5）评审方法与评审标准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（6）竞争性磋商响应文件格式</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请仔细检查采购文件是否齐全，如有缺漏请立即与代理机构联系解决。</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 采购的最小单位是包。采购服务数量及技术要求中未分包的，供应商对要求提供的服务不得部分响应；采购服务数量及技术要求中已经分包的，应当以包为单位响应。</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 采购文件如果要求供应商提交备选响应方案的，供应商可以提交备选方案；否则，备选方案将被拒绝。</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采购文件的澄清</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 任何要求对采购文件进行澄清的供应商，应在提交首次响应文件截止时间至少5日前按采购公告中的通讯地址，以书面形式通知代理机构。</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采购文件的修改</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采购文件的修改将在“扬州市政府采购网”、“江苏省政府采购网”公布，补充文件将作为采购文件的组成部分，并对供应商具有约束力。</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9、采购文件的语言、度量衡单位、货币</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供应商提交的响应文件以及供应商与代理机构就有关磋商的所有来往通知、函件和文件均应使用简体中文。</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9.2 除技术性能另有规定外，采购文件所使用的度量衡单位，均须采用国家法定计量单位。</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采购文件中的服务单价和总价无特殊规定的采用人民币报价，以元为单位标注。采购文件中另有规定的按规定执行。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10、响应文件构成</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10.1磋商文件由以下部分组成</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（1）资格审查响应对照表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（2）符合性审查响应对照表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（3）非实质性响应对照表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（4）磋商响应报价表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（5）分项报价表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（6）技术参数响应及偏离表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（7）商务条款响应及偏离表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（8）设计方案（如有）：如未成功上传“设计投标文件”，投标单位需将电子投标光盘（设计图纸光盘密封并注明供应商单位名称）递交至代理机构（地址），招标代理单位将派工作人员在</w:t>
      </w:r>
      <w:r>
        <w:rPr>
          <w:rFonts w:hint="eastAsia" w:ascii="宋体" w:hAnsi="宋体" w:cs="宋体"/>
          <w:color w:val="auto"/>
          <w:highlight w:val="yellow"/>
          <w:shd w:val="clear" w:color="auto" w:fill="auto"/>
          <w:lang w:eastAsia="zh-CN"/>
        </w:rPr>
        <w:t>2026年5月8日14点00分</w:t>
      </w:r>
      <w:r>
        <w:rPr>
          <w:rFonts w:hint="eastAsia" w:ascii="宋体" w:hAnsi="宋体" w:eastAsia="宋体" w:cs="宋体"/>
          <w:color w:val="000000" w:themeColor="text1"/>
          <w:highlight w:val="none"/>
          <w14:textFill>
            <w14:solidFill>
              <w14:schemeClr w14:val="tx1"/>
            </w14:solidFill>
          </w14:textFill>
        </w:rPr>
        <w:t>时间内接收电子投标光盘。将电子投标光盘递交至招标代理工作人员处，逾期不予接收。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（9）其他（供应商认为有必要提供的声明和文件，如有自拟并自行添加。设计方案）</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10.2 供应商应当根据采购文件要求编制响应文件，响应文件应对采购文件提出的要求和条件作出响应，并在相应的响应文件中逐条标明满足与否。</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11、证明供应商资格及符合采购文件规定的文件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供应商应按要求提交资格证明文件及符合采购文件规定的文件。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供应商应提交证明其有资格参加磋商和成交后有能力独立履行合同的文件。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供应商除必须具有履行合同所需提供的产品或服务的能力外，还必须具备相应的财务、技术方面的能力。</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供应商应提交根据合同要求提供的证明服务质量合格以及符合采购文件规定的证明文件。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证明供应商所提供服务与采购文件的要求相一致的文件可以是手册、图纸、文字资料和数据。</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12、磋商响应报价表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供应商应按照采购文件规定格式填报磋商响应报价表，每项服务只允许有一个报价，任何有选择的报价将不予接受。</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 标的物</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采购人需求的服务供应、安装，调试及有关技术服务等。</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12.3其它费用处理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采购文件未列明，而供应商认为必需的费用也需列入报价。</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13、技术参数响应及偏离表、商务条款响应及偏离表及磋商服务说明</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 对采购文件中的技术与商务条款要求逐项作出响应或偏离，并说明原因；</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 提供参加本项目类似案例简介；</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 详细阐述所投服务的主要组成部分、功能设计、实现思路及关键技术；</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 供应商认为需要的其他技术文件或说明。</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14、服务承诺及售后服务机构、人员的情况介绍</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供应商的服务承诺应按不低于采购文件中商务要求的标准。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提供供应商有关售后服务的管理制度、售后服务机构的分布情况、售后服务人员的数量、素质、技术水平及售后服务的反应能力。</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15、磋商响应函</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供应商应按照扬州市政府采购交易管理系统提供的格式完整、正确填写磋商响应函。</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16、磋商响应有效期</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磋商响应有效期为代理机构规定的响应文件接收截止时间后</w:t>
      </w:r>
      <w:r>
        <w:rPr>
          <w:rFonts w:hint="eastAsia" w:ascii="宋体" w:hAnsi="宋体" w:eastAsia="宋体" w:cs="宋体"/>
          <w:b/>
          <w:bCs/>
          <w:color w:val="000000" w:themeColor="text1"/>
          <w:highlight w:val="none"/>
          <w:u w:val="single"/>
          <w14:textFill>
            <w14:solidFill>
              <w14:schemeClr w14:val="tx1"/>
            </w14:solidFill>
          </w14:textFill>
        </w:rPr>
        <w:t>六十（60）天</w:t>
      </w:r>
      <w:r>
        <w:rPr>
          <w:rFonts w:hint="eastAsia" w:ascii="宋体" w:hAnsi="宋体" w:eastAsia="宋体" w:cs="宋体"/>
          <w:color w:val="000000" w:themeColor="text1"/>
          <w:highlight w:val="none"/>
          <w14:textFill>
            <w14:solidFill>
              <w14:schemeClr w14:val="tx1"/>
            </w14:solidFill>
          </w14:textFill>
        </w:rPr>
        <w:t>。磋商响应有效期比规定短的将被视为非实质性响应性而予以拒绝。</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 在特殊情况下，代理机构于原磋商响应有效期满之前，可向供应商提出延长磋商响应有效期的要求。这种要求与答复均应采用书面形式。供应商可以拒绝代理机构的这一要求而放弃磋商响应；同意延长磋商响应有效期的供应商既不能要求也不允许修改其响应文件。本采购文件受磋商响应有效期约束的所有权利与义务均延长至新的有效期。</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27" w:name="_Toc20823297"/>
      <w:bookmarkStart w:id="28" w:name="_Toc16938541"/>
      <w:r>
        <w:rPr>
          <w:rFonts w:hint="eastAsia" w:ascii="宋体" w:hAnsi="宋体" w:eastAsia="宋体" w:cs="宋体"/>
          <w:color w:val="000000" w:themeColor="text1"/>
          <w:highlight w:val="none"/>
          <w14:textFill>
            <w14:solidFill>
              <w14:schemeClr w14:val="tx1"/>
            </w14:solidFill>
          </w14:textFill>
        </w:rPr>
        <w:t>17、响应文件</w:t>
      </w:r>
      <w:bookmarkEnd w:id="27"/>
      <w:bookmarkEnd w:id="28"/>
      <w:r>
        <w:rPr>
          <w:rFonts w:hint="eastAsia" w:ascii="宋体" w:hAnsi="宋体" w:eastAsia="宋体" w:cs="宋体"/>
          <w:color w:val="000000" w:themeColor="text1"/>
          <w:highlight w:val="none"/>
          <w14:textFill>
            <w14:solidFill>
              <w14:schemeClr w14:val="tx1"/>
            </w14:solidFill>
          </w14:textFill>
        </w:rPr>
        <w:t>的递交</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 电子响应文件的递交供应商应当按照《操作手册》规定，在磋商响应截止时间前制作并上传电子响应文件。</w:t>
      </w:r>
      <w:bookmarkStart w:id="29" w:name="_Toc20823298"/>
      <w:bookmarkStart w:id="30" w:name="_Toc16938542"/>
    </w:p>
    <w:p>
      <w:pPr>
        <w:spacing w:line="360" w:lineRule="auto"/>
        <w:ind w:firstLine="422"/>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17.2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highlight w:val="none"/>
          <w14:textFill>
            <w14:solidFill>
              <w14:schemeClr w14:val="tx1"/>
            </w14:solidFill>
          </w14:textFill>
        </w:rPr>
        <w:t>政府采购管理交易系统（苏采云）相关要求是本采购文件的组成部分。</w:t>
      </w:r>
    </w:p>
    <w:p>
      <w:pPr>
        <w:spacing w:line="360" w:lineRule="auto"/>
        <w:ind w:firstLine="422"/>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17.3</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highlight w:val="none"/>
          <w14:textFill>
            <w14:solidFill>
              <w14:schemeClr w14:val="tx1"/>
            </w14:solidFill>
          </w14:textFill>
        </w:rPr>
        <w:t>供应商应对 CA 证书妥善保管，如被他人盗用投标，因此带来的结果均由供应商自行承担。</w:t>
      </w:r>
    </w:p>
    <w:p>
      <w:pPr>
        <w:spacing w:line="360" w:lineRule="auto"/>
        <w:ind w:firstLine="422"/>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17.4</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highlight w:val="none"/>
          <w14:textFill>
            <w14:solidFill>
              <w14:schemeClr w14:val="tx1"/>
            </w14:solidFill>
          </w14:textFill>
        </w:rPr>
        <w:t>供应商应当对采购文件提出的要求和条件作出实质性响应，并在电子投标系统逐条应答。</w:t>
      </w:r>
    </w:p>
    <w:p>
      <w:pPr>
        <w:spacing w:line="360" w:lineRule="auto"/>
        <w:ind w:firstLine="422"/>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17.5</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highlight w:val="none"/>
          <w14:textFill>
            <w14:solidFill>
              <w14:schemeClr w14:val="tx1"/>
            </w14:solidFill>
          </w14:textFill>
        </w:rPr>
        <w:t>供应商</w:t>
      </w:r>
      <w:r>
        <w:rPr>
          <w:rFonts w:hint="eastAsia" w:ascii="宋体" w:hAnsi="宋体" w:eastAsia="宋体" w:cs="宋体"/>
          <w:b w:val="0"/>
          <w:bCs/>
          <w:color w:val="000000" w:themeColor="text1"/>
          <w:szCs w:val="21"/>
          <w:highlight w:val="none"/>
          <w14:textFill>
            <w14:solidFill>
              <w14:schemeClr w14:val="tx1"/>
            </w14:solidFill>
          </w14:textFill>
        </w:rPr>
        <w:t>应对要求提供的资格证明文件（如资质证书、资格证书）、技术资料（如白皮书、彩页、手册、检测报告等）原件扫描上传至投标系统。</w:t>
      </w:r>
    </w:p>
    <w:p>
      <w:pPr>
        <w:spacing w:line="360" w:lineRule="auto"/>
        <w:ind w:firstLine="422"/>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17.6</w:t>
      </w:r>
      <w:r>
        <w:rPr>
          <w:rFonts w:hint="eastAsia" w:ascii="宋体" w:hAnsi="宋体" w:eastAsia="宋体" w:cs="宋体"/>
          <w:b w:val="0"/>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highlight w:val="none"/>
          <w14:textFill>
            <w14:solidFill>
              <w14:schemeClr w14:val="tx1"/>
            </w14:solidFill>
          </w14:textFill>
        </w:rPr>
        <w:t>各</w:t>
      </w:r>
      <w:r>
        <w:rPr>
          <w:rFonts w:hint="eastAsia" w:ascii="宋体" w:hAnsi="宋体" w:eastAsia="宋体" w:cs="宋体"/>
          <w:b w:val="0"/>
          <w:bCs/>
          <w:color w:val="000000" w:themeColor="text1"/>
          <w:highlight w:val="none"/>
          <w14:textFill>
            <w14:solidFill>
              <w14:schemeClr w14:val="tx1"/>
            </w14:solidFill>
          </w14:textFill>
        </w:rPr>
        <w:t>供应商</w:t>
      </w:r>
      <w:r>
        <w:rPr>
          <w:rFonts w:hint="eastAsia" w:ascii="宋体" w:hAnsi="宋体" w:eastAsia="宋体" w:cs="宋体"/>
          <w:b w:val="0"/>
          <w:bCs/>
          <w:color w:val="000000" w:themeColor="text1"/>
          <w:szCs w:val="21"/>
          <w:highlight w:val="none"/>
          <w14:textFill>
            <w14:solidFill>
              <w14:schemeClr w14:val="tx1"/>
            </w14:solidFill>
          </w14:textFill>
        </w:rPr>
        <w:t>应在规定时间内凭CA证书进行网上解密。</w:t>
      </w:r>
    </w:p>
    <w:p>
      <w:pPr>
        <w:spacing w:line="360" w:lineRule="auto"/>
        <w:ind w:firstLine="422"/>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18、磋商响应截止日期</w:t>
      </w:r>
      <w:bookmarkEnd w:id="29"/>
      <w:bookmarkEnd w:id="30"/>
    </w:p>
    <w:p>
      <w:pPr>
        <w:spacing w:line="360" w:lineRule="auto"/>
        <w:ind w:firstLine="420"/>
        <w:rPr>
          <w:rFonts w:hint="eastAsia" w:ascii="宋体" w:hAnsi="宋体" w:eastAsia="宋体" w:cs="宋体"/>
          <w:bCs/>
          <w:i/>
          <w:color w:val="000000" w:themeColor="text1"/>
          <w:highlight w:val="none"/>
          <w:u w:val="single"/>
          <w14:textFill>
            <w14:solidFill>
              <w14:schemeClr w14:val="tx1"/>
            </w14:solidFill>
          </w14:textFill>
        </w:rPr>
      </w:pPr>
      <w:r>
        <w:rPr>
          <w:rFonts w:hint="eastAsia" w:ascii="宋体" w:hAnsi="宋体" w:eastAsia="宋体" w:cs="宋体"/>
          <w:i/>
          <w:color w:val="000000" w:themeColor="text1"/>
          <w:highlight w:val="none"/>
          <w:u w:val="single"/>
          <w14:textFill>
            <w14:solidFill>
              <w14:schemeClr w14:val="tx1"/>
            </w14:solidFill>
          </w14:textFill>
        </w:rPr>
        <w:t>18.1</w:t>
      </w:r>
      <w:r>
        <w:rPr>
          <w:rFonts w:hint="eastAsia" w:ascii="宋体" w:hAnsi="宋体" w:eastAsia="宋体" w:cs="宋体"/>
          <w:bCs/>
          <w:i/>
          <w:color w:val="000000" w:themeColor="text1"/>
          <w:highlight w:val="none"/>
          <w:u w:val="single"/>
          <w14:textFill>
            <w14:solidFill>
              <w14:schemeClr w14:val="tx1"/>
            </w14:solidFill>
          </w14:textFill>
        </w:rPr>
        <w:t xml:space="preserve"> 供应商上传电子响应文件的时间不得迟于采购公告中规定的磋商响应截止时间。</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供应商应充分考虑到网络环境、网络带宽等风险因素，如因供应商自身原因造成的电子响应文件上传不成功由供应商自行承担全部责任。</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18.2 代理机构可以按照规定，通过修改采购文件延长磋商截止日期，在此情况下，供应商的所有权利和义务以及供应商受制的截止日期均应以延长后新的截止日期为准。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31" w:name="_Toc20823299"/>
      <w:bookmarkStart w:id="32" w:name="_Toc16938543"/>
      <w:r>
        <w:rPr>
          <w:rFonts w:hint="eastAsia" w:ascii="宋体" w:hAnsi="宋体" w:eastAsia="宋体" w:cs="宋体"/>
          <w:color w:val="000000" w:themeColor="text1"/>
          <w:highlight w:val="none"/>
          <w14:textFill>
            <w14:solidFill>
              <w14:schemeClr w14:val="tx1"/>
            </w14:solidFill>
          </w14:textFill>
        </w:rPr>
        <w:t>19、响应文件</w:t>
      </w:r>
      <w:bookmarkEnd w:id="31"/>
      <w:bookmarkEnd w:id="32"/>
      <w:r>
        <w:rPr>
          <w:rFonts w:hint="eastAsia" w:ascii="宋体" w:hAnsi="宋体" w:eastAsia="宋体" w:cs="宋体"/>
          <w:color w:val="000000" w:themeColor="text1"/>
          <w:highlight w:val="none"/>
          <w14:textFill>
            <w14:solidFill>
              <w14:schemeClr w14:val="tx1"/>
            </w14:solidFill>
          </w14:textFill>
        </w:rPr>
        <w:t>的拒收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代理机构拒绝接收在其规定的磋商截止时间后上传的任何响应文件。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33" w:name="_Toc16938544"/>
      <w:bookmarkStart w:id="34" w:name="_Toc20823300"/>
      <w:r>
        <w:rPr>
          <w:rFonts w:hint="eastAsia" w:ascii="宋体" w:hAnsi="宋体" w:eastAsia="宋体" w:cs="宋体"/>
          <w:color w:val="000000" w:themeColor="text1"/>
          <w:highlight w:val="none"/>
          <w14:textFill>
            <w14:solidFill>
              <w14:schemeClr w14:val="tx1"/>
            </w14:solidFill>
          </w14:textFill>
        </w:rPr>
        <w:t>20、响应文件的撤回和修改</w:t>
      </w:r>
      <w:bookmarkEnd w:id="33"/>
      <w:bookmarkEnd w:id="34"/>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 响应文件的撤回</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20.1.1 电子响应文件的撤回</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供应商可在磋商截止时间前，撤回其电子响应文件，具体操作方法见《操作手册》。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20.1.2 供应商撤回电子响应文件，则认为其不再参与本项目磋商谈判。</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 响应文件的修改</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供应商可在磋商截止时间前，对其电子响应文件进行修改，具体操作方法见《操作手册》。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20.3 在磋商截止时间之后，供应商不得对其电子响应文件作任何修改。</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20.4 在磋商截止时间至采购文件中规定的磋商有效期满之间的这段时间内，供应商不得撤回其响应文件。</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21、磋商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 代理机构将在采购公告中规定的时间和地点组织磋商开始仪式。供应商应当按照《操作手册》规定，参加磋商活动。</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21.2供应商在磋商过程中涉及到的响应文件解密等工作，应按照《操作手册》规定执行。</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22、磋商小组</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磋商开始后，代理机构将立即组织磋商小组进行评审。</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磋商小组由采购人代表和有关技术、经济等方面的专家组成，且人员构成符合政府采购有关规定。</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磋商小组独立工作，负责评审有效响应文件并确定成交候选供应商。</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23、评审过程的保密与公正</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评审专家应当遵守评审工作纪律，不得泄露评审情况和评审中获悉的商业秘密。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23.2在评审过程中，供应商不得以任何行为影响评审过程，否则其响应文件将被作为无效响应文件。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23.3 在评审期间，代理机构将设专门工作人员与供应商联系。</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23.4 代理机构和磋商小组不向未成交的供应商解释未成交原因，也不公布评审过程中的相关细节。</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24、磋商的澄清</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评审期间，磋商小组要求供应商澄清、说明或者更正响应文件以电子函件形式提交但并非对每个供应商都作澄清要求。</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接到磋商小组澄清要求的供应商应按磋商小组规定的时间和格式在</w:t>
      </w:r>
      <w:r>
        <w:rPr>
          <w:rFonts w:hint="eastAsia" w:ascii="宋体" w:hAnsi="宋体" w:eastAsia="宋体" w:cs="宋体"/>
          <w:b/>
          <w:bCs/>
          <w:color w:val="000000" w:themeColor="text1"/>
          <w:highlight w:val="none"/>
          <w14:textFill>
            <w14:solidFill>
              <w14:schemeClr w14:val="tx1"/>
            </w14:solidFill>
          </w14:textFill>
        </w:rPr>
        <w:t>”政府采购管理交易系统（苏采云）”</w:t>
      </w:r>
      <w:r>
        <w:rPr>
          <w:rFonts w:hint="eastAsia" w:ascii="宋体" w:hAnsi="宋体" w:eastAsia="宋体" w:cs="宋体"/>
          <w:color w:val="000000" w:themeColor="text1"/>
          <w:highlight w:val="none"/>
          <w14:textFill>
            <w14:solidFill>
              <w14:schemeClr w14:val="tx1"/>
            </w14:solidFill>
          </w14:textFill>
        </w:rPr>
        <w:t>中做出澄清，澄清的内容作为响应文件的补充部分。具体操作方式见</w:t>
      </w:r>
      <w:r>
        <w:rPr>
          <w:rFonts w:hint="eastAsia" w:ascii="宋体" w:hAnsi="宋体" w:eastAsia="宋体" w:cs="宋体"/>
          <w:bCs/>
          <w:color w:val="000000" w:themeColor="text1"/>
          <w:highlight w:val="none"/>
          <w14:textFill>
            <w14:solidFill>
              <w14:schemeClr w14:val="tx1"/>
            </w14:solidFill>
          </w14:textFill>
        </w:rPr>
        <w:t>《操作手册》</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24.3 接到磋商小组澄清要求的供应商如未按规定做出澄清，其风险由供应商自行承担。</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25、对响应文件的初审</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响应文件初审分为资格审查和符合性审查。</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资格审查：依据法律法规和采购文件的规定，对响应文件中的资格证明文件进行审查。以确定供应商是否具备参加磋商的资格。</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符合性检查：依据采购文件的规定，由磋商小组从响应文件的有效性、完整性和对采购文件的响应程度进行审查，以确定是否对采购文件的实质性要求作出响应。</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25.1.3 未通过资格审查或符合性审查的供应商，代理机构将在</w:t>
      </w:r>
      <w:r>
        <w:rPr>
          <w:rFonts w:hint="eastAsia" w:ascii="宋体" w:hAnsi="宋体" w:eastAsia="宋体" w:cs="宋体"/>
          <w:b/>
          <w:bCs/>
          <w:color w:val="000000" w:themeColor="text1"/>
          <w:highlight w:val="none"/>
          <w14:textFill>
            <w14:solidFill>
              <w14:schemeClr w14:val="tx1"/>
            </w14:solidFill>
          </w14:textFill>
        </w:rPr>
        <w:t>”政府采购管理交易系统（苏采云）”</w:t>
      </w:r>
      <w:r>
        <w:rPr>
          <w:rFonts w:hint="eastAsia" w:ascii="宋体" w:hAnsi="宋体" w:eastAsia="宋体" w:cs="宋体"/>
          <w:color w:val="000000" w:themeColor="text1"/>
          <w:highlight w:val="none"/>
          <w14:textFill>
            <w14:solidFill>
              <w14:schemeClr w14:val="tx1"/>
            </w14:solidFill>
          </w14:textFill>
        </w:rPr>
        <w:t>中告知未通过资格审查或符合性审查的原因，评审结束后，代理机构将不再告知未通过资格审查或符合性审查的原因。</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在详细评审之前，磋商小组将首先审查每份响应文件是否实质性响应了采购文件的要求。实质性响应的响应文件应该是与采购文件要求的全部条款、条件和规格相符，没有重大偏离或保留。</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如果响应文件实质上没有响应采购文件的要求，磋商小组将予以拒绝，供应商不得通过修改或撤销不合要求的偏离或保留而使其响应文件成为实质性响应的文件。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25.4 供应商在开、评标全过程中应保持通讯畅通，并安排专人与代理机构及磋商小组联系。</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26、磋商程序及评审方法和标准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26.1磋商程序</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26.1.1 对于通过资格性和符合性审查的供应商，磋商小组所有成员将集中与单一供应商在“</w:t>
      </w:r>
      <w:r>
        <w:rPr>
          <w:rFonts w:hint="eastAsia" w:ascii="宋体" w:hAnsi="宋体" w:eastAsia="宋体" w:cs="宋体"/>
          <w:b w:val="0"/>
          <w:bCs w:val="0"/>
          <w:color w:val="000000" w:themeColor="text1"/>
          <w:highlight w:val="none"/>
          <w:shd w:val="clear" w:color="FFFFFF" w:fill="FFFFFF"/>
          <w14:textFill>
            <w14:solidFill>
              <w14:schemeClr w14:val="tx1"/>
            </w14:solidFill>
          </w14:textFill>
        </w:rPr>
        <w:t>政府采购管理交易系统（苏采云）</w:t>
      </w:r>
      <w:r>
        <w:rPr>
          <w:rFonts w:hint="eastAsia" w:ascii="宋体" w:hAnsi="宋体" w:eastAsia="宋体" w:cs="宋体"/>
          <w:b w:val="0"/>
          <w:bCs w:val="0"/>
          <w:color w:val="000000" w:themeColor="text1"/>
          <w:highlight w:val="none"/>
          <w14:textFill>
            <w14:solidFill>
              <w14:schemeClr w14:val="tx1"/>
            </w14:solidFill>
          </w14:textFill>
        </w:rPr>
        <w:t>”中分别进行磋商。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电子函件形式同时通知所有参加磋商的供应商。供应商应当按照磋商文件的变动情况和磋商小组的要求重新提交响应文件，并加盖电子签章。</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26.1.2 采购文件能够详细列明采购标的的技术、服务要求的，磋商结束后，磋商小组将要求所有实质性响应的供应商在规定时间内提交最后报价。</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26.1.3 供应商未在磋商小组规定的时间内完成最后报价的视为放弃磋商，其响应按无效响应处理。最后报价须加盖电子签章。已提交响应文件的供应商，在提交最后报价之前，可以根据磋商情况退出磋商。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26.2 评审方法和标准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26.2.1评审方法。经磋商确定最终采购需求和提交最后报价的供应商后，由磋商小组采用综合评分法对提交最后报价的供应商的响应文件和最后报价进行综合评分。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26.2.2评审标准</w:t>
      </w:r>
    </w:p>
    <w:p>
      <w:pPr>
        <w:spacing w:line="360" w:lineRule="auto"/>
        <w:ind w:firstLine="42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见本采购文件第五章规定。</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27、无效响应及采购活动终止的情况</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27.1无效响应条款</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27.1.1 供应商未按照采购文件要求上传电子磋商响应文件的。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27.1.2 供应商未成功解密电子磋商响应文件的。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27.1.3 供应商不具备采购文件中规定资格要求的。</w:t>
      </w:r>
    </w:p>
    <w:p>
      <w:pPr>
        <w:spacing w:line="360" w:lineRule="auto"/>
        <w:ind w:firstLine="420"/>
        <w:rPr>
          <w:rFonts w:hint="eastAsia" w:ascii="宋体" w:hAnsi="宋体" w:eastAsia="宋体" w:cs="宋体"/>
          <w:bCs/>
          <w:i/>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27.1.4 未通过符合性审查的。</w:t>
      </w:r>
    </w:p>
    <w:p>
      <w:pPr>
        <w:spacing w:line="360" w:lineRule="auto"/>
        <w:ind w:firstLine="420"/>
        <w:rPr>
          <w:rFonts w:hint="eastAsia" w:ascii="宋体" w:hAnsi="宋体" w:eastAsia="宋体" w:cs="宋体"/>
          <w:bCs/>
          <w:i/>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27.1.5 不符合采购文件中规定的其他实质性要求和条件的（</w:t>
      </w:r>
      <w:r>
        <w:rPr>
          <w:rFonts w:hint="eastAsia" w:ascii="宋体" w:hAnsi="宋体" w:eastAsia="宋体" w:cs="宋体"/>
          <w:bCs/>
          <w:i/>
          <w:color w:val="000000" w:themeColor="text1"/>
          <w:highlight w:val="none"/>
          <w:u w:val="single"/>
          <w14:textFill>
            <w14:solidFill>
              <w14:schemeClr w14:val="tx1"/>
            </w14:solidFill>
          </w14:textFill>
        </w:rPr>
        <w:t>本采购文件中斜体且有下划线部分为实质性要求和条件）。</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27.1.6 </w:t>
      </w:r>
      <w:r>
        <w:rPr>
          <w:rFonts w:hint="eastAsia" w:ascii="宋体" w:hAnsi="宋体" w:eastAsia="宋体" w:cs="宋体"/>
          <w:color w:val="000000" w:themeColor="text1"/>
          <w:highlight w:val="none"/>
          <w14:textFill>
            <w14:solidFill>
              <w14:schemeClr w14:val="tx1"/>
            </w14:solidFill>
          </w14:textFill>
        </w:rPr>
        <w:t>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27.1.7 本项目采购产品被财政部、国家发改委、生态环境部等列入“节能产品品目清单”、“环境标志产品品目清单”强制采购范围，而供应商所磋商产品不在强制采购范围内的。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27.1.8 响应文件未按照采购文件要求加盖电子签章。</w:t>
      </w:r>
    </w:p>
    <w:p>
      <w:pPr>
        <w:spacing w:line="360" w:lineRule="auto"/>
        <w:ind w:firstLine="420"/>
        <w:rPr>
          <w:rFonts w:hint="eastAsia" w:ascii="宋体" w:hAnsi="宋体" w:eastAsia="宋体" w:cs="宋体"/>
          <w:b/>
          <w:bCs w:val="0"/>
          <w:color w:val="000000" w:themeColor="text1"/>
          <w:highlight w:val="yellow"/>
          <w14:textFill>
            <w14:solidFill>
              <w14:schemeClr w14:val="tx1"/>
            </w14:solidFill>
          </w14:textFill>
        </w:rPr>
      </w:pPr>
      <w:r>
        <w:rPr>
          <w:rFonts w:hint="eastAsia" w:ascii="宋体" w:hAnsi="宋体" w:eastAsia="宋体" w:cs="宋体"/>
          <w:b/>
          <w:bCs w:val="0"/>
          <w:color w:val="000000" w:themeColor="text1"/>
          <w:highlight w:val="yellow"/>
          <w14:textFill>
            <w14:solidFill>
              <w14:schemeClr w14:val="tx1"/>
            </w14:solidFill>
          </w14:textFill>
        </w:rPr>
        <w:t>27.1.9 异常低价投标（响应）</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27.1.9.1投标（响应）报价低于全部通过符合性审查供应商投标（响应）报价平均值</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的，即投标（响应）报价&lt;全部通过符合性审查供应商投标（响应）报价平均值×</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27.1.9.2投标（响应）报价低于通过符合性审查的次低报价供应商投标（响应）报价</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的，即投标（响应）报价&lt;通过符合性审查的次低报价供应商投标（响应）报价×</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27.1.9.3投标（响应）报价低于采购项目最高限价</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的，即投标（响应）报价&lt;采购项目最高限价×</w:t>
      </w:r>
      <w:r>
        <w:rPr>
          <w:rFonts w:hint="eastAsia" w:ascii="宋体" w:hAnsi="宋体" w:cs="宋体"/>
          <w:bCs/>
          <w:color w:val="000000" w:themeColor="text1"/>
          <w:highlight w:val="yellow"/>
          <w:lang w:eastAsia="zh-CN"/>
          <w14:textFill>
            <w14:solidFill>
              <w14:schemeClr w14:val="tx1"/>
            </w14:solidFill>
          </w14:textFill>
        </w:rPr>
        <w:t>65%</w:t>
      </w:r>
      <w:r>
        <w:rPr>
          <w:rFonts w:hint="eastAsia" w:ascii="宋体" w:hAnsi="宋体" w:eastAsia="宋体" w:cs="宋体"/>
          <w:bCs/>
          <w:color w:val="000000" w:themeColor="text1"/>
          <w:highlight w:val="yellow"/>
          <w14:textFill>
            <w14:solidFill>
              <w14:schemeClr w14:val="tx1"/>
            </w14:solidFill>
          </w14:textFill>
        </w:rPr>
        <w:t>；</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27.1.9.4评审委员会基于专业判断，认为供应商报价过低，有可能影响产品质量或者不能诚信履约的其他情形。</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注：采购人可以结合具体项目实际情况，提高上述第1项至第3项中启动异常低价投标（响应）审查的数值标准，但是最高不得超过65%。</w:t>
      </w:r>
    </w:p>
    <w:p>
      <w:pPr>
        <w:spacing w:line="360" w:lineRule="auto"/>
        <w:ind w:firstLine="420"/>
        <w:rPr>
          <w:rFonts w:hint="eastAsia" w:ascii="宋体" w:hAnsi="宋体" w:eastAsia="宋体" w:cs="宋体"/>
          <w:bCs/>
          <w:color w:val="000000" w:themeColor="text1"/>
          <w:highlight w:val="yellow"/>
          <w14:textFill>
            <w14:solidFill>
              <w14:schemeClr w14:val="tx1"/>
            </w14:solidFill>
          </w14:textFill>
        </w:rPr>
      </w:pPr>
      <w:r>
        <w:rPr>
          <w:rFonts w:hint="eastAsia" w:ascii="宋体" w:hAnsi="宋体" w:eastAsia="宋体" w:cs="宋体"/>
          <w:bCs/>
          <w:color w:val="000000" w:themeColor="text1"/>
          <w:highlight w:val="yellow"/>
          <w14:textFill>
            <w14:solidFill>
              <w14:schemeClr w14:val="tx1"/>
            </w14:solidFill>
          </w14:textFill>
        </w:rPr>
        <w:t>27.1.9.5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27.1.10</w:t>
      </w:r>
      <w:r>
        <w:rPr>
          <w:rFonts w:hint="eastAsia" w:ascii="宋体" w:hAnsi="宋体" w:eastAsia="宋体" w:cs="宋体"/>
          <w:bCs/>
          <w:color w:val="000000" w:themeColor="text1"/>
          <w:highlight w:val="none"/>
          <w14:textFill>
            <w14:solidFill>
              <w14:schemeClr w14:val="tx1"/>
            </w14:solidFill>
          </w14:textFill>
        </w:rPr>
        <w:t>其他法律、法规及本采购文件规定的属无效响应的情形。</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27.2 </w:t>
      </w:r>
      <w:r>
        <w:rPr>
          <w:rFonts w:hint="eastAsia" w:ascii="宋体" w:hAnsi="宋体" w:eastAsia="宋体" w:cs="宋体"/>
          <w:color w:val="000000" w:themeColor="text1"/>
          <w:highlight w:val="none"/>
          <w14:textFill>
            <w14:solidFill>
              <w14:schemeClr w14:val="tx1"/>
            </w14:solidFill>
          </w14:textFill>
        </w:rPr>
        <w:t>采购活动终止的情况</w:t>
      </w:r>
      <w:r>
        <w:rPr>
          <w:rFonts w:hint="eastAsia" w:ascii="宋体" w:hAnsi="宋体" w:eastAsia="宋体" w:cs="宋体"/>
          <w:bCs/>
          <w:color w:val="000000" w:themeColor="text1"/>
          <w:highlight w:val="none"/>
          <w14:textFill>
            <w14:solidFill>
              <w14:schemeClr w14:val="tx1"/>
            </w14:solidFill>
          </w14:textFill>
        </w:rPr>
        <w:t>：</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27.2.1 因情况变化，不再符合规定的竞争性磋商采购方式适用情形的；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27.2.2 出现影响采购公正的违法、违规行为的；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27.2.3 </w:t>
      </w:r>
      <w:r>
        <w:rPr>
          <w:rFonts w:hint="eastAsia" w:ascii="宋体" w:hAnsi="宋体" w:eastAsia="宋体" w:cs="宋体"/>
          <w:color w:val="000000" w:themeColor="text1"/>
          <w:highlight w:val="none"/>
          <w14:textFill>
            <w14:solidFill>
              <w14:schemeClr w14:val="tx1"/>
            </w14:solidFill>
          </w14:textFill>
        </w:rPr>
        <w:t>除本磋商文件第26.1.2条第三款规定的情形外，在采购过程中符合要求的供应商或者报价未超过采购预算的供应商不足3家的。</w:t>
      </w: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27.2.4 因重大变故，采购任务取消的。</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28、确定成交单位</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28.1 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28.2 采购人应根据磋商推荐的成交候选人，按照排序由高到低的原件确定成交供应商。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28.3 代理机构将在“扬州市政府采购网”、”江苏省政府采购网”发布成交公告，公告期限为1个工作日。</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 若有充分证据证明，成交供应商出现下列情况之一的，一经查实，将被取消成交资格：</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28.4.1 提供虚假材料谋取成交的；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28.4.2 向采购人、代理机构行贿或者提供其他不正当利益的；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28.4.3 恶意竞争，最终总报价明显低于其自身合理成本且又无法提供证明的；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28.4.4 属于本文件规定的无效条件，但在评审过程中又未被磋商小组发现的；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28.4.5 与采购人或者其他供应商恶意串通的；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28.4.6 采取不正当手段诋毁、排挤其他供应商的；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28.4.7 不符合法律、法规的规定的。</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29、质疑处理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b w:val="0"/>
          <w:bCs w:val="0"/>
          <w:color w:val="000000"/>
          <w:highlight w:val="yellow"/>
        </w:rPr>
        <w:t>提出质疑的供应商应当是参与所质疑项目采购活动</w:t>
      </w:r>
      <w:r>
        <w:rPr>
          <w:rFonts w:hint="eastAsia" w:ascii="宋体" w:hAnsi="宋体" w:cs="宋体"/>
          <w:b w:val="0"/>
          <w:bCs w:val="0"/>
          <w:color w:val="000000"/>
          <w:highlight w:val="yellow"/>
          <w:lang w:val="en-US" w:eastAsia="zh-CN"/>
        </w:rPr>
        <w:t>且满足采购活动相关资质要求</w:t>
      </w:r>
      <w:r>
        <w:rPr>
          <w:rFonts w:hint="eastAsia" w:ascii="宋体" w:hAnsi="宋体" w:eastAsia="宋体" w:cs="宋体"/>
          <w:b w:val="0"/>
          <w:bCs w:val="0"/>
          <w:color w:val="000000"/>
          <w:highlight w:val="yellow"/>
        </w:rPr>
        <w:t>的供应商。潜在供应商依法获取其可质疑的采购文件的，可以对采购文件提出质疑。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对项目需求部分的质疑，潜在供应商应向采购人提出，由采购人负责答复。</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供应商认为采购文件、采购过程和中标或成交结果使自己的权益受到损害的，可以在知道或应知其权益受到损害之日起7个工作日内，以书面形式向采购人或代理机构提出质疑。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29.2.1对采购文件提出质疑的，应当在获取采购文件之日或者采购文件公告期限届满之日起7个工作日内提出。</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29.2.2对采购过程提出质疑的，为各采购程序环节结束之日起7个工作日内提出。</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29.2.3对成交结果提出质疑的，为成交结果公告期限届满之日起7个工作日内提出。</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29.3供应商应在法定质疑期内一次性提出针对同一采购程序环节的质疑。供应商如在法定期限内对同一采购程序环节提出多次质疑的，代理机构、采购人将只对供应商第一次质疑作出答复。</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29.5 代理机构及采购人只接收以纸质原件形式送达的质疑。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采购人质疑接收人及联系方式见采购文件第一章。</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29.6代理机构收到质疑申请后，将对质疑的形式和内容进行审查，如质疑内容、格式不符合规定，代理机构将告知质疑人进行补正。</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29.7质疑人应当在法定质疑期限内进行补正并重新提交质疑函。</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 以下情形的质疑不予受理</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29.8.1 内容不符合《政府采购质疑和投诉办法》第十二条规定的质疑。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29.8.2 超出政府采购法定期限的质疑。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29.8.3 以传真、电子邮件等方式递交的非原件形式的质疑。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29.8.4 未参加磋商活动的供应商或在磋商活动中自身权益未受到损害的供应商所提出的质疑。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29.8.5供应商组成联合体参加磋商，联合体中任何一方或多方未按要求签字、盖章、加盖公章的质疑。</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29.9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29.10代理机构应当在收到供应商的书面质疑后7个工作日内作出答复，并以书面形式通知质疑供应商和其他有关供应商，但答复的内容不得涉及商业秘密。</w:t>
      </w:r>
    </w:p>
    <w:p>
      <w:pPr>
        <w:spacing w:line="360" w:lineRule="auto"/>
        <w:ind w:firstLine="42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30、成交通知书</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30.l</w:t>
      </w: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成交结果确定后，代理机构将向成交供应商发出成通知书。</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30.2 成交供应商可在”扬州市政府采购交易管理系统（苏采云）”成交通知书下载模块中自行下载成交通知书。</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30.3成交通知书将是合同的一个组成部分。对采购人和成交供应商均具有法律效力。成交通知书发出后，采购人改变成交结果的，或者成交供应商放弃成交项目的，应当依法承担法律责任。</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签订合同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31.l成交供应商应在成交通知书发出之日起十五日内，按照采购文件确定的事项与采购人签订政府采购合同。</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w:t>
      </w: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采购文件、成交供应商的响应文件及磋商过程中有关澄清、承诺文件均应作为合同附件。</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31.3合同在“政府采购管理交易系统（苏采云）”中签订，签订合同后，</w:t>
      </w:r>
      <w:r>
        <w:rPr>
          <w:rFonts w:hint="eastAsia" w:ascii="宋体" w:hAnsi="宋体" w:eastAsia="宋体" w:cs="宋体"/>
          <w:bCs/>
          <w:i/>
          <w:iCs/>
          <w:color w:val="000000" w:themeColor="text1"/>
          <w:szCs w:val="21"/>
          <w:highlight w:val="none"/>
          <w:u w:val="single"/>
          <w14:textFill>
            <w14:solidFill>
              <w14:schemeClr w14:val="tx1"/>
            </w14:solidFill>
          </w14:textFill>
        </w:rPr>
        <w:t>成交供应商不得将货物或服务及其他服务进行转包</w:t>
      </w:r>
      <w:r>
        <w:rPr>
          <w:rFonts w:hint="eastAsia" w:ascii="宋体" w:hAnsi="宋体" w:eastAsia="宋体" w:cs="宋体"/>
          <w:bCs/>
          <w:color w:val="000000" w:themeColor="text1"/>
          <w:szCs w:val="21"/>
          <w:highlight w:val="none"/>
          <w14:textFill>
            <w14:solidFill>
              <w14:schemeClr w14:val="tx1"/>
            </w14:solidFill>
          </w14:textFill>
        </w:rPr>
        <w:t>。未经采购人同意，成交供应商也不得采用分包的形式履行合同，否则采购人有权终止合同，成交供应商的履约保证金将不予退还。转包或分包造成采购人损失的，成交供应商应承担赔偿责任。</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pPr>
        <w:spacing w:line="360" w:lineRule="auto"/>
        <w:ind w:firstLine="422"/>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32、其他</w:t>
      </w:r>
    </w:p>
    <w:p>
      <w:pPr>
        <w:spacing w:line="360" w:lineRule="auto"/>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32.1依据《政府采购促进中小企业发展管理办法》享受扶持政策获得政府采购合同的，小微企业不得将合同分包给大中型企业，中型企业不得将合同分包给大型企业。</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clear="all"/>
      </w:r>
    </w:p>
    <w:p>
      <w:pPr>
        <w:pStyle w:val="187"/>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bookmarkStart w:id="35" w:name="_Toc11480"/>
      <w:bookmarkStart w:id="36" w:name="_Toc107582398"/>
      <w:bookmarkStart w:id="37" w:name="_Toc24601"/>
      <w:r>
        <w:rPr>
          <w:rFonts w:hint="eastAsia" w:ascii="宋体" w:hAnsi="宋体" w:eastAsia="宋体" w:cs="宋体"/>
          <w:color w:val="000000" w:themeColor="text1"/>
          <w:sz w:val="36"/>
          <w:szCs w:val="36"/>
          <w:highlight w:val="none"/>
          <w14:textFill>
            <w14:solidFill>
              <w14:schemeClr w14:val="tx1"/>
            </w14:solidFill>
          </w14:textFill>
        </w:rPr>
        <w:t>第三章 合同条款及格式</w:t>
      </w:r>
      <w:bookmarkEnd w:id="35"/>
      <w:bookmarkEnd w:id="36"/>
      <w:bookmarkEnd w:id="37"/>
    </w:p>
    <w:p>
      <w:pPr>
        <w:spacing w:line="360" w:lineRule="auto"/>
        <w:ind w:firstLine="400"/>
        <w:rPr>
          <w:rFonts w:hint="eastAsia" w:ascii="宋体" w:hAnsi="宋体" w:eastAsia="宋体" w:cs="宋体"/>
          <w:color w:val="000000" w:themeColor="text1"/>
          <w:sz w:val="21"/>
          <w:szCs w:val="21"/>
          <w:highlight w:val="none"/>
          <w:u w:val="single"/>
          <w14:textFill>
            <w14:solidFill>
              <w14:schemeClr w14:val="tx1"/>
            </w14:solidFill>
          </w14:textFill>
        </w:rPr>
      </w:pPr>
      <w:bookmarkStart w:id="38" w:name="_Toc32629"/>
      <w:bookmarkStart w:id="39" w:name="_Toc16315"/>
      <w:r>
        <w:rPr>
          <w:rFonts w:hint="eastAsia" w:ascii="宋体" w:hAnsi="宋体" w:eastAsia="宋体" w:cs="宋体"/>
          <w:bCs/>
          <w:color w:val="000000" w:themeColor="text1"/>
          <w:sz w:val="21"/>
          <w:szCs w:val="21"/>
          <w:highlight w:val="none"/>
          <w14:textFill>
            <w14:solidFill>
              <w14:schemeClr w14:val="tx1"/>
            </w14:solidFill>
          </w14:textFill>
        </w:rPr>
        <w:t>以下为成交后签定本项目合同的通用条款，成交供应商不得提出实质性的修改，关于专用条款将由采购人与成交供应商结合本项目具体情况协商后签订。</w:t>
      </w:r>
    </w:p>
    <w:p>
      <w:pPr>
        <w:pBdr>
          <w:top w:val="none" w:color="000000" w:sz="0" w:space="0"/>
          <w:left w:val="none" w:color="000000" w:sz="0" w:space="0"/>
          <w:bottom w:val="none" w:color="000000" w:sz="0" w:space="0"/>
          <w:right w:val="none" w:color="000000" w:sz="0" w:space="0"/>
        </w:pBdr>
        <w:spacing w:before="120" w:after="120" w:line="85" w:lineRule="atLeast"/>
        <w:ind w:firstLine="402"/>
        <w:jc w:val="center"/>
      </w:pPr>
      <w:r>
        <w:rPr>
          <w:rFonts w:ascii="宋体" w:hAnsi="宋体" w:cs="宋体"/>
          <w:b/>
          <w:color w:val="000000"/>
          <w:sz w:val="20"/>
        </w:rPr>
        <w:t>扬州市政府采购合同</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lang w:eastAsia="zh-CN"/>
        </w:rPr>
      </w:pPr>
      <w:r>
        <w:rPr>
          <w:rFonts w:hint="eastAsia" w:ascii="宋体" w:hAnsi="宋体" w:eastAsia="宋体" w:cs="宋体"/>
          <w:color w:val="000000"/>
          <w:sz w:val="21"/>
          <w:szCs w:val="21"/>
        </w:rPr>
        <w:t>项目名称：</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项目编号：</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 xml:space="preserve">甲方（采购人/买方）：      </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乙方（供应商/卖方）：</w:t>
      </w:r>
      <w:r>
        <w:rPr>
          <w:rFonts w:hint="eastAsia" w:ascii="宋体" w:hAnsi="宋体" w:eastAsia="宋体" w:cs="宋体"/>
          <w:color w:val="000000"/>
          <w:sz w:val="21"/>
          <w:szCs w:val="21"/>
          <w:u w:val="single"/>
        </w:rPr>
        <w:t xml:space="preserve">              </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根据《中华人民共和国政府采购法》、《中华人民共和国民法典》等法律法规的规定，甲乙双方按照</w:t>
      </w:r>
      <w:r>
        <w:rPr>
          <w:rFonts w:hint="eastAsia" w:ascii="宋体" w:hAnsi="宋体" w:cs="宋体"/>
          <w:color w:val="000000"/>
          <w:sz w:val="21"/>
          <w:szCs w:val="21"/>
          <w:lang w:eastAsia="zh-CN"/>
        </w:rPr>
        <w:t>江苏三思行房地产评估造价有限公司</w:t>
      </w:r>
      <w:r>
        <w:rPr>
          <w:rFonts w:hint="eastAsia" w:ascii="宋体" w:hAnsi="宋体" w:eastAsia="宋体" w:cs="宋体"/>
          <w:color w:val="000000"/>
          <w:sz w:val="21"/>
          <w:szCs w:val="21"/>
        </w:rPr>
        <w:t>关于本项目磋商结果签订本合同。</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1、合同组成</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下列关于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文件、乙方提交的响应文件均是构成本合同不可分割的部分，还包括：</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（1）合同条款；</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（2）响应承诺函；</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（3）最后报价表；</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（4）报价明细表；</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（5）工程方案及服务承诺；</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（6）成交通知书；</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（7）图纸（如有）；</w:t>
      </w:r>
    </w:p>
    <w:p>
      <w:pPr>
        <w:pBdr>
          <w:top w:val="none" w:color="000000" w:sz="0" w:space="0"/>
          <w:left w:val="none" w:color="000000" w:sz="0" w:space="0"/>
          <w:bottom w:val="none" w:color="000000" w:sz="0" w:space="0"/>
          <w:right w:val="none" w:color="000000" w:sz="0" w:space="0"/>
        </w:pBdr>
        <w:spacing w:line="360" w:lineRule="auto"/>
        <w:ind w:firstLine="315"/>
        <w:rPr>
          <w:rFonts w:hint="eastAsia" w:ascii="宋体" w:hAnsi="宋体" w:eastAsia="宋体" w:cs="宋体"/>
          <w:sz w:val="21"/>
          <w:szCs w:val="21"/>
        </w:rPr>
      </w:pPr>
      <w:r>
        <w:rPr>
          <w:rFonts w:hint="eastAsia" w:ascii="宋体" w:hAnsi="宋体" w:eastAsia="宋体" w:cs="宋体"/>
          <w:color w:val="000000"/>
          <w:sz w:val="21"/>
          <w:szCs w:val="21"/>
        </w:rPr>
        <w:t>（8）甲方、乙方商定的其他必要文件。</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b/>
          <w:color w:val="000000"/>
          <w:sz w:val="21"/>
          <w:szCs w:val="21"/>
        </w:rPr>
      </w:pPr>
      <w:r>
        <w:rPr>
          <w:rFonts w:hint="eastAsia" w:ascii="宋体" w:hAnsi="宋体" w:eastAsia="宋体" w:cs="宋体"/>
          <w:b/>
          <w:color w:val="000000"/>
          <w:sz w:val="21"/>
          <w:szCs w:val="21"/>
        </w:rPr>
        <w:t>2、工程概况</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u w:val="single"/>
          <w:lang w:val="en-US" w:eastAsia="zh-CN"/>
        </w:rPr>
      </w:pPr>
      <w:r>
        <w:rPr>
          <w:rFonts w:hint="eastAsia" w:ascii="宋体" w:hAnsi="宋体" w:eastAsia="宋体" w:cs="宋体"/>
          <w:color w:val="000000"/>
          <w:sz w:val="21"/>
          <w:szCs w:val="21"/>
        </w:rPr>
        <w:t>2.1 工程名称：</w:t>
      </w:r>
      <w:r>
        <w:rPr>
          <w:rFonts w:hint="eastAsia" w:ascii="宋体" w:hAnsi="宋体" w:eastAsia="宋体" w:cs="宋体"/>
          <w:color w:val="000000"/>
          <w:sz w:val="21"/>
          <w:szCs w:val="21"/>
          <w:u w:val="single"/>
          <w:lang w:val="en-US" w:eastAsia="zh-CN"/>
        </w:rPr>
        <w:t xml:space="preserve">                                   </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lang w:eastAsia="zh-CN"/>
        </w:rPr>
      </w:pPr>
      <w:r>
        <w:rPr>
          <w:rFonts w:hint="eastAsia" w:ascii="宋体" w:hAnsi="宋体" w:eastAsia="宋体" w:cs="宋体"/>
          <w:color w:val="000000"/>
          <w:sz w:val="21"/>
          <w:szCs w:val="21"/>
        </w:rPr>
        <w:t>2.2 工程地点：扬州市江都区</w:t>
      </w:r>
      <w:r>
        <w:rPr>
          <w:rFonts w:hint="eastAsia" w:ascii="宋体" w:hAnsi="宋体" w:eastAsia="宋体" w:cs="宋体"/>
          <w:color w:val="000000"/>
          <w:sz w:val="21"/>
          <w:szCs w:val="21"/>
          <w:lang w:val="en-US" w:eastAsia="zh-CN"/>
        </w:rPr>
        <w:t>小纪镇</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2.3 承包范围：包含但不限于工程施工图纸及工程量清单范围内的所有工程施工</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2.4 承包方式：包工包料</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2.5 工期：本工程工期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天，拟于</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日开工，</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日完工，具体开工时间以采购人通知为准。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2.6 工程质量：本工程质量等级为合格标准，符合《水利工程施工质量检验与评定规范》（DB32/T2334-2013）。</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2.7 合同价款（人民币大写）：</w:t>
      </w:r>
      <w:r>
        <w:rPr>
          <w:rFonts w:hint="eastAsia" w:ascii="宋体" w:hAnsi="宋体" w:eastAsia="宋体" w:cs="宋体"/>
          <w:color w:val="000000"/>
          <w:sz w:val="21"/>
          <w:szCs w:val="21"/>
          <w:u w:val="single"/>
        </w:rPr>
        <w:t>             元，￥： 元。</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2.7.1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本项目合同采用固定单价，合同价格明细清单见投标清单附件，施工过程中严格控制变更。</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2.7.2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本工程结算价须经甲方认可的造价咨询单位审核确定</w:t>
      </w:r>
      <w:r>
        <w:rPr>
          <w:rFonts w:hint="eastAsia" w:ascii="宋体" w:hAnsi="宋体" w:eastAsia="宋体" w:cs="宋体"/>
          <w:color w:val="000000"/>
          <w:sz w:val="21"/>
          <w:szCs w:val="21"/>
          <w:highlight w:val="white"/>
        </w:rPr>
        <w:t>，最终合同价以审计部门审定结算价为准。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2.7.3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合同价中安全文明措施费、工伤保险在投标报价时为不可竞争费，费用为招标清单提供的费用。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2.7.4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本合同价格采用固定单价，为防止高估冒算或清单漏项，合同签订前甲乙双方对照现场、招标清单、施工图核实有关工程量。</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2.8 付款方式：</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2.8.1 本项目合同为固定单价合同，合同总价中，包含了工程的施工、安装、调试结束，直至交付买方使用止的所有费用，即包括人工费、全部设备、材料的价格、随设备提供的备品配件及专用工具的价格、包装费、运杂费（含二次搬运费、垂直运输费）、脚手架费、管理费、保险费、安装费、配合费、调试费，完工检测费、买方有关人员培训费、配合费、本工程税金、利润、风险及投标人认为需要的其他所有费用等。</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2.8.2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工程款支付</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yellow"/>
        </w:rPr>
        <w:t>中标价即为合同价，工程竣工验收合格且待上级资金到位后付至合同价的60%，审计结束付至审定价的97%，剩余款项为3%质量保证金，质保金质保期满1年(完工验收之日起算)，且无质量问题一次性无息付清(如承包人提供3%质量保证金的保函或保险，招标人支付至审定价的100%，保函或保险期限至缺陷责任期结束)。资金支付具体进度以财政部门拨付为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上述款项的支付，须以承包人提供合法票据为前提。工程结算须经审计，并按审计后的价格进行结算。承包人应按时发放农民工工资。因承包人拖欠农民工工资所造成的一切后果均由其全部承担。</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3、甲方权利义务</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 开工前</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天，甲方向乙方提供经确认的施工图纸或做法说明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份，并向乙方进行现场交底。向乙方提供施工所有的水、电、气及电讯等设备并说明使用注意事项。</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highlight w:val="none"/>
        </w:rPr>
        <w:t xml:space="preserve">3.2 </w:t>
      </w:r>
      <w:r>
        <w:rPr>
          <w:rFonts w:hint="eastAsia" w:ascii="宋体" w:hAnsi="宋体" w:eastAsia="宋体" w:cs="宋体"/>
          <w:color w:val="000000"/>
          <w:sz w:val="21"/>
          <w:szCs w:val="21"/>
          <w:highlight w:val="yellow"/>
        </w:rPr>
        <w:t>扬州市江都区</w:t>
      </w:r>
      <w:r>
        <w:rPr>
          <w:rFonts w:hint="eastAsia" w:ascii="宋体" w:hAnsi="宋体" w:eastAsia="宋体" w:cs="宋体"/>
          <w:color w:val="000000"/>
          <w:sz w:val="21"/>
          <w:szCs w:val="21"/>
          <w:highlight w:val="yellow"/>
          <w:lang w:val="en-US" w:eastAsia="zh-CN"/>
        </w:rPr>
        <w:t>小纪</w:t>
      </w:r>
      <w:r>
        <w:rPr>
          <w:rFonts w:hint="eastAsia" w:ascii="宋体" w:hAnsi="宋体" w:cs="宋体"/>
          <w:color w:val="000000"/>
          <w:sz w:val="21"/>
          <w:szCs w:val="21"/>
          <w:highlight w:val="yellow"/>
          <w:lang w:val="en-US" w:eastAsia="zh-CN"/>
        </w:rPr>
        <w:t>镇人民政府小纪</w:t>
      </w:r>
      <w:r>
        <w:rPr>
          <w:rFonts w:hint="eastAsia" w:ascii="宋体" w:hAnsi="宋体" w:eastAsia="宋体" w:cs="宋体"/>
          <w:color w:val="000000"/>
          <w:sz w:val="21"/>
          <w:szCs w:val="21"/>
          <w:highlight w:val="yellow"/>
          <w:lang w:val="en-US" w:eastAsia="zh-CN"/>
        </w:rPr>
        <w:t>水务站</w:t>
      </w:r>
      <w:r>
        <w:rPr>
          <w:rFonts w:hint="eastAsia" w:ascii="宋体" w:hAnsi="宋体" w:eastAsia="宋体" w:cs="宋体"/>
          <w:color w:val="000000"/>
          <w:sz w:val="21"/>
          <w:szCs w:val="21"/>
        </w:rPr>
        <w:t>负责合同履行。对工程质量控制、进度控制、安全生产等工作进行监督检查，办理验收，变更，登记手续和其他事宜，施工中严格控制变更；发出经发包人同意的工程指令；对支付工程款进行审核等。</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3.3 如确实需要拆改原建筑物结构或设备管线，负责到有关部门办理相应审批手续。</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3.4 协调有关部门做好现场保卫、消防、垃圾处理等工作。</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4、乙方权利义务</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4.1 参加甲方组织的施工图纸或作法说明的现场交底，拟定施工方案和进度计划，交甲方审定。</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4"/>
          <w:szCs w:val="24"/>
          <w:highlight w:val="cyan"/>
        </w:rPr>
      </w:pPr>
      <w:r>
        <w:rPr>
          <w:rFonts w:hint="eastAsia" w:ascii="宋体" w:hAnsi="宋体" w:eastAsia="宋体" w:cs="宋体"/>
          <w:color w:val="000000"/>
          <w:sz w:val="24"/>
          <w:szCs w:val="24"/>
          <w:highlight w:val="cyan"/>
        </w:rPr>
        <w:t xml:space="preserve">4.2 </w:t>
      </w:r>
      <w:r>
        <w:rPr>
          <w:rFonts w:hint="eastAsia" w:ascii="宋体" w:hAnsi="宋体" w:cs="宋体"/>
          <w:color w:val="000000"/>
          <w:sz w:val="24"/>
          <w:szCs w:val="24"/>
          <w:highlight w:val="cyan"/>
          <w:lang w:val="en-US" w:eastAsia="zh-CN"/>
        </w:rPr>
        <w:t>乙方</w:t>
      </w:r>
      <w:r>
        <w:rPr>
          <w:rFonts w:hint="eastAsia" w:ascii="宋体" w:hAnsi="宋体" w:eastAsia="宋体" w:cs="宋体"/>
          <w:color w:val="000000"/>
          <w:sz w:val="24"/>
          <w:szCs w:val="24"/>
          <w:highlight w:val="cyan"/>
        </w:rPr>
        <w:t>进场施工前邀请监理、测绘、业主单位进行复测，如有问题由测绘单位会同监理、甲方共同协商解决。</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cs="宋体"/>
          <w:color w:val="000000"/>
          <w:sz w:val="21"/>
          <w:szCs w:val="21"/>
          <w:lang w:val="en-US" w:eastAsia="zh-CN"/>
        </w:rPr>
        <w:t xml:space="preserve">4.3 </w:t>
      </w:r>
      <w:r>
        <w:rPr>
          <w:rFonts w:hint="eastAsia" w:ascii="宋体" w:hAnsi="宋体" w:eastAsia="宋体" w:cs="宋体"/>
          <w:color w:val="000000"/>
          <w:sz w:val="21"/>
          <w:szCs w:val="21"/>
        </w:rPr>
        <w:t>指派</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为乙方项目负责人（项目经理），身份证号：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按照国家相关规定和合同约定，作为承包方施工现场负责人，全面负责本项目施工现场进度、质量、安全工作，负责本合同的全面履行。对设计变更、现场签证索赔等经济利益事项行使签字权，本工程的所有文件经承包人项目经理签署后视为乙方已确认的事实。乙方的要求、通知均以书面形式由乙方项目经理签字并加盖乙方项目部公章后递交甲方。</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xml:space="preserve"> 乙方项目经理应在采购人签发进场通知后的7日内到职，项目经理不得更换。特殊情况下确需更换的，应提出书面申请并征得甲方同意，且不得降低项目经理资质。项目副经理（若有，下同）、技术负责人除特殊情况外不得更换。项目经理、项目副经理、技术负责人、安全负责人、质检负责人在工程施工期间调换不得超过2人（甲方要求变更的除外）。</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 乙方须按国家相关规范整理工程档案，建设合格的工地档案室，并确保必要的人员、资金投入，须设立专职档案员，在工程建设期间，为确保工程档案整理的连续性，原则上不得更换专职档案管理人员，工程结束后移交完整的工程档案资料5套（1套原件，3套复印件，1套电子文档）、竣工图需移交原件6套（纸质竣工图5套，电子文档1套），档案相关的一切费用包含在报价中，甲方不再另行支付。</w:t>
      </w:r>
      <w:r>
        <w:rPr>
          <w:rFonts w:hint="eastAsia" w:ascii="宋体" w:hAnsi="宋体" w:eastAsia="宋体" w:cs="宋体"/>
          <w:color w:val="000000"/>
          <w:sz w:val="21"/>
          <w:szCs w:val="21"/>
          <w:highlight w:val="cyan"/>
        </w:rPr>
        <w:t>并提供工程主要节点施工前、中、后对比照片资料1套，档案相关的一切费用包含在报价中，甲方不再另行支付。</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 xml:space="preserve"> 严格执行施工规范、安全操作规程、防火安全规定、环境保护规定。严格按照图纸或做法说明进行施工，做好各项质量检查记录，参加完工验收，编制工程决算。</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 xml:space="preserve"> 遵守国家或地方政府及有关部门对施工现场管理的规定，妥善保护好施工现场周围建筑物、设备管线、古树名木不受损坏。做好施工现场消防、保卫和垃圾消纳等工作，处理好施工带来的扰民问题及与周围单位（住户）的关系。施工安全由乙方负责。</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 xml:space="preserve"> 施工中未经甲方同意或有关部门批准，不得随意拆改原建筑物结构及各种设备管线。</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 xml:space="preserve"> 工程完工未移交甲方之前，负责对现场的一切设施和工程成品进行保护，所涉及的费用包含在报价中，甲方不再另行支付。</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 xml:space="preserve"> 乙方向甲方承诺按照合同约定进行施工、完工并在质量保修期内承担工程质量保修责任。</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乙方有责任在工程中间验收、完工验收、档案验收过程中为甲方提供与政府相关部门的沟通与协调的服务，并与甲方一起办理相应手续。</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承担本工程所有应属于乙方责任内的检验费用（行业管理另有规定的，从其行业规定），乙方应在投标报价中考虑，甲方不再另行支付。</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保证工地的管理井然有序，无打架斗殴等不良现象；加强卫生管理，保证无传染病、食物中毒等现象；严禁以放慢施工速度和停工要挟甲方，否则，甲方有权委托第三方实施，甲方有权按照中标单价的双倍从乙方结算中扣除。本工程所用水、电由乙方统一挂表管理，水电费用按实结算，均由乙方承担。</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highlight w:val="yellow"/>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highlight w:val="yellow"/>
        </w:rPr>
        <w:t>在施工期间所产生的矛盾及苗木赔青由乙方自行负责，所产生的费用包含报价中，不得另计。</w:t>
      </w:r>
    </w:p>
    <w:p>
      <w:pPr>
        <w:pBdr>
          <w:top w:val="none" w:color="000000" w:sz="0" w:space="0"/>
          <w:left w:val="none" w:color="000000" w:sz="0" w:space="0"/>
          <w:bottom w:val="none" w:color="000000" w:sz="0" w:space="0"/>
          <w:right w:val="none" w:color="000000" w:sz="0" w:space="0"/>
        </w:pBdr>
        <w:spacing w:line="360" w:lineRule="auto"/>
        <w:ind w:firstLine="420"/>
        <w:rPr>
          <w:rFonts w:hint="eastAsia"/>
        </w:rPr>
      </w:pPr>
      <w:r>
        <w:rPr>
          <w:rFonts w:hint="eastAsia" w:ascii="宋体" w:hAnsi="宋体" w:eastAsia="宋体" w:cs="宋体"/>
          <w:color w:val="000000"/>
          <w:sz w:val="24"/>
          <w:szCs w:val="24"/>
          <w:highlight w:val="cyan"/>
          <w:lang w:val="en-US" w:eastAsia="zh-CN"/>
        </w:rPr>
        <w:t>4.1</w:t>
      </w:r>
      <w:r>
        <w:rPr>
          <w:rFonts w:hint="eastAsia" w:ascii="宋体" w:hAnsi="宋体" w:cs="宋体"/>
          <w:color w:val="000000"/>
          <w:sz w:val="24"/>
          <w:szCs w:val="24"/>
          <w:highlight w:val="cyan"/>
          <w:lang w:val="en-US" w:eastAsia="zh-CN"/>
        </w:rPr>
        <w:t>5</w:t>
      </w:r>
      <w:r>
        <w:rPr>
          <w:rFonts w:hint="eastAsia" w:ascii="宋体" w:hAnsi="宋体" w:eastAsia="宋体" w:cs="宋体"/>
          <w:color w:val="000000"/>
          <w:sz w:val="24"/>
          <w:szCs w:val="24"/>
          <w:highlight w:val="cyan"/>
          <w:lang w:val="en-US" w:eastAsia="zh-CN"/>
        </w:rPr>
        <w:t xml:space="preserve"> 合同价包含一些不可预见的费用，包括但不限于弃土区（排泥场）、临时用地、临时用电的矛盾协调、赔青、土源及运距、排泥管线输送长度、破坏的路面等原状恢复等</w:t>
      </w:r>
      <w:r>
        <w:rPr>
          <w:rFonts w:hint="eastAsia" w:ascii="宋体" w:hAnsi="宋体" w:cs="宋体"/>
          <w:color w:val="000000"/>
          <w:sz w:val="24"/>
          <w:szCs w:val="24"/>
          <w:highlight w:val="cyan"/>
          <w:lang w:val="en-US" w:eastAsia="zh-CN"/>
        </w:rPr>
        <w:t>，相关施工措施费用包含在合同总价中，甲方不在另行支付。</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5、税费</w:t>
      </w:r>
    </w:p>
    <w:p>
      <w:pPr>
        <w:pBdr>
          <w:top w:val="none" w:color="000000" w:sz="0" w:space="0"/>
          <w:left w:val="none" w:color="000000" w:sz="0" w:space="0"/>
          <w:bottom w:val="none" w:color="000000" w:sz="0" w:space="0"/>
          <w:right w:val="none" w:color="000000" w:sz="0" w:space="0"/>
        </w:pBdr>
        <w:spacing w:line="360" w:lineRule="auto"/>
        <w:ind w:firstLine="396"/>
        <w:rPr>
          <w:rFonts w:hint="eastAsia" w:ascii="宋体" w:hAnsi="宋体" w:eastAsia="宋体" w:cs="宋体"/>
          <w:sz w:val="21"/>
          <w:szCs w:val="21"/>
        </w:rPr>
      </w:pPr>
      <w:r>
        <w:rPr>
          <w:rFonts w:hint="eastAsia" w:ascii="宋体" w:hAnsi="宋体" w:eastAsia="宋体" w:cs="宋体"/>
          <w:color w:val="000000"/>
          <w:spacing w:val="-6"/>
          <w:sz w:val="21"/>
          <w:szCs w:val="21"/>
        </w:rPr>
        <w:t>5.1 中国政府根据现行税法规定对甲方征收的与本合同有关的一切税费均由甲方负担（免税部分除外）。</w:t>
      </w:r>
    </w:p>
    <w:p>
      <w:pPr>
        <w:pBdr>
          <w:top w:val="none" w:color="000000" w:sz="0" w:space="0"/>
          <w:left w:val="none" w:color="000000" w:sz="0" w:space="0"/>
          <w:bottom w:val="none" w:color="000000" w:sz="0" w:space="0"/>
          <w:right w:val="none" w:color="000000" w:sz="0" w:space="0"/>
        </w:pBdr>
        <w:spacing w:line="360" w:lineRule="auto"/>
        <w:ind w:firstLine="396"/>
        <w:rPr>
          <w:rFonts w:hint="eastAsia" w:ascii="宋体" w:hAnsi="宋体" w:eastAsia="宋体" w:cs="宋体"/>
          <w:sz w:val="21"/>
          <w:szCs w:val="21"/>
        </w:rPr>
      </w:pPr>
      <w:r>
        <w:rPr>
          <w:rFonts w:hint="eastAsia" w:ascii="宋体" w:hAnsi="宋体" w:eastAsia="宋体" w:cs="宋体"/>
          <w:color w:val="000000"/>
          <w:spacing w:val="-6"/>
          <w:sz w:val="21"/>
          <w:szCs w:val="21"/>
        </w:rPr>
        <w:t>5.2 中国政府根据现行税法规定对乙方征收的与本合同有关的一切税费均由乙方负担（免税部分除外）。</w:t>
      </w:r>
    </w:p>
    <w:p>
      <w:pPr>
        <w:pBdr>
          <w:top w:val="none" w:color="000000" w:sz="0" w:space="0"/>
          <w:left w:val="none" w:color="000000" w:sz="0" w:space="0"/>
          <w:bottom w:val="none" w:color="000000" w:sz="0" w:space="0"/>
          <w:right w:val="none" w:color="000000" w:sz="0" w:space="0"/>
        </w:pBdr>
        <w:spacing w:line="360" w:lineRule="auto"/>
        <w:ind w:firstLine="408"/>
        <w:rPr>
          <w:rFonts w:hint="eastAsia" w:ascii="宋体" w:hAnsi="宋体" w:eastAsia="宋体" w:cs="宋体"/>
          <w:sz w:val="21"/>
          <w:szCs w:val="21"/>
        </w:rPr>
      </w:pPr>
      <w:r>
        <w:rPr>
          <w:rFonts w:hint="eastAsia" w:ascii="宋体" w:hAnsi="宋体" w:eastAsia="宋体" w:cs="宋体"/>
          <w:b/>
          <w:color w:val="000000"/>
          <w:sz w:val="21"/>
          <w:szCs w:val="21"/>
        </w:rPr>
        <w:t>6、履约保证金：无</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7、关于工期的约定及其他相关的约定</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7.1 甲方要求比合同约定的工期提前完工时，应与乙方协商，并支付乙方因赶工采取的措施费用。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7.2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因甲方未按约定完成工作，影响工期，工期顺延，但不增加费用。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7.3 因乙方责任，不能按期开工或中途无故停工，影响工期，工期不顺延，且不增加费用。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7.4 因设计变更或非乙方原因造成的停电、停水、停气及不可抗力因素影响，导致停工8小时以上（一周内累计计算）工期相应顺延。政府环保、安全等要求引起的暂停施工时间不包含在总工期内，相关费用由乙方承担。</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8、关于工程质量、验收及质保的约定</w:t>
      </w:r>
    </w:p>
    <w:p>
      <w:pPr>
        <w:pBdr>
          <w:top w:val="none" w:color="000000" w:sz="0" w:space="0"/>
          <w:left w:val="none" w:color="000000" w:sz="0" w:space="0"/>
          <w:bottom w:val="none" w:color="000000" w:sz="0" w:space="0"/>
          <w:right w:val="none" w:color="000000" w:sz="0" w:space="0"/>
        </w:pBdr>
        <w:spacing w:line="360" w:lineRule="auto"/>
        <w:ind w:firstLine="404"/>
        <w:rPr>
          <w:rFonts w:hint="eastAsia" w:ascii="宋体" w:hAnsi="宋体" w:eastAsia="宋体" w:cs="宋体"/>
          <w:sz w:val="21"/>
          <w:szCs w:val="21"/>
        </w:rPr>
      </w:pPr>
      <w:r>
        <w:rPr>
          <w:rFonts w:hint="eastAsia" w:ascii="宋体" w:hAnsi="宋体" w:eastAsia="宋体" w:cs="宋体"/>
          <w:color w:val="000000"/>
          <w:spacing w:val="-4"/>
          <w:sz w:val="21"/>
          <w:szCs w:val="21"/>
        </w:rPr>
        <w:t>8.1 本工程以施工图纸或作法说明、设计变更和国家制订的最新施工及验收规范为质量评定验收标准。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乙方自行考虑为完成本工程计划施工工期所发生的施工赶工措施，甲发不再额外增加此类费用。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工程质量必须达到相关现行的国家规范、行业标准、地方标准和满足甲方根据合同规定对工程质量的合理要求，质量标准为合格。</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执行过程中，乙方不得因国家、行业、地方有关工程施工、工程管理、质量标准、施工规范、检验验收等方面的调整，以任何形式或任何理由向甲方提出任何费用补偿，无论这种调整是否会增加乙方的费用。但工程量变化的除外。</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8.5</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乙双方应及时办理隐蔽工程和中间工程的检查与验收手续。乙方应至少提前3天与甲方沟通并确认隐蔽工程和中间工程的检查与验收的具体时间，隐蔽工程和中间工程未经甲方验收通过的，乙方不得擅自进入下一施工阶段。甲方不按时参加隐蔽工程和中间工程验收，乙方可自行验收，甲方应予承认。若甲方要求复验，乙方应按要求办理复验。若复验合格，甲方应承担复验费用由此造成停工，工期顺延；若复验不合格，其复验及返工费用由乙方承担，但工期也予顺延。</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8.6 由于乙方原因造成质量事故，其返工费用由乙方承担，工期不顺延。</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8.7 工程完工后，乙方应通知甲方验收，甲方自接到验收通知</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日内组织验收，并办理验收、移交手续。如甲方在规定时间内未能组织验收，需及时通知乙方，另定验收日期。但甲方应承认乙方完工日期。如验收不通过，乙方应无条件进行整改直至验收通过。本工程验收按</w:t>
      </w:r>
      <w:r>
        <w:rPr>
          <w:rFonts w:hint="eastAsia" w:ascii="宋体" w:hAnsi="宋体" w:cs="宋体"/>
          <w:color w:val="000000"/>
          <w:sz w:val="21"/>
          <w:szCs w:val="21"/>
          <w:highlight w:val="cyan"/>
          <w:lang w:eastAsia="zh-CN"/>
        </w:rPr>
        <w:t>《水利水电建设工程验收规程》（SLT223—2025）</w:t>
      </w:r>
      <w:r>
        <w:rPr>
          <w:rFonts w:hint="eastAsia" w:ascii="宋体" w:hAnsi="宋体" w:eastAsia="宋体" w:cs="宋体"/>
          <w:color w:val="000000"/>
          <w:sz w:val="21"/>
          <w:szCs w:val="21"/>
        </w:rPr>
        <w:t>的规定执行。</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8.8 本工程应符合国家环保质量要求,否则，甲方有权要求乙方返工，并要求乙方承担违约责任并赔偿甲方损失。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8.9 工程交付尚未使用期间凡属工程遗留问题，乙方在接到甲方书面通知后三天内组织整改。逾期甲方将组织整改，一切费用由乙方承担。</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8.10 通过验收后 5 个日历天内乙方必须将施工队伍、施工机具、周转材料等全部撤清，所有建筑垃圾等必须清运，保持施工现场平整、整洁，塔吊、井架基础等清理完成，如不清运，甲方委托清运，费用由乙方承担，甲方有权在工程款中扣除；甲方提供的现场设施是完好的，乙方损坏需赔偿。</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8.11 本工程质量保修期为</w:t>
      </w:r>
      <w:r>
        <w:rPr>
          <w:rFonts w:hint="eastAsia" w:ascii="宋体" w:hAnsi="宋体" w:eastAsia="宋体" w:cs="宋体"/>
          <w:color w:val="000000"/>
          <w:sz w:val="21"/>
          <w:szCs w:val="21"/>
          <w:highlight w:val="yellow"/>
          <w:u w:val="single"/>
        </w:rPr>
        <w:t xml:space="preserve"> </w:t>
      </w:r>
      <w:r>
        <w:rPr>
          <w:rFonts w:hint="eastAsia" w:ascii="宋体" w:hAnsi="宋体" w:eastAsia="宋体" w:cs="宋体"/>
          <w:color w:val="000000"/>
          <w:sz w:val="21"/>
          <w:szCs w:val="21"/>
          <w:highlight w:val="yellow"/>
          <w:u w:val="single"/>
          <w:lang w:val="en-US" w:eastAsia="zh-CN"/>
        </w:rPr>
        <w:t xml:space="preserve"> </w:t>
      </w:r>
      <w:r>
        <w:rPr>
          <w:rFonts w:hint="eastAsia" w:ascii="宋体" w:hAnsi="宋体" w:cs="宋体"/>
          <w:color w:val="000000"/>
          <w:sz w:val="21"/>
          <w:szCs w:val="21"/>
          <w:highlight w:val="yellow"/>
          <w:u w:val="single"/>
          <w:lang w:val="en-US" w:eastAsia="zh-CN"/>
        </w:rPr>
        <w:t xml:space="preserve">1 </w:t>
      </w:r>
      <w:r>
        <w:rPr>
          <w:rFonts w:hint="eastAsia" w:ascii="宋体" w:hAnsi="宋体" w:eastAsia="宋体" w:cs="宋体"/>
          <w:color w:val="000000"/>
          <w:sz w:val="21"/>
          <w:szCs w:val="21"/>
          <w:highlight w:val="yellow"/>
          <w:u w:val="single"/>
        </w:rPr>
        <w:t xml:space="preserve"> </w:t>
      </w:r>
      <w:r>
        <w:rPr>
          <w:rFonts w:hint="eastAsia" w:ascii="宋体" w:hAnsi="宋体" w:eastAsia="宋体" w:cs="宋体"/>
          <w:color w:val="000000"/>
          <w:sz w:val="21"/>
          <w:szCs w:val="21"/>
          <w:highlight w:val="yellow"/>
        </w:rPr>
        <w:t>年</w:t>
      </w:r>
      <w:r>
        <w:rPr>
          <w:rFonts w:hint="eastAsia" w:ascii="宋体" w:hAnsi="宋体" w:eastAsia="宋体" w:cs="宋体"/>
          <w:color w:val="000000"/>
          <w:sz w:val="21"/>
          <w:szCs w:val="21"/>
        </w:rPr>
        <w:t>，自工程完工验收合格之日起算。保修期届满前，乙方须对工程进行全面检查，使本工程达到合同所要求的标准及甲方认为合格的程度。</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8.12 在保修期内乙方应对非甲方原因引起的工程质量问题承担保修责任，乙方须在接到甲方电话或书面通知后 2 日内赶到现场维修。紧急维修最迟应在 24 小时内到场抢修。如乙方未能在甲方规定的时间内及时到场抢修，或自接到保修通知之日起 3 日仍未给予回复，或连续 2 次维修仍未能解决问题、修补或消除缺陷的，甲方可自行或直接委托第三方进行维修，由此产生的全部费用均由乙方承担，甲方可直接从工程尾款中扣除该等费用，同时该部分工程的保修期相应顺延。</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实际进入施工现场组织施工的项目经理必须是合同约定的项目经理，项目经理在施工阶段必须常驻工程现场，施工过程中不得更换，如更换，被更换的项目经理资质等级及所完成工程业绩等不得低于原项目经理相应条件，并征得甲方书面同意。</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方及工程师有权要求乙方立即从工程中撤换在甲方认为行为不轨或在履行其职责时不能胜任、玩忽职守的人员及甲方认为其在现场出现是不适宜的人员。被要求撤换的人员应从速离场，无甲方的批准不得重新进入现场工作。否则，甲发有权解除合同，并依法追究乙方的责任，同时报相应的建设主管部门处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8.15</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乙方应遵守政府和甲方对施工现场的规定和要求，承担因自身原因违反有关规定造成的损失和罚款。</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8.16</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乙方应服从甲方的制度、会议、通知等形式的管理，以整个项目全局为重，除履行合同义务外应积极配合其他进场施工单位完成项目目标。甲方对确有证据证明乙方配合、协调不力的行为有权予以罚款。</w:t>
      </w:r>
    </w:p>
    <w:p>
      <w:pPr>
        <w:pBdr>
          <w:top w:val="none" w:color="000000" w:sz="0" w:space="0"/>
          <w:left w:val="none" w:color="000000" w:sz="0" w:space="0"/>
          <w:bottom w:val="none" w:color="000000" w:sz="0" w:space="0"/>
          <w:right w:val="none" w:color="000000" w:sz="0" w:space="0"/>
        </w:pBdr>
        <w:tabs>
          <w:tab w:val="left" w:pos="900"/>
        </w:tabs>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8.17</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不得将本工程违法分包给其他施工单位，否则一经发现，甲方有权解除合同，勒令乙方退场，并且上报建设行政主管部门进行查处。现场已完成工作量将委托第三方机构进行认定。乙方应赔偿因其违约给甲方造成的所有损失。</w:t>
      </w:r>
    </w:p>
    <w:p>
      <w:pPr>
        <w:pBdr>
          <w:top w:val="none" w:color="000000" w:sz="0" w:space="0"/>
          <w:left w:val="none" w:color="000000" w:sz="0" w:space="0"/>
          <w:bottom w:val="none" w:color="000000" w:sz="0" w:space="0"/>
          <w:right w:val="none" w:color="000000" w:sz="0" w:space="0"/>
        </w:pBdr>
        <w:tabs>
          <w:tab w:val="left" w:pos="900"/>
        </w:tabs>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8.18</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因乙方违反本合同约定而发生诉讼或仲裁的，甲方因此所产生的包括但不限于诉讼费、仲裁费、律师费等均由乙方承担。</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9、关于工程价款及结算的约定</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9.1 双方商定本合同价款采用第</w:t>
      </w:r>
      <w:r>
        <w:rPr>
          <w:rFonts w:hint="eastAsia" w:ascii="宋体" w:hAnsi="宋体" w:eastAsia="宋体" w:cs="宋体"/>
          <w:color w:val="000000"/>
          <w:sz w:val="21"/>
          <w:szCs w:val="21"/>
          <w:u w:val="single"/>
        </w:rPr>
        <w:t>（1）</w:t>
      </w:r>
      <w:r>
        <w:rPr>
          <w:rFonts w:hint="eastAsia" w:ascii="宋体" w:hAnsi="宋体" w:eastAsia="宋体" w:cs="宋体"/>
          <w:color w:val="000000"/>
          <w:sz w:val="21"/>
          <w:szCs w:val="21"/>
        </w:rPr>
        <w:t>种：</w:t>
      </w:r>
    </w:p>
    <w:p>
      <w:pPr>
        <w:pBdr>
          <w:top w:val="none" w:color="000000" w:sz="0" w:space="0"/>
          <w:left w:val="none" w:color="000000" w:sz="0" w:space="0"/>
          <w:bottom w:val="none" w:color="000000" w:sz="0" w:space="0"/>
          <w:right w:val="none" w:color="000000" w:sz="0" w:space="0"/>
        </w:pBdr>
        <w:spacing w:line="360" w:lineRule="auto"/>
        <w:ind w:firstLine="396"/>
        <w:rPr>
          <w:rFonts w:hint="eastAsia" w:ascii="宋体" w:hAnsi="宋体" w:eastAsia="宋体" w:cs="宋体"/>
          <w:sz w:val="21"/>
          <w:szCs w:val="21"/>
          <w:highlight w:val="yellow"/>
        </w:rPr>
      </w:pPr>
      <w:r>
        <w:rPr>
          <w:rFonts w:hint="eastAsia" w:ascii="宋体" w:hAnsi="宋体" w:eastAsia="宋体" w:cs="宋体"/>
          <w:color w:val="000000"/>
          <w:spacing w:val="-6"/>
          <w:sz w:val="21"/>
          <w:szCs w:val="21"/>
          <w:highlight w:val="yellow"/>
        </w:rPr>
        <w:t>(1)</w:t>
      </w:r>
      <w:r>
        <w:rPr>
          <w:rFonts w:hint="eastAsia" w:ascii="宋体" w:hAnsi="宋体" w:eastAsia="宋体" w:cs="宋体"/>
          <w:color w:val="000000"/>
          <w:spacing w:val="-6"/>
          <w:sz w:val="21"/>
          <w:szCs w:val="21"/>
          <w:highlight w:val="yellow"/>
          <w:lang w:val="en-US" w:eastAsia="zh-CN"/>
        </w:rPr>
        <w:t xml:space="preserve"> </w:t>
      </w:r>
      <w:r>
        <w:rPr>
          <w:rFonts w:hint="eastAsia" w:ascii="宋体" w:hAnsi="宋体" w:eastAsia="宋体" w:cs="宋体"/>
          <w:color w:val="000000"/>
          <w:spacing w:val="-6"/>
          <w:sz w:val="21"/>
          <w:szCs w:val="21"/>
          <w:highlight w:val="yellow"/>
        </w:rPr>
        <w:t>固定价格（风险费已包含在报价中，其它合同以外价款的调整方法为</w:t>
      </w:r>
      <w:r>
        <w:rPr>
          <w:rFonts w:hint="eastAsia" w:ascii="宋体" w:hAnsi="宋体" w:eastAsia="宋体" w:cs="宋体"/>
          <w:color w:val="000000"/>
          <w:spacing w:val="-6"/>
          <w:sz w:val="21"/>
          <w:szCs w:val="21"/>
          <w:highlight w:val="yellow"/>
          <w:u w:val="single"/>
        </w:rPr>
        <w:t>工程量清单中有的项目（项目特征相同）按报价的综合单价计算；报价中没有综合单价的新的工程量清单项目，按照《水利工程量清单计价规范》（GB50501-2007）、《关于印发&lt;江苏省水利工程招标投标文件工程量清单格式&gt;的通知》（苏水基〔2011〕21号）；《省水利厅关于印发&lt;江苏省水利建设工程安全文明措施费管理办法&gt;的通知》（苏水规〔2017〕2号）；《省水利厅关于印发&lt;江苏省水利建设工程安全文明措施费分解表&gt;的通知》（苏水安〔2017〕3号）；《江苏省水利建筑工程定额》（2010年）；国家、省、市级水利建设行政主管部门颁发的有关计量计费依据和规定；与本工程项目有关的标准、规范、技术资料；主要材料价格参照扬州市 202</w:t>
      </w:r>
      <w:r>
        <w:rPr>
          <w:rFonts w:hint="eastAsia" w:ascii="宋体" w:hAnsi="宋体" w:eastAsia="宋体" w:cs="宋体"/>
          <w:color w:val="000000"/>
          <w:spacing w:val="-6"/>
          <w:sz w:val="21"/>
          <w:szCs w:val="21"/>
          <w:highlight w:val="yellow"/>
          <w:u w:val="single"/>
          <w:lang w:val="en-US" w:eastAsia="zh-CN"/>
        </w:rPr>
        <w:t>6</w:t>
      </w:r>
      <w:r>
        <w:rPr>
          <w:rFonts w:hint="eastAsia" w:ascii="宋体" w:hAnsi="宋体" w:eastAsia="宋体" w:cs="宋体"/>
          <w:color w:val="000000"/>
          <w:spacing w:val="-6"/>
          <w:sz w:val="21"/>
          <w:szCs w:val="21"/>
          <w:highlight w:val="yellow"/>
          <w:u w:val="single"/>
        </w:rPr>
        <w:t xml:space="preserve"> 年 2 月扬州工程造价管理；部分材料的价格采用市场价格等,没有的按市场询价，具体按建设工程工程量清单计价规范执行，经甲方（造价跟踪方）确认后报甲方安排的审计部门核定。</w:t>
      </w:r>
    </w:p>
    <w:p>
      <w:pPr>
        <w:pBdr>
          <w:top w:val="none" w:color="000000" w:sz="0" w:space="0"/>
          <w:left w:val="none" w:color="000000" w:sz="0" w:space="0"/>
          <w:bottom w:val="none" w:color="000000" w:sz="0" w:space="0"/>
          <w:right w:val="none" w:color="000000" w:sz="0" w:space="0"/>
        </w:pBdr>
        <w:spacing w:line="360" w:lineRule="auto"/>
        <w:ind w:firstLine="396"/>
        <w:rPr>
          <w:rFonts w:hint="eastAsia" w:ascii="宋体" w:hAnsi="宋体" w:eastAsia="宋体" w:cs="宋体"/>
          <w:sz w:val="21"/>
          <w:szCs w:val="21"/>
        </w:rPr>
      </w:pPr>
      <w:r>
        <w:rPr>
          <w:rFonts w:hint="eastAsia" w:ascii="宋体" w:hAnsi="宋体" w:eastAsia="宋体" w:cs="宋体"/>
          <w:color w:val="000000"/>
          <w:sz w:val="21"/>
          <w:szCs w:val="21"/>
        </w:rPr>
        <w:t>(2) 固定价格加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%包干风险系数计算。包干风险包括内容：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w:t>
      </w:r>
    </w:p>
    <w:p>
      <w:pPr>
        <w:pBdr>
          <w:top w:val="none" w:color="000000" w:sz="0" w:space="0"/>
          <w:left w:val="none" w:color="000000" w:sz="0" w:space="0"/>
          <w:bottom w:val="none" w:color="000000" w:sz="0" w:space="0"/>
          <w:right w:val="none" w:color="000000" w:sz="0" w:space="0"/>
        </w:pBdr>
        <w:spacing w:line="360" w:lineRule="auto"/>
        <w:ind w:firstLine="396"/>
        <w:rPr>
          <w:rFonts w:hint="eastAsia" w:ascii="宋体" w:hAnsi="宋体" w:eastAsia="宋体" w:cs="宋体"/>
          <w:sz w:val="21"/>
          <w:szCs w:val="21"/>
        </w:rPr>
      </w:pPr>
      <w:r>
        <w:rPr>
          <w:rFonts w:hint="eastAsia" w:ascii="宋体" w:hAnsi="宋体" w:eastAsia="宋体" w:cs="宋体"/>
          <w:color w:val="000000"/>
          <w:sz w:val="21"/>
          <w:szCs w:val="21"/>
        </w:rPr>
        <w:t>(3) 可调价格：按照国家有关工程计价规定计算造价，并按有关规定进行调整和完工结算。</w:t>
      </w:r>
    </w:p>
    <w:p>
      <w:p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9.2结算</w:t>
      </w:r>
    </w:p>
    <w:p>
      <w:p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本工程结算价需经有关部门审定确认，具体如下：</w:t>
      </w:r>
    </w:p>
    <w:p>
      <w:pPr>
        <w:numPr>
          <w:ilvl w:val="0"/>
          <w:numId w:val="1"/>
        </w:num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本工程结算价需经有关部门审定确认，本工程安全文明措施费计取基本费及扬尘污染防治增加费，结算时按有关部门核定调整。</w:t>
      </w:r>
    </w:p>
    <w:p>
      <w:pPr>
        <w:numPr>
          <w:ilvl w:val="0"/>
          <w:numId w:val="1"/>
        </w:num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乙方完工验收合格后30天内提交结算送审资料进行结算。超过合同约定时间报送的关于工程量变更等导致工程款变化的结算资料不作为审查的依据。</w:t>
      </w:r>
    </w:p>
    <w:p>
      <w:pPr>
        <w:numPr>
          <w:ilvl w:val="0"/>
          <w:numId w:val="1"/>
        </w:num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乙方提供的完工资料如有缺项（如试验记录、调试记录等），则视为该项工序现场未做，在工程结算中此部分费用将予以扣除。</w:t>
      </w:r>
    </w:p>
    <w:p>
      <w:pPr>
        <w:numPr>
          <w:ilvl w:val="0"/>
          <w:numId w:val="1"/>
        </w:num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本工程最终结算价以审计单位审核为准。</w:t>
      </w:r>
    </w:p>
    <w:p>
      <w:pPr>
        <w:numPr>
          <w:ilvl w:val="0"/>
          <w:numId w:val="1"/>
        </w:numPr>
        <w:pBdr>
          <w:top w:val="none" w:color="000000" w:sz="0" w:space="0"/>
          <w:left w:val="none" w:color="000000" w:sz="0" w:space="0"/>
          <w:bottom w:val="none" w:color="000000" w:sz="0" w:space="0"/>
          <w:right w:val="none" w:color="000000" w:sz="0" w:space="0"/>
        </w:pBdr>
        <w:spacing w:line="360" w:lineRule="auto"/>
        <w:ind w:firstLine="525"/>
        <w:rPr>
          <w:rFonts w:hint="eastAsia" w:ascii="宋体" w:hAnsi="宋体" w:eastAsia="宋体" w:cs="宋体"/>
          <w:sz w:val="21"/>
          <w:szCs w:val="21"/>
        </w:rPr>
      </w:pPr>
      <w:r>
        <w:rPr>
          <w:rFonts w:hint="eastAsia" w:ascii="宋体" w:hAnsi="宋体" w:eastAsia="宋体" w:cs="宋体"/>
          <w:color w:val="000000"/>
          <w:sz w:val="21"/>
          <w:szCs w:val="21"/>
        </w:rPr>
        <w:t>乙方需提供发票。</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本工程固定单价结算。</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10、有关安全生产和防火的约定</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10.1 甲方提供的施工图纸或作法说明，应符合《中华人民共和国消防条例》和有关防火设计规范。</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10.2 乙方在施工期间应严格遵守《建设工程安全生产管理条例》、《建筑安装工人安全技术操作规程》、《中华人民共和国消防条例》和其它相关的法规、规范。</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10.3 对于甲方确认的图纸或作法说明，有违反有关安全操作规程、消防条例和防火设计规范或可能导致发生安全或火灾事故的，乙方应及时提出并通知甲方，会同设计单位对图纸或作法进行修改。</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10.4 乙方在施工生产过程中不得违反有关安全操作规程、消防条例，并对施工场所负有安全管理责任，如发生安全或火灾等事故，乙方应承担由此引发的一切经济损失及法律责任。</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10.5 本建筑安装工程必须达到现行版的国家及江苏省的一切有关法律、法规要求，若本工程实施期间有新的相关法律、法规标准出台，则仍应满足新的标准要求。</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10.6</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在整个合同期内，乙方应在现场委派一位安全负责人，由他出席甲方召开的安全会议，按甲方的要求提交安全报告和建议，并负责监督保持安全习惯。本工程实行定期和不定期相结合的安全检查制度，检查标准为国家现行规范。乙方必须保持经常性的例行自检，对每次的检查结果实行公布，并记录在案。</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10.7</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施工期间，乙方应及时整理和安排好所有的施工机械、工器具、材料、建筑垃圾等，做到每日工完场清，未使用完的材料按甲方规定或重新入库或就地堆放整齐，乙方应将施工范围内的垃圾运到垃圾堆放点。如果发现未达到要求，建筑垃圾乱堆、乱放，作业面清理不到位，则乙方应立即将作业面清理后，所发生的人工费、机械费由乙方支付，由于管理不善造成的情节严重的在例会中通报批评，甚至罚款。如果乙方拒绝及时进行场地清理（不论该场地是否为乙方责任范围），甲方有权另外委托其他施工单位进行清理，其费用按实际发生的费用额度从乙方工程款中扣除，并按合同规定对乙方进行处罚。工程建设中每个楼层的多余材料、建筑垃圾必须通过井架或垃圾槽运输到地面，严禁从高空直接向下抛物，以上物品在不需用时应按甲方要求清理出工地。</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10.8</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本工程所涉及的施工现场内安全防护措施费用均已在合同价款和合同计价方法中综合考虑，不再另行计取。</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10.9</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因乙方原因造成的任何事故或工伤（包括第三者人员在内）所发生的依法应该支付的损失、赔偿费、补偿费用等责任由乙方承担。</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10.10</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若发生安全事故，乙方承担全部责任，与甲方无关。乙方应按规定立即报告建设主管部门并通知甲发。如因此造成甲方承担责任的，甲发有权向乙方索赔。</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11、奖励和违约责任</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11.1 由于乙方原因，逾期完工，每逾期一天，乙方支付甲方</w:t>
      </w:r>
      <w:r>
        <w:rPr>
          <w:rFonts w:hint="eastAsia" w:ascii="宋体" w:hAnsi="宋体" w:eastAsia="宋体" w:cs="宋体"/>
          <w:color w:val="000000"/>
          <w:sz w:val="21"/>
          <w:szCs w:val="21"/>
          <w:u w:val="single"/>
        </w:rPr>
        <w:t>1000</w:t>
      </w:r>
      <w:r>
        <w:rPr>
          <w:rFonts w:hint="eastAsia" w:ascii="宋体" w:hAnsi="宋体" w:eastAsia="宋体" w:cs="宋体"/>
          <w:color w:val="000000"/>
          <w:sz w:val="21"/>
          <w:szCs w:val="21"/>
        </w:rPr>
        <w:t>元/天违约金，逾期完工超过 30天的甲方还有权解除合同并要求乙方支付合同总价30%的违约金。</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11.2 项目经理、项目副经理、技术负责人短期离开工地，应事先提出书面申请并征得同意后方可离开。3天以内（含3天）报采购人批准，报甲方核备，同时应委派代表代行其职，3天以上报甲方批准。一般情况，每人每月在工期间不得少于22天。项目经理、技术负责人不得同时离开工地。项目经理、项目副经理、技术负责人、质检员、安全员在工由采购人对其考勤，对于月在工天数少于22天的，每少一天，扣除工程款2000元/（人*天）。上述罚款的最高限额为合同价的2%。上述人员的考勤由采购人指定专人负责，考勤结果后装订成册后移存档。</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11.3 如甲方因乙方原因要求撤换项目经理，乙方须及时更换相同资质与资历的项目经理，并承担相应损失。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11.4 乙方按本项目的合同约定，积极履行质量及安全责任。对省、市、区的各级稽查、质量安全监督、甲方组织的质量及安全生产活动中，对下达的检查意见落实不及时、未按要求整改或整改不到位的、或其类似质量及安全问题整改不到位的，予以扣罚2000元/次。以甲方下发的处罚通知或联系单等为依据，在进度款支付时予以扣除。</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11.5 乙方应妥善保护甲方提供的设备及工程成品，如造成损失，应照价赔偿。</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11.6 甲方未办理任何手续，擅自同意拆改原有建筑物或设备管线，由此发生的损失或事故（包括罚款），由甲方负责并承担损失。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11.7 未经甲方同意，乙方擅自拆改原建筑物结构或设备管线，由此发生的损失或事故（包括罚款），由乙方负责并承担损失。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11.8 未办理验收手续，甲方提前使用或擅自动用造成损失由甲方负责。</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11.9 因一方原因，合同无法继续履行时，应通知对方，办理合同终止协议，并由责任方赔偿对方由此造成的经济损失。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11.10甲乙双方应严格履约，如违约，由违约方向对方支付本合同标的总价 5﹪的违约金，并赔偿对方由此造成的一切经济损失。</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11.11 乙方应承担的违约金，甲方均有权在工程款中扣除。</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12、不可抗力</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12.1 在执行合同期限内，任何一方因不可抗力事件造成不能履行合同时，应立即通知对方，并寄送有关权威机构出具的证明，则合同履行期可延长，延长期与不可抗力影响期相同。</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12.2 不可抗力影响时间持续 30 日以上时，甲乙双方及时解除合同；</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12.3 本条所述“不可抗力”是指不可预见、不能克服及不能避免的事件，包括战争、严重火灾、洪水、地震等。</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13、纠纷解决办法</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13.1 在执行本合同中所发生的或与本合同有关的一切争端，甲方和乙方应通过友好协商的办法进行解决。如协商仍不能解决，则通过由甲方所在地人民法院诉讼。</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14、破产终止合同</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14.1 如果乙方破产或无履行能力时，甲方在任何时候书面通知乙方解除合同而不给乙方补偿。该终止合同将不损害或影响甲方已经或将要采取的补救措施的权利。</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15、分包和转让</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15.1 本合同中的权利和义务不得转让。</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15.2 经甲方书面同意，乙方可以将合同项下非主体性工作分包给他人完成。接受分包的人应当具备相应的资质条件，并不得再次分包。分包后不能解除乙方履行本合同的责任和义务，接受分包的人与乙方共同对甲方连带承担合同的责任和义务。</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16、</w:t>
      </w:r>
      <w:r>
        <w:rPr>
          <w:rFonts w:hint="eastAsia" w:ascii="宋体" w:hAnsi="宋体" w:eastAsia="宋体" w:cs="宋体"/>
          <w:color w:val="000000"/>
          <w:sz w:val="21"/>
          <w:szCs w:val="21"/>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市人民银行咨询，联系电话：0514-87936653。</w:t>
      </w:r>
    </w:p>
    <w:p>
      <w:pPr>
        <w:pBdr>
          <w:top w:val="none" w:color="000000" w:sz="0" w:space="0"/>
          <w:left w:val="none" w:color="000000" w:sz="0" w:space="0"/>
          <w:bottom w:val="none" w:color="000000" w:sz="0" w:space="0"/>
          <w:right w:val="none" w:color="000000" w:sz="0" w:space="0"/>
        </w:pBdr>
        <w:spacing w:line="360" w:lineRule="auto"/>
        <w:ind w:firstLine="422"/>
        <w:rPr>
          <w:rFonts w:hint="eastAsia" w:ascii="宋体" w:hAnsi="宋体" w:eastAsia="宋体" w:cs="宋体"/>
          <w:sz w:val="21"/>
          <w:szCs w:val="21"/>
        </w:rPr>
      </w:pPr>
      <w:r>
        <w:rPr>
          <w:rFonts w:hint="eastAsia" w:ascii="宋体" w:hAnsi="宋体" w:eastAsia="宋体" w:cs="宋体"/>
          <w:b/>
          <w:color w:val="000000"/>
          <w:sz w:val="21"/>
          <w:szCs w:val="21"/>
        </w:rPr>
        <w:t>17、合同生效及其它</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17.1 合同经双方法定代表人或授权代表签字并加盖单位公章后生效。</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17.2 本合同正本一式陆份，具有同等法律效力，</w:t>
      </w:r>
      <w:r>
        <w:rPr>
          <w:rFonts w:hint="eastAsia" w:ascii="宋体" w:hAnsi="宋体" w:eastAsia="宋体" w:cs="宋体"/>
          <w:color w:val="000000"/>
          <w:sz w:val="21"/>
          <w:szCs w:val="21"/>
          <w:lang w:val="en-US" w:eastAsia="zh-CN"/>
        </w:rPr>
        <w:t>甲方、乙方及见证方</w:t>
      </w:r>
      <w:r>
        <w:rPr>
          <w:rFonts w:hint="eastAsia" w:ascii="宋体" w:hAnsi="宋体" w:eastAsia="宋体" w:cs="宋体"/>
          <w:color w:val="000000"/>
          <w:sz w:val="21"/>
          <w:szCs w:val="21"/>
        </w:rPr>
        <w:t>各执</w:t>
      </w:r>
      <w:r>
        <w:rPr>
          <w:rFonts w:hint="eastAsia" w:ascii="宋体" w:hAnsi="宋体" w:eastAsia="宋体" w:cs="宋体"/>
          <w:color w:val="000000"/>
          <w:sz w:val="21"/>
          <w:szCs w:val="21"/>
          <w:lang w:val="en-US" w:eastAsia="zh-CN"/>
        </w:rPr>
        <w:t>贰</w:t>
      </w:r>
      <w:r>
        <w:rPr>
          <w:rFonts w:hint="eastAsia" w:ascii="宋体" w:hAnsi="宋体" w:eastAsia="宋体" w:cs="宋体"/>
          <w:color w:val="000000"/>
          <w:sz w:val="21"/>
          <w:szCs w:val="21"/>
        </w:rPr>
        <w:t>份。</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17.3 本合同服务实施期间所发生的合同纠纷，甲方与乙方进行处理。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17.4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合同在执行过程中，如随项目的深化，如合同内容需修改，应经甲方、乙方协商，并签署书面修改协议。该协议将作为本合同不可分割的一部分。</w:t>
      </w:r>
    </w:p>
    <w:p>
      <w:pPr>
        <w:pBdr>
          <w:top w:val="none" w:color="000000" w:sz="0" w:space="0"/>
          <w:left w:val="none" w:color="000000" w:sz="0" w:space="0"/>
          <w:bottom w:val="none" w:color="000000" w:sz="0" w:space="0"/>
          <w:right w:val="none" w:color="000000" w:sz="0" w:space="0"/>
        </w:pBdr>
        <w:spacing w:line="360" w:lineRule="auto"/>
        <w:ind w:firstLine="420"/>
        <w:rPr>
          <w:rFonts w:hint="eastAsia" w:ascii="宋体" w:hAnsi="宋体" w:eastAsia="宋体" w:cs="宋体"/>
          <w:sz w:val="21"/>
          <w:szCs w:val="21"/>
        </w:rPr>
      </w:pPr>
      <w:r>
        <w:rPr>
          <w:rFonts w:hint="eastAsia" w:ascii="宋体" w:hAnsi="宋体" w:eastAsia="宋体" w:cs="宋体"/>
          <w:color w:val="000000"/>
          <w:sz w:val="21"/>
          <w:szCs w:val="21"/>
        </w:rPr>
        <w:t>17.5 本合同未尽事宜，遵照《</w:t>
      </w:r>
      <w:r>
        <w:rPr>
          <w:rFonts w:hint="eastAsia" w:ascii="宋体" w:hAnsi="宋体" w:eastAsia="宋体" w:cs="宋体"/>
          <w:color w:val="000000"/>
          <w:sz w:val="21"/>
          <w:szCs w:val="21"/>
          <w:lang w:val="en-US" w:eastAsia="zh-CN"/>
        </w:rPr>
        <w:t>中华人民共和国</w:t>
      </w:r>
      <w:r>
        <w:rPr>
          <w:rFonts w:hint="eastAsia" w:ascii="宋体" w:hAnsi="宋体" w:eastAsia="宋体" w:cs="宋体"/>
          <w:color w:val="000000"/>
          <w:sz w:val="21"/>
          <w:szCs w:val="21"/>
        </w:rPr>
        <w:t>民法典》有关条文执行。</w:t>
      </w:r>
    </w:p>
    <w:tbl>
      <w:tblPr>
        <w:tblStyle w:val="3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284"/>
        <w:gridCol w:w="4238"/>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甲方：</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乙方：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地址：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日期：   年   月   日  </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lang w:val="en-US" w:eastAsia="zh-CN"/>
              </w:rPr>
            </w:pPr>
          </w:p>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见证方：</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84"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 </w:t>
            </w:r>
          </w:p>
        </w:tc>
        <w:tc>
          <w:tcPr>
            <w:tcW w:w="4238" w:type="dxa"/>
            <w:tcBorders>
              <w:top w:val="nil"/>
              <w:left w:val="nil"/>
              <w:bottom w:val="nil"/>
              <w:right w:val="nil"/>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after="0" w:line="360" w:lineRule="auto"/>
              <w:ind w:firstLine="420"/>
              <w:rPr>
                <w:rFonts w:hint="eastAsia" w:ascii="宋体" w:hAnsi="宋体" w:eastAsia="宋体" w:cs="宋体"/>
                <w:color w:val="000000"/>
                <w:sz w:val="21"/>
                <w:szCs w:val="21"/>
              </w:rPr>
            </w:pPr>
          </w:p>
        </w:tc>
      </w:tr>
    </w:tbl>
    <w:p>
      <w:pPr>
        <w:pBdr>
          <w:top w:val="none" w:color="000000" w:sz="0" w:space="0"/>
          <w:left w:val="none" w:color="000000" w:sz="0" w:space="0"/>
          <w:bottom w:val="none" w:color="000000" w:sz="0" w:space="0"/>
          <w:right w:val="none" w:color="000000" w:sz="0" w:space="0"/>
        </w:pBdr>
        <w:spacing w:line="439" w:lineRule="atLeast"/>
        <w:ind w:firstLine="420"/>
        <w:rPr>
          <w:rFonts w:ascii="宋体" w:hAnsi="宋体" w:cs="宋体"/>
          <w:color w:val="000000"/>
          <w:sz w:val="22"/>
        </w:rPr>
      </w:pPr>
      <w:r>
        <w:rPr>
          <w:rFonts w:ascii="宋体" w:hAnsi="宋体" w:cs="宋体"/>
          <w:color w:val="000000"/>
          <w:sz w:val="22"/>
        </w:rPr>
        <w:t> </w:t>
      </w:r>
    </w:p>
    <w:p>
      <w:pPr>
        <w:rPr>
          <w:rFonts w:ascii="Times New Roman" w:hAnsi="Times New Roman"/>
          <w:b w:val="0"/>
          <w:bCs w:val="0"/>
          <w:sz w:val="28"/>
          <w:lang w:eastAsia="zh-CN"/>
        </w:rPr>
      </w:pPr>
      <w:r>
        <w:rPr>
          <w:rFonts w:ascii="Times New Roman" w:hAnsi="Times New Roman"/>
          <w:b w:val="0"/>
          <w:bCs w:val="0"/>
          <w:sz w:val="28"/>
          <w:lang w:eastAsia="zh-CN"/>
        </w:rPr>
        <w:br w:type="page"/>
      </w:r>
    </w:p>
    <w:p>
      <w:pPr>
        <w:pStyle w:val="252"/>
        <w:spacing w:before="120" w:line="360" w:lineRule="auto"/>
        <w:ind w:left="1274" w:hanging="1274"/>
        <w:rPr>
          <w:rFonts w:ascii="Times New Roman" w:hAnsi="Times New Roman"/>
          <w:b w:val="0"/>
          <w:bCs w:val="0"/>
          <w:sz w:val="28"/>
          <w:lang w:eastAsia="zh-CN"/>
        </w:rPr>
      </w:pPr>
      <w:r>
        <w:rPr>
          <w:rFonts w:ascii="Times New Roman" w:hAnsi="Times New Roman"/>
          <w:b/>
          <w:bCs/>
          <w:sz w:val="21"/>
          <w:szCs w:val="21"/>
          <w:lang w:eastAsia="zh-CN"/>
        </w:rPr>
        <w:t>附件</w:t>
      </w:r>
      <w:r>
        <w:rPr>
          <w:rFonts w:hint="eastAsia" w:ascii="Times New Roman" w:hAnsi="Times New Roman"/>
          <w:b/>
          <w:bCs/>
          <w:sz w:val="21"/>
          <w:szCs w:val="21"/>
          <w:lang w:eastAsia="zh-CN"/>
        </w:rPr>
        <w:t>一</w:t>
      </w:r>
      <w:r>
        <w:rPr>
          <w:rFonts w:ascii="Times New Roman" w:hAnsi="Times New Roman"/>
          <w:b/>
          <w:bCs/>
          <w:sz w:val="21"/>
          <w:szCs w:val="21"/>
          <w:lang w:eastAsia="zh-CN"/>
        </w:rPr>
        <w:t>：安全生产合同</w:t>
      </w:r>
    </w:p>
    <w:p>
      <w:pPr>
        <w:pStyle w:val="253"/>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(建设单位与施工单位)</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甲方：(以下简称“甲方”)</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乙方：(以下简称“乙方”)</w:t>
      </w:r>
    </w:p>
    <w:p>
      <w:pPr>
        <w:spacing w:line="360" w:lineRule="auto"/>
        <w:ind w:firstLine="420"/>
        <w:rPr>
          <w:rFonts w:hint="eastAsia" w:ascii="宋体" w:hAnsi="宋体" w:eastAsia="宋体" w:cs="宋体"/>
          <w:szCs w:val="24"/>
        </w:rPr>
      </w:pPr>
      <w:r>
        <w:rPr>
          <w:rFonts w:hint="eastAsia" w:ascii="宋体" w:hAnsi="宋体" w:eastAsia="宋体" w:cs="宋体"/>
          <w:szCs w:val="24"/>
          <w:highlight w:val="yellow"/>
        </w:rPr>
        <w:t>为贯彻落实财政部、水利部《水利基本建设资金管理办法》、国家四部委《关于加强</w:t>
      </w:r>
      <w:r>
        <w:rPr>
          <w:rFonts w:hint="eastAsia" w:ascii="宋体" w:hAnsi="宋体" w:eastAsia="宋体" w:cs="宋体"/>
          <w:szCs w:val="24"/>
        </w:rPr>
        <w:t>公益性水利工程建设管理的若干意见》，确保实现江苏水利厅党组要求的“三个安全”目标，甲方与乙方协商一致，自愿签订以下资金安全合同。</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一、甲方职责</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1、严格遵守国家有关安全生产的法律法规，认真执行工程承包合同中的有关安全要求。</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2、按照“安全第一、预防为主”和坚持“管生产必需管安全”的原则进行安全生产管理，做到生产与安全工作同时计划、布置、检查、总结和评比。</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3、定期召开安全生产协调会，及时传达中央及地方有关安全生产的精神。</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4、组织对乙方施工现场安全生产检查，建立安全生产责任制网络、汇总重要危险源、监督乙方及时处理发现的各种安全隐患。</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二、乙方职责</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1、严格遵守国家有关安全生产的法律法规、有关安全生产的规定，认真执行工程承包合同中的有关安全要求，接受甲方和监督理工程师对安全生产工作的指导。</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3、建立健全安全产生责任制网络。从派驻项目实施的项目经理到生产工人(包括临时雇请的民工)的安全生产管理系统必须做到纵向到底，一环不漏；各职能部门、人员的安全生产责任制做到横向到边，人人有责。施工单位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专职负责所有员工的安全和治安保卫工作及预防事故的发生。安全机构人员，有权按有关规定发布指令，并采取保护性措施防止事故发生。</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4、乙方在任何时候都应采取各种合理的预防措施，防止其人员发生任何违法、违禁、暴力、违规或妨碍治安的行为</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5、乙方必须具有省部级和部门颁发的安全生产证书，参加施工的人员，必须接受安全技术教育，熟知和遵守本工程的各项安全技术操作堆积，定期进行安全技术考核，合格者方准上岗操作，对于从事机动车驾驶、电气、起重、建筑登高架设作业、焊接等特殊工程的人员须持证上岗。施工现场如发现无证操作现象时，项目经理必须承担管理责任。</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6、加强施工中交通运输安全管理，各种运输机械等需划定运输线路行驶。</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7、对于易燃易爆的材料除应专门有效封闭、妥善保管之处，还应配备有足够的消防设施所有施工人员都应熟悉消防设备的性能和使用方法。</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8、操作人员上岗，必须按规定穿戴防护用品。施工负责人和安全检查员随时检查劳动防护用品的穿戴情况，不按规定穿戴防护用品的人员不得上岗。</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9、所有施工机具、设备和劳动保护用品应具备有效的安检合格证明，并经安全员签字同意后方可使用，施工期间应定期检查，保证其处于完好状态；不合格的机具、设备和劳动保护用品严禁使用。</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10、施工现场必须具有相关的安全标志牌。</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11、建立主要危险源备案制度，要明确潜在隐患、防范措施和落实责任人。</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12、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三、违约责任</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如因甲方或乙方违约造成安全事故，将报请有关部门依法追究责任。</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本合同一式陆份，甲、乙方各执叁份，由双方法定代表人或其授权的代理人签署和加盖公章后生效，全部工程竣工验收后失效。</w:t>
      </w:r>
    </w:p>
    <w:p>
      <w:pPr>
        <w:pStyle w:val="253"/>
        <w:spacing w:line="360" w:lineRule="auto"/>
        <w:ind w:firstLine="420"/>
        <w:rPr>
          <w:rFonts w:hint="eastAsia" w:ascii="宋体" w:hAnsi="宋体" w:eastAsia="宋体" w:cs="宋体"/>
          <w:sz w:val="21"/>
          <w:szCs w:val="21"/>
        </w:rPr>
      </w:pP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甲   方：                          乙  方：</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法定代表人(或授权代理人)：</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地址：</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p>
    <w:p>
      <w:pPr>
        <w:pStyle w:val="253"/>
        <w:spacing w:line="440" w:lineRule="exact"/>
        <w:ind w:firstLine="420"/>
        <w:rPr>
          <w:rFonts w:ascii="宋体" w:hAnsi="宋体"/>
          <w:sz w:val="21"/>
        </w:rPr>
      </w:pPr>
    </w:p>
    <w:p>
      <w:pPr>
        <w:rPr>
          <w:rFonts w:ascii="宋体" w:hAnsi="宋体"/>
          <w:sz w:val="21"/>
        </w:rPr>
      </w:pPr>
      <w:r>
        <w:rPr>
          <w:rFonts w:ascii="宋体" w:hAnsi="宋体"/>
          <w:sz w:val="21"/>
        </w:rPr>
        <w:br w:type="page"/>
      </w:r>
    </w:p>
    <w:p>
      <w:pPr>
        <w:pStyle w:val="253"/>
        <w:tabs>
          <w:tab w:val="left" w:pos="4245"/>
          <w:tab w:val="center" w:pos="4535"/>
        </w:tabs>
        <w:spacing w:line="440" w:lineRule="exact"/>
        <w:rPr>
          <w:rFonts w:ascii="Times New Roman" w:hAnsi="Times New Roman"/>
          <w:b/>
          <w:bCs/>
          <w:sz w:val="21"/>
          <w:szCs w:val="21"/>
          <w:lang w:eastAsia="zh-CN"/>
        </w:rPr>
      </w:pPr>
      <w:bookmarkStart w:id="40" w:name="_Toc30408"/>
      <w:bookmarkStart w:id="41" w:name="_Toc405822527"/>
      <w:bookmarkStart w:id="42" w:name="_Toc346698511"/>
      <w:bookmarkStart w:id="43" w:name="_Toc507066175"/>
      <w:bookmarkStart w:id="44" w:name="_Toc4215"/>
      <w:bookmarkStart w:id="45" w:name="_Toc486434552"/>
      <w:bookmarkStart w:id="46" w:name="_Toc405822031"/>
      <w:bookmarkStart w:id="47" w:name="_Toc58680767"/>
      <w:bookmarkStart w:id="48" w:name="_Toc341532550"/>
      <w:bookmarkStart w:id="49" w:name="_Toc485976257"/>
      <w:bookmarkStart w:id="50" w:name="_Toc392858970"/>
      <w:bookmarkStart w:id="51" w:name="_Toc256000104"/>
      <w:r>
        <w:rPr>
          <w:rFonts w:ascii="Times New Roman" w:hAnsi="Times New Roman"/>
          <w:b/>
          <w:bCs/>
          <w:sz w:val="21"/>
          <w:szCs w:val="21"/>
          <w:lang w:eastAsia="zh-CN"/>
        </w:rPr>
        <w:t>附件</w:t>
      </w:r>
      <w:r>
        <w:rPr>
          <w:rFonts w:hint="eastAsia" w:ascii="Times New Roman" w:hAnsi="Times New Roman"/>
          <w:b/>
          <w:bCs/>
          <w:sz w:val="21"/>
          <w:szCs w:val="21"/>
          <w:lang w:eastAsia="zh-CN"/>
        </w:rPr>
        <w:t>二</w:t>
      </w:r>
      <w:r>
        <w:rPr>
          <w:rFonts w:ascii="Times New Roman" w:hAnsi="Times New Roman"/>
          <w:b/>
          <w:bCs/>
          <w:sz w:val="21"/>
          <w:szCs w:val="21"/>
          <w:lang w:eastAsia="zh-CN"/>
        </w:rPr>
        <w:t>：</w:t>
      </w:r>
      <w:bookmarkEnd w:id="40"/>
      <w:bookmarkEnd w:id="41"/>
      <w:bookmarkEnd w:id="42"/>
      <w:bookmarkEnd w:id="43"/>
      <w:bookmarkEnd w:id="44"/>
      <w:bookmarkEnd w:id="45"/>
      <w:bookmarkEnd w:id="46"/>
      <w:bookmarkEnd w:id="47"/>
      <w:bookmarkEnd w:id="48"/>
      <w:bookmarkEnd w:id="49"/>
      <w:bookmarkEnd w:id="50"/>
      <w:bookmarkEnd w:id="51"/>
      <w:bookmarkStart w:id="52" w:name="_Toc7778"/>
      <w:bookmarkStart w:id="53" w:name="_Toc392858971"/>
      <w:bookmarkStart w:id="54" w:name="_Toc58680768"/>
      <w:bookmarkStart w:id="55" w:name="_Toc30720"/>
      <w:bookmarkStart w:id="56" w:name="_Toc256000105"/>
      <w:bookmarkStart w:id="57" w:name="_Toc369081680"/>
      <w:r>
        <w:rPr>
          <w:rFonts w:ascii="Times New Roman" w:hAnsi="Times New Roman"/>
          <w:b/>
          <w:bCs/>
          <w:sz w:val="21"/>
          <w:szCs w:val="21"/>
          <w:lang w:eastAsia="zh-CN"/>
        </w:rPr>
        <w:t>建设项目廉政合同</w:t>
      </w:r>
      <w:bookmarkEnd w:id="52"/>
      <w:bookmarkEnd w:id="53"/>
      <w:bookmarkEnd w:id="54"/>
      <w:bookmarkEnd w:id="55"/>
      <w:bookmarkEnd w:id="56"/>
      <w:bookmarkEnd w:id="57"/>
    </w:p>
    <w:p>
      <w:pPr>
        <w:pStyle w:val="253"/>
        <w:spacing w:line="360" w:lineRule="auto"/>
        <w:jc w:val="center"/>
        <w:rPr>
          <w:rFonts w:hint="eastAsia" w:ascii="宋体" w:hAnsi="宋体" w:eastAsia="宋体" w:cs="宋体"/>
          <w:sz w:val="21"/>
          <w:szCs w:val="21"/>
        </w:rPr>
      </w:pPr>
      <w:r>
        <w:rPr>
          <w:rFonts w:hint="eastAsia" w:ascii="宋体" w:hAnsi="宋体" w:eastAsia="宋体" w:cs="宋体"/>
          <w:sz w:val="21"/>
          <w:szCs w:val="21"/>
        </w:rPr>
        <w:t>(建设单位与施工单位)</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甲方：(以下简称“甲方”)</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乙方：(以下简称“乙方”)</w:t>
      </w:r>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为贯彻落实党中央、国务院《关于实行党风廉政建设责任制的规定》，为了加强工程建设中的党风廉政建设，保证本工程建设优质、高效、有序地进行，</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(以下简称甲方)，与承担</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项目名称</w:t>
      </w:r>
      <w:r>
        <w:rPr>
          <w:rFonts w:hint="eastAsia" w:ascii="宋体" w:hAnsi="宋体" w:eastAsia="宋体" w:cs="宋体"/>
          <w:sz w:val="21"/>
          <w:szCs w:val="21"/>
          <w:u w:val="single"/>
        </w:rPr>
        <w:t>)</w:t>
      </w:r>
      <w:r>
        <w:rPr>
          <w:rFonts w:hint="eastAsia" w:ascii="宋体" w:hAnsi="宋体" w:eastAsia="宋体" w:cs="宋体"/>
          <w:sz w:val="21"/>
          <w:szCs w:val="21"/>
        </w:rPr>
        <w:t>的施工单位</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(以下简称“乙方”)，经双方协商一致，自愿签订以下廉政合同。</w:t>
      </w:r>
    </w:p>
    <w:p>
      <w:pPr>
        <w:pStyle w:val="253"/>
        <w:spacing w:line="360" w:lineRule="auto"/>
        <w:rPr>
          <w:rFonts w:hint="eastAsia" w:ascii="宋体" w:hAnsi="宋体" w:eastAsia="宋体" w:cs="宋体"/>
          <w:b/>
          <w:sz w:val="21"/>
          <w:szCs w:val="21"/>
        </w:rPr>
      </w:pPr>
      <w:bookmarkStart w:id="58" w:name="_Toc469923276"/>
      <w:bookmarkStart w:id="59" w:name="_Toc28007300"/>
      <w:bookmarkStart w:id="60" w:name="_Toc283573539"/>
      <w:bookmarkStart w:id="61" w:name="_Toc486434553"/>
      <w:bookmarkStart w:id="62" w:name="_Toc453949175"/>
      <w:bookmarkStart w:id="63" w:name="_Toc339135324"/>
      <w:bookmarkStart w:id="64" w:name="_Toc369859526"/>
      <w:bookmarkStart w:id="65" w:name="_Toc391971645"/>
      <w:bookmarkStart w:id="66" w:name="_Toc454438824"/>
      <w:bookmarkStart w:id="67" w:name="_Toc425757894"/>
      <w:bookmarkStart w:id="68" w:name="_Toc499103028"/>
      <w:bookmarkStart w:id="69" w:name="_Toc2673959"/>
      <w:bookmarkStart w:id="70" w:name="_Toc341532552"/>
      <w:bookmarkStart w:id="71" w:name="_Toc350697682"/>
      <w:bookmarkStart w:id="72" w:name="_Toc392858972"/>
      <w:bookmarkStart w:id="73" w:name="_Toc532646223"/>
      <w:bookmarkStart w:id="74" w:name="_Toc338745987"/>
      <w:bookmarkStart w:id="75" w:name="_Toc405822528"/>
      <w:bookmarkStart w:id="76" w:name="_Toc416442325"/>
      <w:bookmarkStart w:id="77" w:name="_Toc346700667"/>
      <w:bookmarkStart w:id="78" w:name="_Toc455395791"/>
      <w:bookmarkStart w:id="79" w:name="_Toc18065739"/>
      <w:bookmarkStart w:id="80" w:name="_Toc428869212"/>
      <w:bookmarkStart w:id="81" w:name="_Toc532394130"/>
      <w:bookmarkStart w:id="82" w:name="_Toc405822032"/>
      <w:bookmarkStart w:id="83" w:name="_Toc351017577"/>
      <w:bookmarkStart w:id="84" w:name="_Toc456023902"/>
      <w:bookmarkStart w:id="85" w:name="_Toc346698513"/>
      <w:bookmarkStart w:id="86" w:name="_Toc346709274"/>
      <w:bookmarkStart w:id="87" w:name="_Toc470253164"/>
      <w:bookmarkStart w:id="88" w:name="_Toc406502941"/>
      <w:bookmarkStart w:id="89" w:name="_Toc505259413"/>
      <w:bookmarkStart w:id="90" w:name="_Toc440352446"/>
      <w:bookmarkStart w:id="91" w:name="_Toc369081681"/>
      <w:bookmarkStart w:id="92" w:name="_Toc283577281"/>
      <w:bookmarkStart w:id="93" w:name="_Toc340330312"/>
      <w:bookmarkStart w:id="94" w:name="_Toc339352495"/>
      <w:bookmarkStart w:id="95" w:name="_Toc489274455"/>
      <w:bookmarkStart w:id="96" w:name="_Toc454520003"/>
      <w:bookmarkStart w:id="97" w:name="_Toc426445895"/>
      <w:bookmarkStart w:id="98" w:name="_Toc485976258"/>
      <w:bookmarkStart w:id="99" w:name="_Toc350520334"/>
      <w:bookmarkStart w:id="100" w:name="_Toc339183515"/>
      <w:bookmarkStart w:id="101" w:name="_Toc507066176"/>
      <w:bookmarkStart w:id="102" w:name="_Toc402189276"/>
      <w:bookmarkStart w:id="103" w:name="_Toc418751240"/>
      <w:r>
        <w:rPr>
          <w:rFonts w:hint="eastAsia" w:ascii="宋体" w:hAnsi="宋体" w:eastAsia="宋体" w:cs="宋体"/>
          <w:b/>
          <w:sz w:val="21"/>
          <w:szCs w:val="21"/>
        </w:rPr>
        <w:t>一、甲、乙双方约定</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1、甲、乙双方应加强对本方人员的廉政监督，建立和健全廉政制度。</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2、甲、乙双方有对本方人员开展廉政告知、廉政教育和职业道德教育的义务。</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3、甲、乙双方及其工作人员应共同遵守国家和省、市以及行业主管部门关于加强水利基础设施建设管理以及党风廉政建设的各项规定。</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4、甲、乙双方及其工作人员应认真执行双方签订的廉政合同文件，自觉按合同办事。</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5、除法律认定的商业秘密或合同文件另有规定之外，甲、乙双方的业务活动应坚持公开、公正、诚实信用的原则，严禁损害国家和集体利益，严禁违反工程建设管理规章制度的不正当交易。</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6、甲、乙双方如发现对方在业务活动中有不廉洁行为，有及时提醒对方并督促其纠正的权利和义务，并认真查处本方的违法违纪行为。</w:t>
      </w:r>
    </w:p>
    <w:p>
      <w:pPr>
        <w:pStyle w:val="253"/>
        <w:spacing w:line="360" w:lineRule="auto"/>
        <w:rPr>
          <w:rFonts w:hint="eastAsia" w:ascii="宋体" w:hAnsi="宋体" w:eastAsia="宋体" w:cs="宋体"/>
          <w:b/>
          <w:sz w:val="21"/>
          <w:szCs w:val="21"/>
        </w:rPr>
      </w:pPr>
      <w:bookmarkStart w:id="104" w:name="_Toc405822529"/>
      <w:bookmarkStart w:id="105" w:name="_Toc283577282"/>
      <w:bookmarkStart w:id="106" w:name="_Toc406502942"/>
      <w:bookmarkStart w:id="107" w:name="_Toc489274456"/>
      <w:bookmarkStart w:id="108" w:name="_Toc346709275"/>
      <w:bookmarkStart w:id="109" w:name="_Toc416442326"/>
      <w:bookmarkStart w:id="110" w:name="_Toc392858973"/>
      <w:bookmarkStart w:id="111" w:name="_Toc532394131"/>
      <w:bookmarkStart w:id="112" w:name="_Toc440352447"/>
      <w:bookmarkStart w:id="113" w:name="_Toc455395792"/>
      <w:bookmarkStart w:id="114" w:name="_Toc505259414"/>
      <w:bookmarkStart w:id="115" w:name="_Toc350520335"/>
      <w:bookmarkStart w:id="116" w:name="_Toc283573540"/>
      <w:bookmarkStart w:id="117" w:name="_Toc346700668"/>
      <w:bookmarkStart w:id="118" w:name="_Toc425757895"/>
      <w:bookmarkStart w:id="119" w:name="_Toc453949176"/>
      <w:bookmarkStart w:id="120" w:name="_Toc402189277"/>
      <w:bookmarkStart w:id="121" w:name="_Toc340330313"/>
      <w:bookmarkStart w:id="122" w:name="_Toc418751241"/>
      <w:bookmarkStart w:id="123" w:name="_Toc350697683"/>
      <w:bookmarkStart w:id="124" w:name="_Toc391971646"/>
      <w:bookmarkStart w:id="125" w:name="_Toc341532553"/>
      <w:bookmarkStart w:id="126" w:name="_Toc369859527"/>
      <w:bookmarkStart w:id="127" w:name="_Toc470253165"/>
      <w:bookmarkStart w:id="128" w:name="_Toc499103029"/>
      <w:bookmarkStart w:id="129" w:name="_Toc2673960"/>
      <w:bookmarkStart w:id="130" w:name="_Toc339352496"/>
      <w:bookmarkStart w:id="131" w:name="_Toc339135325"/>
      <w:bookmarkStart w:id="132" w:name="_Toc426445896"/>
      <w:bookmarkStart w:id="133" w:name="_Toc469923277"/>
      <w:bookmarkStart w:id="134" w:name="_Toc351017578"/>
      <w:bookmarkStart w:id="135" w:name="_Toc485976259"/>
      <w:bookmarkStart w:id="136" w:name="_Toc369081682"/>
      <w:bookmarkStart w:id="137" w:name="_Toc532646224"/>
      <w:bookmarkStart w:id="138" w:name="_Toc405822033"/>
      <w:bookmarkStart w:id="139" w:name="_Toc18065740"/>
      <w:bookmarkStart w:id="140" w:name="_Toc454520004"/>
      <w:bookmarkStart w:id="141" w:name="_Toc338745988"/>
      <w:bookmarkStart w:id="142" w:name="_Toc346698514"/>
      <w:bookmarkStart w:id="143" w:name="_Toc507066177"/>
      <w:bookmarkStart w:id="144" w:name="_Toc486434554"/>
      <w:bookmarkStart w:id="145" w:name="_Toc339183516"/>
      <w:bookmarkStart w:id="146" w:name="_Toc454438825"/>
      <w:bookmarkStart w:id="147" w:name="_Toc456023903"/>
      <w:bookmarkStart w:id="148" w:name="_Toc28007301"/>
      <w:bookmarkStart w:id="149" w:name="_Toc428869213"/>
      <w:r>
        <w:rPr>
          <w:rFonts w:hint="eastAsia" w:ascii="宋体" w:hAnsi="宋体" w:eastAsia="宋体" w:cs="宋体"/>
          <w:b/>
          <w:sz w:val="21"/>
          <w:szCs w:val="21"/>
        </w:rPr>
        <w:t>二、甲方在廉政建设方面的责任</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1、甲方及其工作人员不得以任何形式向乙方索要和收受金钱、有价证券、贵重物品等财物；对推辞不掉的礼金、有价证券和贵重物品等，应立即上缴纪检监察部门或廉政帐户</w:t>
      </w:r>
      <w:r>
        <w:rPr>
          <w:rFonts w:hint="eastAsia" w:ascii="宋体" w:hAnsi="宋体" w:eastAsia="宋体" w:cs="宋体"/>
          <w:sz w:val="21"/>
          <w:szCs w:val="21"/>
          <w:highlight w:val="yellow"/>
        </w:rPr>
        <w:t>“510”</w:t>
      </w:r>
      <w:r>
        <w:rPr>
          <w:rFonts w:hint="eastAsia" w:ascii="宋体" w:hAnsi="宋体" w:eastAsia="宋体" w:cs="宋体"/>
          <w:sz w:val="21"/>
          <w:szCs w:val="21"/>
        </w:rPr>
        <w:t>。</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2、甲方不得在乙方报销任何费用。</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3、甲方工作人员不得参加乙方的宴请和旅游等活动；不得要求乙方为其提供吃、住、交通工具、通讯工具、高档办公用品等。</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4、甲方及其工作人员不得要求或者接受乙方为其住房装修、婚丧嫁娶、亲属的工作安排以及出国等提供方便。</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5、甲方及其工作人员不得要求乙方为其亲朋好友及有利害关系的人安排工作或劳务；不得违规从事与乙方工程有关的材料设备供应、工程分包、劳务等经济活动。</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6、甲方及其工作人员不得滥用职权影响工程的质量、进度和安全。</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7、甲方及其工作人员不得与乙方私下进行交易。</w:t>
      </w:r>
    </w:p>
    <w:p>
      <w:pPr>
        <w:pStyle w:val="253"/>
        <w:spacing w:line="360" w:lineRule="auto"/>
        <w:rPr>
          <w:rFonts w:hint="eastAsia" w:ascii="宋体" w:hAnsi="宋体" w:eastAsia="宋体" w:cs="宋体"/>
          <w:b/>
          <w:sz w:val="21"/>
          <w:szCs w:val="21"/>
        </w:rPr>
      </w:pPr>
      <w:bookmarkStart w:id="150" w:name="_Toc416442327"/>
      <w:bookmarkStart w:id="151" w:name="_Toc351017579"/>
      <w:bookmarkStart w:id="152" w:name="_Toc440352448"/>
      <w:bookmarkStart w:id="153" w:name="_Toc507066178"/>
      <w:bookmarkStart w:id="154" w:name="_Toc369081683"/>
      <w:bookmarkStart w:id="155" w:name="_Toc418751242"/>
      <w:bookmarkStart w:id="156" w:name="_Toc405822530"/>
      <w:bookmarkStart w:id="157" w:name="_Toc405822034"/>
      <w:bookmarkStart w:id="158" w:name="_Toc456023904"/>
      <w:bookmarkStart w:id="159" w:name="_Toc340330314"/>
      <w:bookmarkStart w:id="160" w:name="_Toc392858974"/>
      <w:bookmarkStart w:id="161" w:name="_Toc454438826"/>
      <w:bookmarkStart w:id="162" w:name="_Toc283573541"/>
      <w:bookmarkStart w:id="163" w:name="_Toc406502943"/>
      <w:bookmarkStart w:id="164" w:name="_Toc489274457"/>
      <w:bookmarkStart w:id="165" w:name="_Toc391971647"/>
      <w:bookmarkStart w:id="166" w:name="_Toc341532554"/>
      <w:bookmarkStart w:id="167" w:name="_Toc350520336"/>
      <w:bookmarkStart w:id="168" w:name="_Toc283577283"/>
      <w:bookmarkStart w:id="169" w:name="_Toc453949177"/>
      <w:bookmarkStart w:id="170" w:name="_Toc499103030"/>
      <w:bookmarkStart w:id="171" w:name="_Toc455395793"/>
      <w:bookmarkStart w:id="172" w:name="_Toc426445897"/>
      <w:bookmarkStart w:id="173" w:name="_Toc339183517"/>
      <w:bookmarkStart w:id="174" w:name="_Toc532394132"/>
      <w:bookmarkStart w:id="175" w:name="_Toc428869214"/>
      <w:bookmarkStart w:id="176" w:name="_Toc486434555"/>
      <w:bookmarkStart w:id="177" w:name="_Toc505259415"/>
      <w:bookmarkStart w:id="178" w:name="_Toc369859528"/>
      <w:bookmarkStart w:id="179" w:name="_Toc339352497"/>
      <w:bookmarkStart w:id="180" w:name="_Toc350697684"/>
      <w:bookmarkStart w:id="181" w:name="_Toc346698515"/>
      <w:bookmarkStart w:id="182" w:name="_Toc346700669"/>
      <w:bookmarkStart w:id="183" w:name="_Toc470253166"/>
      <w:bookmarkStart w:id="184" w:name="_Toc425757896"/>
      <w:bookmarkStart w:id="185" w:name="_Toc18065741"/>
      <w:bookmarkStart w:id="186" w:name="_Toc532646225"/>
      <w:bookmarkStart w:id="187" w:name="_Toc402189278"/>
      <w:bookmarkStart w:id="188" w:name="_Toc454520005"/>
      <w:bookmarkStart w:id="189" w:name="_Toc338745989"/>
      <w:bookmarkStart w:id="190" w:name="_Toc28007302"/>
      <w:bookmarkStart w:id="191" w:name="_Toc346709276"/>
      <w:bookmarkStart w:id="192" w:name="_Toc339135326"/>
      <w:bookmarkStart w:id="193" w:name="_Toc469923278"/>
      <w:bookmarkStart w:id="194" w:name="_Toc485976260"/>
      <w:bookmarkStart w:id="195" w:name="_Toc2673961"/>
      <w:r>
        <w:rPr>
          <w:rFonts w:hint="eastAsia" w:ascii="宋体" w:hAnsi="宋体" w:eastAsia="宋体" w:cs="宋体"/>
          <w:b/>
          <w:sz w:val="21"/>
          <w:szCs w:val="21"/>
        </w:rPr>
        <w:t>三、乙方在廉政建设方面的责任</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1、乙方不得以任何理由向甲方及其工作人员馈赠礼金、礼品和有价证券等财产性权益。</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2、乙方不得以任何名义为甲方及其工作人员报销由甲方或个人支付的任何不当费用。</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3、乙方不得以任何理由邀请甲方工作人员参加对承建的施工项目有影响的宴请、及娱乐活动；不得为其购置或提供通讯工具、交通工具、家电和高档办公用品等财物。</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4、乙方不准为甲方工作人员住房装修、婚丧嫁娶、配偶、子女、亲友出国(境)旅游提供方便；不准为甲方工作人员的配偶、子女及有利害关系的人员安排工作或劳务。</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5、乙方不准违反规定将承建的施工项目分包或转包。</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6、乙方及其工作人员不准与该工程的造价跟踪单位串通，违反工程计量、资金支付、质量验评、竣工验收等有关规定和程序，损害甲方利益，影响工程质量、进度和安全。</w:t>
      </w:r>
    </w:p>
    <w:p>
      <w:pPr>
        <w:pStyle w:val="253"/>
        <w:spacing w:line="360" w:lineRule="auto"/>
        <w:rPr>
          <w:rFonts w:hint="eastAsia" w:ascii="宋体" w:hAnsi="宋体" w:eastAsia="宋体" w:cs="宋体"/>
          <w:b/>
          <w:sz w:val="21"/>
          <w:szCs w:val="21"/>
        </w:rPr>
      </w:pPr>
      <w:bookmarkStart w:id="196" w:name="_Toc416442328"/>
      <w:bookmarkStart w:id="197" w:name="_Toc406502944"/>
      <w:bookmarkStart w:id="198" w:name="_Toc405822531"/>
      <w:bookmarkStart w:id="199" w:name="_Toc18065742"/>
      <w:bookmarkStart w:id="200" w:name="_Toc402189279"/>
      <w:bookmarkStart w:id="201" w:name="_Toc453949178"/>
      <w:bookmarkStart w:id="202" w:name="_Toc338745990"/>
      <w:bookmarkStart w:id="203" w:name="_Toc350697685"/>
      <w:bookmarkStart w:id="204" w:name="_Toc369081684"/>
      <w:bookmarkStart w:id="205" w:name="_Toc428869215"/>
      <w:bookmarkStart w:id="206" w:name="_Toc369859529"/>
      <w:bookmarkStart w:id="207" w:name="_Toc440352449"/>
      <w:bookmarkStart w:id="208" w:name="_Toc507066179"/>
      <w:bookmarkStart w:id="209" w:name="_Toc470253167"/>
      <w:bookmarkStart w:id="210" w:name="_Toc350520337"/>
      <w:bookmarkStart w:id="211" w:name="_Toc505259416"/>
      <w:bookmarkStart w:id="212" w:name="_Toc499103031"/>
      <w:bookmarkStart w:id="213" w:name="_Toc454438827"/>
      <w:bookmarkStart w:id="214" w:name="_Toc454520006"/>
      <w:bookmarkStart w:id="215" w:name="_Toc532646226"/>
      <w:bookmarkStart w:id="216" w:name="_Toc283577284"/>
      <w:bookmarkStart w:id="217" w:name="_Toc456023905"/>
      <w:bookmarkStart w:id="218" w:name="_Toc339352498"/>
      <w:bookmarkStart w:id="219" w:name="_Toc469923279"/>
      <w:bookmarkStart w:id="220" w:name="_Toc346698516"/>
      <w:bookmarkStart w:id="221" w:name="_Toc532394133"/>
      <w:bookmarkStart w:id="222" w:name="_Toc346700670"/>
      <w:bookmarkStart w:id="223" w:name="_Toc351017580"/>
      <w:bookmarkStart w:id="224" w:name="_Toc28007303"/>
      <w:bookmarkStart w:id="225" w:name="_Toc341532555"/>
      <w:bookmarkStart w:id="226" w:name="_Toc283573542"/>
      <w:bookmarkStart w:id="227" w:name="_Toc485976261"/>
      <w:bookmarkStart w:id="228" w:name="_Toc339183518"/>
      <w:bookmarkStart w:id="229" w:name="_Toc486434556"/>
      <w:bookmarkStart w:id="230" w:name="_Toc455395794"/>
      <w:bookmarkStart w:id="231" w:name="_Toc405822035"/>
      <w:bookmarkStart w:id="232" w:name="_Toc340330315"/>
      <w:bookmarkStart w:id="233" w:name="_Toc425757897"/>
      <w:bookmarkStart w:id="234" w:name="_Toc339135327"/>
      <w:bookmarkStart w:id="235" w:name="_Toc392858975"/>
      <w:bookmarkStart w:id="236" w:name="_Toc418751243"/>
      <w:bookmarkStart w:id="237" w:name="_Toc426445898"/>
      <w:bookmarkStart w:id="238" w:name="_Toc346709277"/>
      <w:bookmarkStart w:id="239" w:name="_Toc391971648"/>
      <w:bookmarkStart w:id="240" w:name="_Toc2673962"/>
      <w:bookmarkStart w:id="241" w:name="_Toc489274458"/>
      <w:r>
        <w:rPr>
          <w:rFonts w:hint="eastAsia" w:ascii="宋体" w:hAnsi="宋体" w:eastAsia="宋体" w:cs="宋体"/>
          <w:b/>
          <w:sz w:val="21"/>
          <w:szCs w:val="21"/>
        </w:rPr>
        <w:t>四、违约责任</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1、甲方若违反本“廉政合同”的，对违法违纪人员，由甲方主管部门依据有关规定查处，给乙方造成的损失，按有关规定予以赔偿。</w:t>
      </w:r>
    </w:p>
    <w:p>
      <w:pPr>
        <w:pStyle w:val="25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若违反本“廉政合同”的，视情节轻重，每次给予1～5万元的违约罚款，若严惩违反《廉政合同》的，在2年内不得进入扬州市水利工程建设市场，对违法违纪人员，由乙方主管部门依据有关规定查处，给甲方造成的损失，按有关规定予以赔偿。</w:t>
      </w:r>
    </w:p>
    <w:p>
      <w:pPr>
        <w:pStyle w:val="253"/>
        <w:spacing w:line="360" w:lineRule="auto"/>
        <w:rPr>
          <w:rFonts w:hint="eastAsia" w:ascii="宋体" w:hAnsi="宋体" w:eastAsia="宋体" w:cs="宋体"/>
          <w:b/>
          <w:sz w:val="21"/>
          <w:szCs w:val="21"/>
        </w:rPr>
      </w:pPr>
      <w:bookmarkStart w:id="242" w:name="_Toc339183519"/>
      <w:bookmarkStart w:id="243" w:name="_Toc489274459"/>
      <w:bookmarkStart w:id="244" w:name="_Toc425757898"/>
      <w:bookmarkStart w:id="245" w:name="_Toc283573543"/>
      <w:bookmarkStart w:id="246" w:name="_Toc369859530"/>
      <w:bookmarkStart w:id="247" w:name="_Toc341532556"/>
      <w:bookmarkStart w:id="248" w:name="_Toc346698517"/>
      <w:bookmarkStart w:id="249" w:name="_Toc369081685"/>
      <w:bookmarkStart w:id="250" w:name="_Toc339352499"/>
      <w:bookmarkStart w:id="251" w:name="_Toc454520007"/>
      <w:bookmarkStart w:id="252" w:name="_Toc406502945"/>
      <w:bookmarkStart w:id="253" w:name="_Toc392858976"/>
      <w:bookmarkStart w:id="254" w:name="_Toc532646227"/>
      <w:bookmarkStart w:id="255" w:name="_Toc346709278"/>
      <w:bookmarkStart w:id="256" w:name="_Toc346700671"/>
      <w:bookmarkStart w:id="257" w:name="_Toc18065743"/>
      <w:bookmarkStart w:id="258" w:name="_Toc470253168"/>
      <w:bookmarkStart w:id="259" w:name="_Toc2673963"/>
      <w:bookmarkStart w:id="260" w:name="_Toc440352450"/>
      <w:bookmarkStart w:id="261" w:name="_Toc28007304"/>
      <w:bookmarkStart w:id="262" w:name="_Toc454438828"/>
      <w:bookmarkStart w:id="263" w:name="_Toc418751244"/>
      <w:bookmarkStart w:id="264" w:name="_Toc486434557"/>
      <w:bookmarkStart w:id="265" w:name="_Toc428869216"/>
      <w:bookmarkStart w:id="266" w:name="_Toc469923280"/>
      <w:bookmarkStart w:id="267" w:name="_Toc532394134"/>
      <w:bookmarkStart w:id="268" w:name="_Toc499103032"/>
      <w:bookmarkStart w:id="269" w:name="_Toc456023906"/>
      <w:bookmarkStart w:id="270" w:name="_Toc416442329"/>
      <w:bookmarkStart w:id="271" w:name="_Toc405822532"/>
      <w:bookmarkStart w:id="272" w:name="_Toc426445899"/>
      <w:bookmarkStart w:id="273" w:name="_Toc350697686"/>
      <w:bookmarkStart w:id="274" w:name="_Toc339135328"/>
      <w:bookmarkStart w:id="275" w:name="_Toc283577285"/>
      <w:bookmarkStart w:id="276" w:name="_Toc402189280"/>
      <w:bookmarkStart w:id="277" w:name="_Toc507066180"/>
      <w:bookmarkStart w:id="278" w:name="_Toc453949179"/>
      <w:bookmarkStart w:id="279" w:name="_Toc485976262"/>
      <w:bookmarkStart w:id="280" w:name="_Toc391971649"/>
      <w:bookmarkStart w:id="281" w:name="_Toc351017581"/>
      <w:bookmarkStart w:id="282" w:name="_Toc340330316"/>
      <w:bookmarkStart w:id="283" w:name="_Toc338745991"/>
      <w:bookmarkStart w:id="284" w:name="_Toc350520338"/>
      <w:bookmarkStart w:id="285" w:name="_Toc405822036"/>
      <w:bookmarkStart w:id="286" w:name="_Toc455395795"/>
      <w:bookmarkStart w:id="287" w:name="_Toc505259417"/>
      <w:r>
        <w:rPr>
          <w:rFonts w:hint="eastAsia" w:ascii="宋体" w:hAnsi="宋体" w:eastAsia="宋体" w:cs="宋体"/>
          <w:b/>
          <w:sz w:val="21"/>
          <w:szCs w:val="21"/>
        </w:rPr>
        <w:t>五、对督促单位的约定和授权</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253"/>
        <w:spacing w:line="360" w:lineRule="auto"/>
        <w:ind w:firstLine="420"/>
        <w:rPr>
          <w:rFonts w:hint="eastAsia" w:ascii="宋体" w:hAnsi="宋体" w:eastAsia="宋体" w:cs="宋体"/>
          <w:sz w:val="21"/>
          <w:szCs w:val="21"/>
        </w:rPr>
      </w:pPr>
      <w:r>
        <w:rPr>
          <w:rFonts w:hint="eastAsia" w:ascii="宋体" w:hAnsi="宋体" w:eastAsia="宋体" w:cs="宋体"/>
          <w:sz w:val="21"/>
          <w:szCs w:val="21"/>
        </w:rPr>
        <w:t>双方约定：本合同自愿接受上级纪检监察部门的监督。双方授权督查单位主持本“合同”执行情况的督查，提出在本合同规定规范内的裁定意见，执行本“合同”第四条所规定的处罚。</w:t>
      </w:r>
    </w:p>
    <w:p>
      <w:pPr>
        <w:pStyle w:val="253"/>
        <w:spacing w:line="360" w:lineRule="auto"/>
        <w:rPr>
          <w:rFonts w:hint="eastAsia" w:ascii="宋体" w:hAnsi="宋体" w:eastAsia="宋体" w:cs="宋体"/>
          <w:b/>
          <w:sz w:val="21"/>
          <w:szCs w:val="21"/>
        </w:rPr>
      </w:pPr>
      <w:bookmarkStart w:id="288" w:name="_Toc391971650"/>
      <w:bookmarkStart w:id="289" w:name="_Toc486434558"/>
      <w:bookmarkStart w:id="290" w:name="_Toc453949180"/>
      <w:bookmarkStart w:id="291" w:name="_Toc28007305"/>
      <w:bookmarkStart w:id="292" w:name="_Toc418751245"/>
      <w:bookmarkStart w:id="293" w:name="_Toc283573544"/>
      <w:bookmarkStart w:id="294" w:name="_Toc18065744"/>
      <w:bookmarkStart w:id="295" w:name="_Toc402189281"/>
      <w:bookmarkStart w:id="296" w:name="_Toc426445900"/>
      <w:bookmarkStart w:id="297" w:name="_Toc425757899"/>
      <w:bookmarkStart w:id="298" w:name="_Toc428869217"/>
      <w:bookmarkStart w:id="299" w:name="_Toc440352451"/>
      <w:bookmarkStart w:id="300" w:name="_Toc489274460"/>
      <w:bookmarkStart w:id="301" w:name="_Toc369859531"/>
      <w:bookmarkStart w:id="302" w:name="_Toc2673964"/>
      <w:bookmarkStart w:id="303" w:name="_Toc346698518"/>
      <w:bookmarkStart w:id="304" w:name="_Toc416442330"/>
      <w:bookmarkStart w:id="305" w:name="_Toc455395796"/>
      <w:bookmarkStart w:id="306" w:name="_Toc338745992"/>
      <w:bookmarkStart w:id="307" w:name="_Toc532646228"/>
      <w:bookmarkStart w:id="308" w:name="_Toc369081686"/>
      <w:bookmarkStart w:id="309" w:name="_Toc339135329"/>
      <w:bookmarkStart w:id="310" w:name="_Toc469923281"/>
      <w:bookmarkStart w:id="311" w:name="_Toc532394135"/>
      <w:bookmarkStart w:id="312" w:name="_Toc341532557"/>
      <w:bookmarkStart w:id="313" w:name="_Toc405822533"/>
      <w:bookmarkStart w:id="314" w:name="_Toc499103033"/>
      <w:bookmarkStart w:id="315" w:name="_Toc350520339"/>
      <w:bookmarkStart w:id="316" w:name="_Toc507066181"/>
      <w:bookmarkStart w:id="317" w:name="_Toc351017582"/>
      <w:bookmarkStart w:id="318" w:name="_Toc346709279"/>
      <w:bookmarkStart w:id="319" w:name="_Toc283577286"/>
      <w:bookmarkStart w:id="320" w:name="_Toc454438829"/>
      <w:bookmarkStart w:id="321" w:name="_Toc340330317"/>
      <w:bookmarkStart w:id="322" w:name="_Toc392858977"/>
      <w:bookmarkStart w:id="323" w:name="_Toc339183520"/>
      <w:bookmarkStart w:id="324" w:name="_Toc505259418"/>
      <w:bookmarkStart w:id="325" w:name="_Toc346700672"/>
      <w:bookmarkStart w:id="326" w:name="_Toc485976263"/>
      <w:bookmarkStart w:id="327" w:name="_Toc339352500"/>
      <w:bookmarkStart w:id="328" w:name="_Toc350697687"/>
      <w:bookmarkStart w:id="329" w:name="_Toc470253169"/>
      <w:bookmarkStart w:id="330" w:name="_Toc456023907"/>
      <w:bookmarkStart w:id="331" w:name="_Toc406502946"/>
      <w:bookmarkStart w:id="332" w:name="_Toc405822037"/>
      <w:bookmarkStart w:id="333" w:name="_Toc454520008"/>
      <w:r>
        <w:rPr>
          <w:rFonts w:hint="eastAsia" w:ascii="宋体" w:hAnsi="宋体" w:eastAsia="宋体" w:cs="宋体"/>
          <w:b/>
          <w:sz w:val="21"/>
          <w:szCs w:val="21"/>
        </w:rPr>
        <w:t>六、检查方式</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Style w:val="25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的履约情况检查由督查单位主持，甲乙双方共同派人参加，检查方式为座谈、问卷调查、查看资料或由各方约定的其它方式等。检查时间、次数、检查方式、检查结论和处罚意见等由各方协商确定，如无法达成一致的，由督查单位依据事实裁定。</w:t>
      </w:r>
    </w:p>
    <w:p>
      <w:pPr>
        <w:pStyle w:val="253"/>
        <w:spacing w:line="360" w:lineRule="auto"/>
        <w:rPr>
          <w:rFonts w:hint="eastAsia" w:ascii="宋体" w:hAnsi="宋体" w:eastAsia="宋体" w:cs="宋体"/>
          <w:sz w:val="21"/>
          <w:szCs w:val="21"/>
        </w:rPr>
      </w:pPr>
      <w:bookmarkStart w:id="334" w:name="_Toc455395797"/>
      <w:bookmarkStart w:id="335" w:name="_Toc426445901"/>
      <w:bookmarkStart w:id="336" w:name="_Toc338745993"/>
      <w:bookmarkStart w:id="337" w:name="_Toc532646229"/>
      <w:bookmarkStart w:id="338" w:name="_Toc369859532"/>
      <w:bookmarkStart w:id="339" w:name="_Toc392858978"/>
      <w:bookmarkStart w:id="340" w:name="_Toc489274461"/>
      <w:bookmarkStart w:id="341" w:name="_Toc283577287"/>
      <w:bookmarkStart w:id="342" w:name="_Toc350697688"/>
      <w:bookmarkStart w:id="343" w:name="_Toc402189282"/>
      <w:bookmarkStart w:id="344" w:name="_Toc340330318"/>
      <w:bookmarkStart w:id="345" w:name="_Toc346700673"/>
      <w:bookmarkStart w:id="346" w:name="_Toc469923282"/>
      <w:bookmarkStart w:id="347" w:name="_Toc440352452"/>
      <w:bookmarkStart w:id="348" w:name="_Toc346698519"/>
      <w:bookmarkStart w:id="349" w:name="_Toc418751246"/>
      <w:bookmarkStart w:id="350" w:name="_Toc391971651"/>
      <w:bookmarkStart w:id="351" w:name="_Toc499103034"/>
      <w:bookmarkStart w:id="352" w:name="_Toc485976264"/>
      <w:bookmarkStart w:id="353" w:name="_Toc283573545"/>
      <w:bookmarkStart w:id="354" w:name="_Toc507066182"/>
      <w:bookmarkStart w:id="355" w:name="_Toc425757900"/>
      <w:bookmarkStart w:id="356" w:name="_Toc369081687"/>
      <w:bookmarkStart w:id="357" w:name="_Toc339183521"/>
      <w:bookmarkStart w:id="358" w:name="_Toc456023908"/>
      <w:bookmarkStart w:id="359" w:name="_Toc341532558"/>
      <w:bookmarkStart w:id="360" w:name="_Toc406502947"/>
      <w:bookmarkStart w:id="361" w:name="_Toc28007306"/>
      <w:bookmarkStart w:id="362" w:name="_Toc486434559"/>
      <w:bookmarkStart w:id="363" w:name="_Toc339135330"/>
      <w:bookmarkStart w:id="364" w:name="_Toc428869218"/>
      <w:bookmarkStart w:id="365" w:name="_Toc405822038"/>
      <w:bookmarkStart w:id="366" w:name="_Toc454520009"/>
      <w:bookmarkStart w:id="367" w:name="_Toc532394136"/>
      <w:bookmarkStart w:id="368" w:name="_Toc346709280"/>
      <w:bookmarkStart w:id="369" w:name="_Toc350520340"/>
      <w:bookmarkStart w:id="370" w:name="_Toc2673965"/>
      <w:bookmarkStart w:id="371" w:name="_Toc405822534"/>
      <w:bookmarkStart w:id="372" w:name="_Toc351017583"/>
      <w:bookmarkStart w:id="373" w:name="_Toc453949181"/>
      <w:bookmarkStart w:id="374" w:name="_Toc18065745"/>
      <w:bookmarkStart w:id="375" w:name="_Toc416442331"/>
      <w:bookmarkStart w:id="376" w:name="_Toc339352501"/>
      <w:bookmarkStart w:id="377" w:name="_Toc470253170"/>
      <w:bookmarkStart w:id="378" w:name="_Toc505259419"/>
      <w:bookmarkStart w:id="379" w:name="_Toc454438830"/>
      <w:r>
        <w:rPr>
          <w:rFonts w:hint="eastAsia" w:ascii="宋体" w:hAnsi="宋体" w:eastAsia="宋体" w:cs="宋体"/>
          <w:b/>
          <w:sz w:val="21"/>
          <w:szCs w:val="21"/>
        </w:rPr>
        <w:t>七、</w:t>
      </w:r>
      <w:r>
        <w:rPr>
          <w:rFonts w:hint="eastAsia" w:ascii="宋体" w:hAnsi="宋体" w:eastAsia="宋体" w:cs="宋体"/>
          <w:sz w:val="21"/>
          <w:szCs w:val="21"/>
        </w:rPr>
        <w:t>本“合同”有效期为工程开工之日起至该合同段工程项目竣工验收后止。</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253"/>
        <w:spacing w:line="360" w:lineRule="auto"/>
        <w:rPr>
          <w:rFonts w:hint="eastAsia" w:ascii="宋体" w:hAnsi="宋体" w:eastAsia="宋体" w:cs="宋体"/>
          <w:sz w:val="21"/>
          <w:szCs w:val="21"/>
        </w:rPr>
      </w:pPr>
      <w:bookmarkStart w:id="380" w:name="_Toc340330319"/>
      <w:bookmarkStart w:id="381" w:name="_Toc351017584"/>
      <w:bookmarkStart w:id="382" w:name="_Toc283577288"/>
      <w:bookmarkStart w:id="383" w:name="_Toc369859533"/>
      <w:bookmarkStart w:id="384" w:name="_Toc425757901"/>
      <w:bookmarkStart w:id="385" w:name="_Toc402189283"/>
      <w:bookmarkStart w:id="386" w:name="_Toc507066183"/>
      <w:bookmarkStart w:id="387" w:name="_Toc469923283"/>
      <w:bookmarkStart w:id="388" w:name="_Toc470253171"/>
      <w:bookmarkStart w:id="389" w:name="_Toc405822535"/>
      <w:bookmarkStart w:id="390" w:name="_Toc489274462"/>
      <w:bookmarkStart w:id="391" w:name="_Toc339183522"/>
      <w:bookmarkStart w:id="392" w:name="_Toc369081688"/>
      <w:bookmarkStart w:id="393" w:name="_Toc455395798"/>
      <w:bookmarkStart w:id="394" w:name="_Toc532394137"/>
      <w:bookmarkStart w:id="395" w:name="_Toc346709281"/>
      <w:bookmarkStart w:id="396" w:name="_Toc454438831"/>
      <w:bookmarkStart w:id="397" w:name="_Toc18065746"/>
      <w:bookmarkStart w:id="398" w:name="_Toc391971652"/>
      <w:bookmarkStart w:id="399" w:name="_Toc532646230"/>
      <w:bookmarkStart w:id="400" w:name="_Toc454520010"/>
      <w:bookmarkStart w:id="401" w:name="_Toc341532559"/>
      <w:bookmarkStart w:id="402" w:name="_Toc350697689"/>
      <w:bookmarkStart w:id="403" w:name="_Toc339352502"/>
      <w:bookmarkStart w:id="404" w:name="_Toc426445902"/>
      <w:bookmarkStart w:id="405" w:name="_Toc416442332"/>
      <w:bookmarkStart w:id="406" w:name="_Toc453949182"/>
      <w:bookmarkStart w:id="407" w:name="_Toc499103035"/>
      <w:bookmarkStart w:id="408" w:name="_Toc418751247"/>
      <w:bookmarkStart w:id="409" w:name="_Toc346698520"/>
      <w:bookmarkStart w:id="410" w:name="_Toc28007307"/>
      <w:bookmarkStart w:id="411" w:name="_Toc405822039"/>
      <w:bookmarkStart w:id="412" w:name="_Toc485976265"/>
      <w:bookmarkStart w:id="413" w:name="_Toc428869219"/>
      <w:bookmarkStart w:id="414" w:name="_Toc2673966"/>
      <w:bookmarkStart w:id="415" w:name="_Toc486434560"/>
      <w:bookmarkStart w:id="416" w:name="_Toc440352453"/>
      <w:bookmarkStart w:id="417" w:name="_Toc392858979"/>
      <w:bookmarkStart w:id="418" w:name="_Toc346700674"/>
      <w:bookmarkStart w:id="419" w:name="_Toc350520341"/>
      <w:bookmarkStart w:id="420" w:name="_Toc505259420"/>
      <w:bookmarkStart w:id="421" w:name="_Toc456023909"/>
      <w:bookmarkStart w:id="422" w:name="_Toc339135331"/>
      <w:bookmarkStart w:id="423" w:name="_Toc338745994"/>
      <w:bookmarkStart w:id="424" w:name="_Toc283573546"/>
      <w:bookmarkStart w:id="425" w:name="_Toc406502948"/>
      <w:r>
        <w:rPr>
          <w:rFonts w:hint="eastAsia" w:ascii="宋体" w:hAnsi="宋体" w:eastAsia="宋体" w:cs="宋体"/>
          <w:b/>
          <w:sz w:val="21"/>
          <w:szCs w:val="21"/>
        </w:rPr>
        <w:t>八、</w:t>
      </w:r>
      <w:r>
        <w:rPr>
          <w:rFonts w:hint="eastAsia" w:ascii="宋体" w:hAnsi="宋体" w:eastAsia="宋体" w:cs="宋体"/>
          <w:sz w:val="21"/>
          <w:szCs w:val="21"/>
        </w:rPr>
        <w:t>本“合同”一式陆份，甲、乙双方各持叁份。</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253"/>
        <w:spacing w:line="360" w:lineRule="auto"/>
        <w:rPr>
          <w:rFonts w:hint="eastAsia" w:ascii="宋体" w:hAnsi="宋体" w:eastAsia="宋体" w:cs="宋体"/>
          <w:sz w:val="21"/>
          <w:szCs w:val="21"/>
        </w:rPr>
      </w:pP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 xml:space="preserve">甲  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法定代表人(或授权代理人)：</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地址：</w:t>
      </w:r>
    </w:p>
    <w:p>
      <w:pPr>
        <w:pStyle w:val="253"/>
        <w:spacing w:line="360" w:lineRule="auto"/>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pPr>
        <w:pStyle w:val="17"/>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p>
    <w:p>
      <w:pPr>
        <w:pStyle w:val="18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clear="all"/>
      </w:r>
      <w:r>
        <w:rPr>
          <w:rFonts w:hint="eastAsia" w:ascii="宋体" w:hAnsi="宋体" w:eastAsia="宋体" w:cs="宋体"/>
          <w:color w:val="000000" w:themeColor="text1"/>
          <w:sz w:val="36"/>
          <w:szCs w:val="36"/>
          <w:highlight w:val="none"/>
          <w14:textFill>
            <w14:solidFill>
              <w14:schemeClr w14:val="tx1"/>
            </w14:solidFill>
          </w14:textFill>
        </w:rPr>
        <w:t>第四章 项目需求</w:t>
      </w:r>
      <w:bookmarkEnd w:id="38"/>
      <w:bookmarkEnd w:id="39"/>
    </w:p>
    <w:p>
      <w:pPr>
        <w:spacing w:line="360" w:lineRule="auto"/>
        <w:ind w:firstLine="422"/>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其他要求</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i/>
          <w:iCs/>
          <w:color w:val="000000" w:themeColor="text1"/>
          <w:szCs w:val="21"/>
          <w:highlight w:val="none"/>
          <w:u w:val="single"/>
          <w14:textFill>
            <w14:solidFill>
              <w14:schemeClr w14:val="tx1"/>
            </w14:solidFill>
          </w14:textFill>
        </w:rPr>
        <w:t>如属政府强制采购产品未提供认证证书的或认证证书提供不全的将视为未实质性响应采购要求</w:t>
      </w:r>
      <w:r>
        <w:rPr>
          <w:rFonts w:hint="eastAsia" w:ascii="宋体" w:hAnsi="宋体" w:eastAsia="宋体" w:cs="宋体"/>
          <w:color w:val="000000" w:themeColor="text1"/>
          <w:szCs w:val="21"/>
          <w:highlight w:val="none"/>
          <w14:textFill>
            <w14:solidFill>
              <w14:schemeClr w14:val="tx1"/>
            </w14:solidFill>
          </w14:textFill>
        </w:rPr>
        <w:t>。其他条件相同情况下，应当优先采购节能产品、环境标志产品。</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供应商对于投标产品的包装应按照“财办库〔2020〕123号《关于印发《商品包装政府采购需求标准（试行）》、《快递包装政府采购需求标准（试行）》的通知》”执行。</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本章内容里斜体且有下划线部分为实质性要求和条件，投标文件不满足的，视为无效投标处理。请各供应商制作电子投标文件时，将实质性响应的内容在政府采购交易系统“符合证明文件格式”中准确填写或上传。</w:t>
      </w:r>
    </w:p>
    <w:bookmarkEnd w:id="1"/>
    <w:p>
      <w:pPr>
        <w:pageBreakBefore w:val="0"/>
        <w:spacing w:line="360" w:lineRule="auto"/>
        <w:rPr>
          <w:rFonts w:hint="eastAsia" w:ascii="宋体" w:hAnsi="宋体" w:eastAsia="宋体" w:cs="宋体"/>
          <w:b/>
          <w:szCs w:val="21"/>
        </w:rPr>
      </w:pPr>
      <w:r>
        <w:rPr>
          <w:rFonts w:hint="eastAsia" w:ascii="宋体" w:hAnsi="宋体" w:eastAsia="宋体" w:cs="宋体"/>
          <w:b/>
          <w:szCs w:val="21"/>
        </w:rPr>
        <w:t>所属行业：建筑业</w:t>
      </w:r>
    </w:p>
    <w:p>
      <w:pPr>
        <w:pageBreakBefore w:val="0"/>
        <w:numPr>
          <w:ilvl w:val="0"/>
          <w:numId w:val="2"/>
        </w:numPr>
        <w:spacing w:line="360" w:lineRule="auto"/>
        <w:ind w:firstLine="422"/>
        <w:rPr>
          <w:rFonts w:hint="eastAsia" w:ascii="宋体" w:hAnsi="宋体" w:eastAsia="宋体" w:cs="宋体"/>
          <w:b/>
        </w:rPr>
      </w:pPr>
      <w:r>
        <w:rPr>
          <w:rFonts w:hint="eastAsia" w:ascii="宋体" w:hAnsi="宋体" w:eastAsia="宋体" w:cs="宋体"/>
          <w:b/>
        </w:rPr>
        <w:t>工程概况</w:t>
      </w:r>
    </w:p>
    <w:p>
      <w:pPr>
        <w:pageBreakBefore w:val="0"/>
        <w:numPr>
          <w:ilvl w:val="0"/>
          <w:numId w:val="3"/>
        </w:num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扬州市江都区2026年农村生态河道建设项目二标段(小纪镇)</w:t>
      </w:r>
    </w:p>
    <w:p>
      <w:pPr>
        <w:pageBreakBefore w:val="0"/>
        <w:numPr>
          <w:ilvl w:val="0"/>
          <w:numId w:val="3"/>
        </w:num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项目地点：扬州市江都区</w:t>
      </w:r>
      <w:r>
        <w:rPr>
          <w:rFonts w:hint="eastAsia" w:ascii="宋体" w:hAnsi="宋体" w:eastAsia="宋体" w:cs="宋体"/>
          <w:sz w:val="21"/>
          <w:szCs w:val="21"/>
          <w:lang w:val="en-US" w:eastAsia="zh-CN"/>
        </w:rPr>
        <w:t>小纪镇</w:t>
      </w:r>
    </w:p>
    <w:p>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lang w:eastAsia="zh-CN"/>
        </w:rPr>
      </w:pPr>
      <w:r>
        <w:rPr>
          <w:rFonts w:hint="eastAsia" w:ascii="宋体" w:hAnsi="宋体" w:eastAsia="宋体" w:cs="宋体"/>
          <w:sz w:val="21"/>
          <w:szCs w:val="21"/>
        </w:rPr>
        <w:t>（三）项目范围：施工图纸及工程量清单内的施工</w:t>
      </w:r>
      <w:r>
        <w:rPr>
          <w:rFonts w:hint="eastAsia" w:ascii="宋体" w:hAnsi="宋体" w:eastAsia="宋体" w:cs="宋体"/>
          <w:sz w:val="21"/>
          <w:szCs w:val="21"/>
          <w:lang w:eastAsia="zh-CN"/>
        </w:rPr>
        <w:t>。</w:t>
      </w:r>
    </w:p>
    <w:p>
      <w:pPr>
        <w:pageBreakBefore w:val="0"/>
        <w:spacing w:line="360" w:lineRule="auto"/>
        <w:ind w:left="420" w:firstLine="420" w:firstLineChars="200"/>
        <w:rPr>
          <w:rFonts w:hint="eastAsia" w:ascii="宋体" w:hAnsi="宋体" w:eastAsia="宋体" w:cs="宋体"/>
          <w:sz w:val="21"/>
          <w:szCs w:val="21"/>
          <w:lang w:eastAsia="zh-CN"/>
        </w:rPr>
      </w:pPr>
      <w:r>
        <w:rPr>
          <w:rFonts w:hint="eastAsia" w:ascii="宋体" w:hAnsi="宋体" w:cs="宋体"/>
          <w:sz w:val="21"/>
          <w:szCs w:val="21"/>
          <w:highlight w:val="yellow"/>
          <w:lang w:eastAsia="zh-CN"/>
        </w:rPr>
        <w:t>吴家河，胜利河，石家河，杨中河，四条河约10.72公里</w:t>
      </w:r>
      <w:r>
        <w:rPr>
          <w:rFonts w:hint="eastAsia" w:ascii="宋体" w:hAnsi="宋体" w:eastAsia="宋体" w:cs="宋体"/>
          <w:sz w:val="21"/>
          <w:szCs w:val="21"/>
          <w:highlight w:val="yellow"/>
        </w:rPr>
        <w:t>，河道疏浚、清障、清杂、整坡及绿化等</w:t>
      </w:r>
      <w:r>
        <w:rPr>
          <w:rFonts w:hint="eastAsia" w:ascii="宋体" w:hAnsi="宋体" w:eastAsia="宋体" w:cs="宋体"/>
          <w:sz w:val="21"/>
          <w:szCs w:val="21"/>
          <w:highlight w:val="yellow"/>
          <w:lang w:eastAsia="zh-CN"/>
        </w:rPr>
        <w:t>。</w:t>
      </w:r>
    </w:p>
    <w:p>
      <w:pPr>
        <w:pageBreakBefore w:val="0"/>
        <w:spacing w:line="360" w:lineRule="auto"/>
        <w:ind w:left="420" w:firstLine="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（四）工期：</w:t>
      </w:r>
      <w:r>
        <w:rPr>
          <w:rFonts w:hint="eastAsia" w:ascii="宋体" w:hAnsi="宋体" w:cs="宋体"/>
          <w:color w:val="000000"/>
          <w:sz w:val="21"/>
          <w:szCs w:val="21"/>
          <w:highlight w:val="yellow"/>
          <w:lang w:val="en-US" w:eastAsia="zh-CN"/>
        </w:rPr>
        <w:t>150日历天</w:t>
      </w:r>
      <w:r>
        <w:rPr>
          <w:rFonts w:hint="eastAsia" w:ascii="宋体" w:hAnsi="宋体" w:eastAsia="宋体" w:cs="宋体"/>
          <w:color w:val="000000"/>
          <w:sz w:val="21"/>
          <w:szCs w:val="21"/>
          <w:highlight w:val="none"/>
        </w:rPr>
        <w:t>（开工日期以采购人签发开工令的时间为准）</w:t>
      </w:r>
      <w:r>
        <w:rPr>
          <w:rFonts w:hint="eastAsia" w:ascii="宋体" w:hAnsi="宋体" w:eastAsia="宋体" w:cs="宋体"/>
          <w:b w:val="0"/>
          <w:bCs w:val="0"/>
          <w:sz w:val="21"/>
          <w:szCs w:val="21"/>
          <w:highlight w:val="none"/>
          <w:lang w:eastAsia="zh-CN"/>
        </w:rPr>
        <w:t>。</w:t>
      </w:r>
    </w:p>
    <w:p>
      <w:pPr>
        <w:pageBreakBefore w:val="0"/>
        <w:spacing w:line="360" w:lineRule="auto"/>
        <w:ind w:left="0" w:right="0" w:firstLine="425"/>
        <w:rPr>
          <w:rFonts w:hint="eastAsia" w:ascii="宋体" w:hAnsi="宋体" w:eastAsia="宋体" w:cs="宋体"/>
          <w:sz w:val="21"/>
          <w:szCs w:val="21"/>
          <w:highlight w:val="none"/>
        </w:rPr>
      </w:pPr>
      <w:r>
        <w:rPr>
          <w:rFonts w:hint="eastAsia" w:ascii="宋体" w:hAnsi="宋体" w:eastAsia="宋体" w:cs="宋体"/>
          <w:sz w:val="21"/>
          <w:szCs w:val="21"/>
        </w:rPr>
        <w:t>（五）质量要求：合格，</w:t>
      </w:r>
      <w:r>
        <w:rPr>
          <w:rFonts w:hint="eastAsia" w:ascii="宋体" w:hAnsi="宋体" w:eastAsia="宋体" w:cs="宋体"/>
          <w:sz w:val="21"/>
          <w:szCs w:val="21"/>
          <w:highlight w:val="none"/>
        </w:rPr>
        <w:t>本工程质量检验与评定执行符合《水利工程施工质量检验与评定规范》（DB32/T2334-2013）</w:t>
      </w:r>
    </w:p>
    <w:p>
      <w:pPr>
        <w:pageBreakBefore w:val="0"/>
        <w:spacing w:line="360" w:lineRule="auto"/>
        <w:ind w:left="0" w:right="0" w:firstLine="425"/>
        <w:rPr>
          <w:rFonts w:hint="eastAsia" w:ascii="宋体" w:hAnsi="宋体" w:eastAsia="宋体" w:cs="宋体"/>
          <w:sz w:val="21"/>
          <w:szCs w:val="21"/>
        </w:rPr>
      </w:pPr>
      <w:r>
        <w:rPr>
          <w:rFonts w:hint="eastAsia" w:ascii="宋体" w:hAnsi="宋体" w:eastAsia="宋体" w:cs="宋体"/>
          <w:sz w:val="21"/>
          <w:szCs w:val="21"/>
        </w:rPr>
        <w:t>（六）最高限价</w:t>
      </w:r>
      <w:r>
        <w:rPr>
          <w:rFonts w:hint="eastAsia" w:ascii="宋体" w:hAnsi="宋体" w:eastAsia="宋体" w:cs="宋体"/>
          <w:sz w:val="21"/>
          <w:szCs w:val="21"/>
          <w:highlight w:val="none"/>
        </w:rPr>
        <w:t>：</w:t>
      </w:r>
      <w:r>
        <w:rPr>
          <w:rFonts w:hint="eastAsia" w:ascii="宋体" w:hAnsi="宋体" w:cs="宋体"/>
          <w:sz w:val="21"/>
          <w:szCs w:val="21"/>
          <w:highlight w:val="yellow"/>
          <w:lang w:val="en-US" w:eastAsia="zh-CN"/>
        </w:rPr>
        <w:t>183.113609</w:t>
      </w:r>
      <w:r>
        <w:rPr>
          <w:rFonts w:hint="eastAsia" w:ascii="宋体" w:hAnsi="宋体" w:eastAsia="宋体" w:cs="宋体"/>
          <w:sz w:val="21"/>
          <w:szCs w:val="21"/>
          <w:highlight w:val="yellow"/>
          <w:lang w:val="en-US" w:eastAsia="zh-CN"/>
        </w:rPr>
        <w:t>万元</w:t>
      </w:r>
      <w:r>
        <w:rPr>
          <w:rFonts w:hint="eastAsia" w:ascii="宋体" w:hAnsi="宋体" w:eastAsia="宋体" w:cs="宋体"/>
          <w:sz w:val="21"/>
          <w:szCs w:val="21"/>
          <w:highlight w:val="none"/>
          <w:lang w:val="en-US" w:eastAsia="zh-CN"/>
        </w:rPr>
        <w:t>。报价高于最高限价的为无效标，按照无效响应处理。</w:t>
      </w:r>
    </w:p>
    <w:p>
      <w:pPr>
        <w:pStyle w:val="14"/>
        <w:spacing w:line="360" w:lineRule="auto"/>
        <w:rPr>
          <w:rFonts w:hint="eastAsia" w:ascii="宋体" w:hAnsi="宋体" w:eastAsia="宋体" w:cs="宋体"/>
          <w:b/>
          <w:bCs/>
          <w:szCs w:val="21"/>
        </w:rPr>
      </w:pPr>
      <w:r>
        <w:rPr>
          <w:rFonts w:hint="eastAsia" w:ascii="宋体" w:hAnsi="宋体" w:eastAsia="宋体" w:cs="宋体"/>
          <w:b/>
          <w:bCs/>
          <w:szCs w:val="21"/>
        </w:rPr>
        <w:t>二、技术要求（项目需求）</w:t>
      </w:r>
    </w:p>
    <w:p>
      <w:pPr>
        <w:pStyle w:val="14"/>
        <w:spacing w:line="360" w:lineRule="auto"/>
        <w:ind w:left="0" w:firstLine="420"/>
        <w:rPr>
          <w:rFonts w:hint="eastAsia" w:ascii="宋体" w:hAnsi="宋体" w:eastAsia="宋体" w:cs="宋体"/>
          <w:szCs w:val="22"/>
        </w:rPr>
      </w:pPr>
      <w:r>
        <w:rPr>
          <w:rFonts w:hint="eastAsia" w:ascii="宋体" w:hAnsi="宋体" w:eastAsia="宋体" w:cs="宋体"/>
          <w:szCs w:val="22"/>
        </w:rPr>
        <w:t>1、服务质量要求：符合法律、法规的要求；投标中所涉及的所有技术指标均应满足国家现行的相关施工规范和标准。满足招标人要求，质量标准为合格。</w:t>
      </w:r>
    </w:p>
    <w:p>
      <w:pPr>
        <w:pStyle w:val="14"/>
        <w:spacing w:line="360" w:lineRule="auto"/>
        <w:rPr>
          <w:rFonts w:hint="eastAsia" w:ascii="宋体" w:hAnsi="宋体" w:eastAsia="宋体" w:cs="宋体"/>
          <w:szCs w:val="22"/>
        </w:rPr>
      </w:pPr>
      <w:r>
        <w:rPr>
          <w:rFonts w:hint="eastAsia" w:ascii="宋体" w:hAnsi="宋体" w:eastAsia="宋体" w:cs="宋体"/>
          <w:szCs w:val="22"/>
        </w:rPr>
        <w:t>2、供应商必须按照国家有关规范、标准完成施工。</w:t>
      </w:r>
    </w:p>
    <w:p>
      <w:pPr>
        <w:pStyle w:val="14"/>
        <w:spacing w:line="360" w:lineRule="auto"/>
        <w:rPr>
          <w:rFonts w:hint="eastAsia" w:ascii="宋体" w:hAnsi="宋体" w:eastAsia="宋体" w:cs="宋体"/>
          <w:szCs w:val="22"/>
        </w:rPr>
      </w:pPr>
      <w:r>
        <w:rPr>
          <w:rFonts w:hint="eastAsia" w:ascii="宋体" w:hAnsi="宋体" w:eastAsia="宋体" w:cs="宋体"/>
          <w:szCs w:val="22"/>
        </w:rPr>
        <w:t>3、供应商根据招标清单进行施工。</w:t>
      </w:r>
    </w:p>
    <w:p>
      <w:pPr>
        <w:pStyle w:val="14"/>
        <w:spacing w:line="360" w:lineRule="auto"/>
        <w:ind w:left="0" w:firstLine="420"/>
        <w:rPr>
          <w:rFonts w:hint="eastAsia" w:ascii="宋体" w:hAnsi="宋体" w:eastAsia="宋体" w:cs="宋体"/>
          <w:szCs w:val="22"/>
        </w:rPr>
      </w:pPr>
      <w:r>
        <w:rPr>
          <w:rFonts w:hint="eastAsia" w:ascii="宋体" w:hAnsi="宋体" w:eastAsia="宋体" w:cs="宋体"/>
          <w:szCs w:val="22"/>
        </w:rPr>
        <w:t>4、项目实施过程中，如招标人提出施工内容调整、变更需求的，中标人应对施工内容进行相应调整和变更，结算单价不变，工程量按实计算，但变更内容价格不得超过中标价的10%。（所有现场变更签证必须经招标人及监理确认签证）。</w:t>
      </w:r>
    </w:p>
    <w:p>
      <w:pPr>
        <w:pStyle w:val="14"/>
        <w:spacing w:line="360" w:lineRule="auto"/>
        <w:ind w:left="0" w:firstLine="420"/>
        <w:rPr>
          <w:rFonts w:hint="eastAsia" w:ascii="宋体" w:hAnsi="宋体" w:eastAsia="宋体" w:cs="宋体"/>
          <w:szCs w:val="22"/>
        </w:rPr>
      </w:pPr>
      <w:r>
        <w:rPr>
          <w:rFonts w:hint="eastAsia" w:ascii="宋体" w:hAnsi="宋体" w:eastAsia="宋体" w:cs="宋体"/>
          <w:szCs w:val="22"/>
        </w:rPr>
        <w:t>5、根据《水利水电工程等级划分及洪水标准》（SL252-2017）有关规定，确定本工程：</w:t>
      </w:r>
      <w:r>
        <w:rPr>
          <w:rFonts w:hint="eastAsia" w:ascii="宋体" w:hAnsi="宋体" w:eastAsia="宋体" w:cs="宋体"/>
          <w:szCs w:val="22"/>
          <w:highlight w:val="cyan"/>
        </w:rPr>
        <w:t>工程等别为IV等，河道工程级别为4级。</w:t>
      </w:r>
      <w:r>
        <w:rPr>
          <w:rFonts w:hint="eastAsia" w:ascii="宋体" w:hAnsi="宋体" w:eastAsia="宋体" w:cs="宋体"/>
          <w:szCs w:val="22"/>
        </w:rPr>
        <w:t>。</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lang w:val="en-US" w:eastAsia="zh-CN"/>
        </w:rPr>
        <w:t>6、</w:t>
      </w:r>
      <w:r>
        <w:rPr>
          <w:rFonts w:hint="eastAsia" w:ascii="宋体" w:hAnsi="宋体" w:eastAsia="宋体" w:cs="宋体"/>
          <w:szCs w:val="22"/>
          <w:highlight w:val="none"/>
        </w:rPr>
        <w:t>供应商应确保其技术建议以及所提供的设施设备的完整性、实用性，保证全部工作面及时投入正常使用。所有施工材料应符合要求，并满足施工工期、施工安全的需要；若出现因供应商提供的设施设备不满足要求、不合理，或者其所提供的技术支持和服务不全面，而导致无法实现或不能完全实现的状况，供应商负全部责任。</w:t>
      </w:r>
    </w:p>
    <w:p>
      <w:pPr>
        <w:pStyle w:val="14"/>
        <w:spacing w:line="360" w:lineRule="auto"/>
        <w:ind w:left="0" w:firstLine="420"/>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7、</w:t>
      </w:r>
      <w:r>
        <w:rPr>
          <w:rFonts w:hint="eastAsia" w:ascii="宋体" w:hAnsi="宋体" w:eastAsia="宋体" w:cs="宋体"/>
          <w:szCs w:val="22"/>
          <w:highlight w:val="none"/>
        </w:rPr>
        <w:t>验收：采购项目总体验收。项目施工完成后，由采购人会同本项目供应商组织开展对所有施工项目的验收工作并形成专门的验收报告。如验收不通过的项目，供应商应无条件进行整改直至验收通过。本工程验收按</w:t>
      </w:r>
      <w:r>
        <w:rPr>
          <w:rFonts w:hint="eastAsia" w:ascii="宋体" w:hAnsi="宋体" w:cs="宋体"/>
          <w:szCs w:val="22"/>
          <w:highlight w:val="cyan"/>
          <w:lang w:eastAsia="zh-CN"/>
        </w:rPr>
        <w:t>《水利水电建设工程验收规程》（SLT223—2025）</w:t>
      </w:r>
      <w:r>
        <w:rPr>
          <w:rFonts w:hint="eastAsia" w:ascii="宋体" w:hAnsi="宋体" w:eastAsia="宋体" w:cs="宋体"/>
          <w:szCs w:val="22"/>
          <w:highlight w:val="none"/>
        </w:rPr>
        <w:t>的规定执行。</w:t>
      </w:r>
    </w:p>
    <w:p>
      <w:pPr>
        <w:spacing w:line="360" w:lineRule="auto"/>
        <w:ind w:firstLine="304"/>
        <w:rPr>
          <w:rFonts w:hint="eastAsia" w:ascii="宋体" w:hAnsi="宋体" w:eastAsia="宋体" w:cs="宋体"/>
          <w:b/>
          <w:bCs/>
          <w:szCs w:val="21"/>
        </w:rPr>
      </w:pPr>
      <w:r>
        <w:rPr>
          <w:rFonts w:hint="eastAsia" w:ascii="宋体" w:hAnsi="宋体" w:eastAsia="宋体" w:cs="宋体"/>
          <w:b/>
          <w:bCs/>
          <w:szCs w:val="21"/>
        </w:rPr>
        <w:t>三、投标报价说明</w:t>
      </w:r>
    </w:p>
    <w:p>
      <w:pPr>
        <w:pStyle w:val="14"/>
        <w:spacing w:line="360" w:lineRule="auto"/>
        <w:ind w:left="0" w:firstLine="420"/>
        <w:rPr>
          <w:rFonts w:hint="eastAsia" w:ascii="宋体" w:hAnsi="宋体" w:eastAsia="宋体" w:cs="宋体"/>
          <w:bCs/>
          <w:szCs w:val="21"/>
        </w:rPr>
      </w:pPr>
      <w:r>
        <w:rPr>
          <w:rFonts w:hint="eastAsia" w:ascii="宋体" w:hAnsi="宋体" w:eastAsia="宋体" w:cs="宋体"/>
          <w:bCs/>
          <w:szCs w:val="21"/>
        </w:rPr>
        <w:t>1、工程量清单仅是投标人投标报价的共同基础，除另有约定外，工程量清单中的工程量是按</w:t>
      </w:r>
      <w:r>
        <w:rPr>
          <w:rFonts w:hint="eastAsia" w:ascii="宋体" w:hAnsi="宋体" w:eastAsia="宋体" w:cs="宋体"/>
          <w:bCs/>
          <w:szCs w:val="21"/>
          <w:highlight w:val="yellow"/>
        </w:rPr>
        <w:t>《水利工程工程量清单计价规范》（GB50501-2007）</w:t>
      </w:r>
      <w:r>
        <w:rPr>
          <w:rFonts w:hint="eastAsia" w:ascii="宋体" w:hAnsi="宋体" w:eastAsia="宋体" w:cs="宋体"/>
          <w:bCs/>
          <w:szCs w:val="21"/>
        </w:rPr>
        <w:t>计算规则计算的用于投标报价的估算工程量，不作为最终结算的工程量；最终结算工程量是承包人实际完成并符合技术标准和要求和《水利工程工程量清单计价规范》（GB50501-2007）计算规则等规定，按施工图纸计算的有效工程量。</w:t>
      </w:r>
    </w:p>
    <w:p>
      <w:pPr>
        <w:pStyle w:val="14"/>
        <w:spacing w:line="360" w:lineRule="auto"/>
        <w:ind w:left="0" w:firstLine="420"/>
        <w:rPr>
          <w:rFonts w:hint="eastAsia" w:ascii="宋体" w:hAnsi="宋体" w:eastAsia="宋体" w:cs="宋体"/>
          <w:bCs/>
          <w:szCs w:val="21"/>
        </w:rPr>
      </w:pPr>
      <w:r>
        <w:rPr>
          <w:rFonts w:hint="eastAsia" w:ascii="宋体" w:hAnsi="宋体" w:eastAsia="宋体" w:cs="宋体"/>
          <w:bCs/>
          <w:szCs w:val="21"/>
        </w:rPr>
        <w:t>2、工程量清单中各项目的工作内容和要求应同时符合《水利工程工程量清单计价规范》（GB50501-2007）、江苏省水利厅苏水基[2011]21号《江苏省水利工程招标投标文件工程量清单格式》和相关技术标准和要求的规定，并以技术标准和要求的约定优先。</w:t>
      </w:r>
    </w:p>
    <w:p>
      <w:pPr>
        <w:pStyle w:val="14"/>
        <w:spacing w:line="360" w:lineRule="auto"/>
        <w:ind w:left="0" w:firstLine="420"/>
        <w:rPr>
          <w:rFonts w:hint="eastAsia" w:ascii="宋体" w:hAnsi="宋体" w:eastAsia="宋体" w:cs="宋体"/>
          <w:bCs/>
          <w:szCs w:val="21"/>
        </w:rPr>
      </w:pPr>
      <w:r>
        <w:rPr>
          <w:rFonts w:hint="eastAsia" w:ascii="宋体" w:hAnsi="宋体" w:eastAsia="宋体" w:cs="宋体"/>
          <w:bCs/>
          <w:szCs w:val="21"/>
        </w:rPr>
        <w:t>3、工程价款的支付遵循合同条款的约定。</w:t>
      </w:r>
    </w:p>
    <w:p>
      <w:pPr>
        <w:pStyle w:val="14"/>
        <w:spacing w:line="360" w:lineRule="auto"/>
        <w:ind w:left="0" w:firstLine="420"/>
        <w:rPr>
          <w:rFonts w:hint="eastAsia" w:ascii="宋体" w:hAnsi="宋体" w:eastAsia="宋体" w:cs="宋体"/>
          <w:bCs/>
          <w:szCs w:val="21"/>
        </w:rPr>
      </w:pPr>
      <w:r>
        <w:rPr>
          <w:rFonts w:hint="eastAsia" w:ascii="宋体" w:hAnsi="宋体" w:eastAsia="宋体" w:cs="宋体"/>
          <w:bCs/>
          <w:szCs w:val="21"/>
        </w:rPr>
        <w:t>4、本合同为</w:t>
      </w:r>
      <w:r>
        <w:rPr>
          <w:rFonts w:hint="eastAsia" w:ascii="宋体" w:hAnsi="宋体" w:eastAsia="宋体" w:cs="宋体"/>
          <w:bCs/>
          <w:szCs w:val="21"/>
          <w:highlight w:val="red"/>
        </w:rPr>
        <w:t>固定单价合同（部分为总价）</w:t>
      </w:r>
      <w:r>
        <w:rPr>
          <w:rFonts w:hint="eastAsia" w:ascii="宋体" w:hAnsi="宋体" w:eastAsia="宋体" w:cs="宋体"/>
          <w:bCs/>
          <w:szCs w:val="21"/>
        </w:rPr>
        <w:t>，除合同条款另有约定外，不作任何价格调整。</w:t>
      </w:r>
    </w:p>
    <w:p>
      <w:pPr>
        <w:pStyle w:val="14"/>
        <w:spacing w:line="360" w:lineRule="auto"/>
        <w:ind w:left="0" w:firstLine="420"/>
        <w:rPr>
          <w:rFonts w:hint="eastAsia" w:ascii="宋体" w:hAnsi="宋体" w:eastAsia="宋体" w:cs="宋体"/>
          <w:bCs/>
          <w:sz w:val="24"/>
          <w:szCs w:val="24"/>
          <w:highlight w:val="cyan"/>
        </w:rPr>
      </w:pPr>
      <w:r>
        <w:rPr>
          <w:rFonts w:hint="eastAsia" w:ascii="宋体" w:hAnsi="宋体" w:cs="宋体"/>
          <w:bCs/>
          <w:sz w:val="24"/>
          <w:szCs w:val="24"/>
          <w:highlight w:val="yellow"/>
          <w:lang w:val="en-US" w:eastAsia="zh-CN"/>
        </w:rPr>
        <w:t>5</w:t>
      </w:r>
      <w:r>
        <w:rPr>
          <w:rFonts w:hint="eastAsia" w:ascii="宋体" w:hAnsi="宋体" w:eastAsia="宋体" w:cs="宋体"/>
          <w:bCs/>
          <w:sz w:val="24"/>
          <w:szCs w:val="24"/>
          <w:highlight w:val="yellow"/>
        </w:rPr>
        <w:t>、</w:t>
      </w:r>
      <w:r>
        <w:rPr>
          <w:rFonts w:hint="eastAsia" w:ascii="宋体" w:hAnsi="宋体" w:eastAsia="宋体" w:cs="宋体"/>
          <w:bCs/>
          <w:sz w:val="24"/>
          <w:szCs w:val="24"/>
          <w:highlight w:val="cyan"/>
        </w:rPr>
        <w:t>供应商报价时应考虑一些不可预见的费用，包括但不限于弃土区（排泥场）、临时用地、临时用电的矛盾协调、赔青、土源及运距、排泥管线输送长度、破坏的路面等原状恢复等；供应商报价时应将上述费用在投标报价中综合考虑，必要时采购人予以协助，供应商还应综合考虑相关施工措施费用，并包含在投标报价中，采购人不另行支付。</w:t>
      </w:r>
    </w:p>
    <w:p>
      <w:pPr>
        <w:pStyle w:val="14"/>
        <w:spacing w:line="360" w:lineRule="auto"/>
        <w:ind w:left="0" w:firstLine="420"/>
        <w:rPr>
          <w:rFonts w:hint="eastAsia" w:ascii="宋体" w:hAnsi="宋体" w:eastAsia="宋体" w:cs="宋体"/>
          <w:bCs/>
          <w:sz w:val="24"/>
          <w:szCs w:val="24"/>
          <w:highlight w:val="cyan"/>
        </w:rPr>
      </w:pPr>
      <w:r>
        <w:rPr>
          <w:rFonts w:hint="eastAsia" w:ascii="宋体" w:hAnsi="宋体" w:cs="宋体"/>
          <w:bCs/>
          <w:sz w:val="24"/>
          <w:szCs w:val="24"/>
          <w:highlight w:val="cyan"/>
          <w:lang w:val="en-US" w:eastAsia="zh-CN"/>
        </w:rPr>
        <w:t>6</w:t>
      </w:r>
      <w:r>
        <w:rPr>
          <w:rFonts w:hint="eastAsia" w:ascii="宋体" w:hAnsi="宋体" w:eastAsia="宋体" w:cs="宋体"/>
          <w:bCs/>
          <w:sz w:val="24"/>
          <w:szCs w:val="24"/>
          <w:highlight w:val="cyan"/>
        </w:rPr>
        <w:t>、成交供应商进场施工前邀请监理、测绘、业主单位进行复测，如有问题由测绘单位会同监理、甲方共同协商解决。</w:t>
      </w:r>
    </w:p>
    <w:p>
      <w:pPr>
        <w:pStyle w:val="14"/>
        <w:spacing w:line="360" w:lineRule="auto"/>
        <w:ind w:left="0" w:firstLine="420"/>
        <w:rPr>
          <w:rFonts w:hint="eastAsia" w:ascii="宋体" w:hAnsi="宋体" w:eastAsia="宋体" w:cs="宋体"/>
          <w:bCs/>
          <w:szCs w:val="21"/>
        </w:rPr>
      </w:pPr>
      <w:r>
        <w:rPr>
          <w:rFonts w:hint="eastAsia" w:ascii="宋体" w:hAnsi="宋体" w:cs="宋体"/>
          <w:bCs/>
          <w:szCs w:val="21"/>
          <w:lang w:val="en-US" w:eastAsia="zh-CN"/>
        </w:rPr>
        <w:t>7</w:t>
      </w:r>
      <w:r>
        <w:rPr>
          <w:rFonts w:hint="eastAsia" w:ascii="宋体" w:hAnsi="宋体" w:eastAsia="宋体" w:cs="宋体"/>
          <w:bCs/>
          <w:szCs w:val="21"/>
        </w:rPr>
        <w:t>、工程量清单中实行固定总价承包的项目所提供的工程量是用作投标报价的工程量（此工程量为设计估算工程量，仅供参考。承包人应按提供的招标图纸及现场查勘资料认真复核实际工程量，进行计算和填报总价），由监理人审查确认按专用条款付款进度要求以工程量清单提供的细目和项目总价支付、结算；实行固定单价承包的项目工程量是用作投标报价的估算工程量，不作为最终结算的工程量，用于结算的工程量是承包人实际完成的，并按合同有关计量规定计量的工程量，支付应以施工详图和按监理工程师指示完成的实际数量为依据。月计量支付由承包人测量、监理人审查确认并按工程量清单的细目按专用条款付款进度要求结算，最终结算以国家审计核算的工程项目总价为准。</w:t>
      </w:r>
    </w:p>
    <w:p>
      <w:pPr>
        <w:pStyle w:val="14"/>
        <w:spacing w:line="360" w:lineRule="auto"/>
        <w:ind w:left="0" w:firstLine="420"/>
        <w:rPr>
          <w:rFonts w:hint="eastAsia" w:ascii="宋体" w:hAnsi="宋体" w:eastAsia="宋体" w:cs="宋体"/>
          <w:bCs/>
          <w:szCs w:val="21"/>
        </w:rPr>
      </w:pPr>
      <w:r>
        <w:rPr>
          <w:rFonts w:hint="eastAsia" w:ascii="宋体" w:hAnsi="宋体" w:cs="宋体"/>
          <w:bCs/>
          <w:szCs w:val="21"/>
          <w:lang w:val="en-US" w:eastAsia="zh-CN"/>
        </w:rPr>
        <w:t>8</w:t>
      </w:r>
      <w:r>
        <w:rPr>
          <w:rFonts w:hint="eastAsia" w:ascii="宋体" w:hAnsi="宋体" w:eastAsia="宋体" w:cs="宋体"/>
          <w:bCs/>
          <w:szCs w:val="21"/>
        </w:rPr>
        <w:t>、工程量清单中未注明总价承包的项目，均为单价承包项目。</w:t>
      </w:r>
    </w:p>
    <w:p>
      <w:pPr>
        <w:pStyle w:val="14"/>
        <w:spacing w:line="360" w:lineRule="auto"/>
        <w:ind w:left="0" w:firstLine="420"/>
        <w:rPr>
          <w:rFonts w:hint="eastAsia" w:ascii="宋体" w:hAnsi="宋体" w:eastAsia="宋体" w:cs="宋体"/>
          <w:bCs/>
          <w:szCs w:val="21"/>
        </w:rPr>
      </w:pPr>
      <w:r>
        <w:rPr>
          <w:rFonts w:hint="eastAsia" w:ascii="宋体" w:hAnsi="宋体" w:cs="宋体"/>
          <w:bCs/>
          <w:szCs w:val="21"/>
          <w:lang w:val="en-US" w:eastAsia="zh-CN"/>
        </w:rPr>
        <w:t>9</w:t>
      </w:r>
      <w:r>
        <w:rPr>
          <w:rFonts w:hint="eastAsia" w:ascii="宋体" w:hAnsi="宋体" w:eastAsia="宋体" w:cs="宋体"/>
          <w:bCs/>
          <w:szCs w:val="21"/>
        </w:rPr>
        <w:t>、措施项目报价分解表，按措施项目的工作内容、单位、单价、数量、合价填写，填写的合价应与措施项目清单计价表中的相应合价相同。措施项目清单计价表中的每一措施项目均应填报措施项目报价分解表，并将作为支付的依据。</w:t>
      </w:r>
    </w:p>
    <w:p>
      <w:pPr>
        <w:pStyle w:val="14"/>
        <w:spacing w:line="360" w:lineRule="auto"/>
        <w:ind w:left="0" w:firstLine="420"/>
        <w:rPr>
          <w:rFonts w:hint="eastAsia" w:ascii="宋体" w:hAnsi="宋体" w:eastAsia="宋体" w:cs="宋体"/>
          <w:bCs/>
          <w:szCs w:val="21"/>
        </w:rPr>
      </w:pPr>
      <w:r>
        <w:rPr>
          <w:rFonts w:hint="eastAsia" w:ascii="宋体" w:hAnsi="宋体" w:cs="宋体"/>
          <w:bCs/>
          <w:szCs w:val="21"/>
          <w:lang w:val="en-US" w:eastAsia="zh-CN"/>
        </w:rPr>
        <w:t>10</w:t>
      </w:r>
      <w:r>
        <w:rPr>
          <w:rFonts w:hint="eastAsia" w:ascii="宋体" w:hAnsi="宋体" w:eastAsia="宋体" w:cs="宋体"/>
          <w:bCs/>
          <w:szCs w:val="21"/>
        </w:rPr>
        <w:t>、在施工过程中，与交通、城市管理、运输管理部门的协调及对当地居民生活影响所造成的矛盾处置等所发生的费用，由承包人自行考虑，包含在投标报价中。</w:t>
      </w:r>
    </w:p>
    <w:p>
      <w:pPr>
        <w:pStyle w:val="14"/>
        <w:spacing w:line="360" w:lineRule="auto"/>
        <w:ind w:left="0" w:firstLine="420"/>
        <w:rPr>
          <w:rFonts w:hint="eastAsia" w:ascii="宋体" w:hAnsi="宋体" w:eastAsia="宋体" w:cs="宋体"/>
          <w:bCs/>
          <w:szCs w:val="21"/>
        </w:rPr>
      </w:pPr>
      <w:r>
        <w:rPr>
          <w:rFonts w:hint="eastAsia" w:ascii="宋体" w:hAnsi="宋体" w:cs="宋体"/>
          <w:bCs/>
          <w:szCs w:val="21"/>
          <w:lang w:val="en-US" w:eastAsia="zh-CN"/>
        </w:rPr>
        <w:t>11</w:t>
      </w:r>
      <w:r>
        <w:rPr>
          <w:rFonts w:hint="eastAsia" w:ascii="宋体" w:hAnsi="宋体" w:eastAsia="宋体" w:cs="宋体"/>
          <w:bCs/>
          <w:szCs w:val="21"/>
        </w:rPr>
        <w:t>、安全生产与文明施工措施费其费用组成应执行</w:t>
      </w:r>
      <w:r>
        <w:rPr>
          <w:rFonts w:hint="eastAsia" w:ascii="宋体" w:hAnsi="宋体" w:eastAsia="宋体" w:cs="宋体"/>
          <w:bCs/>
          <w:szCs w:val="21"/>
          <w:highlight w:val="yellow"/>
        </w:rPr>
        <w:t>江苏省水利厅苏水安【2017】3号文</w:t>
      </w:r>
      <w:r>
        <w:rPr>
          <w:rFonts w:hint="eastAsia" w:ascii="宋体" w:hAnsi="宋体" w:eastAsia="宋体" w:cs="宋体"/>
          <w:bCs/>
          <w:szCs w:val="21"/>
        </w:rPr>
        <w:t>的规定内容（详见本招标文件工程量清单措施项目费用清单“江苏省水利工程文明措施费分解表”）。投标文件已标价的工程量清单中应按本招标文件附件所提供的格式及内容提交安全文明措施费分解表明细组成，逐项报价，并作为投标报价必要的组成部分、作为今后的支付依据。进场后由承包人申报并经审核后，所报各子项项目合计费用高于中标的“安全生产与文明施工措施费”总价费用的，超出部分不予支付，按中标的“安全生产与文明施工措施费”总价费用支付；所报各子项项目合计费用低于中标的“安全生产与文明施工措施费”总价费用的，按实支付。</w:t>
      </w:r>
    </w:p>
    <w:p>
      <w:pPr>
        <w:pStyle w:val="14"/>
        <w:spacing w:line="360" w:lineRule="auto"/>
        <w:ind w:left="0" w:firstLine="420"/>
        <w:rPr>
          <w:rFonts w:hint="eastAsia" w:ascii="宋体" w:hAnsi="宋体" w:eastAsia="宋体" w:cs="宋体"/>
          <w:b/>
          <w:bCs w:val="0"/>
          <w:i/>
          <w:iCs/>
          <w:szCs w:val="21"/>
          <w:u w:val="single"/>
        </w:rPr>
      </w:pPr>
      <w:r>
        <w:rPr>
          <w:rFonts w:hint="eastAsia" w:ascii="宋体" w:hAnsi="宋体" w:eastAsia="宋体" w:cs="宋体"/>
          <w:b/>
          <w:bCs w:val="0"/>
          <w:i/>
          <w:iCs/>
          <w:szCs w:val="21"/>
          <w:u w:val="single"/>
        </w:rPr>
        <w:t>1</w:t>
      </w:r>
      <w:r>
        <w:rPr>
          <w:rFonts w:hint="eastAsia" w:ascii="宋体" w:hAnsi="宋体" w:cs="宋体"/>
          <w:b/>
          <w:bCs w:val="0"/>
          <w:i/>
          <w:iCs/>
          <w:szCs w:val="21"/>
          <w:u w:val="single"/>
          <w:lang w:val="en-US" w:eastAsia="zh-CN"/>
        </w:rPr>
        <w:t>2</w:t>
      </w:r>
      <w:r>
        <w:rPr>
          <w:rFonts w:hint="eastAsia" w:ascii="宋体" w:hAnsi="宋体" w:eastAsia="宋体" w:cs="宋体"/>
          <w:b/>
          <w:bCs w:val="0"/>
          <w:i/>
          <w:iCs/>
          <w:szCs w:val="21"/>
          <w:u w:val="single"/>
        </w:rPr>
        <w:t>、本项目另附工程量清单，</w:t>
      </w:r>
      <w:r>
        <w:rPr>
          <w:rFonts w:hint="eastAsia" w:ascii="宋体" w:hAnsi="宋体" w:eastAsia="宋体" w:cs="宋体"/>
          <w:b/>
          <w:bCs w:val="0"/>
          <w:i/>
          <w:iCs/>
          <w:szCs w:val="21"/>
          <w:highlight w:val="yellow"/>
          <w:u w:val="single"/>
        </w:rPr>
        <w:t>投标人需按按招标文件和《水利工程工程量清单计价规范》（GB50501-2007）、江苏省水利厅苏水基[2011]21号《江苏省水利工程招标投标文件工程量清单格式》</w:t>
      </w:r>
      <w:r>
        <w:rPr>
          <w:rFonts w:hint="eastAsia" w:ascii="宋体" w:hAnsi="宋体" w:eastAsia="宋体" w:cs="宋体"/>
          <w:b/>
          <w:bCs w:val="0"/>
          <w:i/>
          <w:iCs/>
          <w:szCs w:val="21"/>
          <w:u w:val="single"/>
        </w:rPr>
        <w:t>和相关技术标准和要求的规定规定报价。</w:t>
      </w:r>
    </w:p>
    <w:p>
      <w:pPr>
        <w:pStyle w:val="14"/>
        <w:spacing w:line="360" w:lineRule="auto"/>
        <w:ind w:left="0" w:firstLine="420"/>
        <w:rPr>
          <w:rFonts w:hint="eastAsia" w:ascii="宋体" w:hAnsi="宋体" w:eastAsia="宋体" w:cs="宋体"/>
          <w:b/>
          <w:bCs w:val="0"/>
          <w:i/>
          <w:iCs/>
          <w:szCs w:val="21"/>
          <w:highlight w:val="none"/>
          <w:u w:val="single"/>
        </w:rPr>
      </w:pPr>
      <w:r>
        <w:rPr>
          <w:rFonts w:hint="eastAsia" w:ascii="宋体" w:hAnsi="宋体" w:eastAsia="宋体" w:cs="宋体"/>
          <w:b/>
          <w:bCs w:val="0"/>
          <w:i/>
          <w:iCs/>
          <w:szCs w:val="21"/>
          <w:highlight w:val="none"/>
          <w:u w:val="single"/>
        </w:rPr>
        <w:t>1</w:t>
      </w:r>
      <w:r>
        <w:rPr>
          <w:rFonts w:hint="eastAsia" w:ascii="宋体" w:hAnsi="宋体" w:cs="宋体"/>
          <w:b/>
          <w:bCs w:val="0"/>
          <w:i/>
          <w:iCs/>
          <w:szCs w:val="21"/>
          <w:highlight w:val="none"/>
          <w:u w:val="single"/>
          <w:lang w:val="en-US" w:eastAsia="zh-CN"/>
        </w:rPr>
        <w:t>3</w:t>
      </w:r>
      <w:r>
        <w:rPr>
          <w:rFonts w:hint="eastAsia" w:ascii="宋体" w:hAnsi="宋体" w:eastAsia="宋体" w:cs="宋体"/>
          <w:b/>
          <w:bCs w:val="0"/>
          <w:i/>
          <w:iCs/>
          <w:szCs w:val="21"/>
          <w:highlight w:val="none"/>
          <w:u w:val="single"/>
        </w:rPr>
        <w:t>、总价应等于“磋商报价一览表”中的投标总价。</w:t>
      </w:r>
    </w:p>
    <w:p>
      <w:pPr>
        <w:pStyle w:val="14"/>
        <w:spacing w:line="360" w:lineRule="auto"/>
        <w:ind w:left="0" w:firstLine="42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cs="宋体"/>
          <w:bCs/>
          <w:szCs w:val="21"/>
          <w:highlight w:val="none"/>
          <w:lang w:val="en-US" w:eastAsia="zh-CN"/>
        </w:rPr>
        <w:t>4</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考虑到本工程实际情况，投标人自行对工程施工现场场地条件和周围环境进行勘察，以获取编制投标文件和签署合同所需的所有资料，勘察现场所发生的费用由投标人承担，在踏勘现场中所发生的人员伤亡和财产损失由投标人自行负责。</w:t>
      </w:r>
    </w:p>
    <w:p>
      <w:pPr>
        <w:pStyle w:val="14"/>
        <w:spacing w:line="360" w:lineRule="auto"/>
        <w:ind w:left="0" w:firstLine="42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投标人到现场实地勘踏，应充分了解工地位置、情况、道路、储存空间、装卸限制及任何其他足以影响承包价的情况，任何忽视或误解</w:t>
      </w:r>
      <w:r>
        <w:rPr>
          <w:rFonts w:hint="eastAsia" w:ascii="宋体" w:hAnsi="宋体" w:eastAsia="宋体" w:cs="宋体"/>
          <w:bCs/>
          <w:szCs w:val="21"/>
          <w:highlight w:val="none"/>
          <w:lang w:val="en-US" w:eastAsia="zh-CN"/>
        </w:rPr>
        <w:t>项目</w:t>
      </w:r>
      <w:r>
        <w:rPr>
          <w:rFonts w:hint="eastAsia" w:ascii="宋体" w:hAnsi="宋体" w:eastAsia="宋体" w:cs="宋体"/>
          <w:bCs/>
          <w:szCs w:val="21"/>
          <w:highlight w:val="none"/>
        </w:rPr>
        <w:t>情况而导致的索赔或工期延长申请将不获得批准。</w:t>
      </w:r>
    </w:p>
    <w:p>
      <w:pPr>
        <w:spacing w:line="360" w:lineRule="auto"/>
        <w:ind w:firstLine="304"/>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四、其他投标须知</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1、对与本合同实施有关的各类验收（如档案、消防、评审、审计、各阶段验收、竣工验收、工程移交等）、第三方检测等承包人应积极配合、参加，并承担相应费用。</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2、承包人须按国家相关规范整理工程档案，建设合格的工地档案室，并确保必要的人员、资金投入，须设立专职档案员，在工程建设期间，为确保工程档案整理的连续性，原则上不得更换专职档案管理人员，工程结束后移交完整的工程档案资料5套（1套原件，3套复印件，1套电子文档）、竣工图需移交原件6套（纸质竣工图5套，电子文档1套），档案相关的一切费用包含在投标报价中，不另行支付。</w:t>
      </w:r>
      <w:r>
        <w:rPr>
          <w:rFonts w:hint="eastAsia" w:ascii="宋体" w:hAnsi="宋体" w:eastAsia="宋体" w:cs="宋体"/>
          <w:color w:val="000000"/>
          <w:sz w:val="21"/>
          <w:szCs w:val="21"/>
          <w:highlight w:val="cyan"/>
        </w:rPr>
        <w:t>并提供工程主要节点施工前、中、后对比照片资料1套，档案相关的一切费用包含在报价中，甲方不再另行支付。</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3、承包人须依法与劳动用工人员签订用工合同，并提供合适的生活条件。为便于管理，施工人员宜统一着工装，按工种分色配戴安全帽。项目经理、副经理等管理人员应挂牌上岗，专职安全员、专职质检员必须着与其他人员有明显区别的工装上岗。</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4、承包人与发包人签订廉政合同、安全生产合同</w:t>
      </w:r>
      <w:r>
        <w:rPr>
          <w:rFonts w:hint="eastAsia"/>
          <w:szCs w:val="21"/>
          <w:highlight w:val="cyan"/>
        </w:rPr>
        <w:t>、资金安全合同</w:t>
      </w:r>
      <w:r>
        <w:rPr>
          <w:rFonts w:hint="eastAsia" w:ascii="宋体" w:hAnsi="宋体" w:eastAsia="宋体" w:cs="宋体"/>
          <w:szCs w:val="22"/>
          <w:highlight w:val="none"/>
        </w:rPr>
        <w:t>。</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5、配合工程竣工后各类审计、评审等各类工作。</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6、承担本工程所有应属于承包人责任内的检验费用（行业管理另有规定的，从其行业规定），承包人应在投标报价中考虑，发包人不另行支付。</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7、施工过程中非发包人原因引起的地方矛盾由承包人负责解决并承担相关费用。</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8、本项目采用固定单价（部分总价），承包范围为工程量清单、施工图和招标文件范围内的所有施工内容。</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9、工程实施过程中，如遇变更事项，必须通知采购人，办理相应的申报手续，在得到采购人认可的情况下，方可实施。如未通知采购人或未经采购人认可，变更相关费用将不能得到支付。</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、工程保险</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约定：成交供应商应以采购人和成交供应商的共同名义向双方同意的保险人投保建筑、安装工程一切险，保额为工程成交合同价，保险期限为工程合同工期。</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.1工伤保险</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成交供应商人员工伤保险按照“省人力资源和社会保障厅省住房和城乡建设厅、省交通运输厅、省水利厅、省安全生产监督管理局、省总工会关于深入推进建筑交通运输水利建设项目参加工伤保险工作的通知（苏人社发【2017】126号）”以及扬州市相关文件要求为其履行合同所雇佣的全部人员参加工伤保险，缴纳工伤保险费。</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.2保险费由成交供应商自行承担。</w:t>
      </w:r>
    </w:p>
    <w:p>
      <w:pPr>
        <w:pStyle w:val="14"/>
        <w:spacing w:line="360" w:lineRule="auto"/>
        <w:ind w:left="0" w:firstLine="420"/>
        <w:rPr>
          <w:rFonts w:hint="eastAsia" w:ascii="宋体" w:hAnsi="宋体" w:eastAsia="宋体" w:cs="宋体"/>
          <w:szCs w:val="22"/>
          <w:highlight w:val="yellow"/>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.3其他保险：</w:t>
      </w:r>
      <w:r>
        <w:rPr>
          <w:rFonts w:hint="eastAsia" w:ascii="宋体" w:hAnsi="宋体" w:eastAsia="宋体" w:cs="宋体"/>
          <w:b/>
          <w:bCs/>
          <w:szCs w:val="22"/>
          <w:highlight w:val="yellow"/>
        </w:rPr>
        <w:t>承包人需根据《水利部印发关于推进水利工程建设安全生产责任保险工作的指导意见》（水监督﹝2023﹞347号）要求，投保安全生产责任险，安责险费用在安全措施费中列支。</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.4第三者责任险：</w:t>
      </w:r>
      <w:r>
        <w:rPr>
          <w:rFonts w:hint="eastAsia" w:ascii="宋体" w:hAnsi="宋体" w:eastAsia="宋体" w:cs="宋体"/>
          <w:szCs w:val="22"/>
          <w:highlight w:val="yellow"/>
        </w:rPr>
        <w:t>最低保额</w:t>
      </w:r>
      <w:r>
        <w:rPr>
          <w:rFonts w:hint="eastAsia" w:ascii="宋体" w:hAnsi="宋体" w:cs="宋体"/>
          <w:szCs w:val="22"/>
          <w:highlight w:val="yellow"/>
          <w:lang w:val="en-US" w:eastAsia="zh-CN"/>
        </w:rPr>
        <w:t>2</w:t>
      </w:r>
      <w:r>
        <w:rPr>
          <w:rFonts w:hint="eastAsia" w:ascii="宋体" w:hAnsi="宋体" w:eastAsia="宋体" w:cs="宋体"/>
          <w:szCs w:val="22"/>
          <w:highlight w:val="yellow"/>
        </w:rPr>
        <w:t>00万</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1</w:t>
      </w:r>
      <w:r>
        <w:rPr>
          <w:rFonts w:hint="eastAsia" w:ascii="宋体" w:hAnsi="宋体" w:eastAsia="宋体" w:cs="宋体"/>
          <w:szCs w:val="22"/>
          <w:highlight w:val="none"/>
        </w:rPr>
        <w:t>、临时占地：涉及到取、弃土区等其他涉及的临时用地由供应商自行考虑，并将费用在投标报价中综合考虑，必要时采购人予以协助，供应商应综合考虑环保、水保措施费用，并包含在投标报价中，采购人不另行支付。</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成交供应商须依法与劳动用工人员签订用工合同，并提供合适的生活条件。为便于管理，施工人员宜统一着工装，按工种分色配戴安全帽。项目经理、副经理等管理人员应挂牌上岗，专职安全员、专职质检员必须着与其他人员有明显区别的工装上岗。</w:t>
      </w:r>
    </w:p>
    <w:p>
      <w:pPr>
        <w:pStyle w:val="14"/>
        <w:spacing w:line="360" w:lineRule="auto"/>
        <w:ind w:left="0" w:firstLine="420"/>
        <w:rPr>
          <w:rFonts w:hint="eastAsia" w:ascii="宋体" w:hAnsi="宋体" w:eastAsia="宋体" w:cs="宋体"/>
          <w:b/>
          <w:bCs/>
          <w:i/>
          <w:iCs/>
          <w:szCs w:val="22"/>
          <w:highlight w:val="none"/>
          <w:u w:val="single"/>
        </w:rPr>
      </w:pPr>
      <w:r>
        <w:rPr>
          <w:rFonts w:hint="eastAsia" w:ascii="宋体" w:hAnsi="宋体" w:eastAsia="宋体" w:cs="宋体"/>
          <w:b/>
          <w:bCs/>
          <w:i/>
          <w:iCs/>
          <w:szCs w:val="22"/>
          <w:highlight w:val="none"/>
          <w:u w:val="single"/>
        </w:rPr>
        <w:t>1</w:t>
      </w:r>
      <w:r>
        <w:rPr>
          <w:rFonts w:hint="eastAsia" w:ascii="宋体" w:hAnsi="宋体" w:eastAsia="宋体" w:cs="宋体"/>
          <w:b/>
          <w:bCs/>
          <w:i/>
          <w:iCs/>
          <w:szCs w:val="22"/>
          <w:highlight w:val="none"/>
          <w:u w:val="single"/>
          <w:lang w:val="en-US" w:eastAsia="zh-CN"/>
        </w:rPr>
        <w:t>3</w:t>
      </w:r>
      <w:r>
        <w:rPr>
          <w:rFonts w:hint="eastAsia" w:ascii="宋体" w:hAnsi="宋体" w:eastAsia="宋体" w:cs="宋体"/>
          <w:b/>
          <w:bCs/>
          <w:i/>
          <w:iCs/>
          <w:szCs w:val="22"/>
          <w:highlight w:val="none"/>
          <w:u w:val="single"/>
        </w:rPr>
        <w:t>、供应商承诺不拖欠农民工工资。（供应商需提供承诺</w:t>
      </w:r>
      <w:r>
        <w:rPr>
          <w:rFonts w:hint="eastAsia" w:ascii="宋体" w:hAnsi="宋体" w:eastAsia="宋体" w:cs="宋体"/>
          <w:b/>
          <w:bCs/>
          <w:i/>
          <w:iCs/>
          <w:szCs w:val="22"/>
          <w:highlight w:val="none"/>
          <w:u w:val="single"/>
          <w:lang w:val="en-US" w:eastAsia="zh-CN"/>
        </w:rPr>
        <w:t>书原件扫描上传</w:t>
      </w:r>
      <w:r>
        <w:rPr>
          <w:rFonts w:hint="eastAsia" w:ascii="宋体" w:hAnsi="宋体" w:eastAsia="宋体" w:cs="宋体"/>
          <w:b/>
          <w:bCs/>
          <w:i/>
          <w:iCs/>
          <w:szCs w:val="22"/>
          <w:highlight w:val="none"/>
          <w:u w:val="single"/>
        </w:rPr>
        <w:t>，格式自拟）</w:t>
      </w:r>
    </w:p>
    <w:p>
      <w:pPr>
        <w:pStyle w:val="14"/>
        <w:spacing w:line="360" w:lineRule="auto"/>
        <w:ind w:left="0" w:firstLine="420"/>
        <w:rPr>
          <w:rFonts w:hint="eastAsia" w:ascii="宋体" w:hAnsi="宋体" w:eastAsia="宋体" w:cs="宋体"/>
          <w:i/>
          <w:iCs/>
          <w:szCs w:val="22"/>
          <w:highlight w:val="none"/>
          <w:u w:val="single"/>
        </w:rPr>
      </w:pPr>
      <w:r>
        <w:rPr>
          <w:rFonts w:hint="eastAsia" w:ascii="宋体" w:hAnsi="宋体" w:eastAsia="宋体" w:cs="宋体"/>
          <w:b/>
          <w:bCs/>
          <w:i/>
          <w:iCs/>
          <w:szCs w:val="22"/>
          <w:highlight w:val="none"/>
          <w:u w:val="single"/>
        </w:rPr>
        <w:t>1</w:t>
      </w:r>
      <w:r>
        <w:rPr>
          <w:rFonts w:hint="eastAsia" w:ascii="宋体" w:hAnsi="宋体" w:eastAsia="宋体" w:cs="宋体"/>
          <w:b/>
          <w:bCs/>
          <w:i/>
          <w:iCs/>
          <w:szCs w:val="22"/>
          <w:highlight w:val="none"/>
          <w:u w:val="single"/>
          <w:lang w:val="en-US" w:eastAsia="zh-CN"/>
        </w:rPr>
        <w:t>4</w:t>
      </w:r>
      <w:r>
        <w:rPr>
          <w:rFonts w:hint="eastAsia" w:ascii="宋体" w:hAnsi="宋体" w:eastAsia="宋体" w:cs="宋体"/>
          <w:b/>
          <w:bCs/>
          <w:i/>
          <w:iCs/>
          <w:szCs w:val="22"/>
          <w:highlight w:val="none"/>
          <w:u w:val="single"/>
        </w:rPr>
        <w:t>、供应商承诺不违法违规投标。（供应商需提供承诺</w:t>
      </w:r>
      <w:r>
        <w:rPr>
          <w:rFonts w:hint="eastAsia" w:ascii="宋体" w:hAnsi="宋体" w:eastAsia="宋体" w:cs="宋体"/>
          <w:b/>
          <w:bCs/>
          <w:i/>
          <w:iCs/>
          <w:szCs w:val="22"/>
          <w:highlight w:val="none"/>
          <w:u w:val="single"/>
          <w:lang w:val="en-US" w:eastAsia="zh-CN"/>
        </w:rPr>
        <w:t>书原件扫描上传</w:t>
      </w:r>
      <w:r>
        <w:rPr>
          <w:rFonts w:hint="eastAsia" w:ascii="宋体" w:hAnsi="宋体" w:eastAsia="宋体" w:cs="宋体"/>
          <w:b/>
          <w:bCs/>
          <w:i/>
          <w:iCs/>
          <w:szCs w:val="22"/>
          <w:highlight w:val="none"/>
          <w:u w:val="single"/>
        </w:rPr>
        <w:t>，格式自拟）</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5</w:t>
      </w:r>
      <w:r>
        <w:rPr>
          <w:rFonts w:hint="eastAsia" w:ascii="宋体" w:hAnsi="宋体" w:eastAsia="宋体" w:cs="宋体"/>
          <w:szCs w:val="22"/>
          <w:highlight w:val="none"/>
        </w:rPr>
        <w:t>、农民工工资的要求按照《保障农民工工资支付条例》（中华人民共和国国务院724令）、《江苏省工程建设领域农民工工资专用账户管理细则》（苏人社规〔2022〕3号）、《江苏省工程建设领域农民工工资保证金管理办法》（苏人社规〔2022〕4号）、《扬州市工程建设领域农民工工资保证金管理细则》扬人社规（2022）2号文等文件执行。</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6</w:t>
      </w:r>
      <w:r>
        <w:rPr>
          <w:rFonts w:hint="eastAsia" w:ascii="宋体" w:hAnsi="宋体" w:eastAsia="宋体" w:cs="宋体"/>
          <w:szCs w:val="22"/>
          <w:highlight w:val="none"/>
        </w:rPr>
        <w:t>、成交供应商应按本项目的合同约定，积极履行质量及安全责任。对省、市、区的各级稽查、质量安全监督、采购人组织的质量及安全生产活动中，对下达的检查意见落实不及时、未按要求整改或整改不到位的、或其类似质量及安全问题整改不到位的，予以扣罚2000元/次。以采购人下发的处罚通知或联系单等为依据，在进度款支付时予以扣除。</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1</w:t>
      </w:r>
      <w:r>
        <w:rPr>
          <w:rFonts w:hint="eastAsia" w:ascii="宋体" w:hAnsi="宋体" w:eastAsia="宋体" w:cs="宋体"/>
          <w:szCs w:val="22"/>
          <w:highlight w:val="none"/>
          <w:lang w:val="en-US" w:eastAsia="zh-CN"/>
        </w:rPr>
        <w:t>7</w:t>
      </w:r>
      <w:r>
        <w:rPr>
          <w:rFonts w:hint="eastAsia" w:ascii="宋体" w:hAnsi="宋体" w:eastAsia="宋体" w:cs="宋体"/>
          <w:szCs w:val="22"/>
          <w:highlight w:val="none"/>
        </w:rPr>
        <w:t>、成交供应商项目经理应在采购人签发进场通知后的3日内到职，项目经理不得更换。特殊情况下确需更换的，应提出书面申请并征得采购人同意，且不得降低项目经理资质。项目副经理（若有，下同）、技术负责人除特殊情况外不得更换。项目经理、项目副经理、技术负责人、安全负责人、质检负责人在工程施工期间调换不得超过2人（发包人要求变更的除外）。</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lang w:val="en-US" w:eastAsia="zh-CN"/>
        </w:rPr>
        <w:t>18</w:t>
      </w:r>
      <w:r>
        <w:rPr>
          <w:rFonts w:hint="eastAsia" w:ascii="宋体" w:hAnsi="宋体" w:eastAsia="宋体" w:cs="宋体"/>
          <w:szCs w:val="22"/>
          <w:highlight w:val="none"/>
        </w:rPr>
        <w:t>、项目经理、项目副经理、技术负责人短期离开工地，应事先提出书面申请并征得同意后方可离开。3天以内（含3天）报采购人核备，同时应委派代表代行其职，3天以上报采购人批准。一般情况，每人每月在工期间不得少于22天。项目经理、技术负责人不得同时离开工地。</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lang w:val="en-US" w:eastAsia="zh-CN"/>
        </w:rPr>
        <w:t>19</w:t>
      </w:r>
      <w:r>
        <w:rPr>
          <w:rFonts w:hint="eastAsia" w:ascii="宋体" w:hAnsi="宋体" w:eastAsia="宋体" w:cs="宋体"/>
          <w:szCs w:val="22"/>
          <w:highlight w:val="none"/>
        </w:rPr>
        <w:t>、项目经理、项目副经理、技术负责人、质检员、安全员在工由采购人对其考勤，对于月在工天数少于22天的，每少一天，扣除工程款2000元/（人*天）。上述罚款的最高限额为合同价的2%。上述人员的考勤由采购人指定专人负责，考勤结果装订成册后存档。</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2</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、如采购人因成交供应商原因要求撤换项目经理，成交供应商须及时更换相同资质与资历的项目经理，并承担相应损失。</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2</w:t>
      </w:r>
      <w:r>
        <w:rPr>
          <w:rFonts w:hint="eastAsia" w:ascii="宋体" w:hAnsi="宋体" w:eastAsia="宋体" w:cs="宋体"/>
          <w:szCs w:val="22"/>
          <w:highlight w:val="none"/>
          <w:lang w:val="en-US" w:eastAsia="zh-CN"/>
        </w:rPr>
        <w:t>1</w:t>
      </w:r>
      <w:r>
        <w:rPr>
          <w:rFonts w:hint="eastAsia" w:ascii="宋体" w:hAnsi="宋体" w:eastAsia="宋体" w:cs="宋体"/>
          <w:szCs w:val="22"/>
          <w:highlight w:val="none"/>
        </w:rPr>
        <w:t>、采购人可根据工程需要协助承包人办理取得出入施工场地的专用和临时道路的通行权，以及取得为工程建设所需修建场外设施的权利，但相关费用由成交供应商承担。成交供应商材料组织、弃土运送等应服从交通运输、城市管理等部门的规定与要求，由此产生的任何费用均由承包人自行承担。若对外交通所经过或使用的现有道路发生破损、毁坏等引起的补偿或修复费用，由成交供应商自行负责。</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2</w:t>
      </w:r>
      <w:r>
        <w:rPr>
          <w:rFonts w:hint="eastAsia" w:ascii="宋体" w:hAnsi="宋体" w:eastAsia="宋体" w:cs="宋体"/>
          <w:szCs w:val="22"/>
          <w:highlight w:val="none"/>
          <w:lang w:val="en-US" w:eastAsia="zh-CN"/>
        </w:rPr>
        <w:t>2</w:t>
      </w:r>
      <w:r>
        <w:rPr>
          <w:rFonts w:hint="eastAsia" w:ascii="宋体" w:hAnsi="宋体" w:eastAsia="宋体" w:cs="宋体"/>
          <w:szCs w:val="22"/>
          <w:highlight w:val="none"/>
        </w:rPr>
        <w:t>、</w:t>
      </w:r>
      <w:bookmarkStart w:id="426" w:name="OLE_LINK6"/>
      <w:r>
        <w:rPr>
          <w:rFonts w:hint="eastAsia" w:ascii="宋体" w:hAnsi="宋体" w:eastAsia="宋体" w:cs="宋体"/>
          <w:szCs w:val="22"/>
          <w:highlight w:val="none"/>
        </w:rPr>
        <w:t>采购人</w:t>
      </w:r>
      <w:bookmarkEnd w:id="426"/>
      <w:r>
        <w:rPr>
          <w:rFonts w:hint="eastAsia" w:ascii="宋体" w:hAnsi="宋体" w:eastAsia="宋体" w:cs="宋体"/>
          <w:szCs w:val="22"/>
          <w:highlight w:val="none"/>
        </w:rPr>
        <w:t>发出进场通知7天内，采购人向承包人提供测量基准点、基准线和水准点及其书面资料。承包人应在收到开工通知后7天内，将施工控制网资料报送采购人审批。成交供应商应在施工区外围（不受施工影响）埋设永久性水准测量标志，做好施工期保护，确保在工程移交时完好，并列入工程竣工移交范围。</w:t>
      </w:r>
    </w:p>
    <w:p>
      <w:pPr>
        <w:pStyle w:val="14"/>
        <w:spacing w:line="360" w:lineRule="auto"/>
        <w:ind w:left="0" w:firstLine="420"/>
        <w:rPr>
          <w:rFonts w:hint="eastAsia" w:ascii="宋体" w:hAnsi="宋体" w:eastAsia="宋体" w:cs="宋体"/>
          <w:szCs w:val="22"/>
          <w:highlight w:val="none"/>
        </w:rPr>
      </w:pPr>
      <w:r>
        <w:rPr>
          <w:rFonts w:hint="eastAsia" w:ascii="宋体" w:hAnsi="宋体" w:eastAsia="宋体" w:cs="宋体"/>
          <w:szCs w:val="22"/>
          <w:highlight w:val="none"/>
        </w:rPr>
        <w:t>2</w:t>
      </w:r>
      <w:r>
        <w:rPr>
          <w:rFonts w:hint="eastAsia" w:ascii="宋体" w:hAnsi="宋体" w:eastAsia="宋体" w:cs="宋体"/>
          <w:szCs w:val="22"/>
          <w:highlight w:val="none"/>
          <w:lang w:val="en-US" w:eastAsia="zh-CN"/>
        </w:rPr>
        <w:t>3</w:t>
      </w:r>
      <w:r>
        <w:rPr>
          <w:rFonts w:hint="eastAsia" w:ascii="宋体" w:hAnsi="宋体" w:eastAsia="宋体" w:cs="宋体"/>
          <w:szCs w:val="22"/>
          <w:highlight w:val="none"/>
        </w:rPr>
        <w:t>、已标价工程量清单中如无适用或类似子目的单价供参考，可根据水利行业现行预算定额（涉道路等可采用相关行业定额）及相关取费标准、投标当月的《扬州工程造价管理》材料市场指导价格编制补充单价，并按最高限价及承包人中标价的让利幅度进行下浮（投标最高限价与中标价的下浮比例）经造价跟踪单位审核，报发包人批准后执行，最终以审计结果为准。对材料价格不进行价差调整。</w:t>
      </w:r>
    </w:p>
    <w:p>
      <w:pPr>
        <w:numPr>
          <w:ilvl w:val="0"/>
          <w:numId w:val="0"/>
        </w:numPr>
        <w:spacing w:before="120" w:after="120" w:line="360" w:lineRule="auto"/>
        <w:ind w:firstLine="210" w:firstLineChars="100"/>
        <w:jc w:val="left"/>
        <w:rPr>
          <w:rFonts w:hint="eastAsia" w:ascii="宋体" w:hAnsi="宋体" w:eastAsia="宋体" w:cs="宋体"/>
          <w:color w:val="000000" w:themeColor="text1"/>
          <w:szCs w:val="21"/>
          <w:highlight w:val="none"/>
          <w14:textFill>
            <w14:solidFill>
              <w14:schemeClr w14:val="tx1"/>
            </w14:solidFill>
          </w14:textFill>
        </w:rPr>
      </w:pPr>
    </w:p>
    <w:p>
      <w:pPr>
        <w:spacing w:line="360" w:lineRule="auto"/>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bookmarkStart w:id="427" w:name="_Toc7178"/>
      <w:bookmarkStart w:id="428" w:name="_Toc11906"/>
      <w:r>
        <w:rPr>
          <w:rFonts w:hint="eastAsia" w:ascii="宋体" w:hAnsi="宋体" w:eastAsia="宋体" w:cs="宋体"/>
          <w:color w:val="000000" w:themeColor="text1"/>
          <w:highlight w:val="none"/>
          <w14:textFill>
            <w14:solidFill>
              <w14:schemeClr w14:val="tx1"/>
            </w14:solidFill>
          </w14:textFill>
        </w:rPr>
        <w:br w:type="page"/>
      </w:r>
    </w:p>
    <w:p>
      <w:pPr>
        <w:pStyle w:val="187"/>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第</w:t>
      </w:r>
      <w:r>
        <w:rPr>
          <w:rFonts w:hint="eastAsia" w:ascii="宋体" w:hAnsi="宋体" w:eastAsia="宋体" w:cs="宋体"/>
          <w:color w:val="000000" w:themeColor="text1"/>
          <w:sz w:val="36"/>
          <w:szCs w:val="36"/>
          <w:highlight w:val="none"/>
          <w:lang w:val="en-US" w:eastAsia="zh-CN"/>
          <w14:textFill>
            <w14:solidFill>
              <w14:schemeClr w14:val="tx1"/>
            </w14:solidFill>
          </w14:textFill>
        </w:rPr>
        <w:t>五</w:t>
      </w:r>
      <w:r>
        <w:rPr>
          <w:rFonts w:hint="eastAsia" w:ascii="宋体" w:hAnsi="宋体" w:eastAsia="宋体" w:cs="宋体"/>
          <w:color w:val="000000" w:themeColor="text1"/>
          <w:sz w:val="36"/>
          <w:szCs w:val="36"/>
          <w:highlight w:val="none"/>
          <w14:textFill>
            <w14:solidFill>
              <w14:schemeClr w14:val="tx1"/>
            </w14:solidFill>
          </w14:textFill>
        </w:rPr>
        <w:t>章</w:t>
      </w:r>
      <w:r>
        <w:rPr>
          <w:rFonts w:hint="eastAsia" w:ascii="宋体" w:hAnsi="宋体" w:eastAsia="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14:textFill>
            <w14:solidFill>
              <w14:schemeClr w14:val="tx1"/>
            </w14:solidFill>
          </w14:textFill>
        </w:rPr>
        <w:t>评审方法和评审标准</w:t>
      </w:r>
    </w:p>
    <w:p>
      <w:pPr>
        <w:pStyle w:val="234"/>
        <w:pageBreakBefore w:val="0"/>
        <w:numPr>
          <w:ilvl w:val="0"/>
          <w:numId w:val="4"/>
        </w:numPr>
        <w:spacing w:line="360" w:lineRule="auto"/>
        <w:outlineLvl w:val="1"/>
        <w:rPr>
          <w:rFonts w:ascii="宋体" w:hAnsi="宋体"/>
          <w:b/>
          <w:sz w:val="21"/>
          <w:szCs w:val="21"/>
        </w:rPr>
      </w:pPr>
      <w:r>
        <w:rPr>
          <w:rFonts w:hint="eastAsia" w:ascii="宋体" w:hAnsi="宋体"/>
          <w:b/>
          <w:sz w:val="21"/>
          <w:szCs w:val="21"/>
        </w:rPr>
        <w:t>评标方法</w:t>
      </w:r>
    </w:p>
    <w:p>
      <w:pPr>
        <w:pageBreakBefore w:val="0"/>
        <w:spacing w:line="360" w:lineRule="auto"/>
        <w:ind w:firstLine="420"/>
      </w:pPr>
      <w:r>
        <w:rPr>
          <w:rFonts w:hint="eastAsia"/>
        </w:rPr>
        <w:t>本项目采用综合评分法，评委会将对确定为实质性响应磋商文件要求的磋商响应文件进行评价和比较。评标结果按评审后得分由高到低顺序排列。得分相同的，按磋商响应报价由低到高顺序排列。得分且磋商响应报价相同的并列，磋商响应文件满足磋商文件全部实质性要求，且按照评审因素的量化指标评审得分最高的磋商响应供应商为排名第一的磋商候选人。</w:t>
      </w:r>
    </w:p>
    <w:p>
      <w:pPr>
        <w:pageBreakBefore w:val="0"/>
        <w:spacing w:line="360" w:lineRule="auto"/>
        <w:ind w:left="422"/>
        <w:outlineLvl w:val="1"/>
        <w:rPr>
          <w:b/>
        </w:rPr>
      </w:pPr>
      <w:bookmarkStart w:id="429" w:name="_Toc449016388"/>
      <w:bookmarkStart w:id="430" w:name="_Toc449017024"/>
      <w:r>
        <w:rPr>
          <w:b/>
        </w:rPr>
        <w:t>二、</w:t>
      </w:r>
      <w:bookmarkEnd w:id="429"/>
      <w:bookmarkEnd w:id="430"/>
      <w:r>
        <w:rPr>
          <w:rFonts w:hint="eastAsia"/>
          <w:b/>
        </w:rPr>
        <w:t>政府采购政策功能落实</w:t>
      </w:r>
    </w:p>
    <w:p>
      <w:pPr>
        <w:pageBreakBefore w:val="0"/>
        <w:spacing w:line="360" w:lineRule="auto"/>
        <w:ind w:firstLine="420"/>
        <w:rPr>
          <w:rFonts w:ascii="宋体" w:hAnsi="宋体"/>
          <w:bCs/>
        </w:rPr>
      </w:pPr>
      <w:r>
        <w:rPr>
          <w:rFonts w:hint="eastAsia" w:ascii="宋体" w:hAnsi="宋体"/>
          <w:bCs/>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ageBreakBefore w:val="0"/>
        <w:spacing w:line="360" w:lineRule="auto"/>
        <w:ind w:firstLine="420"/>
        <w:rPr>
          <w:rFonts w:ascii="宋体" w:hAnsi="宋体"/>
          <w:bCs/>
        </w:rPr>
      </w:pPr>
      <w:r>
        <w:rPr>
          <w:rFonts w:hint="eastAsia" w:ascii="宋体" w:hAnsi="宋体"/>
          <w:bCs/>
        </w:rPr>
        <w:t>1、小微型企业价格扣除</w:t>
      </w:r>
    </w:p>
    <w:p>
      <w:pPr>
        <w:pageBreakBefore w:val="0"/>
        <w:spacing w:line="360" w:lineRule="auto"/>
        <w:ind w:firstLine="420"/>
        <w:rPr>
          <w:rFonts w:ascii="宋体" w:hAnsi="宋体"/>
          <w:bCs/>
        </w:rPr>
      </w:pPr>
      <w:r>
        <w:rPr>
          <w:rFonts w:hint="eastAsia" w:ascii="宋体" w:hAnsi="宋体"/>
          <w:bCs/>
        </w:rPr>
        <w:t>（1）根据《政府采购促进中小企业发展管理办法》（财库【2020】46号）文件的要求，本项目对小型和微型企业产品价格给予20%的扣除，用扣除后的价格参与评审。</w:t>
      </w:r>
    </w:p>
    <w:p>
      <w:pPr>
        <w:pageBreakBefore w:val="0"/>
        <w:spacing w:line="360" w:lineRule="auto"/>
        <w:ind w:firstLine="420"/>
        <w:rPr>
          <w:rFonts w:ascii="宋体" w:hAnsi="宋体"/>
          <w:bCs/>
        </w:rPr>
      </w:pPr>
      <w:r>
        <w:rPr>
          <w:rFonts w:hint="eastAsia" w:ascii="宋体" w:hAnsi="宋体"/>
          <w:bCs/>
        </w:rPr>
        <w:t>（2）供应商需按照采购文件的要求提供相应的《中小企业声明函》。</w:t>
      </w:r>
    </w:p>
    <w:p>
      <w:pPr>
        <w:pageBreakBefore w:val="0"/>
        <w:spacing w:line="360" w:lineRule="auto"/>
        <w:ind w:firstLine="420"/>
        <w:rPr>
          <w:rFonts w:ascii="宋体" w:hAnsi="宋体"/>
          <w:bCs/>
        </w:rPr>
      </w:pPr>
      <w:r>
        <w:rPr>
          <w:rFonts w:hint="eastAsia" w:ascii="宋体" w:hAnsi="宋体"/>
          <w:bCs/>
        </w:rPr>
        <w:t>（3）企业标准请参照《关于印发中小企业划型标准规定的通知》（工信部联企业[2011]300号）文件规定自行填写。</w:t>
      </w:r>
    </w:p>
    <w:p>
      <w:pPr>
        <w:pageBreakBefore w:val="0"/>
        <w:spacing w:line="360" w:lineRule="auto"/>
        <w:ind w:firstLine="420"/>
        <w:rPr>
          <w:rFonts w:ascii="宋体" w:hAnsi="宋体"/>
          <w:bCs/>
        </w:rPr>
      </w:pPr>
      <w:r>
        <w:rPr>
          <w:rFonts w:hint="eastAsia" w:ascii="宋体" w:hAnsi="宋体"/>
          <w:bCs/>
        </w:rPr>
        <w:t>2、残疾人福利单位价格扣除</w:t>
      </w:r>
    </w:p>
    <w:p>
      <w:pPr>
        <w:pageBreakBefore w:val="0"/>
        <w:spacing w:line="360" w:lineRule="auto"/>
        <w:ind w:firstLine="420"/>
        <w:rPr>
          <w:rFonts w:ascii="宋体" w:hAnsi="宋体"/>
          <w:bCs/>
        </w:rPr>
      </w:pPr>
      <w:r>
        <w:rPr>
          <w:rFonts w:hint="eastAsia" w:ascii="宋体" w:hAnsi="宋体"/>
          <w:bCs/>
        </w:rPr>
        <w:t>（1）本项目对残疾人福利性单位视同小型、微型企业，给予20%的价格扣除，用扣除后的价格参与评审。</w:t>
      </w:r>
    </w:p>
    <w:p>
      <w:pPr>
        <w:pageBreakBefore w:val="0"/>
        <w:spacing w:line="360" w:lineRule="auto"/>
        <w:ind w:firstLine="420"/>
        <w:rPr>
          <w:rFonts w:ascii="宋体" w:hAnsi="宋体"/>
          <w:bCs/>
        </w:rPr>
      </w:pPr>
      <w:r>
        <w:rPr>
          <w:rFonts w:hint="eastAsia" w:ascii="宋体" w:hAnsi="宋体"/>
          <w:bCs/>
        </w:rPr>
        <w:t>（2）残疾人福利单位需按照采购文件的要求提供《残疾人福利性单位声明函》。</w:t>
      </w:r>
    </w:p>
    <w:p>
      <w:pPr>
        <w:pageBreakBefore w:val="0"/>
        <w:spacing w:line="360" w:lineRule="auto"/>
        <w:ind w:firstLine="420"/>
        <w:rPr>
          <w:rFonts w:ascii="宋体" w:hAnsi="宋体"/>
          <w:bCs/>
        </w:rPr>
      </w:pPr>
      <w:r>
        <w:rPr>
          <w:rFonts w:hint="eastAsia" w:ascii="宋体" w:hAnsi="宋体"/>
          <w:bCs/>
        </w:rPr>
        <w:t>（3）残疾人福利单位标准请参照《关于促进残疾人就业政府采购政策的通知》（财库</w:t>
      </w:r>
    </w:p>
    <w:p>
      <w:pPr>
        <w:pageBreakBefore w:val="0"/>
        <w:spacing w:line="360" w:lineRule="auto"/>
        <w:ind w:firstLine="420"/>
        <w:rPr>
          <w:rFonts w:ascii="宋体" w:hAnsi="宋体"/>
          <w:bCs/>
        </w:rPr>
      </w:pPr>
      <w:r>
        <w:rPr>
          <w:rFonts w:hint="eastAsia" w:ascii="宋体" w:hAnsi="宋体"/>
          <w:bCs/>
        </w:rPr>
        <w:t>〔2017〕141号）。</w:t>
      </w:r>
    </w:p>
    <w:p>
      <w:pPr>
        <w:pageBreakBefore w:val="0"/>
        <w:spacing w:line="360" w:lineRule="auto"/>
        <w:ind w:firstLine="420"/>
        <w:rPr>
          <w:rFonts w:ascii="宋体" w:hAnsi="宋体"/>
          <w:bCs/>
        </w:rPr>
      </w:pPr>
      <w:r>
        <w:rPr>
          <w:rFonts w:hint="eastAsia" w:ascii="宋体" w:hAnsi="宋体"/>
          <w:bCs/>
        </w:rPr>
        <w:t>3、监狱和戒毒企业价格扣除</w:t>
      </w:r>
    </w:p>
    <w:p>
      <w:pPr>
        <w:pageBreakBefore w:val="0"/>
        <w:spacing w:line="360" w:lineRule="auto"/>
        <w:ind w:firstLine="420"/>
        <w:rPr>
          <w:rFonts w:ascii="宋体" w:hAnsi="宋体"/>
          <w:bCs/>
        </w:rPr>
      </w:pPr>
      <w:r>
        <w:rPr>
          <w:rFonts w:hint="eastAsia" w:ascii="宋体" w:hAnsi="宋体"/>
          <w:bCs/>
        </w:rPr>
        <w:t>（1）本项目对监狱和戒毒企业（简称监狱企业）视同小型、微型企业，给予20%的价格扣除，用扣除后的价格参与评审。</w:t>
      </w:r>
    </w:p>
    <w:p>
      <w:pPr>
        <w:pageBreakBefore w:val="0"/>
        <w:spacing w:line="360" w:lineRule="auto"/>
        <w:ind w:firstLine="420"/>
        <w:rPr>
          <w:rFonts w:ascii="宋体" w:hAnsi="宋体"/>
          <w:bCs/>
        </w:rPr>
      </w:pPr>
      <w:r>
        <w:rPr>
          <w:rFonts w:hint="eastAsia" w:ascii="宋体" w:hAnsi="宋体"/>
          <w:bCs/>
        </w:rPr>
        <w:t>（2）监狱企业参加政府采购活动时，需提供由省级以上监狱管理局、戒毒管理局(含新疆生产建设兵团)出具的属于监狱企业的证明文件。供应商如不提供上述证明文件，价格将不做相应扣除。</w:t>
      </w:r>
    </w:p>
    <w:p>
      <w:pPr>
        <w:pageBreakBefore w:val="0"/>
        <w:spacing w:line="360" w:lineRule="auto"/>
        <w:ind w:firstLine="420"/>
        <w:rPr>
          <w:rFonts w:ascii="宋体" w:hAnsi="宋体"/>
          <w:bCs/>
        </w:rPr>
      </w:pPr>
      <w:r>
        <w:rPr>
          <w:rFonts w:hint="eastAsia" w:ascii="宋体" w:hAnsi="宋体"/>
          <w:bCs/>
        </w:rPr>
        <w:t>（3）监狱企业标准请参照《关于政府采购支持监狱企业发展有关问题的通知》（财库[2014]68号）。</w:t>
      </w:r>
    </w:p>
    <w:p>
      <w:pPr>
        <w:pageBreakBefore w:val="0"/>
        <w:spacing w:line="360" w:lineRule="auto"/>
        <w:ind w:firstLine="420"/>
        <w:rPr>
          <w:rFonts w:ascii="宋体" w:hAnsi="宋体"/>
          <w:bCs/>
        </w:rPr>
      </w:pPr>
      <w:r>
        <w:rPr>
          <w:rFonts w:hint="eastAsia" w:ascii="宋体" w:hAnsi="宋体"/>
          <w:bCs/>
        </w:rPr>
        <w:t>4、残疾人福利单位、监狱企业属于小型、微型企业的，不重复享受政策。</w:t>
      </w:r>
    </w:p>
    <w:p>
      <w:pPr>
        <w:pageBreakBefore w:val="0"/>
        <w:spacing w:line="360" w:lineRule="auto"/>
        <w:ind w:firstLine="420"/>
        <w:rPr>
          <w:rFonts w:ascii="宋体" w:hAnsi="宋体"/>
          <w:bCs/>
        </w:rPr>
      </w:pPr>
      <w:r>
        <w:rPr>
          <w:rFonts w:hint="eastAsia" w:ascii="宋体" w:hAnsi="宋体"/>
          <w:bCs/>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pPr>
        <w:pageBreakBefore w:val="0"/>
        <w:spacing w:line="360" w:lineRule="auto"/>
        <w:ind w:firstLine="420"/>
        <w:rPr>
          <w:rFonts w:ascii="宋体" w:hAnsi="宋体"/>
          <w:bCs/>
        </w:rPr>
      </w:pPr>
      <w:r>
        <w:rPr>
          <w:rFonts w:hint="eastAsia" w:ascii="宋体" w:hAnsi="宋体"/>
          <w:bCs/>
        </w:rPr>
        <w:t>6、组成联合体的小微企业与联合体内其他企业之间存在直接控股、管理关系的，不享受价格扣除优惠政策。 </w:t>
      </w:r>
    </w:p>
    <w:p>
      <w:pPr>
        <w:pageBreakBefore w:val="0"/>
        <w:spacing w:line="360" w:lineRule="auto"/>
        <w:ind w:firstLine="420"/>
        <w:rPr>
          <w:rFonts w:ascii="宋体" w:hAnsi="宋体"/>
          <w:bCs/>
        </w:rPr>
      </w:pPr>
      <w:r>
        <w:rPr>
          <w:rFonts w:hint="eastAsia" w:ascii="宋体" w:hAnsi="宋体"/>
          <w:bCs/>
        </w:rPr>
        <w:t>7、联合体各方均为小型、微型企业（残疾人福利单位、监狱企业）的，联合体享受20%的价格扣除，用扣除后的价格参与评审。</w:t>
      </w:r>
    </w:p>
    <w:p>
      <w:pPr>
        <w:pageBreakBefore w:val="0"/>
        <w:spacing w:line="360" w:lineRule="auto"/>
        <w:ind w:firstLine="420"/>
        <w:rPr>
          <w:rFonts w:ascii="宋体" w:hAnsi="宋体"/>
          <w:bCs/>
        </w:rPr>
      </w:pPr>
      <w:r>
        <w:rPr>
          <w:rFonts w:hint="eastAsia" w:ascii="宋体" w:hAnsi="宋体"/>
          <w:bCs/>
        </w:rPr>
        <w:t xml:space="preserve"> </w:t>
      </w:r>
    </w:p>
    <w:p>
      <w:pPr>
        <w:pageBreakBefore w:val="0"/>
        <w:numPr>
          <w:ilvl w:val="0"/>
          <w:numId w:val="4"/>
        </w:numPr>
        <w:spacing w:line="360" w:lineRule="auto"/>
        <w:outlineLvl w:val="1"/>
        <w:rPr>
          <w:b/>
          <w:bCs/>
        </w:rPr>
      </w:pPr>
      <w:r>
        <w:rPr>
          <w:rFonts w:hint="eastAsia"/>
          <w:b/>
          <w:bCs/>
        </w:rPr>
        <w:t>评分标准</w:t>
      </w:r>
    </w:p>
    <w:tbl>
      <w:tblPr>
        <w:tblStyle w:val="32"/>
        <w:tblpPr w:leftFromText="180" w:rightFromText="180" w:vertAnchor="page" w:horzAnchor="page" w:tblpX="1247" w:tblpY="5730"/>
        <w:tblW w:w="9319" w:type="dxa"/>
        <w:tblInd w:w="0" w:type="dxa"/>
        <w:tblLayout w:type="autofit"/>
        <w:tblCellMar>
          <w:top w:w="0" w:type="dxa"/>
          <w:left w:w="108" w:type="dxa"/>
          <w:bottom w:w="0" w:type="dxa"/>
          <w:right w:w="108" w:type="dxa"/>
        </w:tblCellMar>
      </w:tblPr>
      <w:tblGrid>
        <w:gridCol w:w="1134"/>
        <w:gridCol w:w="1545"/>
        <w:gridCol w:w="6640"/>
      </w:tblGrid>
      <w:tr>
        <w:tblPrEx>
          <w:tblCellMar>
            <w:top w:w="0" w:type="dxa"/>
            <w:left w:w="108" w:type="dxa"/>
            <w:bottom w:w="0" w:type="dxa"/>
            <w:right w:w="108" w:type="dxa"/>
          </w:tblCellMar>
        </w:tblPrEx>
        <w:trPr>
          <w:trHeight w:val="32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宋体" w:hAnsi="宋体" w:cs="宋体"/>
                <w:sz w:val="21"/>
                <w:szCs w:val="21"/>
              </w:rPr>
            </w:pPr>
            <w:r>
              <w:rPr>
                <w:rFonts w:hint="eastAsia" w:ascii="宋体" w:hAnsi="宋体" w:cs="宋体"/>
                <w:sz w:val="21"/>
                <w:szCs w:val="21"/>
              </w:rPr>
              <w:t>项  目</w:t>
            </w:r>
          </w:p>
        </w:tc>
        <w:tc>
          <w:tcPr>
            <w:tcW w:w="8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宋体" w:hAnsi="宋体" w:cs="宋体"/>
                <w:sz w:val="21"/>
                <w:szCs w:val="21"/>
              </w:rPr>
            </w:pPr>
            <w:r>
              <w:rPr>
                <w:rFonts w:hint="eastAsia" w:ascii="宋体" w:hAnsi="宋体" w:cs="宋体"/>
                <w:sz w:val="21"/>
                <w:szCs w:val="21"/>
              </w:rPr>
              <w:t>评  分  标  准</w:t>
            </w:r>
          </w:p>
        </w:tc>
      </w:tr>
      <w:tr>
        <w:tblPrEx>
          <w:tblCellMar>
            <w:top w:w="0" w:type="dxa"/>
            <w:left w:w="108" w:type="dxa"/>
            <w:bottom w:w="0" w:type="dxa"/>
            <w:right w:w="108" w:type="dxa"/>
          </w:tblCellMar>
        </w:tblPrEx>
        <w:trPr>
          <w:trHeight w:val="48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宋体" w:hAnsi="宋体" w:cs="宋体"/>
                <w:sz w:val="21"/>
                <w:szCs w:val="21"/>
              </w:rPr>
            </w:pPr>
            <w:r>
              <w:rPr>
                <w:rFonts w:hint="eastAsia" w:ascii="宋体" w:hAnsi="宋体" w:cs="宋体"/>
                <w:sz w:val="21"/>
                <w:szCs w:val="21"/>
              </w:rPr>
              <w:t>价  格  （</w:t>
            </w:r>
            <w:r>
              <w:rPr>
                <w:rFonts w:hint="eastAsia" w:ascii="宋体" w:hAnsi="宋体" w:cs="宋体"/>
                <w:sz w:val="21"/>
                <w:szCs w:val="21"/>
                <w:lang w:val="en-US" w:eastAsia="zh-CN"/>
              </w:rPr>
              <w:t>3</w:t>
            </w:r>
            <w:r>
              <w:rPr>
                <w:rFonts w:hint="eastAsia" w:ascii="宋体" w:hAnsi="宋体" w:cs="宋体"/>
                <w:sz w:val="21"/>
                <w:szCs w:val="21"/>
              </w:rPr>
              <w:t>0分）</w:t>
            </w:r>
          </w:p>
        </w:tc>
        <w:tc>
          <w:tcPr>
            <w:tcW w:w="8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以满足磋商文件要求且最后报价最低的供应商的价格为磋商基准价，其价格为满分</w:t>
            </w:r>
            <w:r>
              <w:rPr>
                <w:rFonts w:hint="eastAsia" w:ascii="宋体" w:hAnsi="宋体" w:cs="宋体"/>
                <w:color w:val="000000" w:themeColor="text1"/>
                <w:sz w:val="21"/>
                <w:szCs w:val="21"/>
                <w:highlight w:val="none"/>
                <w:lang w:val="en-US" w:eastAsia="zh-CN" w:bidi="ar"/>
                <w14:textFill>
                  <w14:solidFill>
                    <w14:schemeClr w14:val="tx1"/>
                  </w14:solidFill>
                </w14:textFill>
              </w:rPr>
              <w:t>30</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分。其他供应商的价格分统一按照下列公式计算：磋商报价得分=（磋商基准价/最后磋商报价）×</w:t>
            </w:r>
            <w:r>
              <w:rPr>
                <w:rFonts w:hint="eastAsia" w:ascii="宋体" w:hAnsi="宋体" w:cs="宋体"/>
                <w:color w:val="000000" w:themeColor="text1"/>
                <w:sz w:val="21"/>
                <w:szCs w:val="21"/>
                <w:highlight w:val="none"/>
                <w:lang w:val="en-US" w:eastAsia="zh-CN" w:bidi="ar"/>
                <w14:textFill>
                  <w14:solidFill>
                    <w14:schemeClr w14:val="tx1"/>
                  </w14:solidFill>
                </w14:textFill>
              </w:rPr>
              <w:t>30</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×100%（保留两位小数）</w:t>
            </w:r>
          </w:p>
        </w:tc>
      </w:tr>
      <w:tr>
        <w:tblPrEx>
          <w:tblCellMar>
            <w:top w:w="0" w:type="dxa"/>
            <w:left w:w="108" w:type="dxa"/>
            <w:bottom w:w="0" w:type="dxa"/>
            <w:right w:w="108" w:type="dxa"/>
          </w:tblCellMar>
        </w:tblPrEx>
        <w:trPr>
          <w:trHeight w:val="860" w:hRule="atLeast"/>
        </w:trPr>
        <w:tc>
          <w:tcPr>
            <w:tcW w:w="1134" w:type="dxa"/>
            <w:vMerge w:val="restart"/>
            <w:tcBorders>
              <w:top w:val="single" w:color="000000" w:sz="4" w:space="0"/>
              <w:left w:val="single" w:color="000000"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r>
              <w:rPr>
                <w:rFonts w:hint="eastAsia" w:ascii="宋体" w:hAnsi="宋体" w:cs="宋体"/>
                <w:sz w:val="21"/>
                <w:szCs w:val="21"/>
                <w:lang w:val="en-US" w:eastAsia="zh-CN"/>
              </w:rPr>
              <w:t>实施方案</w:t>
            </w:r>
            <w:r>
              <w:rPr>
                <w:rFonts w:hint="eastAsia" w:ascii="宋体" w:hAnsi="宋体" w:cs="宋体"/>
                <w:sz w:val="21"/>
                <w:szCs w:val="21"/>
              </w:rPr>
              <w:t>（</w:t>
            </w:r>
            <w:r>
              <w:rPr>
                <w:rFonts w:hint="eastAsia" w:ascii="宋体" w:hAnsi="宋体" w:cs="宋体"/>
                <w:sz w:val="21"/>
                <w:szCs w:val="21"/>
                <w:lang w:val="en-US" w:eastAsia="zh-CN"/>
              </w:rPr>
              <w:t>52</w:t>
            </w:r>
            <w:r>
              <w:rPr>
                <w:rFonts w:hint="eastAsia" w:ascii="宋体" w:hAnsi="宋体" w:cs="宋体"/>
                <w:sz w:val="21"/>
                <w:szCs w:val="21"/>
              </w:rPr>
              <w:t>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000000"/>
                <w:sz w:val="21"/>
                <w:szCs w:val="21"/>
              </w:rPr>
            </w:pPr>
            <w:r>
              <w:rPr>
                <w:rFonts w:hint="eastAsia" w:ascii="宋体" w:hAnsi="宋体" w:cs="宋体"/>
                <w:color w:val="000000"/>
                <w:sz w:val="21"/>
                <w:szCs w:val="21"/>
              </w:rPr>
              <w:t>施工总体部署</w:t>
            </w:r>
          </w:p>
          <w:p>
            <w:pPr>
              <w:spacing w:line="360" w:lineRule="auto"/>
              <w:jc w:val="center"/>
              <w:rPr>
                <w:rFonts w:ascii="宋体" w:hAnsi="宋体" w:cs="宋体"/>
                <w:sz w:val="21"/>
                <w:szCs w:val="21"/>
              </w:rPr>
            </w:pPr>
            <w:r>
              <w:rPr>
                <w:rFonts w:ascii="宋体" w:hAnsi="宋体" w:cs="宋体"/>
                <w:color w:val="000000"/>
                <w:sz w:val="21"/>
                <w:szCs w:val="21"/>
              </w:rPr>
              <w:t>（</w:t>
            </w:r>
            <w:r>
              <w:rPr>
                <w:rFonts w:hint="eastAsia" w:ascii="宋体" w:hAnsi="宋体" w:cs="宋体"/>
                <w:color w:val="000000"/>
                <w:sz w:val="21"/>
                <w:szCs w:val="21"/>
                <w:lang w:val="en-US" w:eastAsia="zh-CN"/>
              </w:rPr>
              <w:t>5</w:t>
            </w:r>
            <w:r>
              <w:rPr>
                <w:rFonts w:hint="eastAsia" w:ascii="宋体" w:hAnsi="宋体" w:cs="宋体"/>
                <w:color w:val="000000"/>
                <w:sz w:val="21"/>
                <w:szCs w:val="21"/>
              </w:rPr>
              <w:t>分</w:t>
            </w:r>
            <w:r>
              <w:rPr>
                <w:rFonts w:ascii="宋体" w:hAnsi="宋体" w:cs="宋体"/>
                <w:color w:val="000000"/>
                <w:sz w:val="21"/>
                <w:szCs w:val="21"/>
              </w:rPr>
              <w:t>）</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34"/>
              <w:spacing w:before="0" w:after="0" w:line="360" w:lineRule="auto"/>
              <w:ind w:hanging="15"/>
              <w:rPr>
                <w:rFonts w:ascii="宋体" w:hAnsi="宋体" w:cs="宋体"/>
                <w:color w:val="000000"/>
                <w:sz w:val="21"/>
                <w:szCs w:val="21"/>
              </w:rPr>
            </w:pPr>
            <w:r>
              <w:rPr>
                <w:rFonts w:hint="eastAsia" w:ascii="宋体" w:hAnsi="宋体" w:cs="宋体"/>
                <w:color w:val="000000"/>
                <w:sz w:val="21"/>
                <w:szCs w:val="21"/>
              </w:rPr>
              <w:t xml:space="preserve">概述科学、严密、合理，描述详细且具有针对性的得 </w:t>
            </w:r>
            <w:r>
              <w:rPr>
                <w:rFonts w:hint="eastAsia" w:ascii="宋体" w:hAnsi="宋体" w:cs="宋体"/>
                <w:color w:val="000000"/>
                <w:sz w:val="21"/>
                <w:szCs w:val="21"/>
                <w:lang w:val="en-US" w:eastAsia="zh-CN"/>
              </w:rPr>
              <w:t>5</w:t>
            </w:r>
            <w:r>
              <w:rPr>
                <w:rFonts w:hint="eastAsia" w:ascii="宋体" w:hAnsi="宋体" w:cs="宋体"/>
                <w:color w:val="000000"/>
                <w:sz w:val="21"/>
                <w:szCs w:val="21"/>
              </w:rPr>
              <w:t>分；</w:t>
            </w:r>
          </w:p>
          <w:p>
            <w:pPr>
              <w:pStyle w:val="234"/>
              <w:spacing w:before="0" w:after="0" w:line="360" w:lineRule="auto"/>
              <w:ind w:hanging="15"/>
              <w:rPr>
                <w:rFonts w:ascii="宋体" w:hAnsi="宋体" w:cs="宋体"/>
                <w:color w:val="000000"/>
                <w:sz w:val="21"/>
                <w:szCs w:val="21"/>
              </w:rPr>
            </w:pPr>
            <w:r>
              <w:rPr>
                <w:rFonts w:hint="eastAsia" w:ascii="宋体" w:hAnsi="宋体" w:cs="宋体"/>
                <w:color w:val="000000"/>
                <w:sz w:val="21"/>
                <w:szCs w:val="21"/>
              </w:rPr>
              <w:t>概述基本合理、描述一般、存在可操作性得</w:t>
            </w:r>
            <w:r>
              <w:rPr>
                <w:rFonts w:hint="eastAsia" w:ascii="宋体" w:hAnsi="宋体" w:cs="宋体"/>
                <w:color w:val="000000"/>
                <w:sz w:val="21"/>
                <w:szCs w:val="21"/>
                <w:lang w:val="en-US" w:eastAsia="zh-CN"/>
              </w:rPr>
              <w:t>3</w:t>
            </w:r>
            <w:r>
              <w:rPr>
                <w:rFonts w:hint="eastAsia" w:ascii="宋体" w:hAnsi="宋体" w:cs="宋体"/>
                <w:color w:val="000000"/>
                <w:sz w:val="21"/>
                <w:szCs w:val="21"/>
              </w:rPr>
              <w:t>分；</w:t>
            </w:r>
          </w:p>
          <w:p>
            <w:pPr>
              <w:pStyle w:val="234"/>
              <w:spacing w:before="0" w:after="0" w:line="360" w:lineRule="auto"/>
              <w:ind w:hanging="15"/>
              <w:rPr>
                <w:rFonts w:ascii="宋体" w:hAnsi="宋体" w:cs="宋体"/>
                <w:color w:val="000000"/>
                <w:sz w:val="21"/>
                <w:szCs w:val="21"/>
              </w:rPr>
            </w:pPr>
            <w:r>
              <w:rPr>
                <w:rFonts w:hint="eastAsia" w:ascii="宋体" w:hAnsi="宋体" w:cs="宋体"/>
                <w:color w:val="000000"/>
                <w:sz w:val="21"/>
                <w:szCs w:val="21"/>
              </w:rPr>
              <w:t xml:space="preserve">概述具有明显不合理项、描述欠缺、存在实施难度得 </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jc w:val="left"/>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600" w:hRule="atLeast"/>
        </w:trPr>
        <w:tc>
          <w:tcPr>
            <w:tcW w:w="1134" w:type="dxa"/>
            <w:vMerge w:val="continue"/>
            <w:tcBorders>
              <w:left w:val="single" w:color="000000"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000000"/>
                <w:sz w:val="21"/>
                <w:szCs w:val="21"/>
              </w:rPr>
            </w:pPr>
            <w:r>
              <w:rPr>
                <w:rFonts w:hint="eastAsia" w:ascii="宋体" w:hAnsi="宋体" w:cs="宋体"/>
                <w:color w:val="000000"/>
                <w:sz w:val="21"/>
                <w:szCs w:val="21"/>
              </w:rPr>
              <w:t>主要分部、分项工程方案</w:t>
            </w:r>
          </w:p>
          <w:p>
            <w:pPr>
              <w:spacing w:line="360" w:lineRule="auto"/>
              <w:jc w:val="center"/>
              <w:rPr>
                <w:rFonts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7</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rPr>
                <w:rFonts w:ascii="宋体" w:hAnsi="宋体" w:cs="宋体"/>
                <w:color w:val="000000"/>
                <w:sz w:val="21"/>
                <w:szCs w:val="21"/>
              </w:rPr>
            </w:pPr>
            <w:r>
              <w:rPr>
                <w:rFonts w:hint="eastAsia" w:ascii="宋体" w:hAnsi="宋体" w:cs="宋体"/>
                <w:color w:val="000000"/>
                <w:sz w:val="21"/>
                <w:szCs w:val="21"/>
              </w:rPr>
              <w:t>方案科学、严密、合理，描述详细且具有针对性的得</w:t>
            </w:r>
            <w:r>
              <w:rPr>
                <w:rFonts w:ascii="宋体" w:hAnsi="宋体" w:cs="宋体"/>
                <w:color w:val="000000"/>
                <w:sz w:val="21"/>
                <w:szCs w:val="21"/>
              </w:rPr>
              <w:t>7</w:t>
            </w:r>
            <w:r>
              <w:rPr>
                <w:rFonts w:hint="eastAsia" w:ascii="宋体" w:hAnsi="宋体" w:cs="宋体"/>
                <w:color w:val="000000"/>
                <w:sz w:val="21"/>
                <w:szCs w:val="21"/>
              </w:rPr>
              <w:t>分；</w:t>
            </w:r>
          </w:p>
          <w:p>
            <w:pPr>
              <w:pStyle w:val="12"/>
              <w:spacing w:line="360" w:lineRule="auto"/>
              <w:ind w:left="0"/>
              <w:rPr>
                <w:sz w:val="21"/>
                <w:szCs w:val="21"/>
              </w:rPr>
            </w:pPr>
            <w:r>
              <w:rPr>
                <w:rFonts w:hint="eastAsia" w:ascii="宋体" w:hAnsi="宋体" w:cs="宋体"/>
                <w:color w:val="000000"/>
                <w:sz w:val="21"/>
                <w:szCs w:val="21"/>
              </w:rPr>
              <w:t>方案较科学，描述较为详细，针对性较强、不存在实施难度的得</w:t>
            </w:r>
            <w:r>
              <w:rPr>
                <w:rFonts w:ascii="宋体" w:hAnsi="宋体" w:cs="宋体"/>
                <w:color w:val="000000"/>
                <w:sz w:val="21"/>
                <w:szCs w:val="21"/>
              </w:rPr>
              <w:t>5</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方案基本合理、描述一般、存在可操作性得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方案具有明显不合理项、描述欠缺、存在实施难度得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jc w:val="left"/>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600" w:hRule="atLeast"/>
        </w:trPr>
        <w:tc>
          <w:tcPr>
            <w:tcW w:w="1134" w:type="dxa"/>
            <w:vMerge w:val="continue"/>
            <w:tcBorders>
              <w:left w:val="single" w:color="000000"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34"/>
              <w:spacing w:before="0" w:after="0" w:line="360" w:lineRule="auto"/>
              <w:ind w:firstLine="0"/>
              <w:jc w:val="center"/>
              <w:rPr>
                <w:rFonts w:ascii="宋体" w:hAnsi="宋体" w:cs="宋体"/>
                <w:color w:val="000000"/>
                <w:sz w:val="21"/>
                <w:szCs w:val="21"/>
              </w:rPr>
            </w:pPr>
            <w:r>
              <w:rPr>
                <w:rFonts w:hint="eastAsia" w:ascii="宋体" w:hAnsi="宋体" w:cs="宋体"/>
                <w:color w:val="000000"/>
                <w:sz w:val="21"/>
                <w:szCs w:val="21"/>
              </w:rPr>
              <w:t>结合本工程特点的针对性措施</w:t>
            </w:r>
          </w:p>
          <w:p>
            <w:pPr>
              <w:spacing w:line="360" w:lineRule="auto"/>
              <w:jc w:val="center"/>
              <w:rPr>
                <w:rFonts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7</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rPr>
                <w:rFonts w:ascii="宋体" w:hAnsi="宋体" w:cs="宋体"/>
                <w:color w:val="000000"/>
                <w:sz w:val="21"/>
                <w:szCs w:val="21"/>
              </w:rPr>
            </w:pPr>
            <w:r>
              <w:rPr>
                <w:rFonts w:hint="eastAsia" w:ascii="宋体" w:hAnsi="宋体" w:cs="宋体"/>
                <w:color w:val="000000"/>
                <w:sz w:val="21"/>
                <w:szCs w:val="21"/>
              </w:rPr>
              <w:t>措施科学、严密、合理，描述详细且具有针对性的得</w:t>
            </w:r>
            <w:r>
              <w:rPr>
                <w:rFonts w:ascii="宋体" w:hAnsi="宋体" w:cs="宋体"/>
                <w:color w:val="000000"/>
                <w:sz w:val="21"/>
                <w:szCs w:val="21"/>
              </w:rPr>
              <w:t>7</w:t>
            </w:r>
            <w:r>
              <w:rPr>
                <w:rFonts w:hint="eastAsia" w:ascii="宋体" w:hAnsi="宋体" w:cs="宋体"/>
                <w:color w:val="000000"/>
                <w:sz w:val="21"/>
                <w:szCs w:val="21"/>
              </w:rPr>
              <w:t>分；</w:t>
            </w:r>
          </w:p>
          <w:p>
            <w:pPr>
              <w:pStyle w:val="12"/>
              <w:spacing w:line="360" w:lineRule="auto"/>
              <w:ind w:left="0"/>
              <w:rPr>
                <w:sz w:val="21"/>
                <w:szCs w:val="21"/>
              </w:rPr>
            </w:pPr>
            <w:r>
              <w:rPr>
                <w:rFonts w:hint="eastAsia" w:ascii="宋体" w:hAnsi="宋体" w:cs="宋体"/>
                <w:color w:val="000000"/>
                <w:sz w:val="21"/>
                <w:szCs w:val="21"/>
              </w:rPr>
              <w:t>措施较科学，描述较为详细，针对性较强、不存在实施难度的得</w:t>
            </w:r>
            <w:r>
              <w:rPr>
                <w:rFonts w:ascii="宋体" w:hAnsi="宋体" w:cs="宋体"/>
                <w:color w:val="000000"/>
                <w:sz w:val="21"/>
                <w:szCs w:val="21"/>
              </w:rPr>
              <w:t>5</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措施基本合理、描述一般、存在可操作性得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措施具有明显不合理项、描述欠缺、存在实施难度得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600" w:hRule="atLeast"/>
        </w:trPr>
        <w:tc>
          <w:tcPr>
            <w:tcW w:w="1134" w:type="dxa"/>
            <w:vMerge w:val="continue"/>
            <w:tcBorders>
              <w:left w:val="single" w:color="000000"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季节性施工措施</w:t>
            </w:r>
          </w:p>
          <w:p>
            <w:pPr>
              <w:spacing w:line="360" w:lineRule="auto"/>
              <w:jc w:val="center"/>
              <w:rPr>
                <w:rFonts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hanging="15"/>
              <w:rPr>
                <w:rFonts w:ascii="宋体" w:hAnsi="宋体" w:cs="宋体"/>
                <w:color w:val="000000"/>
                <w:sz w:val="21"/>
                <w:szCs w:val="21"/>
              </w:rPr>
            </w:pPr>
            <w:r>
              <w:rPr>
                <w:rFonts w:hint="eastAsia" w:ascii="宋体" w:hAnsi="宋体" w:cs="宋体"/>
                <w:color w:val="000000"/>
                <w:sz w:val="21"/>
                <w:szCs w:val="21"/>
              </w:rPr>
              <w:t>措施科学、严密、合理，描述详细且具有针对性的得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措施基本合理、描述一般、存在可操作性得</w:t>
            </w:r>
            <w:r>
              <w:rPr>
                <w:rFonts w:ascii="宋体" w:hAnsi="宋体" w:cs="宋体"/>
                <w:color w:val="000000"/>
                <w:sz w:val="21"/>
                <w:szCs w:val="21"/>
              </w:rPr>
              <w:t>2</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措施具有明显不合理项、描述欠缺、存在实施难度得</w:t>
            </w:r>
            <w:r>
              <w:rPr>
                <w:rFonts w:ascii="宋体" w:hAnsi="宋体" w:cs="宋体"/>
                <w:color w:val="000000"/>
                <w:sz w:val="21"/>
                <w:szCs w:val="21"/>
              </w:rPr>
              <w:t>1</w:t>
            </w:r>
            <w:r>
              <w:rPr>
                <w:rFonts w:hint="eastAsia" w:ascii="宋体" w:hAnsi="宋体" w:cs="宋体"/>
                <w:color w:val="000000"/>
                <w:sz w:val="21"/>
                <w:szCs w:val="21"/>
              </w:rPr>
              <w:t>分；</w:t>
            </w:r>
          </w:p>
          <w:p>
            <w:pPr>
              <w:spacing w:line="360" w:lineRule="auto"/>
              <w:ind w:hanging="15"/>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600" w:hRule="atLeast"/>
        </w:trPr>
        <w:tc>
          <w:tcPr>
            <w:tcW w:w="1134"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质量、安全、进度控制措施</w:t>
            </w:r>
          </w:p>
          <w:p>
            <w:pPr>
              <w:spacing w:line="360" w:lineRule="auto"/>
              <w:ind w:firstLine="8"/>
              <w:jc w:val="center"/>
              <w:rPr>
                <w:rFonts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hanging="15"/>
              <w:rPr>
                <w:rFonts w:ascii="宋体" w:hAnsi="宋体" w:cs="宋体"/>
                <w:color w:val="000000"/>
                <w:sz w:val="21"/>
                <w:szCs w:val="21"/>
              </w:rPr>
            </w:pPr>
            <w:r>
              <w:rPr>
                <w:rFonts w:hint="eastAsia" w:ascii="宋体" w:hAnsi="宋体" w:cs="宋体"/>
                <w:color w:val="000000"/>
                <w:sz w:val="21"/>
                <w:szCs w:val="21"/>
              </w:rPr>
              <w:t>方案科学、严密、合理，描述详细且具有针对性的得</w:t>
            </w:r>
            <w:r>
              <w:rPr>
                <w:rFonts w:ascii="宋体" w:hAnsi="宋体" w:cs="宋体"/>
                <w:color w:val="000000"/>
                <w:sz w:val="21"/>
                <w:szCs w:val="21"/>
              </w:rPr>
              <w:t>5</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方案基本合理、描述一般、存在可操作性得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方案具有明显不合理项、描述欠缺、存在实施难度得</w:t>
            </w:r>
            <w:r>
              <w:rPr>
                <w:rFonts w:ascii="宋体" w:hAnsi="宋体" w:cs="宋体"/>
                <w:color w:val="000000"/>
                <w:sz w:val="21"/>
                <w:szCs w:val="21"/>
              </w:rPr>
              <w:t>1</w:t>
            </w:r>
            <w:r>
              <w:rPr>
                <w:rFonts w:hint="eastAsia" w:ascii="宋体" w:hAnsi="宋体" w:cs="宋体"/>
                <w:color w:val="000000"/>
                <w:sz w:val="21"/>
                <w:szCs w:val="21"/>
              </w:rPr>
              <w:t>分；</w:t>
            </w:r>
          </w:p>
          <w:p>
            <w:pPr>
              <w:spacing w:line="360" w:lineRule="auto"/>
              <w:ind w:hanging="15"/>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840" w:hRule="atLeast"/>
        </w:trPr>
        <w:tc>
          <w:tcPr>
            <w:tcW w:w="1134"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工期保证措施</w:t>
            </w:r>
          </w:p>
          <w:p>
            <w:pPr>
              <w:pStyle w:val="12"/>
              <w:spacing w:line="360" w:lineRule="auto"/>
              <w:ind w:left="-48"/>
              <w:jc w:val="center"/>
              <w:rPr>
                <w:rFonts w:ascii="宋体" w:hAnsi="宋体" w:cs="宋体"/>
                <w:sz w:val="21"/>
                <w:szCs w:val="21"/>
              </w:rPr>
            </w:pPr>
            <w:r>
              <w:rPr>
                <w:rFonts w:hint="eastAsia" w:ascii="宋体" w:hAnsi="宋体" w:cs="宋体"/>
                <w:color w:val="000000"/>
                <w:sz w:val="21"/>
                <w:szCs w:val="21"/>
              </w:rPr>
              <w:t>（5分）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hanging="15"/>
              <w:rPr>
                <w:rFonts w:ascii="宋体" w:hAnsi="宋体" w:cs="宋体"/>
                <w:color w:val="000000"/>
                <w:sz w:val="21"/>
                <w:szCs w:val="21"/>
              </w:rPr>
            </w:pPr>
            <w:r>
              <w:rPr>
                <w:rFonts w:hint="eastAsia" w:ascii="宋体" w:hAnsi="宋体" w:cs="宋体"/>
                <w:color w:val="000000"/>
                <w:sz w:val="21"/>
                <w:szCs w:val="21"/>
              </w:rPr>
              <w:t>计划安排合理，保证措施全面，针对性强的得5分；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计划安排略有欠缺，保证措施一般，存在可操作性得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计划安排不太合理，保证措施不全面，存在实施难度得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900" w:hRule="atLeast"/>
        </w:trPr>
        <w:tc>
          <w:tcPr>
            <w:tcW w:w="1134"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安全生产和文明施工措施</w:t>
            </w:r>
          </w:p>
          <w:p>
            <w:pPr>
              <w:pStyle w:val="12"/>
              <w:spacing w:line="360" w:lineRule="auto"/>
              <w:ind w:left="-48"/>
              <w:jc w:val="center"/>
              <w:rPr>
                <w:rFonts w:ascii="宋体" w:hAnsi="宋体" w:cs="宋体"/>
                <w:sz w:val="21"/>
                <w:szCs w:val="21"/>
              </w:rPr>
            </w:pPr>
            <w:r>
              <w:rPr>
                <w:rFonts w:hint="eastAsia" w:ascii="宋体" w:hAnsi="宋体" w:cs="宋体"/>
                <w:color w:val="000000"/>
                <w:sz w:val="21"/>
                <w:szCs w:val="21"/>
              </w:rPr>
              <w:t>（5分）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hanging="15"/>
              <w:rPr>
                <w:rFonts w:ascii="宋体" w:hAnsi="宋体" w:cs="宋体"/>
                <w:color w:val="000000"/>
                <w:sz w:val="21"/>
                <w:szCs w:val="21"/>
              </w:rPr>
            </w:pPr>
            <w:r>
              <w:rPr>
                <w:rFonts w:hint="eastAsia" w:ascii="宋体" w:hAnsi="宋体" w:cs="宋体"/>
                <w:color w:val="000000"/>
                <w:sz w:val="21"/>
                <w:szCs w:val="21"/>
              </w:rPr>
              <w:t>安全文明施工及环境保护措施合理、全面，符合相关标准、规范，针对性强的得5分；</w:t>
            </w:r>
          </w:p>
          <w:p>
            <w:pPr>
              <w:pStyle w:val="12"/>
              <w:spacing w:line="360" w:lineRule="auto"/>
              <w:ind w:left="0"/>
              <w:rPr>
                <w:rFonts w:ascii="宋体" w:hAnsi="宋体"/>
                <w:sz w:val="21"/>
                <w:szCs w:val="21"/>
              </w:rPr>
            </w:pPr>
            <w:r>
              <w:rPr>
                <w:rFonts w:hint="eastAsia" w:ascii="宋体" w:hAnsi="宋体"/>
                <w:sz w:val="21"/>
                <w:szCs w:val="21"/>
              </w:rPr>
              <w:t>全文明施工及环境保护措施较全面，针对性较强得3分；</w:t>
            </w:r>
          </w:p>
          <w:p>
            <w:pPr>
              <w:pStyle w:val="12"/>
              <w:spacing w:line="360" w:lineRule="auto"/>
              <w:ind w:left="0"/>
              <w:rPr>
                <w:rFonts w:ascii="宋体" w:hAnsi="宋体"/>
                <w:sz w:val="21"/>
                <w:szCs w:val="21"/>
              </w:rPr>
            </w:pPr>
            <w:r>
              <w:rPr>
                <w:rFonts w:hint="eastAsia" w:ascii="宋体" w:hAnsi="宋体"/>
                <w:sz w:val="21"/>
                <w:szCs w:val="21"/>
              </w:rPr>
              <w:t>安全文明施工及环境保护措施简单，针对性一般的得</w:t>
            </w:r>
            <w:r>
              <w:rPr>
                <w:rFonts w:ascii="宋体" w:hAnsi="宋体"/>
                <w:sz w:val="21"/>
                <w:szCs w:val="21"/>
              </w:rPr>
              <w:t>1</w:t>
            </w:r>
            <w:r>
              <w:rPr>
                <w:rFonts w:hint="eastAsia" w:ascii="宋体" w:hAnsi="宋体"/>
                <w:sz w:val="21"/>
                <w:szCs w:val="21"/>
              </w:rPr>
              <w:t>分；</w:t>
            </w:r>
          </w:p>
          <w:p>
            <w:pPr>
              <w:spacing w:line="360" w:lineRule="auto"/>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296" w:hRule="atLeast"/>
        </w:trPr>
        <w:tc>
          <w:tcPr>
            <w:tcW w:w="1134"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360" w:lineRule="auto"/>
              <w:rPr>
                <w:rFonts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sz w:val="21"/>
                <w:szCs w:val="21"/>
              </w:rPr>
            </w:pPr>
            <w:r>
              <w:rPr>
                <w:rFonts w:hint="eastAsia" w:ascii="宋体" w:hAnsi="宋体"/>
                <w:sz w:val="21"/>
                <w:szCs w:val="21"/>
              </w:rPr>
              <w:t>降低成本、提高经济效益措施</w:t>
            </w:r>
          </w:p>
          <w:p>
            <w:pPr>
              <w:pStyle w:val="12"/>
              <w:spacing w:line="360" w:lineRule="auto"/>
              <w:ind w:left="-48"/>
              <w:jc w:val="center"/>
              <w:rPr>
                <w:rFonts w:ascii="宋体" w:hAnsi="宋体" w:cs="宋体"/>
                <w:sz w:val="21"/>
                <w:szCs w:val="21"/>
              </w:rPr>
            </w:pPr>
            <w:r>
              <w:rPr>
                <w:rFonts w:hint="eastAsia" w:ascii="宋体" w:hAnsi="宋体" w:cs="宋体"/>
                <w:color w:val="000000"/>
                <w:sz w:val="21"/>
                <w:szCs w:val="21"/>
              </w:rPr>
              <w:t>（5分）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hanging="15"/>
              <w:rPr>
                <w:rFonts w:ascii="宋体" w:hAnsi="宋体" w:cs="宋体"/>
                <w:color w:val="000000"/>
                <w:sz w:val="21"/>
                <w:szCs w:val="21"/>
              </w:rPr>
            </w:pPr>
            <w:r>
              <w:rPr>
                <w:rFonts w:hint="eastAsia" w:ascii="宋体" w:hAnsi="宋体" w:cs="宋体"/>
                <w:color w:val="000000"/>
                <w:sz w:val="21"/>
                <w:szCs w:val="21"/>
              </w:rPr>
              <w:t>措施科学、严密、合理，描述详细且具有针对性的得</w:t>
            </w:r>
            <w:r>
              <w:rPr>
                <w:rFonts w:ascii="宋体" w:hAnsi="宋体" w:cs="宋体"/>
                <w:color w:val="000000"/>
                <w:sz w:val="21"/>
                <w:szCs w:val="21"/>
              </w:rPr>
              <w:t>5</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措施基本合理、描述一般、存在可操作性得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ind w:hanging="15"/>
              <w:rPr>
                <w:rFonts w:ascii="宋体" w:hAnsi="宋体" w:cs="宋体"/>
                <w:color w:val="000000"/>
                <w:sz w:val="21"/>
                <w:szCs w:val="21"/>
              </w:rPr>
            </w:pPr>
            <w:r>
              <w:rPr>
                <w:rFonts w:hint="eastAsia" w:ascii="宋体" w:hAnsi="宋体" w:cs="宋体"/>
                <w:color w:val="000000"/>
                <w:sz w:val="21"/>
                <w:szCs w:val="21"/>
              </w:rPr>
              <w:t>措施具有明显不合理项、描述欠缺、存在实施难度得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rPr>
                <w:rFonts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296" w:hRule="atLeast"/>
        </w:trPr>
        <w:tc>
          <w:tcPr>
            <w:tcW w:w="1134"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360" w:lineRule="auto"/>
              <w:rPr>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主要施工机械和工具、主要周转材料、劳动力安排</w:t>
            </w:r>
          </w:p>
          <w:p>
            <w:pPr>
              <w:pStyle w:val="12"/>
              <w:spacing w:line="360" w:lineRule="auto"/>
              <w:ind w:left="0"/>
              <w:jc w:val="center"/>
              <w:rPr>
                <w:rFonts w:hint="eastAsia"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投入项目的技术设备科学、严密、合理，管理制度完备、使用方案详细且具有针对性；技术人员配备合理、考虑周全的得</w:t>
            </w:r>
            <w:r>
              <w:rPr>
                <w:rFonts w:ascii="宋体" w:hAnsi="宋体" w:cs="宋体"/>
                <w:color w:val="000000"/>
                <w:sz w:val="21"/>
                <w:szCs w:val="21"/>
              </w:rPr>
              <w:t>5</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投入技术设备基本符合项目实际、管理制度一般、使用方案一般；技术人员配备一般、能满足项目实施需要的得</w:t>
            </w:r>
            <w:r>
              <w:rPr>
                <w:rFonts w:ascii="宋体" w:hAnsi="宋体" w:cs="宋体"/>
                <w:color w:val="000000"/>
                <w:sz w:val="21"/>
                <w:szCs w:val="21"/>
              </w:rPr>
              <w:t>3</w:t>
            </w:r>
            <w:r>
              <w:rPr>
                <w:rFonts w:hint="eastAsia" w:ascii="宋体" w:hAnsi="宋体" w:cs="宋体"/>
                <w:color w:val="000000"/>
                <w:sz w:val="21"/>
                <w:szCs w:val="21"/>
              </w:rPr>
              <w:t>分；</w:t>
            </w:r>
          </w:p>
          <w:p>
            <w:pPr>
              <w:spacing w:line="360" w:lineRule="auto"/>
              <w:rPr>
                <w:rFonts w:ascii="宋体" w:hAnsi="宋体" w:cs="宋体"/>
                <w:color w:val="000000"/>
                <w:sz w:val="21"/>
                <w:szCs w:val="21"/>
              </w:rPr>
            </w:pPr>
            <w:r>
              <w:rPr>
                <w:rFonts w:hint="eastAsia" w:ascii="宋体" w:hAnsi="宋体" w:cs="宋体"/>
                <w:color w:val="000000"/>
                <w:sz w:val="21"/>
                <w:szCs w:val="21"/>
              </w:rPr>
              <w:t>投入技术设备明显不足，不能满足项目实施需要；技术人员明显欠缺，不能满足项目实施需要的得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rPr>
                <w:rFonts w:hint="eastAsia"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296" w:hRule="atLeast"/>
        </w:trPr>
        <w:tc>
          <w:tcPr>
            <w:tcW w:w="1134"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spacing w:line="360" w:lineRule="auto"/>
              <w:rPr>
                <w:rFonts w:hint="eastAsia" w:ascii="宋体" w:hAnsi="宋体" w:cs="宋体"/>
                <w:sz w:val="21"/>
                <w:szCs w:val="21"/>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ind w:firstLine="8"/>
              <w:jc w:val="center"/>
              <w:rPr>
                <w:rFonts w:ascii="宋体" w:hAnsi="宋体" w:cs="宋体"/>
                <w:color w:val="000000"/>
                <w:sz w:val="21"/>
                <w:szCs w:val="21"/>
              </w:rPr>
            </w:pPr>
            <w:r>
              <w:rPr>
                <w:rFonts w:hint="eastAsia" w:ascii="宋体" w:hAnsi="宋体" w:cs="宋体"/>
                <w:color w:val="000000"/>
                <w:sz w:val="21"/>
                <w:szCs w:val="21"/>
              </w:rPr>
              <w:t>工程资料管理与农民工工资保证制度措施</w:t>
            </w:r>
          </w:p>
          <w:p>
            <w:pPr>
              <w:pStyle w:val="12"/>
              <w:spacing w:line="360" w:lineRule="auto"/>
              <w:ind w:left="420"/>
              <w:rPr>
                <w:rFonts w:hint="eastAsia" w:ascii="宋体" w:hAnsi="宋体" w:cs="宋体"/>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工程资料专人专职，岗位职责分明，档案建设规范，档案整理措施可行，农民工工资发放制度、实名制管理制度建立、合同签订等办证措施完善的得5分；</w:t>
            </w:r>
          </w:p>
          <w:p>
            <w:pPr>
              <w:spacing w:line="360" w:lineRule="auto"/>
              <w:rPr>
                <w:rFonts w:ascii="宋体" w:hAnsi="宋体" w:cs="宋体"/>
                <w:color w:val="000000"/>
                <w:sz w:val="21"/>
                <w:szCs w:val="21"/>
              </w:rPr>
            </w:pPr>
            <w:r>
              <w:rPr>
                <w:rFonts w:hint="eastAsia" w:ascii="宋体" w:hAnsi="宋体" w:cs="宋体"/>
                <w:color w:val="000000"/>
                <w:sz w:val="21"/>
                <w:szCs w:val="21"/>
              </w:rPr>
              <w:t>工程资料人员、档案建设、档案整理措施一般，农民工工资保证制度一般的得3分；</w:t>
            </w:r>
          </w:p>
          <w:p>
            <w:pPr>
              <w:spacing w:line="360" w:lineRule="auto"/>
              <w:rPr>
                <w:rFonts w:ascii="宋体" w:hAnsi="宋体" w:cs="宋体"/>
                <w:color w:val="000000"/>
                <w:sz w:val="21"/>
                <w:szCs w:val="21"/>
              </w:rPr>
            </w:pPr>
            <w:r>
              <w:rPr>
                <w:rFonts w:hint="eastAsia" w:ascii="宋体" w:hAnsi="宋体" w:cs="宋体"/>
                <w:color w:val="000000"/>
                <w:sz w:val="21"/>
                <w:szCs w:val="21"/>
              </w:rPr>
              <w:t>工程资料人员、档案建设、档案整理措施不完善，农民工工资保证制度</w:t>
            </w:r>
            <w:r>
              <w:rPr>
                <w:rFonts w:hint="eastAsia" w:ascii="宋体" w:hAnsi="宋体"/>
                <w:sz w:val="21"/>
                <w:szCs w:val="21"/>
              </w:rPr>
              <w:t>简单</w:t>
            </w:r>
            <w:r>
              <w:rPr>
                <w:rFonts w:hint="eastAsia" w:ascii="宋体" w:hAnsi="宋体" w:cs="宋体"/>
                <w:color w:val="000000"/>
                <w:sz w:val="21"/>
                <w:szCs w:val="21"/>
              </w:rPr>
              <w:t>的得</w:t>
            </w:r>
            <w:r>
              <w:rPr>
                <w:rFonts w:ascii="宋体" w:hAnsi="宋体" w:cs="宋体"/>
                <w:color w:val="000000"/>
                <w:sz w:val="21"/>
                <w:szCs w:val="21"/>
              </w:rPr>
              <w:t>1</w:t>
            </w:r>
            <w:r>
              <w:rPr>
                <w:rFonts w:hint="eastAsia" w:ascii="宋体" w:hAnsi="宋体" w:cs="宋体"/>
                <w:color w:val="000000"/>
                <w:sz w:val="21"/>
                <w:szCs w:val="21"/>
              </w:rPr>
              <w:t>分；</w:t>
            </w:r>
          </w:p>
          <w:p>
            <w:pPr>
              <w:pStyle w:val="12"/>
              <w:spacing w:line="360" w:lineRule="auto"/>
              <w:ind w:left="0"/>
              <w:rPr>
                <w:rFonts w:hint="eastAsia" w:ascii="宋体" w:hAnsi="宋体" w:cs="宋体"/>
                <w:sz w:val="21"/>
                <w:szCs w:val="21"/>
              </w:rPr>
            </w:pPr>
            <w:r>
              <w:rPr>
                <w:rFonts w:hint="eastAsia" w:ascii="宋体" w:hAnsi="宋体" w:cs="宋体"/>
                <w:color w:val="000000"/>
                <w:sz w:val="21"/>
                <w:szCs w:val="21"/>
                <w:lang w:val="en-US" w:eastAsia="zh-CN"/>
              </w:rPr>
              <w:t>无内容</w:t>
            </w:r>
            <w:r>
              <w:rPr>
                <w:rFonts w:hint="eastAsia" w:ascii="宋体" w:hAnsi="宋体" w:cs="宋体"/>
                <w:color w:val="000000"/>
                <w:sz w:val="21"/>
                <w:szCs w:val="21"/>
              </w:rPr>
              <w:t>不得分。</w:t>
            </w:r>
          </w:p>
        </w:tc>
      </w:tr>
      <w:tr>
        <w:tblPrEx>
          <w:tblCellMar>
            <w:top w:w="0" w:type="dxa"/>
            <w:left w:w="108" w:type="dxa"/>
            <w:bottom w:w="0" w:type="dxa"/>
            <w:right w:w="108" w:type="dxa"/>
          </w:tblCellMar>
        </w:tblPrEx>
        <w:trPr>
          <w:trHeight w:val="1152" w:hRule="atLeast"/>
        </w:trPr>
        <w:tc>
          <w:tcPr>
            <w:tcW w:w="1134"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宋体" w:hAnsi="宋体" w:cs="宋体"/>
                <w:sz w:val="21"/>
                <w:szCs w:val="21"/>
              </w:rPr>
            </w:pPr>
            <w:r>
              <w:rPr>
                <w:rFonts w:hint="eastAsia" w:ascii="宋体" w:hAnsi="宋体" w:cs="宋体"/>
                <w:sz w:val="21"/>
                <w:szCs w:val="21"/>
              </w:rPr>
              <w:t>项目管理机构（</w:t>
            </w:r>
            <w:r>
              <w:rPr>
                <w:rFonts w:hint="eastAsia" w:ascii="宋体" w:hAnsi="宋体" w:cs="宋体"/>
                <w:sz w:val="21"/>
                <w:szCs w:val="21"/>
                <w:lang w:val="en-US" w:eastAsia="zh-CN"/>
              </w:rPr>
              <w:t>8</w:t>
            </w:r>
            <w:r>
              <w:rPr>
                <w:rFonts w:hint="eastAsia" w:ascii="宋体" w:hAnsi="宋体" w:cs="宋体"/>
                <w:sz w:val="21"/>
                <w:szCs w:val="21"/>
              </w:rPr>
              <w:t>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宋体" w:hAnsi="宋体" w:cs="宋体"/>
                <w:sz w:val="21"/>
                <w:szCs w:val="21"/>
              </w:rPr>
            </w:pPr>
            <w:r>
              <w:rPr>
                <w:rFonts w:hint="eastAsia" w:ascii="宋体" w:hAnsi="宋体" w:cs="宋体"/>
                <w:sz w:val="21"/>
                <w:szCs w:val="21"/>
              </w:rPr>
              <w:t>项目管理机构（</w:t>
            </w:r>
            <w:r>
              <w:rPr>
                <w:rFonts w:hint="eastAsia" w:ascii="宋体" w:hAnsi="宋体" w:cs="宋体"/>
                <w:sz w:val="21"/>
                <w:szCs w:val="21"/>
                <w:lang w:val="en-US" w:eastAsia="zh-CN"/>
              </w:rPr>
              <w:t>8</w:t>
            </w:r>
            <w:r>
              <w:rPr>
                <w:rFonts w:hint="eastAsia" w:ascii="宋体" w:hAnsi="宋体" w:cs="宋体"/>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项目</w:t>
            </w:r>
            <w:r>
              <w:rPr>
                <w:rFonts w:hint="eastAsia" w:ascii="宋体" w:hAnsi="宋体" w:eastAsia="宋体" w:cs="宋体"/>
                <w:sz w:val="21"/>
                <w:szCs w:val="21"/>
                <w:lang w:val="en-US" w:eastAsia="zh-CN"/>
              </w:rPr>
              <w:t>经理</w:t>
            </w:r>
            <w:r>
              <w:rPr>
                <w:rFonts w:hint="eastAsia" w:ascii="宋体" w:hAnsi="宋体" w:eastAsia="宋体" w:cs="宋体"/>
                <w:sz w:val="21"/>
                <w:szCs w:val="21"/>
              </w:rPr>
              <w:t>具备水利专业中级及以上工程师职称的得2分。</w:t>
            </w:r>
          </w:p>
          <w:p>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技术负责人具有水利</w:t>
            </w:r>
            <w:r>
              <w:rPr>
                <w:rFonts w:hint="eastAsia" w:ascii="宋体" w:hAnsi="宋体" w:eastAsia="宋体" w:cs="宋体"/>
                <w:sz w:val="21"/>
                <w:szCs w:val="21"/>
                <w:lang w:val="en-US" w:eastAsia="zh-CN"/>
              </w:rPr>
              <w:t>专业中级及以上工程师职</w:t>
            </w:r>
            <w:r>
              <w:rPr>
                <w:rFonts w:hint="eastAsia" w:ascii="宋体" w:hAnsi="宋体" w:eastAsia="宋体" w:cs="宋体"/>
                <w:sz w:val="21"/>
                <w:szCs w:val="21"/>
              </w:rPr>
              <w:t>称的得2分</w:t>
            </w:r>
            <w:r>
              <w:rPr>
                <w:rFonts w:hint="eastAsia" w:ascii="宋体" w:hAnsi="宋体" w:eastAsia="宋体" w:cs="宋体"/>
                <w:sz w:val="21"/>
                <w:szCs w:val="21"/>
                <w:lang w:eastAsia="zh-CN"/>
              </w:rPr>
              <w:t>。</w:t>
            </w:r>
          </w:p>
          <w:p>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项目组主要人员（项目</w:t>
            </w:r>
            <w:r>
              <w:rPr>
                <w:rFonts w:hint="eastAsia" w:ascii="宋体" w:hAnsi="宋体" w:eastAsia="宋体" w:cs="宋体"/>
                <w:sz w:val="21"/>
                <w:szCs w:val="21"/>
                <w:lang w:val="en-US" w:eastAsia="zh-CN"/>
              </w:rPr>
              <w:t>经理及技术负责人</w:t>
            </w:r>
            <w:r>
              <w:rPr>
                <w:rFonts w:hint="eastAsia" w:ascii="宋体" w:hAnsi="宋体" w:eastAsia="宋体" w:cs="宋体"/>
                <w:sz w:val="21"/>
                <w:szCs w:val="21"/>
              </w:rPr>
              <w:t>除外）具备水利专业中级及以上工程师职称的，每有1人得2分，最多得4分。</w:t>
            </w:r>
          </w:p>
          <w:p>
            <w:pPr>
              <w:widowControl/>
              <w:spacing w:line="360" w:lineRule="auto"/>
              <w:rPr>
                <w:rFonts w:hint="eastAsia" w:eastAsia="宋体"/>
                <w:sz w:val="21"/>
                <w:szCs w:val="21"/>
                <w:lang w:val="en-US" w:eastAsia="zh-CN"/>
              </w:rPr>
            </w:pPr>
            <w:r>
              <w:rPr>
                <w:rFonts w:hint="eastAsia" w:ascii="宋体" w:hAnsi="宋体" w:cs="宋体"/>
                <w:b/>
                <w:bCs/>
                <w:color w:val="000000" w:themeColor="text1"/>
                <w:sz w:val="21"/>
                <w:szCs w:val="21"/>
                <w:lang w:val="en-US" w:eastAsia="zh-CN"/>
                <w14:textFill>
                  <w14:solidFill>
                    <w14:schemeClr w14:val="tx1"/>
                  </w14:solidFill>
                </w14:textFill>
              </w:rPr>
              <w:t>注：提供以上人员证书原件扫描上传同时提供投标人近三个月内任意一个月为以上人员缴纳的社保证明材料原件扫描上传，否则不得分。专业以注册证书或职称证书为准。</w:t>
            </w:r>
          </w:p>
        </w:tc>
      </w:tr>
      <w:tr>
        <w:tblPrEx>
          <w:tblCellMar>
            <w:top w:w="0" w:type="dxa"/>
            <w:left w:w="108" w:type="dxa"/>
            <w:bottom w:w="0" w:type="dxa"/>
            <w:right w:w="108" w:type="dxa"/>
          </w:tblCellMar>
        </w:tblPrEx>
        <w:trPr>
          <w:trHeight w:val="1152" w:hRule="atLeast"/>
        </w:trPr>
        <w:tc>
          <w:tcPr>
            <w:tcW w:w="1134"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lang w:val="en-US" w:eastAsia="zh-CN"/>
              </w:rPr>
              <w:t>类似业绩</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类似业绩（</w:t>
            </w:r>
            <w:r>
              <w:rPr>
                <w:rFonts w:hint="eastAsia" w:ascii="宋体" w:hAnsi="宋体" w:cs="宋体"/>
                <w:sz w:val="21"/>
                <w:szCs w:val="21"/>
                <w:lang w:val="en-US" w:eastAsia="zh-CN"/>
              </w:rPr>
              <w:t>10</w:t>
            </w:r>
            <w:r>
              <w:rPr>
                <w:rFonts w:hint="eastAsia" w:ascii="宋体" w:hAnsi="宋体" w:cs="宋体"/>
                <w:sz w:val="21"/>
                <w:szCs w:val="21"/>
              </w:rPr>
              <w:t>分）</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rPr>
                <w:rFonts w:hint="eastAsia" w:ascii="宋体" w:hAnsi="宋体" w:cs="宋体"/>
                <w:sz w:val="21"/>
                <w:szCs w:val="21"/>
              </w:rPr>
            </w:pPr>
            <w:r>
              <w:rPr>
                <w:rFonts w:hint="eastAsia" w:ascii="宋体" w:hAnsi="宋体" w:cs="仿宋"/>
                <w:sz w:val="21"/>
                <w:szCs w:val="21"/>
                <w:highlight w:val="yellow"/>
              </w:rPr>
              <w:t>202</w:t>
            </w:r>
            <w:r>
              <w:rPr>
                <w:rFonts w:hint="eastAsia" w:ascii="宋体" w:hAnsi="宋体" w:cs="仿宋"/>
                <w:sz w:val="21"/>
                <w:szCs w:val="21"/>
                <w:highlight w:val="yellow"/>
                <w:lang w:val="en-US" w:eastAsia="zh-CN"/>
              </w:rPr>
              <w:t>3</w:t>
            </w:r>
            <w:r>
              <w:rPr>
                <w:rFonts w:hint="eastAsia" w:ascii="宋体" w:hAnsi="宋体" w:cs="仿宋"/>
                <w:sz w:val="21"/>
                <w:szCs w:val="21"/>
                <w:highlight w:val="yellow"/>
              </w:rPr>
              <w:t>年</w:t>
            </w:r>
            <w:r>
              <w:rPr>
                <w:rFonts w:hint="eastAsia" w:ascii="宋体" w:hAnsi="宋体" w:cs="仿宋"/>
                <w:sz w:val="21"/>
                <w:szCs w:val="21"/>
                <w:highlight w:val="yellow"/>
                <w:lang w:val="en-US" w:eastAsia="zh-CN"/>
              </w:rPr>
              <w:t>3</w:t>
            </w:r>
            <w:r>
              <w:rPr>
                <w:rFonts w:hint="eastAsia" w:ascii="宋体" w:hAnsi="宋体" w:cs="仿宋"/>
                <w:sz w:val="21"/>
                <w:szCs w:val="21"/>
                <w:highlight w:val="yellow"/>
              </w:rPr>
              <w:t>月</w:t>
            </w:r>
            <w:r>
              <w:rPr>
                <w:rFonts w:hint="eastAsia" w:ascii="宋体" w:hAnsi="宋体" w:cs="仿宋"/>
                <w:sz w:val="21"/>
                <w:szCs w:val="21"/>
                <w:highlight w:val="yellow"/>
                <w:lang w:val="en-US" w:eastAsia="zh-CN"/>
              </w:rPr>
              <w:t>1日</w:t>
            </w:r>
            <w:r>
              <w:rPr>
                <w:rFonts w:hint="eastAsia" w:ascii="宋体" w:hAnsi="宋体" w:cs="仿宋"/>
                <w:sz w:val="21"/>
                <w:szCs w:val="21"/>
              </w:rPr>
              <w:t>（以合同签订时间为准）以来，投标人承担过类似业绩的有</w:t>
            </w:r>
            <w:r>
              <w:rPr>
                <w:rFonts w:hint="eastAsia" w:ascii="宋体" w:hAnsi="宋体" w:cs="仿宋"/>
                <w:sz w:val="21"/>
                <w:szCs w:val="21"/>
                <w:lang w:val="en-US" w:eastAsia="zh-CN"/>
              </w:rPr>
              <w:t>一</w:t>
            </w:r>
            <w:r>
              <w:rPr>
                <w:rFonts w:hint="eastAsia" w:ascii="宋体" w:hAnsi="宋体" w:cs="仿宋"/>
                <w:sz w:val="21"/>
                <w:szCs w:val="21"/>
              </w:rPr>
              <w:t>个得</w:t>
            </w:r>
            <w:r>
              <w:rPr>
                <w:rFonts w:hint="eastAsia" w:ascii="宋体" w:hAnsi="宋体" w:cs="仿宋"/>
                <w:sz w:val="21"/>
                <w:szCs w:val="21"/>
                <w:lang w:val="en-US" w:eastAsia="zh-CN"/>
              </w:rPr>
              <w:t>2</w:t>
            </w:r>
            <w:r>
              <w:rPr>
                <w:rFonts w:hint="eastAsia" w:ascii="宋体" w:hAnsi="宋体" w:cs="仿宋"/>
                <w:sz w:val="21"/>
                <w:szCs w:val="21"/>
              </w:rPr>
              <w:t>分，最高得</w:t>
            </w:r>
            <w:r>
              <w:rPr>
                <w:rFonts w:hint="eastAsia" w:ascii="宋体" w:hAnsi="宋体" w:cs="仿宋"/>
                <w:sz w:val="21"/>
                <w:szCs w:val="21"/>
                <w:lang w:val="en-US" w:eastAsia="zh-CN"/>
              </w:rPr>
              <w:t>10</w:t>
            </w:r>
            <w:r>
              <w:rPr>
                <w:rFonts w:hint="eastAsia" w:ascii="宋体" w:hAnsi="宋体" w:cs="仿宋"/>
                <w:sz w:val="21"/>
                <w:szCs w:val="21"/>
              </w:rPr>
              <w:t>分</w:t>
            </w:r>
            <w:r>
              <w:rPr>
                <w:rFonts w:ascii="宋体" w:hAnsi="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14:textFill>
                  <w14:solidFill>
                    <w14:schemeClr w14:val="tx1"/>
                  </w14:solidFill>
                </w14:textFill>
              </w:rPr>
              <w:t>同时提供以下资料</w:t>
            </w:r>
            <w:r>
              <w:rPr>
                <w:rFonts w:hint="eastAsia" w:ascii="宋体" w:hAnsi="宋体" w:cs="宋体"/>
                <w:b/>
                <w:bCs/>
                <w:color w:val="000000" w:themeColor="text1"/>
                <w:sz w:val="21"/>
                <w:szCs w:val="21"/>
                <w:lang w:val="en-US" w:eastAsia="zh-CN"/>
                <w14:textFill>
                  <w14:solidFill>
                    <w14:schemeClr w14:val="tx1"/>
                  </w14:solidFill>
                </w14:textFill>
              </w:rPr>
              <w:t>原件扫描上传（不提供不得分）</w:t>
            </w:r>
            <w:r>
              <w:rPr>
                <w:rFonts w:hint="eastAsia" w:ascii="宋体" w:hAnsi="宋体" w:cs="宋体"/>
                <w:b/>
                <w:bCs/>
                <w:color w:val="000000" w:themeColor="text1"/>
                <w:sz w:val="21"/>
                <w:szCs w:val="21"/>
                <w14:textFill>
                  <w14:solidFill>
                    <w14:schemeClr w14:val="tx1"/>
                  </w14:solidFill>
                </w14:textFill>
              </w:rPr>
              <w:t>：1、依法承发包的交易结果（中标或成交）文件；2、合同；3、符合国家规定的验收证明材料；4、其他证明资料（如有）。依法承发包的交易结果文件包括中标通知书、直接发包通知书（或备案表）和成交通知书等；依法可以不进行招标的项目，可以提供业主单位或招标代理机构出具的有关中标文件，提供相关材料原件扫描上传，不提供不得分。</w:t>
            </w:r>
            <w:r>
              <w:rPr>
                <w:rFonts w:hint="eastAsia" w:ascii="宋体" w:hAnsi="宋体" w:cs="宋体"/>
                <w:b/>
                <w:bCs/>
                <w:color w:val="000000" w:themeColor="text1"/>
                <w:sz w:val="21"/>
                <w:szCs w:val="21"/>
                <w:lang w:eastAsia="zh-CN"/>
                <w14:textFill>
                  <w14:solidFill>
                    <w14:schemeClr w14:val="tx1"/>
                  </w14:solidFill>
                </w14:textFill>
              </w:rPr>
              <w:t>）</w:t>
            </w:r>
          </w:p>
        </w:tc>
      </w:tr>
    </w:tbl>
    <w:p>
      <w:pPr>
        <w:pStyle w:val="217"/>
        <w:pageBreakBefore w:val="0"/>
        <w:spacing w:line="360" w:lineRule="auto"/>
      </w:pPr>
    </w:p>
    <w:tbl>
      <w:tblPr>
        <w:tblStyle w:val="33"/>
        <w:tblpPr w:leftFromText="180" w:rightFromText="180" w:vertAnchor="text" w:tblpX="10214" w:tblpY="-10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55" w:type="dxa"/>
            <w:gridSpan w:val="2"/>
            <w:noWrap w:val="0"/>
          </w:tcPr>
          <w:p>
            <w:pPr>
              <w:pageBreakBefore w:val="0"/>
              <w:spacing w:after="0" w:line="360" w:lineRule="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30" w:hRule="atLeast"/>
        </w:trPr>
        <w:tc>
          <w:tcPr>
            <w:tcW w:w="3841" w:type="dxa"/>
            <w:noWrap w:val="0"/>
          </w:tcPr>
          <w:p>
            <w:pPr>
              <w:pageBreakBefore w:val="0"/>
              <w:spacing w:after="0" w:line="360" w:lineRule="auto"/>
              <w:rPr>
                <w:vertAlign w:val="baseline"/>
              </w:rPr>
            </w:pPr>
          </w:p>
        </w:tc>
      </w:tr>
    </w:tbl>
    <w:tbl>
      <w:tblPr>
        <w:tblStyle w:val="33"/>
        <w:tblpPr w:leftFromText="180" w:rightFromText="180" w:vertAnchor="text" w:tblpX="10214" w:tblpY="-10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873" w:type="dxa"/>
            <w:noWrap w:val="0"/>
          </w:tcPr>
          <w:p>
            <w:pPr>
              <w:pageBreakBefore w:val="0"/>
              <w:spacing w:after="0" w:line="360" w:lineRule="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73" w:type="dxa"/>
            <w:noWrap w:val="0"/>
          </w:tcPr>
          <w:p>
            <w:pPr>
              <w:pageBreakBefore w:val="0"/>
              <w:spacing w:after="0" w:line="360" w:lineRule="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73" w:type="dxa"/>
            <w:noWrap w:val="0"/>
          </w:tcPr>
          <w:p>
            <w:pPr>
              <w:pageBreakBefore w:val="0"/>
              <w:spacing w:after="0" w:line="360" w:lineRule="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73" w:type="dxa"/>
            <w:noWrap w:val="0"/>
          </w:tcPr>
          <w:p>
            <w:pPr>
              <w:pageBreakBefore w:val="0"/>
              <w:spacing w:after="0" w:line="360" w:lineRule="auto"/>
              <w:rPr>
                <w:vertAlign w:val="baseline"/>
              </w:rPr>
            </w:pPr>
          </w:p>
        </w:tc>
      </w:tr>
    </w:tbl>
    <w:p>
      <w:pPr>
        <w:pStyle w:val="234"/>
        <w:pageBreakBefore w:val="0"/>
        <w:spacing w:line="360" w:lineRule="auto"/>
        <w:ind w:firstLine="0"/>
        <w:rPr>
          <w:rFonts w:ascii="宋体" w:hAnsi="宋体"/>
          <w:b/>
          <w:bCs/>
          <w:sz w:val="21"/>
          <w:szCs w:val="21"/>
        </w:rPr>
      </w:pPr>
      <w:r>
        <w:rPr>
          <w:rFonts w:hint="eastAsia" w:ascii="宋体" w:hAnsi="宋体"/>
          <w:b/>
        </w:rPr>
        <w:t xml:space="preserve"> </w:t>
      </w:r>
      <w:r>
        <w:rPr>
          <w:rFonts w:hint="eastAsia" w:ascii="宋体" w:hAnsi="宋体"/>
          <w:b/>
          <w:bCs/>
          <w:sz w:val="21"/>
          <w:szCs w:val="21"/>
        </w:rPr>
        <w:t>注：1、评委应对以上各得分项独立评分，供应商最终得分为所有评委评分汇总的平均值。</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187"/>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第六章 竞争性磋商响应文件格式</w:t>
      </w:r>
      <w:bookmarkEnd w:id="2"/>
      <w:bookmarkEnd w:id="427"/>
      <w:bookmarkEnd w:id="428"/>
    </w:p>
    <w:p>
      <w:pPr>
        <w:spacing w:line="360" w:lineRule="auto"/>
        <w:jc w:val="center"/>
        <w:rPr>
          <w:rFonts w:hint="eastAsia" w:ascii="宋体" w:hAnsi="宋体" w:eastAsia="宋体" w:cs="宋体"/>
          <w:b/>
          <w:color w:val="000000" w:themeColor="text1"/>
          <w:sz w:val="22"/>
          <w:highlight w:val="none"/>
          <w14:textFill>
            <w14:solidFill>
              <w14:schemeClr w14:val="tx1"/>
            </w14:solidFill>
          </w14:textFill>
        </w:rPr>
      </w:pPr>
    </w:p>
    <w:p>
      <w:pPr>
        <w:pStyle w:val="187"/>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竞争性磋商响应文件</w:t>
      </w:r>
    </w:p>
    <w:p>
      <w:pPr>
        <w:spacing w:line="360" w:lineRule="auto"/>
        <w:jc w:val="center"/>
        <w:rPr>
          <w:rFonts w:hint="eastAsia" w:ascii="宋体" w:hAnsi="宋体" w:eastAsia="宋体" w:cs="宋体"/>
          <w:b/>
          <w:color w:val="000000" w:themeColor="text1"/>
          <w:sz w:val="72"/>
          <w:szCs w:val="2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36"/>
          <w:szCs w:val="21"/>
          <w:highlight w:val="none"/>
          <w14:textFill>
            <w14:solidFill>
              <w14:schemeClr w14:val="tx1"/>
            </w14:solidFill>
          </w14:textFill>
        </w:rPr>
      </w:pPr>
    </w:p>
    <w:p>
      <w:pPr>
        <w:spacing w:line="360" w:lineRule="auto"/>
        <w:jc w:val="left"/>
        <w:rPr>
          <w:rFonts w:hint="eastAsia" w:ascii="宋体" w:hAnsi="宋体" w:eastAsia="宋体" w:cs="宋体"/>
          <w:b/>
          <w:color w:val="000000" w:themeColor="text1"/>
          <w:sz w:val="36"/>
          <w:szCs w:val="21"/>
          <w:highlight w:val="none"/>
          <w14:textFill>
            <w14:solidFill>
              <w14:schemeClr w14:val="tx1"/>
            </w14:solidFill>
          </w14:textFill>
        </w:rPr>
      </w:pPr>
    </w:p>
    <w:p>
      <w:pPr>
        <w:spacing w:line="360" w:lineRule="auto"/>
        <w:jc w:val="left"/>
        <w:rPr>
          <w:rFonts w:hint="eastAsia" w:ascii="宋体" w:hAnsi="宋体" w:eastAsia="宋体" w:cs="宋体"/>
          <w:b/>
          <w:color w:val="000000" w:themeColor="text1"/>
          <w:sz w:val="36"/>
          <w:highlight w:val="none"/>
          <w14:textFill>
            <w14:solidFill>
              <w14:schemeClr w14:val="tx1"/>
            </w14:solidFill>
          </w14:textFill>
        </w:rPr>
      </w:pPr>
    </w:p>
    <w:p>
      <w:pPr>
        <w:spacing w:line="360" w:lineRule="auto"/>
        <w:jc w:val="both"/>
        <w:rPr>
          <w:rFonts w:hint="eastAsia" w:ascii="宋体" w:hAnsi="宋体" w:eastAsia="宋体" w:cs="宋体"/>
          <w:b/>
          <w:color w:val="000000" w:themeColor="text1"/>
          <w:sz w:val="36"/>
          <w:highlight w:val="none"/>
          <w14:textFill>
            <w14:solidFill>
              <w14:schemeClr w14:val="tx1"/>
            </w14:solidFill>
          </w14:textFill>
        </w:rPr>
      </w:pPr>
    </w:p>
    <w:p>
      <w:pPr>
        <w:spacing w:line="360" w:lineRule="auto"/>
        <w:jc w:val="both"/>
        <w:rPr>
          <w:rFonts w:hint="eastAsia" w:ascii="宋体" w:hAnsi="宋体" w:eastAsia="宋体" w:cs="宋体"/>
          <w:b/>
          <w:color w:val="000000" w:themeColor="text1"/>
          <w:sz w:val="36"/>
          <w:highlight w:val="none"/>
          <w14:textFill>
            <w14:solidFill>
              <w14:schemeClr w14:val="tx1"/>
            </w14:solidFill>
          </w14:textFill>
        </w:rPr>
      </w:pPr>
    </w:p>
    <w:p>
      <w:pPr>
        <w:spacing w:line="360" w:lineRule="auto"/>
        <w:jc w:val="both"/>
        <w:rPr>
          <w:rFonts w:hint="eastAsia" w:ascii="宋体" w:hAnsi="宋体" w:eastAsia="宋体" w:cs="宋体"/>
          <w:b/>
          <w:color w:val="000000" w:themeColor="text1"/>
          <w:sz w:val="36"/>
          <w:highlight w:val="none"/>
          <w14:textFill>
            <w14:solidFill>
              <w14:schemeClr w14:val="tx1"/>
            </w14:solidFill>
          </w14:textFill>
        </w:rPr>
      </w:pPr>
    </w:p>
    <w:p>
      <w:pPr>
        <w:spacing w:line="360" w:lineRule="auto"/>
        <w:ind w:firstLine="1084"/>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 目 名 称：</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pPr>
        <w:spacing w:line="360" w:lineRule="auto"/>
        <w:ind w:firstLine="1084"/>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 目 编 号：</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磋商供应商名称 ：</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日      期 ：</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pPr>
        <w:spacing w:line="360" w:lineRule="auto"/>
        <w:ind w:firstLine="1084"/>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供  应  商：</w:t>
      </w:r>
      <w:r>
        <w:rPr>
          <w:rFonts w:hint="eastAsia" w:ascii="宋体" w:hAnsi="宋体" w:eastAsia="宋体" w:cs="宋体"/>
          <w:b/>
          <w:color w:val="000000" w:themeColor="text1"/>
          <w:sz w:val="36"/>
          <w:highlight w:val="none"/>
          <w:u w:val="single"/>
          <w14:textFill>
            <w14:solidFill>
              <w14:schemeClr w14:val="tx1"/>
            </w14:solidFill>
          </w14:textFill>
        </w:rPr>
        <w:t xml:space="preserve">         </w:t>
      </w:r>
      <w:r>
        <w:rPr>
          <w:rFonts w:hint="eastAsia" w:ascii="宋体" w:hAnsi="宋体" w:eastAsia="宋体" w:cs="宋体"/>
          <w:b/>
          <w:color w:val="000000" w:themeColor="text1"/>
          <w:sz w:val="36"/>
          <w:highlight w:val="none"/>
          <w14:textFill>
            <w14:solidFill>
              <w14:schemeClr w14:val="tx1"/>
            </w14:solidFill>
          </w14:textFill>
        </w:rPr>
        <w:t>（电子签章）</w:t>
      </w: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磋商主要文件目录</w:t>
      </w: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一、资格审查响应对照表</w:t>
      </w:r>
    </w:p>
    <w:p>
      <w:pPr>
        <w:spacing w:line="36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二、符合性审查响应对照表</w:t>
      </w:r>
    </w:p>
    <w:p>
      <w:pPr>
        <w:spacing w:line="36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三、非实质性响应对照表</w:t>
      </w:r>
    </w:p>
    <w:p>
      <w:pPr>
        <w:spacing w:line="360" w:lineRule="auto"/>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i/>
          <w:color w:val="000000" w:themeColor="text1"/>
          <w:sz w:val="24"/>
          <w:highlight w:val="none"/>
          <w:u w:val="single"/>
          <w14:textFill>
            <w14:solidFill>
              <w14:schemeClr w14:val="tx1"/>
            </w14:solidFill>
          </w14:textFill>
        </w:rPr>
        <w:t>磋商响应报价表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技术参数响应及偏离表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商务条款响应及偏离表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七、其他（供应商认为有必要提供的声明和文件，如有自拟并自行添加）</w:t>
      </w:r>
    </w:p>
    <w:p>
      <w:pPr>
        <w:pStyle w:val="187"/>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clear="all"/>
      </w:r>
      <w:r>
        <w:rPr>
          <w:rFonts w:hint="eastAsia" w:ascii="宋体" w:hAnsi="宋体" w:eastAsia="宋体" w:cs="宋体"/>
          <w:b/>
          <w:color w:val="000000" w:themeColor="text1"/>
          <w:sz w:val="32"/>
          <w:szCs w:val="32"/>
          <w:highlight w:val="none"/>
          <w14:textFill>
            <w14:solidFill>
              <w14:schemeClr w14:val="tx1"/>
            </w14:solidFill>
          </w14:textFill>
        </w:rPr>
        <w:t>一、资格审查响应对照表</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5447"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资格审查响应内容</w:t>
            </w:r>
          </w:p>
        </w:tc>
        <w:tc>
          <w:tcPr>
            <w:tcW w:w="2158"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是否响应</w:t>
            </w: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（填是或者否）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8251" w:type="dxa"/>
            <w:gridSpan w:val="3"/>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通用资格条件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法人或者其他组织的营业执照等证明文件，自然人的身份证明（身份证为正、反面）</w:t>
            </w:r>
          </w:p>
        </w:tc>
        <w:tc>
          <w:tcPr>
            <w:tcW w:w="2158" w:type="dxa"/>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依法缴纳职工社会保障资金的证明材料</w:t>
            </w:r>
            <w:r>
              <w:rPr>
                <w:rFonts w:hint="eastAsia" w:ascii="宋体" w:hAnsi="宋体" w:eastAsia="宋体" w:cs="宋体"/>
                <w:b/>
                <w:bCs/>
                <w:color w:val="000000" w:themeColor="text1"/>
                <w:szCs w:val="21"/>
                <w:highlight w:val="none"/>
                <w14:textFill>
                  <w14:solidFill>
                    <w14:schemeClr w14:val="tx1"/>
                  </w14:solidFill>
                </w14:textFill>
              </w:rPr>
              <w:t>(税务、银行或社会保险基金管理部门出具的近三个月内任意一个月缴纳职工社会保障资金的缴款凭证或缴款证明)（可提供“基本资格条件承诺函”）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供应商近三个月内任意一份依法纳税的缴款凭证（可提供“基本资格条件承诺函”）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上一年度的财务状况情况</w:t>
            </w:r>
            <w:r>
              <w:rPr>
                <w:rFonts w:hint="eastAsia" w:ascii="宋体" w:hAnsi="宋体" w:eastAsia="宋体" w:cs="宋体"/>
                <w:b/>
                <w:bCs/>
                <w:color w:val="000000" w:themeColor="text1"/>
                <w:szCs w:val="21"/>
                <w:highlight w:val="none"/>
                <w14:textFill>
                  <w14:solidFill>
                    <w14:schemeClr w14:val="tx1"/>
                  </w14:solidFill>
                </w14:textFill>
              </w:rPr>
              <w:t>（成立不满一年不需提供）（可提供“基本资格条件承诺函”）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具备履行合同所必需的设备和专业技术能力的证明材料</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参加本次政府采购活动前3年内在经营活动中没有重大违法记录的书面声明（可提供“基本资格条件承诺函”）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5447"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未被“信用中国”网站（www.creditchina.gov.cn）、“中国政府采购网"(www.ccgp.gov.cn)列入失信被执行人、重大税收违法案件当事人名单、政府采购严重违法失信行为记录名单（可提供“基本资格条件承诺函”）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5447"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供应商信用承诺函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51" w:type="dxa"/>
            <w:gridSpan w:val="3"/>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落实政府采购政策需满足的资格要求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5447"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详见公告</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特定资格条件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详见公告</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其他资格条件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5447" w:type="dxa"/>
            <w:noWrap w:val="0"/>
            <w:vAlign w:val="center"/>
          </w:tcPr>
          <w:p>
            <w:pPr>
              <w:spacing w:line="360" w:lineRule="auto"/>
              <w:jc w:val="left"/>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磋商响应函</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5447" w:type="dxa"/>
            <w:noWrap w:val="0"/>
            <w:vAlign w:val="center"/>
          </w:tcPr>
          <w:p>
            <w:pPr>
              <w:spacing w:line="360" w:lineRule="auto"/>
              <w:jc w:val="left"/>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法人授权书</w:t>
            </w:r>
          </w:p>
        </w:tc>
        <w:tc>
          <w:tcPr>
            <w:tcW w:w="215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pPr>
        <w:spacing w:before="156" w:after="156" w:line="360" w:lineRule="auto"/>
        <w:jc w:val="center"/>
        <w:rPr>
          <w:rFonts w:hint="eastAsia" w:ascii="宋体" w:hAnsi="宋体" w:eastAsia="宋体" w:cs="宋体"/>
          <w:b/>
          <w:bCs/>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基本资格条件承诺函</w:t>
      </w:r>
    </w:p>
    <w:p>
      <w:pPr>
        <w:tabs>
          <w:tab w:val="left" w:pos="6300"/>
        </w:tabs>
        <w:spacing w:line="53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                   （采购代理机构名称）：</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我公司自愿参加                   （项目名称）政府采购活动，并郑重承诺：</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szCs w:val="21"/>
          <w:highlight w:val="none"/>
          <w:lang w:val="zh-CN"/>
          <w14:textFill>
            <w14:solidFill>
              <w14:schemeClr w14:val="tx1"/>
            </w14:solidFill>
          </w14:textFill>
        </w:rPr>
        <w:t>有依法缴纳税收和社会保障金的良好记录</w:t>
      </w:r>
      <w:r>
        <w:rPr>
          <w:rFonts w:hint="eastAsia" w:ascii="宋体" w:hAnsi="宋体" w:eastAsia="宋体" w:cs="宋体"/>
          <w:color w:val="000000" w:themeColor="text1"/>
          <w:szCs w:val="21"/>
          <w:highlight w:val="none"/>
          <w14:textFill>
            <w14:solidFill>
              <w14:schemeClr w14:val="tx1"/>
            </w14:solidFill>
          </w14:textFill>
        </w:rPr>
        <w:t>，参加本项目采购活动前三年内无重大违法活动记录。</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我方对以上承诺负全部法律责任。</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法定代表人（签章）：</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供应商名称（签章）：</w:t>
      </w:r>
    </w:p>
    <w:p>
      <w:pPr>
        <w:spacing w:line="560" w:lineRule="exact"/>
        <w:ind w:firstLine="420"/>
        <w:rPr>
          <w:rFonts w:hint="eastAsia" w:ascii="宋体" w:hAnsi="宋体" w:eastAsia="宋体" w:cs="宋体"/>
          <w:color w:val="000000" w:themeColor="text1"/>
          <w:szCs w:val="2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r>
        <w:rPr>
          <w:rFonts w:hint="eastAsia" w:ascii="宋体" w:hAnsi="宋体" w:eastAsia="宋体" w:cs="宋体"/>
          <w:b/>
          <w:color w:val="000000" w:themeColor="text1"/>
          <w:szCs w:val="21"/>
          <w:highlight w:val="none"/>
          <w14:textFill>
            <w14:solidFill>
              <w14:schemeClr w14:val="tx1"/>
            </w14:solidFill>
          </w14:textFill>
        </w:rPr>
        <w:br w:type="page" w:clear="all"/>
      </w:r>
      <w:r>
        <w:rPr>
          <w:rFonts w:hint="eastAsia" w:ascii="宋体" w:hAnsi="宋体" w:eastAsia="宋体" w:cs="宋体"/>
          <w:b/>
          <w:color w:val="000000" w:themeColor="text1"/>
          <w:szCs w:val="21"/>
          <w:highlight w:val="none"/>
          <w14:textFill>
            <w14:solidFill>
              <w14:schemeClr w14:val="tx1"/>
            </w14:solidFill>
          </w14:textFill>
        </w:rPr>
        <w:t>供应商信用承诺书</w:t>
      </w:r>
    </w:p>
    <w:p>
      <w:pPr>
        <w:spacing w:line="360" w:lineRule="auto"/>
        <w:rPr>
          <w:rFonts w:hint="eastAsia" w:ascii="宋体" w:hAnsi="宋体" w:eastAsia="宋体" w:cs="宋体"/>
          <w:color w:val="000000" w:themeColor="text1"/>
          <w:szCs w:val="32"/>
          <w:highlight w:val="none"/>
          <w14:textFill>
            <w14:solidFill>
              <w14:schemeClr w14:val="tx1"/>
            </w14:solidFill>
          </w14:textFill>
        </w:rPr>
      </w:pP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承诺主体名称：</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统一社会信用代码：</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一、对提供给注册登记部门、行业管理部门、司法部门、行业组织以及在政府采购活动中提交的所有资料的合法性、真实性、准确性和有效性负责；</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二、严格按照国家法律、法规和规章开展采购活动，全面履行应尽的责任和义务，全面做到履约守信，具备《中华人民共和国政府采购法》第二十二条第一款规定的条件;</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三、严格依法开展生产经营活动，主动接受行业监管，自愿接受依法开展的日常检查；违法失信经营后将自愿接受约束和惩戒，并依法承担相应责任；</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四、自觉接受行政管理部门、行业组织、社会公众、新闻舆论的监督；</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五、自觉做到自我约束、自我管理，不制假售假、商标侵权、虚假宣传、违约毁约、恶意逃债、偷税漏税、垄断和不正当竞争，维护经营者、消费者的合法权益；</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六、提出政府采购质疑和投诉坚持依法依规、诚实信用原则，在全国范围12个月内没有三次以上查无实据的政府采购投诉；</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七、严格遵守信用信息公示相关规定，向社会公示信用信息；</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八、在“信用中国”和“中国政府采购网”网站中无违法违规、较重或严重失信记录；</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十、本承诺书自签订之日起生效。</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（注：法定代表人或负责人、主体名称发生变更的应当重新做出承诺。）</w:t>
      </w:r>
    </w:p>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承诺单位（签章）：           </w:t>
      </w:r>
    </w:p>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法定代表人（负责人）：</w:t>
      </w:r>
    </w:p>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年    月    日</w:t>
      </w:r>
    </w:p>
    <w:p>
      <w:pPr>
        <w:spacing w:line="360" w:lineRule="auto"/>
        <w:jc w:val="center"/>
        <w:rPr>
          <w:rFonts w:hint="eastAsia" w:ascii="宋体" w:hAnsi="宋体" w:eastAsia="宋体" w:cs="宋体"/>
          <w:b/>
          <w:bCs/>
          <w:color w:val="000000" w:themeColor="text1"/>
          <w:highlight w:val="none"/>
          <w14:textFill>
            <w14:solidFill>
              <w14:schemeClr w14:val="tx1"/>
            </w14:solidFill>
          </w14:textFill>
        </w:rPr>
        <w:sectPr>
          <w:headerReference r:id="rId6" w:type="default"/>
          <w:footerReference r:id="rId7" w:type="default"/>
          <w:pgSz w:w="11906" w:h="16838"/>
          <w:pgMar w:top="1440" w:right="1800" w:bottom="1440" w:left="1800" w:header="851" w:footer="992" w:gutter="0"/>
          <w:cols w:space="720" w:num="1"/>
          <w:docGrid w:linePitch="360" w:charSpace="0"/>
        </w:sectPr>
      </w:pPr>
    </w:p>
    <w:p>
      <w:pPr>
        <w:spacing w:line="360" w:lineRule="auto"/>
        <w:jc w:val="center"/>
        <w:rPr>
          <w:rFonts w:hint="eastAsia" w:ascii="宋体" w:hAnsi="宋体" w:eastAsia="宋体" w:cs="宋体"/>
          <w:b/>
          <w:bCs/>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磋商响应函</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致：（代理公司）</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根据贵方的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号磋商文件，正式授权下述签字人_________ (姓名和职务)代表我方______________（供应商的名称），全权处理本次项目磋商采购的有关事宜。</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据此函，__________（签字人）兹宣布同意如下：</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1.按磋商文件规定的各项要求，向买方提供所需服务。</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2.我们已详细审核全部磋商文件及其有效补充文件，我们知道必须放弃提出含糊不清或误解问题的权利。</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3.我们同意从规定的响应文件接收截止时间起遵循本响应文件，并在规定的磋商有效期期满之前均具有约束力。</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4.同意向贵方提供贵方可能另外要求的与磋商采购有关的任何证据或资料，并保证我方已提供和将要提供的文件是真实的、准确的。</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5.一旦我方成交，我方将根据磋商文件的规定，严格履行合同的责任和义务，并保证在磋商文件规定的时间完成项目，交付买方验收、使用。</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6.遵守磋商文件中要求的收费项目和标准。</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7.与本磋商采购有关的正式通讯地址为：</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                         邮 编：</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供应商开户行：                  账 户： </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法定代表人姓名（签章）：         联系电话：</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供应商名称（公章）：            </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期：________年____月____日</w:t>
      </w:r>
    </w:p>
    <w:p>
      <w:pPr>
        <w:pStyle w:val="237"/>
        <w:spacing w:after="312" w:line="360" w:lineRule="auto"/>
        <w:ind w:firstLine="422"/>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clear="all"/>
      </w:r>
      <w:r>
        <w:rPr>
          <w:rFonts w:hint="eastAsia" w:ascii="宋体" w:hAnsi="宋体" w:eastAsia="宋体" w:cs="宋体"/>
          <w:b/>
          <w:color w:val="000000" w:themeColor="text1"/>
          <w:sz w:val="21"/>
          <w:szCs w:val="21"/>
          <w:highlight w:val="none"/>
          <w14:textFill>
            <w14:solidFill>
              <w14:schemeClr w14:val="tx1"/>
            </w14:solidFill>
          </w14:textFill>
        </w:rPr>
        <w:t>法人授权书</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本授权书声明：________________（供应商名称）授权________________（被授权人的姓名）为我方就（项目编号）号（项目名称）项目采购活动的合法代理人，以本公司名义全权处理一切与该项目采购有关的事务。</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本授权书于______年____月____日起生效，特此声明。</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被授权人姓名：_____________________</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__     </w:t>
      </w:r>
    </w:p>
    <w:p>
      <w:pPr>
        <w:pStyle w:val="237"/>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联系电话（手机）：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237"/>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单位名称：____________________________________</w:t>
      </w:r>
    </w:p>
    <w:p>
      <w:pPr>
        <w:pStyle w:val="237"/>
        <w:spacing w:line="360" w:lineRule="auto"/>
        <w:ind w:firstLine="4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237"/>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highlight w:val="none"/>
          <w14:textFill>
            <w14:solidFill>
              <w14:schemeClr w14:val="tx1"/>
            </w14:solidFill>
          </w14:textFill>
        </w:rPr>
      </w:pPr>
    </w:p>
    <w:p>
      <w:pPr>
        <w:spacing w:line="360" w:lineRule="auto"/>
        <w:ind w:firstLine="420"/>
        <w:rPr>
          <w:rFonts w:hint="eastAsia" w:ascii="宋体" w:hAnsi="宋体" w:eastAsia="宋体" w:cs="宋体"/>
          <w:bCs/>
          <w:color w:val="000000" w:themeColor="text1"/>
          <w:highlight w:val="none"/>
          <w14:textFill>
            <w14:solidFill>
              <w14:schemeClr w14:val="tx1"/>
            </w14:solidFill>
          </w14:textFill>
        </w:rPr>
        <w:sectPr>
          <w:pgSz w:w="11906" w:h="16838"/>
          <w:pgMar w:top="1440" w:right="1800" w:bottom="1440" w:left="1800" w:header="851" w:footer="992" w:gutter="0"/>
          <w:cols w:space="720" w:num="1"/>
          <w:docGrid w:linePitch="360" w:charSpace="0"/>
        </w:sectPr>
      </w:pPr>
      <w:r>
        <w:rPr>
          <w:rFonts w:hint="eastAsia" w:ascii="宋体" w:hAnsi="宋体" w:eastAsia="宋体" w:cs="宋体"/>
          <w:bCs/>
          <w:color w:val="000000" w:themeColor="text1"/>
          <w:highlight w:val="none"/>
          <w14:textFill>
            <w14:solidFill>
              <w14:schemeClr w14:val="tx1"/>
            </w14:solidFill>
          </w14:textFill>
        </w:rPr>
        <w:t>被授权人身份证复印件</w:t>
      </w:r>
    </w:p>
    <w:p>
      <w:pPr>
        <w:numPr>
          <w:ilvl w:val="0"/>
          <w:numId w:val="5"/>
        </w:num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符合性审查响应对照表</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5447"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符合性审查响应内容</w:t>
            </w:r>
          </w:p>
        </w:tc>
        <w:tc>
          <w:tcPr>
            <w:tcW w:w="1680"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是否响应</w:t>
            </w: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（填是或者否）</w:t>
            </w:r>
          </w:p>
        </w:tc>
        <w:tc>
          <w:tcPr>
            <w:tcW w:w="1308"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采购需求中必须满足的实质性要求（即加斜体下划线内容，每条详细列出）</w:t>
            </w:r>
          </w:p>
        </w:tc>
        <w:tc>
          <w:tcPr>
            <w:tcW w:w="1680" w:type="dxa"/>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w:t>
            </w: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pPr>
        <w:spacing w:line="360" w:lineRule="auto"/>
        <w:contextualSpacing/>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clear="all"/>
      </w:r>
    </w:p>
    <w:p>
      <w:pPr>
        <w:numPr>
          <w:ilvl w:val="0"/>
          <w:numId w:val="5"/>
        </w:num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非实质性响应对照表</w:t>
      </w:r>
    </w:p>
    <w:p>
      <w:pPr>
        <w:spacing w:line="360" w:lineRule="auto"/>
        <w:rPr>
          <w:rFonts w:hint="eastAsia" w:ascii="宋体" w:hAnsi="宋体" w:eastAsia="宋体" w:cs="宋体"/>
          <w:b/>
          <w:color w:val="000000" w:themeColor="text1"/>
          <w:sz w:val="32"/>
          <w:szCs w:val="32"/>
          <w:highlight w:val="none"/>
          <w14:textFill>
            <w14:solidFill>
              <w14:schemeClr w14:val="tx1"/>
            </w14:solidFill>
          </w14:textFill>
        </w:rPr>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5447"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非实质性响应内容</w:t>
            </w:r>
          </w:p>
        </w:tc>
        <w:tc>
          <w:tcPr>
            <w:tcW w:w="1680"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是否响应</w:t>
            </w:r>
          </w:p>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（填是或者否）</w:t>
            </w:r>
          </w:p>
        </w:tc>
        <w:tc>
          <w:tcPr>
            <w:tcW w:w="1308"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《企业声明函》</w:t>
            </w:r>
          </w:p>
        </w:tc>
        <w:tc>
          <w:tcPr>
            <w:tcW w:w="1680" w:type="dxa"/>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《残疾人福利性单位声明函》</w:t>
            </w: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5447" w:type="dxa"/>
            <w:noWrap w:val="0"/>
            <w:vAlign w:val="center"/>
          </w:tcPr>
          <w:p>
            <w:pPr>
              <w:spacing w:line="360" w:lineRule="auto"/>
              <w:rPr>
                <w:rFonts w:hint="eastAsia" w:ascii="宋体" w:hAnsi="宋体" w:eastAsia="宋体" w:cs="宋体"/>
                <w:iCs/>
                <w:color w:val="000000" w:themeColor="text1"/>
                <w:szCs w:val="21"/>
                <w:highlight w:val="none"/>
                <w14:textFill>
                  <w14:solidFill>
                    <w14:schemeClr w14:val="tx1"/>
                  </w14:solidFill>
                </w14:textFill>
              </w:rPr>
            </w:pPr>
            <w:r>
              <w:rPr>
                <w:rFonts w:hint="eastAsia" w:ascii="宋体" w:hAnsi="宋体" w:eastAsia="宋体" w:cs="宋体"/>
                <w:iCs/>
                <w:color w:val="000000" w:themeColor="text1"/>
                <w:szCs w:val="21"/>
                <w:highlight w:val="none"/>
                <w14:textFill>
                  <w14:solidFill>
                    <w14:schemeClr w14:val="tx1"/>
                  </w14:solidFill>
                </w14:textFill>
              </w:rPr>
              <w:t>……</w:t>
            </w:r>
          </w:p>
        </w:tc>
        <w:tc>
          <w:tcPr>
            <w:tcW w:w="1680"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pPr>
        <w:widowControl/>
        <w:spacing w:line="360" w:lineRule="auto"/>
        <w:jc w:val="left"/>
        <w:rPr>
          <w:rFonts w:hint="eastAsia" w:ascii="宋体" w:hAnsi="宋体" w:eastAsia="宋体" w:cs="宋体"/>
          <w:b/>
          <w:bCs/>
          <w:color w:val="000000" w:themeColor="text1"/>
          <w:highlight w:val="none"/>
          <w14:textFill>
            <w14:solidFill>
              <w14:schemeClr w14:val="tx1"/>
            </w14:solidFill>
          </w14:textFill>
        </w:rPr>
      </w:pPr>
    </w:p>
    <w:p>
      <w:pPr>
        <w:spacing w:before="312" w:after="312"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clear="all"/>
      </w:r>
      <w:r>
        <w:rPr>
          <w:rFonts w:hint="eastAsia" w:ascii="宋体" w:hAnsi="宋体" w:eastAsia="宋体" w:cs="宋体"/>
          <w:b/>
          <w:bCs/>
          <w:color w:val="000000" w:themeColor="text1"/>
          <w:highlight w:val="none"/>
          <w14:textFill>
            <w14:solidFill>
              <w14:schemeClr w14:val="tx1"/>
            </w14:solidFill>
          </w14:textFill>
        </w:rPr>
        <w:t>中小企业声明函（工程、服务）</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highlight w:val="none"/>
          <w:u w:val="single"/>
          <w14:textFill>
            <w14:solidFill>
              <w14:schemeClr w14:val="tx1"/>
            </w14:solidFill>
          </w14:textFill>
        </w:rPr>
        <w:t>（单位名称）</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（项目名称）</w:t>
      </w:r>
      <w:r>
        <w:rPr>
          <w:rFonts w:hint="eastAsia" w:ascii="宋体" w:hAnsi="宋体" w:eastAsia="宋体" w:cs="宋体"/>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 </w:t>
      </w:r>
      <w:r>
        <w:rPr>
          <w:rFonts w:hint="eastAsia" w:ascii="宋体" w:hAnsi="宋体" w:eastAsia="宋体" w:cs="宋体"/>
          <w:color w:val="000000" w:themeColor="text1"/>
          <w:highlight w:val="none"/>
          <w:u w:val="single"/>
          <w14:textFill>
            <w14:solidFill>
              <w14:schemeClr w14:val="tx1"/>
            </w14:solidFill>
          </w14:textFill>
        </w:rPr>
        <w:t xml:space="preserve">（标的名称） </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（采购文件中明确的所属行业）（该行业类别不可修改）</w:t>
      </w:r>
      <w:r>
        <w:rPr>
          <w:rFonts w:hint="eastAsia" w:ascii="宋体" w:hAnsi="宋体" w:eastAsia="宋体" w:cs="宋体"/>
          <w:color w:val="000000" w:themeColor="text1"/>
          <w:highlight w:val="none"/>
          <w14:textFill>
            <w14:solidFill>
              <w14:schemeClr w14:val="tx1"/>
            </w14:solidFill>
          </w14:textFill>
        </w:rPr>
        <w:t>；承建（承接）企业为</w:t>
      </w:r>
      <w:r>
        <w:rPr>
          <w:rFonts w:hint="eastAsia" w:ascii="宋体" w:hAnsi="宋体" w:eastAsia="宋体" w:cs="宋体"/>
          <w:color w:val="000000" w:themeColor="text1"/>
          <w:highlight w:val="none"/>
          <w:u w:val="single"/>
          <w14:textFill>
            <w14:solidFill>
              <w14:schemeClr w14:val="tx1"/>
            </w14:solidFill>
          </w14:textFill>
        </w:rPr>
        <w:t>（企业名称）</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lang w:eastAsia="en-US"/>
          <w14:textFill>
            <w14:solidFill>
              <w14:schemeClr w14:val="tx1"/>
            </w14:solidFill>
          </w14:textFill>
        </w:rPr>
        <w:fldChar w:fldCharType="begin"/>
      </w:r>
      <w:r>
        <w:rPr>
          <w:rFonts w:hint="eastAsia" w:ascii="宋体" w:hAnsi="宋体" w:eastAsia="宋体" w:cs="宋体"/>
          <w:color w:val="000000" w:themeColor="text1"/>
          <w:spacing w:val="-1"/>
          <w:highlight w:val="none"/>
          <w:vertAlign w:val="superscript"/>
          <w14:textFill>
            <w14:solidFill>
              <w14:schemeClr w14:val="tx1"/>
            </w14:solidFill>
          </w14:textFill>
        </w:rPr>
        <w:instrText xml:space="preserve"> HYPERLINK \l "br1" </w:instrText>
      </w:r>
      <w:r>
        <w:rPr>
          <w:rFonts w:hint="eastAsia" w:ascii="宋体" w:hAnsi="宋体" w:eastAsia="宋体" w:cs="宋体"/>
          <w:color w:val="000000" w:themeColor="text1"/>
          <w:highlight w:val="none"/>
          <w:lang w:eastAsia="en-US"/>
          <w14:textFill>
            <w14:solidFill>
              <w14:schemeClr w14:val="tx1"/>
            </w14:solidFill>
          </w14:textFill>
        </w:rPr>
        <w:fldChar w:fldCharType="separate"/>
      </w:r>
      <w:r>
        <w:rPr>
          <w:rFonts w:hint="eastAsia" w:ascii="宋体" w:hAnsi="宋体" w:eastAsia="宋体" w:cs="宋体"/>
          <w:color w:val="000000" w:themeColor="text1"/>
          <w:spacing w:val="-1"/>
          <w:highlight w:val="none"/>
          <w:vertAlign w:val="superscript"/>
          <w14:textFill>
            <w14:solidFill>
              <w14:schemeClr w14:val="tx1"/>
            </w14:solidFill>
          </w14:textFill>
        </w:rPr>
        <w:t>1</w:t>
      </w:r>
      <w:r>
        <w:rPr>
          <w:rFonts w:hint="eastAsia" w:ascii="宋体" w:hAnsi="宋体" w:eastAsia="宋体" w:cs="宋体"/>
          <w:color w:val="000000" w:themeColor="text1"/>
          <w:highlight w:val="none"/>
          <w:lang w:eastAsia="en-US"/>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（中型企业、小型企业、微型企业）；</w:t>
      </w:r>
    </w:p>
    <w:p>
      <w:pPr>
        <w:spacing w:line="360" w:lineRule="auto"/>
        <w:ind w:firstLine="42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 </w:t>
      </w:r>
      <w:r>
        <w:rPr>
          <w:rFonts w:hint="eastAsia" w:ascii="宋体" w:hAnsi="宋体" w:eastAsia="宋体" w:cs="宋体"/>
          <w:color w:val="000000" w:themeColor="text1"/>
          <w:highlight w:val="none"/>
          <w:u w:val="single"/>
          <w14:textFill>
            <w14:solidFill>
              <w14:schemeClr w14:val="tx1"/>
            </w14:solidFill>
          </w14:textFill>
        </w:rPr>
        <w:t>（标的名称）</w:t>
      </w:r>
      <w:r>
        <w:rPr>
          <w:rFonts w:hint="eastAsia" w:ascii="宋体" w:hAnsi="宋体" w:eastAsia="宋体" w:cs="宋体"/>
          <w:color w:val="000000" w:themeColor="text1"/>
          <w:highlight w:val="none"/>
          <w14:textFill>
            <w14:solidFill>
              <w14:schemeClr w14:val="tx1"/>
            </w14:solidFill>
          </w14:textFill>
        </w:rPr>
        <w:t xml:space="preserve"> ，属于</w:t>
      </w:r>
      <w:r>
        <w:rPr>
          <w:rFonts w:hint="eastAsia" w:ascii="宋体" w:hAnsi="宋体" w:eastAsia="宋体" w:cs="宋体"/>
          <w:color w:val="000000" w:themeColor="text1"/>
          <w:highlight w:val="none"/>
          <w:u w:val="single"/>
          <w14:textFill>
            <w14:solidFill>
              <w14:schemeClr w14:val="tx1"/>
            </w14:solidFill>
          </w14:textFill>
        </w:rPr>
        <w:t>（采购文件中明确的所属行业（该行业类别不可修改））</w:t>
      </w:r>
      <w:r>
        <w:rPr>
          <w:rFonts w:hint="eastAsia" w:ascii="宋体" w:hAnsi="宋体" w:eastAsia="宋体" w:cs="宋体"/>
          <w:color w:val="000000" w:themeColor="text1"/>
          <w:highlight w:val="none"/>
          <w14:textFill>
            <w14:solidFill>
              <w14:schemeClr w14:val="tx1"/>
            </w14:solidFill>
          </w14:textFill>
        </w:rPr>
        <w:t>；承建（承接）企业为</w:t>
      </w:r>
      <w:r>
        <w:rPr>
          <w:rFonts w:hint="eastAsia" w:ascii="宋体" w:hAnsi="宋体" w:eastAsia="宋体" w:cs="宋体"/>
          <w:color w:val="000000" w:themeColor="text1"/>
          <w:highlight w:val="none"/>
          <w:u w:val="single"/>
          <w14:textFill>
            <w14:solidFill>
              <w14:schemeClr w14:val="tx1"/>
            </w14:solidFill>
          </w14:textFill>
        </w:rPr>
        <w:t>（企业名称）</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人，营业收入为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万元，资产总额为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万元，属于</w:t>
      </w:r>
      <w:r>
        <w:rPr>
          <w:rFonts w:hint="eastAsia" w:ascii="宋体" w:hAnsi="宋体" w:eastAsia="宋体" w:cs="宋体"/>
          <w:color w:val="000000" w:themeColor="text1"/>
          <w:highlight w:val="none"/>
          <w:u w:val="single"/>
          <w14:textFill>
            <w14:solidFill>
              <w14:schemeClr w14:val="tx1"/>
            </w14:solidFill>
          </w14:textFill>
        </w:rPr>
        <w:t>（中型企业、小型企业、微型企业）；</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本企业对上述声明内容的真实性负责。如有虚假，将依法承担相应责任。</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：1、从业人员（不仅指在职职工）、营业收入、资产总额填报上一年度数据，无上一年度数据的新成立企业可不填报。</w:t>
      </w:r>
    </w:p>
    <w:p>
      <w:pPr>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2、供应商如不提供此声明函，价格将不做相应扣除。</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3、企业声明函请完整填写，中标后将公示。</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5、中小企业不得属于大企业的分支机构，不得存在控股股东为大企业的情形，不得存在与大企业的负责人为同一人的情形。</w:t>
      </w:r>
    </w:p>
    <w:p>
      <w:pPr>
        <w:spacing w:line="360" w:lineRule="auto"/>
        <w:ind w:firstLine="4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360" w:lineRule="auto"/>
        <w:ind w:firstLine="46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企业名称（盖章）：</w:t>
      </w:r>
    </w:p>
    <w:p>
      <w:pPr>
        <w:spacing w:line="360" w:lineRule="auto"/>
        <w:ind w:firstLine="462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pPr>
        <w:spacing w:line="360" w:lineRule="auto"/>
        <w:ind w:firstLine="4620"/>
        <w:jc w:val="left"/>
        <w:rPr>
          <w:rFonts w:hint="eastAsia" w:ascii="宋体" w:hAnsi="宋体" w:eastAsia="宋体" w:cs="宋体"/>
          <w:color w:val="000000" w:themeColor="text1"/>
          <w:highlight w:val="none"/>
          <w14:textFill>
            <w14:solidFill>
              <w14:schemeClr w14:val="tx1"/>
            </w14:solidFill>
          </w14:textFill>
        </w:rPr>
      </w:pPr>
    </w:p>
    <w:p>
      <w:pPr>
        <w:pStyle w:val="188"/>
        <w:widowControl/>
        <w:spacing w:before="300" w:after="30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bookmarkStart w:id="431" w:name="_Toc109304977"/>
      <w:bookmarkStart w:id="432" w:name="_Toc5595"/>
      <w:r>
        <w:rPr>
          <w:rFonts w:hint="eastAsia" w:ascii="宋体" w:hAnsi="宋体" w:eastAsia="宋体" w:cs="宋体"/>
          <w:bCs w:val="0"/>
          <w:color w:val="000000" w:themeColor="text1"/>
          <w:sz w:val="21"/>
          <w:szCs w:val="21"/>
          <w:highlight w:val="none"/>
          <w14:textFill>
            <w14:solidFill>
              <w14:schemeClr w14:val="tx1"/>
            </w14:solidFill>
          </w14:textFill>
        </w:rPr>
        <w:t>中小微企业划型标准</w:t>
      </w:r>
      <w:bookmarkEnd w:id="431"/>
      <w:r>
        <w:rPr>
          <w:rFonts w:hint="eastAsia" w:ascii="宋体" w:hAnsi="宋体" w:eastAsia="宋体" w:cs="宋体"/>
          <w:bCs w:val="0"/>
          <w:color w:val="000000" w:themeColor="text1"/>
          <w:sz w:val="21"/>
          <w:szCs w:val="21"/>
          <w:highlight w:val="none"/>
          <w14:textFill>
            <w14:solidFill>
              <w14:schemeClr w14:val="tx1"/>
            </w14:solidFill>
          </w14:textFill>
        </w:rPr>
        <w:t> </w:t>
      </w:r>
      <w:bookmarkEnd w:id="432"/>
    </w:p>
    <w:p>
      <w:pPr>
        <w:pStyle w:val="215"/>
        <w:widowControl/>
        <w:spacing w:before="300" w:after="452"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r>
        <w:rPr>
          <w:rStyle w:val="216"/>
          <w:rFonts w:hint="eastAsia" w:ascii="宋体" w:hAnsi="宋体" w:eastAsia="宋体" w:cs="宋体"/>
          <w:color w:val="000000" w:themeColor="text1"/>
          <w:sz w:val="21"/>
          <w:szCs w:val="21"/>
          <w:highlight w:val="none"/>
          <w14:textFill>
            <w14:solidFill>
              <w14:schemeClr w14:val="tx1"/>
            </w14:solidFill>
          </w14:textFill>
        </w:rPr>
        <w:t>中小微企业划型标准如下：</w:t>
      </w:r>
    </w:p>
    <w:tbl>
      <w:tblPr>
        <w:tblStyle w:val="250"/>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0" w:type="dxa"/>
          <w:bottom w:w="0" w:type="dxa"/>
          <w:right w:w="0" w:type="dxa"/>
        </w:tblCellMar>
      </w:tblPr>
      <w:tblGrid>
        <w:gridCol w:w="1371"/>
        <w:gridCol w:w="1646"/>
        <w:gridCol w:w="743"/>
        <w:gridCol w:w="1718"/>
        <w:gridCol w:w="1617"/>
        <w:gridCol w:w="1421"/>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85" w:hRule="atLeast"/>
          <w:jc w:val="center"/>
        </w:trPr>
        <w:tc>
          <w:tcPr>
            <w:tcW w:w="137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行业名称</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指标名称</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计量单位</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left="0" w:right="0" w:firstLine="42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中型</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left="0" w:right="0" w:firstLine="42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小型</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微型</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bottom"/>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农、林、牧、渔</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500≤Y＜20000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50≤Y＜500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Y＜50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300≤X＜1000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20≤X＜300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X＜20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2000≤Y＜40000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300≤Y＜2000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Y＜300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7"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建筑业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6000≤Y＜80000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300≤Y＜6000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Y＜300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资产总额（Z）</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5000≤Z＜80000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300≤Z＜5000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Z＜300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7"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firstLine="211"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批发业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20≤X＜200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5≤X＜20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5000≤Y＜40000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1000≤Y＜5000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零售业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10≤X＜50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500≤Y＜20000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100≤Y＜500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交通运输业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300≤X＜1000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20≤X＜300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X＜20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3000≤Y＜30000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200≤Y＜3000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Y＜200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7"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仓储业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100≤X＜200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X＜20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1000≤Y＜30000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100≤Y＜1000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firstLine="211"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邮政业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300≤X＜1000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20≤X＜300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X＜20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2000≤Y＜30000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100≤Y＜2000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住宿业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2000≤Y＜10000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100≤Y＜2000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餐饮业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2000≤Y＜10000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100≤Y＜2000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信息传输业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100≤X＜2000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1000≤Y＜100000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100≤Y＜1000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软件和信息技术服务业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1000≤Y＜10000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50≤Y＜1000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Y＜50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房地产开发经营</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1000≤Y＜200000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100≤X＜1000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资产总额（Z）</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5000≤Z＜10000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2000≤Y＜5000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Y＜2000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物业管理</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300≤X＜1000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营业收入（Y）</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1000≤Y＜5000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500≤Y＜1000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Y＜500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租赁和商务服务业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vMerge w:val="continue"/>
            <w:tcBorders>
              <w:top w:val="single" w:color="auto" w:sz="4" w:space="0"/>
              <w:left w:val="single" w:color="auto" w:sz="4" w:space="0"/>
              <w:bottom w:val="single" w:color="auto" w:sz="4" w:space="0"/>
              <w:right w:val="single" w:color="auto" w:sz="4" w:space="0"/>
            </w:tcBorders>
            <w:noWrap w:val="0"/>
          </w:tcPr>
          <w:p>
            <w:pPr>
              <w:pageBreakBefore w:val="0"/>
              <w:kinsoku/>
              <w:wordWrap/>
              <w:overflowPunct/>
              <w:topLinePunct w:val="0"/>
              <w:bidi w:val="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资产总额（Z）</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万元</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8000≤Z＜120000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100≤Z＜8000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Y＜100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0" w:type="dxa"/>
            <w:bottom w:w="0" w:type="dxa"/>
            <w:right w:w="0" w:type="dxa"/>
          </w:tblCellMar>
        </w:tblPrEx>
        <w:trPr>
          <w:trHeight w:val="225" w:hRule="atLeast"/>
          <w:jc w:val="center"/>
        </w:trPr>
        <w:tc>
          <w:tcPr>
            <w:tcW w:w="137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其他未列明行业</w:t>
            </w:r>
          </w:p>
        </w:tc>
        <w:tc>
          <w:tcPr>
            <w:tcW w:w="1646"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从业人员（X）</w:t>
            </w:r>
          </w:p>
        </w:tc>
        <w:tc>
          <w:tcPr>
            <w:tcW w:w="743"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w:t>
            </w:r>
          </w:p>
        </w:tc>
        <w:tc>
          <w:tcPr>
            <w:tcW w:w="171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100≤X＜300</w:t>
            </w:r>
          </w:p>
        </w:tc>
        <w:tc>
          <w:tcPr>
            <w:tcW w:w="1617"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10≤X＜100</w:t>
            </w:r>
          </w:p>
        </w:tc>
        <w:tc>
          <w:tcPr>
            <w:tcW w:w="1421"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before="100" w:after="150" w:line="85" w:lineRule="atLeast"/>
              <w:ind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X＜10</w:t>
            </w:r>
          </w:p>
        </w:tc>
      </w:tr>
    </w:tbl>
    <w:p>
      <w:pPr>
        <w:pStyle w:val="215"/>
        <w:widowControl/>
        <w:spacing w:before="300" w:after="452" w:line="360" w:lineRule="auto"/>
        <w:ind w:firstLine="420"/>
        <w:rPr>
          <w:rStyle w:val="216"/>
          <w:rFonts w:hint="eastAsia" w:ascii="宋体" w:hAnsi="宋体" w:eastAsia="宋体" w:cs="宋体"/>
          <w:color w:val="000000" w:themeColor="text1"/>
          <w:sz w:val="21"/>
          <w:szCs w:val="21"/>
          <w:highlight w:val="none"/>
          <w14:textFill>
            <w14:solidFill>
              <w14:schemeClr w14:val="tx1"/>
            </w14:solidFill>
          </w14:textFill>
        </w:rPr>
      </w:pPr>
      <w:r>
        <w:rPr>
          <w:rStyle w:val="216"/>
          <w:rFonts w:hint="eastAsia" w:ascii="宋体" w:hAnsi="宋体" w:eastAsia="宋体" w:cs="宋体"/>
          <w:color w:val="000000" w:themeColor="text1"/>
          <w:sz w:val="2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Style w:val="216"/>
          <w:rFonts w:hint="eastAsia" w:ascii="宋体" w:hAnsi="宋体" w:eastAsia="宋体" w:cs="宋体"/>
          <w:color w:val="000000" w:themeColor="text1"/>
          <w:szCs w:val="21"/>
          <w:highlight w:val="none"/>
          <w14:textFill>
            <w14:solidFill>
              <w14:schemeClr w14:val="tx1"/>
            </w14:solidFill>
          </w14:textFill>
        </w:rPr>
        <w:br w:type="page" w:clear="all"/>
      </w:r>
      <w:r>
        <w:rPr>
          <w:rFonts w:hint="eastAsia" w:ascii="宋体" w:hAnsi="宋体" w:eastAsia="宋体" w:cs="宋体"/>
          <w:b/>
          <w:bCs/>
          <w:color w:val="000000" w:themeColor="text1"/>
          <w:highlight w:val="none"/>
          <w14:textFill>
            <w14:solidFill>
              <w14:schemeClr w14:val="tx1"/>
            </w14:solidFill>
          </w14:textFill>
        </w:rPr>
        <w:t>残疾人福利性单位声明函</w:t>
      </w:r>
    </w:p>
    <w:p>
      <w:pPr>
        <w:spacing w:line="360" w:lineRule="auto"/>
        <w:ind w:firstLine="624"/>
        <w:rPr>
          <w:rFonts w:hint="eastAsia" w:ascii="宋体" w:hAnsi="宋体" w:eastAsia="宋体" w:cs="宋体"/>
          <w:color w:val="000000" w:themeColor="text1"/>
          <w:spacing w:val="6"/>
          <w:sz w:val="30"/>
          <w:szCs w:val="30"/>
          <w:highlight w:val="none"/>
          <w14:textFill>
            <w14:solidFill>
              <w14:schemeClr w14:val="tx1"/>
            </w14:solidFill>
          </w14:textFill>
        </w:rPr>
      </w:pP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项目采购活动提供本单位制造的产品或服务（由本单位承担工程/提供服务），或者提供其他残疾人福利性单位制造的产品或服务（不包括使用非残疾人福利性单位注册商标的产品或服务）。</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本单位在本次政府采购活动中提供的残疾人福利单位产品报价合计为人民币（大写）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圆整（￥：     ）。</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本单位对上述声明的真实性负责。如有虚假，将依法承担相应责任。</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（备注：1、供应商如不提供此声明函，价格将不做相应扣除。2、成交供应商为残疾人福利单位的，此声明函将随成交结果同时公告，接受社会监督）</w:t>
      </w:r>
    </w:p>
    <w:p>
      <w:pPr>
        <w:spacing w:line="360" w:lineRule="auto"/>
        <w:ind w:firstLine="444"/>
        <w:rPr>
          <w:rFonts w:hint="eastAsia" w:ascii="宋体" w:hAnsi="宋体" w:eastAsia="宋体" w:cs="宋体"/>
          <w:color w:val="000000" w:themeColor="text1"/>
          <w:spacing w:val="6"/>
          <w:szCs w:val="21"/>
          <w:highlight w:val="none"/>
          <w14:textFill>
            <w14:solidFill>
              <w14:schemeClr w14:val="tx1"/>
            </w14:solidFill>
          </w14:textFill>
        </w:rPr>
      </w:pPr>
    </w:p>
    <w:p>
      <w:pPr>
        <w:tabs>
          <w:tab w:val="left" w:pos="4860"/>
        </w:tabs>
        <w:spacing w:line="360" w:lineRule="auto"/>
        <w:ind w:right="1560" w:firstLine="444"/>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供应商全称（盖章）：</w:t>
      </w:r>
    </w:p>
    <w:p>
      <w:pPr>
        <w:tabs>
          <w:tab w:val="left" w:pos="4860"/>
        </w:tabs>
        <w:spacing w:line="360" w:lineRule="auto"/>
        <w:ind w:right="1560" w:firstLine="42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日  期：</w:t>
      </w:r>
    </w:p>
    <w:p>
      <w:pPr>
        <w:spacing w:line="360" w:lineRule="auto"/>
        <w:rPr>
          <w:rFonts w:hint="eastAsia" w:ascii="宋体" w:hAnsi="宋体" w:eastAsia="宋体" w:cs="宋体"/>
          <w:b/>
          <w:bCs/>
          <w:color w:val="000000" w:themeColor="text1"/>
          <w:sz w:val="32"/>
          <w:szCs w:val="32"/>
          <w:highlight w:val="none"/>
          <w14:textFill>
            <w14:solidFill>
              <w14:schemeClr w14:val="tx1"/>
            </w14:solidFill>
          </w14:textFill>
        </w:rPr>
      </w:pPr>
      <w:bookmarkStart w:id="433" w:name="_Toc109304978"/>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clear="all"/>
      </w: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四、磋商响应报价表</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pStyle w:val="206"/>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项目编号：     </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本次为首次报价                                                      </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9" w:hRule="atLeast"/>
        </w:trPr>
        <w:tc>
          <w:tcPr>
            <w:tcW w:w="12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第一轮报价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00" w:hRule="atLeast"/>
        </w:trPr>
        <w:tc>
          <w:tcPr>
            <w:tcW w:w="12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            (人民币)元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9" w:hRule="atLeast"/>
        </w:trPr>
        <w:tc>
          <w:tcPr>
            <w:tcW w:w="12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    年   月    日</w:t>
      </w:r>
    </w:p>
    <w:p>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br w:type="page" w:clear="all"/>
      </w:r>
      <w:r>
        <w:rPr>
          <w:rFonts w:hint="eastAsia" w:ascii="宋体" w:hAnsi="宋体" w:eastAsia="宋体" w:cs="宋体"/>
          <w:b/>
          <w:color w:val="000000" w:themeColor="text1"/>
          <w:sz w:val="32"/>
          <w:szCs w:val="32"/>
          <w:highlight w:val="none"/>
          <w14:textFill>
            <w14:solidFill>
              <w14:schemeClr w14:val="tx1"/>
            </w14:solidFill>
          </w14:textFill>
        </w:rPr>
        <w:t>分项报价表</w:t>
      </w: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pageBreakBefore w:val="0"/>
        <w:spacing w:line="360" w:lineRule="auto"/>
        <w:rPr>
          <w:rFonts w:ascii="宋体" w:hAnsi="宋体" w:cs="Arial"/>
          <w:b/>
          <w:bCs/>
          <w:i/>
          <w:iCs/>
          <w:color w:val="000000"/>
          <w:szCs w:val="24"/>
          <w:highlight w:val="yellow"/>
          <w:u w:val="single"/>
        </w:rPr>
      </w:pPr>
      <w:r>
        <w:rPr>
          <w:rFonts w:hint="eastAsia" w:ascii="宋体" w:hAnsi="宋体" w:cs="Arial"/>
          <w:b/>
          <w:bCs/>
          <w:i/>
          <w:iCs/>
          <w:color w:val="000000"/>
          <w:szCs w:val="24"/>
          <w:highlight w:val="yellow"/>
          <w:u w:val="single"/>
        </w:rPr>
        <w:t>注：</w:t>
      </w:r>
    </w:p>
    <w:p>
      <w:pPr>
        <w:pageBreakBefore w:val="0"/>
        <w:spacing w:line="360" w:lineRule="auto"/>
        <w:rPr>
          <w:rFonts w:hint="eastAsia" w:ascii="宋体" w:hAnsi="宋体" w:eastAsia="宋体" w:cs="Arial"/>
          <w:b/>
          <w:bCs/>
          <w:i/>
          <w:iCs/>
          <w:color w:val="000000"/>
          <w:szCs w:val="24"/>
          <w:highlight w:val="yellow"/>
          <w:u w:val="single"/>
        </w:rPr>
      </w:pPr>
      <w:r>
        <w:rPr>
          <w:rFonts w:hint="eastAsia" w:ascii="宋体" w:hAnsi="宋体" w:eastAsia="宋体" w:cs="Arial"/>
          <w:b/>
          <w:bCs/>
          <w:i/>
          <w:iCs/>
          <w:color w:val="000000"/>
          <w:szCs w:val="24"/>
          <w:highlight w:val="yellow"/>
          <w:u w:val="single"/>
        </w:rPr>
        <w:t>1、本项目另附工程量清单，投标人需按按招标文件和《水利工程工程量清单计价规范》（GB50501-2007）、江苏省水利厅苏水基[2011]21号《江苏省水利工程招标投标文件工程量清单格式》和相关技术标准和要求的规定规定报价。</w:t>
      </w:r>
    </w:p>
    <w:p>
      <w:pPr>
        <w:spacing w:line="360" w:lineRule="auto"/>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Arial"/>
          <w:b/>
          <w:bCs/>
          <w:i/>
          <w:iCs/>
          <w:color w:val="000000"/>
          <w:szCs w:val="24"/>
          <w:highlight w:val="yellow"/>
          <w:u w:val="single"/>
          <w:lang w:val="en-US" w:eastAsia="zh-CN"/>
        </w:rPr>
        <w:t>2</w:t>
      </w:r>
      <w:r>
        <w:rPr>
          <w:rFonts w:hint="eastAsia" w:ascii="宋体" w:hAnsi="宋体" w:eastAsia="宋体" w:cs="Arial"/>
          <w:b/>
          <w:bCs/>
          <w:i/>
          <w:iCs/>
          <w:color w:val="000000"/>
          <w:szCs w:val="24"/>
          <w:highlight w:val="yellow"/>
          <w:u w:val="single"/>
        </w:rPr>
        <w:t>、总价应等于“磋商报价一览表”中的投标总价。</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p>
    <w:p>
      <w:pPr>
        <w:pStyle w:val="190"/>
        <w:spacing w:line="36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pPr>
        <w:pStyle w:val="188"/>
        <w:spacing w:line="360" w:lineRule="auto"/>
        <w:jc w:val="center"/>
        <w:rPr>
          <w:rFonts w:hint="eastAsia" w:ascii="宋体" w:hAnsi="宋体" w:eastAsia="宋体" w:cs="宋体"/>
          <w:bCs w:val="0"/>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br w:type="page" w:clear="all"/>
      </w:r>
    </w:p>
    <w:p>
      <w:pPr>
        <w:pStyle w:val="188"/>
        <w:spacing w:line="360" w:lineRule="auto"/>
        <w:jc w:val="center"/>
        <w:rPr>
          <w:rFonts w:hint="eastAsia" w:ascii="宋体" w:hAnsi="宋体" w:eastAsia="宋体" w:cs="宋体"/>
          <w:bCs w:val="0"/>
          <w:color w:val="000000" w:themeColor="text1"/>
          <w:highlight w:val="none"/>
          <w14:textFill>
            <w14:solidFill>
              <w14:schemeClr w14:val="tx1"/>
            </w14:solidFill>
          </w14:textFill>
        </w:rPr>
      </w:pPr>
      <w:bookmarkStart w:id="434" w:name="_Toc19223"/>
      <w:r>
        <w:rPr>
          <w:rFonts w:hint="eastAsia" w:ascii="宋体" w:hAnsi="宋体" w:eastAsia="宋体" w:cs="宋体"/>
          <w:bCs w:val="0"/>
          <w:color w:val="000000" w:themeColor="text1"/>
          <w:highlight w:val="none"/>
          <w14:textFill>
            <w14:solidFill>
              <w14:schemeClr w14:val="tx1"/>
            </w14:solidFill>
          </w14:textFill>
        </w:rPr>
        <w:t>五、技术参数响应及偏离表</w:t>
      </w:r>
      <w:bookmarkEnd w:id="433"/>
      <w:bookmarkEnd w:id="434"/>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852"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采购要求</w:t>
            </w:r>
          </w:p>
        </w:tc>
        <w:tc>
          <w:tcPr>
            <w:tcW w:w="2852"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磋商响应</w:t>
            </w:r>
          </w:p>
        </w:tc>
        <w:tc>
          <w:tcPr>
            <w:tcW w:w="130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超出、符合或偏离</w:t>
            </w:r>
          </w:p>
        </w:tc>
        <w:tc>
          <w:tcPr>
            <w:tcW w:w="117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852"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308"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73" w:type="dxa"/>
            <w:noWrap w:val="0"/>
            <w:vAlign w:val="top"/>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注：1、按照基本技术要求详细填列。</w:t>
      </w:r>
    </w:p>
    <w:p>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2、行数不够，可自行添加。</w:t>
      </w:r>
    </w:p>
    <w:p>
      <w:pPr>
        <w:pStyle w:val="188"/>
        <w:spacing w:line="360" w:lineRule="auto"/>
        <w:jc w:val="center"/>
        <w:rPr>
          <w:rFonts w:hint="eastAsia" w:ascii="宋体" w:hAnsi="宋体" w:eastAsia="宋体" w:cs="宋体"/>
          <w:bCs w:val="0"/>
          <w:color w:val="000000" w:themeColor="text1"/>
          <w:highlight w:val="none"/>
          <w14:textFill>
            <w14:solidFill>
              <w14:schemeClr w14:val="tx1"/>
            </w14:solidFill>
          </w14:textFill>
        </w:rPr>
      </w:pPr>
      <w:bookmarkStart w:id="435" w:name="_Hlt26955054"/>
      <w:bookmarkEnd w:id="435"/>
      <w:bookmarkStart w:id="436" w:name="_Toc109304979"/>
      <w:r>
        <w:rPr>
          <w:rFonts w:hint="eastAsia" w:ascii="宋体" w:hAnsi="宋体" w:eastAsia="宋体" w:cs="宋体"/>
          <w:bCs w:val="0"/>
          <w:color w:val="000000" w:themeColor="text1"/>
          <w:highlight w:val="none"/>
          <w14:textFill>
            <w14:solidFill>
              <w14:schemeClr w14:val="tx1"/>
            </w14:solidFill>
          </w14:textFill>
        </w:rPr>
        <w:br w:type="page" w:clear="all"/>
      </w:r>
      <w:bookmarkStart w:id="437" w:name="_Toc11354"/>
      <w:r>
        <w:rPr>
          <w:rFonts w:hint="eastAsia" w:ascii="宋体" w:hAnsi="宋体" w:eastAsia="宋体" w:cs="宋体"/>
          <w:bCs w:val="0"/>
          <w:color w:val="000000" w:themeColor="text1"/>
          <w:highlight w:val="none"/>
          <w14:textFill>
            <w14:solidFill>
              <w14:schemeClr w14:val="tx1"/>
            </w14:solidFill>
          </w14:textFill>
        </w:rPr>
        <w:t>六、商务条款响应及偏离表</w:t>
      </w:r>
      <w:bookmarkEnd w:id="436"/>
      <w:bookmarkEnd w:id="437"/>
    </w:p>
    <w:tbl>
      <w:tblPr>
        <w:tblStyle w:val="32"/>
        <w:tblW w:w="0" w:type="auto"/>
        <w:tblInd w:w="10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645"/>
        <w:gridCol w:w="2513"/>
        <w:gridCol w:w="1845"/>
        <w:gridCol w:w="2995"/>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704"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采购文件要求</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是否响应</w:t>
            </w: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供应商的承诺或说明</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93"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交付时间</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5"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交货方式</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rPr>
                <w:rFonts w:hint="eastAsia" w:ascii="宋体" w:hAnsi="宋体" w:eastAsia="宋体" w:cs="宋体"/>
                <w:color w:val="000000" w:themeColor="text1"/>
                <w:szCs w:val="21"/>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07"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交货地点</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rPr>
                <w:rFonts w:hint="eastAsia" w:ascii="宋体" w:hAnsi="宋体" w:eastAsia="宋体" w:cs="宋体"/>
                <w:color w:val="000000" w:themeColor="text1"/>
                <w:szCs w:val="21"/>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ind w:left="43"/>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72"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付款方式</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rPr>
                <w:rFonts w:hint="eastAsia" w:ascii="宋体" w:hAnsi="宋体" w:eastAsia="宋体" w:cs="宋体"/>
                <w:color w:val="000000" w:themeColor="text1"/>
                <w:szCs w:val="21"/>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3" w:hRule="atLeast"/>
        </w:trPr>
        <w:tc>
          <w:tcPr>
            <w:tcW w:w="16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2513"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995" w:type="dxa"/>
            <w:tcBorders>
              <w:top w:val="single" w:color="000000" w:sz="4" w:space="0"/>
              <w:left w:val="single" w:color="000000" w:sz="4" w:space="0"/>
              <w:bottom w:val="single" w:color="000000" w:sz="4" w:space="0"/>
              <w:right w:val="single" w:color="000000" w:sz="4" w:space="0"/>
            </w:tcBorders>
            <w:noWrap w:val="0"/>
            <w:vAlign w:val="top"/>
          </w:tcPr>
          <w:p>
            <w:pPr>
              <w:spacing w:before="156"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widowControl/>
        <w:spacing w:line="360" w:lineRule="auto"/>
        <w:jc w:val="left"/>
        <w:rPr>
          <w:rFonts w:hint="eastAsia" w:ascii="宋体" w:hAnsi="宋体" w:eastAsia="宋体" w:cs="宋体"/>
          <w:b/>
          <w:color w:val="000000" w:themeColor="text1"/>
          <w:highlight w:val="none"/>
          <w14:textFill>
            <w14:solidFill>
              <w14:schemeClr w14:val="tx1"/>
            </w14:solidFill>
          </w14:textFill>
        </w:rPr>
      </w:pPr>
      <w:bookmarkStart w:id="438" w:name="_Hlt26609391"/>
      <w:bookmarkEnd w:id="438"/>
      <w:bookmarkStart w:id="439" w:name="_Hlt26671372"/>
      <w:bookmarkEnd w:id="439"/>
      <w:bookmarkStart w:id="440" w:name="_Hlt26580838"/>
      <w:bookmarkEnd w:id="440"/>
      <w:bookmarkStart w:id="441" w:name="_Hlt26671343"/>
      <w:bookmarkEnd w:id="441"/>
      <w:bookmarkStart w:id="442" w:name="_Hlt24879081"/>
      <w:bookmarkEnd w:id="442"/>
      <w:bookmarkStart w:id="443" w:name="_Hlt26955056"/>
      <w:bookmarkEnd w:id="443"/>
      <w:bookmarkStart w:id="444" w:name="_Hlt26955064"/>
      <w:bookmarkEnd w:id="444"/>
      <w:bookmarkStart w:id="445" w:name="_Hlt26782999"/>
      <w:bookmarkEnd w:id="445"/>
      <w:r>
        <w:rPr>
          <w:rFonts w:hint="eastAsia" w:ascii="宋体" w:hAnsi="宋体" w:eastAsia="宋体" w:cs="宋体"/>
          <w:b/>
          <w:color w:val="000000" w:themeColor="text1"/>
          <w:highlight w:val="none"/>
          <w14:textFill>
            <w14:solidFill>
              <w14:schemeClr w14:val="tx1"/>
            </w14:solidFill>
          </w14:textFill>
        </w:rPr>
        <w:br w:type="page" w:clear="all"/>
      </w:r>
    </w:p>
    <w:p>
      <w:pPr>
        <w:spacing w:before="312"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主要标的信息（成交后将公示）</w:t>
      </w:r>
    </w:p>
    <w:p>
      <w:pPr>
        <w:spacing w:after="312"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供应商全称：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9" w:type="dxa"/>
            <w:noWrap w:val="0"/>
          </w:tcPr>
          <w:p>
            <w:pPr>
              <w:pageBreakBefore w:val="0"/>
              <w:spacing w:line="360" w:lineRule="auto"/>
              <w:jc w:val="center"/>
              <w:rPr>
                <w:rFonts w:ascii="宋体" w:hAnsi="宋体" w:cs="宋体"/>
              </w:rPr>
            </w:pPr>
            <w:r>
              <w:rPr>
                <w:rFonts w:hint="eastAsia" w:ascii="宋体" w:hAnsi="宋体" w:cs="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8149" w:type="dxa"/>
            <w:noWrap w:val="0"/>
          </w:tcPr>
          <w:p>
            <w:pPr>
              <w:pageBreakBefore w:val="0"/>
              <w:spacing w:line="360" w:lineRule="auto"/>
              <w:rPr>
                <w:rFonts w:ascii="宋体" w:hAnsi="宋体" w:cs="宋体"/>
              </w:rPr>
            </w:pPr>
            <w:r>
              <w:rPr>
                <w:rFonts w:hint="eastAsia" w:ascii="宋体" w:hAnsi="宋体" w:cs="宋体"/>
              </w:rPr>
              <w:t>名称：</w:t>
            </w:r>
          </w:p>
          <w:p>
            <w:pPr>
              <w:pageBreakBefore w:val="0"/>
              <w:spacing w:line="360" w:lineRule="auto"/>
              <w:rPr>
                <w:rFonts w:ascii="宋体" w:hAnsi="宋体" w:cs="宋体"/>
              </w:rPr>
            </w:pPr>
            <w:r>
              <w:rPr>
                <w:rFonts w:hint="eastAsia" w:ascii="宋体" w:hAnsi="宋体" w:cs="宋体"/>
              </w:rPr>
              <w:t>施工范围：</w:t>
            </w:r>
          </w:p>
          <w:p>
            <w:pPr>
              <w:pageBreakBefore w:val="0"/>
              <w:spacing w:line="360" w:lineRule="auto"/>
              <w:rPr>
                <w:rFonts w:ascii="宋体" w:hAnsi="宋体" w:cs="宋体"/>
              </w:rPr>
            </w:pPr>
            <w:r>
              <w:rPr>
                <w:rFonts w:hint="eastAsia" w:ascii="宋体" w:hAnsi="宋体" w:cs="宋体"/>
              </w:rPr>
              <w:t>施工工期：</w:t>
            </w:r>
          </w:p>
          <w:p>
            <w:pPr>
              <w:pageBreakBefore w:val="0"/>
              <w:spacing w:line="360" w:lineRule="auto"/>
              <w:rPr>
                <w:rFonts w:ascii="宋体" w:hAnsi="宋体" w:cs="宋体"/>
              </w:rPr>
            </w:pPr>
            <w:r>
              <w:rPr>
                <w:rFonts w:hint="eastAsia" w:ascii="宋体" w:hAnsi="宋体" w:cs="宋体"/>
              </w:rPr>
              <w:t>施工质量要求：</w:t>
            </w:r>
          </w:p>
          <w:p>
            <w:pPr>
              <w:pageBreakBefore w:val="0"/>
              <w:spacing w:line="360" w:lineRule="auto"/>
              <w:rPr>
                <w:rFonts w:ascii="宋体" w:hAnsi="宋体" w:cs="宋体"/>
              </w:rPr>
            </w:pPr>
            <w:r>
              <w:rPr>
                <w:rFonts w:hint="eastAsia" w:ascii="宋体" w:hAnsi="宋体" w:cs="宋体"/>
              </w:rPr>
              <w:t>项目经理：</w:t>
            </w:r>
          </w:p>
          <w:p>
            <w:pPr>
              <w:pageBreakBefore w:val="0"/>
              <w:spacing w:line="360" w:lineRule="auto"/>
              <w:rPr>
                <w:rFonts w:ascii="宋体" w:hAnsi="宋体" w:cs="宋体"/>
              </w:rPr>
            </w:pPr>
            <w:r>
              <w:rPr>
                <w:rFonts w:hint="eastAsia" w:ascii="宋体" w:hAnsi="宋体" w:cs="宋体"/>
              </w:rPr>
              <w:t>执业证书信息：</w:t>
            </w:r>
          </w:p>
        </w:tc>
      </w:tr>
    </w:tbl>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p>
      <w:pPr>
        <w:pStyle w:val="190"/>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highlight w:val="none"/>
          <w14:textFill>
            <w14:solidFill>
              <w14:schemeClr w14:val="tx1"/>
            </w14:solidFill>
          </w14:textFill>
        </w:rPr>
      </w:pPr>
    </w:p>
    <w:sectPr>
      <w:footerReference r:id="rId8" w:type="default"/>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09"/>
                          </w:pPr>
                          <w:r>
                            <w:fldChar w:fldCharType="begin"/>
                          </w:r>
                          <w:r>
                            <w:instrText xml:space="preserve"> PAGE  \* MERGEFORMAT </w:instrText>
                          </w:r>
                          <w:r>
                            <w:fldChar w:fldCharType="separate"/>
                          </w:r>
                          <w:r>
                            <w:t>2</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vWNk7gBAABZAwAADgAAAAAAAAABACAAAAAeAQAAZHJzL2Uyb0RvYy54bWxQSwUGAAAAAAYABgBZ&#10;AQAASAUAAAAA&#10;">
              <v:fill on="f" focussize="0,0"/>
              <v:stroke on="f"/>
              <v:imagedata o:title=""/>
              <o:lock v:ext="edit" aspectratio="f"/>
              <v:textbox inset="0mm,0mm,0mm,0mm" style="mso-fit-shape-to-text:t;">
                <w:txbxContent>
                  <w:p>
                    <w:pPr>
                      <w:pStyle w:val="209"/>
                    </w:pPr>
                    <w:r>
                      <w:fldChar w:fldCharType="begin"/>
                    </w:r>
                    <w:r>
                      <w:instrText xml:space="preserve"> PAGE  \* MERGEFORMAT </w:instrText>
                    </w:r>
                    <w:r>
                      <w:fldChar w:fldCharType="separate"/>
                    </w:r>
                    <w: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09"/>
                          </w:pPr>
                          <w:r>
                            <w:fldChar w:fldCharType="begin"/>
                          </w:r>
                          <w:r>
                            <w:instrText xml:space="preserve"> PAGE  \* MERGEFORMAT </w:instrText>
                          </w:r>
                          <w:r>
                            <w:fldChar w:fldCharType="separate"/>
                          </w:r>
                          <w:r>
                            <w:t>1</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yuKArgBAABZAwAADgAAAAAAAAABACAAAAAeAQAAZHJzL2Uyb0RvYy54bWxQSwUGAAAAAAYABgBZ&#10;AQAASAUAAAAA&#10;">
              <v:fill on="f" focussize="0,0"/>
              <v:stroke on="f"/>
              <v:imagedata o:title=""/>
              <o:lock v:ext="edit" aspectratio="f"/>
              <v:textbox inset="0mm,0mm,0mm,0mm" style="mso-fit-shape-to-text:t;">
                <w:txbxContent>
                  <w:p>
                    <w:pPr>
                      <w:pStyle w:val="209"/>
                    </w:pPr>
                    <w:r>
                      <w:fldChar w:fldCharType="begin"/>
                    </w:r>
                    <w:r>
                      <w:instrText xml:space="preserve"> PAGE  \* MERGEFORMAT </w:instrText>
                    </w:r>
                    <w:r>
                      <w:fldChar w:fldCharType="separate"/>
                    </w:r>
                    <w:r>
                      <w:t>1</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09"/>
                          </w:pPr>
                          <w:r>
                            <w:fldChar w:fldCharType="begin"/>
                          </w:r>
                          <w:r>
                            <w:instrText xml:space="preserve"> PAGE  \* MERGEFORMAT </w:instrText>
                          </w:r>
                          <w:r>
                            <w:fldChar w:fldCharType="separate"/>
                          </w:r>
                          <w:r>
                            <w:t>37</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ZJH0+7gBAABZAwAADgAAAAAAAAABACAAAAAeAQAAZHJzL2Uyb0RvYy54bWxQSwUGAAAAAAYABgBZ&#10;AQAASAUAAAAA&#10;">
              <v:fill on="f" focussize="0,0"/>
              <v:stroke on="f"/>
              <v:imagedata o:title=""/>
              <o:lock v:ext="edit" aspectratio="f"/>
              <v:textbox inset="0mm,0mm,0mm,0mm" style="mso-fit-shape-to-text:t;">
                <w:txbxContent>
                  <w:p>
                    <w:pPr>
                      <w:pStyle w:val="209"/>
                    </w:pPr>
                    <w:r>
                      <w:fldChar w:fldCharType="begin"/>
                    </w:r>
                    <w:r>
                      <w:instrText xml:space="preserve"> PAGE  \* MERGEFORMAT </w:instrText>
                    </w:r>
                    <w:r>
                      <w:fldChar w:fldCharType="separate"/>
                    </w:r>
                    <w:r>
                      <w:t>37</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09"/>
                          </w:pPr>
                          <w:r>
                            <w:fldChar w:fldCharType="begin"/>
                          </w:r>
                          <w:r>
                            <w:instrText xml:space="preserve"> PAGE  \* MERGEFORMAT </w:instrText>
                          </w:r>
                          <w:r>
                            <w:fldChar w:fldCharType="separate"/>
                          </w:r>
                          <w:r>
                            <w:t>60</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tCbZPbgBAABZAwAADgAAAAAAAAABACAAAAAeAQAAZHJzL2Uyb0RvYy54bWxQSwUGAAAAAAYABgBZ&#10;AQAASAUAAAAA&#10;">
              <v:fill on="f" focussize="0,0"/>
              <v:stroke on="f"/>
              <v:imagedata o:title=""/>
              <o:lock v:ext="edit" aspectratio="f"/>
              <v:textbox inset="0mm,0mm,0mm,0mm" style="mso-fit-shape-to-text:t;">
                <w:txbxContent>
                  <w:p>
                    <w:pPr>
                      <w:pStyle w:val="209"/>
                    </w:pPr>
                    <w:r>
                      <w:fldChar w:fldCharType="begin"/>
                    </w:r>
                    <w:r>
                      <w:instrText xml:space="preserve"> PAGE  \* MERGEFORMAT </w:instrText>
                    </w:r>
                    <w:r>
                      <w:fldChar w:fldCharType="separate"/>
                    </w:r>
                    <w:r>
                      <w:t>60</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pBdr>
        <w:bottom w:val="none" w:color="auto" w:sz="0" w:space="1"/>
      </w:pBdr>
      <w:jc w:val="right"/>
      <w:rPr>
        <w:rFonts w:hint="eastAsia" w:ascii="宋体" w:hAnsi="宋体" w:eastAsia="宋体" w:cs="宋体"/>
        <w:color w:val="000000" w:themeColor="text1"/>
        <w:sz w:val="18"/>
        <w:szCs w:val="18"/>
        <w:highlight w:val="none"/>
        <w14:textFill>
          <w14:solidFill>
            <w14:schemeClr w14:val="tx1"/>
          </w14:solidFill>
        </w14:textFill>
      </w:rPr>
    </w:pPr>
  </w:p>
  <w:p>
    <w:pPr>
      <w:pStyle w:val="233"/>
      <w:pBdr>
        <w:bottom w:val="single" w:color="auto" w:sz="4" w:space="1"/>
      </w:pBdr>
      <w:jc w:val="right"/>
    </w:pPr>
    <w:r>
      <w:rPr>
        <w:rFonts w:hint="eastAsia" w:ascii="宋体" w:hAnsi="宋体" w:cs="宋体"/>
        <w:color w:val="000000" w:themeColor="text1"/>
        <w:sz w:val="18"/>
        <w:szCs w:val="18"/>
        <w:highlight w:val="none"/>
        <w:lang w:eastAsia="zh-CN"/>
        <w14:textFill>
          <w14:solidFill>
            <w14:schemeClr w14:val="tx1"/>
          </w14:solidFill>
        </w14:textFill>
      </w:rPr>
      <w:t>江苏三思行房地产评估造价有限公司</w:t>
    </w:r>
    <w:r>
      <w:rPr>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1"/>
      <w:jc w:val="right"/>
      <w:rPr>
        <w:rFonts w:hint="eastAsia" w:ascii="宋体" w:hAnsi="宋体" w:eastAsia="宋体" w:cs="宋体"/>
        <w:color w:val="000000" w:themeColor="text1"/>
        <w:sz w:val="18"/>
        <w:szCs w:val="18"/>
        <w:highlight w:val="none"/>
        <w14:textFill>
          <w14:solidFill>
            <w14:schemeClr w14:val="tx1"/>
          </w14:solidFill>
        </w14:textFill>
      </w:rPr>
    </w:pPr>
    <w:bookmarkStart w:id="446" w:name="_Hlk69393956"/>
    <w:bookmarkStart w:id="447" w:name="_Hlk69393955"/>
  </w:p>
  <w:bookmarkEnd w:id="446"/>
  <w:bookmarkEnd w:id="447"/>
  <w:p>
    <w:pPr>
      <w:pStyle w:val="211"/>
      <w:jc w:val="right"/>
      <w:rPr>
        <w:rFonts w:hint="eastAsia" w:eastAsia="宋体"/>
        <w:szCs w:val="22"/>
        <w:lang w:eastAsia="zh-CN"/>
      </w:rPr>
    </w:pPr>
    <w:r>
      <w:rPr>
        <w:rFonts w:hint="eastAsia" w:ascii="宋体" w:hAnsi="宋体" w:cs="宋体"/>
        <w:color w:val="000000" w:themeColor="text1"/>
        <w:sz w:val="18"/>
        <w:szCs w:val="18"/>
        <w:highlight w:val="none"/>
        <w:lang w:eastAsia="zh-CN"/>
        <w14:textFill>
          <w14:solidFill>
            <w14:schemeClr w14:val="tx1"/>
          </w14:solidFill>
        </w14:textFill>
      </w:rPr>
      <w:t>江苏三思行房地产评估造价有限公司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248C179"/>
    <w:multiLevelType w:val="multilevel"/>
    <w:tmpl w:val="0248C179"/>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03D62ECE"/>
    <w:multiLevelType w:val="multilevel"/>
    <w:tmpl w:val="03D62EC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AE6E6F4"/>
    <w:multiLevelType w:val="singleLevel"/>
    <w:tmpl w:val="2AE6E6F4"/>
    <w:lvl w:ilvl="0" w:tentative="0">
      <w:start w:val="1"/>
      <w:numFmt w:val="lowerLetter"/>
      <w:suff w:val="space"/>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34469"/>
    <w:rsid w:val="06862A6D"/>
    <w:rsid w:val="0BF9011F"/>
    <w:rsid w:val="0CF307C8"/>
    <w:rsid w:val="0D8853B5"/>
    <w:rsid w:val="0FDD12BC"/>
    <w:rsid w:val="128A52BB"/>
    <w:rsid w:val="144D6A10"/>
    <w:rsid w:val="1CA67605"/>
    <w:rsid w:val="1E1B36DB"/>
    <w:rsid w:val="1EA2204E"/>
    <w:rsid w:val="2176707F"/>
    <w:rsid w:val="230E7CB2"/>
    <w:rsid w:val="24967663"/>
    <w:rsid w:val="28BB15AC"/>
    <w:rsid w:val="2B291F73"/>
    <w:rsid w:val="2EBA484A"/>
    <w:rsid w:val="300466C5"/>
    <w:rsid w:val="30182170"/>
    <w:rsid w:val="358D0F0B"/>
    <w:rsid w:val="3B455DE4"/>
    <w:rsid w:val="402B6359"/>
    <w:rsid w:val="404843AC"/>
    <w:rsid w:val="420F37F8"/>
    <w:rsid w:val="43B34232"/>
    <w:rsid w:val="44366C11"/>
    <w:rsid w:val="46916381"/>
    <w:rsid w:val="47D1269A"/>
    <w:rsid w:val="4DD632CC"/>
    <w:rsid w:val="50212EA6"/>
    <w:rsid w:val="52D90E94"/>
    <w:rsid w:val="56260B9A"/>
    <w:rsid w:val="581A7FD9"/>
    <w:rsid w:val="58690F0C"/>
    <w:rsid w:val="591E6E52"/>
    <w:rsid w:val="5A382178"/>
    <w:rsid w:val="5C380F05"/>
    <w:rsid w:val="606A5821"/>
    <w:rsid w:val="60762418"/>
    <w:rsid w:val="63093EFB"/>
    <w:rsid w:val="648570CD"/>
    <w:rsid w:val="67DF0A4E"/>
    <w:rsid w:val="683F2814"/>
    <w:rsid w:val="6845107B"/>
    <w:rsid w:val="68680898"/>
    <w:rsid w:val="6B4E41C2"/>
    <w:rsid w:val="6BB3185A"/>
    <w:rsid w:val="6BD85F77"/>
    <w:rsid w:val="70CF3E0B"/>
    <w:rsid w:val="71D3653E"/>
    <w:rsid w:val="733458F9"/>
    <w:rsid w:val="733F2B3D"/>
    <w:rsid w:val="764010A6"/>
    <w:rsid w:val="77AB0F3A"/>
    <w:rsid w:val="7E3314F0"/>
    <w:rsid w:val="7F6D6C05"/>
    <w:rsid w:val="7F967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1"/>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2">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able of authorities"/>
    <w:basedOn w:val="1"/>
    <w:next w:val="1"/>
    <w:qFormat/>
    <w:uiPriority w:val="99"/>
    <w:pPr>
      <w:ind w:left="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unhideWhenUsed/>
    <w:qFormat/>
    <w:uiPriority w:val="99"/>
    <w:pPr>
      <w:spacing w:after="120"/>
      <w:ind w:left="420"/>
    </w:pPr>
    <w:rPr>
      <w:rFonts w:ascii="Times New Roman" w:hAnsi="Times New Roman"/>
      <w:szCs w:val="24"/>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rPr>
      <w:rFonts w:ascii="宋体" w:hAnsi="Courier New"/>
      <w:sz w:val="20"/>
      <w:szCs w:val="21"/>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5"/>
    <w:semiHidden/>
    <w:unhideWhenUsed/>
    <w:qFormat/>
    <w:uiPriority w:val="99"/>
    <w:pPr>
      <w:spacing w:after="0" w:line="240" w:lineRule="auto"/>
    </w:pPr>
    <w:rPr>
      <w:sz w:val="20"/>
    </w:rPr>
  </w:style>
  <w:style w:type="paragraph" w:styleId="20">
    <w:name w:val="footer"/>
    <w:basedOn w:val="1"/>
    <w:link w:val="58"/>
    <w:unhideWhenUsed/>
    <w:qFormat/>
    <w:uiPriority w:val="99"/>
    <w:pPr>
      <w:tabs>
        <w:tab w:val="center" w:pos="7143"/>
        <w:tab w:val="right" w:pos="14287"/>
      </w:tabs>
      <w:spacing w:after="0" w:line="240" w:lineRule="auto"/>
    </w:pPr>
  </w:style>
  <w:style w:type="paragraph" w:styleId="21">
    <w:name w:val="header"/>
    <w:basedOn w:val="1"/>
    <w:link w:val="56"/>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paragraph" w:customStyle="1" w:styleId="38">
    <w:name w:val="标题 41"/>
    <w:basedOn w:val="1"/>
    <w:next w:val="1"/>
    <w:link w:val="193"/>
    <w:qFormat/>
    <w:uiPriority w:val="0"/>
    <w:pPr>
      <w:spacing w:before="280" w:after="290" w:line="377" w:lineRule="auto"/>
      <w:outlineLvl w:val="3"/>
    </w:pPr>
    <w:rPr>
      <w:rFonts w:ascii="Arial" w:hAnsi="Arial" w:eastAsia="黑体"/>
      <w:b/>
      <w:bCs/>
      <w:sz w:val="28"/>
      <w:szCs w:val="28"/>
    </w:rPr>
  </w:style>
  <w:style w:type="character" w:customStyle="1" w:styleId="39">
    <w:name w:val="Heading 1 Char"/>
    <w:link w:val="3"/>
    <w:qFormat/>
    <w:uiPriority w:val="9"/>
    <w:rPr>
      <w:rFonts w:ascii="Arial" w:hAnsi="Arial" w:eastAsia="Arial" w:cs="Arial"/>
      <w:sz w:val="40"/>
      <w:szCs w:val="40"/>
    </w:rPr>
  </w:style>
  <w:style w:type="character" w:customStyle="1" w:styleId="40">
    <w:name w:val="Heading 2 Char"/>
    <w:link w:val="4"/>
    <w:qFormat/>
    <w:uiPriority w:val="9"/>
    <w:rPr>
      <w:rFonts w:ascii="Arial" w:hAnsi="Arial" w:eastAsia="Arial" w:cs="Arial"/>
      <w:sz w:val="34"/>
    </w:rPr>
  </w:style>
  <w:style w:type="character" w:customStyle="1" w:styleId="41">
    <w:name w:val="Heading 3 Char"/>
    <w:link w:val="2"/>
    <w:qFormat/>
    <w:uiPriority w:val="9"/>
    <w:rPr>
      <w:rFonts w:ascii="Arial" w:hAnsi="Arial" w:eastAsia="Arial" w:cs="Arial"/>
      <w:sz w:val="30"/>
      <w:szCs w:val="30"/>
    </w:rPr>
  </w:style>
  <w:style w:type="character" w:customStyle="1" w:styleId="42">
    <w:name w:val="Heading 4 Char"/>
    <w:link w:val="5"/>
    <w:qFormat/>
    <w:uiPriority w:val="9"/>
    <w:rPr>
      <w:rFonts w:ascii="Arial" w:hAnsi="Arial" w:eastAsia="Arial" w:cs="Arial"/>
      <w:b/>
      <w:bCs/>
      <w:sz w:val="26"/>
      <w:szCs w:val="26"/>
    </w:rPr>
  </w:style>
  <w:style w:type="character" w:customStyle="1" w:styleId="43">
    <w:name w:val="Heading 5 Char"/>
    <w:link w:val="6"/>
    <w:qFormat/>
    <w:uiPriority w:val="9"/>
    <w:rPr>
      <w:rFonts w:ascii="Arial" w:hAnsi="Arial" w:eastAsia="Arial" w:cs="Arial"/>
      <w:b/>
      <w:bCs/>
      <w:sz w:val="24"/>
      <w:szCs w:val="24"/>
    </w:rPr>
  </w:style>
  <w:style w:type="character" w:customStyle="1" w:styleId="44">
    <w:name w:val="Heading 6 Char"/>
    <w:link w:val="7"/>
    <w:qFormat/>
    <w:uiPriority w:val="9"/>
    <w:rPr>
      <w:rFonts w:ascii="Arial" w:hAnsi="Arial" w:eastAsia="Arial" w:cs="Arial"/>
      <w:b/>
      <w:bCs/>
      <w:sz w:val="22"/>
      <w:szCs w:val="22"/>
    </w:rPr>
  </w:style>
  <w:style w:type="character" w:customStyle="1" w:styleId="45">
    <w:name w:val="Heading 7 Char"/>
    <w:link w:val="8"/>
    <w:qFormat/>
    <w:uiPriority w:val="9"/>
    <w:rPr>
      <w:rFonts w:ascii="Arial" w:hAnsi="Arial" w:eastAsia="Arial" w:cs="Arial"/>
      <w:b/>
      <w:bCs/>
      <w:i/>
      <w:iCs/>
      <w:sz w:val="22"/>
      <w:szCs w:val="22"/>
    </w:rPr>
  </w:style>
  <w:style w:type="character" w:customStyle="1" w:styleId="46">
    <w:name w:val="Heading 8 Char"/>
    <w:link w:val="9"/>
    <w:qFormat/>
    <w:uiPriority w:val="9"/>
    <w:rPr>
      <w:rFonts w:ascii="Arial" w:hAnsi="Arial" w:eastAsia="Arial" w:cs="Arial"/>
      <w:i/>
      <w:iCs/>
      <w:sz w:val="22"/>
      <w:szCs w:val="22"/>
    </w:rPr>
  </w:style>
  <w:style w:type="character" w:customStyle="1" w:styleId="47">
    <w:name w:val="Heading 9 Char"/>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link w:val="31"/>
    <w:qFormat/>
    <w:uiPriority w:val="10"/>
    <w:rPr>
      <w:sz w:val="48"/>
      <w:szCs w:val="48"/>
    </w:rPr>
  </w:style>
  <w:style w:type="character" w:customStyle="1" w:styleId="51">
    <w:name w:val="Subtitle Char"/>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link w:val="21"/>
    <w:qFormat/>
    <w:uiPriority w:val="99"/>
  </w:style>
  <w:style w:type="character" w:customStyle="1" w:styleId="57">
    <w:name w:val="Footer Char"/>
    <w:link w:val="20"/>
    <w:qFormat/>
    <w:uiPriority w:val="99"/>
  </w:style>
  <w:style w:type="character" w:customStyle="1" w:styleId="58">
    <w:name w:val="Caption Char"/>
    <w:link w:val="20"/>
    <w:qFormat/>
    <w:uiPriority w:val="99"/>
  </w:style>
  <w:style w:type="table" w:customStyle="1" w:styleId="59">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Footnote Text Char"/>
    <w:link w:val="25"/>
    <w:qFormat/>
    <w:uiPriority w:val="99"/>
    <w:rPr>
      <w:sz w:val="18"/>
    </w:rPr>
  </w:style>
  <w:style w:type="character" w:customStyle="1" w:styleId="185">
    <w:name w:val="Endnote Text Char"/>
    <w:link w:val="19"/>
    <w:qFormat/>
    <w:uiPriority w:val="99"/>
    <w:rPr>
      <w:sz w:val="20"/>
    </w:rPr>
  </w:style>
  <w:style w:type="paragraph" w:customStyle="1" w:styleId="186">
    <w:name w:val="TOC Heading"/>
    <w:unhideWhenUsed/>
    <w:qFormat/>
    <w:uiPriority w:val="39"/>
    <w:rPr>
      <w:rFonts w:hint="default" w:ascii="Times New Roman" w:hAnsi="Times New Roman" w:eastAsia="宋体" w:cs="Times New Roman"/>
    </w:rPr>
  </w:style>
  <w:style w:type="paragraph" w:customStyle="1" w:styleId="187">
    <w:name w:val="标题 11"/>
    <w:basedOn w:val="1"/>
    <w:next w:val="1"/>
    <w:link w:val="194"/>
    <w:qFormat/>
    <w:uiPriority w:val="99"/>
    <w:pPr>
      <w:keepNext/>
      <w:keepLines/>
      <w:spacing w:before="340" w:after="330" w:line="578" w:lineRule="auto"/>
      <w:outlineLvl w:val="0"/>
    </w:pPr>
    <w:rPr>
      <w:rFonts w:ascii="Calibri" w:hAnsi="Calibri"/>
      <w:b/>
      <w:bCs/>
      <w:sz w:val="44"/>
      <w:szCs w:val="44"/>
    </w:rPr>
  </w:style>
  <w:style w:type="paragraph" w:customStyle="1" w:styleId="188">
    <w:name w:val="标题 21"/>
    <w:basedOn w:val="1"/>
    <w:next w:val="189"/>
    <w:link w:val="195"/>
    <w:qFormat/>
    <w:uiPriority w:val="9"/>
    <w:pPr>
      <w:keepNext/>
      <w:keepLines/>
      <w:spacing w:before="260" w:after="260" w:line="416" w:lineRule="auto"/>
      <w:outlineLvl w:val="1"/>
    </w:pPr>
    <w:rPr>
      <w:rFonts w:ascii="Cambria" w:hAnsi="Cambria"/>
      <w:b/>
      <w:bCs/>
      <w:sz w:val="32"/>
      <w:szCs w:val="32"/>
    </w:rPr>
  </w:style>
  <w:style w:type="paragraph" w:customStyle="1" w:styleId="189">
    <w:name w:val="正文缩进1"/>
    <w:basedOn w:val="1"/>
    <w:unhideWhenUsed/>
    <w:qFormat/>
    <w:uiPriority w:val="0"/>
    <w:pPr>
      <w:ind w:firstLine="420"/>
    </w:pPr>
    <w:rPr>
      <w:rFonts w:ascii="Calibri" w:hAnsi="Calibri" w:eastAsia="宋体" w:cs="Times New Roman"/>
    </w:rPr>
  </w:style>
  <w:style w:type="paragraph" w:customStyle="1" w:styleId="190">
    <w:name w:val="标题 31"/>
    <w:basedOn w:val="1"/>
    <w:next w:val="1"/>
    <w:link w:val="196"/>
    <w:qFormat/>
    <w:uiPriority w:val="0"/>
    <w:pPr>
      <w:keepNext/>
      <w:keepLines/>
      <w:spacing w:before="260" w:after="260" w:line="416" w:lineRule="auto"/>
      <w:outlineLvl w:val="2"/>
    </w:pPr>
    <w:rPr>
      <w:rFonts w:ascii="Calibri" w:hAnsi="Calibri"/>
      <w:b/>
      <w:bCs/>
      <w:sz w:val="32"/>
      <w:szCs w:val="32"/>
    </w:rPr>
  </w:style>
  <w:style w:type="character" w:customStyle="1" w:styleId="191">
    <w:name w:val="默认段落字体1"/>
    <w:link w:val="1"/>
    <w:unhideWhenUsed/>
    <w:qFormat/>
    <w:uiPriority w:val="1"/>
  </w:style>
  <w:style w:type="table" w:customStyle="1" w:styleId="192">
    <w:name w:val="普通表格1"/>
    <w:unhideWhenUsed/>
    <w:qFormat/>
    <w:uiPriority w:val="99"/>
  </w:style>
  <w:style w:type="character" w:customStyle="1" w:styleId="193">
    <w:name w:val="标题 4 Char"/>
    <w:link w:val="38"/>
    <w:qFormat/>
    <w:uiPriority w:val="0"/>
    <w:rPr>
      <w:rFonts w:ascii="Arial" w:hAnsi="Arial" w:eastAsia="黑体" w:cs="Times New Roman"/>
      <w:b/>
      <w:bCs/>
      <w:sz w:val="28"/>
      <w:szCs w:val="28"/>
    </w:rPr>
  </w:style>
  <w:style w:type="character" w:customStyle="1" w:styleId="194">
    <w:name w:val="标题 1 Char"/>
    <w:link w:val="187"/>
    <w:qFormat/>
    <w:uiPriority w:val="99"/>
    <w:rPr>
      <w:rFonts w:ascii="Calibri" w:hAnsi="Calibri" w:eastAsia="宋体" w:cs="Times New Roman"/>
      <w:b/>
      <w:bCs/>
      <w:sz w:val="44"/>
      <w:szCs w:val="44"/>
    </w:rPr>
  </w:style>
  <w:style w:type="character" w:customStyle="1" w:styleId="195">
    <w:name w:val="标题 2 Char"/>
    <w:link w:val="188"/>
    <w:qFormat/>
    <w:uiPriority w:val="9"/>
    <w:rPr>
      <w:rFonts w:ascii="Cambria" w:hAnsi="Cambria" w:eastAsia="宋体" w:cs="Times New Roman"/>
      <w:b/>
      <w:bCs/>
      <w:sz w:val="32"/>
      <w:szCs w:val="32"/>
    </w:rPr>
  </w:style>
  <w:style w:type="character" w:customStyle="1" w:styleId="196">
    <w:name w:val="标题 3 Char"/>
    <w:link w:val="190"/>
    <w:qFormat/>
    <w:uiPriority w:val="0"/>
    <w:rPr>
      <w:rFonts w:ascii="Calibri" w:hAnsi="Calibri" w:eastAsia="宋体" w:cs="Times New Roman"/>
      <w:b/>
      <w:bCs/>
      <w:sz w:val="32"/>
      <w:szCs w:val="32"/>
    </w:rPr>
  </w:style>
  <w:style w:type="paragraph" w:customStyle="1" w:styleId="197">
    <w:name w:val="文档结构图1"/>
    <w:basedOn w:val="1"/>
    <w:link w:val="198"/>
    <w:unhideWhenUsed/>
    <w:qFormat/>
    <w:uiPriority w:val="99"/>
    <w:rPr>
      <w:rFonts w:ascii="宋体"/>
      <w:sz w:val="18"/>
      <w:szCs w:val="18"/>
    </w:rPr>
  </w:style>
  <w:style w:type="character" w:customStyle="1" w:styleId="198">
    <w:name w:val="文档结构图 Char"/>
    <w:link w:val="197"/>
    <w:semiHidden/>
    <w:qFormat/>
    <w:uiPriority w:val="99"/>
    <w:rPr>
      <w:rFonts w:ascii="宋体"/>
      <w:sz w:val="18"/>
      <w:szCs w:val="18"/>
    </w:rPr>
  </w:style>
  <w:style w:type="paragraph" w:customStyle="1" w:styleId="199">
    <w:name w:val="正文文本11"/>
    <w:basedOn w:val="1"/>
    <w:qFormat/>
    <w:uiPriority w:val="0"/>
    <w:rPr>
      <w:rFonts w:ascii="楷体_GB2312" w:hAnsi="Arial" w:eastAsia="楷体_GB2312"/>
      <w:sz w:val="28"/>
      <w:szCs w:val="28"/>
    </w:rPr>
  </w:style>
  <w:style w:type="paragraph" w:customStyle="1" w:styleId="200">
    <w:name w:val="正文文本缩进1"/>
    <w:qFormat/>
    <w:uiPriority w:val="0"/>
    <w:pPr>
      <w:widowControl w:val="0"/>
      <w:spacing w:after="120"/>
      <w:ind w:left="420"/>
      <w:jc w:val="both"/>
    </w:pPr>
    <w:rPr>
      <w:rFonts w:hint="default" w:ascii="Times New Roman" w:hAnsi="Times New Roman" w:eastAsia="宋体" w:cs="Times New Roman"/>
      <w:sz w:val="21"/>
      <w:szCs w:val="21"/>
      <w:lang w:val="en-US" w:eastAsia="zh-CN" w:bidi="ar-SA"/>
    </w:rPr>
  </w:style>
  <w:style w:type="paragraph" w:customStyle="1" w:styleId="201">
    <w:name w:val="文本块11"/>
    <w:basedOn w:val="1"/>
    <w:unhideWhenUsed/>
    <w:qFormat/>
    <w:uiPriority w:val="99"/>
    <w:pPr>
      <w:ind w:left="567" w:right="454" w:firstLine="498"/>
      <w:jc w:val="left"/>
    </w:pPr>
    <w:rPr>
      <w:rFonts w:ascii="仿宋_GB2312" w:eastAsia="仿宋_GB2312"/>
      <w:sz w:val="30"/>
      <w:szCs w:val="20"/>
    </w:rPr>
  </w:style>
  <w:style w:type="paragraph" w:customStyle="1" w:styleId="202">
    <w:name w:val="索引 41"/>
    <w:next w:val="1"/>
    <w:qFormat/>
    <w:uiPriority w:val="0"/>
    <w:pPr>
      <w:widowControl w:val="0"/>
      <w:tabs>
        <w:tab w:val="left" w:pos="1418"/>
        <w:tab w:val="left" w:pos="2126"/>
        <w:tab w:val="left" w:pos="2835"/>
        <w:tab w:val="left" w:pos="3544"/>
        <w:tab w:val="left" w:pos="4253"/>
        <w:tab w:val="left" w:pos="4961"/>
        <w:tab w:val="left" w:pos="5670"/>
      </w:tabs>
      <w:ind w:left="1418" w:hanging="420"/>
      <w:jc w:val="both"/>
    </w:pPr>
    <w:rPr>
      <w:rFonts w:hint="default" w:ascii="Times New Roman" w:hAnsi="Times New Roman" w:eastAsia="宋体" w:cs="Times New Roman"/>
      <w:sz w:val="24"/>
      <w:lang w:val="en-US" w:eastAsia="zh-CN" w:bidi="ar-SA"/>
    </w:rPr>
  </w:style>
  <w:style w:type="paragraph" w:customStyle="1" w:styleId="203">
    <w:name w:val="目录 31"/>
    <w:basedOn w:val="1"/>
    <w:next w:val="1"/>
    <w:unhideWhenUsed/>
    <w:qFormat/>
    <w:uiPriority w:val="39"/>
    <w:pPr>
      <w:ind w:left="840"/>
    </w:pPr>
  </w:style>
  <w:style w:type="paragraph" w:customStyle="1" w:styleId="204">
    <w:name w:val="纯文本11"/>
    <w:basedOn w:val="1"/>
    <w:link w:val="205"/>
    <w:unhideWhenUsed/>
    <w:qFormat/>
    <w:uiPriority w:val="99"/>
    <w:rPr>
      <w:rFonts w:ascii="宋体" w:hAnsi="Courier New"/>
      <w:sz w:val="20"/>
      <w:szCs w:val="20"/>
    </w:rPr>
  </w:style>
  <w:style w:type="character" w:customStyle="1" w:styleId="205">
    <w:name w:val="纯文本 Char"/>
    <w:link w:val="204"/>
    <w:qFormat/>
    <w:uiPriority w:val="99"/>
    <w:rPr>
      <w:rFonts w:ascii="宋体" w:hAnsi="Courier New"/>
    </w:rPr>
  </w:style>
  <w:style w:type="paragraph" w:customStyle="1" w:styleId="206">
    <w:name w:val="日期1"/>
    <w:basedOn w:val="1"/>
    <w:next w:val="1"/>
    <w:link w:val="207"/>
    <w:qFormat/>
    <w:uiPriority w:val="0"/>
    <w:rPr>
      <w:sz w:val="24"/>
      <w:szCs w:val="20"/>
    </w:rPr>
  </w:style>
  <w:style w:type="character" w:customStyle="1" w:styleId="207">
    <w:name w:val="日期 Char"/>
    <w:link w:val="206"/>
    <w:qFormat/>
    <w:uiPriority w:val="0"/>
    <w:rPr>
      <w:rFonts w:ascii="Times New Roman" w:hAnsi="Times New Roman"/>
      <w:sz w:val="24"/>
    </w:rPr>
  </w:style>
  <w:style w:type="paragraph" w:customStyle="1" w:styleId="208">
    <w:name w:val="正文文本缩进 21"/>
    <w:basedOn w:val="1"/>
    <w:unhideWhenUsed/>
    <w:qFormat/>
    <w:uiPriority w:val="99"/>
    <w:pPr>
      <w:spacing w:line="480" w:lineRule="exact"/>
      <w:ind w:firstLine="562"/>
    </w:pPr>
    <w:rPr>
      <w:b/>
      <w:bCs/>
      <w:sz w:val="28"/>
      <w:szCs w:val="28"/>
    </w:rPr>
  </w:style>
  <w:style w:type="paragraph" w:customStyle="1" w:styleId="209">
    <w:name w:val="页脚11"/>
    <w:basedOn w:val="1"/>
    <w:link w:val="210"/>
    <w:unhideWhenUsed/>
    <w:qFormat/>
    <w:uiPriority w:val="99"/>
    <w:pPr>
      <w:tabs>
        <w:tab w:val="center" w:pos="4153"/>
        <w:tab w:val="right" w:pos="8306"/>
      </w:tabs>
      <w:jc w:val="left"/>
    </w:pPr>
    <w:rPr>
      <w:sz w:val="18"/>
      <w:szCs w:val="18"/>
    </w:rPr>
  </w:style>
  <w:style w:type="character" w:customStyle="1" w:styleId="210">
    <w:name w:val="页脚 Char"/>
    <w:link w:val="209"/>
    <w:qFormat/>
    <w:uiPriority w:val="99"/>
    <w:rPr>
      <w:sz w:val="18"/>
      <w:szCs w:val="18"/>
    </w:rPr>
  </w:style>
  <w:style w:type="paragraph" w:customStyle="1" w:styleId="211">
    <w:name w:val="页眉11"/>
    <w:basedOn w:val="1"/>
    <w:link w:val="212"/>
    <w:unhideWhenUsed/>
    <w:qFormat/>
    <w:uiPriority w:val="99"/>
    <w:pPr>
      <w:pBdr>
        <w:bottom w:val="single" w:color="000000" w:sz="6" w:space="1"/>
      </w:pBdr>
      <w:tabs>
        <w:tab w:val="center" w:pos="4153"/>
        <w:tab w:val="right" w:pos="8306"/>
      </w:tabs>
      <w:jc w:val="center"/>
    </w:pPr>
    <w:rPr>
      <w:sz w:val="18"/>
      <w:szCs w:val="18"/>
    </w:rPr>
  </w:style>
  <w:style w:type="character" w:customStyle="1" w:styleId="212">
    <w:name w:val="页眉 Char"/>
    <w:link w:val="211"/>
    <w:qFormat/>
    <w:uiPriority w:val="99"/>
    <w:rPr>
      <w:sz w:val="18"/>
      <w:szCs w:val="18"/>
    </w:rPr>
  </w:style>
  <w:style w:type="paragraph" w:customStyle="1" w:styleId="213">
    <w:name w:val="目录 11"/>
    <w:basedOn w:val="1"/>
    <w:next w:val="1"/>
    <w:unhideWhenUsed/>
    <w:qFormat/>
    <w:uiPriority w:val="39"/>
    <w:rPr>
      <w:rFonts w:ascii="Calibri" w:hAnsi="Calibri" w:eastAsia="宋体" w:cs="Times New Roman"/>
    </w:rPr>
  </w:style>
  <w:style w:type="paragraph" w:customStyle="1" w:styleId="214">
    <w:name w:val="目录 21"/>
    <w:basedOn w:val="1"/>
    <w:next w:val="1"/>
    <w:unhideWhenUsed/>
    <w:qFormat/>
    <w:uiPriority w:val="39"/>
    <w:pPr>
      <w:ind w:left="420"/>
    </w:pPr>
  </w:style>
  <w:style w:type="paragraph" w:customStyle="1" w:styleId="215">
    <w:name w:val="普通(网站)1"/>
    <w:basedOn w:val="1"/>
    <w:unhideWhenUsed/>
    <w:qFormat/>
    <w:uiPriority w:val="0"/>
    <w:pPr>
      <w:jc w:val="left"/>
    </w:pPr>
    <w:rPr>
      <w:rFonts w:ascii="Calibri" w:hAnsi="Calibri" w:eastAsia="宋体" w:cs="Times New Roman"/>
      <w:sz w:val="24"/>
      <w:szCs w:val="24"/>
    </w:rPr>
  </w:style>
  <w:style w:type="character" w:customStyle="1" w:styleId="216">
    <w:name w:val="要点1"/>
    <w:link w:val="1"/>
    <w:qFormat/>
    <w:uiPriority w:val="0"/>
    <w:rPr>
      <w:b/>
    </w:rPr>
  </w:style>
  <w:style w:type="paragraph" w:customStyle="1" w:styleId="217">
    <w:name w:val="正文（缩进）"/>
    <w:basedOn w:val="1"/>
    <w:qFormat/>
    <w:uiPriority w:val="0"/>
    <w:pPr>
      <w:ind w:firstLine="480"/>
    </w:pPr>
    <w:rPr>
      <w:rFonts w:ascii="Calibri" w:hAnsi="Calibri" w:eastAsia="宋体" w:cs="Times New Roman"/>
      <w:szCs w:val="24"/>
    </w:rPr>
  </w:style>
  <w:style w:type="paragraph" w:customStyle="1" w:styleId="218">
    <w:name w:val="正文1"/>
    <w:basedOn w:val="1"/>
    <w:next w:val="219"/>
    <w:qFormat/>
    <w:uiPriority w:val="0"/>
    <w:pPr>
      <w:spacing w:line="360" w:lineRule="atLeast"/>
      <w:jc w:val="left"/>
    </w:pPr>
    <w:rPr>
      <w:rFonts w:ascii="宋体" w:hAnsi="Calibri" w:eastAsia="宋体" w:cs="Times New Roman"/>
      <w:sz w:val="24"/>
      <w:szCs w:val="20"/>
    </w:rPr>
  </w:style>
  <w:style w:type="paragraph" w:customStyle="1" w:styleId="219">
    <w:name w:val="正文文本1"/>
    <w:basedOn w:val="218"/>
    <w:next w:val="220"/>
    <w:qFormat/>
    <w:uiPriority w:val="0"/>
    <w:pPr>
      <w:spacing w:after="120"/>
    </w:pPr>
    <w:rPr>
      <w:lang w:val="en-US" w:eastAsia="en-US"/>
    </w:rPr>
  </w:style>
  <w:style w:type="paragraph" w:customStyle="1" w:styleId="220">
    <w:name w:val="一级条标题"/>
    <w:basedOn w:val="221"/>
    <w:next w:val="2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21">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22">
    <w:name w:val="段"/>
    <w:basedOn w:val="218"/>
    <w:next w:val="1"/>
    <w:qFormat/>
    <w:uiPriority w:val="0"/>
    <w:pPr>
      <w:widowControl/>
      <w:ind w:firstLine="200"/>
    </w:pPr>
    <w:rPr>
      <w:rFonts w:ascii="宋体"/>
      <w:sz w:val="20"/>
      <w:szCs w:val="20"/>
    </w:rPr>
  </w:style>
  <w:style w:type="paragraph" w:customStyle="1" w:styleId="223">
    <w:name w:val="首行缩进"/>
    <w:basedOn w:val="1"/>
    <w:qFormat/>
    <w:uiPriority w:val="0"/>
    <w:pPr>
      <w:ind w:firstLine="480"/>
    </w:pPr>
    <w:rPr>
      <w:rFonts w:ascii="Times New Roman" w:hAnsi="Times New Roman"/>
    </w:rPr>
  </w:style>
  <w:style w:type="character" w:customStyle="1" w:styleId="224">
    <w:name w:val="htd0"/>
    <w:link w:val="1"/>
    <w:qFormat/>
    <w:uiPriority w:val="0"/>
  </w:style>
  <w:style w:type="character" w:customStyle="1" w:styleId="225">
    <w:name w:val="页脚 Char1"/>
    <w:link w:val="1"/>
    <w:semiHidden/>
    <w:qFormat/>
    <w:uiPriority w:val="99"/>
    <w:rPr>
      <w:sz w:val="18"/>
      <w:szCs w:val="18"/>
    </w:rPr>
  </w:style>
  <w:style w:type="character" w:customStyle="1" w:styleId="226">
    <w:name w:val="纯文本 Char1"/>
    <w:link w:val="1"/>
    <w:semiHidden/>
    <w:qFormat/>
    <w:uiPriority w:val="99"/>
    <w:rPr>
      <w:rFonts w:ascii="宋体" w:hAnsi="Courier New" w:eastAsia="宋体" w:cs="Courier New"/>
      <w:szCs w:val="21"/>
    </w:rPr>
  </w:style>
  <w:style w:type="character" w:customStyle="1" w:styleId="227">
    <w:name w:val="批注引用1"/>
    <w:link w:val="228"/>
    <w:qFormat/>
    <w:uiPriority w:val="0"/>
    <w:rPr>
      <w:rFonts w:ascii="Calibri" w:hAnsi="Calibri"/>
      <w:sz w:val="21"/>
      <w:szCs w:val="24"/>
      <w:lang w:val="en-US" w:eastAsia="zh-CN" w:bidi="ar-SA"/>
    </w:rPr>
  </w:style>
  <w:style w:type="paragraph" w:customStyle="1" w:styleId="228">
    <w:name w:val="正文111"/>
    <w:next w:val="229"/>
    <w:link w:val="22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29">
    <w:name w:val="文本块1"/>
    <w:basedOn w:val="228"/>
    <w:qFormat/>
    <w:uiPriority w:val="0"/>
    <w:pPr>
      <w:widowControl/>
      <w:ind w:left="567" w:right="454" w:firstLine="498"/>
      <w:jc w:val="left"/>
    </w:pPr>
    <w:rPr>
      <w:rFonts w:ascii="仿宋_GB2312" w:eastAsia="仿宋_GB2312"/>
      <w:sz w:val="30"/>
      <w:szCs w:val="20"/>
    </w:rPr>
  </w:style>
  <w:style w:type="character" w:customStyle="1" w:styleId="230">
    <w:name w:val="页眉 Char1"/>
    <w:link w:val="1"/>
    <w:semiHidden/>
    <w:qFormat/>
    <w:uiPriority w:val="99"/>
    <w:rPr>
      <w:sz w:val="18"/>
      <w:szCs w:val="18"/>
    </w:rPr>
  </w:style>
  <w:style w:type="character" w:customStyle="1" w:styleId="231">
    <w:name w:val="日期 Char1"/>
    <w:link w:val="1"/>
    <w:semiHidden/>
    <w:qFormat/>
    <w:uiPriority w:val="99"/>
  </w:style>
  <w:style w:type="paragraph" w:customStyle="1" w:styleId="232">
    <w:name w:val="纯文本1"/>
    <w:basedOn w:val="228"/>
    <w:qFormat/>
    <w:uiPriority w:val="0"/>
    <w:rPr>
      <w:rFonts w:ascii="宋体" w:hAnsi="Courier New"/>
      <w:sz w:val="21"/>
      <w:szCs w:val="21"/>
    </w:rPr>
  </w:style>
  <w:style w:type="paragraph" w:customStyle="1" w:styleId="233">
    <w:name w:val="页眉1"/>
    <w:basedOn w:val="228"/>
    <w:qFormat/>
    <w:uiPriority w:val="0"/>
    <w:pPr>
      <w:pBdr>
        <w:bottom w:val="single" w:color="000000" w:sz="6" w:space="1"/>
      </w:pBdr>
      <w:tabs>
        <w:tab w:val="center" w:pos="4153"/>
        <w:tab w:val="right" w:pos="8306"/>
      </w:tabs>
      <w:jc w:val="center"/>
    </w:pPr>
    <w:rPr>
      <w:sz w:val="18"/>
      <w:szCs w:val="18"/>
    </w:rPr>
  </w:style>
  <w:style w:type="paragraph" w:customStyle="1" w:styleId="234">
    <w:name w:val="普通正文"/>
    <w:basedOn w:val="1"/>
    <w:qFormat/>
    <w:uiPriority w:val="0"/>
    <w:pPr>
      <w:spacing w:before="120" w:after="120" w:line="360" w:lineRule="auto"/>
      <w:ind w:firstLine="480"/>
      <w:jc w:val="left"/>
    </w:pPr>
    <w:rPr>
      <w:rFonts w:ascii="Arial" w:hAnsi="Arial" w:eastAsia="宋体" w:cs="Times New Roman"/>
      <w:sz w:val="24"/>
      <w:szCs w:val="24"/>
    </w:rPr>
  </w:style>
  <w:style w:type="paragraph" w:customStyle="1" w:styleId="235">
    <w:name w:val="默认段落字体 Para Char Char Char Char Char Char Char"/>
    <w:basedOn w:val="1"/>
    <w:next w:val="1"/>
    <w:qFormat/>
    <w:uiPriority w:val="99"/>
    <w:pPr>
      <w:ind w:firstLine="200"/>
    </w:pPr>
    <w:rPr>
      <w:rFonts w:ascii="Calibri" w:hAnsi="Calibri" w:eastAsia="宋体" w:cs="Arial"/>
      <w:szCs w:val="24"/>
    </w:rPr>
  </w:style>
  <w:style w:type="paragraph" w:customStyle="1" w:styleId="236">
    <w:name w:val="Default"/>
    <w:qFormat/>
    <w:uiPriority w:val="0"/>
    <w:pPr>
      <w:widowControl w:val="0"/>
    </w:pPr>
    <w:rPr>
      <w:rFonts w:hint="default" w:ascii="宋体" w:hAnsi="宋体" w:eastAsia="宋体" w:cs="Times New Roman"/>
      <w:color w:val="000000"/>
      <w:sz w:val="24"/>
      <w:szCs w:val="22"/>
      <w:lang w:val="en-US" w:eastAsia="zh-CN" w:bidi="ar-SA"/>
    </w:rPr>
  </w:style>
  <w:style w:type="paragraph" w:customStyle="1" w:styleId="237">
    <w:name w:val="Char"/>
    <w:basedOn w:val="1"/>
    <w:qFormat/>
    <w:uiPriority w:val="0"/>
    <w:pPr>
      <w:tabs>
        <w:tab w:val="left" w:pos="360"/>
      </w:tabs>
      <w:ind w:firstLine="200"/>
    </w:pPr>
    <w:rPr>
      <w:rFonts w:ascii="Times New Roman" w:hAnsi="Times New Roman" w:eastAsia="宋体" w:cs="Times New Roman"/>
      <w:sz w:val="28"/>
      <w:szCs w:val="30"/>
    </w:rPr>
  </w:style>
  <w:style w:type="paragraph" w:customStyle="1" w:styleId="238">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39">
    <w:name w:val="正文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40">
    <w:name w:val="正文_0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41">
    <w:name w:val="页脚1"/>
    <w:basedOn w:val="228"/>
    <w:qFormat/>
    <w:uiPriority w:val="0"/>
    <w:pPr>
      <w:tabs>
        <w:tab w:val="center" w:pos="4153"/>
        <w:tab w:val="right" w:pos="8306"/>
      </w:tabs>
      <w:jc w:val="left"/>
    </w:pPr>
    <w:rPr>
      <w:sz w:val="18"/>
      <w:szCs w:val="18"/>
    </w:rPr>
  </w:style>
  <w:style w:type="paragraph" w:customStyle="1" w:styleId="242">
    <w:name w:val="_Style 4"/>
    <w:next w:val="1"/>
    <w:qFormat/>
    <w:uiPriority w:val="0"/>
    <w:pPr>
      <w:keepNext/>
      <w:keepLines/>
      <w:widowControl w:val="0"/>
      <w:spacing w:before="340" w:after="330" w:line="578" w:lineRule="auto"/>
      <w:jc w:val="both"/>
    </w:pPr>
    <w:rPr>
      <w:rFonts w:hint="default" w:ascii="Times New Roman" w:hAnsi="Times New Roman" w:eastAsia="宋体" w:cs="Times New Roman"/>
      <w:b/>
      <w:bCs/>
      <w:sz w:val="44"/>
      <w:szCs w:val="44"/>
      <w:lang w:val="en-US" w:eastAsia="zh-CN" w:bidi="ar-SA"/>
    </w:rPr>
  </w:style>
  <w:style w:type="paragraph" w:customStyle="1" w:styleId="243">
    <w:name w:val="正文_2"/>
    <w:qFormat/>
    <w:uiPriority w:val="0"/>
    <w:rPr>
      <w:rFonts w:hint="default" w:ascii="Times New Roman" w:hAnsi="Times New Roman" w:eastAsia="宋体" w:cs="Times New Roman"/>
      <w:lang w:val="en-US" w:eastAsia="zh-CN" w:bidi="ar-SA"/>
    </w:rPr>
  </w:style>
  <w:style w:type="paragraph" w:customStyle="1" w:styleId="244">
    <w:name w:val="WPSOffice手动目录 1"/>
    <w:qFormat/>
    <w:uiPriority w:val="0"/>
    <w:rPr>
      <w:rFonts w:hint="default" w:ascii="Times New Roman" w:hAnsi="Times New Roman" w:eastAsia="宋体" w:cs="Times New Roman"/>
      <w:lang w:val="en-US" w:eastAsia="zh-CN" w:bidi="ar-SA"/>
    </w:rPr>
  </w:style>
  <w:style w:type="character" w:customStyle="1" w:styleId="245">
    <w:name w:val="font51"/>
    <w:basedOn w:val="34"/>
    <w:qFormat/>
    <w:uiPriority w:val="0"/>
    <w:rPr>
      <w:rFonts w:ascii="宋体" w:hAnsi="宋体" w:eastAsia="宋体" w:cs="宋体"/>
      <w:color w:val="000000"/>
      <w:sz w:val="18"/>
      <w:szCs w:val="18"/>
      <w:u w:val="none"/>
    </w:rPr>
  </w:style>
  <w:style w:type="character" w:customStyle="1" w:styleId="246">
    <w:name w:val="font31"/>
    <w:basedOn w:val="34"/>
    <w:qFormat/>
    <w:uiPriority w:val="0"/>
    <w:rPr>
      <w:rFonts w:ascii="宋体" w:hAnsi="宋体" w:eastAsia="宋体" w:cs="宋体"/>
      <w:b/>
      <w:bCs/>
      <w:color w:val="000000"/>
      <w:sz w:val="18"/>
      <w:szCs w:val="18"/>
      <w:u w:val="none"/>
    </w:rPr>
  </w:style>
  <w:style w:type="character" w:customStyle="1" w:styleId="247">
    <w:name w:val="font101"/>
    <w:basedOn w:val="34"/>
    <w:qFormat/>
    <w:uiPriority w:val="0"/>
    <w:rPr>
      <w:rFonts w:hint="default" w:ascii="Arial" w:hAnsi="Arial" w:cs="Arial"/>
      <w:color w:val="000000"/>
      <w:sz w:val="16"/>
      <w:szCs w:val="16"/>
      <w:u w:val="none"/>
    </w:rPr>
  </w:style>
  <w:style w:type="character" w:customStyle="1" w:styleId="248">
    <w:name w:val="font61"/>
    <w:basedOn w:val="34"/>
    <w:qFormat/>
    <w:uiPriority w:val="0"/>
    <w:rPr>
      <w:rFonts w:ascii="宋体" w:hAnsi="宋体" w:eastAsia="宋体" w:cs="宋体"/>
      <w:color w:val="000000"/>
      <w:sz w:val="16"/>
      <w:szCs w:val="16"/>
      <w:u w:val="none"/>
    </w:rPr>
  </w:style>
  <w:style w:type="character" w:customStyle="1" w:styleId="249">
    <w:name w:val="font71"/>
    <w:basedOn w:val="34"/>
    <w:qFormat/>
    <w:uiPriority w:val="0"/>
    <w:rPr>
      <w:rFonts w:hint="eastAsia" w:ascii="宋体" w:hAnsi="宋体" w:eastAsia="宋体" w:cs="宋体"/>
      <w:color w:val="000000"/>
      <w:sz w:val="16"/>
      <w:szCs w:val="16"/>
      <w:u w:val="none"/>
    </w:rPr>
  </w:style>
  <w:style w:type="table" w:customStyle="1" w:styleId="250">
    <w:name w:val="Table Grid"/>
    <w:qFormat/>
    <w:uiPriority w:val="0"/>
    <w:rPr>
      <w:rFonts w:ascii="Times New Roman" w:hAnsi="Times New Roman"/>
    </w:rPr>
    <w:tblPr>
      <w:tblCellMar>
        <w:top w:w="0" w:type="dxa"/>
        <w:left w:w="0" w:type="dxa"/>
        <w:bottom w:w="0" w:type="dxa"/>
        <w:right w:w="0" w:type="dxa"/>
      </w:tblCellMar>
    </w:tblPr>
  </w:style>
  <w:style w:type="character" w:customStyle="1" w:styleId="251">
    <w:name w:val="超链接1"/>
    <w:basedOn w:val="191"/>
    <w:link w:val="1"/>
    <w:unhideWhenUsed/>
    <w:qFormat/>
    <w:uiPriority w:val="99"/>
    <w:rPr>
      <w:color w:val="0000FF"/>
      <w:u w:val="single"/>
    </w:rPr>
  </w:style>
  <w:style w:type="paragraph" w:customStyle="1" w:styleId="252">
    <w:name w:val="Heading 2"/>
    <w:basedOn w:val="253"/>
    <w:next w:val="253"/>
    <w:qFormat/>
    <w:uiPriority w:val="0"/>
    <w:pPr>
      <w:ind w:left="1276"/>
      <w:jc w:val="left"/>
      <w:outlineLvl w:val="2"/>
    </w:pPr>
    <w:rPr>
      <w:rFonts w:ascii="宋体" w:hAnsi="宋体" w:cstheme="minorBidi"/>
      <w:b/>
      <w:bCs/>
      <w:sz w:val="32"/>
      <w:szCs w:val="32"/>
      <w:lang w:eastAsia="en-US"/>
    </w:rPr>
  </w:style>
  <w:style w:type="paragraph" w:customStyle="1" w:styleId="253">
    <w:name w:val="正文4"/>
    <w:qFormat/>
    <w:uiPriority w:val="0"/>
    <w:pPr>
      <w:widowControl w:val="0"/>
      <w:jc w:val="both"/>
    </w:pPr>
    <w:rPr>
      <w:rFonts w:hint="default"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29172</Words>
  <Characters>31104</Characters>
  <TotalTime>145</TotalTime>
  <ScaleCrop>false</ScaleCrop>
  <LinksUpToDate>false</LinksUpToDate>
  <CharactersWithSpaces>31916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2025-03-11T09:55:00Z</dcterms:created>
  <dc:creator>53135</dc:creator>
  <cp:lastModifiedBy>Administrator</cp:lastModifiedBy>
  <cp:lastPrinted>2026-04-20T04:02:00Z</cp:lastPrinted>
  <dcterms:modified xsi:type="dcterms:W3CDTF">2026-04-21T06:01:41Z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eyJoZGlkIjoiZGEwZTdiNmVmMTdmOTU3ZGZmZjdjNzQ4ZmM0OTgwNTkiLCJ1c2VySWQiOiIzMTUwOTE3NCJ9</vt:lpwstr>
  </property>
  <property fmtid="{D5CDD505-2E9C-101B-9397-08002B2CF9AE}" pid="3" name="KSOProductBuildVer">
    <vt:lpwstr>2052-11.8.2.8959</vt:lpwstr>
  </property>
  <property fmtid="{D5CDD505-2E9C-101B-9397-08002B2CF9AE}" pid="4" name="ICV">
    <vt:lpwstr>0118FDCF16DA4F9C91E85830BF37C1C5_13</vt:lpwstr>
  </property>
</Properties>
</file>