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3"/>
        <w:jc w:val="center"/>
        <w:spacing w:line="360" w:lineRule="auto"/>
        <w:rPr>
          <w:rFonts w:hint="eastAsia" w:ascii="宋体" w:hAnsi="宋体" w:eastAsia="宋体" w:cs="Times New Roman"/>
          <w:b/>
          <w:color w:val="000000"/>
          <w:sz w:val="72"/>
          <w:highlight w:val="none"/>
        </w:rPr>
      </w:pPr>
      <w:r>
        <w:rPr>
          <w:rFonts w:hint="eastAsia" w:ascii="宋体" w:hAnsi="宋体" w:eastAsia="宋体" w:cs="Times New Roman"/>
          <w:b/>
          <w:color w:val="000000"/>
          <w:sz w:val="72"/>
          <w:highlight w:val="none"/>
        </w:rPr>
      </w:r>
      <w:r/>
    </w:p>
    <w:p>
      <w:pPr>
        <w:pStyle w:val="953"/>
        <w:jc w:val="center"/>
        <w:spacing w:line="360" w:lineRule="auto"/>
        <w:rPr>
          <w:rFonts w:ascii="宋体" w:hAnsi="宋体" w:eastAsia="宋体" w:cs="Times New Roman"/>
          <w:b/>
          <w:color w:val="000000"/>
          <w:sz w:val="72"/>
          <w:highlight w:val="none"/>
        </w:rPr>
      </w:pPr>
      <w:r>
        <w:rPr>
          <w:rFonts w:hint="eastAsia" w:ascii="宋体" w:hAnsi="宋体" w:eastAsia="宋体" w:cs="Times New Roman"/>
          <w:b/>
          <w:color w:val="000000"/>
          <w:sz w:val="72"/>
          <w:highlight w:val="none"/>
        </w:rPr>
        <w:t xml:space="preserve">太仓市政府采购</w:t>
      </w:r>
      <w:r>
        <w:rPr>
          <w:rFonts w:ascii="宋体" w:hAnsi="宋体" w:eastAsia="宋体" w:cs="Times New Roman"/>
          <w:b/>
          <w:color w:val="000000"/>
          <w:sz w:val="72"/>
          <w:highlight w:val="none"/>
        </w:rPr>
      </w:r>
      <w:r/>
    </w:p>
    <w:p>
      <w:pPr>
        <w:pStyle w:val="953"/>
        <w:jc w:val="center"/>
        <w:spacing w:line="360" w:lineRule="auto"/>
        <w:rPr>
          <w:rFonts w:ascii="宋体" w:hAnsi="宋体" w:eastAsia="宋体" w:cs="Times New Roman"/>
          <w:color w:val="000000"/>
          <w:highlight w:val="none"/>
        </w:rPr>
      </w:pPr>
      <w:r>
        <w:rPr>
          <w:rFonts w:hint="eastAsia" w:ascii="宋体" w:hAnsi="宋体" w:eastAsia="宋体" w:cs="Times New Roman"/>
          <w:b/>
          <w:color w:val="000000"/>
          <w:sz w:val="72"/>
          <w:highlight w:val="none"/>
        </w:rPr>
        <w:t xml:space="preserve">竞争性磋商文件</w:t>
      </w:r>
      <w:r>
        <w:rPr>
          <w:rFonts w:ascii="宋体" w:hAnsi="宋体" w:eastAsia="宋体" w:cs="Times New Roman"/>
          <w:color w:val="000000"/>
          <w:highlight w:val="none"/>
        </w:rPr>
      </w:r>
      <w:r/>
    </w:p>
    <w:p>
      <w:pPr>
        <w:pStyle w:val="953"/>
        <w:ind w:firstLine="630"/>
        <w:spacing w:line="360" w:lineRule="auto"/>
        <w:tabs>
          <w:tab w:val="left" w:pos="3570" w:leader="none"/>
        </w:tabs>
        <w:rPr>
          <w:rFonts w:ascii="宋体" w:hAnsi="宋体" w:eastAsia="宋体" w:cs="Times New Roman"/>
          <w:color w:val="000000"/>
          <w:highlight w:val="none"/>
        </w:rPr>
      </w:pPr>
      <w:r>
        <w:rPr>
          <w:rFonts w:ascii="宋体" w:hAnsi="宋体" w:eastAsia="宋体" w:cs="Times New Roman"/>
          <w:color w:val="000000"/>
          <w:highlight w:val="none"/>
        </w:rPr>
        <w:tab/>
      </w:r>
      <w:r>
        <w:rPr>
          <w:rFonts w:ascii="宋体" w:hAnsi="宋体" w:eastAsia="宋体" w:cs="Times New Roman"/>
          <w:color w:val="000000"/>
          <w:highlight w:val="none"/>
        </w:rPr>
      </w:r>
      <w:r/>
    </w:p>
    <w:p>
      <w:pPr>
        <w:pStyle w:val="953"/>
        <w:ind w:firstLine="630"/>
        <w:spacing w:line="360" w:lineRule="auto"/>
        <w:rPr>
          <w:rFonts w:ascii="宋体" w:hAnsi="宋体" w:eastAsia="宋体" w:cs="Times New Roman"/>
          <w:color w:val="000000"/>
          <w:highlight w:val="none"/>
        </w:rPr>
      </w:pPr>
      <w:r>
        <w:rPr>
          <w:rFonts w:ascii="宋体" w:hAnsi="宋体" w:eastAsia="宋体" w:cs="Times New Roman"/>
          <w:color w:val="000000"/>
          <w:highlight w:val="none"/>
        </w:rPr>
      </w:r>
      <w:r/>
    </w:p>
    <w:p>
      <w:pPr>
        <w:pStyle w:val="953"/>
        <w:ind w:right="1280"/>
        <w:spacing w:line="360" w:lineRule="auto"/>
        <w:rPr>
          <w:rFonts w:ascii="宋体" w:hAnsi="宋体" w:eastAsia="宋体" w:cs="Times New Roman"/>
          <w:color w:val="000000"/>
          <w:sz w:val="32"/>
          <w:highlight w:val="none"/>
        </w:rPr>
      </w:pPr>
      <w:r>
        <w:rPr>
          <w:rFonts w:ascii="宋体" w:hAnsi="宋体" w:eastAsia="宋体" w:cs="Times New Roman"/>
          <w:color w:val="000000"/>
          <w:sz w:val="32"/>
          <w:highlight w:val="none"/>
        </w:rPr>
      </w:r>
      <w:r/>
    </w:p>
    <w:p>
      <w:pPr>
        <w:pStyle w:val="953"/>
        <w:ind w:firstLine="1084"/>
        <w:spacing w:line="360" w:lineRule="auto"/>
        <w:rPr>
          <w:rFonts w:ascii="宋体" w:hAnsi="宋体" w:eastAsia="宋体" w:cs="Times New Roman"/>
          <w:b/>
          <w:color w:val="000000"/>
          <w:sz w:val="36"/>
          <w:szCs w:val="36"/>
          <w:highlight w:val="none"/>
          <w:lang w:val="en-US" w:eastAsia="zh-CN"/>
        </w:rPr>
      </w:pPr>
      <w:r>
        <w:rPr>
          <w:rFonts w:hint="eastAsia" w:ascii="宋体" w:hAnsi="宋体" w:eastAsia="宋体" w:cs="Times New Roman"/>
          <w:b/>
          <w:color w:val="000000"/>
          <w:sz w:val="36"/>
          <w:szCs w:val="36"/>
          <w:highlight w:val="none"/>
        </w:rPr>
        <w:t xml:space="preserve">项目编号：</w:t>
      </w:r>
      <w:r>
        <w:rPr>
          <w:rFonts w:hint="eastAsia" w:ascii="宋体" w:hAnsi="宋体" w:eastAsia="宋体" w:cs="Times New Roman"/>
          <w:b/>
          <w:color w:val="000000"/>
          <w:sz w:val="36"/>
          <w:szCs w:val="36"/>
          <w:highlight w:val="none"/>
          <w:lang w:eastAsia="zh-CN"/>
        </w:rPr>
        <w:t xml:space="preserve">JSZC-320585-SZHZ-C2026-0007</w:t>
      </w:r>
      <w:r>
        <w:rPr>
          <w:rFonts w:ascii="宋体" w:hAnsi="宋体" w:eastAsia="宋体" w:cs="Times New Roman"/>
          <w:b/>
          <w:color w:val="000000"/>
          <w:sz w:val="36"/>
          <w:szCs w:val="36"/>
          <w:highlight w:val="none"/>
          <w:lang w:val="en-US" w:eastAsia="zh-CN"/>
        </w:rPr>
      </w:r>
      <w:r/>
    </w:p>
    <w:p>
      <w:pPr>
        <w:pStyle w:val="953"/>
        <w:ind w:firstLine="1084"/>
        <w:spacing w:line="360" w:lineRule="auto"/>
        <w:rPr>
          <w:rFonts w:hint="eastAsia" w:ascii="宋体" w:hAnsi="宋体" w:eastAsia="宋体" w:cs="Times New Roman"/>
          <w:b/>
          <w:color w:val="000000"/>
          <w:sz w:val="36"/>
          <w:szCs w:val="36"/>
          <w:highlight w:val="none"/>
          <w:lang w:eastAsia="zh-CN"/>
        </w:rPr>
      </w:pPr>
      <w:r>
        <w:rPr>
          <w:rFonts w:hint="eastAsia" w:ascii="宋体" w:hAnsi="宋体" w:eastAsia="宋体" w:cs="Times New Roman"/>
          <w:b/>
          <w:color w:val="000000"/>
          <w:sz w:val="36"/>
          <w:szCs w:val="36"/>
          <w:highlight w:val="none"/>
        </w:rPr>
        <w:t xml:space="preserve">项目名称：</w:t>
      </w:r>
      <w:r>
        <w:rPr>
          <w:rFonts w:hint="eastAsia" w:ascii="宋体" w:hAnsi="宋体" w:eastAsia="宋体" w:cs="Times New Roman"/>
          <w:b/>
          <w:color w:val="000000"/>
          <w:sz w:val="36"/>
          <w:szCs w:val="36"/>
          <w:highlight w:val="none"/>
          <w:lang w:eastAsia="zh-CN"/>
        </w:rPr>
        <w:t xml:space="preserve">2026年太仓市市级财政支出项目等绩效评价管理及监督协审服务</w:t>
      </w:r>
      <w:r>
        <w:rPr>
          <w:rFonts w:hint="eastAsia" w:ascii="宋体" w:hAnsi="宋体" w:eastAsia="宋体" w:cs="Times New Roman"/>
          <w:b/>
          <w:color w:val="000000"/>
          <w:sz w:val="36"/>
          <w:szCs w:val="36"/>
          <w:highlight w:val="none"/>
          <w:lang w:eastAsia="zh-CN"/>
        </w:rPr>
      </w:r>
      <w:r/>
    </w:p>
    <w:p>
      <w:pPr>
        <w:pStyle w:val="953"/>
        <w:ind w:firstLine="1084"/>
        <w:spacing w:line="360" w:lineRule="auto"/>
        <w:rPr>
          <w:rFonts w:hint="eastAsia" w:ascii="宋体" w:hAnsi="宋体" w:eastAsia="宋体" w:cs="Times New Roman"/>
          <w:b/>
          <w:color w:val="000000"/>
          <w:sz w:val="36"/>
          <w:szCs w:val="36"/>
          <w:highlight w:val="none"/>
          <w:lang w:eastAsia="zh-CN"/>
        </w:rPr>
      </w:pPr>
      <w:r>
        <w:rPr>
          <w:rFonts w:hint="eastAsia" w:ascii="宋体" w:hAnsi="宋体" w:eastAsia="宋体" w:cs="Times New Roman"/>
          <w:b/>
          <w:color w:val="000000"/>
          <w:sz w:val="36"/>
          <w:szCs w:val="36"/>
          <w:highlight w:val="none"/>
        </w:rPr>
        <w:t xml:space="preserve">采购单位：太仓市财政局</w:t>
      </w:r>
      <w:r>
        <w:rPr>
          <w:rFonts w:hint="eastAsia" w:ascii="宋体" w:hAnsi="宋体" w:eastAsia="宋体" w:cs="Times New Roman"/>
          <w:b/>
          <w:color w:val="000000"/>
          <w:sz w:val="36"/>
          <w:szCs w:val="36"/>
          <w:highlight w:val="none"/>
          <w:lang w:eastAsia="zh-CN"/>
        </w:rPr>
      </w:r>
      <w:r/>
    </w:p>
    <w:p>
      <w:pPr>
        <w:pStyle w:val="953"/>
        <w:ind w:firstLine="1084"/>
        <w:spacing w:line="360" w:lineRule="auto"/>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采购项目类别：</w:t>
      </w:r>
      <w:r>
        <w:rPr>
          <w:rFonts w:hint="eastAsia" w:ascii="宋体" w:hAnsi="宋体" w:eastAsia="宋体" w:cs="Times New Roman"/>
          <w:b/>
          <w:color w:val="000000"/>
          <w:sz w:val="36"/>
          <w:szCs w:val="36"/>
          <w:highlight w:val="none"/>
          <w:lang w:val="en-US" w:eastAsia="zh-CN"/>
        </w:rPr>
        <w:t xml:space="preserve">服务</w:t>
      </w:r>
      <w:r>
        <w:rPr>
          <w:rFonts w:hint="eastAsia" w:ascii="宋体" w:hAnsi="宋体" w:eastAsia="宋体" w:cs="Times New Roman"/>
          <w:b/>
          <w:color w:val="000000"/>
          <w:sz w:val="36"/>
          <w:szCs w:val="36"/>
          <w:highlight w:val="none"/>
        </w:rPr>
        <w:t xml:space="preserve">类</w:t>
      </w:r>
      <w:r>
        <w:rPr>
          <w:rFonts w:ascii="宋体" w:hAnsi="宋体" w:eastAsia="宋体" w:cs="Times New Roman"/>
          <w:b/>
          <w:color w:val="000000"/>
          <w:sz w:val="36"/>
          <w:szCs w:val="36"/>
          <w:highlight w:val="none"/>
        </w:rPr>
      </w:r>
      <w:r/>
    </w:p>
    <w:p>
      <w:pPr>
        <w:pStyle w:val="953"/>
        <w:ind w:firstLine="1084"/>
        <w:spacing w:line="360" w:lineRule="auto"/>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标的所属行业：租赁和商务服务业</w:t>
      </w:r>
      <w:r>
        <w:rPr>
          <w:rFonts w:ascii="宋体" w:hAnsi="宋体" w:eastAsia="宋体" w:cs="Times New Roman"/>
          <w:b/>
          <w:color w:val="000000"/>
          <w:sz w:val="36"/>
          <w:szCs w:val="36"/>
          <w:highlight w:val="none"/>
        </w:rPr>
        <w:t xml:space="preserve"> </w:t>
      </w:r>
      <w:r>
        <w:rPr>
          <w:rFonts w:ascii="宋体" w:hAnsi="宋体" w:eastAsia="宋体" w:cs="Times New Roman"/>
          <w:b/>
          <w:color w:val="000000"/>
          <w:sz w:val="36"/>
          <w:szCs w:val="36"/>
          <w:highlight w:val="none"/>
        </w:rPr>
      </w:r>
      <w:r/>
    </w:p>
    <w:p>
      <w:pPr>
        <w:pStyle w:val="953"/>
        <w:ind w:firstLine="1084"/>
        <w:spacing w:line="360" w:lineRule="auto"/>
        <w:rPr>
          <w:rFonts w:hint="eastAsia"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r>
      <w:r/>
    </w:p>
    <w:p>
      <w:pPr>
        <w:pStyle w:val="953"/>
        <w:jc w:val="center"/>
        <w:spacing w:line="1320" w:lineRule="exact"/>
        <w:rPr>
          <w:rFonts w:hint="eastAsia" w:eastAsia="黑体"/>
          <w:b/>
          <w:color w:val="000000"/>
          <w:sz w:val="84"/>
          <w:highlight w:val="none"/>
        </w:rPr>
      </w:pPr>
      <w:r>
        <w:rPr>
          <w:rFonts w:hint="eastAsia" w:eastAsia="黑体"/>
          <w:b/>
          <w:color w:val="000000"/>
          <w:sz w:val="84"/>
          <w:highlight w:val="none"/>
        </w:rPr>
      </w:r>
      <w:r/>
    </w:p>
    <w:p>
      <w:pPr>
        <w:pStyle w:val="953"/>
        <w:jc w:val="center"/>
        <w:spacing w:line="360" w:lineRule="auto"/>
        <w:rPr>
          <w:rFonts w:hint="eastAsia" w:ascii="宋体" w:hAnsi="宋体" w:eastAsia="宋体" w:cs="Times New Roman"/>
          <w:color w:val="000000"/>
          <w:sz w:val="36"/>
          <w:szCs w:val="36"/>
          <w:highlight w:val="none"/>
          <w:lang w:eastAsia="zh-CN"/>
        </w:rPr>
      </w:pPr>
      <w:r>
        <w:rPr>
          <w:rFonts w:hint="eastAsia" w:ascii="Times New Roman" w:eastAsia="黑体"/>
          <w:b/>
          <w:color w:val="000000"/>
          <w:szCs w:val="20"/>
          <w:highlight w:val="none"/>
        </w:rPr>
        <w:t xml:space="preserve"> </w:t>
      </w:r>
      <w:r>
        <w:rPr>
          <w:rFonts w:hint="eastAsia" w:ascii="宋体" w:hAnsi="宋体" w:eastAsia="宋体" w:cs="Times New Roman"/>
          <w:color w:val="000000"/>
          <w:sz w:val="36"/>
          <w:szCs w:val="36"/>
          <w:highlight w:val="none"/>
          <w:lang w:eastAsia="zh-CN"/>
        </w:rPr>
        <w:t xml:space="preserve">苏州恒中造价师事务所有限责任公司</w:t>
      </w:r>
      <w:r>
        <w:rPr>
          <w:rFonts w:hint="eastAsia" w:ascii="宋体" w:hAnsi="宋体" w:eastAsia="宋体" w:cs="Times New Roman"/>
          <w:color w:val="000000"/>
          <w:sz w:val="36"/>
          <w:szCs w:val="36"/>
          <w:highlight w:val="none"/>
          <w:lang w:eastAsia="zh-CN"/>
        </w:rPr>
      </w:r>
      <w:r/>
    </w:p>
    <w:p>
      <w:pPr>
        <w:pStyle w:val="953"/>
        <w:jc w:val="center"/>
        <w:spacing w:before="305" w:line="360" w:lineRule="auto"/>
        <w:rPr>
          <w:rFonts w:hint="eastAsia" w:ascii="宋体" w:hAnsi="宋体"/>
          <w:color w:val="000000"/>
          <w:sz w:val="36"/>
          <w:szCs w:val="36"/>
          <w:highlight w:val="none"/>
        </w:rPr>
        <w:sectPr>
          <w:footerReference w:type="first" r:id="rId12"/>
          <w:footnotePr/>
          <w:endnotePr/>
          <w:type w:val="nextPage"/>
          <w:pgSz w:w="11906" w:h="16838" w:orient="portrait"/>
          <w:pgMar w:top="1157" w:right="1236" w:bottom="1157" w:left="1236" w:header="851" w:footer="992" w:gutter="0"/>
          <w:cols w:num="1" w:sep="0" w:space="1701" w:equalWidth="1"/>
          <w:docGrid w:linePitch="360"/>
        </w:sectPr>
      </w:pPr>
      <w:r>
        <w:rPr>
          <w:rFonts w:hint="eastAsia" w:ascii="宋体" w:hAnsi="宋体" w:eastAsia="宋体" w:cs="Times New Roman"/>
          <w:color w:val="000000"/>
          <w:sz w:val="36"/>
          <w:szCs w:val="36"/>
          <w:highlight w:val="none"/>
        </w:rPr>
        <w:t xml:space="preserve">2</w:t>
      </w:r>
      <w:r>
        <w:rPr>
          <w:rFonts w:ascii="宋体" w:hAnsi="宋体" w:eastAsia="宋体" w:cs="Times New Roman"/>
          <w:color w:val="000000"/>
          <w:sz w:val="36"/>
          <w:szCs w:val="36"/>
          <w:highlight w:val="none"/>
        </w:rPr>
        <w:t xml:space="preserve">02</w:t>
      </w:r>
      <w:r>
        <w:rPr>
          <w:rFonts w:hint="eastAsia" w:ascii="宋体" w:hAnsi="宋体" w:eastAsia="宋体" w:cs="Times New Roman"/>
          <w:color w:val="000000"/>
          <w:sz w:val="36"/>
          <w:szCs w:val="36"/>
          <w:highlight w:val="none"/>
          <w:lang w:val="en-US" w:eastAsia="zh-CN"/>
        </w:rPr>
        <w:t xml:space="preserve">6</w:t>
      </w:r>
      <w:r>
        <w:rPr>
          <w:rFonts w:hint="eastAsia" w:ascii="宋体" w:hAnsi="宋体" w:eastAsia="宋体" w:cs="Times New Roman"/>
          <w:color w:val="000000"/>
          <w:sz w:val="36"/>
          <w:szCs w:val="36"/>
          <w:highlight w:val="none"/>
        </w:rPr>
        <w:t xml:space="preserve">年</w:t>
      </w:r>
      <w:r>
        <w:rPr>
          <w:rFonts w:hint="eastAsia" w:ascii="宋体" w:hAnsi="宋体" w:eastAsia="宋体" w:cs="Times New Roman"/>
          <w:color w:val="000000"/>
          <w:sz w:val="36"/>
          <w:szCs w:val="36"/>
          <w:highlight w:val="none"/>
          <w:lang w:val="en-US" w:eastAsia="zh-CN"/>
        </w:rPr>
        <w:t xml:space="preserve">04</w:t>
      </w:r>
      <w:r>
        <w:rPr>
          <w:rFonts w:hint="eastAsia" w:ascii="宋体" w:hAnsi="宋体" w:eastAsia="宋体" w:cs="Times New Roman"/>
          <w:color w:val="000000"/>
          <w:sz w:val="36"/>
          <w:szCs w:val="36"/>
          <w:highlight w:val="none"/>
        </w:rPr>
        <w:t xml:space="preserve">月</w:t>
      </w:r>
      <w:r>
        <w:rPr>
          <w:rFonts w:hint="eastAsia" w:ascii="宋体" w:hAnsi="宋体"/>
          <w:color w:val="000000"/>
          <w:sz w:val="36"/>
          <w:szCs w:val="36"/>
          <w:highlight w:val="none"/>
        </w:rPr>
      </w:r>
      <w:r/>
    </w:p>
    <w:p>
      <w:pPr>
        <w:pStyle w:val="1014"/>
        <w:ind w:left="0"/>
        <w:jc w:val="center"/>
        <w:spacing w:line="240" w:lineRule="auto"/>
        <w:tabs>
          <w:tab w:val="right" w:pos="9022" w:leader="dot"/>
        </w:tabs>
        <w:rPr>
          <w:rFonts w:hint="eastAsia" w:ascii="仿宋" w:hAnsi="仿宋" w:eastAsia="仿宋" w:cs="仿宋"/>
          <w:b/>
          <w:color w:val="000000"/>
          <w:sz w:val="44"/>
          <w:szCs w:val="44"/>
          <w:highlight w:val="none"/>
          <w:lang w:val="en-US" w:eastAsia="zh-CN" w:bidi="ar-SA"/>
        </w:rPr>
      </w:pPr>
      <w:r>
        <w:rPr>
          <w:rFonts w:hint="eastAsia" w:ascii="仿宋" w:hAnsi="仿宋" w:eastAsia="仿宋" w:cs="仿宋"/>
          <w:b/>
          <w:color w:val="000000"/>
          <w:sz w:val="30"/>
          <w:szCs w:val="30"/>
          <w:highlight w:val="none"/>
          <w:lang w:val="en-US" w:eastAsia="zh-CN" w:bidi="ar-SA"/>
        </w:rPr>
        <w:t xml:space="preserve">磋商须知前附表 </w:t>
      </w:r>
      <w:r>
        <w:rPr>
          <w:rFonts w:hint="eastAsia" w:ascii="仿宋" w:hAnsi="仿宋" w:eastAsia="仿宋" w:cs="仿宋"/>
          <w:b/>
          <w:color w:val="000000"/>
          <w:sz w:val="44"/>
          <w:szCs w:val="44"/>
          <w:highlight w:val="none"/>
          <w:lang w:val="en-US" w:eastAsia="zh-CN" w:bidi="ar-SA"/>
        </w:rPr>
        <w:t xml:space="preserve"> </w:t>
      </w:r>
      <w:r>
        <w:rPr>
          <w:rFonts w:hint="eastAsia" w:ascii="仿宋" w:hAnsi="仿宋" w:eastAsia="仿宋" w:cs="仿宋"/>
          <w:b/>
          <w:color w:val="000000"/>
          <w:sz w:val="44"/>
          <w:szCs w:val="44"/>
          <w:highlight w:val="none"/>
          <w:lang w:val="en-US" w:eastAsia="zh-CN" w:bidi="ar-SA"/>
        </w:rPr>
      </w:r>
      <w:r/>
    </w:p>
    <w:tbl>
      <w:tblPr>
        <w:tblW w:w="9298" w:type="dxa"/>
        <w:jc w:val="center"/>
        <w:tblInd w:w="-108" w:type="dxa"/>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546"/>
        <w:gridCol w:w="3205"/>
        <w:gridCol w:w="1470"/>
        <w:gridCol w:w="2311"/>
      </w:tblGrid>
      <w:tr>
        <w:trPr>
          <w:trHeight w:val="492"/>
        </w:trPr>
        <w:tc>
          <w:tcPr>
            <w:tcW w:w="766" w:type="dxa"/>
            <w:vAlign w:val="center"/>
            <w:textDirection w:val="lrTb"/>
            <w:noWrap w:val="false"/>
          </w:tcPr>
          <w:p>
            <w:pPr>
              <w:pStyle w:val="953"/>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序号</w:t>
            </w:r>
            <w:r>
              <w:rPr>
                <w:rFonts w:hint="eastAsia" w:ascii="仿宋" w:hAnsi="仿宋" w:eastAsia="仿宋" w:cs="仿宋"/>
                <w:b/>
                <w:bCs/>
                <w:color w:val="000000"/>
                <w:sz w:val="24"/>
                <w:szCs w:val="24"/>
                <w:highlight w:val="none"/>
              </w:rPr>
            </w:r>
            <w:r/>
          </w:p>
        </w:tc>
        <w:tc>
          <w:tcPr>
            <w:tcW w:w="1546" w:type="dxa"/>
            <w:vAlign w:val="center"/>
            <w:textDirection w:val="lrTb"/>
            <w:noWrap w:val="false"/>
          </w:tcPr>
          <w:p>
            <w:pPr>
              <w:pStyle w:val="953"/>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内容</w:t>
            </w:r>
            <w:r>
              <w:rPr>
                <w:rFonts w:hint="eastAsia" w:ascii="仿宋" w:hAnsi="仿宋" w:eastAsia="仿宋" w:cs="仿宋"/>
                <w:b/>
                <w:bCs/>
                <w:color w:val="000000"/>
                <w:sz w:val="24"/>
                <w:szCs w:val="24"/>
                <w:highlight w:val="none"/>
              </w:rPr>
            </w:r>
            <w:r/>
          </w:p>
        </w:tc>
        <w:tc>
          <w:tcPr>
            <w:gridSpan w:val="3"/>
            <w:tcW w:w="6986" w:type="dxa"/>
            <w:vAlign w:val="center"/>
            <w:textDirection w:val="lrTb"/>
            <w:noWrap w:val="false"/>
          </w:tcPr>
          <w:p>
            <w:pPr>
              <w:pStyle w:val="953"/>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说明与要求</w:t>
            </w:r>
            <w:r>
              <w:rPr>
                <w:rFonts w:hint="eastAsia" w:ascii="仿宋" w:hAnsi="仿宋" w:eastAsia="仿宋" w:cs="仿宋"/>
                <w:b/>
                <w:bCs/>
                <w:color w:val="000000"/>
                <w:sz w:val="24"/>
                <w:szCs w:val="24"/>
                <w:highlight w:val="none"/>
              </w:rPr>
            </w:r>
            <w:r/>
          </w:p>
        </w:tc>
      </w:tr>
      <w:tr>
        <w:trPr>
          <w:cantSplit/>
          <w:trHeight w:val="553"/>
        </w:trPr>
        <w:tc>
          <w:tcPr>
            <w:tcW w:w="766" w:type="dxa"/>
            <w:vAlign w:val="center"/>
            <w:vMerge w:val="restart"/>
            <w:textDirection w:val="lrTb"/>
            <w:noWrap w:val="false"/>
          </w:tcPr>
          <w:p>
            <w:pPr>
              <w:pStyle w:val="953"/>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546" w:type="dxa"/>
            <w:vAlign w:val="center"/>
            <w:textDirection w:val="lrTb"/>
            <w:noWrap w:val="false"/>
          </w:tcPr>
          <w:p>
            <w:pPr>
              <w:pStyle w:val="953"/>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采购内容</w:t>
            </w:r>
            <w:r>
              <w:rPr>
                <w:rFonts w:hint="eastAsia" w:ascii="仿宋" w:hAnsi="仿宋" w:eastAsia="仿宋" w:cs="仿宋"/>
                <w:color w:val="000000"/>
                <w:sz w:val="24"/>
                <w:szCs w:val="24"/>
                <w:highlight w:val="none"/>
              </w:rPr>
            </w:r>
            <w:r/>
          </w:p>
        </w:tc>
        <w:tc>
          <w:tcPr>
            <w:gridSpan w:val="3"/>
            <w:tcW w:w="6986" w:type="dxa"/>
            <w:vAlign w:val="center"/>
            <w:textDirection w:val="lrTb"/>
            <w:noWrap w:val="false"/>
          </w:tcPr>
          <w:p>
            <w:pPr>
              <w:pStyle w:val="953"/>
              <w:jc w:val="center"/>
              <w:spacing w:line="348"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2026年太仓市市级财政支出项目等绩效评价管理及监督协审服务</w:t>
            </w:r>
            <w:r>
              <w:rPr>
                <w:rFonts w:hint="eastAsia" w:ascii="仿宋" w:hAnsi="仿宋" w:eastAsia="仿宋" w:cs="仿宋"/>
                <w:color w:val="000000"/>
                <w:sz w:val="24"/>
                <w:szCs w:val="24"/>
                <w:highlight w:val="none"/>
                <w:lang w:eastAsia="zh-CN"/>
              </w:rPr>
            </w:r>
            <w:r/>
          </w:p>
        </w:tc>
      </w:tr>
      <w:tr>
        <w:trPr>
          <w:cantSplit/>
          <w:trHeight w:val="277"/>
        </w:trPr>
        <w:tc>
          <w:tcPr>
            <w:tcW w:w="766" w:type="dxa"/>
            <w:vAlign w:val="center"/>
            <w:vMerge w:val="continue"/>
            <w:textDirection w:val="lrTb"/>
            <w:noWrap w:val="false"/>
          </w:tcPr>
          <w:p>
            <w:pPr>
              <w:pStyle w:val="953"/>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46" w:type="dxa"/>
            <w:vAlign w:val="center"/>
            <w:textDirection w:val="lrTb"/>
            <w:noWrap w:val="false"/>
          </w:tcPr>
          <w:p>
            <w:pPr>
              <w:pStyle w:val="953"/>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采购方式</w:t>
            </w:r>
            <w:r>
              <w:rPr>
                <w:rFonts w:hint="eastAsia" w:ascii="仿宋" w:hAnsi="仿宋" w:eastAsia="仿宋" w:cs="仿宋"/>
                <w:color w:val="000000"/>
                <w:sz w:val="24"/>
                <w:szCs w:val="24"/>
                <w:highlight w:val="none"/>
              </w:rPr>
            </w:r>
            <w:r/>
          </w:p>
        </w:tc>
        <w:tc>
          <w:tcPr>
            <w:tcW w:w="3205" w:type="dxa"/>
            <w:vAlign w:val="center"/>
            <w:textDirection w:val="lrTb"/>
            <w:noWrap w:val="false"/>
          </w:tcPr>
          <w:p>
            <w:pPr>
              <w:pStyle w:val="953"/>
              <w:jc w:val="center"/>
              <w:spacing w:line="34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竞争性磋商</w:t>
            </w:r>
            <w:r>
              <w:rPr>
                <w:rFonts w:hint="eastAsia" w:ascii="仿宋" w:hAnsi="仿宋" w:eastAsia="仿宋" w:cs="仿宋"/>
                <w:color w:val="000000"/>
                <w:sz w:val="24"/>
                <w:szCs w:val="24"/>
                <w:highlight w:val="none"/>
              </w:rPr>
            </w:r>
            <w:r/>
          </w:p>
        </w:tc>
        <w:tc>
          <w:tcPr>
            <w:tcW w:w="1470" w:type="dxa"/>
            <w:vAlign w:val="center"/>
            <w:textDirection w:val="lrTb"/>
            <w:noWrap w:val="false"/>
          </w:tcPr>
          <w:p>
            <w:pPr>
              <w:pStyle w:val="953"/>
              <w:jc w:val="center"/>
              <w:spacing w:line="34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资金来源</w:t>
            </w:r>
            <w:r>
              <w:rPr>
                <w:rFonts w:hint="eastAsia" w:ascii="仿宋" w:hAnsi="仿宋" w:eastAsia="仿宋" w:cs="仿宋"/>
                <w:color w:val="000000"/>
                <w:sz w:val="24"/>
                <w:szCs w:val="24"/>
                <w:highlight w:val="none"/>
              </w:rPr>
            </w:r>
            <w:r/>
          </w:p>
        </w:tc>
        <w:tc>
          <w:tcPr>
            <w:tcW w:w="2311" w:type="dxa"/>
            <w:vAlign w:val="center"/>
            <w:textDirection w:val="lrTb"/>
            <w:noWrap w:val="false"/>
          </w:tcPr>
          <w:p>
            <w:pPr>
              <w:pStyle w:val="953"/>
              <w:jc w:val="center"/>
              <w:spacing w:line="34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财政资金</w:t>
            </w:r>
            <w:r>
              <w:rPr>
                <w:rFonts w:hint="eastAsia" w:ascii="仿宋" w:hAnsi="仿宋" w:eastAsia="仿宋" w:cs="仿宋"/>
                <w:color w:val="000000"/>
                <w:sz w:val="24"/>
                <w:szCs w:val="24"/>
                <w:highlight w:val="none"/>
              </w:rPr>
            </w:r>
            <w:r/>
          </w:p>
        </w:tc>
      </w:tr>
      <w:tr>
        <w:trPr>
          <w:cantSplit/>
          <w:trHeight w:val="369"/>
        </w:trPr>
        <w:tc>
          <w:tcPr>
            <w:tcW w:w="766" w:type="dxa"/>
            <w:vAlign w:val="center"/>
            <w:vMerge w:val="continue"/>
            <w:textDirection w:val="lrTb"/>
            <w:noWrap w:val="false"/>
          </w:tcPr>
          <w:p>
            <w:pPr>
              <w:pStyle w:val="953"/>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46" w:type="dxa"/>
            <w:vAlign w:val="center"/>
            <w:textDirection w:val="lrTb"/>
            <w:noWrap w:val="false"/>
          </w:tcPr>
          <w:p>
            <w:pPr>
              <w:pStyle w:val="953"/>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服务期限</w:t>
            </w:r>
            <w:r>
              <w:rPr>
                <w:rFonts w:hint="eastAsia" w:ascii="仿宋" w:hAnsi="仿宋" w:eastAsia="仿宋" w:cs="仿宋"/>
                <w:color w:val="000000"/>
                <w:sz w:val="24"/>
                <w:szCs w:val="24"/>
                <w:highlight w:val="none"/>
              </w:rPr>
            </w:r>
            <w:r/>
          </w:p>
        </w:tc>
        <w:tc>
          <w:tcPr>
            <w:gridSpan w:val="3"/>
            <w:tcW w:w="6986" w:type="dxa"/>
            <w:vAlign w:val="center"/>
            <w:textDirection w:val="lrTb"/>
            <w:noWrap w:val="false"/>
          </w:tcPr>
          <w:p>
            <w:pPr>
              <w:pStyle w:val="953"/>
              <w:spacing w:line="400" w:lineRule="atLeas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采购包1成交供应商应在2026年9月30日之前完成服务A、B，并向采购人提交绩效分析报告；在1年内完成服务C；</w:t>
            </w:r>
            <w:r>
              <w:rPr>
                <w:rFonts w:hint="eastAsia" w:ascii="仿宋" w:hAnsi="仿宋" w:eastAsia="仿宋" w:cs="仿宋"/>
                <w:color w:val="000000"/>
                <w:sz w:val="24"/>
                <w:szCs w:val="24"/>
                <w:highlight w:val="none"/>
                <w:lang w:val="en-US" w:eastAsia="zh-CN" w:bidi="ar-SA"/>
              </w:rPr>
            </w:r>
            <w:r/>
          </w:p>
          <w:p>
            <w:pPr>
              <w:pStyle w:val="953"/>
              <w:spacing w:line="400" w:lineRule="atLeas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采购包2、3成交供应商应在2026年9月30日之前完成服务，并向采购人提交绩效分析报告；</w:t>
            </w:r>
            <w:r>
              <w:rPr>
                <w:rFonts w:hint="eastAsia" w:ascii="仿宋" w:hAnsi="仿宋" w:eastAsia="仿宋" w:cs="仿宋"/>
                <w:color w:val="000000"/>
                <w:sz w:val="24"/>
                <w:szCs w:val="24"/>
                <w:highlight w:val="none"/>
                <w:lang w:val="en-US" w:eastAsia="zh-CN" w:bidi="ar-SA"/>
              </w:rPr>
            </w:r>
            <w:r/>
          </w:p>
          <w:p>
            <w:pPr>
              <w:pStyle w:val="953"/>
              <w:spacing w:line="400" w:lineRule="atLeas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采购包4成交供应商应在2026年8月31日之前完成服务，并向采购人提交复核分析报告；</w:t>
            </w:r>
            <w:r>
              <w:rPr>
                <w:rFonts w:hint="eastAsia" w:ascii="仿宋" w:hAnsi="仿宋" w:eastAsia="仿宋" w:cs="仿宋"/>
                <w:color w:val="000000"/>
                <w:sz w:val="24"/>
                <w:szCs w:val="24"/>
                <w:highlight w:val="none"/>
                <w:lang w:val="en-US" w:eastAsia="zh-CN" w:bidi="ar-SA"/>
              </w:rPr>
            </w:r>
            <w:r/>
          </w:p>
          <w:p>
            <w:pPr>
              <w:pStyle w:val="953"/>
              <w:spacing w:line="40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采购包5、6、7成交供应商应在1年内分阶段完成服务。</w:t>
            </w:r>
            <w:r>
              <w:rPr>
                <w:rFonts w:hint="eastAsia" w:ascii="仿宋" w:hAnsi="仿宋" w:eastAsia="仿宋" w:cs="仿宋"/>
                <w:color w:val="000000"/>
                <w:sz w:val="24"/>
                <w:szCs w:val="24"/>
                <w:highlight w:val="none"/>
              </w:rPr>
            </w:r>
            <w:r/>
          </w:p>
        </w:tc>
      </w:tr>
      <w:tr>
        <w:trPr>
          <w:cantSplit/>
          <w:trHeight w:val="611"/>
        </w:trPr>
        <w:tc>
          <w:tcPr>
            <w:tcW w:w="766" w:type="dxa"/>
            <w:vAlign w:val="center"/>
            <w:vMerge w:val="continue"/>
            <w:textDirection w:val="lrTb"/>
            <w:noWrap w:val="false"/>
          </w:tcPr>
          <w:p>
            <w:pPr>
              <w:pStyle w:val="953"/>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46" w:type="dxa"/>
            <w:vAlign w:val="center"/>
            <w:textDirection w:val="lrTb"/>
            <w:noWrap w:val="false"/>
          </w:tcPr>
          <w:p>
            <w:pPr>
              <w:pStyle w:val="953"/>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报价</w:t>
            </w:r>
            <w:r>
              <w:rPr>
                <w:rFonts w:hint="eastAsia" w:ascii="仿宋" w:hAnsi="仿宋" w:eastAsia="仿宋" w:cs="仿宋"/>
                <w:color w:val="000000"/>
                <w:sz w:val="24"/>
                <w:szCs w:val="24"/>
                <w:highlight w:val="none"/>
              </w:rPr>
            </w:r>
            <w:r/>
          </w:p>
        </w:tc>
        <w:tc>
          <w:tcPr>
            <w:gridSpan w:val="3"/>
            <w:tcW w:w="6986" w:type="dxa"/>
            <w:vAlign w:val="center"/>
            <w:textDirection w:val="lrTb"/>
            <w:noWrap w:val="false"/>
          </w:tcPr>
          <w:p>
            <w:pPr>
              <w:pStyle w:val="1021"/>
              <w:ind w:left="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报价包含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仿宋" w:hAnsi="仿宋" w:eastAsia="仿宋" w:cs="仿宋"/>
                <w:color w:val="000000"/>
                <w:sz w:val="24"/>
                <w:szCs w:val="24"/>
                <w:highlight w:val="none"/>
              </w:rPr>
            </w:r>
            <w:r/>
          </w:p>
        </w:tc>
      </w:tr>
      <w:tr>
        <w:trPr>
          <w:trHeight w:val="784"/>
        </w:trPr>
        <w:tc>
          <w:tcPr>
            <w:tcW w:w="766" w:type="dxa"/>
            <w:vAlign w:val="center"/>
            <w:textDirection w:val="lrTb"/>
            <w:noWrap w:val="false"/>
          </w:tcPr>
          <w:p>
            <w:pPr>
              <w:pStyle w:val="953"/>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546" w:type="dxa"/>
            <w:vAlign w:val="center"/>
            <w:textDirection w:val="lrTb"/>
            <w:noWrap w:val="false"/>
          </w:tcPr>
          <w:p>
            <w:pPr>
              <w:pStyle w:val="953"/>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申请人</w:t>
            </w:r>
            <w:r>
              <w:rPr>
                <w:rFonts w:hint="eastAsia" w:ascii="仿宋" w:hAnsi="仿宋" w:eastAsia="仿宋" w:cs="仿宋"/>
                <w:color w:val="000000"/>
                <w:sz w:val="24"/>
                <w:szCs w:val="24"/>
                <w:highlight w:val="none"/>
              </w:rPr>
            </w:r>
            <w:r/>
          </w:p>
          <w:p>
            <w:pPr>
              <w:pStyle w:val="953"/>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主要条件</w:t>
            </w:r>
            <w:r>
              <w:rPr>
                <w:rFonts w:hint="eastAsia" w:ascii="仿宋" w:hAnsi="仿宋" w:eastAsia="仿宋" w:cs="仿宋"/>
                <w:color w:val="000000"/>
                <w:sz w:val="24"/>
                <w:szCs w:val="24"/>
                <w:highlight w:val="none"/>
              </w:rPr>
            </w:r>
            <w:r/>
          </w:p>
        </w:tc>
        <w:tc>
          <w:tcPr>
            <w:gridSpan w:val="3"/>
            <w:tcW w:w="6986" w:type="dxa"/>
            <w:vAlign w:val="center"/>
            <w:textDirection w:val="lrTb"/>
            <w:noWrap w:val="false"/>
          </w:tcPr>
          <w:p>
            <w:pPr>
              <w:pStyle w:val="1021"/>
              <w:ind w:left="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具有独立承担民事责任的能力；</w:t>
            </w:r>
            <w:r>
              <w:rPr>
                <w:rFonts w:hint="eastAsia" w:ascii="仿宋" w:hAnsi="仿宋" w:eastAsia="仿宋" w:cs="仿宋"/>
                <w:color w:val="000000"/>
                <w:sz w:val="24"/>
                <w:szCs w:val="24"/>
                <w:highlight w:val="none"/>
              </w:rPr>
            </w:r>
            <w:r/>
          </w:p>
          <w:p>
            <w:pPr>
              <w:pStyle w:val="1021"/>
              <w:ind w:left="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具有良好的商业信誉和健全的财务会计制度；</w:t>
            </w:r>
            <w:r>
              <w:rPr>
                <w:rFonts w:hint="eastAsia" w:ascii="仿宋" w:hAnsi="仿宋" w:eastAsia="仿宋" w:cs="仿宋"/>
                <w:color w:val="000000"/>
                <w:sz w:val="24"/>
                <w:szCs w:val="24"/>
                <w:highlight w:val="none"/>
              </w:rPr>
            </w:r>
            <w:r/>
          </w:p>
          <w:p>
            <w:pPr>
              <w:pStyle w:val="1021"/>
              <w:ind w:left="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具有履行合同所必需的设备和专业技术能力；</w:t>
            </w:r>
            <w:r>
              <w:rPr>
                <w:rFonts w:hint="eastAsia" w:ascii="仿宋" w:hAnsi="仿宋" w:eastAsia="仿宋" w:cs="仿宋"/>
                <w:color w:val="000000"/>
                <w:sz w:val="24"/>
                <w:szCs w:val="24"/>
                <w:highlight w:val="none"/>
              </w:rPr>
            </w:r>
            <w:r/>
          </w:p>
          <w:p>
            <w:pPr>
              <w:pStyle w:val="1021"/>
              <w:ind w:left="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有依法缴纳税收和社会保障资金的良好记录；</w:t>
            </w:r>
            <w:r>
              <w:rPr>
                <w:rFonts w:hint="eastAsia" w:ascii="仿宋" w:hAnsi="仿宋" w:eastAsia="仿宋" w:cs="仿宋"/>
                <w:color w:val="000000"/>
                <w:sz w:val="24"/>
                <w:szCs w:val="24"/>
                <w:highlight w:val="none"/>
              </w:rPr>
            </w:r>
            <w:r/>
          </w:p>
          <w:p>
            <w:pPr>
              <w:pStyle w:val="1021"/>
              <w:ind w:left="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参加政府采购活动前三年内，在经营活动中没有重大违法记录；</w:t>
            </w:r>
            <w:r>
              <w:rPr>
                <w:rFonts w:hint="eastAsia" w:ascii="仿宋" w:hAnsi="仿宋" w:eastAsia="仿宋" w:cs="仿宋"/>
                <w:color w:val="000000"/>
                <w:sz w:val="24"/>
                <w:szCs w:val="24"/>
                <w:highlight w:val="none"/>
              </w:rPr>
            </w:r>
            <w:r/>
          </w:p>
          <w:p>
            <w:pPr>
              <w:pStyle w:val="1021"/>
              <w:ind w:left="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法律、行政法规规定的其他条件；</w:t>
            </w:r>
            <w:r>
              <w:rPr>
                <w:rFonts w:hint="eastAsia" w:ascii="仿宋" w:hAnsi="仿宋" w:eastAsia="仿宋" w:cs="仿宋"/>
                <w:color w:val="000000"/>
                <w:sz w:val="24"/>
                <w:szCs w:val="24"/>
                <w:highlight w:val="none"/>
              </w:rPr>
            </w:r>
            <w:r/>
          </w:p>
        </w:tc>
      </w:tr>
      <w:tr>
        <w:trPr>
          <w:trHeight w:val="712"/>
        </w:trPr>
        <w:tc>
          <w:tcPr>
            <w:tcW w:w="766" w:type="dxa"/>
            <w:vAlign w:val="center"/>
            <w:textDirection w:val="lrTb"/>
            <w:noWrap w:val="false"/>
          </w:tcPr>
          <w:p>
            <w:pPr>
              <w:pStyle w:val="953"/>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546" w:type="dxa"/>
            <w:vAlign w:val="center"/>
            <w:textDirection w:val="lrTb"/>
            <w:noWrap w:val="false"/>
          </w:tcPr>
          <w:p>
            <w:pPr>
              <w:pStyle w:val="953"/>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采购预算价</w:t>
            </w:r>
            <w:r>
              <w:rPr>
                <w:rFonts w:hint="eastAsia" w:ascii="仿宋" w:hAnsi="仿宋" w:eastAsia="仿宋" w:cs="仿宋"/>
                <w:color w:val="000000"/>
                <w:sz w:val="24"/>
                <w:szCs w:val="24"/>
                <w:highlight w:val="none"/>
              </w:rPr>
            </w:r>
            <w:r/>
          </w:p>
        </w:tc>
        <w:tc>
          <w:tcPr>
            <w:gridSpan w:val="3"/>
            <w:tcW w:w="6986" w:type="dxa"/>
            <w:vAlign w:val="center"/>
            <w:textDirection w:val="lrTb"/>
            <w:noWrap w:val="false"/>
          </w:tcPr>
          <w:p>
            <w:pPr>
              <w:pStyle w:val="1021"/>
              <w:ind w:left="0"/>
              <w:spacing w:line="40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人民币贰佰壹拾伍万元整（2150000.00元），其中采购包1：</w:t>
            </w:r>
            <w:r>
              <w:rPr>
                <w:rFonts w:hint="eastAsia" w:ascii="仿宋" w:hAnsi="仿宋" w:eastAsia="仿宋" w:cs="仿宋"/>
                <w:color w:val="000000"/>
                <w:sz w:val="24"/>
                <w:szCs w:val="24"/>
                <w:highlight w:val="none"/>
                <w:lang w:val="en-US" w:eastAsia="zh-CN"/>
              </w:rPr>
              <w:t xml:space="preserve">50</w:t>
            </w:r>
            <w:r>
              <w:rPr>
                <w:rFonts w:hint="eastAsia" w:ascii="仿宋" w:hAnsi="仿宋" w:eastAsia="仿宋" w:cs="仿宋"/>
                <w:color w:val="000000"/>
                <w:sz w:val="24"/>
                <w:szCs w:val="24"/>
                <w:highlight w:val="none"/>
              </w:rPr>
              <w:t xml:space="preserve">0000.00元,采购包2：</w:t>
            </w:r>
            <w:r>
              <w:rPr>
                <w:rFonts w:hint="eastAsia" w:ascii="仿宋" w:hAnsi="仿宋" w:eastAsia="仿宋" w:cs="仿宋"/>
                <w:color w:val="000000"/>
                <w:sz w:val="24"/>
                <w:szCs w:val="24"/>
                <w:highlight w:val="none"/>
                <w:lang w:val="en-US" w:eastAsia="zh-CN"/>
              </w:rPr>
              <w:t xml:space="preserve">35</w:t>
            </w:r>
            <w:r>
              <w:rPr>
                <w:rFonts w:hint="eastAsia" w:ascii="仿宋" w:hAnsi="仿宋" w:eastAsia="仿宋" w:cs="仿宋"/>
                <w:color w:val="000000"/>
                <w:sz w:val="24"/>
                <w:szCs w:val="24"/>
                <w:highlight w:val="none"/>
              </w:rPr>
              <w:t xml:space="preserve">0000.00元，采购包3：</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rPr>
              <w:t xml:space="preserve">0000.00元，采购包4:</w:t>
            </w:r>
            <w:r>
              <w:rPr>
                <w:rFonts w:hint="eastAsia" w:ascii="仿宋" w:hAnsi="仿宋" w:eastAsia="仿宋" w:cs="仿宋"/>
                <w:color w:val="000000"/>
                <w:sz w:val="24"/>
                <w:szCs w:val="24"/>
                <w:highlight w:val="none"/>
                <w:lang w:val="en-US" w:eastAsia="zh-CN"/>
              </w:rPr>
              <w:t xml:space="preserve">25</w:t>
            </w:r>
            <w:r>
              <w:rPr>
                <w:rFonts w:hint="eastAsia" w:ascii="仿宋" w:hAnsi="仿宋" w:eastAsia="仿宋" w:cs="仿宋"/>
                <w:color w:val="000000"/>
                <w:sz w:val="24"/>
                <w:szCs w:val="24"/>
                <w:highlight w:val="none"/>
              </w:rPr>
              <w:t xml:space="preserve">0000.00元，采购包5：</w:t>
            </w:r>
            <w:r>
              <w:rPr>
                <w:rFonts w:hint="eastAsia" w:ascii="仿宋" w:hAnsi="仿宋" w:eastAsia="仿宋" w:cs="仿宋"/>
                <w:color w:val="000000"/>
                <w:sz w:val="24"/>
                <w:szCs w:val="24"/>
                <w:highlight w:val="none"/>
                <w:lang w:val="en-US" w:eastAsia="zh-CN"/>
              </w:rPr>
              <w:t xml:space="preserve">25</w:t>
            </w:r>
            <w:r>
              <w:rPr>
                <w:rFonts w:hint="eastAsia" w:ascii="仿宋" w:hAnsi="仿宋" w:eastAsia="仿宋" w:cs="仿宋"/>
                <w:color w:val="000000"/>
                <w:sz w:val="24"/>
                <w:szCs w:val="24"/>
                <w:highlight w:val="none"/>
              </w:rPr>
              <w:t xml:space="preserve">0000.00元，采购包6:</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50000.00元，采购包7:</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50000.00元</w:t>
            </w:r>
            <w:r>
              <w:rPr>
                <w:rFonts w:hint="eastAsia" w:ascii="仿宋" w:hAnsi="仿宋" w:eastAsia="仿宋" w:cs="仿宋"/>
                <w:color w:val="000000"/>
                <w:sz w:val="24"/>
                <w:szCs w:val="24"/>
                <w:highlight w:val="none"/>
                <w:lang w:eastAsia="zh-CN"/>
              </w:rPr>
            </w:r>
            <w:r/>
          </w:p>
        </w:tc>
      </w:tr>
      <w:tr>
        <w:trPr>
          <w:trHeight w:val="489"/>
        </w:trPr>
        <w:tc>
          <w:tcPr>
            <w:tcW w:w="766" w:type="dxa"/>
            <w:vAlign w:val="center"/>
            <w:textDirection w:val="lrTb"/>
            <w:noWrap w:val="false"/>
          </w:tcPr>
          <w:p>
            <w:pPr>
              <w:pStyle w:val="953"/>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546" w:type="dxa"/>
            <w:vAlign w:val="center"/>
            <w:textDirection w:val="lrTb"/>
            <w:noWrap w:val="false"/>
          </w:tcPr>
          <w:p>
            <w:pPr>
              <w:pStyle w:val="953"/>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w:t>
            </w:r>
            <w:r>
              <w:rPr>
                <w:rFonts w:hint="eastAsia" w:ascii="仿宋" w:hAnsi="仿宋" w:eastAsia="仿宋" w:cs="仿宋"/>
                <w:color w:val="000000"/>
                <w:sz w:val="24"/>
                <w:szCs w:val="24"/>
                <w:highlight w:val="none"/>
              </w:rPr>
            </w:r>
            <w:r/>
          </w:p>
          <w:p>
            <w:pPr>
              <w:pStyle w:val="953"/>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递交、磋商</w:t>
            </w:r>
            <w:r>
              <w:rPr>
                <w:rFonts w:hint="eastAsia" w:ascii="仿宋" w:hAnsi="仿宋" w:eastAsia="仿宋" w:cs="仿宋"/>
                <w:color w:val="000000"/>
                <w:sz w:val="24"/>
                <w:szCs w:val="24"/>
                <w:highlight w:val="none"/>
              </w:rPr>
            </w:r>
            <w:r/>
          </w:p>
        </w:tc>
        <w:tc>
          <w:tcPr>
            <w:gridSpan w:val="3"/>
            <w:tcW w:w="6986" w:type="dxa"/>
            <w:vAlign w:val="center"/>
            <w:textDirection w:val="lrTb"/>
            <w:noWrap w:val="false"/>
          </w:tcPr>
          <w:p>
            <w:pPr>
              <w:pStyle w:val="1021"/>
              <w:ind w:left="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加密的电子</w:t>
            </w: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上传截止时间：2024年</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月</w:t>
            </w:r>
            <w:r>
              <w:rPr>
                <w:rFonts w:hint="eastAsia" w:ascii="仿宋" w:hAnsi="仿宋" w:eastAsia="仿宋" w:cs="仿宋"/>
                <w:color w:val="000000"/>
                <w:sz w:val="24"/>
                <w:szCs w:val="24"/>
                <w:highlight w:val="none"/>
                <w:lang w:val="en-US" w:eastAsia="zh-CN"/>
              </w:rPr>
              <w:t xml:space="preserve">28</w:t>
            </w:r>
            <w:r>
              <w:rPr>
                <w:rFonts w:hint="eastAsia" w:ascii="仿宋" w:hAnsi="仿宋" w:eastAsia="仿宋" w:cs="仿宋"/>
                <w:color w:val="000000"/>
                <w:sz w:val="24"/>
                <w:szCs w:val="24"/>
                <w:highlight w:val="none"/>
                <w:lang w:eastAsia="zh-CN"/>
              </w:rPr>
              <w:t xml:space="preserve">日</w:t>
            </w:r>
            <w:r>
              <w:rPr>
                <w:rFonts w:hint="eastAsia" w:ascii="仿宋" w:hAnsi="仿宋" w:eastAsia="仿宋" w:cs="仿宋"/>
                <w:color w:val="000000"/>
                <w:sz w:val="24"/>
                <w:szCs w:val="24"/>
                <w:highlight w:val="none"/>
              </w:rPr>
              <w:t xml:space="preserve">09点30分（北京时间） </w:t>
            </w:r>
            <w:r>
              <w:rPr>
                <w:rFonts w:hint="eastAsia" w:ascii="仿宋" w:hAnsi="仿宋" w:eastAsia="仿宋" w:cs="仿宋"/>
                <w:color w:val="000000"/>
                <w:sz w:val="24"/>
                <w:szCs w:val="24"/>
                <w:highlight w:val="none"/>
              </w:rPr>
            </w:r>
            <w:r/>
          </w:p>
          <w:p>
            <w:pPr>
              <w:pStyle w:val="1021"/>
              <w:ind w:left="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开标时间：2024年</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月</w:t>
            </w:r>
            <w:r>
              <w:rPr>
                <w:rFonts w:hint="eastAsia" w:ascii="仿宋" w:hAnsi="仿宋" w:eastAsia="仿宋" w:cs="仿宋"/>
                <w:color w:val="000000"/>
                <w:sz w:val="24"/>
                <w:szCs w:val="24"/>
                <w:highlight w:val="none"/>
                <w:lang w:val="en-US" w:eastAsia="zh-CN"/>
              </w:rPr>
              <w:t xml:space="preserve">28</w:t>
            </w:r>
            <w:r>
              <w:rPr>
                <w:rFonts w:hint="eastAsia" w:ascii="仿宋" w:hAnsi="仿宋" w:eastAsia="仿宋" w:cs="仿宋"/>
                <w:color w:val="000000"/>
                <w:sz w:val="24"/>
                <w:szCs w:val="24"/>
                <w:highlight w:val="none"/>
                <w:lang w:eastAsia="zh-CN"/>
              </w:rPr>
              <w:t xml:space="preserve">日</w:t>
            </w:r>
            <w:r>
              <w:rPr>
                <w:rFonts w:hint="eastAsia" w:ascii="仿宋" w:hAnsi="仿宋" w:eastAsia="仿宋" w:cs="仿宋"/>
                <w:color w:val="000000"/>
                <w:sz w:val="24"/>
                <w:szCs w:val="24"/>
                <w:highlight w:val="none"/>
              </w:rPr>
              <w:t xml:space="preserve">09点30分（北京时间）</w:t>
            </w:r>
            <w:r>
              <w:rPr>
                <w:rFonts w:hint="eastAsia" w:ascii="仿宋" w:hAnsi="仿宋" w:eastAsia="仿宋" w:cs="仿宋"/>
                <w:color w:val="000000"/>
                <w:sz w:val="24"/>
                <w:szCs w:val="24"/>
                <w:highlight w:val="none"/>
              </w:rPr>
            </w:r>
            <w:r/>
          </w:p>
          <w:p>
            <w:pPr>
              <w:pStyle w:val="1021"/>
              <w:ind w:left="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开标地点：网上不见面开标大厅</w:t>
            </w:r>
            <w:r>
              <w:rPr>
                <w:rFonts w:hint="eastAsia" w:ascii="仿宋" w:hAnsi="仿宋" w:eastAsia="仿宋" w:cs="仿宋"/>
                <w:color w:val="000000"/>
                <w:sz w:val="24"/>
                <w:szCs w:val="24"/>
                <w:highlight w:val="none"/>
              </w:rPr>
            </w:r>
            <w:r/>
          </w:p>
        </w:tc>
      </w:tr>
      <w:tr>
        <w:trPr>
          <w:trHeight w:val="575"/>
        </w:trPr>
        <w:tc>
          <w:tcPr>
            <w:tcW w:w="766" w:type="dxa"/>
            <w:vAlign w:val="center"/>
            <w:textDirection w:val="lrTb"/>
            <w:noWrap w:val="false"/>
          </w:tcPr>
          <w:p>
            <w:pPr>
              <w:pStyle w:val="953"/>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1546"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注意事项</w:t>
            </w:r>
            <w:r>
              <w:rPr>
                <w:rFonts w:hint="eastAsia" w:ascii="仿宋" w:hAnsi="仿宋" w:eastAsia="仿宋" w:cs="仿宋"/>
                <w:color w:val="000000"/>
                <w:sz w:val="24"/>
                <w:szCs w:val="24"/>
                <w:highlight w:val="none"/>
              </w:rPr>
            </w:r>
            <w:r/>
          </w:p>
        </w:tc>
        <w:tc>
          <w:tcPr>
            <w:gridSpan w:val="3"/>
            <w:tcW w:w="6986" w:type="dxa"/>
            <w:vAlign w:val="center"/>
            <w:textDirection w:val="lrTb"/>
            <w:noWrap w:val="false"/>
          </w:tcPr>
          <w:p>
            <w:pPr>
              <w:pStyle w:val="953"/>
              <w:jc w:val="left"/>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法定代表人为同一人的不同单位，不得参加同一分包项目投标或未划分分包的同一投标项目投标，违反上述规定的投标作</w:t>
            </w:r>
            <w:r>
              <w:rPr>
                <w:rFonts w:hint="eastAsia" w:ascii="仿宋" w:hAnsi="仿宋" w:eastAsia="仿宋" w:cs="仿宋"/>
                <w:color w:val="000000"/>
                <w:sz w:val="24"/>
                <w:szCs w:val="24"/>
                <w:highlight w:val="none"/>
                <w:lang w:eastAsia="zh-CN"/>
              </w:rPr>
              <w:t xml:space="preserve">无效响应</w:t>
            </w:r>
            <w:r>
              <w:rPr>
                <w:rFonts w:hint="eastAsia" w:ascii="仿宋" w:hAnsi="仿宋" w:eastAsia="仿宋" w:cs="仿宋"/>
                <w:color w:val="000000"/>
                <w:sz w:val="24"/>
                <w:szCs w:val="24"/>
                <w:highlight w:val="none"/>
              </w:rPr>
              <w:t xml:space="preserve">处理。</w:t>
            </w:r>
            <w:r>
              <w:rPr>
                <w:rFonts w:hint="eastAsia" w:ascii="仿宋" w:hAnsi="仿宋" w:eastAsia="仿宋" w:cs="仿宋"/>
                <w:color w:val="000000"/>
                <w:sz w:val="24"/>
                <w:szCs w:val="24"/>
                <w:highlight w:val="none"/>
              </w:rPr>
            </w:r>
            <w:r/>
          </w:p>
        </w:tc>
      </w:tr>
      <w:tr>
        <w:trPr>
          <w:trHeight w:val="722"/>
        </w:trPr>
        <w:tc>
          <w:tcPr>
            <w:tcW w:w="766" w:type="dxa"/>
            <w:vAlign w:val="center"/>
            <w:textDirection w:val="lrTb"/>
            <w:noWrap w:val="false"/>
          </w:tcPr>
          <w:p>
            <w:pPr>
              <w:pStyle w:val="953"/>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W w:w="1546"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导致废标因素</w:t>
            </w:r>
            <w:r>
              <w:rPr>
                <w:rFonts w:hint="eastAsia" w:ascii="仿宋" w:hAnsi="仿宋" w:eastAsia="仿宋" w:cs="仿宋"/>
                <w:color w:val="000000"/>
                <w:sz w:val="24"/>
                <w:szCs w:val="24"/>
                <w:highlight w:val="none"/>
              </w:rPr>
            </w:r>
            <w:r/>
          </w:p>
        </w:tc>
        <w:tc>
          <w:tcPr>
            <w:gridSpan w:val="3"/>
            <w:tcW w:w="6986" w:type="dxa"/>
            <w:vAlign w:val="center"/>
            <w:textDirection w:val="lrTb"/>
            <w:noWrap w:val="false"/>
          </w:tcPr>
          <w:p>
            <w:pPr>
              <w:pStyle w:val="953"/>
              <w:ind w:firstLine="1"/>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出现下列情形之一的，为废标：</w:t>
            </w:r>
            <w:r>
              <w:rPr>
                <w:rFonts w:hint="eastAsia" w:ascii="仿宋" w:hAnsi="仿宋" w:eastAsia="仿宋" w:cs="仿宋"/>
                <w:color w:val="000000"/>
                <w:sz w:val="24"/>
                <w:szCs w:val="24"/>
                <w:highlight w:val="none"/>
              </w:rPr>
            </w:r>
            <w:r/>
          </w:p>
          <w:p>
            <w:pPr>
              <w:pStyle w:val="953"/>
              <w:ind w:firstLine="1"/>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1．符合条件的供应商或者对</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作实质性响应的供应商不足三家的；</w:t>
            </w:r>
            <w:r>
              <w:rPr>
                <w:rFonts w:hint="eastAsia" w:ascii="仿宋" w:hAnsi="仿宋" w:eastAsia="仿宋" w:cs="仿宋"/>
                <w:color w:val="000000"/>
                <w:sz w:val="24"/>
                <w:szCs w:val="24"/>
                <w:highlight w:val="none"/>
              </w:rPr>
            </w:r>
            <w:r/>
          </w:p>
          <w:p>
            <w:pPr>
              <w:pStyle w:val="953"/>
              <w:ind w:firstLine="1"/>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2．出现影响采购公正的违法、违规行为的；</w:t>
            </w:r>
            <w:r>
              <w:rPr>
                <w:rFonts w:hint="eastAsia" w:ascii="仿宋" w:hAnsi="仿宋" w:eastAsia="仿宋" w:cs="仿宋"/>
                <w:color w:val="000000"/>
                <w:sz w:val="24"/>
                <w:szCs w:val="24"/>
                <w:highlight w:val="none"/>
              </w:rPr>
            </w:r>
            <w:r/>
          </w:p>
          <w:p>
            <w:pPr>
              <w:pStyle w:val="953"/>
              <w:ind w:firstLine="1"/>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3．供应商的报价均超过了采购预算，采购人不能支付的；</w:t>
            </w:r>
            <w:r>
              <w:rPr>
                <w:rFonts w:hint="eastAsia" w:ascii="仿宋" w:hAnsi="仿宋" w:eastAsia="仿宋" w:cs="仿宋"/>
                <w:color w:val="000000"/>
                <w:sz w:val="24"/>
                <w:szCs w:val="24"/>
                <w:highlight w:val="none"/>
              </w:rPr>
            </w:r>
            <w:r/>
          </w:p>
          <w:p>
            <w:pPr>
              <w:pStyle w:val="953"/>
              <w:ind w:firstLine="1"/>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4．因重大变故，采购任务取消的。</w:t>
            </w:r>
            <w:r>
              <w:rPr>
                <w:rFonts w:hint="eastAsia" w:ascii="仿宋" w:hAnsi="仿宋" w:eastAsia="仿宋" w:cs="仿宋"/>
                <w:color w:val="000000"/>
                <w:sz w:val="24"/>
                <w:szCs w:val="24"/>
                <w:highlight w:val="none"/>
              </w:rPr>
            </w:r>
            <w:r/>
          </w:p>
        </w:tc>
      </w:tr>
      <w:tr>
        <w:trPr>
          <w:trHeight w:val="699"/>
        </w:trPr>
        <w:tc>
          <w:tcPr>
            <w:tcW w:w="766" w:type="dxa"/>
            <w:vAlign w:val="center"/>
            <w:textDirection w:val="lrTb"/>
            <w:noWrap w:val="false"/>
          </w:tcPr>
          <w:p>
            <w:pPr>
              <w:pStyle w:val="953"/>
              <w:jc w:val="center"/>
              <w:spacing w:line="46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en-US" w:eastAsia="zh-CN" w:bidi="ar-SA"/>
              </w:rPr>
            </w:r>
            <w:r/>
          </w:p>
        </w:tc>
        <w:tc>
          <w:tcPr>
            <w:tcW w:w="1546"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导致无效标</w:t>
            </w:r>
            <w:r>
              <w:rPr>
                <w:rFonts w:hint="eastAsia" w:ascii="仿宋" w:hAnsi="仿宋" w:eastAsia="仿宋" w:cs="仿宋"/>
                <w:color w:val="000000"/>
                <w:sz w:val="24"/>
                <w:szCs w:val="24"/>
                <w:highlight w:val="none"/>
              </w:rPr>
            </w:r>
            <w:r/>
          </w:p>
          <w:p>
            <w:pPr>
              <w:pStyle w:val="953"/>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因素</w:t>
            </w:r>
            <w:r>
              <w:rPr>
                <w:rFonts w:hint="eastAsia" w:ascii="仿宋" w:hAnsi="仿宋" w:eastAsia="仿宋" w:cs="仿宋"/>
                <w:color w:val="000000"/>
                <w:sz w:val="24"/>
                <w:szCs w:val="24"/>
                <w:highlight w:val="none"/>
                <w:lang w:val="en-US" w:eastAsia="zh-CN" w:bidi="ar-SA"/>
              </w:rPr>
            </w:r>
            <w:r/>
          </w:p>
        </w:tc>
        <w:tc>
          <w:tcPr>
            <w:gridSpan w:val="3"/>
            <w:tcW w:w="6986" w:type="dxa"/>
            <w:vAlign w:val="center"/>
            <w:textDirection w:val="lrTb"/>
            <w:noWrap w:val="false"/>
          </w:tcPr>
          <w:p>
            <w:pPr>
              <w:pStyle w:val="953"/>
              <w:ind w:firstLine="1"/>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属下列情况之一的，在资格性、符合性检查时按照</w:t>
            </w:r>
            <w:r>
              <w:rPr>
                <w:rFonts w:hint="eastAsia" w:ascii="仿宋" w:hAnsi="仿宋" w:eastAsia="仿宋" w:cs="仿宋"/>
                <w:color w:val="000000"/>
                <w:sz w:val="24"/>
                <w:szCs w:val="24"/>
                <w:highlight w:val="none"/>
                <w:lang w:eastAsia="zh-CN"/>
              </w:rPr>
              <w:t xml:space="preserve">无效响应</w:t>
            </w:r>
            <w:r>
              <w:rPr>
                <w:rFonts w:hint="eastAsia" w:ascii="仿宋" w:hAnsi="仿宋" w:eastAsia="仿宋" w:cs="仿宋"/>
                <w:color w:val="000000"/>
                <w:sz w:val="24"/>
                <w:szCs w:val="24"/>
                <w:highlight w:val="none"/>
              </w:rPr>
              <w:t xml:space="preserve">处理：</w:t>
            </w:r>
            <w:r>
              <w:rPr>
                <w:rFonts w:hint="eastAsia" w:ascii="仿宋" w:hAnsi="仿宋" w:eastAsia="仿宋" w:cs="仿宋"/>
                <w:color w:val="000000"/>
                <w:sz w:val="24"/>
                <w:szCs w:val="24"/>
                <w:highlight w:val="none"/>
              </w:rPr>
            </w:r>
            <w:r/>
          </w:p>
          <w:p>
            <w:pPr>
              <w:pStyle w:val="953"/>
              <w:ind w:firstLine="1"/>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未按</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要求签署、盖章或电子签章的；</w:t>
            </w:r>
            <w:r>
              <w:rPr>
                <w:rFonts w:hint="eastAsia" w:ascii="仿宋" w:hAnsi="仿宋" w:eastAsia="仿宋" w:cs="仿宋"/>
                <w:color w:val="000000"/>
                <w:sz w:val="24"/>
                <w:szCs w:val="24"/>
                <w:highlight w:val="none"/>
              </w:rPr>
            </w:r>
            <w:r/>
          </w:p>
          <w:p>
            <w:pPr>
              <w:pStyle w:val="953"/>
              <w:ind w:firstLine="1"/>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2不具备</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中规定的资格要求的；</w:t>
            </w:r>
            <w:r>
              <w:rPr>
                <w:rFonts w:hint="eastAsia" w:ascii="仿宋" w:hAnsi="仿宋" w:eastAsia="仿宋" w:cs="仿宋"/>
                <w:color w:val="000000"/>
                <w:sz w:val="24"/>
                <w:szCs w:val="24"/>
                <w:highlight w:val="none"/>
              </w:rPr>
            </w:r>
            <w:r/>
          </w:p>
          <w:p>
            <w:pPr>
              <w:pStyle w:val="953"/>
              <w:ind w:firstLine="1"/>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3报价超过</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中规定的预算金额或者最高限价的；</w:t>
            </w:r>
            <w:r>
              <w:rPr>
                <w:rFonts w:hint="eastAsia" w:ascii="仿宋" w:hAnsi="仿宋" w:eastAsia="仿宋" w:cs="仿宋"/>
                <w:color w:val="000000"/>
                <w:sz w:val="24"/>
                <w:szCs w:val="24"/>
                <w:highlight w:val="none"/>
              </w:rPr>
            </w:r>
            <w:r/>
          </w:p>
          <w:p>
            <w:pPr>
              <w:pStyle w:val="953"/>
              <w:ind w:firstLine="1"/>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4不同</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使用同一台电脑编制的；</w:t>
            </w:r>
            <w:r>
              <w:rPr>
                <w:rFonts w:hint="eastAsia" w:ascii="仿宋" w:hAnsi="仿宋" w:eastAsia="仿宋" w:cs="仿宋"/>
                <w:color w:val="000000"/>
                <w:sz w:val="24"/>
                <w:szCs w:val="24"/>
                <w:highlight w:val="none"/>
              </w:rPr>
            </w:r>
            <w:r/>
          </w:p>
          <w:p>
            <w:pPr>
              <w:pStyle w:val="953"/>
              <w:ind w:firstLine="1"/>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含有采购人不能接受的附加条件的；</w:t>
            </w:r>
            <w:r>
              <w:rPr>
                <w:rFonts w:hint="eastAsia" w:ascii="仿宋" w:hAnsi="仿宋" w:eastAsia="仿宋" w:cs="仿宋"/>
                <w:color w:val="000000"/>
                <w:sz w:val="24"/>
                <w:szCs w:val="24"/>
                <w:highlight w:val="none"/>
              </w:rPr>
            </w:r>
            <w:r/>
          </w:p>
          <w:p>
            <w:pPr>
              <w:pStyle w:val="953"/>
              <w:ind w:firstLine="1"/>
              <w:spacing w:line="460" w:lineRule="exact"/>
              <w:rPr>
                <w:rFonts w:hint="eastAsia" w:ascii="仿宋" w:hAnsi="仿宋" w:eastAsia="仿宋" w:cs="仿宋"/>
                <w:color w:val="000000"/>
                <w:sz w:val="24"/>
                <w:szCs w:val="24"/>
                <w:highlight w:val="none"/>
                <w:lang w:val="zh-CN" w:eastAsia="zh-CN" w:bidi="ar-SA"/>
              </w:rPr>
            </w:pPr>
            <w:r>
              <w:rPr>
                <w:rFonts w:hint="eastAsia" w:ascii="仿宋" w:hAnsi="仿宋" w:eastAsia="仿宋" w:cs="仿宋"/>
                <w:color w:val="000000"/>
                <w:sz w:val="24"/>
                <w:szCs w:val="24"/>
                <w:highlight w:val="none"/>
              </w:rPr>
              <w:t xml:space="preserve">6法律、法规和</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规定的其他无效情形。</w:t>
            </w:r>
            <w:r>
              <w:rPr>
                <w:rFonts w:hint="eastAsia" w:ascii="仿宋" w:hAnsi="仿宋" w:eastAsia="仿宋" w:cs="仿宋"/>
                <w:color w:val="000000"/>
                <w:sz w:val="24"/>
                <w:szCs w:val="24"/>
                <w:highlight w:val="none"/>
                <w:lang w:val="zh-CN" w:eastAsia="zh-CN" w:bidi="ar-SA"/>
              </w:rPr>
            </w:r>
            <w:r/>
          </w:p>
        </w:tc>
      </w:tr>
    </w:tbl>
    <w:p>
      <w:pPr>
        <w:pStyle w:val="953"/>
        <w:rPr>
          <w:rFonts w:hint="eastAsia" w:ascii="宋体" w:hAnsi="宋体"/>
          <w:color w:val="000000"/>
          <w:highlight w:val="none"/>
        </w:rPr>
      </w:pPr>
      <w:r>
        <w:rPr>
          <w:rFonts w:hint="eastAsia" w:ascii="宋体" w:hAnsi="宋体"/>
          <w:color w:val="000000"/>
          <w:highlight w:val="none"/>
        </w:rPr>
      </w:r>
      <w:r/>
    </w:p>
    <w:p>
      <w:pPr>
        <w:pStyle w:val="979"/>
        <w:ind w:firstLine="1044"/>
        <w:jc w:val="center"/>
        <w:rPr>
          <w:rFonts w:ascii="宋体" w:hAnsi="宋体"/>
          <w:b/>
          <w:color w:val="000000"/>
          <w:sz w:val="52"/>
          <w:highlight w:val="none"/>
        </w:rPr>
      </w:pPr>
      <w:r>
        <w:rPr>
          <w:rFonts w:ascii="宋体" w:hAnsi="宋体"/>
          <w:b/>
          <w:color w:val="000000"/>
          <w:sz w:val="52"/>
          <w:highlight w:val="none"/>
        </w:rPr>
      </w:r>
      <w:r/>
    </w:p>
    <w:p>
      <w:pPr>
        <w:pStyle w:val="979"/>
        <w:ind w:firstLine="1044"/>
        <w:jc w:val="center"/>
        <w:rPr>
          <w:rFonts w:ascii="宋体" w:hAnsi="宋体"/>
          <w:b/>
          <w:color w:val="000000"/>
          <w:sz w:val="52"/>
          <w:highlight w:val="none"/>
        </w:rPr>
      </w:pPr>
      <w:r>
        <w:rPr>
          <w:rFonts w:ascii="宋体" w:hAnsi="宋体"/>
          <w:b/>
          <w:color w:val="000000"/>
          <w:sz w:val="52"/>
          <w:highlight w:val="none"/>
        </w:rPr>
      </w:r>
      <w:r/>
    </w:p>
    <w:p>
      <w:pPr>
        <w:pStyle w:val="979"/>
        <w:ind w:firstLine="1044"/>
        <w:jc w:val="center"/>
        <w:rPr>
          <w:rFonts w:ascii="宋体" w:hAnsi="宋体"/>
          <w:b/>
          <w:color w:val="000000"/>
          <w:sz w:val="52"/>
          <w:highlight w:val="none"/>
        </w:rPr>
      </w:pPr>
      <w:r>
        <w:rPr>
          <w:rFonts w:ascii="宋体" w:hAnsi="宋体"/>
          <w:b/>
          <w:color w:val="000000"/>
          <w:sz w:val="52"/>
          <w:highlight w:val="none"/>
        </w:rPr>
      </w:r>
      <w:r/>
    </w:p>
    <w:p>
      <w:pPr>
        <w:pStyle w:val="953"/>
        <w:rPr>
          <w:rFonts w:ascii="宋体" w:hAnsi="宋体"/>
          <w:b/>
          <w:color w:val="000000"/>
          <w:sz w:val="52"/>
          <w:highlight w:val="none"/>
        </w:rPr>
      </w:pPr>
      <w:r>
        <w:rPr>
          <w:rFonts w:ascii="宋体" w:hAnsi="宋体"/>
          <w:b/>
          <w:color w:val="000000"/>
          <w:sz w:val="52"/>
          <w:highlight w:val="none"/>
        </w:rPr>
      </w:r>
      <w:r/>
    </w:p>
    <w:p>
      <w:pPr>
        <w:pStyle w:val="953"/>
        <w:rPr>
          <w:rFonts w:ascii="宋体" w:hAnsi="宋体"/>
          <w:b/>
          <w:color w:val="000000"/>
          <w:sz w:val="52"/>
          <w:highlight w:val="none"/>
        </w:rPr>
      </w:pPr>
      <w:r>
        <w:rPr>
          <w:rFonts w:ascii="宋体" w:hAnsi="宋体"/>
          <w:b/>
          <w:color w:val="000000"/>
          <w:sz w:val="52"/>
          <w:highlight w:val="none"/>
        </w:rPr>
      </w:r>
      <w:r/>
    </w:p>
    <w:p>
      <w:pPr>
        <w:pStyle w:val="953"/>
        <w:rPr>
          <w:rFonts w:ascii="宋体" w:hAnsi="宋体"/>
          <w:b/>
          <w:color w:val="000000"/>
          <w:sz w:val="52"/>
          <w:highlight w:val="none"/>
        </w:rPr>
      </w:pPr>
      <w:r>
        <w:rPr>
          <w:rFonts w:ascii="宋体" w:hAnsi="宋体"/>
          <w:b/>
          <w:color w:val="000000"/>
          <w:sz w:val="52"/>
          <w:highlight w:val="none"/>
        </w:rPr>
      </w:r>
      <w:r/>
    </w:p>
    <w:p>
      <w:pPr>
        <w:pStyle w:val="979"/>
        <w:ind w:firstLine="1044"/>
        <w:jc w:val="center"/>
        <w:rPr>
          <w:rFonts w:hint="eastAsia" w:ascii="宋体" w:hAnsi="宋体"/>
          <w:b/>
          <w:color w:val="000000"/>
          <w:sz w:val="52"/>
          <w:highlight w:val="none"/>
        </w:rPr>
      </w:pPr>
      <w:r>
        <w:rPr>
          <w:rFonts w:hint="eastAsia" w:ascii="宋体" w:hAnsi="宋体"/>
          <w:b/>
          <w:color w:val="000000"/>
          <w:sz w:val="52"/>
          <w:highlight w:val="none"/>
        </w:rPr>
      </w:r>
      <w:r/>
    </w:p>
    <w:p>
      <w:pPr>
        <w:pStyle w:val="979"/>
        <w:ind w:firstLine="1044"/>
        <w:jc w:val="center"/>
        <w:rPr>
          <w:rFonts w:hint="eastAsia" w:ascii="宋体" w:hAnsi="宋体"/>
          <w:b/>
          <w:color w:val="000000"/>
          <w:sz w:val="52"/>
          <w:highlight w:val="none"/>
        </w:rPr>
      </w:pPr>
      <w:r>
        <w:rPr>
          <w:rFonts w:hint="eastAsia" w:ascii="宋体" w:hAnsi="宋体"/>
          <w:b/>
          <w:color w:val="000000"/>
          <w:sz w:val="52"/>
          <w:highlight w:val="none"/>
        </w:rPr>
      </w:r>
      <w:r/>
    </w:p>
    <w:p>
      <w:pPr>
        <w:pStyle w:val="979"/>
        <w:ind w:firstLine="0"/>
        <w:jc w:val="center"/>
        <w:rPr>
          <w:rFonts w:hint="eastAsia" w:ascii="仿宋" w:hAnsi="仿宋" w:eastAsia="仿宋" w:cs="仿宋"/>
          <w:b/>
          <w:color w:val="000000"/>
          <w:sz w:val="52"/>
          <w:highlight w:val="none"/>
        </w:rPr>
      </w:pPr>
      <w:r>
        <w:rPr>
          <w:rFonts w:hint="eastAsia" w:ascii="仿宋" w:hAnsi="仿宋" w:eastAsia="仿宋" w:cs="仿宋"/>
          <w:b/>
          <w:color w:val="000000"/>
          <w:sz w:val="52"/>
          <w:highlight w:val="none"/>
        </w:rPr>
        <w:t xml:space="preserve">目</w:t>
      </w:r>
      <w:r>
        <w:rPr>
          <w:rFonts w:hint="eastAsia" w:ascii="仿宋" w:hAnsi="仿宋" w:eastAsia="仿宋" w:cs="仿宋"/>
          <w:b/>
          <w:color w:val="000000"/>
          <w:sz w:val="52"/>
          <w:highlight w:val="none"/>
          <w:lang w:val="en-US" w:eastAsia="zh-CN"/>
        </w:rPr>
        <w:t xml:space="preserve"> </w:t>
      </w:r>
      <w:r>
        <w:rPr>
          <w:rFonts w:hint="eastAsia" w:ascii="仿宋" w:hAnsi="仿宋" w:eastAsia="仿宋" w:cs="仿宋"/>
          <w:b/>
          <w:color w:val="000000"/>
          <w:sz w:val="52"/>
          <w:highlight w:val="none"/>
        </w:rPr>
        <w:t xml:space="preserve">录</w:t>
      </w:r>
      <w:r>
        <w:rPr>
          <w:rFonts w:hint="eastAsia" w:ascii="仿宋" w:hAnsi="仿宋" w:eastAsia="仿宋" w:cs="仿宋"/>
          <w:b/>
          <w:color w:val="000000"/>
          <w:sz w:val="52"/>
          <w:highlight w:val="none"/>
        </w:rPr>
      </w:r>
      <w:r/>
    </w:p>
    <w:p>
      <w:pPr>
        <w:pStyle w:val="953"/>
        <w:ind w:left="0" w:right="0" w:firstLine="0"/>
        <w:jc w:val="center"/>
        <w:spacing w:before="0" w:after="0" w:line="240" w:lineRule="auto"/>
        <w:rPr>
          <w:rFonts w:hint="eastAsia" w:ascii="仿宋" w:hAnsi="仿宋" w:eastAsia="仿宋" w:cs="仿宋"/>
          <w:highlight w:val="none"/>
        </w:rPr>
      </w:pPr>
      <w:r>
        <w:rPr>
          <w:rFonts w:hint="eastAsia" w:ascii="仿宋" w:hAnsi="仿宋" w:eastAsia="仿宋" w:cs="仿宋"/>
          <w:highlight w:val="none"/>
        </w:rPr>
      </w:r>
      <w:r/>
    </w:p>
    <w:p>
      <w:pPr>
        <w:pStyle w:val="1014"/>
        <w:tabs>
          <w:tab w:val="right" w:pos="8306" w:leader="dot"/>
        </w:tabs>
        <w:rPr>
          <w:rFonts w:hint="eastAsia" w:ascii="仿宋" w:hAnsi="仿宋" w:eastAsia="仿宋" w:cs="仿宋"/>
          <w:sz w:val="28"/>
          <w:szCs w:val="28"/>
          <w:highlight w:val="none"/>
        </w:rPr>
      </w:pPr>
      <w:r>
        <w:rPr>
          <w:rFonts w:hint="eastAsia" w:ascii="仿宋" w:hAnsi="仿宋" w:eastAsia="仿宋" w:cs="仿宋"/>
          <w:b/>
          <w:color w:val="000000"/>
          <w:sz w:val="28"/>
          <w:szCs w:val="28"/>
          <w:highlight w:val="none"/>
        </w:rPr>
        <w:fldChar w:fldCharType="begin"/>
      </w:r>
      <w:r>
        <w:rPr>
          <w:rFonts w:hint="eastAsia" w:ascii="仿宋" w:hAnsi="仿宋" w:eastAsia="仿宋" w:cs="仿宋"/>
          <w:b/>
          <w:color w:val="000000"/>
          <w:sz w:val="28"/>
          <w:szCs w:val="28"/>
          <w:highlight w:val="none"/>
        </w:rPr>
        <w:instrText xml:space="preserve">TOC \o "1-1" \h \u </w:instrText>
      </w:r>
      <w:r>
        <w:rPr>
          <w:rFonts w:hint="eastAsia" w:ascii="仿宋" w:hAnsi="仿宋" w:eastAsia="仿宋" w:cs="仿宋"/>
          <w:b/>
          <w:color w:val="000000"/>
          <w:sz w:val="28"/>
          <w:szCs w:val="28"/>
          <w:highlight w:val="none"/>
        </w:rPr>
        <w:fldChar w:fldCharType="separate"/>
      </w:r>
      <w:r>
        <w:rPr>
          <w:rFonts w:hint="eastAsia" w:ascii="仿宋" w:hAnsi="仿宋" w:eastAsia="仿宋" w:cs="仿宋"/>
          <w:color w:val="000000"/>
          <w:sz w:val="28"/>
          <w:szCs w:val="28"/>
          <w:highlight w:val="none"/>
        </w:rPr>
        <w:fldChar w:fldCharType="begin"/>
      </w:r>
      <w:r>
        <w:rPr>
          <w:rFonts w:hint="eastAsia" w:ascii="仿宋" w:hAnsi="仿宋" w:eastAsia="仿宋" w:cs="仿宋"/>
          <w:sz w:val="28"/>
          <w:szCs w:val="28"/>
          <w:highlight w:val="none"/>
        </w:rPr>
        <w:instrText xml:space="preserve"> HYPERLINK \l _Toc17512 </w:instrText>
      </w:r>
      <w:r>
        <w:rPr>
          <w:rFonts w:hint="eastAsia" w:ascii="仿宋" w:hAnsi="仿宋" w:eastAsia="仿宋" w:cs="仿宋"/>
          <w:sz w:val="28"/>
          <w:szCs w:val="28"/>
          <w:highlight w:val="none"/>
        </w:rPr>
        <w:fldChar w:fldCharType="separate"/>
      </w:r>
      <w:r>
        <w:rPr>
          <w:rFonts w:hint="eastAsia" w:ascii="仿宋" w:hAnsi="仿宋" w:eastAsia="仿宋" w:cs="仿宋"/>
          <w:bCs/>
          <w:sz w:val="28"/>
          <w:szCs w:val="28"/>
          <w:highlight w:val="none"/>
          <w:lang w:eastAsia="zh-CN"/>
        </w:rPr>
        <w:t xml:space="preserve">第一章</w:t>
      </w:r>
      <w:r>
        <w:rPr>
          <w:rFonts w:hint="eastAsia" w:ascii="仿宋" w:hAnsi="仿宋" w:eastAsia="仿宋" w:cs="仿宋"/>
          <w:bCs/>
          <w:sz w:val="28"/>
          <w:szCs w:val="28"/>
          <w:highlight w:val="none"/>
          <w:lang w:val="en-US" w:eastAsia="zh-CN"/>
        </w:rPr>
        <w:t xml:space="preserve"> 磋商邀请函</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_Toc17512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5</w:t>
      </w:r>
      <w:r>
        <w:rPr>
          <w:rFonts w:hint="eastAsia" w:ascii="仿宋" w:hAnsi="仿宋" w:eastAsia="仿宋" w:cs="仿宋"/>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sz w:val="28"/>
          <w:szCs w:val="28"/>
          <w:highlight w:val="none"/>
        </w:rPr>
      </w:r>
      <w:r/>
    </w:p>
    <w:p>
      <w:pPr>
        <w:pStyle w:val="1014"/>
        <w:tabs>
          <w:tab w:val="right" w:pos="8306" w:leader="dot"/>
        </w:tabs>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sz w:val="28"/>
          <w:szCs w:val="28"/>
          <w:highlight w:val="none"/>
        </w:rPr>
        <w:instrText xml:space="preserve"> HYPERLINK \l _Toc1483 </w:instrText>
      </w:r>
      <w:r>
        <w:rPr>
          <w:rFonts w:hint="eastAsia" w:ascii="仿宋" w:hAnsi="仿宋" w:eastAsia="仿宋" w:cs="仿宋"/>
          <w:sz w:val="28"/>
          <w:szCs w:val="28"/>
          <w:highlight w:val="none"/>
        </w:rPr>
        <w:fldChar w:fldCharType="separate"/>
      </w:r>
      <w:r>
        <w:rPr>
          <w:rFonts w:hint="eastAsia" w:ascii="仿宋" w:hAnsi="仿宋" w:eastAsia="仿宋" w:cs="仿宋"/>
          <w:bCs/>
          <w:sz w:val="28"/>
          <w:szCs w:val="28"/>
          <w:highlight w:val="none"/>
          <w:lang w:val="en-US" w:eastAsia="zh-CN"/>
        </w:rPr>
        <w:t xml:space="preserve">第二章 磋商须知</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_Toc1483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12</w:t>
      </w:r>
      <w:r>
        <w:rPr>
          <w:rFonts w:hint="eastAsia" w:ascii="仿宋" w:hAnsi="仿宋" w:eastAsia="仿宋" w:cs="仿宋"/>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sz w:val="28"/>
          <w:szCs w:val="28"/>
          <w:highlight w:val="none"/>
        </w:rPr>
      </w:r>
      <w:r/>
    </w:p>
    <w:p>
      <w:pPr>
        <w:pStyle w:val="1014"/>
        <w:tabs>
          <w:tab w:val="right" w:pos="8306" w:leader="dot"/>
        </w:tabs>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sz w:val="28"/>
          <w:szCs w:val="28"/>
          <w:highlight w:val="none"/>
        </w:rPr>
        <w:instrText xml:space="preserve"> HYPERLINK \l _Toc9247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第三章 响应文件格式</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_Toc9247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20</w:t>
      </w:r>
      <w:r>
        <w:rPr>
          <w:rFonts w:hint="eastAsia" w:ascii="仿宋" w:hAnsi="仿宋" w:eastAsia="仿宋" w:cs="仿宋"/>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sz w:val="28"/>
          <w:szCs w:val="28"/>
          <w:highlight w:val="none"/>
        </w:rPr>
      </w:r>
      <w:r/>
    </w:p>
    <w:p>
      <w:pPr>
        <w:pStyle w:val="1014"/>
        <w:tabs>
          <w:tab w:val="right" w:pos="8306" w:leader="dot"/>
        </w:tabs>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sz w:val="28"/>
          <w:szCs w:val="28"/>
          <w:highlight w:val="none"/>
        </w:rPr>
        <w:instrText xml:space="preserve"> HYPERLINK \l _Toc19931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第四章 采购内容</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_Toc19931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33</w:t>
      </w:r>
      <w:r>
        <w:rPr>
          <w:rFonts w:hint="eastAsia" w:ascii="仿宋" w:hAnsi="仿宋" w:eastAsia="仿宋" w:cs="仿宋"/>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sz w:val="28"/>
          <w:szCs w:val="28"/>
          <w:highlight w:val="none"/>
        </w:rPr>
      </w:r>
      <w:r/>
    </w:p>
    <w:p>
      <w:pPr>
        <w:pStyle w:val="1014"/>
        <w:tabs>
          <w:tab w:val="right" w:pos="8306" w:leader="dot"/>
        </w:tabs>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sz w:val="28"/>
          <w:szCs w:val="28"/>
          <w:highlight w:val="none"/>
        </w:rPr>
        <w:instrText xml:space="preserve"> HYPERLINK \l _Toc32240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第五章 合同主要条款</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_Toc32240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54</w:t>
      </w:r>
      <w:r>
        <w:rPr>
          <w:rFonts w:hint="eastAsia" w:ascii="仿宋" w:hAnsi="仿宋" w:eastAsia="仿宋" w:cs="仿宋"/>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sz w:val="28"/>
          <w:szCs w:val="28"/>
          <w:highlight w:val="none"/>
        </w:rPr>
      </w:r>
      <w:r/>
    </w:p>
    <w:p>
      <w:pPr>
        <w:pStyle w:val="1014"/>
        <w:tabs>
          <w:tab w:val="right" w:pos="8306" w:leader="dot"/>
        </w:tabs>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sz w:val="28"/>
          <w:szCs w:val="28"/>
          <w:highlight w:val="none"/>
        </w:rPr>
        <w:instrText xml:space="preserve"> HYPERLINK \l _Toc29577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第六章 评标办法与评分标准</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_Toc29577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65</w:t>
      </w:r>
      <w:r>
        <w:rPr>
          <w:rFonts w:hint="eastAsia" w:ascii="仿宋" w:hAnsi="仿宋" w:eastAsia="仿宋" w:cs="仿宋"/>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sz w:val="28"/>
          <w:szCs w:val="28"/>
          <w:highlight w:val="none"/>
        </w:rPr>
      </w:r>
      <w:r/>
    </w:p>
    <w:p>
      <w:pPr>
        <w:pStyle w:val="953"/>
        <w:rPr>
          <w:rFonts w:hint="eastAsia" w:ascii="仿宋" w:hAnsi="仿宋" w:eastAsia="仿宋" w:cs="仿宋"/>
          <w:b/>
          <w:color w:val="000000"/>
          <w:sz w:val="52"/>
          <w:highlight w:val="none"/>
        </w:rPr>
      </w:pPr>
      <w:r>
        <w:rPr>
          <w:rFonts w:hint="eastAsia" w:ascii="仿宋" w:hAnsi="仿宋" w:eastAsia="仿宋" w:cs="仿宋"/>
          <w:color w:val="000000"/>
          <w:sz w:val="28"/>
          <w:szCs w:val="28"/>
          <w:highlight w:val="none"/>
        </w:rPr>
        <w:fldChar w:fldCharType="end"/>
      </w:r>
      <w:r>
        <w:rPr>
          <w:rFonts w:hint="eastAsia" w:ascii="仿宋" w:hAnsi="仿宋" w:eastAsia="仿宋" w:cs="仿宋"/>
          <w:b/>
          <w:color w:val="000000"/>
          <w:sz w:val="52"/>
          <w:highlight w:val="none"/>
        </w:rPr>
      </w:r>
      <w:r/>
    </w:p>
    <w:p>
      <w:pPr>
        <w:pStyle w:val="953"/>
        <w:rPr>
          <w:rFonts w:hint="eastAsia" w:ascii="宋体" w:hAnsi="宋体"/>
          <w:b/>
          <w:color w:val="000000"/>
          <w:sz w:val="52"/>
          <w:highlight w:val="none"/>
        </w:rPr>
      </w:pPr>
      <w:r>
        <w:rPr>
          <w:rFonts w:hint="eastAsia" w:ascii="宋体" w:hAnsi="宋体"/>
          <w:b/>
          <w:color w:val="000000"/>
          <w:sz w:val="52"/>
          <w:highlight w:val="none"/>
        </w:rPr>
      </w:r>
      <w:r/>
    </w:p>
    <w:p>
      <w:pPr>
        <w:pStyle w:val="953"/>
        <w:rPr>
          <w:rFonts w:hint="eastAsia" w:ascii="宋体" w:hAnsi="宋体"/>
          <w:b/>
          <w:color w:val="000000"/>
          <w:sz w:val="52"/>
          <w:highlight w:val="none"/>
        </w:rPr>
      </w:pPr>
      <w:r>
        <w:rPr>
          <w:rFonts w:hint="eastAsia" w:ascii="宋体" w:hAnsi="宋体"/>
          <w:b/>
          <w:color w:val="000000"/>
          <w:sz w:val="52"/>
          <w:highlight w:val="none"/>
        </w:rPr>
      </w:r>
      <w:r/>
    </w:p>
    <w:p>
      <w:pPr>
        <w:pStyle w:val="953"/>
        <w:rPr>
          <w:rFonts w:hint="eastAsia" w:ascii="宋体" w:hAnsi="宋体"/>
          <w:b/>
          <w:color w:val="000000"/>
          <w:sz w:val="52"/>
          <w:highlight w:val="none"/>
        </w:rPr>
      </w:pPr>
      <w:r>
        <w:rPr>
          <w:rFonts w:hint="eastAsia" w:ascii="宋体" w:hAnsi="宋体"/>
          <w:b/>
          <w:color w:val="000000"/>
          <w:sz w:val="52"/>
          <w:highlight w:val="none"/>
        </w:rPr>
      </w:r>
      <w:r/>
    </w:p>
    <w:p>
      <w:pPr>
        <w:pStyle w:val="953"/>
        <w:rPr>
          <w:rFonts w:hint="eastAsia" w:ascii="宋体" w:hAnsi="宋体"/>
          <w:b/>
          <w:color w:val="000000"/>
          <w:sz w:val="52"/>
          <w:highlight w:val="none"/>
        </w:rPr>
      </w:pPr>
      <w:r>
        <w:rPr>
          <w:rFonts w:hint="eastAsia" w:ascii="宋体" w:hAnsi="宋体"/>
          <w:b/>
          <w:color w:val="000000"/>
          <w:sz w:val="52"/>
          <w:highlight w:val="none"/>
        </w:rPr>
      </w:r>
      <w:r/>
    </w:p>
    <w:p>
      <w:pPr>
        <w:rPr>
          <w:rFonts w:hint="eastAsia" w:ascii="宋体" w:hAnsi="宋体"/>
          <w:b/>
          <w:bCs/>
          <w:color w:val="000000"/>
          <w:sz w:val="52"/>
          <w:szCs w:val="52"/>
          <w:highlight w:val="none"/>
        </w:rPr>
      </w:pPr>
      <w:r>
        <w:rPr>
          <w:rFonts w:hint="eastAsia" w:ascii="宋体" w:hAnsi="宋体"/>
          <w:b/>
          <w:color w:val="000000"/>
          <w:sz w:val="52"/>
          <w:highlight w:val="none"/>
        </w:rPr>
      </w:r>
      <w:r>
        <w:rPr>
          <w:rFonts w:hint="eastAsia" w:ascii="宋体" w:hAnsi="宋体"/>
          <w:b/>
          <w:color w:val="000000"/>
          <w:sz w:val="52"/>
          <w:highlight w:val="none"/>
        </w:rPr>
      </w:r>
      <w:r/>
    </w:p>
    <w:p>
      <w:pPr>
        <w:rPr>
          <w:rFonts w:hint="eastAsia" w:ascii="宋体" w:hAnsi="宋体"/>
          <w:b/>
          <w:bCs/>
          <w:color w:val="000000"/>
          <w:sz w:val="52"/>
          <w:szCs w:val="52"/>
          <w:highlight w:val="none"/>
        </w:rPr>
      </w:pPr>
      <w:r>
        <w:rPr>
          <w:rFonts w:hint="eastAsia" w:ascii="宋体" w:hAnsi="宋体"/>
          <w:b/>
          <w:bCs/>
          <w:color w:val="000000"/>
          <w:sz w:val="52"/>
          <w:szCs w:val="52"/>
          <w:highlight w:val="none"/>
        </w:rPr>
      </w:r>
      <w:r>
        <w:rPr>
          <w:rFonts w:hint="eastAsia" w:ascii="宋体" w:hAnsi="宋体"/>
          <w:b/>
          <w:bCs/>
          <w:color w:val="000000"/>
          <w:sz w:val="52"/>
          <w:szCs w:val="52"/>
          <w:highlight w:val="none"/>
        </w:rPr>
      </w:r>
      <w:r/>
    </w:p>
    <w:p>
      <w:pPr>
        <w:pStyle w:val="953"/>
        <w:rPr>
          <w:rFonts w:hint="eastAsia" w:ascii="宋体" w:hAnsi="宋体"/>
          <w:b/>
          <w:bCs/>
          <w:color w:val="000000"/>
          <w:sz w:val="52"/>
          <w:szCs w:val="52"/>
          <w:highlight w:val="none"/>
        </w:rPr>
      </w:pPr>
      <w:r>
        <w:rPr>
          <w:rFonts w:hint="eastAsia" w:ascii="宋体" w:hAnsi="宋体"/>
          <w:b/>
          <w:color w:val="000000"/>
          <w:sz w:val="52"/>
          <w:highlight w:val="none"/>
        </w:rPr>
      </w:r>
      <w:r/>
    </w:p>
    <w:p>
      <w:pPr>
        <w:pStyle w:val="953"/>
        <w:rPr>
          <w:rFonts w:hint="eastAsia" w:ascii="宋体" w:hAnsi="宋体"/>
          <w:b/>
          <w:color w:val="000000"/>
          <w:sz w:val="52"/>
          <w:highlight w:val="none"/>
        </w:rPr>
      </w:pPr>
      <w:r>
        <w:rPr>
          <w:rFonts w:hint="eastAsia" w:ascii="宋体" w:hAnsi="宋体"/>
          <w:b/>
          <w:color w:val="000000"/>
          <w:sz w:val="52"/>
          <w:highlight w:val="none"/>
        </w:rPr>
      </w:r>
      <w:r/>
    </w:p>
    <w:p>
      <w:pPr>
        <w:pStyle w:val="953"/>
        <w:rPr>
          <w:rFonts w:hint="eastAsia" w:ascii="宋体" w:hAnsi="宋体"/>
          <w:b/>
          <w:color w:val="000000"/>
          <w:sz w:val="52"/>
          <w:highlight w:val="none"/>
        </w:rPr>
      </w:pPr>
      <w:r>
        <w:rPr>
          <w:rFonts w:hint="eastAsia" w:ascii="宋体" w:hAnsi="宋体"/>
          <w:b/>
          <w:color w:val="000000"/>
          <w:sz w:val="52"/>
          <w:highlight w:val="none"/>
        </w:rPr>
      </w:r>
      <w:r/>
    </w:p>
    <w:p>
      <w:pPr>
        <w:pStyle w:val="953"/>
        <w:rPr>
          <w:rFonts w:hint="eastAsia" w:ascii="宋体" w:hAnsi="宋体"/>
          <w:b/>
          <w:color w:val="000000"/>
          <w:sz w:val="52"/>
          <w:highlight w:val="none"/>
        </w:rPr>
      </w:pPr>
      <w:r>
        <w:rPr>
          <w:rFonts w:hint="eastAsia" w:ascii="宋体" w:hAnsi="宋体"/>
          <w:b/>
          <w:color w:val="000000"/>
          <w:sz w:val="52"/>
          <w:highlight w:val="none"/>
        </w:rPr>
      </w:r>
      <w:r/>
    </w:p>
    <w:p>
      <w:pPr>
        <w:pStyle w:val="953"/>
        <w:rPr>
          <w:rFonts w:hint="eastAsia" w:ascii="宋体" w:hAnsi="宋体"/>
          <w:b/>
          <w:color w:val="000000"/>
          <w:sz w:val="52"/>
          <w:highlight w:val="none"/>
        </w:rPr>
      </w:pPr>
      <w:r>
        <w:rPr>
          <w:rFonts w:hint="eastAsia" w:ascii="宋体" w:hAnsi="宋体"/>
          <w:b/>
          <w:color w:val="000000"/>
          <w:sz w:val="52"/>
          <w:highlight w:val="none"/>
        </w:rPr>
      </w:r>
      <w:r/>
    </w:p>
    <w:p>
      <w:pPr>
        <w:pStyle w:val="953"/>
        <w:rPr>
          <w:rFonts w:hint="eastAsia" w:ascii="宋体" w:hAnsi="宋体"/>
          <w:b/>
          <w:color w:val="000000"/>
          <w:sz w:val="52"/>
          <w:highlight w:val="none"/>
        </w:rPr>
      </w:pPr>
      <w:r>
        <w:rPr>
          <w:rFonts w:hint="eastAsia" w:ascii="宋体" w:hAnsi="宋体"/>
          <w:b/>
          <w:color w:val="000000"/>
          <w:sz w:val="52"/>
          <w:highlight w:val="none"/>
        </w:rPr>
      </w:r>
      <w:r/>
    </w:p>
    <w:p>
      <w:pPr>
        <w:pStyle w:val="953"/>
        <w:rPr>
          <w:rFonts w:hint="eastAsia" w:ascii="宋体" w:hAnsi="宋体"/>
          <w:b/>
          <w:color w:val="000000"/>
          <w:sz w:val="52"/>
          <w:highlight w:val="none"/>
        </w:rPr>
      </w:pPr>
      <w:r>
        <w:rPr>
          <w:rFonts w:hint="eastAsia" w:ascii="宋体" w:hAnsi="宋体"/>
          <w:b/>
          <w:color w:val="000000"/>
          <w:sz w:val="52"/>
          <w:highlight w:val="none"/>
        </w:rPr>
      </w:r>
      <w:r/>
    </w:p>
    <w:p>
      <w:pPr>
        <w:pStyle w:val="1014"/>
        <w:ind w:left="0"/>
        <w:jc w:val="center"/>
        <w:spacing w:line="240" w:lineRule="auto"/>
        <w:tabs>
          <w:tab w:val="right" w:pos="9022" w:leader="dot"/>
        </w:tabs>
        <w:rPr>
          <w:rFonts w:hint="eastAsia" w:ascii="Times New Roman" w:hAnsi="Times New Roman" w:eastAsia="宋体" w:cs="Times New Roman"/>
          <w:b/>
          <w:color w:val="000000"/>
          <w:sz w:val="44"/>
          <w:szCs w:val="44"/>
          <w:highlight w:val="none"/>
          <w:lang w:val="en-US" w:eastAsia="zh-CN" w:bidi="ar-SA"/>
        </w:rPr>
      </w:pPr>
      <w:r/>
      <w:bookmarkStart w:id="0" w:name="_Toc17512"/>
      <w:r>
        <w:rPr>
          <w:rFonts w:hint="eastAsia" w:ascii="Times New Roman" w:hAnsi="Times New Roman" w:eastAsia="宋体" w:cs="Times New Roman"/>
          <w:b/>
          <w:color w:val="000000"/>
          <w:sz w:val="44"/>
          <w:szCs w:val="44"/>
          <w:highlight w:val="none"/>
          <w:lang w:val="en-US" w:eastAsia="zh-CN" w:bidi="ar-SA"/>
        </w:rPr>
        <w:t xml:space="preserve">第一章 </w:t>
      </w:r>
      <w:bookmarkStart w:id="1" w:name="OLE_LINK2"/>
      <w:r>
        <w:rPr>
          <w:rFonts w:hint="eastAsia" w:ascii="Times New Roman" w:hAnsi="Times New Roman" w:eastAsia="宋体" w:cs="Times New Roman"/>
          <w:b/>
          <w:color w:val="000000"/>
          <w:sz w:val="44"/>
          <w:szCs w:val="44"/>
          <w:highlight w:val="none"/>
          <w:lang w:val="en-US" w:eastAsia="zh-CN" w:bidi="ar-SA"/>
        </w:rPr>
        <w:t xml:space="preserve">磋商邀请函</w:t>
      </w:r>
      <w:bookmarkEnd w:id="0"/>
      <w:r>
        <w:rPr>
          <w:rFonts w:hint="eastAsia" w:ascii="Times New Roman" w:hAnsi="Times New Roman" w:eastAsia="宋体" w:cs="Times New Roman"/>
          <w:b/>
          <w:color w:val="000000"/>
          <w:sz w:val="44"/>
          <w:szCs w:val="44"/>
          <w:highlight w:val="none"/>
          <w:lang w:val="en-US" w:eastAsia="zh-CN" w:bidi="ar-SA"/>
        </w:rPr>
      </w:r>
      <w:r/>
    </w:p>
    <w:p>
      <w:pPr>
        <w:pStyle w:val="953"/>
        <w:ind w:firstLine="480"/>
        <w:spacing w:line="360" w:lineRule="auto"/>
        <w:rPr>
          <w:rFonts w:hint="eastAsia" w:ascii="仿宋" w:hAnsi="仿宋" w:eastAsia="仿宋" w:cs="仿宋"/>
          <w:color w:val="000000"/>
          <w:sz w:val="24"/>
          <w:highlight w:val="none"/>
        </w:rPr>
      </w:pPr>
      <w:r/>
      <w:bookmarkStart w:id="2" w:name="OLE_LINK3"/>
      <w:r>
        <w:rPr>
          <w:rFonts w:hint="eastAsia" w:ascii="仿宋" w:hAnsi="仿宋" w:eastAsia="仿宋" w:cs="仿宋"/>
          <w:color w:val="000000"/>
          <w:sz w:val="24"/>
          <w:highlight w:val="none"/>
        </w:rPr>
        <w:t xml:space="preserve">项目概况</w:t>
      </w:r>
      <w:r>
        <w:rPr>
          <w:rFonts w:hint="eastAsia" w:ascii="仿宋" w:hAnsi="仿宋" w:eastAsia="仿宋" w:cs="仿宋"/>
          <w:color w:val="000000"/>
          <w:sz w:val="24"/>
          <w:highlight w:val="none"/>
        </w:rPr>
      </w:r>
      <w:r/>
    </w:p>
    <w:p>
      <w:pPr>
        <w:pStyle w:val="95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eastAsia="zh-CN"/>
        </w:rPr>
        <w:t xml:space="preserve">2026年太仓市市级财政支出项目等绩效评价管理及监督协审服务JSZC-320585-SZHZ-G2024-0011</w:t>
      </w:r>
      <w:r>
        <w:rPr>
          <w:rFonts w:hint="eastAsia" w:ascii="仿宋" w:hAnsi="仿宋" w:eastAsia="仿宋" w:cs="仿宋"/>
          <w:color w:val="000000"/>
          <w:sz w:val="24"/>
          <w:highlight w:val="none"/>
        </w:rPr>
        <w:t xml:space="preserve"> 采购项目的潜在供应商应在“苏采云”系统 获取采购文件，并于2024年</w:t>
      </w:r>
      <w:r>
        <w:rPr>
          <w:rFonts w:hint="eastAsia" w:ascii="仿宋" w:hAnsi="仿宋" w:eastAsia="仿宋" w:cs="仿宋"/>
          <w:color w:val="000000"/>
          <w:sz w:val="24"/>
          <w:highlight w:val="none"/>
          <w:lang w:val="en-US" w:eastAsia="zh-CN"/>
        </w:rPr>
        <w:t xml:space="preserve">4月28日09时30分</w:t>
      </w:r>
      <w:r>
        <w:rPr>
          <w:rFonts w:hint="eastAsia" w:ascii="仿宋" w:hAnsi="仿宋" w:eastAsia="仿宋" w:cs="仿宋"/>
          <w:color w:val="000000"/>
          <w:sz w:val="24"/>
          <w:highlight w:val="none"/>
        </w:rPr>
        <w:t xml:space="preserve">（北京时间）前上传电子响应文件。</w:t>
      </w:r>
      <w:r>
        <w:rPr>
          <w:rFonts w:hint="eastAsia" w:ascii="仿宋" w:hAnsi="仿宋" w:eastAsia="仿宋" w:cs="仿宋"/>
          <w:color w:val="000000"/>
          <w:sz w:val="24"/>
          <w:highlight w:val="none"/>
        </w:rPr>
      </w:r>
      <w:r/>
    </w:p>
    <w:p>
      <w:pPr>
        <w:pStyle w:val="953"/>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一、项目基本情况</w:t>
      </w:r>
      <w:r>
        <w:rPr>
          <w:rFonts w:hint="eastAsia" w:ascii="仿宋" w:hAnsi="仿宋" w:eastAsia="仿宋" w:cs="仿宋"/>
          <w:b/>
          <w:color w:val="000000"/>
          <w:sz w:val="24"/>
          <w:szCs w:val="24"/>
          <w:highlight w:val="none"/>
          <w:lang w:val="en-US" w:eastAsia="zh-CN" w:bidi="ar-SA"/>
        </w:rPr>
      </w:r>
      <w:r/>
    </w:p>
    <w:p>
      <w:pPr>
        <w:pStyle w:val="95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项目编号：</w:t>
      </w:r>
      <w:r>
        <w:rPr>
          <w:rFonts w:hint="eastAsia" w:ascii="仿宋" w:hAnsi="仿宋" w:eastAsia="仿宋" w:cs="仿宋"/>
          <w:color w:val="000000"/>
          <w:sz w:val="24"/>
          <w:highlight w:val="none"/>
          <w:lang w:eastAsia="zh-CN"/>
        </w:rPr>
        <w:t xml:space="preserve">JSZC-320585-SZHZ-G2024-0011</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953"/>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highlight w:val="none"/>
        </w:rPr>
        <w:t xml:space="preserve">项目名称：</w:t>
      </w:r>
      <w:r>
        <w:rPr>
          <w:rFonts w:hint="eastAsia" w:ascii="仿宋" w:hAnsi="仿宋" w:eastAsia="仿宋" w:cs="仿宋"/>
          <w:color w:val="000000"/>
          <w:sz w:val="24"/>
          <w:highlight w:val="none"/>
          <w:lang w:eastAsia="zh-CN"/>
        </w:rPr>
        <w:t xml:space="preserve">2026年太仓市市级财政支出项目等绩效评价管理及监督协审服务</w:t>
      </w:r>
      <w:r>
        <w:rPr>
          <w:rFonts w:hint="eastAsia" w:ascii="仿宋" w:hAnsi="仿宋" w:eastAsia="仿宋" w:cs="仿宋"/>
          <w:color w:val="000000"/>
          <w:sz w:val="24"/>
          <w:szCs w:val="24"/>
          <w:highlight w:val="none"/>
          <w:lang w:eastAsia="zh-CN"/>
        </w:rPr>
      </w:r>
      <w:r/>
    </w:p>
    <w:p>
      <w:pPr>
        <w:pStyle w:val="95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预算金额：人民币贰佰壹拾伍万元整（2150000.00元），其中采购包1：</w:t>
      </w:r>
      <w:r>
        <w:rPr>
          <w:rFonts w:hint="eastAsia" w:ascii="仿宋" w:hAnsi="仿宋" w:eastAsia="仿宋" w:cs="仿宋"/>
          <w:color w:val="000000"/>
          <w:sz w:val="24"/>
          <w:highlight w:val="none"/>
          <w:lang w:val="en-US" w:eastAsia="zh-CN"/>
        </w:rPr>
        <w:t xml:space="preserve">50</w:t>
      </w:r>
      <w:r>
        <w:rPr>
          <w:rFonts w:hint="eastAsia" w:ascii="仿宋" w:hAnsi="仿宋" w:eastAsia="仿宋" w:cs="仿宋"/>
          <w:color w:val="000000"/>
          <w:sz w:val="24"/>
          <w:highlight w:val="none"/>
        </w:rPr>
        <w:t xml:space="preserve">0000.00元,采购包2：</w:t>
      </w:r>
      <w:r>
        <w:rPr>
          <w:rFonts w:hint="eastAsia" w:ascii="仿宋" w:hAnsi="仿宋" w:eastAsia="仿宋" w:cs="仿宋"/>
          <w:color w:val="000000"/>
          <w:sz w:val="24"/>
          <w:highlight w:val="none"/>
          <w:lang w:val="en-US" w:eastAsia="zh-CN"/>
        </w:rPr>
        <w:t xml:space="preserve">35</w:t>
      </w:r>
      <w:r>
        <w:rPr>
          <w:rFonts w:hint="eastAsia" w:ascii="仿宋" w:hAnsi="仿宋" w:eastAsia="仿宋" w:cs="仿宋"/>
          <w:color w:val="000000"/>
          <w:sz w:val="24"/>
          <w:highlight w:val="none"/>
        </w:rPr>
        <w:t xml:space="preserve">0000.00元，采购包3：</w:t>
      </w:r>
      <w:r>
        <w:rPr>
          <w:rFonts w:hint="eastAsia" w:ascii="仿宋" w:hAnsi="仿宋" w:eastAsia="仿宋" w:cs="仿宋"/>
          <w:color w:val="000000"/>
          <w:sz w:val="24"/>
          <w:highlight w:val="none"/>
          <w:lang w:val="en-US" w:eastAsia="zh-CN"/>
        </w:rPr>
        <w:t xml:space="preserve">30</w:t>
      </w:r>
      <w:r>
        <w:rPr>
          <w:rFonts w:hint="eastAsia" w:ascii="仿宋" w:hAnsi="仿宋" w:eastAsia="仿宋" w:cs="仿宋"/>
          <w:color w:val="000000"/>
          <w:sz w:val="24"/>
          <w:highlight w:val="none"/>
        </w:rPr>
        <w:t xml:space="preserve">0000.00元，采购包4:</w:t>
      </w:r>
      <w:r>
        <w:rPr>
          <w:rFonts w:hint="eastAsia" w:ascii="仿宋" w:hAnsi="仿宋" w:eastAsia="仿宋" w:cs="仿宋"/>
          <w:color w:val="000000"/>
          <w:sz w:val="24"/>
          <w:highlight w:val="none"/>
          <w:lang w:val="en-US" w:eastAsia="zh-CN"/>
        </w:rPr>
        <w:t xml:space="preserve">25</w:t>
      </w:r>
      <w:r>
        <w:rPr>
          <w:rFonts w:hint="eastAsia" w:ascii="仿宋" w:hAnsi="仿宋" w:eastAsia="仿宋" w:cs="仿宋"/>
          <w:color w:val="000000"/>
          <w:sz w:val="24"/>
          <w:highlight w:val="none"/>
        </w:rPr>
        <w:t xml:space="preserve">0000.00元，采购包5：</w:t>
      </w:r>
      <w:r>
        <w:rPr>
          <w:rFonts w:hint="eastAsia" w:ascii="仿宋" w:hAnsi="仿宋" w:eastAsia="仿宋" w:cs="仿宋"/>
          <w:color w:val="000000"/>
          <w:sz w:val="24"/>
          <w:highlight w:val="none"/>
          <w:lang w:val="en-US" w:eastAsia="zh-CN"/>
        </w:rPr>
        <w:t xml:space="preserve">25</w:t>
      </w:r>
      <w:r>
        <w:rPr>
          <w:rFonts w:hint="eastAsia" w:ascii="仿宋" w:hAnsi="仿宋" w:eastAsia="仿宋" w:cs="仿宋"/>
          <w:color w:val="000000"/>
          <w:sz w:val="24"/>
          <w:highlight w:val="none"/>
        </w:rPr>
        <w:t xml:space="preserve">0000.00元，采购包6:</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50000.00元，采购包7:</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50000.00元 </w:t>
      </w:r>
      <w:r>
        <w:rPr>
          <w:rFonts w:hint="eastAsia" w:ascii="仿宋" w:hAnsi="仿宋" w:eastAsia="仿宋" w:cs="仿宋"/>
          <w:color w:val="000000"/>
          <w:sz w:val="24"/>
          <w:highlight w:val="none"/>
        </w:rPr>
      </w:r>
      <w:r/>
    </w:p>
    <w:p>
      <w:pPr>
        <w:pStyle w:val="953"/>
        <w:ind w:firstLine="480"/>
        <w:spacing w:line="360" w:lineRule="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最高限价：人民币贰佰壹拾伍万元整（2150000.00元），其中采购包1：</w:t>
      </w:r>
      <w:r>
        <w:rPr>
          <w:rFonts w:hint="eastAsia" w:ascii="仿宋" w:hAnsi="仿宋" w:eastAsia="仿宋" w:cs="仿宋"/>
          <w:color w:val="000000"/>
          <w:sz w:val="24"/>
          <w:highlight w:val="none"/>
          <w:lang w:val="en-US" w:eastAsia="zh-CN"/>
        </w:rPr>
        <w:t xml:space="preserve">50</w:t>
      </w:r>
      <w:r>
        <w:rPr>
          <w:rFonts w:hint="eastAsia" w:ascii="仿宋" w:hAnsi="仿宋" w:eastAsia="仿宋" w:cs="仿宋"/>
          <w:color w:val="000000"/>
          <w:sz w:val="24"/>
          <w:highlight w:val="none"/>
        </w:rPr>
        <w:t xml:space="preserve">0000.00元,采购包2：</w:t>
      </w:r>
      <w:r>
        <w:rPr>
          <w:rFonts w:hint="eastAsia" w:ascii="仿宋" w:hAnsi="仿宋" w:eastAsia="仿宋" w:cs="仿宋"/>
          <w:color w:val="000000"/>
          <w:sz w:val="24"/>
          <w:highlight w:val="none"/>
          <w:lang w:val="en-US" w:eastAsia="zh-CN"/>
        </w:rPr>
        <w:t xml:space="preserve">35</w:t>
      </w:r>
      <w:r>
        <w:rPr>
          <w:rFonts w:hint="eastAsia" w:ascii="仿宋" w:hAnsi="仿宋" w:eastAsia="仿宋" w:cs="仿宋"/>
          <w:color w:val="000000"/>
          <w:sz w:val="24"/>
          <w:highlight w:val="none"/>
        </w:rPr>
        <w:t xml:space="preserve">0000.00元，采购包3：</w:t>
      </w:r>
      <w:r>
        <w:rPr>
          <w:rFonts w:hint="eastAsia" w:ascii="仿宋" w:hAnsi="仿宋" w:eastAsia="仿宋" w:cs="仿宋"/>
          <w:color w:val="000000"/>
          <w:sz w:val="24"/>
          <w:highlight w:val="none"/>
          <w:lang w:val="en-US" w:eastAsia="zh-CN"/>
        </w:rPr>
        <w:t xml:space="preserve">30</w:t>
      </w:r>
      <w:r>
        <w:rPr>
          <w:rFonts w:hint="eastAsia" w:ascii="仿宋" w:hAnsi="仿宋" w:eastAsia="仿宋" w:cs="仿宋"/>
          <w:color w:val="000000"/>
          <w:sz w:val="24"/>
          <w:highlight w:val="none"/>
        </w:rPr>
        <w:t xml:space="preserve">0000.00元，采购包4:</w:t>
      </w:r>
      <w:r>
        <w:rPr>
          <w:rFonts w:hint="eastAsia" w:ascii="仿宋" w:hAnsi="仿宋" w:eastAsia="仿宋" w:cs="仿宋"/>
          <w:color w:val="000000"/>
          <w:sz w:val="24"/>
          <w:highlight w:val="none"/>
          <w:lang w:val="en-US" w:eastAsia="zh-CN"/>
        </w:rPr>
        <w:t xml:space="preserve">25</w:t>
      </w:r>
      <w:r>
        <w:rPr>
          <w:rFonts w:hint="eastAsia" w:ascii="仿宋" w:hAnsi="仿宋" w:eastAsia="仿宋" w:cs="仿宋"/>
          <w:color w:val="000000"/>
          <w:sz w:val="24"/>
          <w:highlight w:val="none"/>
        </w:rPr>
        <w:t xml:space="preserve">0000.00元，采购包5：</w:t>
      </w:r>
      <w:r>
        <w:rPr>
          <w:rFonts w:hint="eastAsia" w:ascii="仿宋" w:hAnsi="仿宋" w:eastAsia="仿宋" w:cs="仿宋"/>
          <w:color w:val="000000"/>
          <w:sz w:val="24"/>
          <w:highlight w:val="none"/>
          <w:lang w:val="en-US" w:eastAsia="zh-CN"/>
        </w:rPr>
        <w:t xml:space="preserve">25</w:t>
      </w:r>
      <w:r>
        <w:rPr>
          <w:rFonts w:hint="eastAsia" w:ascii="仿宋" w:hAnsi="仿宋" w:eastAsia="仿宋" w:cs="仿宋"/>
          <w:color w:val="000000"/>
          <w:sz w:val="24"/>
          <w:highlight w:val="none"/>
        </w:rPr>
        <w:t xml:space="preserve">0000.00元，采购包6:</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50000.00元，采购包7:</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50000.00元</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eastAsia="zh-CN"/>
        </w:rPr>
      </w:r>
      <w:r/>
    </w:p>
    <w:p>
      <w:pPr>
        <w:pStyle w:val="95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采购需求：2026年太仓市市级财政支出项目等绩效评价管理及监督协审服务</w:t>
      </w:r>
      <w:r>
        <w:rPr>
          <w:rFonts w:hint="eastAsia" w:ascii="仿宋" w:hAnsi="仿宋" w:eastAsia="仿宋" w:cs="仿宋"/>
          <w:color w:val="000000"/>
          <w:sz w:val="24"/>
          <w:highlight w:val="none"/>
        </w:rPr>
      </w:r>
      <w:r/>
    </w:p>
    <w:tbl>
      <w:tblPr>
        <w:tblW w:w="5064" w:type="pct"/>
        <w:jc w:val="center"/>
        <w:tblInd w:w="-1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8"/>
        <w:gridCol w:w="570"/>
        <w:gridCol w:w="1038"/>
        <w:gridCol w:w="650"/>
        <w:gridCol w:w="3865"/>
        <w:gridCol w:w="859"/>
        <w:gridCol w:w="971"/>
      </w:tblGrid>
      <w:tr>
        <w:trPr/>
        <w:tc>
          <w:tcPr>
            <w:tcW w:w="393" w:type="dxa"/>
            <w:vAlign w:val="center"/>
            <w:textDirection w:val="lrTb"/>
            <w:noWrap w:val="false"/>
          </w:tcPr>
          <w:p>
            <w:pPr>
              <w:pStyle w:val="953"/>
              <w:jc w:val="center"/>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包号</w:t>
            </w:r>
            <w:r>
              <w:rPr>
                <w:rFonts w:hint="eastAsia" w:ascii="仿宋" w:hAnsi="仿宋" w:eastAsia="仿宋" w:cs="仿宋"/>
                <w:color w:val="000000"/>
                <w:szCs w:val="21"/>
                <w:highlight w:val="none"/>
              </w:rPr>
            </w:r>
            <w:r/>
          </w:p>
        </w:tc>
        <w:tc>
          <w:tcPr>
            <w:tcW w:w="330" w:type="dxa"/>
            <w:vAlign w:val="center"/>
            <w:textDirection w:val="lrTb"/>
            <w:noWrap w:val="false"/>
          </w:tcPr>
          <w:p>
            <w:pPr>
              <w:pStyle w:val="953"/>
              <w:jc w:val="center"/>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序号</w:t>
            </w:r>
            <w:r>
              <w:rPr>
                <w:rFonts w:hint="eastAsia" w:ascii="仿宋" w:hAnsi="仿宋" w:eastAsia="仿宋" w:cs="仿宋"/>
                <w:color w:val="000000"/>
                <w:szCs w:val="21"/>
                <w:highlight w:val="none"/>
              </w:rPr>
            </w:r>
            <w:r/>
          </w:p>
        </w:tc>
        <w:tc>
          <w:tcPr>
            <w:tcW w:w="601" w:type="dxa"/>
            <w:vAlign w:val="center"/>
            <w:textDirection w:val="lrTb"/>
            <w:noWrap w:val="false"/>
          </w:tcPr>
          <w:p>
            <w:pPr>
              <w:pStyle w:val="953"/>
              <w:jc w:val="center"/>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服务名称</w:t>
            </w:r>
            <w:r>
              <w:rPr>
                <w:rFonts w:hint="eastAsia" w:ascii="仿宋" w:hAnsi="仿宋" w:eastAsia="仿宋" w:cs="仿宋"/>
                <w:color w:val="000000"/>
                <w:szCs w:val="21"/>
                <w:highlight w:val="none"/>
              </w:rPr>
            </w:r>
            <w:r/>
          </w:p>
        </w:tc>
        <w:tc>
          <w:tcPr>
            <w:tcW w:w="376" w:type="dxa"/>
            <w:vAlign w:val="center"/>
            <w:textDirection w:val="lrTb"/>
            <w:noWrap w:val="false"/>
          </w:tcPr>
          <w:p>
            <w:pPr>
              <w:pStyle w:val="953"/>
              <w:jc w:val="center"/>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服务清单序号</w:t>
            </w:r>
            <w:r>
              <w:rPr>
                <w:rFonts w:hint="eastAsia" w:ascii="仿宋" w:hAnsi="仿宋" w:eastAsia="仿宋" w:cs="仿宋"/>
                <w:color w:val="000000"/>
                <w:szCs w:val="21"/>
                <w:highlight w:val="none"/>
              </w:rPr>
            </w:r>
            <w:r/>
          </w:p>
        </w:tc>
        <w:tc>
          <w:tcPr>
            <w:tcW w:w="2237" w:type="dxa"/>
            <w:vAlign w:val="center"/>
            <w:textDirection w:val="lrTb"/>
            <w:noWrap w:val="false"/>
          </w:tcPr>
          <w:p>
            <w:pPr>
              <w:pStyle w:val="953"/>
              <w:jc w:val="center"/>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服务清单</w:t>
            </w:r>
            <w:r>
              <w:rPr>
                <w:rFonts w:hint="eastAsia" w:ascii="仿宋" w:hAnsi="仿宋" w:eastAsia="仿宋" w:cs="仿宋"/>
                <w:color w:val="000000"/>
                <w:szCs w:val="21"/>
                <w:highlight w:val="none"/>
              </w:rPr>
            </w:r>
            <w:r/>
          </w:p>
        </w:tc>
        <w:tc>
          <w:tcPr>
            <w:tcW w:w="497" w:type="dxa"/>
            <w:vAlign w:val="center"/>
            <w:textDirection w:val="lrTb"/>
            <w:noWrap w:val="false"/>
          </w:tcPr>
          <w:p>
            <w:pPr>
              <w:pStyle w:val="953"/>
              <w:jc w:val="center"/>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最高限价（万元）</w:t>
            </w:r>
            <w:r>
              <w:rPr>
                <w:rFonts w:hint="eastAsia" w:ascii="仿宋" w:hAnsi="仿宋" w:eastAsia="仿宋" w:cs="仿宋"/>
                <w:color w:val="000000"/>
                <w:szCs w:val="21"/>
                <w:highlight w:val="none"/>
              </w:rPr>
            </w:r>
            <w:r/>
          </w:p>
        </w:tc>
        <w:tc>
          <w:tcPr>
            <w:tcW w:w="562" w:type="dxa"/>
            <w:vAlign w:val="center"/>
            <w:textDirection w:val="lrTb"/>
            <w:noWrap w:val="false"/>
          </w:tcPr>
          <w:p>
            <w:pPr>
              <w:pStyle w:val="953"/>
              <w:jc w:val="center"/>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合计</w:t>
            </w:r>
            <w:r>
              <w:rPr>
                <w:rFonts w:hint="eastAsia" w:ascii="仿宋" w:hAnsi="仿宋" w:eastAsia="仿宋" w:cs="仿宋"/>
                <w:color w:val="000000"/>
                <w:szCs w:val="21"/>
                <w:highlight w:val="none"/>
              </w:rPr>
            </w:r>
            <w:r/>
          </w:p>
          <w:p>
            <w:pPr>
              <w:pStyle w:val="953"/>
              <w:jc w:val="center"/>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（万元）</w:t>
            </w:r>
            <w:r>
              <w:rPr>
                <w:rFonts w:hint="eastAsia" w:ascii="仿宋" w:hAnsi="仿宋" w:eastAsia="仿宋" w:cs="仿宋"/>
                <w:color w:val="000000"/>
                <w:szCs w:val="21"/>
                <w:highlight w:val="none"/>
              </w:rPr>
            </w:r>
            <w:r/>
          </w:p>
        </w:tc>
      </w:tr>
      <w:tr>
        <w:trPr/>
        <w:tc>
          <w:tcPr>
            <w:tcW w:w="393" w:type="dxa"/>
            <w:vAlign w:val="center"/>
            <w:vMerge w:val="restart"/>
            <w:textDirection w:val="lrTb"/>
            <w:noWrap w:val="false"/>
          </w:tcPr>
          <w:p>
            <w:pPr>
              <w:pStyle w:val="953"/>
              <w:jc w:val="both"/>
              <w:spacing w:line="400" w:lineRule="exact"/>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eastAsia="zh-CN"/>
              </w:rPr>
              <w:t xml:space="preserve">采购包</w:t>
            </w:r>
            <w:r>
              <w:rPr>
                <w:rFonts w:hint="eastAsia" w:ascii="仿宋" w:hAnsi="仿宋" w:eastAsia="仿宋" w:cs="仿宋"/>
                <w:color w:val="000000"/>
                <w:szCs w:val="21"/>
                <w:highlight w:val="none"/>
                <w:lang w:val="en-US" w:eastAsia="zh-CN"/>
              </w:rPr>
              <w:t xml:space="preserve">1</w:t>
            </w:r>
            <w:r>
              <w:rPr>
                <w:rFonts w:hint="eastAsia" w:ascii="仿宋" w:hAnsi="仿宋" w:eastAsia="仿宋" w:cs="仿宋"/>
                <w:color w:val="000000"/>
                <w:szCs w:val="21"/>
                <w:highlight w:val="none"/>
                <w:lang w:val="en-US" w:eastAsia="zh-CN"/>
              </w:rPr>
            </w:r>
            <w:r/>
          </w:p>
        </w:tc>
        <w:tc>
          <w:tcPr>
            <w:tcW w:w="330" w:type="dxa"/>
            <w:vAlign w:val="center"/>
            <w:textDirection w:val="lrTb"/>
            <w:noWrap w:val="false"/>
          </w:tcPr>
          <w:p>
            <w:pPr>
              <w:pStyle w:val="953"/>
              <w:jc w:val="center"/>
              <w:spacing w:line="400" w:lineRule="exact"/>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val="en-US" w:eastAsia="zh-CN"/>
              </w:rPr>
              <w:t xml:space="preserve">A</w:t>
            </w:r>
            <w:r>
              <w:rPr>
                <w:rFonts w:hint="eastAsia" w:ascii="仿宋" w:hAnsi="仿宋" w:eastAsia="仿宋" w:cs="仿宋"/>
                <w:color w:val="000000"/>
                <w:szCs w:val="21"/>
                <w:highlight w:val="none"/>
                <w:lang w:eastAsia="zh-CN"/>
              </w:rPr>
            </w:r>
            <w:r/>
          </w:p>
        </w:tc>
        <w:tc>
          <w:tcPr>
            <w:tcW w:w="601"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支出标准建设服务</w:t>
            </w:r>
            <w:r>
              <w:rPr>
                <w:rFonts w:hint="eastAsia" w:ascii="仿宋" w:hAnsi="仿宋" w:eastAsia="仿宋" w:cs="仿宋"/>
                <w:color w:val="000000"/>
                <w:szCs w:val="21"/>
                <w:highlight w:val="none"/>
              </w:rPr>
            </w:r>
            <w:r/>
          </w:p>
        </w:tc>
        <w:tc>
          <w:tcPr>
            <w:tcW w:w="376" w:type="dxa"/>
            <w:vAlign w:val="center"/>
            <w:textDirection w:val="lrTb"/>
            <w:noWrap w:val="false"/>
          </w:tcPr>
          <w:p>
            <w:pPr>
              <w:pStyle w:val="953"/>
              <w:jc w:val="center"/>
              <w:spacing w:line="400" w:lineRule="exact"/>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r>
            <w:r/>
          </w:p>
        </w:tc>
        <w:tc>
          <w:tcPr>
            <w:tcW w:w="2237" w:type="dxa"/>
            <w:vAlign w:val="center"/>
            <w:textDirection w:val="lrTb"/>
            <w:noWrap w:val="false"/>
          </w:tcPr>
          <w:p>
            <w:pPr>
              <w:pStyle w:val="953"/>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CN"/>
              </w:rPr>
              <w:t xml:space="preserve">信息化运维</w:t>
            </w:r>
            <w:r>
              <w:rPr>
                <w:rFonts w:hint="eastAsia" w:ascii="仿宋" w:hAnsi="仿宋" w:eastAsia="仿宋" w:cs="仿宋"/>
                <w:color w:val="000000"/>
                <w:szCs w:val="21"/>
                <w:highlight w:val="none"/>
              </w:rPr>
              <w:t xml:space="preserve">支出标准体系</w:t>
            </w:r>
            <w:r>
              <w:rPr>
                <w:rFonts w:hint="eastAsia" w:ascii="仿宋" w:hAnsi="仿宋" w:eastAsia="仿宋" w:cs="仿宋"/>
                <w:color w:val="000000"/>
                <w:szCs w:val="21"/>
                <w:highlight w:val="none"/>
              </w:rPr>
            </w:r>
            <w:r/>
          </w:p>
        </w:tc>
        <w:tc>
          <w:tcPr>
            <w:tcW w:w="497"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30</w:t>
            </w:r>
            <w:r>
              <w:rPr>
                <w:rFonts w:hint="eastAsia" w:ascii="仿宋" w:hAnsi="仿宋" w:eastAsia="仿宋" w:cs="仿宋"/>
                <w:color w:val="000000"/>
                <w:szCs w:val="21"/>
                <w:highlight w:val="none"/>
                <w:lang w:val="en-US" w:eastAsia="zh-CN"/>
              </w:rPr>
            </w:r>
            <w:r/>
          </w:p>
        </w:tc>
        <w:tc>
          <w:tcPr>
            <w:tcW w:w="562" w:type="dxa"/>
            <w:vAlign w:val="center"/>
            <w:vMerge w:val="restart"/>
            <w:textDirection w:val="lrTb"/>
            <w:noWrap w:val="false"/>
          </w:tcPr>
          <w:p>
            <w:pPr>
              <w:pStyle w:val="953"/>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50</w:t>
            </w:r>
            <w:r>
              <w:rPr>
                <w:rFonts w:hint="eastAsia" w:ascii="仿宋" w:hAnsi="仿宋" w:eastAsia="仿宋" w:cs="仿宋"/>
                <w:color w:val="000000"/>
                <w:szCs w:val="21"/>
                <w:highlight w:val="none"/>
                <w:lang w:val="en-US" w:eastAsia="zh-CN"/>
              </w:rPr>
            </w:r>
            <w:r/>
          </w:p>
        </w:tc>
      </w:tr>
      <w:tr>
        <w:trPr/>
        <w:tc>
          <w:tcPr>
            <w:tcW w:w="393" w:type="dxa"/>
            <w:vAlign w:val="center"/>
            <w:vMerge w:val="continue"/>
            <w:textDirection w:val="lrTb"/>
            <w:noWrap w:val="false"/>
          </w:tcPr>
          <w:p>
            <w:pPr>
              <w:pStyle w:val="953"/>
              <w:ind w:firstLine="440"/>
              <w:jc w:val="center"/>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330"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val="en-US" w:eastAsia="zh-CN"/>
              </w:rPr>
              <w:t xml:space="preserve">B</w:t>
            </w:r>
            <w:r>
              <w:rPr>
                <w:rFonts w:hint="eastAsia" w:ascii="仿宋" w:hAnsi="仿宋" w:eastAsia="仿宋" w:cs="仿宋"/>
                <w:color w:val="000000"/>
                <w:szCs w:val="21"/>
                <w:highlight w:val="none"/>
                <w:lang w:eastAsia="zh-CN"/>
              </w:rPr>
            </w:r>
            <w:r/>
          </w:p>
        </w:tc>
        <w:tc>
          <w:tcPr>
            <w:tcW w:w="601"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重点绩效评价服务</w:t>
            </w:r>
            <w:r>
              <w:rPr>
                <w:rFonts w:hint="eastAsia" w:ascii="仿宋" w:hAnsi="仿宋" w:eastAsia="仿宋" w:cs="仿宋"/>
                <w:color w:val="000000"/>
                <w:szCs w:val="21"/>
                <w:highlight w:val="none"/>
              </w:rPr>
            </w:r>
            <w:r/>
          </w:p>
        </w:tc>
        <w:tc>
          <w:tcPr>
            <w:tcW w:w="376"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237" w:type="dxa"/>
            <w:vAlign w:val="center"/>
            <w:textDirection w:val="lrTb"/>
            <w:noWrap w:val="false"/>
          </w:tcPr>
          <w:p>
            <w:pPr>
              <w:pStyle w:val="953"/>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太仓市双创综合服务平台建设及运营重点绩效评价</w:t>
            </w:r>
            <w:r>
              <w:rPr>
                <w:rFonts w:hint="eastAsia" w:ascii="仿宋" w:hAnsi="仿宋" w:eastAsia="仿宋" w:cs="仿宋"/>
                <w:color w:val="000000"/>
                <w:szCs w:val="21"/>
                <w:highlight w:val="none"/>
              </w:rPr>
            </w:r>
            <w:r/>
          </w:p>
        </w:tc>
        <w:tc>
          <w:tcPr>
            <w:tcW w:w="497"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val="en-US" w:eastAsia="zh-CN"/>
              </w:rPr>
              <w:t xml:space="preserve">8</w:t>
            </w:r>
            <w:r>
              <w:rPr>
                <w:rFonts w:hint="eastAsia" w:ascii="仿宋" w:hAnsi="仿宋" w:eastAsia="仿宋" w:cs="仿宋"/>
                <w:color w:val="000000"/>
                <w:szCs w:val="21"/>
                <w:highlight w:val="none"/>
                <w:lang w:eastAsia="zh-CN"/>
              </w:rPr>
            </w:r>
            <w:r/>
          </w:p>
        </w:tc>
        <w:tc>
          <w:tcPr>
            <w:tcW w:w="562" w:type="dxa"/>
            <w:vAlign w:val="top"/>
            <w:vMerge w:val="continue"/>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287"/>
        </w:trPr>
        <w:tc>
          <w:tcPr>
            <w:tcW w:w="393" w:type="dxa"/>
            <w:vAlign w:val="center"/>
            <w:vMerge w:val="continue"/>
            <w:textDirection w:val="lrTb"/>
            <w:noWrap w:val="false"/>
          </w:tcPr>
          <w:p>
            <w:pPr>
              <w:pStyle w:val="953"/>
              <w:ind w:firstLine="440"/>
              <w:jc w:val="center"/>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330"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val="en-US" w:eastAsia="zh-CN"/>
              </w:rPr>
              <w:t xml:space="preserve">C</w:t>
            </w:r>
            <w:r>
              <w:rPr>
                <w:rFonts w:hint="eastAsia" w:ascii="仿宋" w:hAnsi="仿宋" w:eastAsia="仿宋" w:cs="仿宋"/>
                <w:color w:val="000000"/>
                <w:szCs w:val="21"/>
                <w:highlight w:val="none"/>
                <w:lang w:eastAsia="zh-CN"/>
              </w:rPr>
            </w:r>
            <w:r/>
          </w:p>
        </w:tc>
        <w:tc>
          <w:tcPr>
            <w:tcW w:w="601"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辅导、培训、评审、咨询服务</w:t>
            </w:r>
            <w:r>
              <w:rPr>
                <w:rFonts w:hint="eastAsia" w:ascii="仿宋" w:hAnsi="仿宋" w:eastAsia="仿宋" w:cs="仿宋"/>
                <w:color w:val="000000"/>
                <w:szCs w:val="21"/>
                <w:highlight w:val="none"/>
              </w:rPr>
            </w:r>
            <w:r/>
          </w:p>
        </w:tc>
        <w:tc>
          <w:tcPr>
            <w:tcW w:w="376"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237" w:type="dxa"/>
            <w:vAlign w:val="center"/>
            <w:textDirection w:val="lrTb"/>
            <w:noWrap w:val="false"/>
          </w:tcPr>
          <w:p>
            <w:pPr>
              <w:pStyle w:val="953"/>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部门项目标准化分类和标签体系建设培训；部门整体绩效目标编制、审核辅导培训；项目绩效目标编制、审核综合培训；针对市财政局委托的第三方重点绩效评价及其他成本绩效管理试点项目，提供方案和报告的综合指导和质控；针对委托第三方服务项目组织开展专家评审工作；对重点项目自评价复核提供专家再评服务</w:t>
            </w:r>
            <w:r>
              <w:rPr>
                <w:rFonts w:hint="eastAsia" w:ascii="仿宋" w:hAnsi="仿宋" w:eastAsia="仿宋" w:cs="仿宋"/>
                <w:color w:val="000000"/>
                <w:szCs w:val="21"/>
                <w:highlight w:val="none"/>
              </w:rPr>
            </w:r>
            <w:r/>
          </w:p>
        </w:tc>
        <w:tc>
          <w:tcPr>
            <w:tcW w:w="497"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12</w:t>
            </w:r>
            <w:r>
              <w:rPr>
                <w:rFonts w:hint="eastAsia" w:ascii="仿宋" w:hAnsi="仿宋" w:eastAsia="仿宋" w:cs="仿宋"/>
                <w:color w:val="000000"/>
                <w:szCs w:val="21"/>
                <w:highlight w:val="none"/>
                <w:lang w:val="en-US" w:eastAsia="zh-CN"/>
              </w:rPr>
            </w:r>
            <w:r/>
          </w:p>
        </w:tc>
        <w:tc>
          <w:tcPr>
            <w:tcW w:w="562"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961"/>
        </w:trPr>
        <w:tc>
          <w:tcPr>
            <w:tcW w:w="393" w:type="dxa"/>
            <w:vAlign w:val="center"/>
            <w:vMerge w:val="restart"/>
            <w:textDirection w:val="lrTb"/>
            <w:noWrap w:val="false"/>
          </w:tcPr>
          <w:p>
            <w:pPr>
              <w:pStyle w:val="953"/>
              <w:jc w:val="center"/>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采购</w:t>
            </w:r>
            <w:r>
              <w:rPr>
                <w:rFonts w:hint="eastAsia" w:ascii="仿宋" w:hAnsi="仿宋" w:eastAsia="仿宋" w:cs="仿宋"/>
                <w:color w:val="000000"/>
                <w:szCs w:val="21"/>
                <w:highlight w:val="none"/>
              </w:rPr>
              <w:t xml:space="preserve">包2</w:t>
            </w:r>
            <w:r>
              <w:rPr>
                <w:rFonts w:hint="eastAsia" w:ascii="仿宋" w:hAnsi="仿宋" w:eastAsia="仿宋" w:cs="仿宋"/>
                <w:color w:val="000000"/>
                <w:szCs w:val="21"/>
                <w:highlight w:val="none"/>
              </w:rPr>
            </w:r>
            <w:r/>
          </w:p>
        </w:tc>
        <w:tc>
          <w:tcPr>
            <w:tcW w:w="330"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A</w:t>
            </w:r>
            <w:r>
              <w:rPr>
                <w:rFonts w:hint="eastAsia" w:ascii="仿宋" w:hAnsi="仿宋" w:eastAsia="仿宋" w:cs="仿宋"/>
                <w:color w:val="000000"/>
                <w:szCs w:val="21"/>
                <w:highlight w:val="none"/>
                <w:lang w:val="en-US" w:eastAsia="zh-CN"/>
              </w:rPr>
            </w:r>
            <w:r/>
          </w:p>
        </w:tc>
        <w:tc>
          <w:tcPr>
            <w:tcW w:w="601"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成本预算绩效分析服务</w:t>
            </w:r>
            <w:r>
              <w:rPr>
                <w:rFonts w:hint="eastAsia" w:ascii="仿宋" w:hAnsi="仿宋" w:eastAsia="仿宋" w:cs="仿宋"/>
                <w:color w:val="000000"/>
                <w:szCs w:val="21"/>
                <w:highlight w:val="none"/>
              </w:rPr>
            </w:r>
            <w:r/>
          </w:p>
        </w:tc>
        <w:tc>
          <w:tcPr>
            <w:tcW w:w="376"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237" w:type="dxa"/>
            <w:vAlign w:val="center"/>
            <w:textDirection w:val="lrTb"/>
            <w:noWrap w:val="false"/>
          </w:tcPr>
          <w:p>
            <w:pPr>
              <w:pStyle w:val="953"/>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城际快线补贴资金成本预算绩效分析</w:t>
            </w:r>
            <w:r>
              <w:rPr>
                <w:rFonts w:hint="eastAsia" w:ascii="仿宋" w:hAnsi="仿宋" w:eastAsia="仿宋" w:cs="仿宋"/>
                <w:color w:val="000000"/>
                <w:szCs w:val="21"/>
                <w:highlight w:val="none"/>
              </w:rPr>
            </w:r>
            <w:r/>
          </w:p>
        </w:tc>
        <w:tc>
          <w:tcPr>
            <w:tcW w:w="497"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15</w:t>
            </w:r>
            <w:r>
              <w:rPr>
                <w:rFonts w:hint="eastAsia" w:ascii="仿宋" w:hAnsi="仿宋" w:eastAsia="仿宋" w:cs="仿宋"/>
                <w:color w:val="000000"/>
                <w:szCs w:val="21"/>
                <w:highlight w:val="none"/>
                <w:lang w:val="en-US" w:eastAsia="zh-CN"/>
              </w:rPr>
            </w:r>
            <w:r/>
          </w:p>
        </w:tc>
        <w:tc>
          <w:tcPr>
            <w:tcW w:w="562" w:type="dxa"/>
            <w:vAlign w:val="center"/>
            <w:vMerge w:val="restart"/>
            <w:textDirection w:val="lrTb"/>
            <w:noWrap w:val="false"/>
          </w:tcPr>
          <w:p>
            <w:pPr>
              <w:pStyle w:val="953"/>
              <w:jc w:val="center"/>
              <w:widowControl/>
              <w:tabs>
                <w:tab w:val="left" w:pos="780" w:leader="none"/>
              </w:tabs>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35</w:t>
            </w:r>
            <w:r>
              <w:rPr>
                <w:rFonts w:hint="eastAsia" w:ascii="仿宋" w:hAnsi="仿宋" w:eastAsia="仿宋" w:cs="仿宋"/>
                <w:color w:val="000000"/>
                <w:szCs w:val="21"/>
                <w:highlight w:val="none"/>
                <w:lang w:val="en-US" w:eastAsia="zh-CN"/>
              </w:rPr>
            </w:r>
            <w:r/>
          </w:p>
        </w:tc>
      </w:tr>
      <w:tr>
        <w:trPr>
          <w:trHeight w:val="961"/>
        </w:trPr>
        <w:tc>
          <w:tcPr>
            <w:tcW w:w="393" w:type="dxa"/>
            <w:vAlign w:val="center"/>
            <w:vMerge w:val="continue"/>
            <w:textDirection w:val="lrTb"/>
            <w:noWrap w:val="false"/>
          </w:tcPr>
          <w:p>
            <w:pPr>
              <w:pStyle w:val="953"/>
              <w:jc w:val="center"/>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330"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B</w:t>
            </w:r>
            <w:r>
              <w:rPr>
                <w:rFonts w:hint="eastAsia" w:ascii="仿宋" w:hAnsi="仿宋" w:eastAsia="仿宋" w:cs="仿宋"/>
                <w:color w:val="000000"/>
                <w:szCs w:val="21"/>
                <w:highlight w:val="none"/>
                <w:lang w:val="en-US" w:eastAsia="zh-CN"/>
              </w:rPr>
            </w:r>
            <w:r/>
          </w:p>
        </w:tc>
        <w:tc>
          <w:tcPr>
            <w:tcW w:w="601"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重点绩效评价服务</w:t>
            </w:r>
            <w:r>
              <w:rPr>
                <w:rFonts w:hint="eastAsia" w:ascii="仿宋" w:hAnsi="仿宋" w:eastAsia="仿宋" w:cs="仿宋"/>
                <w:color w:val="000000"/>
                <w:szCs w:val="21"/>
                <w:highlight w:val="none"/>
              </w:rPr>
            </w:r>
            <w:r/>
          </w:p>
        </w:tc>
        <w:tc>
          <w:tcPr>
            <w:tcW w:w="376"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237" w:type="dxa"/>
            <w:vAlign w:val="center"/>
            <w:textDirection w:val="lrTb"/>
            <w:noWrap w:val="false"/>
          </w:tcPr>
          <w:p>
            <w:pPr>
              <w:pStyle w:val="953"/>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新质生产力集成政策重点绩效评价</w:t>
            </w:r>
            <w:r>
              <w:rPr>
                <w:rFonts w:hint="eastAsia" w:ascii="仿宋" w:hAnsi="仿宋" w:eastAsia="仿宋" w:cs="仿宋"/>
                <w:color w:val="000000"/>
                <w:szCs w:val="21"/>
                <w:highlight w:val="none"/>
              </w:rPr>
            </w:r>
            <w:r/>
          </w:p>
        </w:tc>
        <w:tc>
          <w:tcPr>
            <w:tcW w:w="497"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20</w:t>
            </w:r>
            <w:r>
              <w:rPr>
                <w:rFonts w:hint="eastAsia" w:ascii="仿宋" w:hAnsi="仿宋" w:eastAsia="仿宋" w:cs="仿宋"/>
                <w:color w:val="000000"/>
                <w:szCs w:val="21"/>
                <w:highlight w:val="none"/>
              </w:rPr>
            </w:r>
            <w:r/>
          </w:p>
        </w:tc>
        <w:tc>
          <w:tcPr>
            <w:tcW w:w="562" w:type="dxa"/>
            <w:vAlign w:val="center"/>
            <w:vMerge w:val="continue"/>
            <w:textDirection w:val="lrTb"/>
            <w:noWrap w:val="false"/>
          </w:tcPr>
          <w:p>
            <w:pPr>
              <w:pStyle w:val="953"/>
              <w:jc w:val="center"/>
              <w:widowControl/>
              <w:tabs>
                <w:tab w:val="left" w:pos="7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90"/>
        </w:trPr>
        <w:tc>
          <w:tcPr>
            <w:tcW w:w="393" w:type="dxa"/>
            <w:vAlign w:val="center"/>
            <w:vMerge w:val="restart"/>
            <w:textDirection w:val="lrTb"/>
            <w:noWrap w:val="false"/>
          </w:tcPr>
          <w:p>
            <w:pPr>
              <w:pStyle w:val="953"/>
              <w:jc w:val="center"/>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采购</w:t>
            </w:r>
            <w:r>
              <w:rPr>
                <w:rFonts w:hint="eastAsia" w:ascii="仿宋" w:hAnsi="仿宋" w:eastAsia="仿宋" w:cs="仿宋"/>
                <w:color w:val="000000"/>
                <w:szCs w:val="21"/>
                <w:highlight w:val="none"/>
              </w:rPr>
              <w:t xml:space="preserve">包3</w:t>
            </w:r>
            <w:r>
              <w:rPr>
                <w:rFonts w:hint="eastAsia" w:ascii="仿宋" w:hAnsi="仿宋" w:eastAsia="仿宋" w:cs="仿宋"/>
                <w:color w:val="000000"/>
                <w:szCs w:val="21"/>
                <w:highlight w:val="none"/>
              </w:rPr>
            </w:r>
            <w:r/>
          </w:p>
        </w:tc>
        <w:tc>
          <w:tcPr>
            <w:tcW w:w="330"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A</w:t>
            </w:r>
            <w:r>
              <w:rPr>
                <w:rFonts w:hint="eastAsia" w:ascii="仿宋" w:hAnsi="仿宋" w:eastAsia="仿宋" w:cs="仿宋"/>
                <w:color w:val="000000"/>
                <w:szCs w:val="21"/>
                <w:highlight w:val="none"/>
                <w:lang w:val="en-US" w:eastAsia="zh-CN"/>
              </w:rPr>
            </w:r>
            <w:r/>
          </w:p>
        </w:tc>
        <w:tc>
          <w:tcPr>
            <w:tcW w:w="601"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 xml:space="preserve">事前绩效评估</w:t>
            </w:r>
            <w:r>
              <w:rPr>
                <w:rFonts w:hint="eastAsia" w:ascii="仿宋" w:hAnsi="仿宋" w:eastAsia="仿宋" w:cs="仿宋"/>
                <w:color w:val="000000"/>
                <w:szCs w:val="21"/>
                <w:highlight w:val="none"/>
              </w:rPr>
              <w:t xml:space="preserve">服务</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val="en-US" w:eastAsia="zh-CN"/>
              </w:rPr>
              <w:t xml:space="preserve">重点偏向运用成本绩效分析方法开展投入经济性分析</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eastAsia="zh-CN"/>
              </w:rPr>
            </w:r>
            <w:r/>
          </w:p>
        </w:tc>
        <w:tc>
          <w:tcPr>
            <w:tcW w:w="376"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237" w:type="dxa"/>
            <w:vAlign w:val="center"/>
            <w:textDirection w:val="lrTb"/>
            <w:noWrap w:val="false"/>
          </w:tcPr>
          <w:p>
            <w:pPr>
              <w:pStyle w:val="953"/>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太仓市明德高级中学宿舍楼翻修工程</w:t>
            </w:r>
            <w:r>
              <w:rPr>
                <w:rFonts w:hint="eastAsia" w:ascii="仿宋" w:hAnsi="仿宋" w:eastAsia="仿宋" w:cs="仿宋"/>
                <w:color w:val="000000"/>
                <w:szCs w:val="21"/>
                <w:highlight w:val="none"/>
                <w:lang w:eastAsia="zh-CN"/>
              </w:rPr>
              <w:t xml:space="preserve">事前绩效评估</w:t>
            </w:r>
            <w:r>
              <w:rPr>
                <w:rFonts w:hint="eastAsia" w:ascii="仿宋" w:hAnsi="仿宋" w:eastAsia="仿宋" w:cs="仿宋"/>
                <w:color w:val="000000"/>
                <w:szCs w:val="21"/>
                <w:highlight w:val="none"/>
              </w:rPr>
            </w:r>
            <w:r/>
          </w:p>
        </w:tc>
        <w:tc>
          <w:tcPr>
            <w:tcW w:w="497"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15</w:t>
            </w:r>
            <w:r>
              <w:rPr>
                <w:rFonts w:hint="eastAsia" w:ascii="仿宋" w:hAnsi="仿宋" w:eastAsia="仿宋" w:cs="仿宋"/>
                <w:color w:val="000000"/>
                <w:szCs w:val="21"/>
                <w:highlight w:val="none"/>
                <w:lang w:val="en-US" w:eastAsia="zh-CN"/>
              </w:rPr>
            </w:r>
            <w:r/>
          </w:p>
        </w:tc>
        <w:tc>
          <w:tcPr>
            <w:tcW w:w="562" w:type="dxa"/>
            <w:vAlign w:val="center"/>
            <w:vMerge w:val="restart"/>
            <w:textDirection w:val="lrTb"/>
            <w:noWrap w:val="false"/>
          </w:tcPr>
          <w:p>
            <w:pPr>
              <w:pStyle w:val="953"/>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30</w:t>
            </w:r>
            <w:r>
              <w:rPr>
                <w:rFonts w:hint="eastAsia" w:ascii="仿宋" w:hAnsi="仿宋" w:eastAsia="仿宋" w:cs="仿宋"/>
                <w:color w:val="000000"/>
                <w:szCs w:val="21"/>
                <w:highlight w:val="none"/>
                <w:lang w:val="en-US" w:eastAsia="zh-CN"/>
              </w:rPr>
            </w:r>
            <w:r/>
          </w:p>
        </w:tc>
      </w:tr>
      <w:tr>
        <w:trPr>
          <w:trHeight w:val="90"/>
        </w:trPr>
        <w:tc>
          <w:tcPr>
            <w:tcW w:w="393" w:type="dxa"/>
            <w:vAlign w:val="center"/>
            <w:vMerge w:val="continue"/>
            <w:textDirection w:val="lrTb"/>
            <w:noWrap w:val="false"/>
          </w:tcPr>
          <w:p>
            <w:pPr>
              <w:pStyle w:val="953"/>
              <w:jc w:val="center"/>
              <w:spacing w:line="400" w:lineRule="exact"/>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r>
            <w:r/>
          </w:p>
        </w:tc>
        <w:tc>
          <w:tcPr>
            <w:tcW w:w="330" w:type="dxa"/>
            <w:vAlign w:val="center"/>
            <w:vMerge w:val="restart"/>
            <w:textDirection w:val="lrTb"/>
            <w:noWrap w:val="false"/>
          </w:tcPr>
          <w:p>
            <w:pPr>
              <w:pStyle w:val="953"/>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B</w:t>
            </w:r>
            <w:r>
              <w:rPr>
                <w:rFonts w:hint="eastAsia" w:ascii="仿宋" w:hAnsi="仿宋" w:eastAsia="仿宋" w:cs="仿宋"/>
                <w:color w:val="000000"/>
                <w:szCs w:val="21"/>
                <w:highlight w:val="none"/>
                <w:lang w:val="en-US" w:eastAsia="zh-CN"/>
              </w:rPr>
            </w:r>
            <w:r/>
          </w:p>
        </w:tc>
        <w:tc>
          <w:tcPr>
            <w:tcW w:w="601" w:type="dxa"/>
            <w:vAlign w:val="center"/>
            <w:vMerge w:val="restart"/>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重点绩效评价服务</w:t>
            </w:r>
            <w:r>
              <w:rPr>
                <w:rFonts w:hint="eastAsia" w:ascii="仿宋" w:hAnsi="仿宋" w:eastAsia="仿宋" w:cs="仿宋"/>
                <w:color w:val="000000"/>
                <w:szCs w:val="21"/>
                <w:highlight w:val="none"/>
              </w:rPr>
            </w:r>
            <w:r/>
          </w:p>
        </w:tc>
        <w:tc>
          <w:tcPr>
            <w:tcW w:w="376"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1</w:t>
            </w:r>
            <w:r>
              <w:rPr>
                <w:rFonts w:hint="eastAsia" w:ascii="仿宋" w:hAnsi="仿宋" w:eastAsia="仿宋" w:cs="仿宋"/>
                <w:color w:val="000000"/>
                <w:szCs w:val="21"/>
                <w:highlight w:val="none"/>
                <w:lang w:val="en-US" w:eastAsia="zh-CN"/>
              </w:rPr>
            </w:r>
            <w:r/>
          </w:p>
        </w:tc>
        <w:tc>
          <w:tcPr>
            <w:tcW w:w="2237" w:type="dxa"/>
            <w:vAlign w:val="center"/>
            <w:textDirection w:val="lrTb"/>
            <w:noWrap w:val="false"/>
          </w:tcPr>
          <w:p>
            <w:pPr>
              <w:pStyle w:val="953"/>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残疾人康复经费</w:t>
            </w:r>
            <w:r>
              <w:rPr>
                <w:rFonts w:hint="eastAsia" w:ascii="仿宋" w:hAnsi="仿宋" w:eastAsia="仿宋" w:cs="仿宋"/>
                <w:color w:val="000000"/>
                <w:szCs w:val="21"/>
                <w:highlight w:val="none"/>
              </w:rPr>
              <w:t xml:space="preserve">重点绩效评价</w:t>
            </w:r>
            <w:r>
              <w:rPr>
                <w:rFonts w:hint="eastAsia" w:ascii="仿宋" w:hAnsi="仿宋" w:eastAsia="仿宋" w:cs="仿宋"/>
                <w:color w:val="000000"/>
                <w:szCs w:val="21"/>
                <w:highlight w:val="none"/>
              </w:rPr>
            </w:r>
            <w:r/>
          </w:p>
        </w:tc>
        <w:tc>
          <w:tcPr>
            <w:tcW w:w="497"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8</w:t>
            </w:r>
            <w:r>
              <w:rPr>
                <w:rFonts w:hint="eastAsia" w:ascii="仿宋" w:hAnsi="仿宋" w:eastAsia="仿宋" w:cs="仿宋"/>
                <w:color w:val="000000"/>
                <w:szCs w:val="21"/>
                <w:highlight w:val="none"/>
                <w:lang w:val="en-US" w:eastAsia="zh-CN"/>
              </w:rPr>
            </w:r>
            <w:r/>
          </w:p>
        </w:tc>
        <w:tc>
          <w:tcPr>
            <w:tcW w:w="562"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90"/>
        </w:trPr>
        <w:tc>
          <w:tcPr>
            <w:tcW w:w="393" w:type="dxa"/>
            <w:vAlign w:val="center"/>
            <w:vMerge w:val="continue"/>
            <w:textDirection w:val="lrTb"/>
            <w:noWrap w:val="false"/>
          </w:tcPr>
          <w:p>
            <w:pPr>
              <w:pStyle w:val="953"/>
              <w:jc w:val="center"/>
              <w:spacing w:line="400" w:lineRule="exact"/>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r>
            <w:r/>
          </w:p>
        </w:tc>
        <w:tc>
          <w:tcPr>
            <w:tcW w:w="330"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1"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376"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2</w:t>
            </w:r>
            <w:r>
              <w:rPr>
                <w:rFonts w:hint="eastAsia" w:ascii="仿宋" w:hAnsi="仿宋" w:eastAsia="仿宋" w:cs="仿宋"/>
                <w:color w:val="000000"/>
                <w:szCs w:val="21"/>
                <w:highlight w:val="none"/>
                <w:lang w:val="en-US" w:eastAsia="zh-CN"/>
              </w:rPr>
            </w:r>
            <w:r/>
          </w:p>
        </w:tc>
        <w:tc>
          <w:tcPr>
            <w:tcW w:w="2237" w:type="dxa"/>
            <w:vAlign w:val="center"/>
            <w:textDirection w:val="lrTb"/>
            <w:noWrap w:val="false"/>
          </w:tcPr>
          <w:p>
            <w:pPr>
              <w:pStyle w:val="953"/>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梅山猪保种补助经费</w:t>
            </w:r>
            <w:r>
              <w:rPr>
                <w:rFonts w:hint="eastAsia" w:ascii="仿宋" w:hAnsi="仿宋" w:eastAsia="仿宋" w:cs="仿宋"/>
                <w:color w:val="000000"/>
                <w:szCs w:val="21"/>
                <w:highlight w:val="none"/>
              </w:rPr>
              <w:t xml:space="preserve">重点绩效评价</w:t>
            </w:r>
            <w:r>
              <w:rPr>
                <w:rFonts w:hint="eastAsia" w:ascii="仿宋" w:hAnsi="仿宋" w:eastAsia="仿宋" w:cs="仿宋"/>
                <w:color w:val="000000"/>
                <w:szCs w:val="21"/>
                <w:highlight w:val="none"/>
              </w:rPr>
            </w:r>
            <w:r/>
          </w:p>
        </w:tc>
        <w:tc>
          <w:tcPr>
            <w:tcW w:w="497"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7</w:t>
            </w:r>
            <w:r>
              <w:rPr>
                <w:rFonts w:hint="eastAsia" w:ascii="仿宋" w:hAnsi="仿宋" w:eastAsia="仿宋" w:cs="仿宋"/>
                <w:color w:val="000000"/>
                <w:szCs w:val="21"/>
                <w:highlight w:val="none"/>
                <w:lang w:val="en-US" w:eastAsia="zh-CN"/>
              </w:rPr>
            </w:r>
            <w:r/>
          </w:p>
        </w:tc>
        <w:tc>
          <w:tcPr>
            <w:tcW w:w="562"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652"/>
        </w:trPr>
        <w:tc>
          <w:tcPr>
            <w:tcW w:w="393" w:type="dxa"/>
            <w:vAlign w:val="center"/>
            <w:textDirection w:val="lrTb"/>
            <w:noWrap w:val="false"/>
          </w:tcPr>
          <w:p>
            <w:pPr>
              <w:pStyle w:val="953"/>
              <w:jc w:val="center"/>
              <w:spacing w:line="400" w:lineRule="exact"/>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bidi="ar"/>
              </w:rPr>
              <w:t xml:space="preserve">采购</w:t>
            </w:r>
            <w:r>
              <w:rPr>
                <w:rFonts w:hint="eastAsia" w:ascii="仿宋" w:hAnsi="仿宋" w:eastAsia="仿宋" w:cs="仿宋"/>
                <w:color w:val="000000"/>
                <w:szCs w:val="21"/>
                <w:highlight w:val="none"/>
              </w:rPr>
              <w:t xml:space="preserve">包</w:t>
            </w:r>
            <w:r>
              <w:rPr>
                <w:rFonts w:hint="eastAsia" w:ascii="仿宋" w:hAnsi="仿宋" w:eastAsia="仿宋" w:cs="仿宋"/>
                <w:color w:val="000000"/>
                <w:szCs w:val="21"/>
                <w:highlight w:val="none"/>
                <w:lang w:val="en-US" w:eastAsia="zh-CN"/>
              </w:rPr>
              <w:t xml:space="preserve">4</w:t>
            </w:r>
            <w:r>
              <w:rPr>
                <w:rFonts w:hint="eastAsia" w:ascii="仿宋" w:hAnsi="仿宋" w:eastAsia="仿宋" w:cs="仿宋"/>
                <w:color w:val="000000"/>
                <w:szCs w:val="21"/>
                <w:highlight w:val="none"/>
                <w:lang w:eastAsia="zh-CN"/>
              </w:rPr>
            </w:r>
            <w:r/>
          </w:p>
        </w:tc>
        <w:tc>
          <w:tcPr>
            <w:tcW w:w="330"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1"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自评价复核服务</w:t>
            </w:r>
            <w:r>
              <w:rPr>
                <w:rFonts w:hint="eastAsia" w:ascii="仿宋" w:hAnsi="仿宋" w:eastAsia="仿宋" w:cs="仿宋"/>
                <w:color w:val="000000"/>
                <w:szCs w:val="21"/>
                <w:highlight w:val="none"/>
              </w:rPr>
            </w:r>
            <w:r/>
          </w:p>
        </w:tc>
        <w:tc>
          <w:tcPr>
            <w:tcW w:w="376"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237" w:type="dxa"/>
            <w:vAlign w:val="center"/>
            <w:textDirection w:val="lrTb"/>
            <w:noWrap w:val="false"/>
          </w:tcPr>
          <w:p>
            <w:pPr>
              <w:pStyle w:val="953"/>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80</w:t>
            </w:r>
            <w:r>
              <w:rPr>
                <w:rFonts w:hint="eastAsia" w:ascii="仿宋" w:hAnsi="仿宋" w:eastAsia="仿宋" w:cs="仿宋"/>
                <w:color w:val="000000"/>
                <w:szCs w:val="21"/>
                <w:highlight w:val="none"/>
              </w:rPr>
              <w:t xml:space="preserve">个项目</w:t>
            </w:r>
            <w:r>
              <w:rPr>
                <w:rFonts w:hint="eastAsia" w:ascii="仿宋" w:hAnsi="仿宋" w:eastAsia="仿宋" w:cs="仿宋"/>
                <w:color w:val="000000"/>
                <w:szCs w:val="21"/>
                <w:highlight w:val="none"/>
              </w:rPr>
            </w:r>
            <w:r/>
          </w:p>
        </w:tc>
        <w:tc>
          <w:tcPr>
            <w:tcW w:w="497"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25</w:t>
            </w:r>
            <w:r>
              <w:rPr>
                <w:rFonts w:hint="eastAsia" w:ascii="仿宋" w:hAnsi="仿宋" w:eastAsia="仿宋" w:cs="仿宋"/>
                <w:color w:val="000000"/>
                <w:szCs w:val="21"/>
                <w:highlight w:val="none"/>
                <w:lang w:val="en-US" w:eastAsia="zh-CN"/>
              </w:rPr>
            </w:r>
            <w:r/>
          </w:p>
        </w:tc>
        <w:tc>
          <w:tcPr>
            <w:tcW w:w="562"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25</w:t>
            </w:r>
            <w:r>
              <w:rPr>
                <w:rFonts w:hint="eastAsia" w:ascii="仿宋" w:hAnsi="仿宋" w:eastAsia="仿宋" w:cs="仿宋"/>
                <w:color w:val="000000"/>
                <w:szCs w:val="21"/>
                <w:highlight w:val="none"/>
                <w:lang w:val="en-US" w:eastAsia="zh-CN"/>
              </w:rPr>
            </w:r>
            <w:r/>
          </w:p>
        </w:tc>
      </w:tr>
      <w:tr>
        <w:trPr>
          <w:trHeight w:val="803"/>
        </w:trPr>
        <w:tc>
          <w:tcPr>
            <w:tcW w:w="393" w:type="dxa"/>
            <w:vAlign w:val="center"/>
            <w:vMerge w:val="restart"/>
            <w:textDirection w:val="lrTb"/>
            <w:noWrap w:val="false"/>
          </w:tcPr>
          <w:p>
            <w:pPr>
              <w:pStyle w:val="953"/>
              <w:jc w:val="center"/>
              <w:spacing w:line="400" w:lineRule="exact"/>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bidi="ar"/>
              </w:rPr>
              <w:t xml:space="preserve">采购</w:t>
            </w:r>
            <w:r>
              <w:rPr>
                <w:rFonts w:hint="eastAsia" w:ascii="仿宋" w:hAnsi="仿宋" w:eastAsia="仿宋" w:cs="仿宋"/>
                <w:color w:val="000000"/>
                <w:szCs w:val="21"/>
                <w:highlight w:val="none"/>
              </w:rPr>
              <w:t xml:space="preserve">包</w:t>
            </w: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lang w:val="en-US" w:eastAsia="zh-CN"/>
              </w:rPr>
            </w:r>
            <w:r/>
          </w:p>
        </w:tc>
        <w:tc>
          <w:tcPr>
            <w:tcW w:w="330" w:type="dxa"/>
            <w:vAlign w:val="center"/>
            <w:vMerge w:val="restart"/>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1" w:type="dxa"/>
            <w:vAlign w:val="center"/>
            <w:vMerge w:val="restart"/>
            <w:textDirection w:val="lrTb"/>
            <w:noWrap w:val="false"/>
          </w:tcPr>
          <w:p>
            <w:pPr>
              <w:pStyle w:val="953"/>
              <w:jc w:val="center"/>
              <w:spacing w:line="400" w:lineRule="exact"/>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 xml:space="preserve">监督协审服务</w:t>
            </w:r>
            <w:r>
              <w:rPr>
                <w:rFonts w:hint="eastAsia" w:ascii="仿宋" w:hAnsi="仿宋" w:eastAsia="仿宋" w:cs="仿宋"/>
                <w:color w:val="000000"/>
                <w:szCs w:val="21"/>
                <w:highlight w:val="none"/>
                <w:lang w:eastAsia="zh-CN"/>
              </w:rPr>
            </w:r>
            <w:r/>
          </w:p>
        </w:tc>
        <w:tc>
          <w:tcPr>
            <w:tcW w:w="376"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1</w:t>
            </w:r>
            <w:r>
              <w:rPr>
                <w:rFonts w:hint="eastAsia" w:ascii="仿宋" w:hAnsi="仿宋" w:eastAsia="仿宋" w:cs="仿宋"/>
                <w:color w:val="000000"/>
                <w:szCs w:val="21"/>
                <w:highlight w:val="none"/>
                <w:lang w:val="en-US" w:eastAsia="zh-CN"/>
              </w:rPr>
            </w:r>
            <w:r/>
          </w:p>
        </w:tc>
        <w:tc>
          <w:tcPr>
            <w:tcW w:w="2237" w:type="dxa"/>
            <w:vAlign w:val="center"/>
            <w:textDirection w:val="lrTb"/>
            <w:noWrap w:val="false"/>
          </w:tcPr>
          <w:p>
            <w:pPr>
              <w:pStyle w:val="953"/>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重大公共卫生服务经费（太仓市卫生健康委员会）</w:t>
            </w:r>
            <w:r>
              <w:rPr>
                <w:rFonts w:hint="eastAsia" w:ascii="仿宋" w:hAnsi="仿宋" w:eastAsia="仿宋" w:cs="仿宋"/>
                <w:color w:val="000000"/>
                <w:szCs w:val="21"/>
                <w:highlight w:val="none"/>
                <w:lang w:val="en-US" w:eastAsia="zh-CN"/>
              </w:rPr>
              <w:t xml:space="preserve">监督协审</w:t>
            </w:r>
            <w:r>
              <w:rPr>
                <w:rFonts w:hint="eastAsia" w:ascii="仿宋" w:hAnsi="仿宋" w:eastAsia="仿宋" w:cs="仿宋"/>
                <w:color w:val="000000"/>
                <w:szCs w:val="21"/>
                <w:highlight w:val="none"/>
                <w:lang w:val="en-US" w:eastAsia="zh-CN"/>
              </w:rPr>
            </w:r>
            <w:r/>
          </w:p>
        </w:tc>
        <w:tc>
          <w:tcPr>
            <w:tcW w:w="497"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7</w:t>
            </w:r>
            <w:r>
              <w:rPr>
                <w:rFonts w:hint="eastAsia" w:ascii="仿宋" w:hAnsi="仿宋" w:eastAsia="仿宋" w:cs="仿宋"/>
                <w:color w:val="000000"/>
                <w:szCs w:val="21"/>
                <w:highlight w:val="none"/>
                <w:lang w:val="en-US" w:eastAsia="zh-CN"/>
              </w:rPr>
            </w:r>
            <w:r/>
          </w:p>
        </w:tc>
        <w:tc>
          <w:tcPr>
            <w:tcW w:w="562" w:type="dxa"/>
            <w:vAlign w:val="center"/>
            <w:vMerge w:val="restart"/>
            <w:textDirection w:val="lrTb"/>
            <w:noWrap w:val="false"/>
          </w:tcPr>
          <w:p>
            <w:pPr>
              <w:pStyle w:val="953"/>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25</w:t>
            </w:r>
            <w:r>
              <w:rPr>
                <w:rFonts w:hint="eastAsia" w:ascii="仿宋" w:hAnsi="仿宋" w:eastAsia="仿宋" w:cs="仿宋"/>
                <w:color w:val="000000"/>
                <w:szCs w:val="21"/>
                <w:highlight w:val="none"/>
                <w:lang w:val="en-US" w:eastAsia="zh-CN"/>
              </w:rPr>
            </w:r>
            <w:r/>
          </w:p>
        </w:tc>
      </w:tr>
      <w:tr>
        <w:trPr>
          <w:trHeight w:val="803"/>
        </w:trPr>
        <w:tc>
          <w:tcPr>
            <w:tcW w:w="393" w:type="dxa"/>
            <w:vAlign w:val="center"/>
            <w:vMerge w:val="continue"/>
            <w:textDirection w:val="lrTb"/>
            <w:noWrap w:val="false"/>
          </w:tcPr>
          <w:p>
            <w:pPr>
              <w:pStyle w:val="953"/>
              <w:jc w:val="center"/>
              <w:spacing w:line="400" w:lineRule="exact"/>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r>
            <w:r/>
          </w:p>
        </w:tc>
        <w:tc>
          <w:tcPr>
            <w:tcW w:w="330"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1"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376"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2</w:t>
            </w:r>
            <w:r>
              <w:rPr>
                <w:rFonts w:hint="eastAsia" w:ascii="仿宋" w:hAnsi="仿宋" w:eastAsia="仿宋" w:cs="仿宋"/>
                <w:color w:val="000000"/>
                <w:szCs w:val="21"/>
                <w:highlight w:val="none"/>
                <w:lang w:val="en-US" w:eastAsia="zh-CN"/>
              </w:rPr>
            </w:r>
            <w:r/>
          </w:p>
        </w:tc>
        <w:tc>
          <w:tcPr>
            <w:tcW w:w="2237" w:type="dxa"/>
            <w:vAlign w:val="center"/>
            <w:textDirection w:val="lrTb"/>
            <w:noWrap w:val="false"/>
          </w:tcPr>
          <w:p>
            <w:pPr>
              <w:pStyle w:val="953"/>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红十字生命救助站经费（太仓市红十字会）</w:t>
            </w:r>
            <w:r>
              <w:rPr>
                <w:rFonts w:hint="eastAsia" w:ascii="仿宋" w:hAnsi="仿宋" w:eastAsia="仿宋" w:cs="仿宋"/>
                <w:color w:val="000000"/>
                <w:szCs w:val="21"/>
                <w:highlight w:val="none"/>
                <w:lang w:val="en-US" w:eastAsia="zh-CN"/>
              </w:rPr>
              <w:t xml:space="preserve">监督协审</w:t>
            </w:r>
            <w:r>
              <w:rPr>
                <w:rFonts w:hint="eastAsia" w:ascii="仿宋" w:hAnsi="仿宋" w:eastAsia="仿宋" w:cs="仿宋"/>
                <w:color w:val="000000"/>
                <w:szCs w:val="21"/>
                <w:highlight w:val="none"/>
                <w:lang w:val="en-US" w:eastAsia="zh-CN"/>
              </w:rPr>
            </w:r>
            <w:r/>
          </w:p>
        </w:tc>
        <w:tc>
          <w:tcPr>
            <w:tcW w:w="497"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lang w:val="en-US" w:eastAsia="zh-CN"/>
              </w:rPr>
            </w:r>
            <w:r/>
          </w:p>
        </w:tc>
        <w:tc>
          <w:tcPr>
            <w:tcW w:w="562"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803"/>
        </w:trPr>
        <w:tc>
          <w:tcPr>
            <w:tcW w:w="393" w:type="dxa"/>
            <w:vAlign w:val="center"/>
            <w:vMerge w:val="continue"/>
            <w:textDirection w:val="lrTb"/>
            <w:noWrap w:val="false"/>
          </w:tcPr>
          <w:p>
            <w:pPr>
              <w:pStyle w:val="953"/>
              <w:jc w:val="center"/>
              <w:spacing w:line="400" w:lineRule="exact"/>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r>
            <w:r/>
          </w:p>
        </w:tc>
        <w:tc>
          <w:tcPr>
            <w:tcW w:w="330"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1"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376"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3</w:t>
            </w:r>
            <w:r>
              <w:rPr>
                <w:rFonts w:hint="eastAsia" w:ascii="仿宋" w:hAnsi="仿宋" w:eastAsia="仿宋" w:cs="仿宋"/>
                <w:color w:val="000000"/>
                <w:szCs w:val="21"/>
                <w:highlight w:val="none"/>
                <w:lang w:val="en-US" w:eastAsia="zh-CN"/>
              </w:rPr>
            </w:r>
            <w:r/>
          </w:p>
        </w:tc>
        <w:tc>
          <w:tcPr>
            <w:tcW w:w="2237" w:type="dxa"/>
            <w:vAlign w:val="center"/>
            <w:textDirection w:val="lrTb"/>
            <w:noWrap w:val="false"/>
          </w:tcPr>
          <w:p>
            <w:pPr>
              <w:pStyle w:val="953"/>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德育新时空内涵建设项目（太仓市教育局）</w:t>
            </w:r>
            <w:r>
              <w:rPr>
                <w:rFonts w:hint="eastAsia" w:ascii="仿宋" w:hAnsi="仿宋" w:eastAsia="仿宋" w:cs="仿宋"/>
                <w:color w:val="000000"/>
                <w:szCs w:val="21"/>
                <w:highlight w:val="none"/>
                <w:lang w:val="en-US" w:eastAsia="zh-CN"/>
              </w:rPr>
              <w:t xml:space="preserve">监督协审</w:t>
            </w:r>
            <w:r>
              <w:rPr>
                <w:rFonts w:hint="eastAsia" w:ascii="仿宋" w:hAnsi="仿宋" w:eastAsia="仿宋" w:cs="仿宋"/>
                <w:color w:val="000000"/>
                <w:szCs w:val="21"/>
                <w:highlight w:val="none"/>
                <w:lang w:val="en-US" w:eastAsia="zh-CN"/>
              </w:rPr>
            </w:r>
            <w:r/>
          </w:p>
        </w:tc>
        <w:tc>
          <w:tcPr>
            <w:tcW w:w="497"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lang w:val="en-US" w:eastAsia="zh-CN"/>
              </w:rPr>
            </w:r>
            <w:r/>
          </w:p>
        </w:tc>
        <w:tc>
          <w:tcPr>
            <w:tcW w:w="562"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803"/>
        </w:trPr>
        <w:tc>
          <w:tcPr>
            <w:tcW w:w="393" w:type="dxa"/>
            <w:vAlign w:val="center"/>
            <w:vMerge w:val="continue"/>
            <w:textDirection w:val="lrTb"/>
            <w:noWrap w:val="false"/>
          </w:tcPr>
          <w:p>
            <w:pPr>
              <w:pStyle w:val="953"/>
              <w:jc w:val="center"/>
              <w:spacing w:line="400" w:lineRule="exact"/>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r>
            <w:r/>
          </w:p>
        </w:tc>
        <w:tc>
          <w:tcPr>
            <w:tcW w:w="330"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1"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376"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4</w:t>
            </w:r>
            <w:r>
              <w:rPr>
                <w:rFonts w:hint="eastAsia" w:ascii="仿宋" w:hAnsi="仿宋" w:eastAsia="仿宋" w:cs="仿宋"/>
                <w:color w:val="000000"/>
                <w:szCs w:val="21"/>
                <w:highlight w:val="none"/>
                <w:lang w:val="en-US" w:eastAsia="zh-CN"/>
              </w:rPr>
            </w:r>
            <w:r/>
          </w:p>
        </w:tc>
        <w:tc>
          <w:tcPr>
            <w:tcW w:w="2237" w:type="dxa"/>
            <w:vAlign w:val="center"/>
            <w:textDirection w:val="lrTb"/>
            <w:noWrap w:val="false"/>
          </w:tcPr>
          <w:p>
            <w:pPr>
              <w:pStyle w:val="953"/>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2个联动项目（单份报告预算金额为3万元，根据实际业务和上级要求，视情况出具协审报告或附码的专项审计报告，按实际出具数量结算，单份报告结算价=3万*中标折扣率）</w:t>
            </w:r>
            <w:r>
              <w:rPr>
                <w:rFonts w:hint="eastAsia" w:ascii="仿宋" w:hAnsi="仿宋" w:eastAsia="仿宋" w:cs="仿宋"/>
                <w:color w:val="000000"/>
                <w:szCs w:val="21"/>
                <w:highlight w:val="none"/>
              </w:rPr>
            </w:r>
            <w:r/>
          </w:p>
        </w:tc>
        <w:tc>
          <w:tcPr>
            <w:tcW w:w="497"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lang w:val="en-US" w:eastAsia="zh-CN"/>
              </w:rPr>
            </w:r>
            <w:r/>
          </w:p>
        </w:tc>
        <w:tc>
          <w:tcPr>
            <w:tcW w:w="562"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802"/>
        </w:trPr>
        <w:tc>
          <w:tcPr>
            <w:tcW w:w="393" w:type="dxa"/>
            <w:vAlign w:val="center"/>
            <w:vMerge w:val="restart"/>
            <w:textDirection w:val="lrTb"/>
            <w:noWrap w:val="false"/>
          </w:tcPr>
          <w:p>
            <w:pPr>
              <w:pStyle w:val="953"/>
              <w:jc w:val="center"/>
              <w:spacing w:line="400" w:lineRule="exact"/>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bidi="ar"/>
              </w:rPr>
              <w:t xml:space="preserve">采购</w:t>
            </w:r>
            <w:r>
              <w:rPr>
                <w:rFonts w:hint="eastAsia" w:ascii="仿宋" w:hAnsi="仿宋" w:eastAsia="仿宋" w:cs="仿宋"/>
                <w:color w:val="000000"/>
                <w:szCs w:val="21"/>
                <w:highlight w:val="none"/>
              </w:rPr>
              <w:t xml:space="preserve">包</w:t>
            </w: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lang w:val="en-US" w:eastAsia="zh-CN"/>
              </w:rPr>
            </w:r>
            <w:r/>
          </w:p>
        </w:tc>
        <w:tc>
          <w:tcPr>
            <w:tcW w:w="330" w:type="dxa"/>
            <w:vAlign w:val="center"/>
            <w:vMerge w:val="restart"/>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1" w:type="dxa"/>
            <w:vAlign w:val="center"/>
            <w:vMerge w:val="restart"/>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CN"/>
              </w:rPr>
              <w:t xml:space="preserve">监督协审服务</w:t>
            </w:r>
            <w:r>
              <w:rPr>
                <w:rFonts w:hint="eastAsia" w:ascii="仿宋" w:hAnsi="仿宋" w:eastAsia="仿宋" w:cs="仿宋"/>
                <w:color w:val="000000"/>
                <w:szCs w:val="21"/>
                <w:highlight w:val="none"/>
              </w:rPr>
            </w:r>
            <w:r/>
          </w:p>
        </w:tc>
        <w:tc>
          <w:tcPr>
            <w:tcW w:w="376"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1</w:t>
            </w:r>
            <w:r>
              <w:rPr>
                <w:rFonts w:hint="eastAsia" w:ascii="仿宋" w:hAnsi="仿宋" w:eastAsia="仿宋" w:cs="仿宋"/>
                <w:color w:val="000000"/>
                <w:szCs w:val="21"/>
                <w:highlight w:val="none"/>
              </w:rPr>
            </w:r>
            <w:r/>
          </w:p>
        </w:tc>
        <w:tc>
          <w:tcPr>
            <w:tcW w:w="2237" w:type="dxa"/>
            <w:vAlign w:val="center"/>
            <w:textDirection w:val="lrTb"/>
            <w:noWrap w:val="false"/>
          </w:tcPr>
          <w:p>
            <w:pPr>
              <w:pStyle w:val="953"/>
              <w:spacing w:line="400" w:lineRule="exact"/>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专项债券审计</w:t>
            </w:r>
            <w:r>
              <w:rPr>
                <w:rFonts w:hint="eastAsia" w:ascii="仿宋" w:hAnsi="仿宋" w:eastAsia="仿宋" w:cs="仿宋"/>
                <w:color w:val="000000"/>
                <w:szCs w:val="21"/>
                <w:highlight w:val="none"/>
                <w:lang w:eastAsia="zh-CN"/>
              </w:rPr>
              <w:t xml:space="preserve">（需出具附码的专项审计报告）</w:t>
            </w:r>
            <w:r>
              <w:rPr>
                <w:rFonts w:hint="eastAsia" w:ascii="仿宋" w:hAnsi="仿宋" w:eastAsia="仿宋" w:cs="仿宋"/>
                <w:color w:val="000000"/>
                <w:szCs w:val="21"/>
                <w:highlight w:val="none"/>
                <w:lang w:eastAsia="zh-CN"/>
              </w:rPr>
            </w:r>
            <w:r/>
          </w:p>
        </w:tc>
        <w:tc>
          <w:tcPr>
            <w:tcW w:w="497"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lang w:val="en-US" w:eastAsia="zh-CN"/>
              </w:rPr>
            </w:r>
            <w:r/>
          </w:p>
        </w:tc>
        <w:tc>
          <w:tcPr>
            <w:tcW w:w="562" w:type="dxa"/>
            <w:vAlign w:val="center"/>
            <w:vMerge w:val="restart"/>
            <w:textDirection w:val="lrTb"/>
            <w:noWrap w:val="false"/>
          </w:tcPr>
          <w:p>
            <w:pPr>
              <w:pStyle w:val="953"/>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25</w:t>
            </w:r>
            <w:r>
              <w:rPr>
                <w:rFonts w:hint="eastAsia" w:ascii="仿宋" w:hAnsi="仿宋" w:eastAsia="仿宋" w:cs="仿宋"/>
                <w:color w:val="000000"/>
                <w:szCs w:val="21"/>
                <w:highlight w:val="none"/>
                <w:lang w:val="en-US" w:eastAsia="zh-CN"/>
              </w:rPr>
            </w:r>
            <w:r/>
          </w:p>
        </w:tc>
      </w:tr>
      <w:tr>
        <w:trPr>
          <w:trHeight w:val="802"/>
        </w:trPr>
        <w:tc>
          <w:tcPr>
            <w:tcW w:w="393" w:type="dxa"/>
            <w:vAlign w:val="center"/>
            <w:vMerge w:val="continue"/>
            <w:textDirection w:val="lrTb"/>
            <w:noWrap w:val="false"/>
          </w:tcPr>
          <w:p>
            <w:pPr>
              <w:pStyle w:val="953"/>
              <w:jc w:val="center"/>
              <w:spacing w:line="400" w:lineRule="exact"/>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r>
            <w:r/>
          </w:p>
        </w:tc>
        <w:tc>
          <w:tcPr>
            <w:tcW w:w="330"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1"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376"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2</w:t>
            </w:r>
            <w:r>
              <w:rPr>
                <w:rFonts w:hint="eastAsia" w:ascii="仿宋" w:hAnsi="仿宋" w:eastAsia="仿宋" w:cs="仿宋"/>
                <w:color w:val="000000"/>
                <w:szCs w:val="21"/>
                <w:highlight w:val="none"/>
              </w:rPr>
            </w:r>
            <w:r/>
          </w:p>
        </w:tc>
        <w:tc>
          <w:tcPr>
            <w:tcW w:w="2237" w:type="dxa"/>
            <w:vAlign w:val="center"/>
            <w:textDirection w:val="lrTb"/>
            <w:noWrap w:val="false"/>
          </w:tcPr>
          <w:p>
            <w:pPr>
              <w:pStyle w:val="953"/>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污水处理专项资金</w:t>
            </w:r>
            <w:r>
              <w:rPr>
                <w:rFonts w:hint="eastAsia" w:ascii="仿宋" w:hAnsi="仿宋" w:eastAsia="仿宋" w:cs="仿宋"/>
                <w:color w:val="000000"/>
                <w:szCs w:val="21"/>
                <w:highlight w:val="none"/>
                <w:lang w:val="en-US" w:eastAsia="zh-CN"/>
              </w:rPr>
              <w:t xml:space="preserve">专项审计</w:t>
            </w:r>
            <w:r>
              <w:rPr>
                <w:rFonts w:hint="eastAsia" w:ascii="仿宋" w:hAnsi="仿宋" w:eastAsia="仿宋" w:cs="仿宋"/>
                <w:color w:val="000000"/>
                <w:szCs w:val="21"/>
                <w:highlight w:val="none"/>
              </w:rPr>
              <w:t xml:space="preserve">（需出具附码的专项审计报告）</w:t>
            </w:r>
            <w:r>
              <w:rPr>
                <w:rFonts w:hint="eastAsia" w:ascii="仿宋" w:hAnsi="仿宋" w:eastAsia="仿宋" w:cs="仿宋"/>
                <w:color w:val="000000"/>
                <w:szCs w:val="21"/>
                <w:highlight w:val="none"/>
              </w:rPr>
            </w:r>
            <w:r/>
          </w:p>
        </w:tc>
        <w:tc>
          <w:tcPr>
            <w:tcW w:w="497"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7</w:t>
            </w:r>
            <w:r>
              <w:rPr>
                <w:rFonts w:hint="eastAsia" w:ascii="仿宋" w:hAnsi="仿宋" w:eastAsia="仿宋" w:cs="仿宋"/>
                <w:color w:val="000000"/>
                <w:szCs w:val="21"/>
                <w:highlight w:val="none"/>
                <w:lang w:val="en-US" w:eastAsia="zh-CN"/>
              </w:rPr>
            </w:r>
            <w:r/>
          </w:p>
        </w:tc>
        <w:tc>
          <w:tcPr>
            <w:tcW w:w="562"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802"/>
        </w:trPr>
        <w:tc>
          <w:tcPr>
            <w:tcW w:w="393" w:type="dxa"/>
            <w:vAlign w:val="center"/>
            <w:vMerge w:val="continue"/>
            <w:textDirection w:val="lrTb"/>
            <w:noWrap w:val="false"/>
          </w:tcPr>
          <w:p>
            <w:pPr>
              <w:pStyle w:val="953"/>
              <w:jc w:val="center"/>
              <w:spacing w:line="400" w:lineRule="exact"/>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r>
            <w:r/>
          </w:p>
        </w:tc>
        <w:tc>
          <w:tcPr>
            <w:tcW w:w="330"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1"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376"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3</w:t>
            </w:r>
            <w:r>
              <w:rPr>
                <w:rFonts w:hint="eastAsia" w:ascii="仿宋" w:hAnsi="仿宋" w:eastAsia="仿宋" w:cs="仿宋"/>
                <w:color w:val="000000"/>
                <w:szCs w:val="21"/>
                <w:highlight w:val="none"/>
              </w:rPr>
            </w:r>
            <w:r/>
          </w:p>
        </w:tc>
        <w:tc>
          <w:tcPr>
            <w:tcW w:w="2237" w:type="dxa"/>
            <w:vAlign w:val="center"/>
            <w:textDirection w:val="lrTb"/>
            <w:noWrap w:val="false"/>
          </w:tcPr>
          <w:p>
            <w:pPr>
              <w:pStyle w:val="953"/>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房产促销费政策（两年）（太仓市住房和城乡建设局）</w:t>
            </w:r>
            <w:r>
              <w:rPr>
                <w:rFonts w:hint="eastAsia" w:ascii="仿宋" w:hAnsi="仿宋" w:eastAsia="仿宋" w:cs="仿宋"/>
                <w:color w:val="000000"/>
                <w:szCs w:val="21"/>
                <w:highlight w:val="none"/>
                <w:lang w:val="en-US" w:eastAsia="zh-CN"/>
              </w:rPr>
              <w:t xml:space="preserve">监督协审</w:t>
            </w:r>
            <w:r>
              <w:rPr>
                <w:rFonts w:hint="eastAsia" w:ascii="仿宋" w:hAnsi="仿宋" w:eastAsia="仿宋" w:cs="仿宋"/>
                <w:color w:val="000000"/>
                <w:szCs w:val="21"/>
                <w:highlight w:val="none"/>
                <w:lang w:val="en-US" w:eastAsia="zh-CN"/>
              </w:rPr>
            </w:r>
            <w:r/>
          </w:p>
        </w:tc>
        <w:tc>
          <w:tcPr>
            <w:tcW w:w="497"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lang w:val="en-US" w:eastAsia="zh-CN"/>
              </w:rPr>
            </w:r>
            <w:r/>
          </w:p>
        </w:tc>
        <w:tc>
          <w:tcPr>
            <w:tcW w:w="562"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802"/>
        </w:trPr>
        <w:tc>
          <w:tcPr>
            <w:tcW w:w="393" w:type="dxa"/>
            <w:vAlign w:val="center"/>
            <w:vMerge w:val="continue"/>
            <w:textDirection w:val="lrTb"/>
            <w:noWrap w:val="false"/>
          </w:tcPr>
          <w:p>
            <w:pPr>
              <w:pStyle w:val="953"/>
              <w:jc w:val="center"/>
              <w:spacing w:line="400" w:lineRule="exact"/>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r>
            <w:r/>
          </w:p>
        </w:tc>
        <w:tc>
          <w:tcPr>
            <w:tcW w:w="330"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1"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376"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4</w:t>
            </w:r>
            <w:r>
              <w:rPr>
                <w:rFonts w:hint="eastAsia" w:ascii="仿宋" w:hAnsi="仿宋" w:eastAsia="仿宋" w:cs="仿宋"/>
                <w:color w:val="000000"/>
                <w:szCs w:val="21"/>
                <w:highlight w:val="none"/>
              </w:rPr>
            </w:r>
            <w:r/>
          </w:p>
        </w:tc>
        <w:tc>
          <w:tcPr>
            <w:tcW w:w="2237" w:type="dxa"/>
            <w:vAlign w:val="center"/>
            <w:textDirection w:val="lrTb"/>
            <w:noWrap w:val="false"/>
          </w:tcPr>
          <w:p>
            <w:pPr>
              <w:pStyle w:val="953"/>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公共文化发展专项资金（太仓市文体广电和旅游局）</w:t>
            </w:r>
            <w:r>
              <w:rPr>
                <w:rFonts w:hint="eastAsia" w:ascii="仿宋" w:hAnsi="仿宋" w:eastAsia="仿宋" w:cs="仿宋"/>
                <w:color w:val="000000"/>
                <w:szCs w:val="21"/>
                <w:highlight w:val="none"/>
                <w:lang w:val="en-US" w:eastAsia="zh-CN"/>
              </w:rPr>
              <w:t xml:space="preserve">监督协审</w:t>
            </w:r>
            <w:r>
              <w:rPr>
                <w:rFonts w:hint="eastAsia" w:ascii="仿宋" w:hAnsi="仿宋" w:eastAsia="仿宋" w:cs="仿宋"/>
                <w:color w:val="000000"/>
                <w:szCs w:val="21"/>
                <w:highlight w:val="none"/>
                <w:lang w:val="en-US" w:eastAsia="zh-CN"/>
              </w:rPr>
            </w:r>
            <w:r/>
          </w:p>
        </w:tc>
        <w:tc>
          <w:tcPr>
            <w:tcW w:w="497"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7</w:t>
            </w:r>
            <w:r>
              <w:rPr>
                <w:rFonts w:hint="eastAsia" w:ascii="仿宋" w:hAnsi="仿宋" w:eastAsia="仿宋" w:cs="仿宋"/>
                <w:color w:val="000000"/>
                <w:szCs w:val="21"/>
                <w:highlight w:val="none"/>
                <w:lang w:val="en-US" w:eastAsia="zh-CN"/>
              </w:rPr>
            </w:r>
            <w:r/>
          </w:p>
        </w:tc>
        <w:tc>
          <w:tcPr>
            <w:tcW w:w="562"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652"/>
        </w:trPr>
        <w:tc>
          <w:tcPr>
            <w:tcW w:w="393" w:type="dxa"/>
            <w:vAlign w:val="center"/>
            <w:vMerge w:val="restart"/>
            <w:textDirection w:val="lrTb"/>
            <w:noWrap w:val="false"/>
          </w:tcPr>
          <w:p>
            <w:pPr>
              <w:pStyle w:val="953"/>
              <w:jc w:val="center"/>
              <w:spacing w:line="400" w:lineRule="exact"/>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bidi="ar"/>
              </w:rPr>
              <w:t xml:space="preserve">采购</w:t>
            </w:r>
            <w:r>
              <w:rPr>
                <w:rFonts w:hint="eastAsia" w:ascii="仿宋" w:hAnsi="仿宋" w:eastAsia="仿宋" w:cs="仿宋"/>
                <w:color w:val="000000"/>
                <w:szCs w:val="21"/>
                <w:highlight w:val="none"/>
              </w:rPr>
              <w:t xml:space="preserve">包</w:t>
            </w:r>
            <w:r>
              <w:rPr>
                <w:rFonts w:hint="eastAsia" w:ascii="仿宋" w:hAnsi="仿宋" w:eastAsia="仿宋" w:cs="仿宋"/>
                <w:color w:val="000000"/>
                <w:szCs w:val="21"/>
                <w:highlight w:val="none"/>
                <w:lang w:val="en-US" w:eastAsia="zh-CN"/>
              </w:rPr>
              <w:t xml:space="preserve">7</w:t>
            </w:r>
            <w:r>
              <w:rPr>
                <w:rFonts w:hint="eastAsia" w:ascii="仿宋" w:hAnsi="仿宋" w:eastAsia="仿宋" w:cs="仿宋"/>
                <w:color w:val="000000"/>
                <w:szCs w:val="21"/>
                <w:highlight w:val="none"/>
                <w:lang w:val="en-US" w:eastAsia="zh-CN"/>
              </w:rPr>
            </w:r>
            <w:r/>
          </w:p>
        </w:tc>
        <w:tc>
          <w:tcPr>
            <w:tcW w:w="330" w:type="dxa"/>
            <w:vAlign w:val="center"/>
            <w:vMerge w:val="restart"/>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1" w:type="dxa"/>
            <w:vAlign w:val="center"/>
            <w:vMerge w:val="restart"/>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CN"/>
              </w:rPr>
              <w:t xml:space="preserve">监督协审服务</w:t>
            </w:r>
            <w:r>
              <w:rPr>
                <w:rFonts w:hint="eastAsia" w:ascii="仿宋" w:hAnsi="仿宋" w:eastAsia="仿宋" w:cs="仿宋"/>
                <w:color w:val="000000"/>
                <w:szCs w:val="21"/>
                <w:highlight w:val="none"/>
              </w:rPr>
            </w:r>
            <w:r/>
          </w:p>
        </w:tc>
        <w:tc>
          <w:tcPr>
            <w:tcW w:w="376"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1</w:t>
            </w:r>
            <w:r>
              <w:rPr>
                <w:rFonts w:hint="eastAsia" w:ascii="仿宋" w:hAnsi="仿宋" w:eastAsia="仿宋" w:cs="仿宋"/>
                <w:color w:val="000000"/>
                <w:szCs w:val="21"/>
                <w:highlight w:val="none"/>
              </w:rPr>
            </w:r>
            <w:r/>
          </w:p>
        </w:tc>
        <w:tc>
          <w:tcPr>
            <w:tcW w:w="2237" w:type="dxa"/>
            <w:vAlign w:val="center"/>
            <w:textDirection w:val="lrTb"/>
            <w:noWrap w:val="false"/>
          </w:tcPr>
          <w:p>
            <w:pPr>
              <w:pStyle w:val="953"/>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农产品质量安全建设经费（太仓市农业农村局）</w:t>
            </w:r>
            <w:r>
              <w:rPr>
                <w:rFonts w:hint="eastAsia" w:ascii="仿宋" w:hAnsi="仿宋" w:eastAsia="仿宋" w:cs="仿宋"/>
                <w:color w:val="000000"/>
                <w:szCs w:val="21"/>
                <w:highlight w:val="none"/>
                <w:lang w:val="en-US" w:eastAsia="zh-CN"/>
              </w:rPr>
              <w:t xml:space="preserve">监督协审</w:t>
            </w:r>
            <w:r>
              <w:rPr>
                <w:rFonts w:hint="eastAsia" w:ascii="仿宋" w:hAnsi="仿宋" w:eastAsia="仿宋" w:cs="仿宋"/>
                <w:color w:val="000000"/>
                <w:szCs w:val="21"/>
                <w:highlight w:val="none"/>
                <w:lang w:val="en-US" w:eastAsia="zh-CN"/>
              </w:rPr>
            </w:r>
            <w:r/>
          </w:p>
        </w:tc>
        <w:tc>
          <w:tcPr>
            <w:tcW w:w="497"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4</w:t>
            </w:r>
            <w:r>
              <w:rPr>
                <w:rFonts w:hint="eastAsia" w:ascii="仿宋" w:hAnsi="仿宋" w:eastAsia="仿宋" w:cs="仿宋"/>
                <w:color w:val="000000"/>
                <w:szCs w:val="21"/>
                <w:highlight w:val="none"/>
                <w:lang w:val="en-US" w:eastAsia="zh-CN"/>
              </w:rPr>
            </w:r>
            <w:r/>
          </w:p>
        </w:tc>
        <w:tc>
          <w:tcPr>
            <w:tcW w:w="562" w:type="dxa"/>
            <w:vAlign w:val="center"/>
            <w:vMerge w:val="restart"/>
            <w:textDirection w:val="lrTb"/>
            <w:noWrap w:val="false"/>
          </w:tcPr>
          <w:p>
            <w:pPr>
              <w:pStyle w:val="953"/>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25</w:t>
            </w:r>
            <w:r>
              <w:rPr>
                <w:rFonts w:hint="eastAsia" w:ascii="仿宋" w:hAnsi="仿宋" w:eastAsia="仿宋" w:cs="仿宋"/>
                <w:color w:val="000000"/>
                <w:szCs w:val="21"/>
                <w:highlight w:val="none"/>
                <w:lang w:val="en-US" w:eastAsia="zh-CN"/>
              </w:rPr>
            </w:r>
            <w:r/>
          </w:p>
        </w:tc>
      </w:tr>
      <w:tr>
        <w:trPr>
          <w:trHeight w:val="652"/>
        </w:trPr>
        <w:tc>
          <w:tcPr>
            <w:tcW w:w="393" w:type="dxa"/>
            <w:vAlign w:val="center"/>
            <w:vMerge w:val="continue"/>
            <w:textDirection w:val="lrTb"/>
            <w:noWrap w:val="false"/>
          </w:tcPr>
          <w:p>
            <w:pPr>
              <w:pStyle w:val="953"/>
              <w:jc w:val="center"/>
              <w:spacing w:line="400" w:lineRule="exact"/>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r>
            <w:r/>
          </w:p>
        </w:tc>
        <w:tc>
          <w:tcPr>
            <w:tcW w:w="330"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1"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376"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2</w:t>
            </w:r>
            <w:r>
              <w:rPr>
                <w:rFonts w:hint="eastAsia" w:ascii="仿宋" w:hAnsi="仿宋" w:eastAsia="仿宋" w:cs="仿宋"/>
                <w:color w:val="000000"/>
                <w:szCs w:val="21"/>
                <w:highlight w:val="none"/>
              </w:rPr>
            </w:r>
            <w:r/>
          </w:p>
        </w:tc>
        <w:tc>
          <w:tcPr>
            <w:tcW w:w="2237" w:type="dxa"/>
            <w:vAlign w:val="center"/>
            <w:textDirection w:val="lrTb"/>
            <w:noWrap w:val="false"/>
          </w:tcPr>
          <w:p>
            <w:pPr>
              <w:pStyle w:val="953"/>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4份专项审计报告（需出具附码的专项审计报告，单份报告预算金额为1.5万元，根据实际业务和上级要求，按实际出具数量结算，单份报告结算价=1.5万*中标折扣率）</w:t>
            </w:r>
            <w:r>
              <w:rPr>
                <w:rFonts w:hint="eastAsia" w:ascii="仿宋" w:hAnsi="仿宋" w:eastAsia="仿宋" w:cs="仿宋"/>
                <w:color w:val="000000"/>
                <w:szCs w:val="21"/>
                <w:highlight w:val="none"/>
              </w:rPr>
            </w:r>
            <w:r/>
          </w:p>
        </w:tc>
        <w:tc>
          <w:tcPr>
            <w:tcW w:w="497"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lang w:val="en-US" w:eastAsia="zh-CN"/>
              </w:rPr>
            </w:r>
            <w:r/>
          </w:p>
        </w:tc>
        <w:tc>
          <w:tcPr>
            <w:tcW w:w="562"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652"/>
        </w:trPr>
        <w:tc>
          <w:tcPr>
            <w:tcW w:w="393" w:type="dxa"/>
            <w:vAlign w:val="center"/>
            <w:vMerge w:val="continue"/>
            <w:textDirection w:val="lrTb"/>
            <w:noWrap w:val="false"/>
          </w:tcPr>
          <w:p>
            <w:pPr>
              <w:pStyle w:val="953"/>
              <w:jc w:val="center"/>
              <w:spacing w:line="400" w:lineRule="exact"/>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r>
            <w:r/>
          </w:p>
        </w:tc>
        <w:tc>
          <w:tcPr>
            <w:tcW w:w="330"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1"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376"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3</w:t>
            </w:r>
            <w:r>
              <w:rPr>
                <w:rFonts w:hint="eastAsia" w:ascii="仿宋" w:hAnsi="仿宋" w:eastAsia="仿宋" w:cs="仿宋"/>
                <w:color w:val="000000"/>
                <w:szCs w:val="21"/>
                <w:highlight w:val="none"/>
              </w:rPr>
            </w:r>
            <w:r/>
          </w:p>
        </w:tc>
        <w:tc>
          <w:tcPr>
            <w:tcW w:w="2237" w:type="dxa"/>
            <w:vAlign w:val="center"/>
            <w:textDirection w:val="lrTb"/>
            <w:noWrap w:val="false"/>
          </w:tcPr>
          <w:p>
            <w:pPr>
              <w:pStyle w:val="953"/>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专项监督检查项目“回头看”（约30个项目）</w:t>
            </w:r>
            <w:r>
              <w:rPr>
                <w:rFonts w:hint="eastAsia" w:ascii="仿宋" w:hAnsi="仿宋" w:eastAsia="仿宋" w:cs="仿宋"/>
                <w:color w:val="000000"/>
                <w:szCs w:val="21"/>
                <w:highlight w:val="none"/>
              </w:rPr>
            </w:r>
            <w:r/>
          </w:p>
        </w:tc>
        <w:tc>
          <w:tcPr>
            <w:tcW w:w="497"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3</w:t>
            </w:r>
            <w:r>
              <w:rPr>
                <w:rFonts w:hint="eastAsia" w:ascii="仿宋" w:hAnsi="仿宋" w:eastAsia="仿宋" w:cs="仿宋"/>
                <w:color w:val="000000"/>
                <w:szCs w:val="21"/>
                <w:highlight w:val="none"/>
                <w:lang w:val="en-US" w:eastAsia="zh-CN"/>
              </w:rPr>
            </w:r>
            <w:r/>
          </w:p>
        </w:tc>
        <w:tc>
          <w:tcPr>
            <w:tcW w:w="562"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652"/>
        </w:trPr>
        <w:tc>
          <w:tcPr>
            <w:tcW w:w="393" w:type="dxa"/>
            <w:vAlign w:val="center"/>
            <w:vMerge w:val="continue"/>
            <w:textDirection w:val="lrTb"/>
            <w:noWrap w:val="false"/>
          </w:tcPr>
          <w:p>
            <w:pPr>
              <w:pStyle w:val="953"/>
              <w:jc w:val="center"/>
              <w:spacing w:line="400" w:lineRule="exact"/>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r>
            <w:r/>
          </w:p>
        </w:tc>
        <w:tc>
          <w:tcPr>
            <w:tcW w:w="330"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1"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376"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4</w:t>
            </w:r>
            <w:r>
              <w:rPr>
                <w:rFonts w:hint="eastAsia" w:ascii="仿宋" w:hAnsi="仿宋" w:eastAsia="仿宋" w:cs="仿宋"/>
                <w:color w:val="000000"/>
                <w:szCs w:val="21"/>
                <w:highlight w:val="none"/>
              </w:rPr>
            </w:r>
            <w:r/>
          </w:p>
        </w:tc>
        <w:tc>
          <w:tcPr>
            <w:tcW w:w="2237" w:type="dxa"/>
            <w:vAlign w:val="center"/>
            <w:textDirection w:val="lrTb"/>
            <w:noWrap w:val="false"/>
          </w:tcPr>
          <w:p>
            <w:pPr>
              <w:pStyle w:val="953"/>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部门决算、财务报告质量、银行账户检查和会计信息质量检查（约35家预算单位）</w:t>
            </w:r>
            <w:r>
              <w:rPr>
                <w:rFonts w:hint="eastAsia" w:ascii="仿宋" w:hAnsi="仿宋" w:eastAsia="仿宋" w:cs="仿宋"/>
                <w:color w:val="000000"/>
                <w:szCs w:val="21"/>
                <w:highlight w:val="none"/>
              </w:rPr>
            </w:r>
            <w:r/>
          </w:p>
        </w:tc>
        <w:tc>
          <w:tcPr>
            <w:tcW w:w="497" w:type="dxa"/>
            <w:vAlign w:val="center"/>
            <w:textDirection w:val="lrTb"/>
            <w:noWrap w:val="false"/>
          </w:tcPr>
          <w:p>
            <w:pPr>
              <w:pStyle w:val="953"/>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12</w:t>
            </w:r>
            <w:r>
              <w:rPr>
                <w:rFonts w:hint="eastAsia" w:ascii="仿宋" w:hAnsi="仿宋" w:eastAsia="仿宋" w:cs="仿宋"/>
                <w:color w:val="000000"/>
                <w:szCs w:val="21"/>
                <w:highlight w:val="none"/>
                <w:lang w:val="en-US" w:eastAsia="zh-CN"/>
              </w:rPr>
            </w:r>
            <w:r/>
          </w:p>
        </w:tc>
        <w:tc>
          <w:tcPr>
            <w:tcW w:w="562"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bl>
    <w:p>
      <w:pPr>
        <w:pStyle w:val="953"/>
        <w:ind w:firstLine="480"/>
        <w:keepLines w:val="0"/>
        <w:keepNext w:val="0"/>
        <w:pageBreakBefore w:val="0"/>
        <w:spacing w:before="157" w:line="360" w:lineRule="auto"/>
        <w:widowControl w:val="off"/>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lang w:bidi="ar"/>
        </w:rPr>
        <w:t xml:space="preserve">本项目共分七个采购包，评审顺序按</w:t>
      </w:r>
      <w:r>
        <w:rPr>
          <w:rFonts w:hint="eastAsia" w:ascii="仿宋" w:hAnsi="仿宋" w:eastAsia="仿宋" w:cs="仿宋"/>
          <w:color w:val="000000"/>
          <w:sz w:val="24"/>
          <w:szCs w:val="24"/>
          <w:highlight w:val="none"/>
          <w:lang w:eastAsia="zh-CN" w:bidi="ar"/>
        </w:rPr>
        <w:t xml:space="preserve">采购包</w:t>
      </w: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bidi="ar"/>
        </w:rPr>
        <w:t xml:space="preserve">至</w:t>
      </w:r>
      <w:r>
        <w:rPr>
          <w:rFonts w:hint="eastAsia" w:ascii="仿宋" w:hAnsi="仿宋" w:eastAsia="仿宋" w:cs="仿宋"/>
          <w:color w:val="000000"/>
          <w:sz w:val="24"/>
          <w:szCs w:val="24"/>
          <w:highlight w:val="none"/>
          <w:lang w:eastAsia="zh-CN" w:bidi="ar"/>
        </w:rPr>
        <w:t xml:space="preserve">采购包</w:t>
      </w:r>
      <w:r>
        <w:rPr>
          <w:rFonts w:hint="eastAsia" w:ascii="仿宋" w:hAnsi="仿宋" w:eastAsia="仿宋" w:cs="仿宋"/>
          <w:color w:val="000000"/>
          <w:sz w:val="24"/>
          <w:szCs w:val="24"/>
          <w:highlight w:val="none"/>
          <w:lang w:val="en-US" w:eastAsia="zh-CN" w:bidi="ar"/>
        </w:rPr>
        <w:t xml:space="preserve">7</w:t>
      </w:r>
      <w:r>
        <w:rPr>
          <w:rFonts w:hint="eastAsia" w:ascii="仿宋" w:hAnsi="仿宋" w:eastAsia="仿宋" w:cs="仿宋"/>
          <w:color w:val="000000"/>
          <w:sz w:val="24"/>
          <w:szCs w:val="24"/>
          <w:highlight w:val="none"/>
          <w:lang w:bidi="ar"/>
        </w:rPr>
        <w:t xml:space="preserve">的顺序进行。本项目响应单位可同时对多个</w:t>
      </w:r>
      <w:r>
        <w:rPr>
          <w:rFonts w:hint="eastAsia" w:ascii="仿宋" w:hAnsi="仿宋" w:eastAsia="仿宋" w:cs="仿宋"/>
          <w:color w:val="000000"/>
          <w:sz w:val="24"/>
          <w:szCs w:val="24"/>
          <w:highlight w:val="none"/>
          <w:lang w:eastAsia="zh-CN" w:bidi="ar"/>
        </w:rPr>
        <w:t xml:space="preserve">采购包</w:t>
      </w:r>
      <w:r>
        <w:rPr>
          <w:rFonts w:hint="eastAsia" w:ascii="仿宋" w:hAnsi="仿宋" w:eastAsia="仿宋" w:cs="仿宋"/>
          <w:color w:val="000000"/>
          <w:sz w:val="24"/>
          <w:szCs w:val="24"/>
          <w:highlight w:val="none"/>
          <w:lang w:bidi="ar"/>
        </w:rPr>
        <w:t xml:space="preserve">进行响应，且允许最多成交</w:t>
      </w:r>
      <w:r>
        <w:rPr>
          <w:rFonts w:hint="eastAsia" w:ascii="仿宋" w:hAnsi="仿宋" w:eastAsia="仿宋" w:cs="仿宋"/>
          <w:color w:val="000000"/>
          <w:sz w:val="24"/>
          <w:szCs w:val="24"/>
          <w:highlight w:val="none"/>
          <w:lang w:val="en-US" w:eastAsia="zh-CN" w:bidi="ar"/>
        </w:rPr>
        <w:t xml:space="preserve">2</w:t>
      </w:r>
      <w:r>
        <w:rPr>
          <w:rFonts w:hint="eastAsia" w:ascii="仿宋" w:hAnsi="仿宋" w:eastAsia="仿宋" w:cs="仿宋"/>
          <w:color w:val="000000"/>
          <w:sz w:val="24"/>
          <w:szCs w:val="24"/>
          <w:highlight w:val="none"/>
          <w:lang w:bidi="ar"/>
        </w:rPr>
        <w:t xml:space="preserve">个</w:t>
      </w:r>
      <w:r>
        <w:rPr>
          <w:rFonts w:hint="eastAsia" w:ascii="仿宋" w:hAnsi="仿宋" w:eastAsia="仿宋" w:cs="仿宋"/>
          <w:color w:val="000000"/>
          <w:sz w:val="24"/>
          <w:szCs w:val="24"/>
          <w:highlight w:val="none"/>
          <w:lang w:eastAsia="zh-CN" w:bidi="ar"/>
        </w:rPr>
        <w:t xml:space="preserve">采购包</w:t>
      </w:r>
      <w:r>
        <w:rPr>
          <w:rFonts w:hint="eastAsia" w:ascii="仿宋" w:hAnsi="仿宋" w:eastAsia="仿宋" w:cs="仿宋"/>
          <w:color w:val="000000"/>
          <w:sz w:val="24"/>
          <w:szCs w:val="24"/>
          <w:highlight w:val="none"/>
          <w:lang w:bidi="ar"/>
        </w:rPr>
        <w:t xml:space="preserve">（其中</w:t>
      </w:r>
      <w:r>
        <w:rPr>
          <w:rFonts w:hint="eastAsia" w:ascii="仿宋" w:hAnsi="仿宋" w:eastAsia="仿宋" w:cs="仿宋"/>
          <w:color w:val="000000"/>
          <w:sz w:val="24"/>
          <w:szCs w:val="24"/>
          <w:highlight w:val="none"/>
          <w:lang w:eastAsia="zh-CN" w:bidi="ar"/>
        </w:rPr>
        <w:t xml:space="preserve">采购包</w:t>
      </w:r>
      <w:r>
        <w:rPr>
          <w:rFonts w:hint="eastAsia" w:ascii="仿宋" w:hAnsi="仿宋" w:eastAsia="仿宋" w:cs="仿宋"/>
          <w:color w:val="000000"/>
          <w:sz w:val="24"/>
          <w:szCs w:val="24"/>
          <w:highlight w:val="none"/>
          <w:lang w:val="en-US" w:eastAsia="zh-CN" w:bidi="ar"/>
        </w:rPr>
        <w:t xml:space="preserve">1至采购包4</w:t>
      </w:r>
      <w:r>
        <w:rPr>
          <w:rFonts w:hint="eastAsia" w:ascii="仿宋" w:hAnsi="仿宋" w:eastAsia="仿宋" w:cs="仿宋"/>
          <w:color w:val="000000"/>
          <w:sz w:val="24"/>
          <w:szCs w:val="24"/>
          <w:highlight w:val="none"/>
          <w:lang w:bidi="ar"/>
        </w:rPr>
        <w:t xml:space="preserve">只能成交1个</w:t>
      </w:r>
      <w:r>
        <w:rPr>
          <w:rFonts w:hint="eastAsia" w:ascii="仿宋" w:hAnsi="仿宋" w:eastAsia="仿宋" w:cs="仿宋"/>
          <w:color w:val="000000"/>
          <w:sz w:val="24"/>
          <w:szCs w:val="24"/>
          <w:highlight w:val="none"/>
          <w:lang w:eastAsia="zh-CN" w:bidi="ar"/>
        </w:rPr>
        <w:t xml:space="preserve">采购包，采购包</w:t>
      </w:r>
      <w:r>
        <w:rPr>
          <w:rFonts w:hint="eastAsia" w:ascii="仿宋" w:hAnsi="仿宋" w:eastAsia="仿宋" w:cs="仿宋"/>
          <w:color w:val="000000"/>
          <w:sz w:val="24"/>
          <w:szCs w:val="24"/>
          <w:highlight w:val="none"/>
          <w:lang w:val="en-US" w:eastAsia="zh-CN" w:bidi="ar"/>
        </w:rPr>
        <w:t xml:space="preserve">5至采购包7</w:t>
      </w:r>
      <w:r>
        <w:rPr>
          <w:rFonts w:hint="eastAsia" w:ascii="仿宋" w:hAnsi="仿宋" w:eastAsia="仿宋" w:cs="仿宋"/>
          <w:color w:val="000000"/>
          <w:sz w:val="24"/>
          <w:szCs w:val="24"/>
          <w:highlight w:val="none"/>
          <w:lang w:bidi="ar"/>
        </w:rPr>
        <w:t xml:space="preserve">只能成交1个</w:t>
      </w:r>
      <w:r>
        <w:rPr>
          <w:rFonts w:hint="eastAsia" w:ascii="仿宋" w:hAnsi="仿宋" w:eastAsia="仿宋" w:cs="仿宋"/>
          <w:color w:val="000000"/>
          <w:sz w:val="24"/>
          <w:szCs w:val="24"/>
          <w:highlight w:val="none"/>
          <w:lang w:eastAsia="zh-CN" w:bidi="ar"/>
        </w:rPr>
        <w:t xml:space="preserve">采购包</w:t>
      </w:r>
      <w:r>
        <w:rPr>
          <w:rFonts w:hint="eastAsia" w:ascii="仿宋" w:hAnsi="仿宋" w:eastAsia="仿宋" w:cs="仿宋"/>
          <w:color w:val="000000"/>
          <w:sz w:val="24"/>
          <w:szCs w:val="24"/>
          <w:highlight w:val="none"/>
          <w:lang w:bidi="ar"/>
        </w:rPr>
        <w:t xml:space="preserve">），具体需遵循以下限制： </w:t>
      </w: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bidi="ar"/>
        </w:rPr>
        <w:t xml:space="preserve">.</w:t>
      </w:r>
      <w:r>
        <w:rPr>
          <w:rFonts w:hint="eastAsia" w:ascii="仿宋" w:hAnsi="仿宋" w:eastAsia="仿宋" w:cs="仿宋"/>
          <w:color w:val="000000"/>
          <w:sz w:val="24"/>
          <w:szCs w:val="24"/>
          <w:highlight w:val="none"/>
          <w:lang w:eastAsia="zh-CN" w:bidi="ar"/>
        </w:rPr>
        <w:t xml:space="preserve">采购包</w:t>
      </w:r>
      <w:r>
        <w:rPr>
          <w:rFonts w:hint="eastAsia" w:ascii="仿宋" w:hAnsi="仿宋" w:eastAsia="仿宋" w:cs="仿宋"/>
          <w:color w:val="000000"/>
          <w:sz w:val="24"/>
          <w:szCs w:val="24"/>
          <w:highlight w:val="none"/>
          <w:lang w:val="en-US" w:eastAsia="zh-CN" w:bidi="ar"/>
        </w:rPr>
        <w:t xml:space="preserve">1至采购包4</w:t>
      </w:r>
      <w:r>
        <w:rPr>
          <w:rFonts w:hint="eastAsia" w:ascii="仿宋" w:hAnsi="仿宋" w:eastAsia="仿宋" w:cs="仿宋"/>
          <w:color w:val="000000"/>
          <w:sz w:val="24"/>
          <w:szCs w:val="24"/>
          <w:highlight w:val="none"/>
          <w:lang w:bidi="ar"/>
        </w:rPr>
        <w:t xml:space="preserve">：响应单位可同时投多个</w:t>
      </w:r>
      <w:r>
        <w:rPr>
          <w:rFonts w:hint="eastAsia" w:ascii="仿宋" w:hAnsi="仿宋" w:eastAsia="仿宋" w:cs="仿宋"/>
          <w:color w:val="000000"/>
          <w:sz w:val="24"/>
          <w:szCs w:val="24"/>
          <w:highlight w:val="none"/>
          <w:lang w:eastAsia="zh-CN" w:bidi="ar"/>
        </w:rPr>
        <w:t xml:space="preserve">采购包</w:t>
      </w:r>
      <w:r>
        <w:rPr>
          <w:rFonts w:hint="eastAsia" w:ascii="仿宋" w:hAnsi="仿宋" w:eastAsia="仿宋" w:cs="仿宋"/>
          <w:color w:val="000000"/>
          <w:sz w:val="24"/>
          <w:szCs w:val="24"/>
          <w:highlight w:val="none"/>
          <w:lang w:bidi="ar"/>
        </w:rPr>
        <w:t xml:space="preserve">，但最多只能成交其中一个</w:t>
      </w:r>
      <w:r>
        <w:rPr>
          <w:rFonts w:hint="eastAsia" w:ascii="仿宋" w:hAnsi="仿宋" w:eastAsia="仿宋" w:cs="仿宋"/>
          <w:color w:val="000000"/>
          <w:sz w:val="24"/>
          <w:szCs w:val="24"/>
          <w:highlight w:val="none"/>
          <w:lang w:eastAsia="zh-CN" w:bidi="ar"/>
        </w:rPr>
        <w:t xml:space="preserve">采购包</w:t>
      </w:r>
      <w:r>
        <w:rPr>
          <w:rFonts w:hint="eastAsia" w:ascii="仿宋" w:hAnsi="仿宋" w:eastAsia="仿宋" w:cs="仿宋"/>
          <w:color w:val="000000"/>
          <w:sz w:val="24"/>
          <w:szCs w:val="24"/>
          <w:highlight w:val="none"/>
          <w:lang w:bidi="ar"/>
        </w:rPr>
        <w:t xml:space="preserve">（即兼投不兼中），若已成交某一</w:t>
      </w:r>
      <w:r>
        <w:rPr>
          <w:rFonts w:hint="eastAsia" w:ascii="仿宋" w:hAnsi="仿宋" w:eastAsia="仿宋" w:cs="仿宋"/>
          <w:color w:val="000000"/>
          <w:sz w:val="24"/>
          <w:szCs w:val="24"/>
          <w:highlight w:val="none"/>
          <w:lang w:eastAsia="zh-CN" w:bidi="ar"/>
        </w:rPr>
        <w:t xml:space="preserve">采购包</w:t>
      </w:r>
      <w:r>
        <w:rPr>
          <w:rFonts w:hint="eastAsia" w:ascii="仿宋" w:hAnsi="仿宋" w:eastAsia="仿宋" w:cs="仿宋"/>
          <w:color w:val="000000"/>
          <w:sz w:val="24"/>
          <w:szCs w:val="24"/>
          <w:highlight w:val="none"/>
          <w:lang w:bidi="ar"/>
        </w:rPr>
        <w:t xml:space="preserve">，则不进入其他</w:t>
      </w:r>
      <w:r>
        <w:rPr>
          <w:rFonts w:hint="eastAsia" w:ascii="仿宋" w:hAnsi="仿宋" w:eastAsia="仿宋" w:cs="仿宋"/>
          <w:color w:val="000000"/>
          <w:sz w:val="24"/>
          <w:szCs w:val="24"/>
          <w:highlight w:val="none"/>
          <w:lang w:eastAsia="zh-CN" w:bidi="ar"/>
        </w:rPr>
        <w:t xml:space="preserve">采购包</w:t>
      </w:r>
      <w:r>
        <w:rPr>
          <w:rFonts w:hint="eastAsia" w:ascii="仿宋" w:hAnsi="仿宋" w:eastAsia="仿宋" w:cs="仿宋"/>
          <w:color w:val="000000"/>
          <w:sz w:val="24"/>
          <w:szCs w:val="24"/>
          <w:highlight w:val="none"/>
          <w:lang w:bidi="ar"/>
        </w:rPr>
        <w:t xml:space="preserve">评审。</w:t>
      </w:r>
      <w:r>
        <w:rPr>
          <w:rFonts w:hint="eastAsia" w:ascii="仿宋" w:hAnsi="仿宋" w:eastAsia="仿宋" w:cs="仿宋"/>
          <w:color w:val="000000"/>
          <w:sz w:val="24"/>
          <w:szCs w:val="24"/>
          <w:highlight w:val="none"/>
          <w:lang w:val="en-US" w:eastAsia="zh-CN" w:bidi="ar"/>
        </w:rPr>
        <w:t xml:space="preserve">2</w:t>
      </w:r>
      <w:r>
        <w:rPr>
          <w:rFonts w:hint="eastAsia" w:ascii="仿宋" w:hAnsi="仿宋" w:eastAsia="仿宋" w:cs="仿宋"/>
          <w:color w:val="000000"/>
          <w:sz w:val="24"/>
          <w:szCs w:val="24"/>
          <w:highlight w:val="none"/>
          <w:lang w:bidi="ar"/>
        </w:rPr>
        <w:t xml:space="preserve">.</w:t>
      </w:r>
      <w:r>
        <w:rPr>
          <w:rFonts w:hint="eastAsia" w:ascii="仿宋" w:hAnsi="仿宋" w:eastAsia="仿宋" w:cs="仿宋"/>
          <w:color w:val="000000"/>
          <w:sz w:val="24"/>
          <w:szCs w:val="24"/>
          <w:highlight w:val="none"/>
          <w:lang w:eastAsia="zh-CN" w:bidi="ar"/>
        </w:rPr>
        <w:t xml:space="preserve">采购包</w:t>
      </w:r>
      <w:r>
        <w:rPr>
          <w:rFonts w:hint="eastAsia" w:ascii="仿宋" w:hAnsi="仿宋" w:eastAsia="仿宋" w:cs="仿宋"/>
          <w:color w:val="000000"/>
          <w:sz w:val="24"/>
          <w:szCs w:val="24"/>
          <w:highlight w:val="none"/>
          <w:lang w:val="en-US" w:eastAsia="zh-CN" w:bidi="ar"/>
        </w:rPr>
        <w:t xml:space="preserve">5至采购包7</w:t>
      </w:r>
      <w:r>
        <w:rPr>
          <w:rFonts w:hint="eastAsia" w:ascii="仿宋" w:hAnsi="仿宋" w:eastAsia="仿宋" w:cs="仿宋"/>
          <w:color w:val="000000"/>
          <w:sz w:val="24"/>
          <w:szCs w:val="24"/>
          <w:highlight w:val="none"/>
          <w:lang w:bidi="ar"/>
        </w:rPr>
        <w:t xml:space="preserve">：响应单位可同时投多个</w:t>
      </w:r>
      <w:r>
        <w:rPr>
          <w:rFonts w:hint="eastAsia" w:ascii="仿宋" w:hAnsi="仿宋" w:eastAsia="仿宋" w:cs="仿宋"/>
          <w:color w:val="000000"/>
          <w:sz w:val="24"/>
          <w:szCs w:val="24"/>
          <w:highlight w:val="none"/>
          <w:lang w:eastAsia="zh-CN" w:bidi="ar"/>
        </w:rPr>
        <w:t xml:space="preserve">采购包</w:t>
      </w:r>
      <w:r>
        <w:rPr>
          <w:rFonts w:hint="eastAsia" w:ascii="仿宋" w:hAnsi="仿宋" w:eastAsia="仿宋" w:cs="仿宋"/>
          <w:color w:val="000000"/>
          <w:sz w:val="24"/>
          <w:szCs w:val="24"/>
          <w:highlight w:val="none"/>
          <w:lang w:bidi="ar"/>
        </w:rPr>
        <w:t xml:space="preserve">，但最多只能成交其中一个</w:t>
      </w:r>
      <w:r>
        <w:rPr>
          <w:rFonts w:hint="eastAsia" w:ascii="仿宋" w:hAnsi="仿宋" w:eastAsia="仿宋" w:cs="仿宋"/>
          <w:color w:val="000000"/>
          <w:sz w:val="24"/>
          <w:szCs w:val="24"/>
          <w:highlight w:val="none"/>
          <w:lang w:eastAsia="zh-CN" w:bidi="ar"/>
        </w:rPr>
        <w:t xml:space="preserve">采购包</w:t>
      </w:r>
      <w:r>
        <w:rPr>
          <w:rFonts w:hint="eastAsia" w:ascii="仿宋" w:hAnsi="仿宋" w:eastAsia="仿宋" w:cs="仿宋"/>
          <w:color w:val="000000"/>
          <w:sz w:val="24"/>
          <w:szCs w:val="24"/>
          <w:highlight w:val="none"/>
          <w:lang w:bidi="ar"/>
        </w:rPr>
        <w:t xml:space="preserve">（即兼投不兼中），若已成交某一</w:t>
      </w:r>
      <w:r>
        <w:rPr>
          <w:rFonts w:hint="eastAsia" w:ascii="仿宋" w:hAnsi="仿宋" w:eastAsia="仿宋" w:cs="仿宋"/>
          <w:color w:val="000000"/>
          <w:sz w:val="24"/>
          <w:szCs w:val="24"/>
          <w:highlight w:val="none"/>
          <w:lang w:eastAsia="zh-CN" w:bidi="ar"/>
        </w:rPr>
        <w:t xml:space="preserve">采购包</w:t>
      </w:r>
      <w:r>
        <w:rPr>
          <w:rFonts w:hint="eastAsia" w:ascii="仿宋" w:hAnsi="仿宋" w:eastAsia="仿宋" w:cs="仿宋"/>
          <w:color w:val="000000"/>
          <w:sz w:val="24"/>
          <w:szCs w:val="24"/>
          <w:highlight w:val="none"/>
          <w:lang w:bidi="ar"/>
        </w:rPr>
        <w:t xml:space="preserve">，则不进入其他</w:t>
      </w:r>
      <w:r>
        <w:rPr>
          <w:rFonts w:hint="eastAsia" w:ascii="仿宋" w:hAnsi="仿宋" w:eastAsia="仿宋" w:cs="仿宋"/>
          <w:color w:val="000000"/>
          <w:sz w:val="24"/>
          <w:szCs w:val="24"/>
          <w:highlight w:val="none"/>
          <w:lang w:eastAsia="zh-CN" w:bidi="ar"/>
        </w:rPr>
        <w:t xml:space="preserve">采购包</w:t>
      </w:r>
      <w:r>
        <w:rPr>
          <w:rFonts w:hint="eastAsia" w:ascii="仿宋" w:hAnsi="仿宋" w:eastAsia="仿宋" w:cs="仿宋"/>
          <w:color w:val="000000"/>
          <w:sz w:val="24"/>
          <w:szCs w:val="24"/>
          <w:highlight w:val="none"/>
          <w:lang w:bidi="ar"/>
        </w:rPr>
        <w:t xml:space="preserve">评审。</w:t>
      </w:r>
      <w:r>
        <w:rPr>
          <w:rFonts w:hint="eastAsia" w:ascii="仿宋" w:hAnsi="仿宋" w:eastAsia="仿宋" w:cs="仿宋"/>
          <w:color w:val="000000"/>
          <w:sz w:val="24"/>
          <w:highlight w:val="none"/>
        </w:rPr>
      </w:r>
      <w:r/>
    </w:p>
    <w:p>
      <w:pPr>
        <w:pStyle w:val="953"/>
        <w:ind w:firstLine="480"/>
        <w:keepLines w:val="0"/>
        <w:keepNext w:val="0"/>
        <w:pageBreakBefore w:val="0"/>
        <w:spacing w:line="360" w:lineRule="auto"/>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合同履行期限：</w:t>
      </w:r>
      <w:r>
        <w:rPr>
          <w:rFonts w:hint="eastAsia" w:ascii="仿宋" w:hAnsi="仿宋" w:eastAsia="仿宋" w:cs="仿宋"/>
          <w:color w:val="000000"/>
          <w:sz w:val="24"/>
          <w:szCs w:val="24"/>
          <w:highlight w:val="none"/>
          <w:lang w:val="en-US" w:eastAsia="zh-CN" w:bidi="ar-SA"/>
        </w:rPr>
        <w:t xml:space="preserve">采购包1成交供应商应在2026年9月30日之前完成服务A、B，并向采购人提交绩效分析报告；在1年内完成服务C；采购包2、3成交供应商应在2026年9月30日之前完成服务，并向采购人提交绩效分析报告；采购包4成交供应商应在2026年8月31日之前完成服务，并向采购人提交复核分析报告；采购包5、6、7成交供应商应在1年内分阶段完成服务。</w:t>
      </w:r>
      <w:r>
        <w:rPr>
          <w:rFonts w:hint="eastAsia" w:ascii="仿宋" w:hAnsi="仿宋" w:eastAsia="仿宋" w:cs="仿宋"/>
          <w:color w:val="000000"/>
          <w:sz w:val="24"/>
          <w:highlight w:val="none"/>
        </w:rPr>
      </w:r>
      <w:r/>
    </w:p>
    <w:p>
      <w:pPr>
        <w:pStyle w:val="95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本项目不接受联合体投标</w:t>
      </w:r>
      <w:r>
        <w:rPr>
          <w:rFonts w:hint="eastAsia" w:ascii="仿宋" w:hAnsi="仿宋" w:eastAsia="仿宋" w:cs="仿宋"/>
          <w:color w:val="000000"/>
          <w:sz w:val="24"/>
          <w:highlight w:val="none"/>
        </w:rPr>
      </w:r>
      <w:r/>
    </w:p>
    <w:p>
      <w:pPr>
        <w:pStyle w:val="953"/>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二、申请人的资格要求：</w:t>
      </w:r>
      <w:r>
        <w:rPr>
          <w:rFonts w:hint="eastAsia" w:ascii="仿宋" w:hAnsi="仿宋" w:eastAsia="仿宋" w:cs="仿宋"/>
          <w:b/>
          <w:color w:val="000000"/>
          <w:sz w:val="24"/>
          <w:szCs w:val="24"/>
          <w:highlight w:val="none"/>
          <w:lang w:val="en-US" w:eastAsia="zh-CN" w:bidi="ar-SA"/>
        </w:rPr>
      </w:r>
      <w:r/>
    </w:p>
    <w:p>
      <w:pPr>
        <w:pStyle w:val="953"/>
        <w:ind w:firstLine="482"/>
        <w:spacing w:line="360" w:lineRule="auto"/>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  </w:t>
      </w:r>
      <w:r>
        <w:rPr>
          <w:rFonts w:hint="eastAsia" w:ascii="仿宋" w:hAnsi="仿宋" w:eastAsia="仿宋" w:cs="仿宋"/>
          <w:color w:val="000000"/>
          <w:sz w:val="24"/>
          <w:highlight w:val="none"/>
        </w:rPr>
        <w:t xml:space="preserve">1、满足《中华人民共和国政府采购法》第二十二条规定：</w:t>
      </w:r>
      <w:r>
        <w:rPr>
          <w:rFonts w:hint="eastAsia" w:ascii="仿宋" w:hAnsi="仿宋" w:eastAsia="仿宋" w:cs="仿宋"/>
          <w:color w:val="000000"/>
          <w:sz w:val="24"/>
          <w:highlight w:val="none"/>
        </w:rPr>
      </w:r>
      <w:r/>
    </w:p>
    <w:p>
      <w:pPr>
        <w:pStyle w:val="95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（1）具有独立承担民事责任的能力（提供法人或者其他组织的营业执照等证明文件，自然人的身份证明）；</w:t>
      </w:r>
      <w:r>
        <w:rPr>
          <w:rFonts w:hint="eastAsia" w:ascii="仿宋" w:hAnsi="仿宋" w:eastAsia="仿宋" w:cs="仿宋"/>
          <w:color w:val="000000"/>
          <w:sz w:val="24"/>
          <w:highlight w:val="none"/>
        </w:rPr>
      </w:r>
      <w:r/>
    </w:p>
    <w:p>
      <w:pPr>
        <w:pStyle w:val="95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（2）具有良好的商业信誉和健全的财务会计制度（</w:t>
      </w:r>
      <w:r>
        <w:rPr>
          <w:rFonts w:hint="eastAsia" w:ascii="仿宋" w:hAnsi="仿宋" w:eastAsia="仿宋" w:cs="仿宋"/>
          <w:color w:val="000000"/>
          <w:sz w:val="24"/>
          <w:szCs w:val="24"/>
          <w:highlight w:val="none"/>
        </w:rPr>
        <w:t xml:space="preserve">提供最近一期的财务状况报告，其他组织、自然人提供银行出具的资信证明</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95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（3）具有履行合同所必需的设备和专业技术能力（提供履行合同所必需的设备和专业技术能力的证明材料）；</w:t>
      </w:r>
      <w:r>
        <w:rPr>
          <w:rFonts w:hint="eastAsia" w:ascii="仿宋" w:hAnsi="仿宋" w:eastAsia="仿宋" w:cs="仿宋"/>
          <w:color w:val="000000"/>
          <w:sz w:val="24"/>
          <w:highlight w:val="none"/>
        </w:rPr>
      </w:r>
      <w:r/>
    </w:p>
    <w:p>
      <w:pPr>
        <w:pStyle w:val="95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rPr>
          <w:rFonts w:hint="eastAsia" w:ascii="仿宋" w:hAnsi="仿宋" w:eastAsia="仿宋" w:cs="仿宋"/>
          <w:color w:val="000000"/>
          <w:sz w:val="24"/>
          <w:highlight w:val="none"/>
        </w:rPr>
      </w:r>
      <w:r/>
    </w:p>
    <w:p>
      <w:pPr>
        <w:pStyle w:val="95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（5）参加政府采购活动前三年内，在经营活动中没有重大违法记录（提供参加本次政府采购活动前3年内在经营活动中没有重大违法记录的书面声明）；</w:t>
      </w:r>
      <w:r>
        <w:rPr>
          <w:rFonts w:hint="eastAsia" w:ascii="仿宋" w:hAnsi="仿宋" w:eastAsia="仿宋" w:cs="仿宋"/>
          <w:color w:val="000000"/>
          <w:sz w:val="24"/>
          <w:highlight w:val="none"/>
        </w:rPr>
      </w:r>
      <w:r/>
    </w:p>
    <w:p>
      <w:pPr>
        <w:pStyle w:val="95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（6）法律、行政法规规定的其他条件；</w:t>
      </w:r>
      <w:r>
        <w:rPr>
          <w:rFonts w:hint="eastAsia" w:ascii="仿宋" w:hAnsi="仿宋" w:eastAsia="仿宋" w:cs="仿宋"/>
          <w:color w:val="000000"/>
          <w:sz w:val="24"/>
          <w:highlight w:val="none"/>
        </w:rPr>
      </w:r>
      <w:r/>
    </w:p>
    <w:p>
      <w:pPr>
        <w:pStyle w:val="95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2、落实政府采购政策需满足的资格要求：</w:t>
      </w:r>
      <w:r>
        <w:rPr>
          <w:rFonts w:hint="eastAsia" w:ascii="仿宋" w:hAnsi="仿宋" w:eastAsia="仿宋" w:cs="仿宋"/>
          <w:color w:val="000000"/>
          <w:sz w:val="24"/>
          <w:highlight w:val="none"/>
        </w:rPr>
      </w:r>
      <w:r/>
    </w:p>
    <w:p>
      <w:pPr>
        <w:pStyle w:val="95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本项目专门面向中小企业采购，根据《政府采购促进中小企业发展管理办法》（财库〔2020〕46号）有关规定，</w:t>
      </w:r>
      <w:r>
        <w:rPr>
          <w:rFonts w:hint="eastAsia" w:ascii="仿宋" w:hAnsi="仿宋" w:eastAsia="仿宋" w:cs="仿宋"/>
          <w:color w:val="000000"/>
          <w:sz w:val="24"/>
          <w:highlight w:val="none"/>
          <w:lang w:eastAsia="zh-CN"/>
        </w:rPr>
        <w:t xml:space="preserve">供应商</w:t>
      </w:r>
      <w:r>
        <w:rPr>
          <w:rFonts w:hint="eastAsia" w:ascii="仿宋" w:hAnsi="仿宋" w:eastAsia="仿宋" w:cs="仿宋"/>
          <w:color w:val="000000"/>
          <w:sz w:val="24"/>
          <w:highlight w:val="none"/>
        </w:rPr>
        <w:t xml:space="preserve">应提供中小企业声明函或残疾人福利性单位声明函或省级以上监狱管理局、戒毒管理局（含新疆生产建设兵团）出具的属于监狱企业的证明文件,否则视为投标无效。</w:t>
      </w:r>
      <w:r>
        <w:rPr>
          <w:rFonts w:hint="eastAsia" w:ascii="仿宋" w:hAnsi="仿宋" w:eastAsia="仿宋" w:cs="仿宋"/>
          <w:color w:val="000000"/>
          <w:sz w:val="24"/>
          <w:highlight w:val="none"/>
        </w:rPr>
      </w:r>
      <w:r/>
    </w:p>
    <w:p>
      <w:pPr>
        <w:pStyle w:val="95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3、本项目的特定资格要求：</w:t>
      </w:r>
      <w:r>
        <w:rPr>
          <w:rFonts w:hint="eastAsia" w:ascii="仿宋" w:hAnsi="仿宋" w:eastAsia="仿宋" w:cs="仿宋"/>
          <w:color w:val="000000"/>
          <w:sz w:val="24"/>
          <w:highlight w:val="none"/>
        </w:rPr>
      </w:r>
      <w:r/>
    </w:p>
    <w:p>
      <w:pPr>
        <w:pStyle w:val="95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rPr>
          <w:rFonts w:hint="eastAsia" w:ascii="仿宋" w:hAnsi="仿宋" w:eastAsia="仿宋" w:cs="仿宋"/>
          <w:color w:val="000000"/>
          <w:sz w:val="24"/>
          <w:highlight w:val="none"/>
        </w:rPr>
      </w:r>
      <w:r/>
    </w:p>
    <w:p>
      <w:pPr>
        <w:pStyle w:val="95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2.落实政府采购政策需满足的资格要求本项目专门面向中小企业采购，根据《政府采购促进中小企业发展管理办法》（财库〔2020〕46号）有关规定，</w:t>
      </w:r>
      <w:r>
        <w:rPr>
          <w:rFonts w:hint="eastAsia" w:ascii="仿宋" w:hAnsi="仿宋" w:eastAsia="仿宋" w:cs="仿宋"/>
          <w:color w:val="000000"/>
          <w:sz w:val="24"/>
          <w:highlight w:val="none"/>
          <w:lang w:eastAsia="zh-CN"/>
        </w:rPr>
        <w:t xml:space="preserve">供应商</w:t>
      </w:r>
      <w:r>
        <w:rPr>
          <w:rFonts w:hint="eastAsia" w:ascii="仿宋" w:hAnsi="仿宋" w:eastAsia="仿宋" w:cs="仿宋"/>
          <w:color w:val="000000"/>
          <w:sz w:val="24"/>
          <w:highlight w:val="none"/>
        </w:rPr>
        <w:t xml:space="preserve">应提供中小企业声明函或残疾人福利性单位声明函或省级以上监狱管理局、戒毒管理局（含新疆生产建设兵团）出具的属于监狱企业的证明文件,否则视为投标无效。</w:t>
      </w:r>
      <w:r>
        <w:rPr>
          <w:rFonts w:hint="eastAsia" w:ascii="仿宋" w:hAnsi="仿宋" w:eastAsia="仿宋" w:cs="仿宋"/>
          <w:color w:val="000000"/>
          <w:sz w:val="24"/>
          <w:highlight w:val="none"/>
        </w:rPr>
      </w:r>
      <w:r/>
    </w:p>
    <w:p>
      <w:pPr>
        <w:pStyle w:val="953"/>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三、获取采购文件：</w:t>
      </w:r>
      <w:r>
        <w:rPr>
          <w:rFonts w:hint="eastAsia" w:ascii="仿宋" w:hAnsi="仿宋" w:eastAsia="仿宋" w:cs="仿宋"/>
          <w:b/>
          <w:color w:val="000000"/>
          <w:sz w:val="24"/>
          <w:szCs w:val="24"/>
          <w:highlight w:val="none"/>
          <w:lang w:val="en-US" w:eastAsia="zh-CN" w:bidi="ar-SA"/>
        </w:rPr>
      </w:r>
      <w:r/>
    </w:p>
    <w:p>
      <w:pPr>
        <w:pStyle w:val="953"/>
        <w:numPr>
          <w:ilvl w:val="0"/>
          <w:numId w:val="0"/>
        </w:numPr>
        <w:ind w:firstLine="480"/>
        <w:jc w:val="both"/>
        <w:keepLines w:val="0"/>
        <w:keepNext w:val="0"/>
        <w:pageBreakBefore w:val="0"/>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时间：自本公告发布之日起5个工作日</w:t>
      </w:r>
      <w:r>
        <w:rPr>
          <w:rFonts w:hint="eastAsia" w:ascii="仿宋" w:hAnsi="仿宋" w:eastAsia="仿宋" w:cs="仿宋"/>
          <w:bCs/>
          <w:color w:val="000000"/>
          <w:sz w:val="24"/>
          <w:highlight w:val="none"/>
          <w:lang w:val="en-US" w:eastAsia="zh-CN" w:bidi="ar-SA"/>
        </w:rPr>
      </w:r>
      <w:r/>
    </w:p>
    <w:p>
      <w:pPr>
        <w:pStyle w:val="953"/>
        <w:numPr>
          <w:ilvl w:val="0"/>
          <w:numId w:val="0"/>
        </w:numPr>
        <w:ind w:firstLine="480"/>
        <w:jc w:val="both"/>
        <w:keepLines w:val="0"/>
        <w:keepNext w:val="0"/>
        <w:pageBreakBefore w:val="0"/>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地点：“苏采云”系统</w:t>
      </w:r>
      <w:r>
        <w:rPr>
          <w:rFonts w:hint="eastAsia" w:ascii="仿宋" w:hAnsi="仿宋" w:eastAsia="仿宋" w:cs="仿宋"/>
          <w:bCs/>
          <w:color w:val="000000"/>
          <w:sz w:val="24"/>
          <w:highlight w:val="none"/>
          <w:lang w:val="en-US" w:eastAsia="zh-CN" w:bidi="ar-SA"/>
        </w:rPr>
      </w:r>
      <w:r/>
    </w:p>
    <w:p>
      <w:pPr>
        <w:pStyle w:val="953"/>
        <w:numPr>
          <w:ilvl w:val="0"/>
          <w:numId w:val="0"/>
        </w:numPr>
        <w:ind w:firstLine="480"/>
        <w:jc w:val="both"/>
        <w:keepLines w:val="0"/>
        <w:keepNext w:val="0"/>
        <w:pageBreakBefore w:val="0"/>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方式：自行下载</w:t>
      </w:r>
      <w:r>
        <w:rPr>
          <w:rFonts w:hint="eastAsia" w:ascii="仿宋" w:hAnsi="仿宋" w:eastAsia="仿宋" w:cs="仿宋"/>
          <w:bCs/>
          <w:color w:val="000000"/>
          <w:sz w:val="24"/>
          <w:highlight w:val="none"/>
          <w:lang w:val="en-US" w:eastAsia="zh-CN" w:bidi="ar-SA"/>
        </w:rPr>
      </w:r>
      <w:r/>
    </w:p>
    <w:p>
      <w:pPr>
        <w:pStyle w:val="953"/>
        <w:numPr>
          <w:ilvl w:val="0"/>
          <w:numId w:val="0"/>
        </w:numPr>
        <w:ind w:firstLine="480"/>
        <w:jc w:val="both"/>
        <w:keepLines w:val="0"/>
        <w:keepNext w:val="0"/>
        <w:pageBreakBefore w:val="0"/>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售价：0.00元</w:t>
      </w:r>
      <w:r>
        <w:rPr>
          <w:rFonts w:hint="eastAsia" w:ascii="仿宋" w:hAnsi="仿宋" w:eastAsia="仿宋" w:cs="仿宋"/>
          <w:bCs/>
          <w:color w:val="000000"/>
          <w:sz w:val="24"/>
          <w:highlight w:val="none"/>
          <w:lang w:val="en-US" w:eastAsia="zh-CN" w:bidi="ar-SA"/>
        </w:rPr>
      </w:r>
      <w:r/>
    </w:p>
    <w:p>
      <w:pPr>
        <w:pStyle w:val="953"/>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四、提交响应文件截止时间、开标时间和地点</w:t>
      </w:r>
      <w:r>
        <w:rPr>
          <w:rFonts w:hint="eastAsia" w:ascii="仿宋" w:hAnsi="仿宋" w:eastAsia="仿宋" w:cs="仿宋"/>
          <w:b/>
          <w:color w:val="000000"/>
          <w:sz w:val="24"/>
          <w:szCs w:val="24"/>
          <w:highlight w:val="none"/>
          <w:lang w:val="en-US" w:eastAsia="zh-CN" w:bidi="ar-SA"/>
        </w:rPr>
      </w:r>
      <w:r/>
    </w:p>
    <w:p>
      <w:pPr>
        <w:pStyle w:val="953"/>
        <w:numPr>
          <w:ilvl w:val="0"/>
          <w:numId w:val="0"/>
        </w:numPr>
        <w:ind w:firstLine="480"/>
        <w:jc w:val="both"/>
        <w:keepLines w:val="0"/>
        <w:keepNext w:val="0"/>
        <w:pageBreakBefore w:val="0"/>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时间：2026-04-28 09:30 （北京时间）</w:t>
      </w:r>
      <w:r>
        <w:rPr>
          <w:rFonts w:hint="eastAsia" w:ascii="仿宋" w:hAnsi="仿宋" w:eastAsia="仿宋" w:cs="仿宋"/>
          <w:bCs/>
          <w:color w:val="000000"/>
          <w:sz w:val="24"/>
          <w:highlight w:val="none"/>
          <w:lang w:val="en-US" w:eastAsia="zh-CN" w:bidi="ar-SA"/>
        </w:rPr>
      </w:r>
      <w:r/>
    </w:p>
    <w:p>
      <w:pPr>
        <w:pStyle w:val="953"/>
        <w:numPr>
          <w:ilvl w:val="0"/>
          <w:numId w:val="0"/>
        </w:numPr>
        <w:ind w:firstLine="480"/>
        <w:jc w:val="both"/>
        <w:keepLines w:val="0"/>
        <w:keepNext w:val="0"/>
        <w:pageBreakBefore w:val="0"/>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地点：“苏采云”系统</w:t>
      </w:r>
      <w:r>
        <w:rPr>
          <w:rFonts w:hint="eastAsia" w:ascii="仿宋" w:hAnsi="仿宋" w:eastAsia="仿宋" w:cs="仿宋"/>
          <w:bCs/>
          <w:color w:val="000000"/>
          <w:sz w:val="24"/>
          <w:highlight w:val="none"/>
          <w:lang w:val="en-US" w:eastAsia="zh-CN" w:bidi="ar-SA"/>
        </w:rPr>
      </w:r>
      <w:r/>
    </w:p>
    <w:p>
      <w:pPr>
        <w:pStyle w:val="953"/>
        <w:ind w:firstLine="482"/>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五、公告期限</w:t>
      </w:r>
      <w:r>
        <w:rPr>
          <w:rFonts w:hint="eastAsia" w:ascii="仿宋" w:hAnsi="仿宋" w:eastAsia="仿宋" w:cs="仿宋"/>
          <w:color w:val="000000"/>
          <w:sz w:val="24"/>
          <w:szCs w:val="24"/>
          <w:highlight w:val="none"/>
          <w:lang w:val="en-US" w:eastAsia="zh-CN" w:bidi="ar-SA"/>
        </w:rPr>
      </w:r>
      <w:r/>
    </w:p>
    <w:p>
      <w:pPr>
        <w:pStyle w:val="953"/>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自本公告发布之日起5个工作日。</w:t>
      </w:r>
      <w:r>
        <w:rPr>
          <w:rFonts w:hint="eastAsia" w:ascii="仿宋" w:hAnsi="仿宋" w:eastAsia="仿宋" w:cs="仿宋"/>
          <w:color w:val="000000"/>
          <w:sz w:val="24"/>
          <w:szCs w:val="24"/>
          <w:highlight w:val="none"/>
          <w:lang w:val="en-US" w:eastAsia="zh-CN" w:bidi="ar-SA"/>
        </w:rPr>
      </w:r>
      <w:r/>
    </w:p>
    <w:p>
      <w:pPr>
        <w:pStyle w:val="953"/>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六、其他补充事宜：</w:t>
      </w:r>
      <w:r>
        <w:rPr>
          <w:rFonts w:hint="eastAsia" w:ascii="仿宋" w:hAnsi="仿宋" w:eastAsia="仿宋" w:cs="仿宋"/>
          <w:b/>
          <w:color w:val="000000"/>
          <w:sz w:val="24"/>
          <w:szCs w:val="24"/>
          <w:highlight w:val="none"/>
          <w:lang w:val="en-US" w:eastAsia="zh-CN" w:bidi="ar-SA"/>
        </w:rPr>
      </w:r>
      <w:r/>
    </w:p>
    <w:p>
      <w:pPr>
        <w:pStyle w:val="953"/>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1、本项目需要使用CA数字证书制作、上传电子响应文件完成电子投标，请供应商在参加投标活动前办理好CA数字证书申领及电子签章等操作。</w:t>
      </w:r>
      <w:r>
        <w:rPr>
          <w:rFonts w:hint="eastAsia" w:ascii="仿宋" w:hAnsi="仿宋" w:eastAsia="仿宋" w:cs="仿宋"/>
          <w:bCs/>
          <w:color w:val="000000"/>
          <w:sz w:val="24"/>
          <w:highlight w:val="none"/>
          <w:lang w:val="en-US" w:eastAsia="zh-CN" w:bidi="ar-SA"/>
        </w:rPr>
      </w:r>
      <w:r/>
    </w:p>
    <w:p>
      <w:pPr>
        <w:pStyle w:val="953"/>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2、供应商登陆“苏采云”系统后选择要参与的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仿宋" w:hAnsi="仿宋" w:eastAsia="仿宋" w:cs="仿宋"/>
          <w:bCs/>
          <w:color w:val="000000"/>
          <w:sz w:val="24"/>
          <w:highlight w:val="none"/>
          <w:lang w:val="en-US" w:eastAsia="zh-CN" w:bidi="ar-SA"/>
        </w:rPr>
      </w:r>
      <w:r/>
    </w:p>
    <w:p>
      <w:pPr>
        <w:pStyle w:val="953"/>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3、本项目采用不见面开标，供应商开标时无需到开标现场进行解密，采取网上开标大厅解密电子响应文件，供应商远程解密要求如下：</w:t>
      </w:r>
      <w:r>
        <w:rPr>
          <w:rFonts w:hint="eastAsia" w:ascii="仿宋" w:hAnsi="仿宋" w:eastAsia="仿宋" w:cs="仿宋"/>
          <w:bCs/>
          <w:color w:val="000000"/>
          <w:sz w:val="24"/>
          <w:highlight w:val="none"/>
          <w:lang w:val="en-US" w:eastAsia="zh-CN" w:bidi="ar-SA"/>
        </w:rPr>
      </w:r>
      <w:r/>
    </w:p>
    <w:p>
      <w:pPr>
        <w:pStyle w:val="953"/>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1）供应商使用CA数字证书进行远程解密，解密的CA数字证书与生成加密电子响应文件时的CA数字证书需为同一个CA数字证书，否则无法解密，造成的后果由供应商自行负责。</w:t>
      </w:r>
      <w:r>
        <w:rPr>
          <w:rFonts w:hint="eastAsia" w:ascii="仿宋" w:hAnsi="仿宋" w:eastAsia="仿宋" w:cs="仿宋"/>
          <w:bCs/>
          <w:color w:val="000000"/>
          <w:sz w:val="24"/>
          <w:highlight w:val="none"/>
          <w:lang w:val="en-US" w:eastAsia="zh-CN" w:bidi="ar-SA"/>
        </w:rPr>
      </w:r>
      <w:r/>
    </w:p>
    <w:p>
      <w:pPr>
        <w:pStyle w:val="953"/>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2）供应商登录苏采云系统，点击开标大厅，选择开标项目，完成不见面开标流程。</w:t>
      </w:r>
      <w:r>
        <w:rPr>
          <w:rFonts w:hint="eastAsia" w:ascii="仿宋" w:hAnsi="仿宋" w:eastAsia="仿宋" w:cs="仿宋"/>
          <w:bCs/>
          <w:color w:val="000000"/>
          <w:sz w:val="24"/>
          <w:highlight w:val="none"/>
          <w:lang w:val="en-US" w:eastAsia="zh-CN" w:bidi="ar-SA"/>
        </w:rPr>
      </w:r>
      <w:r/>
    </w:p>
    <w:p>
      <w:pPr>
        <w:pStyle w:val="953"/>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3）投标截止时间后根据系统提示解密电子响应文件。解密时间为15分钟，未在规定时间内完成解密，其响应文件将被拒绝，不参与后续投标流程。</w:t>
      </w:r>
      <w:r>
        <w:rPr>
          <w:rFonts w:hint="eastAsia" w:ascii="仿宋" w:hAnsi="仿宋" w:eastAsia="仿宋" w:cs="仿宋"/>
          <w:bCs/>
          <w:color w:val="000000"/>
          <w:sz w:val="24"/>
          <w:highlight w:val="none"/>
          <w:lang w:val="en-US" w:eastAsia="zh-CN" w:bidi="ar-SA"/>
        </w:rPr>
      </w:r>
      <w:r/>
    </w:p>
    <w:p>
      <w:pPr>
        <w:pStyle w:val="953"/>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4）在开标、评标过程中供应商代表须在网上不见面开标系统中保持在线状态，以应对可能发生的澄清、说明等回复，由于供应商代表不在线所造成的一切后果由供应商自行承担。</w:t>
      </w:r>
      <w:r>
        <w:rPr>
          <w:rFonts w:hint="eastAsia" w:ascii="仿宋" w:hAnsi="仿宋" w:eastAsia="仿宋" w:cs="仿宋"/>
          <w:bCs/>
          <w:color w:val="000000"/>
          <w:sz w:val="24"/>
          <w:highlight w:val="none"/>
          <w:lang w:val="en-US" w:eastAsia="zh-CN" w:bidi="ar-SA"/>
        </w:rPr>
      </w:r>
      <w:r/>
    </w:p>
    <w:p>
      <w:pPr>
        <w:pStyle w:val="953"/>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4、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仿宋" w:hAnsi="仿宋" w:eastAsia="仿宋" w:cs="仿宋"/>
          <w:bCs/>
          <w:color w:val="000000"/>
          <w:sz w:val="24"/>
          <w:highlight w:val="none"/>
          <w:lang w:val="en-US" w:eastAsia="zh-CN" w:bidi="ar-SA"/>
        </w:rPr>
      </w:r>
      <w:r/>
    </w:p>
    <w:p>
      <w:pPr>
        <w:pStyle w:val="953"/>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5、有关供应商注册、报名、下载电子采购文件、制作上传电子响应文件、不见面开标及其他注意事项登录苏州政府采购网，在“下载中心”栏目下载“苏采云系统供应商操作手册”查阅。</w:t>
      </w:r>
      <w:r>
        <w:rPr>
          <w:rFonts w:hint="eastAsia" w:ascii="仿宋" w:hAnsi="仿宋" w:eastAsia="仿宋" w:cs="仿宋"/>
          <w:bCs/>
          <w:color w:val="000000"/>
          <w:sz w:val="24"/>
          <w:highlight w:val="none"/>
          <w:lang w:val="en-US" w:eastAsia="zh-CN" w:bidi="ar-SA"/>
        </w:rPr>
      </w:r>
      <w:r/>
    </w:p>
    <w:p>
      <w:pPr>
        <w:pStyle w:val="953"/>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6、有关办理CA数字申领及电子签章事项，登录苏州政府采购网，点击页面底部苏采云图标，进入苏采云政府采购一体化平台，下载“新CA办理指南”文件查阅。</w:t>
      </w:r>
      <w:r>
        <w:rPr>
          <w:rFonts w:hint="eastAsia" w:ascii="仿宋" w:hAnsi="仿宋" w:eastAsia="仿宋" w:cs="仿宋"/>
          <w:bCs/>
          <w:color w:val="000000"/>
          <w:sz w:val="24"/>
          <w:highlight w:val="none"/>
          <w:lang w:val="en-US" w:eastAsia="zh-CN" w:bidi="ar-SA"/>
        </w:rPr>
      </w:r>
      <w:r/>
    </w:p>
    <w:p>
      <w:pPr>
        <w:pStyle w:val="953"/>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7、有关电子投标制作技术疑问，请咨询苏采云软件公司客服：18261002950、0512-69820854、0519-86722802</w:t>
      </w:r>
      <w:r>
        <w:rPr>
          <w:rFonts w:hint="eastAsia" w:ascii="仿宋" w:hAnsi="仿宋" w:eastAsia="仿宋" w:cs="仿宋"/>
          <w:bCs/>
          <w:color w:val="000000"/>
          <w:sz w:val="24"/>
          <w:highlight w:val="none"/>
          <w:lang w:val="en-US" w:eastAsia="zh-CN" w:bidi="ar-SA"/>
        </w:rPr>
      </w:r>
      <w:r/>
    </w:p>
    <w:p>
      <w:pPr>
        <w:pStyle w:val="953"/>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8、政府采购监督电话：0512-53512539</w:t>
      </w:r>
      <w:r>
        <w:rPr>
          <w:rFonts w:hint="eastAsia" w:ascii="仿宋" w:hAnsi="仿宋" w:eastAsia="仿宋" w:cs="仿宋"/>
          <w:bCs/>
          <w:color w:val="000000"/>
          <w:sz w:val="24"/>
          <w:highlight w:val="none"/>
          <w:lang w:val="en-US" w:eastAsia="zh-CN" w:bidi="ar-SA"/>
        </w:rPr>
      </w:r>
      <w:r/>
    </w:p>
    <w:p>
      <w:pPr>
        <w:pStyle w:val="953"/>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9、本次磋商保证金：本项目无须缴纳磋商保证金。</w:t>
      </w:r>
      <w:r>
        <w:rPr>
          <w:rFonts w:hint="eastAsia" w:ascii="仿宋" w:hAnsi="仿宋" w:eastAsia="仿宋" w:cs="仿宋"/>
          <w:bCs/>
          <w:color w:val="000000"/>
          <w:sz w:val="24"/>
          <w:highlight w:val="none"/>
          <w:lang w:val="en-US" w:eastAsia="zh-CN" w:bidi="ar-SA"/>
        </w:rPr>
      </w:r>
      <w:r/>
    </w:p>
    <w:p>
      <w:pPr>
        <w:pStyle w:val="953"/>
        <w:ind w:firstLine="480"/>
        <w:jc w:val="left"/>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10、政府采购信用融资政策：中标供应商可凭政府采购合同办理融资贷款，详情请见江苏政府采购网“政采贷”专栏。</w:t>
      </w:r>
      <w:r>
        <w:rPr>
          <w:rFonts w:hint="eastAsia" w:ascii="仿宋" w:hAnsi="仿宋" w:eastAsia="仿宋" w:cs="仿宋"/>
          <w:bCs/>
          <w:color w:val="000000"/>
          <w:sz w:val="24"/>
          <w:highlight w:val="none"/>
          <w:lang w:val="en-US" w:eastAsia="zh-CN" w:bidi="ar-SA"/>
        </w:rPr>
        <w:br w:type="textWrapping" w:clear="all"/>
      </w:r>
      <w:r>
        <w:rPr>
          <w:rFonts w:hint="eastAsia" w:ascii="仿宋" w:hAnsi="仿宋" w:eastAsia="仿宋" w:cs="仿宋"/>
          <w:bCs/>
          <w:color w:val="000000"/>
          <w:sz w:val="24"/>
          <w:highlight w:val="none"/>
          <w:lang w:val="en-US" w:eastAsia="zh-CN" w:bidi="ar-SA"/>
        </w:rPr>
        <w:t xml:space="preserve">    11、政府采购履约资金扶持政策：依据《关于在全省政府采购领域推行电子履约保函（保险）的通知》（苏财购〔2023〕150号），中标供应商可通过江苏政府采购网“政府采购电子履约保函（保险）综合服务平台”线上办理履约保函（保险）。</w:t>
      </w:r>
      <w:r>
        <w:rPr>
          <w:rFonts w:hint="eastAsia" w:ascii="仿宋" w:hAnsi="仿宋" w:eastAsia="仿宋" w:cs="仿宋"/>
          <w:bCs/>
          <w:color w:val="000000"/>
          <w:sz w:val="24"/>
          <w:highlight w:val="none"/>
          <w:lang w:val="en-US" w:eastAsia="zh-CN" w:bidi="ar-SA"/>
        </w:rPr>
      </w:r>
      <w:r/>
    </w:p>
    <w:p>
      <w:pPr>
        <w:pStyle w:val="953"/>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七、对本次招标提出询问，请按以下方式联系。</w:t>
      </w:r>
      <w:r>
        <w:rPr>
          <w:rFonts w:hint="eastAsia" w:ascii="仿宋" w:hAnsi="仿宋" w:eastAsia="仿宋" w:cs="仿宋"/>
          <w:b/>
          <w:color w:val="000000"/>
          <w:sz w:val="24"/>
          <w:highlight w:val="none"/>
        </w:rPr>
      </w:r>
      <w:r/>
    </w:p>
    <w:p>
      <w:pPr>
        <w:pStyle w:val="95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1.采购人信息</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95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名称：太仓市财政局</w:t>
      </w:r>
      <w:r>
        <w:rPr>
          <w:rFonts w:hint="eastAsia" w:ascii="仿宋" w:hAnsi="仿宋" w:eastAsia="仿宋" w:cs="仿宋"/>
          <w:color w:val="000000"/>
          <w:sz w:val="24"/>
          <w:highlight w:val="none"/>
        </w:rPr>
      </w:r>
      <w:r/>
    </w:p>
    <w:p>
      <w:pPr>
        <w:pStyle w:val="95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地址：太仓市县府东街99号</w:t>
      </w:r>
      <w:r>
        <w:rPr>
          <w:rFonts w:hint="eastAsia" w:ascii="仿宋" w:hAnsi="仿宋" w:eastAsia="仿宋" w:cs="仿宋"/>
          <w:color w:val="000000"/>
          <w:sz w:val="24"/>
          <w:highlight w:val="none"/>
        </w:rPr>
      </w:r>
      <w:r/>
    </w:p>
    <w:p>
      <w:pPr>
        <w:pStyle w:val="95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联系方式：0512-53537923</w:t>
      </w:r>
      <w:r>
        <w:rPr>
          <w:rFonts w:hint="eastAsia" w:ascii="仿宋" w:hAnsi="仿宋" w:eastAsia="仿宋" w:cs="仿宋"/>
          <w:color w:val="000000"/>
          <w:sz w:val="24"/>
          <w:highlight w:val="none"/>
        </w:rPr>
      </w:r>
      <w:r/>
    </w:p>
    <w:p>
      <w:pPr>
        <w:pStyle w:val="95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2.采购代</w:t>
      </w:r>
      <w:r>
        <w:rPr>
          <w:rFonts w:hint="eastAsia" w:ascii="仿宋" w:hAnsi="仿宋" w:eastAsia="仿宋" w:cs="仿宋"/>
          <w:color w:val="000000"/>
          <w:sz w:val="24"/>
          <w:highlight w:val="none"/>
        </w:rPr>
        <w:t xml:space="preserve">理机构信息</w:t>
      </w:r>
      <w:r>
        <w:rPr>
          <w:rFonts w:hint="eastAsia" w:ascii="仿宋" w:hAnsi="仿宋" w:eastAsia="仿宋" w:cs="仿宋"/>
          <w:color w:val="000000"/>
          <w:sz w:val="24"/>
          <w:highlight w:val="none"/>
        </w:rPr>
      </w:r>
      <w:r/>
    </w:p>
    <w:p>
      <w:pPr>
        <w:pStyle w:val="95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名称：苏州恒中造价师事务所有限责任公司</w:t>
      </w:r>
      <w:r>
        <w:rPr>
          <w:rFonts w:hint="eastAsia" w:ascii="仿宋" w:hAnsi="仿宋" w:eastAsia="仿宋" w:cs="仿宋"/>
          <w:color w:val="000000"/>
          <w:sz w:val="24"/>
          <w:highlight w:val="none"/>
        </w:rPr>
      </w:r>
      <w:r/>
    </w:p>
    <w:p>
      <w:pPr>
        <w:pStyle w:val="95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地址：苏州市太仓市公正路11号联合大厦20楼</w:t>
      </w:r>
      <w:r>
        <w:rPr>
          <w:rFonts w:hint="eastAsia" w:ascii="仿宋" w:hAnsi="仿宋" w:eastAsia="仿宋" w:cs="仿宋"/>
          <w:color w:val="000000"/>
          <w:sz w:val="24"/>
          <w:highlight w:val="none"/>
        </w:rPr>
      </w:r>
      <w:r/>
    </w:p>
    <w:p>
      <w:pPr>
        <w:pStyle w:val="95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联系人：罗来山</w:t>
      </w:r>
      <w:r>
        <w:rPr>
          <w:rFonts w:hint="eastAsia" w:ascii="仿宋" w:hAnsi="仿宋" w:eastAsia="仿宋" w:cs="仿宋"/>
          <w:color w:val="000000"/>
          <w:sz w:val="24"/>
          <w:highlight w:val="none"/>
        </w:rPr>
      </w:r>
      <w:r/>
    </w:p>
    <w:p>
      <w:pPr>
        <w:pStyle w:val="95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联系方式：81606981-8007</w:t>
      </w:r>
      <w:r>
        <w:rPr>
          <w:rFonts w:hint="eastAsia" w:ascii="仿宋" w:hAnsi="仿宋" w:eastAsia="仿宋" w:cs="仿宋"/>
          <w:color w:val="000000"/>
          <w:sz w:val="24"/>
          <w:highlight w:val="none"/>
        </w:rPr>
      </w:r>
      <w:r/>
    </w:p>
    <w:p>
      <w:pPr>
        <w:pStyle w:val="95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3.项目联系方式</w:t>
      </w:r>
      <w:r>
        <w:rPr>
          <w:rFonts w:hint="eastAsia" w:ascii="仿宋" w:hAnsi="仿宋" w:eastAsia="仿宋" w:cs="仿宋"/>
          <w:color w:val="000000"/>
          <w:sz w:val="24"/>
          <w:highlight w:val="none"/>
        </w:rPr>
      </w:r>
      <w:r/>
    </w:p>
    <w:p>
      <w:pPr>
        <w:pStyle w:val="95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项目联系人：罗来山</w:t>
      </w:r>
      <w:r>
        <w:rPr>
          <w:rFonts w:hint="eastAsia" w:ascii="仿宋" w:hAnsi="仿宋" w:eastAsia="仿宋" w:cs="仿宋"/>
          <w:color w:val="000000"/>
          <w:sz w:val="24"/>
          <w:highlight w:val="none"/>
        </w:rPr>
      </w:r>
      <w:r/>
    </w:p>
    <w:p>
      <w:pPr>
        <w:pStyle w:val="95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电话：15806229451</w:t>
      </w:r>
      <w:r>
        <w:rPr>
          <w:rFonts w:hint="eastAsia" w:ascii="仿宋" w:hAnsi="仿宋" w:eastAsia="仿宋" w:cs="仿宋"/>
          <w:color w:val="000000"/>
          <w:sz w:val="24"/>
          <w:highlight w:val="none"/>
        </w:rPr>
      </w:r>
      <w:r/>
    </w:p>
    <w:p>
      <w:pPr>
        <w:pStyle w:val="953"/>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40"/>
        <w:ind w:firstLine="480"/>
        <w:rPr>
          <w:rFonts w:hint="eastAsia" w:ascii="宋体" w:hAnsi="宋体"/>
          <w:color w:val="000000"/>
          <w:sz w:val="24"/>
          <w:highlight w:val="none"/>
        </w:rPr>
      </w:pPr>
      <w:r>
        <w:rPr>
          <w:rFonts w:hint="eastAsia" w:ascii="宋体" w:hAnsi="宋体"/>
          <w:color w:val="000000"/>
          <w:sz w:val="24"/>
          <w:highlight w:val="none"/>
        </w:rPr>
      </w:r>
      <w:r/>
    </w:p>
    <w:p>
      <w:pPr>
        <w:pStyle w:val="1040"/>
        <w:ind w:firstLine="480"/>
        <w:rPr>
          <w:rFonts w:hint="eastAsia" w:ascii="宋体" w:hAnsi="宋体"/>
          <w:color w:val="000000"/>
          <w:sz w:val="24"/>
          <w:highlight w:val="none"/>
        </w:rPr>
      </w:pPr>
      <w:r>
        <w:rPr>
          <w:rFonts w:hint="eastAsia" w:ascii="宋体" w:hAnsi="宋体"/>
          <w:color w:val="000000"/>
          <w:sz w:val="24"/>
          <w:highlight w:val="none"/>
        </w:rPr>
      </w:r>
      <w:r/>
    </w:p>
    <w:p>
      <w:pPr>
        <w:pStyle w:val="1040"/>
        <w:ind w:firstLine="480"/>
        <w:rPr>
          <w:rFonts w:hint="eastAsia" w:ascii="宋体" w:hAnsi="宋体"/>
          <w:color w:val="000000"/>
          <w:sz w:val="24"/>
          <w:highlight w:val="none"/>
        </w:rPr>
      </w:pPr>
      <w:r>
        <w:rPr>
          <w:rFonts w:hint="eastAsia" w:ascii="宋体" w:hAnsi="宋体"/>
          <w:color w:val="000000"/>
          <w:sz w:val="24"/>
          <w:highlight w:val="none"/>
        </w:rPr>
      </w:r>
      <w:r/>
    </w:p>
    <w:p>
      <w:pPr>
        <w:pStyle w:val="1040"/>
        <w:ind w:firstLine="480"/>
        <w:rPr>
          <w:rFonts w:hint="eastAsia" w:ascii="宋体" w:hAnsi="宋体"/>
          <w:color w:val="000000"/>
          <w:sz w:val="24"/>
          <w:highlight w:val="none"/>
        </w:rPr>
      </w:pPr>
      <w:r>
        <w:rPr>
          <w:rFonts w:hint="eastAsia" w:ascii="宋体" w:hAnsi="宋体"/>
          <w:color w:val="000000"/>
          <w:sz w:val="24"/>
          <w:highlight w:val="none"/>
        </w:rPr>
      </w:r>
      <w:r/>
    </w:p>
    <w:p>
      <w:pPr>
        <w:pStyle w:val="1040"/>
        <w:ind w:firstLine="480"/>
        <w:rPr>
          <w:rFonts w:hint="eastAsia" w:ascii="宋体" w:hAnsi="宋体"/>
          <w:color w:val="000000"/>
          <w:sz w:val="24"/>
          <w:highlight w:val="none"/>
        </w:rPr>
      </w:pPr>
      <w:r>
        <w:rPr>
          <w:rFonts w:hint="eastAsia" w:ascii="宋体" w:hAnsi="宋体"/>
          <w:color w:val="000000"/>
          <w:sz w:val="24"/>
          <w:highlight w:val="none"/>
        </w:rPr>
      </w:r>
      <w:r/>
    </w:p>
    <w:p>
      <w:pPr>
        <w:pStyle w:val="1040"/>
        <w:ind w:firstLine="480"/>
        <w:rPr>
          <w:rFonts w:hint="eastAsia" w:ascii="宋体" w:hAnsi="宋体"/>
          <w:color w:val="000000"/>
          <w:sz w:val="24"/>
          <w:highlight w:val="none"/>
        </w:rPr>
      </w:pPr>
      <w:r>
        <w:rPr>
          <w:rFonts w:hint="eastAsia" w:ascii="宋体" w:hAnsi="宋体"/>
          <w:color w:val="000000"/>
          <w:sz w:val="24"/>
          <w:highlight w:val="none"/>
        </w:rPr>
      </w:r>
      <w:r/>
    </w:p>
    <w:p>
      <w:pPr>
        <w:pStyle w:val="1040"/>
        <w:ind w:firstLine="480"/>
        <w:rPr>
          <w:rFonts w:hint="eastAsia" w:ascii="宋体" w:hAnsi="宋体"/>
          <w:color w:val="000000"/>
          <w:sz w:val="24"/>
          <w:highlight w:val="none"/>
        </w:rPr>
      </w:pPr>
      <w:r>
        <w:rPr>
          <w:rFonts w:hint="eastAsia" w:ascii="宋体" w:hAnsi="宋体"/>
          <w:color w:val="000000"/>
          <w:sz w:val="24"/>
          <w:highlight w:val="none"/>
        </w:rPr>
      </w:r>
      <w:r/>
    </w:p>
    <w:p>
      <w:pPr>
        <w:pStyle w:val="1040"/>
        <w:ind w:firstLine="480"/>
        <w:rPr>
          <w:rFonts w:hint="eastAsia" w:ascii="宋体" w:hAnsi="宋体"/>
          <w:color w:val="000000"/>
          <w:sz w:val="24"/>
          <w:highlight w:val="none"/>
        </w:rPr>
      </w:pPr>
      <w:r>
        <w:rPr>
          <w:rFonts w:hint="eastAsia" w:ascii="宋体" w:hAnsi="宋体"/>
          <w:color w:val="000000"/>
          <w:sz w:val="24"/>
          <w:highlight w:val="none"/>
        </w:rPr>
      </w:r>
      <w:r/>
    </w:p>
    <w:p>
      <w:pPr>
        <w:pStyle w:val="1040"/>
        <w:ind w:firstLine="480"/>
        <w:rPr>
          <w:rFonts w:hint="eastAsia" w:ascii="宋体" w:hAnsi="宋体"/>
          <w:color w:val="000000"/>
          <w:sz w:val="24"/>
          <w:highlight w:val="none"/>
        </w:rPr>
      </w:pPr>
      <w:r>
        <w:rPr>
          <w:rFonts w:hint="eastAsia" w:ascii="宋体" w:hAnsi="宋体"/>
          <w:color w:val="000000"/>
          <w:sz w:val="24"/>
          <w:highlight w:val="none"/>
        </w:rPr>
      </w:r>
      <w:r/>
    </w:p>
    <w:p>
      <w:pPr>
        <w:pStyle w:val="1040"/>
        <w:ind w:firstLine="480"/>
        <w:rPr>
          <w:rFonts w:hint="eastAsia" w:ascii="宋体" w:hAnsi="宋体"/>
          <w:color w:val="000000"/>
          <w:sz w:val="24"/>
          <w:highlight w:val="none"/>
        </w:rPr>
      </w:pPr>
      <w:r>
        <w:rPr>
          <w:rFonts w:hint="eastAsia" w:ascii="宋体" w:hAnsi="宋体"/>
          <w:color w:val="000000"/>
          <w:sz w:val="24"/>
          <w:highlight w:val="none"/>
        </w:rPr>
      </w:r>
      <w:r/>
    </w:p>
    <w:p>
      <w:pPr>
        <w:pStyle w:val="1040"/>
        <w:ind w:firstLine="480"/>
        <w:rPr>
          <w:rFonts w:hint="eastAsia" w:ascii="宋体" w:hAnsi="宋体"/>
          <w:color w:val="000000"/>
          <w:sz w:val="24"/>
          <w:highlight w:val="none"/>
        </w:rPr>
      </w:pPr>
      <w:r>
        <w:rPr>
          <w:rFonts w:hint="eastAsia" w:ascii="宋体" w:hAnsi="宋体"/>
          <w:color w:val="000000"/>
          <w:sz w:val="24"/>
          <w:highlight w:val="none"/>
        </w:rPr>
      </w:r>
      <w:r/>
    </w:p>
    <w:p>
      <w:pPr>
        <w:pStyle w:val="1040"/>
        <w:ind w:firstLine="480"/>
        <w:rPr>
          <w:rFonts w:hint="eastAsia" w:ascii="宋体" w:hAnsi="宋体"/>
          <w:color w:val="000000"/>
          <w:sz w:val="24"/>
          <w:highlight w:val="none"/>
        </w:rPr>
      </w:pPr>
      <w:r>
        <w:rPr>
          <w:rFonts w:hint="eastAsia" w:ascii="宋体" w:hAnsi="宋体"/>
          <w:color w:val="000000"/>
          <w:sz w:val="24"/>
          <w:highlight w:val="none"/>
        </w:rPr>
      </w:r>
      <w:r/>
    </w:p>
    <w:p>
      <w:pPr>
        <w:pStyle w:val="1040"/>
        <w:ind w:firstLine="480"/>
        <w:rPr>
          <w:rFonts w:hint="eastAsia" w:ascii="宋体" w:hAnsi="宋体"/>
          <w:color w:val="000000"/>
          <w:sz w:val="24"/>
          <w:highlight w:val="none"/>
        </w:rPr>
      </w:pPr>
      <w:r>
        <w:rPr>
          <w:rFonts w:hint="eastAsia" w:ascii="宋体" w:hAnsi="宋体"/>
          <w:color w:val="000000"/>
          <w:sz w:val="24"/>
          <w:highlight w:val="none"/>
        </w:rPr>
      </w:r>
      <w:r/>
    </w:p>
    <w:p>
      <w:pPr>
        <w:pStyle w:val="1014"/>
        <w:ind w:left="0"/>
        <w:jc w:val="center"/>
        <w:spacing w:line="240" w:lineRule="auto"/>
        <w:tabs>
          <w:tab w:val="right" w:pos="9022" w:leader="dot"/>
        </w:tabs>
        <w:rPr>
          <w:rFonts w:hint="eastAsia" w:ascii="Times New Roman" w:hAnsi="Times New Roman" w:eastAsia="宋体" w:cs="Times New Roman"/>
          <w:b/>
          <w:color w:val="000000"/>
          <w:sz w:val="44"/>
          <w:szCs w:val="44"/>
          <w:highlight w:val="none"/>
          <w:lang w:val="en-US" w:eastAsia="zh-CN" w:bidi="ar-SA"/>
        </w:rPr>
      </w:pPr>
      <w:r/>
      <w:bookmarkEnd w:id="1"/>
      <w:r/>
      <w:bookmarkEnd w:id="2"/>
      <w:r/>
      <w:bookmarkStart w:id="3" w:name="_Toc410207683"/>
      <w:r/>
      <w:bookmarkStart w:id="4" w:name="_Toc68611035"/>
      <w:r/>
      <w:bookmarkStart w:id="5" w:name="_Toc73000674"/>
      <w:r/>
      <w:bookmarkStart w:id="6" w:name="_Toc1483"/>
      <w:r/>
      <w:bookmarkStart w:id="7" w:name="_Toc11400"/>
      <w:r>
        <w:rPr>
          <w:rFonts w:hint="eastAsia" w:ascii="Times New Roman" w:hAnsi="Times New Roman" w:eastAsia="宋体" w:cs="Times New Roman"/>
          <w:b/>
          <w:color w:val="000000"/>
          <w:sz w:val="44"/>
          <w:szCs w:val="44"/>
          <w:highlight w:val="none"/>
          <w:lang w:val="en-US" w:eastAsia="zh-CN" w:bidi="ar-SA"/>
        </w:rPr>
        <w:t xml:space="preserve">第二章 </w:t>
      </w:r>
      <w:bookmarkStart w:id="8" w:name="投标人须知"/>
      <w:r/>
      <w:bookmarkEnd w:id="8"/>
      <w:r>
        <w:rPr>
          <w:rFonts w:hint="eastAsia" w:ascii="Times New Roman" w:hAnsi="Times New Roman" w:eastAsia="宋体" w:cs="Times New Roman"/>
          <w:b/>
          <w:color w:val="000000"/>
          <w:sz w:val="44"/>
          <w:szCs w:val="44"/>
          <w:highlight w:val="none"/>
          <w:lang w:val="en-US" w:eastAsia="zh-CN" w:bidi="ar-SA"/>
        </w:rPr>
        <w:t xml:space="preserve">磋商须知</w:t>
      </w:r>
      <w:bookmarkEnd w:id="4"/>
      <w:r/>
      <w:bookmarkEnd w:id="5"/>
      <w:r/>
      <w:bookmarkEnd w:id="6"/>
      <w:r/>
      <w:bookmarkEnd w:id="7"/>
      <w:r>
        <w:rPr>
          <w:rFonts w:hint="eastAsia" w:ascii="Times New Roman" w:hAnsi="Times New Roman" w:eastAsia="宋体" w:cs="Times New Roman"/>
          <w:b/>
          <w:color w:val="000000"/>
          <w:sz w:val="44"/>
          <w:szCs w:val="44"/>
          <w:highlight w:val="none"/>
          <w:lang w:val="en-US" w:eastAsia="zh-CN" w:bidi="ar-SA"/>
        </w:rPr>
      </w:r>
      <w:r/>
    </w:p>
    <w:p>
      <w:pPr>
        <w:pStyle w:val="979"/>
        <w:ind w:firstLine="482"/>
        <w:keepLines w:val="0"/>
        <w:keepNext w:val="0"/>
        <w:pageBreakBefore w:val="0"/>
        <w:spacing w:before="361" w:line="360" w:lineRule="auto"/>
        <w:widowControl w:val="off"/>
        <w:rPr>
          <w:rFonts w:hint="eastAsia" w:ascii="仿宋" w:hAnsi="仿宋" w:eastAsia="仿宋" w:cs="仿宋"/>
          <w:b/>
          <w:color w:val="000000"/>
          <w:sz w:val="24"/>
          <w:szCs w:val="24"/>
          <w:highlight w:val="none"/>
        </w:rPr>
      </w:pPr>
      <w:r/>
      <w:bookmarkStart w:id="9" w:name="_Toc7264"/>
      <w:r/>
      <w:bookmarkStart w:id="10" w:name="_Toc24711"/>
      <w:r/>
      <w:bookmarkStart w:id="11" w:name="_Toc57376407"/>
      <w:r/>
      <w:bookmarkStart w:id="12" w:name="_Toc58248881"/>
      <w:r>
        <w:rPr>
          <w:rFonts w:hint="eastAsia" w:ascii="仿宋" w:hAnsi="仿宋" w:eastAsia="仿宋" w:cs="仿宋"/>
          <w:b/>
          <w:color w:val="000000"/>
          <w:sz w:val="24"/>
          <w:szCs w:val="24"/>
          <w:highlight w:val="none"/>
        </w:rPr>
        <w:t xml:space="preserve">一、响应文件的组成及要求</w:t>
      </w:r>
      <w:r>
        <w:rPr>
          <w:rFonts w:hint="eastAsia" w:ascii="仿宋" w:hAnsi="仿宋" w:eastAsia="仿宋" w:cs="仿宋"/>
          <w:b/>
          <w:color w:val="000000"/>
          <w:sz w:val="24"/>
          <w:szCs w:val="24"/>
          <w:highlight w:val="none"/>
        </w:rPr>
      </w:r>
      <w:r/>
    </w:p>
    <w:p>
      <w:pPr>
        <w:pStyle w:val="979"/>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1、封面</w:t>
      </w:r>
      <w:r>
        <w:rPr>
          <w:rFonts w:hint="eastAsia" w:ascii="仿宋" w:hAnsi="仿宋" w:eastAsia="仿宋" w:cs="仿宋"/>
          <w:b/>
          <w:color w:val="000000"/>
          <w:sz w:val="24"/>
          <w:szCs w:val="24"/>
          <w:highlight w:val="none"/>
        </w:rPr>
      </w:r>
      <w:r/>
    </w:p>
    <w:p>
      <w:pPr>
        <w:pStyle w:val="979"/>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2、开标一览表</w:t>
      </w:r>
      <w:r>
        <w:rPr>
          <w:rFonts w:hint="eastAsia" w:ascii="仿宋" w:hAnsi="仿宋" w:eastAsia="仿宋" w:cs="仿宋"/>
          <w:b/>
          <w:color w:val="000000"/>
          <w:sz w:val="24"/>
          <w:szCs w:val="24"/>
          <w:highlight w:val="none"/>
        </w:rPr>
      </w:r>
      <w:r/>
    </w:p>
    <w:p>
      <w:pPr>
        <w:pStyle w:val="979"/>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3、资格审查响应文件</w:t>
      </w:r>
      <w:r>
        <w:rPr>
          <w:rFonts w:hint="eastAsia" w:ascii="仿宋" w:hAnsi="仿宋" w:eastAsia="仿宋" w:cs="仿宋"/>
          <w:b/>
          <w:color w:val="000000"/>
          <w:sz w:val="24"/>
          <w:szCs w:val="24"/>
          <w:highlight w:val="none"/>
        </w:rPr>
      </w:r>
      <w:r/>
    </w:p>
    <w:p>
      <w:pPr>
        <w:pStyle w:val="979"/>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3.1关于资格文件的声明函（格式见第三章）；</w:t>
      </w:r>
      <w:r>
        <w:rPr>
          <w:rFonts w:hint="eastAsia" w:ascii="仿宋" w:hAnsi="仿宋" w:eastAsia="仿宋" w:cs="仿宋"/>
          <w:bCs/>
          <w:color w:val="000000"/>
          <w:sz w:val="24"/>
          <w:szCs w:val="24"/>
          <w:highlight w:val="none"/>
        </w:rPr>
      </w:r>
      <w:r/>
    </w:p>
    <w:p>
      <w:pPr>
        <w:pStyle w:val="979"/>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3.2磋商响应单位基本情况表（格式见第三章）；</w:t>
      </w:r>
      <w:r>
        <w:rPr>
          <w:rFonts w:hint="eastAsia" w:ascii="仿宋" w:hAnsi="仿宋" w:eastAsia="仿宋" w:cs="仿宋"/>
          <w:bCs/>
          <w:color w:val="000000"/>
          <w:sz w:val="24"/>
          <w:szCs w:val="24"/>
          <w:highlight w:val="none"/>
        </w:rPr>
      </w:r>
      <w:r/>
    </w:p>
    <w:p>
      <w:pPr>
        <w:pStyle w:val="979"/>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3.3磋商响应单位法定代表人身份证复印件；</w:t>
      </w:r>
      <w:r>
        <w:rPr>
          <w:rFonts w:hint="eastAsia" w:ascii="仿宋" w:hAnsi="仿宋" w:eastAsia="仿宋" w:cs="仿宋"/>
          <w:bCs/>
          <w:color w:val="000000"/>
          <w:sz w:val="24"/>
          <w:szCs w:val="24"/>
          <w:highlight w:val="none"/>
        </w:rPr>
      </w:r>
      <w:r/>
    </w:p>
    <w:p>
      <w:pPr>
        <w:pStyle w:val="979"/>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3.4法定代表人授权委托书（如有授权，格式见第三章）；</w:t>
      </w:r>
      <w:r>
        <w:rPr>
          <w:rFonts w:hint="eastAsia" w:ascii="仿宋" w:hAnsi="仿宋" w:eastAsia="仿宋" w:cs="仿宋"/>
          <w:bCs/>
          <w:color w:val="000000"/>
          <w:sz w:val="24"/>
          <w:szCs w:val="24"/>
          <w:highlight w:val="none"/>
        </w:rPr>
      </w:r>
      <w:r/>
    </w:p>
    <w:p>
      <w:pPr>
        <w:pStyle w:val="979"/>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3.5磋商响应单位授权代理人身份证复印件（如有授权）；</w:t>
      </w:r>
      <w:r>
        <w:rPr>
          <w:rFonts w:hint="eastAsia" w:ascii="仿宋" w:hAnsi="仿宋" w:eastAsia="仿宋" w:cs="仿宋"/>
          <w:bCs/>
          <w:color w:val="000000"/>
          <w:sz w:val="24"/>
          <w:szCs w:val="24"/>
          <w:highlight w:val="none"/>
        </w:rPr>
      </w:r>
      <w:r/>
    </w:p>
    <w:p>
      <w:pPr>
        <w:pStyle w:val="979"/>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3.6合格供应商的基本条件</w:t>
      </w:r>
      <w:r>
        <w:rPr>
          <w:rFonts w:hint="eastAsia" w:ascii="仿宋" w:hAnsi="仿宋" w:eastAsia="仿宋" w:cs="仿宋"/>
          <w:bCs/>
          <w:color w:val="000000"/>
          <w:sz w:val="24"/>
          <w:szCs w:val="24"/>
          <w:highlight w:val="none"/>
        </w:rPr>
      </w:r>
      <w:r/>
    </w:p>
    <w:p>
      <w:pPr>
        <w:pStyle w:val="979"/>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3.6.1具有独立承担民事责任的能力证明。包括法人或者其他组织的营业执照等证明文件，自然人的身份证明；</w:t>
      </w:r>
      <w:r>
        <w:rPr>
          <w:rFonts w:hint="eastAsia" w:ascii="仿宋" w:hAnsi="仿宋" w:eastAsia="仿宋" w:cs="仿宋"/>
          <w:bCs/>
          <w:color w:val="000000"/>
          <w:sz w:val="24"/>
          <w:szCs w:val="24"/>
          <w:highlight w:val="none"/>
        </w:rPr>
      </w:r>
      <w:r/>
    </w:p>
    <w:p>
      <w:pPr>
        <w:pStyle w:val="979"/>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3.6.2具有良好的商业信誉和健全的财务会计制度证明</w:t>
      </w:r>
      <w:r>
        <w:rPr>
          <w:rFonts w:hint="eastAsia" w:ascii="仿宋" w:hAnsi="仿宋" w:eastAsia="仿宋" w:cs="仿宋"/>
          <w:b/>
          <w:color w:val="000000"/>
          <w:sz w:val="24"/>
          <w:szCs w:val="24"/>
          <w:highlight w:val="none"/>
        </w:rPr>
        <w:t xml:space="preserve">（法人应提供最近一期财务报告，其他组织、自然人及成立未满一年的法人应提供银行出具的资信证明）</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979"/>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3.6.3履行合同所必需的设备和专业技术能力的证明材料或承诺（根据项目需求提供履行合 同所必需的设备和专业技术能力的证明材料）；</w:t>
      </w:r>
      <w:r>
        <w:rPr>
          <w:rFonts w:hint="eastAsia" w:ascii="仿宋" w:hAnsi="仿宋" w:eastAsia="仿宋" w:cs="仿宋"/>
          <w:bCs/>
          <w:color w:val="000000"/>
          <w:sz w:val="24"/>
          <w:szCs w:val="24"/>
          <w:highlight w:val="none"/>
        </w:rPr>
      </w:r>
      <w:r/>
    </w:p>
    <w:p>
      <w:pPr>
        <w:pStyle w:val="979"/>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3.6.4有依法缴纳税收和社会保障资金的良好记录</w:t>
      </w:r>
      <w:r>
        <w:rPr>
          <w:rFonts w:hint="eastAsia" w:ascii="仿宋" w:hAnsi="仿宋" w:eastAsia="仿宋" w:cs="仿宋"/>
          <w:b/>
          <w:color w:val="000000"/>
          <w:sz w:val="24"/>
          <w:szCs w:val="24"/>
          <w:highlight w:val="none"/>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979"/>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3.6.5参加政府采购活动前三年内在经营活动中没有重大违法记录的书面声明函；</w:t>
      </w:r>
      <w:r>
        <w:rPr>
          <w:rFonts w:hint="eastAsia" w:ascii="仿宋" w:hAnsi="仿宋" w:eastAsia="仿宋" w:cs="仿宋"/>
          <w:bCs/>
          <w:color w:val="000000"/>
          <w:sz w:val="24"/>
          <w:szCs w:val="24"/>
          <w:highlight w:val="none"/>
        </w:rPr>
      </w:r>
      <w:r/>
    </w:p>
    <w:p>
      <w:pPr>
        <w:pStyle w:val="979"/>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3.7《中小企业声明函》或《残疾人福利性单位声明函》或由省级以上监狱管理局、戒毒管理局（含新疆生产建设兵团）出具的属于监狱企业的证明文件；</w:t>
      </w:r>
      <w:r>
        <w:rPr>
          <w:rFonts w:hint="eastAsia" w:ascii="仿宋" w:hAnsi="仿宋" w:eastAsia="仿宋" w:cs="仿宋"/>
          <w:bCs/>
          <w:color w:val="000000"/>
          <w:sz w:val="24"/>
          <w:szCs w:val="24"/>
          <w:highlight w:val="none"/>
        </w:rPr>
      </w:r>
      <w:r/>
    </w:p>
    <w:p>
      <w:pPr>
        <w:pStyle w:val="979"/>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3.8其它有关资格证明的文件；</w:t>
      </w:r>
      <w:r>
        <w:rPr>
          <w:rFonts w:hint="eastAsia" w:ascii="仿宋" w:hAnsi="仿宋" w:eastAsia="仿宋" w:cs="仿宋"/>
          <w:bCs/>
          <w:color w:val="000000"/>
          <w:sz w:val="24"/>
          <w:szCs w:val="24"/>
          <w:highlight w:val="none"/>
        </w:rPr>
      </w:r>
      <w:r/>
    </w:p>
    <w:p>
      <w:pPr>
        <w:pStyle w:val="979"/>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4、符合性审查响应文件</w:t>
      </w:r>
      <w:r>
        <w:rPr>
          <w:rFonts w:hint="eastAsia" w:ascii="仿宋" w:hAnsi="仿宋" w:eastAsia="仿宋" w:cs="仿宋"/>
          <w:b/>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4.1磋商响应函（格式见第三章）；</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4.2磋商报价分析表（格式见第三章）；</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4.3偏离表（格式见第三章）；</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4.4项目服务人员配置表（格式见第三章）；</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4.5其他有关符合性证明的文件；</w:t>
      </w:r>
      <w:r>
        <w:rPr>
          <w:rFonts w:hint="eastAsia" w:ascii="仿宋" w:hAnsi="仿宋" w:eastAsia="仿宋" w:cs="仿宋"/>
          <w:color w:val="000000"/>
          <w:sz w:val="24"/>
          <w:szCs w:val="24"/>
          <w:highlight w:val="none"/>
        </w:rPr>
      </w:r>
      <w:r/>
    </w:p>
    <w:p>
      <w:pPr>
        <w:pStyle w:val="979"/>
        <w:ind w:firstLine="482"/>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5、综合评审响应文件</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5.1拟投入复核评价工作组综合能力；</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5.2复核评价工作思路方法适用性；</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5.3 绩效自评价复核工作重点、难点问题阐述和解决措施；</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5.4类似业绩；</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5.5与本次采购相关的其他证明材料；</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6、对属于《节能产品政府采购品目清单》政府强制采购产品的，需提供该产品有效期内的认证等相关证明材料（如有）。</w:t>
      </w:r>
      <w:r>
        <w:rPr>
          <w:rFonts w:hint="eastAsia" w:ascii="仿宋" w:hAnsi="仿宋" w:eastAsia="仿宋" w:cs="仿宋"/>
          <w:bCs/>
          <w:color w:val="000000"/>
          <w:sz w:val="24"/>
          <w:szCs w:val="24"/>
          <w:highlight w:val="none"/>
        </w:rPr>
      </w:r>
      <w:r/>
    </w:p>
    <w:p>
      <w:pPr>
        <w:pStyle w:val="979"/>
        <w:ind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t xml:space="preserve">注：</w:t>
      </w:r>
      <w:r>
        <w:rPr>
          <w:rFonts w:hint="eastAsia" w:ascii="仿宋" w:hAnsi="仿宋" w:eastAsia="仿宋" w:cs="仿宋"/>
          <w:b/>
          <w:bCs/>
          <w:color w:val="000000"/>
          <w:sz w:val="24"/>
          <w:szCs w:val="24"/>
          <w:highlight w:val="none"/>
        </w:rPr>
        <w:t xml:space="preserve">（1）以上3.1-3.8为资格审查要求提供的材料，是作为对供应商资格审查、质疑身份认定的依据，响应供应商必须提供并加盖电子公章。否则，磋商响应文件将被认定为不符合资格审查要求。</w:t>
      </w:r>
      <w:r>
        <w:rPr>
          <w:rFonts w:hint="eastAsia" w:ascii="仿宋" w:hAnsi="仿宋" w:eastAsia="仿宋" w:cs="仿宋"/>
          <w:b/>
          <w:bCs/>
          <w:color w:val="000000"/>
          <w:sz w:val="24"/>
          <w:szCs w:val="24"/>
          <w:highlight w:val="none"/>
        </w:rPr>
      </w:r>
      <w:r/>
    </w:p>
    <w:p>
      <w:pPr>
        <w:pStyle w:val="979"/>
        <w:ind w:firstLine="482"/>
        <w:spacing w:line="360" w:lineRule="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（2）以上4.1-4.5为符合性审查须提供的资料，响应供应商必须提供并加盖电子公章。否则，磋商响应文件将被认定为未实质性响应。</w:t>
      </w:r>
      <w:r>
        <w:rPr>
          <w:rFonts w:hint="eastAsia" w:ascii="仿宋" w:hAnsi="仿宋" w:eastAsia="仿宋" w:cs="仿宋"/>
          <w:color w:val="000000"/>
          <w:sz w:val="24"/>
          <w:szCs w:val="24"/>
          <w:highlight w:val="none"/>
        </w:rPr>
      </w:r>
      <w:r/>
    </w:p>
    <w:p>
      <w:pPr>
        <w:pStyle w:val="979"/>
        <w:ind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（3）制作电子响应文件时必须与</w:t>
      </w:r>
      <w:r>
        <w:rPr>
          <w:rFonts w:hint="eastAsia" w:ascii="仿宋" w:hAnsi="仿宋" w:eastAsia="仿宋" w:cs="仿宋"/>
          <w:b/>
          <w:bCs/>
          <w:color w:val="000000"/>
          <w:sz w:val="24"/>
          <w:szCs w:val="24"/>
          <w:highlight w:val="none"/>
          <w:lang w:eastAsia="zh-CN"/>
        </w:rPr>
        <w:t xml:space="preserve">响应文件</w:t>
      </w:r>
      <w:r>
        <w:rPr>
          <w:rFonts w:hint="eastAsia" w:ascii="仿宋" w:hAnsi="仿宋" w:eastAsia="仿宋" w:cs="仿宋"/>
          <w:b/>
          <w:bCs/>
          <w:color w:val="000000"/>
          <w:sz w:val="24"/>
          <w:szCs w:val="24"/>
          <w:highlight w:val="none"/>
        </w:rPr>
        <w:t xml:space="preserve">制作软件目录一一对应，将相关资料上传至相应模块。</w:t>
      </w:r>
      <w:r>
        <w:rPr>
          <w:rFonts w:hint="eastAsia" w:ascii="仿宋" w:hAnsi="仿宋" w:eastAsia="仿宋" w:cs="仿宋"/>
          <w:b/>
          <w:bCs/>
          <w:color w:val="000000"/>
          <w:sz w:val="24"/>
          <w:szCs w:val="24"/>
          <w:highlight w:val="none"/>
        </w:rPr>
      </w:r>
      <w:r/>
    </w:p>
    <w:p>
      <w:pPr>
        <w:pStyle w:val="979"/>
        <w:ind w:firstLine="482"/>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（4）磋商响应文件编制要求：</w:t>
      </w:r>
      <w:r>
        <w:rPr>
          <w:rFonts w:hint="eastAsia" w:ascii="仿宋" w:hAnsi="仿宋" w:eastAsia="仿宋" w:cs="仿宋"/>
          <w:bCs/>
          <w:color w:val="000000"/>
          <w:sz w:val="24"/>
          <w:szCs w:val="24"/>
          <w:highlight w:val="none"/>
        </w:rPr>
        <w:t xml:space="preserve">本项目采用电子招投标形式，请供应商按照《苏采云系统供应商操作手册》进行制作、上传电子响应文件。</w:t>
      </w:r>
      <w:r>
        <w:rPr>
          <w:rFonts w:hint="eastAsia" w:ascii="仿宋" w:hAnsi="仿宋" w:eastAsia="仿宋" w:cs="仿宋"/>
          <w:b/>
          <w:bCs/>
          <w:color w:val="000000"/>
          <w:sz w:val="24"/>
          <w:szCs w:val="24"/>
          <w:highlight w:val="none"/>
        </w:rPr>
        <w:t xml:space="preserve">电子响应文件制作完成后请于响应文件递交截止时间前成功上传至“苏采云”系统，否则视为放弃参加该采购项目。</w:t>
      </w:r>
      <w:r>
        <w:rPr>
          <w:rFonts w:hint="eastAsia" w:ascii="仿宋" w:hAnsi="仿宋" w:eastAsia="仿宋" w:cs="仿宋"/>
          <w:bCs/>
          <w:color w:val="000000"/>
          <w:sz w:val="24"/>
          <w:szCs w:val="24"/>
          <w:highlight w:val="none"/>
        </w:rPr>
        <w:t xml:space="preserve">供应商应充分考虑到网络环境、网络带宽等风险因素，如因供应商自身原因造成的电子响应文件上传不成功由供应商自行承担全部责任。</w:t>
      </w:r>
      <w:r>
        <w:rPr>
          <w:rFonts w:hint="eastAsia" w:ascii="仿宋" w:hAnsi="仿宋" w:eastAsia="仿宋" w:cs="仿宋"/>
          <w:color w:val="000000"/>
          <w:sz w:val="24"/>
          <w:szCs w:val="24"/>
          <w:highlight w:val="none"/>
        </w:rPr>
      </w:r>
      <w:r/>
    </w:p>
    <w:p>
      <w:pPr>
        <w:pStyle w:val="979"/>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rFonts w:hint="eastAsia" w:ascii="仿宋" w:hAnsi="仿宋" w:eastAsia="仿宋" w:cs="仿宋"/>
          <w:b/>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7、落实政府采购政策需满足的资格要求：</w:t>
      </w:r>
      <w:r>
        <w:rPr>
          <w:rFonts w:hint="eastAsia" w:ascii="仿宋" w:hAnsi="仿宋" w:eastAsia="仿宋" w:cs="仿宋"/>
          <w:b/>
          <w:color w:val="000000"/>
          <w:sz w:val="24"/>
          <w:szCs w:val="24"/>
          <w:highlight w:val="none"/>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8、本项目的特定资格要求：无</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9、联合体及转包、分包：本项目不接受联合体，不得转包、分包本项目。</w:t>
      </w:r>
      <w:r>
        <w:rPr>
          <w:rFonts w:hint="eastAsia" w:ascii="仿宋" w:hAnsi="仿宋" w:eastAsia="仿宋" w:cs="仿宋"/>
          <w:color w:val="000000"/>
          <w:sz w:val="24"/>
          <w:szCs w:val="24"/>
          <w:highlight w:val="none"/>
        </w:rPr>
      </w:r>
      <w:r/>
    </w:p>
    <w:p>
      <w:pPr>
        <w:pStyle w:val="979"/>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79"/>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二、磋商程序</w:t>
      </w:r>
      <w:r>
        <w:rPr>
          <w:rFonts w:hint="eastAsia" w:ascii="仿宋" w:hAnsi="仿宋" w:eastAsia="仿宋" w:cs="仿宋"/>
          <w:b/>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1、采购代理机构按本须知规定的时间、地点主持磋商采购活动。</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2、供应商通过“苏采云”系统在线参与磋商活动。供应商应当按照《苏采云系统供应商操作手册》规定在 “苏采云”系统规定的时间内对响应文件进行解密。</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3、在磋商响应文件网上递交截止时间止成功解密的磋商供应商少于三家，则本次采购失败。</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4、由磋商小组审查供应商解密的响应文件。</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6、磋商小组要求供应商澄清、说明或者更正响应文件应当以书面形式做出。供应商的澄清、说明或者更正应当由其单位加盖电子公章。</w:t>
      </w:r>
      <w:r>
        <w:rPr>
          <w:rFonts w:hint="eastAsia" w:ascii="仿宋" w:hAnsi="仿宋" w:eastAsia="仿宋" w:cs="仿宋"/>
          <w:color w:val="000000"/>
          <w:sz w:val="24"/>
          <w:szCs w:val="24"/>
          <w:highlight w:val="none"/>
        </w:rPr>
      </w:r>
      <w:r/>
    </w:p>
    <w:p>
      <w:pPr>
        <w:pStyle w:val="1110"/>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仿宋" w:hAnsi="仿宋" w:eastAsia="仿宋" w:cs="仿宋"/>
          <w:color w:val="000000"/>
          <w:sz w:val="24"/>
          <w:szCs w:val="24"/>
          <w:highlight w:val="none"/>
        </w:rPr>
        <w:t xml:space="preserve">(</w:t>
      </w:r>
      <w:r>
        <w:rPr>
          <w:rFonts w:hint="eastAsia" w:ascii="仿宋" w:hAnsi="仿宋" w:eastAsia="仿宋" w:cs="仿宋"/>
          <w:b/>
          <w:color w:val="000000"/>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仿宋" w:hAnsi="仿宋" w:eastAsia="仿宋" w:cs="仿宋"/>
          <w:b/>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7、对于通过资格审查和符合性审查的供应商，磋商小组所有成员集中与单一供应商分别进行磋商，并给予所有参加磋商的供应商平等的磋商机会。</w:t>
      </w:r>
      <w:r>
        <w:rPr>
          <w:rFonts w:hint="eastAsia" w:ascii="仿宋" w:hAnsi="仿宋" w:eastAsia="仿宋" w:cs="仿宋"/>
          <w:b/>
          <w:color w:val="000000"/>
          <w:sz w:val="24"/>
          <w:szCs w:val="24"/>
          <w:highlight w:val="none"/>
        </w:rPr>
        <w:t xml:space="preserve">磋商小组通过“苏采云”系统向供应商发布“磋商函”，供应商应当按照要求在“苏采云”系统提交“磋商响应函”并加盖CA电子公章。</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9、</w:t>
      </w:r>
      <w:r>
        <w:rPr>
          <w:rFonts w:hint="eastAsia" w:ascii="仿宋" w:hAnsi="仿宋" w:eastAsia="仿宋" w:cs="仿宋"/>
          <w:b/>
          <w:color w:val="000000"/>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rPr>
          <w:rFonts w:hint="eastAsia" w:ascii="仿宋" w:hAnsi="仿宋" w:eastAsia="仿宋" w:cs="仿宋"/>
          <w:b/>
          <w:color w:val="000000"/>
          <w:sz w:val="24"/>
          <w:szCs w:val="24"/>
          <w:highlight w:val="none"/>
        </w:rPr>
      </w:r>
      <w:r/>
    </w:p>
    <w:p>
      <w:pPr>
        <w:pStyle w:val="979"/>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仿宋" w:hAnsi="仿宋" w:eastAsia="仿宋" w:cs="仿宋"/>
          <w:b/>
          <w:color w:val="000000"/>
          <w:sz w:val="24"/>
          <w:szCs w:val="24"/>
          <w:highlight w:val="none"/>
        </w:rPr>
      </w:r>
      <w:r/>
    </w:p>
    <w:p>
      <w:pPr>
        <w:pStyle w:val="979"/>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仿宋" w:hAnsi="仿宋" w:eastAsia="仿宋" w:cs="仿宋"/>
          <w:b/>
          <w:color w:val="000000"/>
          <w:sz w:val="24"/>
          <w:szCs w:val="24"/>
          <w:highlight w:val="none"/>
        </w:rPr>
      </w:r>
      <w:r/>
    </w:p>
    <w:p>
      <w:pPr>
        <w:pStyle w:val="979"/>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仿宋" w:hAnsi="仿宋" w:eastAsia="仿宋" w:cs="仿宋"/>
          <w:b/>
          <w:color w:val="000000"/>
          <w:sz w:val="24"/>
          <w:szCs w:val="24"/>
          <w:highlight w:val="none"/>
        </w:rPr>
      </w:r>
      <w:r/>
    </w:p>
    <w:p>
      <w:pPr>
        <w:pStyle w:val="979"/>
        <w:ind w:firstLine="480"/>
        <w:spacing w:line="360" w:lineRule="auto"/>
        <w:rPr>
          <w:rFonts w:hint="eastAsia" w:ascii="仿宋" w:hAnsi="仿宋" w:eastAsia="仿宋" w:cs="仿宋"/>
          <w:b/>
          <w:bCs/>
          <w:color w:val="000000"/>
          <w:sz w:val="24"/>
          <w:szCs w:val="24"/>
          <w:highlight w:val="none"/>
          <w:lang w:val="zh-CN"/>
        </w:rPr>
      </w:pPr>
      <w:r/>
      <w:bookmarkStart w:id="13" w:name="OLE_LINK20"/>
      <w:r>
        <w:rPr>
          <w:rFonts w:hint="eastAsia" w:ascii="仿宋" w:hAnsi="仿宋" w:eastAsia="仿宋" w:cs="仿宋"/>
          <w:b/>
          <w:bCs/>
          <w:color w:val="000000"/>
          <w:sz w:val="24"/>
          <w:szCs w:val="24"/>
          <w:highlight w:val="none"/>
          <w:lang w:val="zh-CN"/>
        </w:rPr>
        <w:t xml:space="preserve">11、异常低价响应审查</w:t>
      </w:r>
      <w:r>
        <w:rPr>
          <w:rFonts w:hint="eastAsia" w:ascii="仿宋" w:hAnsi="仿宋" w:eastAsia="仿宋" w:cs="仿宋"/>
          <w:b/>
          <w:bCs/>
          <w:color w:val="000000"/>
          <w:sz w:val="24"/>
          <w:szCs w:val="24"/>
          <w:highlight w:val="none"/>
          <w:lang w:val="zh-CN"/>
        </w:rPr>
      </w:r>
      <w:r/>
    </w:p>
    <w:p>
      <w:pPr>
        <w:pStyle w:val="979"/>
        <w:ind w:firstLine="480"/>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11.1评审过程中出现下列情形之一的，磋商小组应当启动异常低价响应审查程序：</w:t>
      </w:r>
      <w:r>
        <w:rPr>
          <w:rFonts w:hint="eastAsia" w:ascii="仿宋" w:hAnsi="仿宋" w:eastAsia="仿宋" w:cs="仿宋"/>
          <w:b/>
          <w:bCs/>
          <w:color w:val="000000"/>
          <w:sz w:val="24"/>
          <w:szCs w:val="24"/>
          <w:highlight w:val="none"/>
          <w:lang w:val="en-US"/>
        </w:rPr>
      </w:r>
      <w:r/>
    </w:p>
    <w:p>
      <w:pPr>
        <w:pStyle w:val="979"/>
        <w:ind w:firstLine="480"/>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（1）响应报价低于采购项目预算50%的，即响应报价&lt;采购项目预算×50%；</w:t>
      </w:r>
      <w:r>
        <w:rPr>
          <w:rFonts w:hint="eastAsia" w:ascii="仿宋" w:hAnsi="仿宋" w:eastAsia="仿宋" w:cs="仿宋"/>
          <w:b/>
          <w:bCs/>
          <w:color w:val="000000"/>
          <w:sz w:val="24"/>
          <w:szCs w:val="24"/>
          <w:highlight w:val="none"/>
          <w:lang w:val="en-US"/>
        </w:rPr>
      </w:r>
      <w:r/>
    </w:p>
    <w:p>
      <w:pPr>
        <w:pStyle w:val="979"/>
        <w:ind w:firstLine="480"/>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（2）响应报价低于采购项目最高限价45%的，即响应报价&lt;采购项目最高限价×45%；</w:t>
      </w:r>
      <w:r>
        <w:rPr>
          <w:rFonts w:hint="eastAsia" w:ascii="仿宋" w:hAnsi="仿宋" w:eastAsia="仿宋" w:cs="仿宋"/>
          <w:b/>
          <w:bCs/>
          <w:color w:val="000000"/>
          <w:sz w:val="24"/>
          <w:szCs w:val="24"/>
          <w:highlight w:val="none"/>
          <w:lang w:val="en-US"/>
        </w:rPr>
      </w:r>
      <w:r/>
    </w:p>
    <w:p>
      <w:pPr>
        <w:pStyle w:val="979"/>
        <w:ind w:firstLine="480"/>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（3）</w:t>
      </w:r>
      <w:bookmarkStart w:id="14" w:name="OLE_LINK14"/>
      <w:r/>
      <w:bookmarkStart w:id="15" w:name="OLE_LINK15"/>
      <w:r>
        <w:rPr>
          <w:rFonts w:hint="eastAsia" w:ascii="仿宋" w:hAnsi="仿宋" w:eastAsia="仿宋" w:cs="仿宋"/>
          <w:b/>
          <w:bCs/>
          <w:color w:val="000000"/>
          <w:sz w:val="24"/>
          <w:szCs w:val="24"/>
          <w:highlight w:val="none"/>
          <w:lang w:val="en-US"/>
        </w:rPr>
        <w:t xml:space="preserve">磋商小组</w:t>
      </w:r>
      <w:bookmarkEnd w:id="14"/>
      <w:r/>
      <w:bookmarkEnd w:id="15"/>
      <w:r>
        <w:rPr>
          <w:rFonts w:hint="eastAsia" w:ascii="仿宋" w:hAnsi="仿宋" w:eastAsia="仿宋" w:cs="仿宋"/>
          <w:b/>
          <w:bCs/>
          <w:color w:val="000000"/>
          <w:sz w:val="24"/>
          <w:szCs w:val="24"/>
          <w:highlight w:val="none"/>
          <w:lang w:val="en-US"/>
        </w:rPr>
        <w:t xml:space="preserve">认定的供应商报价过低、有可能影响产品质量或者不能诚信履约的其他情形。</w:t>
      </w:r>
      <w:r>
        <w:rPr>
          <w:rFonts w:hint="eastAsia" w:ascii="仿宋" w:hAnsi="仿宋" w:eastAsia="仿宋" w:cs="仿宋"/>
          <w:b/>
          <w:bCs/>
          <w:color w:val="000000"/>
          <w:sz w:val="24"/>
          <w:szCs w:val="24"/>
          <w:highlight w:val="none"/>
          <w:lang w:val="en-US"/>
        </w:rPr>
      </w:r>
      <w:r/>
    </w:p>
    <w:p>
      <w:pPr>
        <w:pStyle w:val="979"/>
        <w:ind w:firstLine="480"/>
        <w:spacing w:line="360" w:lineRule="auto"/>
        <w:rPr>
          <w:rFonts w:hint="eastAsia" w:ascii="仿宋" w:hAnsi="仿宋" w:eastAsia="仿宋" w:cs="仿宋"/>
          <w:b/>
          <w:bCs/>
          <w:color w:val="000000"/>
          <w:sz w:val="24"/>
          <w:szCs w:val="24"/>
          <w:highlight w:val="none"/>
          <w:lang w:val="en-US"/>
        </w:rPr>
      </w:pPr>
      <w:r/>
      <w:bookmarkStart w:id="16" w:name="OLE_LINK4"/>
      <w:r>
        <w:rPr>
          <w:rFonts w:hint="eastAsia" w:ascii="仿宋" w:hAnsi="仿宋" w:eastAsia="仿宋" w:cs="仿宋"/>
          <w:b/>
          <w:bCs/>
          <w:color w:val="000000"/>
          <w:sz w:val="24"/>
          <w:szCs w:val="24"/>
          <w:highlight w:val="none"/>
          <w:lang w:val="zh-CN"/>
        </w:rPr>
        <w:t xml:space="preserve">11.2启动异常低价响应审查后，</w:t>
      </w:r>
      <w:r>
        <w:rPr>
          <w:rFonts w:hint="eastAsia" w:ascii="仿宋" w:hAnsi="仿宋" w:eastAsia="仿宋" w:cs="仿宋"/>
          <w:b/>
          <w:bCs/>
          <w:color w:val="000000"/>
          <w:sz w:val="24"/>
          <w:szCs w:val="24"/>
          <w:highlight w:val="none"/>
          <w:lang w:val="en-US"/>
        </w:rPr>
        <w:t xml:space="preserve">磋商小组</w:t>
      </w:r>
      <w:r>
        <w:rPr>
          <w:rFonts w:hint="eastAsia" w:ascii="仿宋" w:hAnsi="仿宋" w:eastAsia="仿宋" w:cs="仿宋"/>
          <w:b/>
          <w:bCs/>
          <w:color w:val="000000"/>
          <w:sz w:val="24"/>
          <w:szCs w:val="24"/>
          <w:highlight w:val="none"/>
          <w:lang w:val="zh-CN"/>
        </w:rPr>
        <w:t xml:space="preserve">应当要求相关供应商在评审现场合理的时间内，提供项目具体成本测算等与报价合理性相关的书面说明及相关证明材料</w:t>
      </w:r>
      <w:bookmarkStart w:id="17" w:name="OLE_LINK10"/>
      <w:r/>
      <w:bookmarkStart w:id="18" w:name="OLE_LINK9"/>
      <w:r>
        <w:rPr>
          <w:rFonts w:hint="eastAsia" w:ascii="仿宋" w:hAnsi="仿宋" w:eastAsia="仿宋" w:cs="仿宋"/>
          <w:b/>
          <w:bCs/>
          <w:color w:val="000000"/>
          <w:sz w:val="24"/>
          <w:szCs w:val="24"/>
          <w:highlight w:val="none"/>
          <w:lang w:val="zh-CN"/>
        </w:rPr>
        <w:t xml:space="preserve">，</w:t>
      </w:r>
      <w:bookmarkEnd w:id="17"/>
      <w:r/>
      <w:bookmarkEnd w:id="18"/>
      <w:r>
        <w:rPr>
          <w:rFonts w:hint="eastAsia" w:ascii="仿宋" w:hAnsi="仿宋" w:eastAsia="仿宋" w:cs="仿宋"/>
          <w:b/>
          <w:bCs/>
          <w:color w:val="000000"/>
          <w:sz w:val="24"/>
          <w:szCs w:val="24"/>
          <w:highlight w:val="none"/>
          <w:lang w:val="zh-CN"/>
        </w:rPr>
        <w:t xml:space="preserve">对响应价格作出解释，由</w:t>
      </w:r>
      <w:r>
        <w:rPr>
          <w:rFonts w:hint="eastAsia" w:ascii="仿宋" w:hAnsi="仿宋" w:eastAsia="仿宋" w:cs="仿宋"/>
          <w:b/>
          <w:bCs/>
          <w:color w:val="000000"/>
          <w:sz w:val="24"/>
          <w:szCs w:val="24"/>
          <w:highlight w:val="none"/>
          <w:lang w:val="en-US"/>
        </w:rPr>
        <w:t xml:space="preserve">磋商小组</w:t>
      </w:r>
      <w:r>
        <w:rPr>
          <w:rFonts w:hint="eastAsia" w:ascii="仿宋" w:hAnsi="仿宋" w:eastAsia="仿宋" w:cs="仿宋"/>
          <w:b/>
          <w:bCs/>
          <w:color w:val="000000"/>
          <w:sz w:val="24"/>
          <w:szCs w:val="24"/>
          <w:highlight w:val="none"/>
          <w:lang w:val="zh-CN"/>
        </w:rPr>
        <w:t xml:space="preserve">结合同类产品在主要电商平台的价格、该行业当地</w:t>
      </w:r>
      <w:bookmarkStart w:id="19" w:name="OLE_LINK7"/>
      <w:r/>
      <w:bookmarkStart w:id="20" w:name="OLE_LINK8"/>
      <w:r>
        <w:rPr>
          <w:rFonts w:hint="eastAsia" w:ascii="仿宋" w:hAnsi="仿宋" w:eastAsia="仿宋" w:cs="仿宋"/>
          <w:b/>
          <w:bCs/>
          <w:color w:val="000000"/>
          <w:sz w:val="24"/>
          <w:szCs w:val="24"/>
          <w:highlight w:val="none"/>
          <w:lang w:val="zh-CN"/>
        </w:rPr>
        <w:t xml:space="preserve">薪资</w:t>
      </w:r>
      <w:bookmarkEnd w:id="19"/>
      <w:r/>
      <w:bookmarkEnd w:id="20"/>
      <w:r>
        <w:rPr>
          <w:rFonts w:hint="eastAsia" w:ascii="仿宋" w:hAnsi="仿宋" w:eastAsia="仿宋" w:cs="仿宋"/>
          <w:b/>
          <w:bCs/>
          <w:color w:val="000000"/>
          <w:sz w:val="24"/>
          <w:szCs w:val="24"/>
          <w:highlight w:val="none"/>
          <w:lang w:val="zh-CN"/>
        </w:rPr>
        <w:t xml:space="preserve">水平等情况，依据专业经验对供应商报价合理性进行判断。响应供应商不提供书面说明、证明材料，或者提供的书面说明、证明材料不能证明其报价合理性的，</w:t>
      </w:r>
      <w:r>
        <w:rPr>
          <w:rFonts w:hint="eastAsia" w:ascii="仿宋" w:hAnsi="仿宋" w:eastAsia="仿宋" w:cs="仿宋"/>
          <w:b/>
          <w:bCs/>
          <w:color w:val="000000"/>
          <w:sz w:val="24"/>
          <w:szCs w:val="24"/>
          <w:highlight w:val="none"/>
          <w:lang w:val="en-US"/>
        </w:rPr>
        <w:t xml:space="preserve">磋商小组</w:t>
      </w:r>
      <w:r>
        <w:rPr>
          <w:rFonts w:hint="eastAsia" w:ascii="仿宋" w:hAnsi="仿宋" w:eastAsia="仿宋" w:cs="仿宋"/>
          <w:b/>
          <w:bCs/>
          <w:color w:val="000000"/>
          <w:sz w:val="24"/>
          <w:szCs w:val="24"/>
          <w:highlight w:val="none"/>
          <w:lang w:val="zh-CN"/>
        </w:rPr>
        <w:t xml:space="preserve">应当将其作为无效响应处理。审查相关情况应当在评审报告中进行记录。</w:t>
      </w:r>
      <w:bookmarkEnd w:id="13"/>
      <w:r/>
      <w:bookmarkEnd w:id="16"/>
      <w:r>
        <w:rPr>
          <w:rFonts w:hint="eastAsia" w:ascii="仿宋" w:hAnsi="仿宋" w:eastAsia="仿宋" w:cs="仿宋"/>
          <w:b/>
          <w:bCs/>
          <w:color w:val="000000"/>
          <w:sz w:val="24"/>
          <w:szCs w:val="24"/>
          <w:highlight w:val="none"/>
          <w:lang w:val="en-US"/>
        </w:rPr>
      </w:r>
      <w:r/>
    </w:p>
    <w:p>
      <w:pPr>
        <w:pStyle w:val="979"/>
        <w:ind w:firstLine="48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12、经磋商确定最终采购需求和提交最后报价的供应商后，由磋商小组采用综合评分法对提交最后报价的供应商的响应文件和最后报价进行综合评分。</w:t>
      </w:r>
      <w:r>
        <w:rPr>
          <w:rFonts w:hint="eastAsia" w:ascii="仿宋" w:hAnsi="仿宋" w:eastAsia="仿宋" w:cs="仿宋"/>
          <w:color w:val="000000"/>
          <w:sz w:val="24"/>
          <w:szCs w:val="24"/>
          <w:highlight w:val="none"/>
          <w:lang w:val="zh-CN"/>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、磋商小组根据磋商成交原则确定成交供应商，并将结果通知所有参加磋商的供应商。</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、如磋商过程中出现本采购文件未尽事宜，由磋商小组根据政府采购有关法律、法规讨论决定。</w:t>
      </w:r>
      <w:r>
        <w:rPr>
          <w:rFonts w:hint="eastAsia" w:ascii="仿宋" w:hAnsi="仿宋" w:eastAsia="仿宋" w:cs="仿宋"/>
          <w:color w:val="000000"/>
          <w:sz w:val="24"/>
          <w:szCs w:val="24"/>
          <w:highlight w:val="none"/>
        </w:rPr>
      </w:r>
      <w:r/>
    </w:p>
    <w:p>
      <w:pPr>
        <w:pStyle w:val="979"/>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79"/>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三、质疑处理</w:t>
      </w:r>
      <w:r>
        <w:rPr>
          <w:rFonts w:hint="eastAsia" w:ascii="仿宋" w:hAnsi="仿宋" w:eastAsia="仿宋" w:cs="仿宋"/>
          <w:b/>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2、本次采购文件要求供应商在法定质疑期内一次性提出针对同一采购程序环节的质疑，否则不予受理。</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3、供应商提出质疑应当提交质疑函和必要的证明材料，质疑函应当包括下列内容：</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（1）供应商的姓名或者名称（以提供的营业执照副本复印件为准）、地址、邮编、联系人及联系电话；</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（2）质疑项目的名称、编号；</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（3）具体、明确的质疑事项和与质疑事项相关的请求；</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（4）事实依据；</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（5）必要的法律依据；</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（6）提出质疑的日期。</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仿宋" w:hAnsi="仿宋" w:eastAsia="仿宋" w:cs="仿宋"/>
          <w:b/>
          <w:color w:val="000000"/>
          <w:sz w:val="24"/>
          <w:szCs w:val="24"/>
          <w:highlight w:val="none"/>
        </w:rPr>
        <w:t xml:space="preserve">授权委托书</w:t>
      </w:r>
      <w:r>
        <w:rPr>
          <w:rFonts w:hint="eastAsia" w:ascii="仿宋" w:hAnsi="仿宋" w:eastAsia="仿宋" w:cs="仿宋"/>
          <w:color w:val="000000"/>
          <w:sz w:val="24"/>
          <w:szCs w:val="24"/>
          <w:highlight w:val="none"/>
        </w:rPr>
        <w:t xml:space="preserve">上应当载明代理人的姓名或者名称、代理事项、具体权限、期限和相关事项。</w:t>
      </w:r>
      <w:r>
        <w:rPr>
          <w:rFonts w:hint="eastAsia" w:ascii="仿宋" w:hAnsi="仿宋" w:eastAsia="仿宋" w:cs="仿宋"/>
          <w:color w:val="000000"/>
          <w:sz w:val="24"/>
          <w:szCs w:val="24"/>
          <w:highlight w:val="none"/>
        </w:rPr>
      </w:r>
      <w:r/>
    </w:p>
    <w:p>
      <w:pPr>
        <w:pStyle w:val="979"/>
        <w:ind w:firstLine="482"/>
        <w:jc w:val="left"/>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仿宋" w:hAnsi="仿宋" w:eastAsia="仿宋" w:cs="仿宋"/>
          <w:b/>
          <w:color w:val="000000"/>
          <w:sz w:val="24"/>
          <w:szCs w:val="24"/>
          <w:highlight w:val="none"/>
        </w:rPr>
      </w:r>
      <w:r/>
    </w:p>
    <w:p>
      <w:pPr>
        <w:pStyle w:val="979"/>
        <w:ind w:firstLine="480"/>
        <w:spacing w:line="360" w:lineRule="auto"/>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仿宋" w:hAnsi="仿宋" w:eastAsia="仿宋" w:cs="仿宋"/>
          <w:b/>
          <w:color w:val="000000"/>
          <w:sz w:val="24"/>
          <w:szCs w:val="24"/>
          <w:highlight w:val="none"/>
        </w:rPr>
        <w:t xml:space="preserve">《投标供应商确认函》</w:t>
      </w:r>
      <w:r>
        <w:rPr>
          <w:rFonts w:hint="eastAsia" w:ascii="仿宋" w:hAnsi="仿宋" w:eastAsia="仿宋" w:cs="仿宋"/>
          <w:color w:val="000000"/>
          <w:sz w:val="24"/>
          <w:szCs w:val="24"/>
          <w:highlight w:val="none"/>
        </w:rPr>
        <w:t xml:space="preserve">）与质疑函一起递交，否则不予受理。</w:t>
      </w:r>
      <w:r>
        <w:rPr>
          <w:rFonts w:hint="eastAsia" w:ascii="仿宋" w:hAnsi="仿宋" w:eastAsia="仿宋" w:cs="仿宋"/>
          <w:b/>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5、接收质疑函的方式：书面形式（当场送达或邮寄方式）</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质疑联系人：罗来山</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联系电话：0512-81606891-8007</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现场递交地址:太仓市公正路11号联合大厦20楼</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邮寄收取地址:太仓市公正路11号联合大厦20楼</w:t>
      </w:r>
      <w:r>
        <w:rPr>
          <w:rFonts w:hint="eastAsia" w:ascii="仿宋" w:hAnsi="仿宋" w:eastAsia="仿宋" w:cs="仿宋"/>
          <w:color w:val="000000"/>
          <w:sz w:val="24"/>
          <w:szCs w:val="24"/>
          <w:highlight w:val="none"/>
        </w:rPr>
      </w:r>
      <w:r/>
    </w:p>
    <w:p>
      <w:pPr>
        <w:pStyle w:val="979"/>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79"/>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四、项目的终止</w:t>
      </w:r>
      <w:r>
        <w:rPr>
          <w:rFonts w:hint="eastAsia" w:ascii="仿宋" w:hAnsi="仿宋" w:eastAsia="仿宋" w:cs="仿宋"/>
          <w:b/>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出现下列情形之一的，将终止竞争性磋商采购活动：</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1、因情况变化，不再符合规定的竞争性磋商采购方式适用情形的；</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2、出现影响采购公正的违法、违规行为的；</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3、在采购活动中因重大变故，采购任务取消的。</w:t>
      </w:r>
      <w:r>
        <w:rPr>
          <w:rFonts w:hint="eastAsia" w:ascii="仿宋" w:hAnsi="仿宋" w:eastAsia="仿宋" w:cs="仿宋"/>
          <w:color w:val="000000"/>
          <w:sz w:val="24"/>
          <w:szCs w:val="24"/>
          <w:highlight w:val="none"/>
        </w:rPr>
      </w:r>
      <w:r/>
    </w:p>
    <w:p>
      <w:pPr>
        <w:pStyle w:val="979"/>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79"/>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五、综合说明及其它要求：</w:t>
      </w:r>
      <w:r>
        <w:rPr>
          <w:rFonts w:hint="eastAsia" w:ascii="仿宋" w:hAnsi="仿宋" w:eastAsia="仿宋" w:cs="仿宋"/>
          <w:b/>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1、磋商供应商需明确详细的服务方案。</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2、磋商供应商必须承诺文件中提出的全部要求，如果其中某些条款不响应时，应在文件中逐条列出，未列出的视同响应。</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3、磋商说明：</w:t>
      </w:r>
      <w:r>
        <w:rPr>
          <w:rFonts w:hint="eastAsia" w:ascii="仿宋" w:hAnsi="仿宋" w:eastAsia="仿宋" w:cs="仿宋"/>
          <w:color w:val="000000"/>
          <w:sz w:val="24"/>
          <w:szCs w:val="24"/>
          <w:highlight w:val="none"/>
        </w:rPr>
      </w:r>
      <w:r/>
    </w:p>
    <w:p>
      <w:pPr>
        <w:pStyle w:val="953"/>
        <w:ind w:left="0" w:firstLine="420"/>
        <w:jc w:val="both"/>
        <w:spacing w:line="360" w:lineRule="auto"/>
        <w:rPr>
          <w:rFonts w:hint="eastAsia" w:ascii="仿宋" w:hAnsi="仿宋" w:eastAsia="仿宋" w:cs="仿宋"/>
          <w:color w:val="000000"/>
          <w:sz w:val="24"/>
          <w:szCs w:val="24"/>
          <w:highlight w:val="none"/>
          <w:lang w:val="zh-CN" w:eastAsia="zh-CN" w:bidi="ar-SA"/>
        </w:rPr>
      </w:pPr>
      <w:r>
        <w:rPr>
          <w:rFonts w:hint="eastAsia" w:ascii="仿宋" w:hAnsi="仿宋" w:eastAsia="仿宋" w:cs="仿宋"/>
          <w:color w:val="000000"/>
          <w:sz w:val="24"/>
          <w:szCs w:val="24"/>
          <w:highlight w:val="none"/>
          <w:lang w:val="zh-CN" w:eastAsia="zh-CN" w:bidi="ar-SA"/>
        </w:rPr>
        <w:t xml:space="preserve">（1）不符合供应商资格要求的响应文件将被认定为无效响应；</w:t>
      </w:r>
      <w:r>
        <w:rPr>
          <w:rFonts w:hint="eastAsia" w:ascii="仿宋" w:hAnsi="仿宋" w:eastAsia="仿宋" w:cs="仿宋"/>
          <w:color w:val="000000"/>
          <w:sz w:val="24"/>
          <w:szCs w:val="24"/>
          <w:highlight w:val="none"/>
          <w:lang w:val="zh-CN" w:eastAsia="zh-CN" w:bidi="ar-SA"/>
        </w:rPr>
      </w:r>
      <w:r/>
    </w:p>
    <w:p>
      <w:pPr>
        <w:pStyle w:val="953"/>
        <w:ind w:left="0" w:firstLine="422"/>
        <w:spacing w:line="360" w:lineRule="auto"/>
        <w:widowControl/>
        <w:tabs>
          <w:tab w:val="left" w:pos="420" w:leader="none"/>
        </w:tabs>
        <w:rPr>
          <w:rFonts w:hint="eastAsia" w:ascii="仿宋" w:hAnsi="仿宋" w:eastAsia="仿宋" w:cs="仿宋"/>
          <w:b/>
          <w:bCs/>
          <w:color w:val="000000"/>
          <w:sz w:val="24"/>
          <w:szCs w:val="24"/>
          <w:highlight w:val="none"/>
          <w:lang w:bidi="ar-SA"/>
        </w:rPr>
      </w:pPr>
      <w:r>
        <w:rPr>
          <w:rFonts w:hint="eastAsia" w:ascii="仿宋" w:hAnsi="仿宋" w:eastAsia="仿宋" w:cs="仿宋"/>
          <w:b/>
          <w:bCs/>
          <w:color w:val="000000"/>
          <w:sz w:val="24"/>
          <w:szCs w:val="24"/>
          <w:highlight w:val="none"/>
          <w:lang w:bidi="ar-SA"/>
        </w:rPr>
        <w:t xml:space="preserve">（2）在机器码检查中，出现不同供应商响应文件机器码一致情形的，响应文件将被认定为无效响应。</w:t>
      </w:r>
      <w:r>
        <w:rPr>
          <w:rFonts w:hint="eastAsia" w:ascii="仿宋" w:hAnsi="仿宋" w:eastAsia="仿宋" w:cs="仿宋"/>
          <w:b/>
          <w:bCs/>
          <w:color w:val="000000"/>
          <w:sz w:val="24"/>
          <w:szCs w:val="24"/>
          <w:highlight w:val="none"/>
          <w:lang w:bidi="ar-SA"/>
        </w:rPr>
      </w:r>
      <w:r/>
    </w:p>
    <w:p>
      <w:pPr>
        <w:pStyle w:val="953"/>
        <w:ind w:left="0" w:firstLine="420"/>
        <w:jc w:val="both"/>
        <w:spacing w:line="360" w:lineRule="auto"/>
        <w:rPr>
          <w:rFonts w:hint="eastAsia" w:ascii="仿宋" w:hAnsi="仿宋" w:eastAsia="仿宋" w:cs="仿宋"/>
          <w:color w:val="000000"/>
          <w:sz w:val="24"/>
          <w:szCs w:val="24"/>
          <w:highlight w:val="none"/>
          <w:lang w:val="zh-CN" w:eastAsia="zh-CN" w:bidi="ar-SA"/>
        </w:rPr>
      </w:pPr>
      <w:r>
        <w:rPr>
          <w:rFonts w:hint="eastAsia" w:ascii="仿宋" w:hAnsi="仿宋" w:eastAsia="仿宋" w:cs="仿宋"/>
          <w:color w:val="000000"/>
          <w:sz w:val="24"/>
          <w:szCs w:val="24"/>
          <w:highlight w:val="none"/>
          <w:lang w:val="zh-CN" w:eastAsia="zh-CN" w:bidi="ar-SA"/>
        </w:rPr>
        <w:t xml:space="preserve">（3）最终报价超过采购预算或最高限价的不能成交；</w:t>
      </w:r>
      <w:r>
        <w:rPr>
          <w:rFonts w:hint="eastAsia" w:ascii="仿宋" w:hAnsi="仿宋" w:eastAsia="仿宋" w:cs="仿宋"/>
          <w:color w:val="000000"/>
          <w:sz w:val="24"/>
          <w:szCs w:val="24"/>
          <w:highlight w:val="none"/>
          <w:lang w:val="zh-CN" w:eastAsia="zh-CN" w:bidi="ar-SA"/>
        </w:rPr>
      </w:r>
      <w:r/>
    </w:p>
    <w:p>
      <w:pPr>
        <w:pStyle w:val="953"/>
        <w:ind w:left="0" w:firstLine="420"/>
        <w:jc w:val="both"/>
        <w:spacing w:line="360" w:lineRule="auto"/>
        <w:rPr>
          <w:rFonts w:hint="eastAsia" w:ascii="仿宋" w:hAnsi="仿宋" w:eastAsia="仿宋" w:cs="仿宋"/>
          <w:color w:val="000000"/>
          <w:sz w:val="24"/>
          <w:szCs w:val="24"/>
          <w:highlight w:val="none"/>
          <w:lang w:val="zh-CN" w:eastAsia="zh-CN" w:bidi="ar-SA"/>
        </w:rPr>
      </w:pPr>
      <w:r>
        <w:rPr>
          <w:rFonts w:hint="eastAsia" w:ascii="仿宋" w:hAnsi="仿宋" w:eastAsia="仿宋" w:cs="仿宋"/>
          <w:color w:val="000000"/>
          <w:sz w:val="24"/>
          <w:szCs w:val="24"/>
          <w:highlight w:val="none"/>
          <w:lang w:val="zh-CN" w:eastAsia="zh-CN" w:bidi="ar-SA"/>
        </w:rPr>
        <w:t xml:space="preserve">（4）不实质性响应采购文件的不能成交。</w:t>
      </w:r>
      <w:r>
        <w:rPr>
          <w:rFonts w:hint="eastAsia" w:ascii="仿宋" w:hAnsi="仿宋" w:eastAsia="仿宋" w:cs="仿宋"/>
          <w:color w:val="000000"/>
          <w:sz w:val="24"/>
          <w:szCs w:val="24"/>
          <w:highlight w:val="none"/>
          <w:lang w:val="zh-CN" w:eastAsia="zh-CN" w:bidi="ar-SA"/>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4、履约保证金：本项目不收取履约保证金</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5、代理费服务费：</w:t>
      </w:r>
      <w:r>
        <w:rPr>
          <w:rFonts w:hint="eastAsia" w:ascii="仿宋" w:hAnsi="仿宋" w:eastAsia="仿宋" w:cs="仿宋"/>
          <w:color w:val="000000"/>
          <w:sz w:val="24"/>
          <w:highlight w:val="none"/>
        </w:rPr>
        <w:t xml:space="preserve">代理服务费由成交供应商承担。每包件代理服务费按预算金额100万元以内1.5%、100～500万元1.1%按差额定率累进法计算，该费用应在领取中标通知书前由成交供应商支付给采购代理机构。服务费缴纳户名：苏州恒中造价师事务所有限责任公司，开户行：农行太仓城区分理处 账户：10536401040009410 财务室电话：0512-81606891-8001。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7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6、凡涉及采购文件的补充说明和修改，均以苏州市政府采购网最后发布的内容为准。</w:t>
      </w:r>
      <w:r>
        <w:rPr>
          <w:rFonts w:hint="eastAsia" w:ascii="仿宋" w:hAnsi="仿宋" w:eastAsia="仿宋" w:cs="仿宋"/>
          <w:color w:val="000000"/>
          <w:sz w:val="24"/>
          <w:szCs w:val="24"/>
          <w:highlight w:val="none"/>
        </w:rPr>
      </w:r>
      <w:r/>
    </w:p>
    <w:p>
      <w:pPr>
        <w:pStyle w:val="953"/>
        <w:ind w:firstLine="422"/>
        <w:spacing w:line="360" w:lineRule="auto"/>
        <w:tabs>
          <w:tab w:val="left" w:pos="42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953"/>
        <w:spacing w:before="156" w:after="156" w:line="360" w:lineRule="auto"/>
        <w:rPr>
          <w:rFonts w:hint="eastAsia" w:ascii="仿宋" w:hAnsi="仿宋" w:eastAsia="仿宋" w:cs="仿宋"/>
          <w:b/>
          <w:color w:val="000000"/>
          <w:sz w:val="24"/>
          <w:highlight w:val="none"/>
        </w:rPr>
        <w:outlineLvl w:val="9"/>
      </w:pPr>
      <w:r>
        <w:rPr>
          <w:rFonts w:hint="eastAsia" w:ascii="仿宋" w:hAnsi="仿宋" w:eastAsia="仿宋" w:cs="仿宋"/>
          <w:b/>
          <w:color w:val="000000"/>
          <w:sz w:val="24"/>
          <w:highlight w:val="none"/>
        </w:rPr>
        <w:t xml:space="preserve">六、政府采购政策：</w:t>
      </w:r>
      <w:r>
        <w:rPr>
          <w:rFonts w:hint="eastAsia" w:ascii="仿宋" w:hAnsi="仿宋" w:eastAsia="仿宋" w:cs="仿宋"/>
          <w:b/>
          <w:color w:val="000000"/>
          <w:sz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（一）节能产品和环境标志产品</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关于调整优化节能产品、环境标志产品政府采购执行机制的通知》（财库〔2019〕9号）及《关于贯彻执行绿色采购、促进残疾人就业和支持监狱企业发展有关政策的通知》（苏财购〔2019〕10号）的文件规定，采购产品如属于国家节能环保品目清单的强制采购产品的，</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应当选择强制采购产品，并提供由国家确定的认证机构出具的、处于有效期之内的节能产品或环境标志产品认证证书，否则视为未实质响应。</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（二）小微企业的价格分评审：</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项目为专门面向中小企业采购的项目。投标供应商应提供中小企业声明函或残疾人福利性单位声明函或省级以上监狱管理局、戒毒管理局（含新疆生产建设兵团）出具的属于监狱企业的证明文件,否则视为投标无效。</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2、中小企业划分：</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（1）符合中小企业划分标准的个体工商户，在政府采购活动中视同中小企业。</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（2）中小企业划分标准详见“工信部联企业〔2011〕300号通知”</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3、残疾人福利性单位政策：</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（1）根据《关于促进残疾人就业政府采购政策的通知》（财库〔2017〕141号）规定，</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若为残疾人福利性单位的，视同小型企业。残疾人福利性单位属于小型、微型企业的，不重复认定。</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（2）本项目专门面向中小企业采购，</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（3）中标、成交供应商为残疾人福利性单位的，《残疾人福利性单位声明函》应当随中标、成交结果同时公告，接受社会监督。</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4、监狱企业发展政策：</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（1）根据《关于政府采购支持监狱企业发展有关问题的通知》（财库〔2014〕68号）规定，</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若为监狱企业的，视同小型企业。</w:t>
      </w:r>
      <w:r>
        <w:rPr>
          <w:rFonts w:hint="eastAsia" w:ascii="仿宋" w:hAnsi="仿宋" w:eastAsia="仿宋" w:cs="仿宋"/>
          <w:color w:val="000000"/>
          <w:sz w:val="24"/>
          <w:szCs w:val="24"/>
          <w:highlight w:val="none"/>
        </w:rPr>
      </w:r>
      <w:r/>
    </w:p>
    <w:p>
      <w:pPr>
        <w:pStyle w:val="953"/>
        <w:ind w:firstLine="480"/>
        <w:spacing w:line="360" w:lineRule="auto"/>
        <w:rPr>
          <w:rFonts w:hint="eastAsia" w:ascii="宋体" w:hAnsi="宋体" w:cs="宋体"/>
          <w:color w:val="000000"/>
          <w:sz w:val="24"/>
          <w:szCs w:val="24"/>
          <w:highlight w:val="none"/>
        </w:rPr>
      </w:pPr>
      <w:r>
        <w:rPr>
          <w:rFonts w:hint="eastAsia" w:ascii="仿宋" w:hAnsi="仿宋" w:eastAsia="仿宋" w:cs="仿宋"/>
          <w:color w:val="000000"/>
          <w:sz w:val="24"/>
          <w:szCs w:val="24"/>
          <w:highlight w:val="none"/>
        </w:rPr>
        <w:t xml:space="preserve">（2）本项目专门面向中小企业采购，</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若为符合《关于政府采购支持监狱企业发展有关问题的通知》（财库〔2014〕68号）条件的监狱企业，在政府采购活动中，应当提供由省级以上监狱管理局、戒毒管理局（含新疆生产建设兵团）出具的属于监狱企业的证明文件，否则为非实质响应。并对声明的真实性负责，供应商提供声明函内容不实的，属于提供虚假材料谋取中标、成交，依照《中华人民共和国政府采购法》 等国家有关规定追究相应责任。</w:t>
      </w:r>
      <w:r>
        <w:rPr>
          <w:rFonts w:hint="eastAsia" w:ascii="宋体" w:hAnsi="宋体" w:cs="宋体"/>
          <w:color w:val="000000"/>
          <w:sz w:val="24"/>
          <w:szCs w:val="24"/>
          <w:highlight w:val="none"/>
        </w:rPr>
      </w:r>
      <w:r/>
    </w:p>
    <w:p>
      <w:pPr>
        <w:pStyle w:val="953"/>
        <w:ind w:firstLine="422"/>
        <w:spacing w:line="360" w:lineRule="auto"/>
        <w:tabs>
          <w:tab w:val="left" w:pos="42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54"/>
        <w:spacing w:before="156" w:after="156"/>
        <w:tabs>
          <w:tab w:val="left" w:pos="1134" w:leader="none"/>
        </w:tabs>
        <w:rPr>
          <w:rFonts w:ascii="Times New Roman" w:hAnsi="Times New Roman"/>
          <w:color w:val="000000"/>
          <w:sz w:val="44"/>
          <w:szCs w:val="44"/>
          <w:highlight w:val="none"/>
          <w:lang w:val="zh-CN"/>
        </w:rPr>
      </w:pPr>
      <w:r>
        <w:rPr>
          <w:rFonts w:hint="eastAsia" w:cs="宋体"/>
          <w:color w:val="000000"/>
          <w:sz w:val="24"/>
          <w:szCs w:val="24"/>
          <w:highlight w:val="none"/>
        </w:rPr>
        <w:br w:type="page" w:clear="all"/>
      </w:r>
      <w:bookmarkEnd w:id="9"/>
      <w:r/>
      <w:bookmarkEnd w:id="10"/>
      <w:r/>
      <w:bookmarkEnd w:id="11"/>
      <w:r/>
      <w:bookmarkEnd w:id="12"/>
      <w:r/>
      <w:bookmarkStart w:id="21" w:name="_Toc14106"/>
      <w:r/>
      <w:bookmarkStart w:id="22" w:name="_Toc68611036"/>
      <w:r/>
      <w:bookmarkStart w:id="23" w:name="_Toc73000675"/>
      <w:r/>
      <w:bookmarkStart w:id="24" w:name="_Toc9247"/>
      <w:r/>
      <w:bookmarkStart w:id="25" w:name="_Toc57376408"/>
      <w:r/>
      <w:bookmarkStart w:id="26" w:name="_Toc23660"/>
      <w:r/>
      <w:bookmarkStart w:id="27" w:name="_Toc58248882"/>
      <w:r/>
      <w:bookmarkStart w:id="28" w:name="_Toc4098"/>
      <w:r/>
      <w:bookmarkStart w:id="29" w:name="_Toc73000676"/>
      <w:r/>
      <w:bookmarkStart w:id="30" w:name="_Toc68611037"/>
      <w:r/>
      <w:bookmarkStart w:id="31" w:name="_Toc6898"/>
      <w:r>
        <w:rPr>
          <w:rFonts w:ascii="Times New Roman" w:hAnsi="Times New Roman"/>
          <w:color w:val="000000"/>
          <w:sz w:val="44"/>
          <w:szCs w:val="44"/>
          <w:highlight w:val="none"/>
        </w:rPr>
        <w:t xml:space="preserve">第三章</w:t>
      </w:r>
      <w:bookmarkStart w:id="32" w:name="投标文件格式"/>
      <w:r/>
      <w:bookmarkEnd w:id="32"/>
      <w:r>
        <w:rPr>
          <w:rFonts w:ascii="Times New Roman" w:hAnsi="Times New Roman"/>
          <w:color w:val="000000"/>
          <w:sz w:val="44"/>
          <w:szCs w:val="44"/>
          <w:highlight w:val="none"/>
        </w:rPr>
        <w:t xml:space="preserve"> 响应文件格式</w:t>
      </w:r>
      <w:bookmarkEnd w:id="21"/>
      <w:r/>
      <w:bookmarkEnd w:id="22"/>
      <w:r/>
      <w:bookmarkEnd w:id="23"/>
      <w:r/>
      <w:bookmarkEnd w:id="24"/>
      <w:r>
        <w:rPr>
          <w:rFonts w:ascii="Times New Roman" w:hAnsi="Times New Roman"/>
          <w:color w:val="000000"/>
          <w:sz w:val="44"/>
          <w:szCs w:val="44"/>
          <w:highlight w:val="none"/>
          <w:lang w:val="zh-CN"/>
        </w:rPr>
      </w:r>
      <w:r/>
    </w:p>
    <w:p>
      <w:pPr>
        <w:pStyle w:val="953"/>
        <w:jc w:val="left"/>
        <w:spacing w:line="44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说明：</w:t>
      </w:r>
      <w:r>
        <w:rPr>
          <w:rFonts w:hint="eastAsia" w:ascii="仿宋" w:hAnsi="仿宋" w:eastAsia="仿宋" w:cs="仿宋"/>
          <w:b/>
          <w:color w:val="000000"/>
          <w:sz w:val="24"/>
          <w:szCs w:val="24"/>
          <w:highlight w:val="none"/>
        </w:rPr>
      </w:r>
      <w:r/>
    </w:p>
    <w:p>
      <w:pPr>
        <w:pStyle w:val="1110"/>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对本章所有的格式，供应商可根据自身情况进行补充和修改，但补充和修改不得造成与本格式内容有实质性的违背。</w:t>
      </w:r>
      <w:r>
        <w:rPr>
          <w:rFonts w:hint="eastAsia" w:ascii="仿宋" w:hAnsi="仿宋" w:eastAsia="仿宋" w:cs="仿宋"/>
          <w:color w:val="000000"/>
          <w:sz w:val="24"/>
          <w:szCs w:val="24"/>
          <w:highlight w:val="none"/>
        </w:rPr>
      </w:r>
      <w:r/>
    </w:p>
    <w:p>
      <w:pPr>
        <w:pStyle w:val="953"/>
        <w:rPr>
          <w:rFonts w:hint="eastAsia" w:ascii="仿宋" w:hAnsi="仿宋" w:eastAsia="仿宋" w:cs="仿宋"/>
          <w:b/>
          <w:color w:val="000000"/>
          <w:sz w:val="24"/>
          <w:szCs w:val="24"/>
          <w:highlight w:val="none"/>
        </w:rPr>
      </w:pPr>
      <w:r/>
      <w:bookmarkStart w:id="33" w:name="_Toc3821"/>
      <w:r/>
      <w:bookmarkStart w:id="34" w:name="_Toc17036"/>
      <w:r>
        <w:rPr>
          <w:rFonts w:hint="eastAsia" w:ascii="仿宋" w:hAnsi="仿宋" w:eastAsia="仿宋" w:cs="仿宋"/>
          <w:b/>
          <w:color w:val="000000"/>
          <w:sz w:val="24"/>
          <w:szCs w:val="24"/>
          <w:highlight w:val="none"/>
        </w:rPr>
      </w:r>
      <w:r/>
    </w:p>
    <w:p>
      <w:pPr>
        <w:pStyle w:val="953"/>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53"/>
        <w:jc w:val="left"/>
        <w:spacing w:before="156" w:after="156" w:line="360" w:lineRule="auto"/>
        <w:tabs>
          <w:tab w:val="left" w:pos="1134"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附件1.开标一览表</w:t>
      </w:r>
      <w:r>
        <w:rPr>
          <w:rFonts w:hint="eastAsia" w:ascii="仿宋" w:hAnsi="仿宋" w:eastAsia="仿宋" w:cs="仿宋"/>
          <w:color w:val="000000"/>
          <w:sz w:val="24"/>
          <w:szCs w:val="24"/>
          <w:highlight w:val="none"/>
        </w:rPr>
      </w:r>
      <w:r/>
    </w:p>
    <w:p>
      <w:pPr>
        <w:pStyle w:val="953"/>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953"/>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开标一览表（总报价）</w:t>
      </w:r>
      <w:r>
        <w:rPr>
          <w:rFonts w:hint="eastAsia" w:ascii="仿宋" w:hAnsi="仿宋" w:eastAsia="仿宋" w:cs="仿宋"/>
          <w:b/>
          <w:color w:val="000000"/>
          <w:sz w:val="24"/>
          <w:szCs w:val="24"/>
          <w:highlight w:val="none"/>
        </w:rPr>
      </w:r>
      <w:r/>
    </w:p>
    <w:p>
      <w:pPr>
        <w:pStyle w:val="110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0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0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全称（加盖公章）：</w:t>
      </w:r>
      <w:r>
        <w:rPr>
          <w:rFonts w:hint="eastAsia" w:ascii="仿宋" w:hAnsi="仿宋" w:eastAsia="仿宋" w:cs="仿宋"/>
          <w:color w:val="000000"/>
          <w:sz w:val="24"/>
          <w:szCs w:val="24"/>
          <w:highlight w:val="none"/>
        </w:rPr>
      </w:r>
      <w:r/>
    </w:p>
    <w:p>
      <w:pPr>
        <w:pStyle w:val="110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rPr>
      </w:r>
      <w:r/>
    </w:p>
    <w:p>
      <w:pPr>
        <w:pStyle w:val="110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bl>
      <w:tblPr>
        <w:tblW w:w="830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trHeight w:val="56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pStyle w:val="953"/>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pStyle w:val="953"/>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项目总价（元）</w:t>
            </w:r>
            <w:r>
              <w:rPr>
                <w:rFonts w:hint="eastAsia" w:ascii="仿宋" w:hAnsi="仿宋" w:eastAsia="仿宋" w:cs="仿宋"/>
                <w:color w:val="000000"/>
                <w:sz w:val="24"/>
                <w:szCs w:val="24"/>
                <w:highlight w:val="none"/>
              </w:rPr>
            </w:r>
            <w:r/>
          </w:p>
        </w:tc>
      </w:tr>
      <w:tr>
        <w:trPr>
          <w:trHeight w:val="61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pStyle w:val="953"/>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pStyle w:val="953"/>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14"/>
        </w:trPr>
        <w:tc>
          <w:tcPr>
            <w:gridSpan w:val="2"/>
            <w:tcBorders>
              <w:top w:val="single" w:color="000000" w:sz="4" w:space="0"/>
              <w:left w:val="single" w:color="000000" w:sz="4" w:space="0"/>
              <w:bottom w:val="single" w:color="000000" w:sz="4" w:space="0"/>
              <w:right w:val="single" w:color="000000" w:sz="4" w:space="0"/>
            </w:tcBorders>
            <w:tcW w:w="8305" w:type="dxa"/>
            <w:vAlign w:val="center"/>
            <w:textDirection w:val="lrTb"/>
            <w:noWrap w:val="false"/>
          </w:tcPr>
          <w:p>
            <w:pPr>
              <w:pStyle w:val="953"/>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报价（大写金额）</w:t>
            </w:r>
            <w:r>
              <w:rPr>
                <w:rFonts w:hint="eastAsia" w:ascii="仿宋" w:hAnsi="仿宋" w:eastAsia="仿宋" w:cs="仿宋"/>
                <w:color w:val="000000"/>
                <w:sz w:val="24"/>
                <w:szCs w:val="24"/>
                <w:highlight w:val="none"/>
              </w:rPr>
            </w:r>
            <w:r/>
          </w:p>
        </w:tc>
      </w:tr>
    </w:tbl>
    <w:p>
      <w:pPr>
        <w:pStyle w:val="953"/>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53"/>
        <w:ind w:right="300" w:firstLine="2310"/>
        <w:jc w:val="lef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53"/>
        <w:ind w:right="300" w:firstLine="2310"/>
        <w:jc w:val="lef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53"/>
        <w:ind w:right="300" w:firstLine="3780"/>
        <w:jc w:val="lef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953"/>
        <w:ind w:right="-200"/>
        <w:jc w:val="right"/>
        <w:spacing w:line="360" w:lineRule="auto"/>
        <w:rPr>
          <w:b/>
          <w:color w:val="000000"/>
          <w:sz w:val="24"/>
          <w:szCs w:val="24"/>
          <w:highlight w:val="none"/>
        </w:rPr>
      </w:pPr>
      <w:r>
        <w:rPr>
          <w:b/>
          <w:color w:val="000000"/>
          <w:sz w:val="24"/>
          <w:szCs w:val="24"/>
          <w:highlight w:val="none"/>
        </w:rPr>
      </w:r>
      <w:r/>
    </w:p>
    <w:p>
      <w:pPr>
        <w:pStyle w:val="953"/>
        <w:ind w:right="40"/>
        <w:spacing w:line="360" w:lineRule="auto"/>
        <w:rPr>
          <w:color w:val="000000"/>
          <w:sz w:val="24"/>
          <w:szCs w:val="24"/>
          <w:highlight w:val="none"/>
          <w:lang w:val="zh-CN"/>
        </w:rPr>
      </w:pPr>
      <w:r>
        <w:rPr>
          <w:color w:val="000000"/>
          <w:sz w:val="24"/>
          <w:szCs w:val="24"/>
          <w:highlight w:val="none"/>
          <w:lang w:val="zh-CN"/>
        </w:rPr>
      </w:r>
      <w:r/>
    </w:p>
    <w:p>
      <w:pPr>
        <w:pStyle w:val="953"/>
        <w:ind w:right="40"/>
        <w:jc w:val="center"/>
        <w:spacing w:line="360" w:lineRule="auto"/>
        <w:rPr>
          <w:color w:val="000000"/>
          <w:sz w:val="22"/>
          <w:szCs w:val="22"/>
          <w:highlight w:val="none"/>
          <w:lang w:val="zh-CN"/>
        </w:rPr>
      </w:pPr>
      <w:r>
        <w:rPr>
          <w:color w:val="000000"/>
          <w:sz w:val="22"/>
          <w:szCs w:val="22"/>
          <w:highlight w:val="none"/>
          <w:lang w:val="zh-CN"/>
        </w:rPr>
      </w:r>
      <w:r/>
    </w:p>
    <w:p>
      <w:pPr>
        <w:pStyle w:val="953"/>
        <w:jc w:val="left"/>
        <w:spacing w:line="360" w:lineRule="auto"/>
        <w:rPr>
          <w:color w:val="000000"/>
          <w:highlight w:val="none"/>
        </w:rPr>
      </w:pPr>
      <w:r>
        <w:rPr>
          <w:color w:val="000000"/>
          <w:highlight w:val="none"/>
        </w:rPr>
      </w:r>
      <w:r/>
    </w:p>
    <w:p>
      <w:pPr>
        <w:pStyle w:val="953"/>
        <w:rPr>
          <w:rFonts w:hint="eastAsia" w:ascii="仿宋" w:hAnsi="仿宋" w:eastAsia="仿宋" w:cs="仿宋"/>
          <w:color w:val="000000"/>
          <w:sz w:val="24"/>
          <w:szCs w:val="24"/>
          <w:highlight w:val="none"/>
        </w:rPr>
      </w:pPr>
      <w:r>
        <w:rPr>
          <w:b/>
          <w:color w:val="000000"/>
          <w:szCs w:val="21"/>
          <w:highlight w:val="none"/>
        </w:rPr>
        <w:br w:type="page" w:clear="all"/>
      </w:r>
      <w:r>
        <w:rPr>
          <w:rFonts w:hint="eastAsia" w:ascii="仿宋" w:hAnsi="仿宋" w:eastAsia="仿宋" w:cs="仿宋"/>
          <w:b/>
          <w:color w:val="000000"/>
          <w:sz w:val="24"/>
          <w:szCs w:val="24"/>
          <w:highlight w:val="none"/>
        </w:rPr>
        <w:t xml:space="preserve">附件2.关于资格文件的声明函</w:t>
      </w:r>
      <w:r>
        <w:rPr>
          <w:rFonts w:hint="eastAsia" w:ascii="仿宋" w:hAnsi="仿宋" w:eastAsia="仿宋" w:cs="仿宋"/>
          <w:color w:val="000000"/>
          <w:sz w:val="24"/>
          <w:szCs w:val="24"/>
          <w:highlight w:val="none"/>
        </w:rPr>
      </w:r>
      <w:r/>
    </w:p>
    <w:p>
      <w:pPr>
        <w:pStyle w:val="953"/>
        <w:ind w:firstLine="42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53"/>
        <w:ind w:firstLine="42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关于资格文件的声明函</w:t>
      </w:r>
      <w:r>
        <w:rPr>
          <w:rFonts w:hint="eastAsia" w:ascii="仿宋" w:hAnsi="仿宋" w:eastAsia="仿宋" w:cs="仿宋"/>
          <w:b/>
          <w:color w:val="000000"/>
          <w:sz w:val="24"/>
          <w:szCs w:val="24"/>
          <w:highlight w:val="none"/>
        </w:rPr>
      </w:r>
      <w:r/>
    </w:p>
    <w:p>
      <w:pPr>
        <w:pStyle w:val="953"/>
        <w:ind w:firstLine="42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53"/>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苏州恒中造价师事务所有限责任公司</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本公司愿就由贵单位组织实施的编号为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号（项目编号）的磋商采购活动进行响应。本公司所提交的响应文件中所有关于磋商资格的文件、证明和陈述均是真实的、准确的。若与真实情况不符，本公司愿意承担由此而产生的一切后果。</w:t>
      </w:r>
      <w:r>
        <w:rPr>
          <w:rFonts w:hint="eastAsia" w:ascii="仿宋" w:hAnsi="仿宋" w:eastAsia="仿宋" w:cs="仿宋"/>
          <w:color w:val="000000"/>
          <w:sz w:val="24"/>
          <w:szCs w:val="24"/>
          <w:highlight w:val="none"/>
        </w:rPr>
      </w:r>
      <w:r/>
    </w:p>
    <w:p>
      <w:pPr>
        <w:pStyle w:val="953"/>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53"/>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53"/>
        <w:ind w:right="-200"/>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供应商名称：（公章）</w:t>
      </w: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953"/>
        <w:ind w:firstLine="210"/>
        <w:jc w:val="righ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法定代表人或</w:t>
      </w:r>
      <w:r>
        <w:rPr>
          <w:rFonts w:hint="eastAsia" w:ascii="仿宋" w:hAnsi="仿宋" w:eastAsia="仿宋" w:cs="仿宋"/>
          <w:color w:val="000000"/>
          <w:sz w:val="24"/>
          <w:szCs w:val="24"/>
          <w:highlight w:val="none"/>
        </w:rPr>
        <w:t xml:space="preserve">被授权</w:t>
      </w:r>
      <w:r>
        <w:rPr>
          <w:rFonts w:hint="eastAsia" w:ascii="仿宋" w:hAnsi="仿宋" w:eastAsia="仿宋" w:cs="仿宋"/>
          <w:color w:val="000000"/>
          <w:sz w:val="24"/>
          <w:szCs w:val="24"/>
          <w:highlight w:val="none"/>
          <w:lang w:val="zh-CN"/>
        </w:rPr>
        <w:t xml:space="preserve">人：（签字或盖章）</w:t>
      </w:r>
      <w:r>
        <w:rPr>
          <w:rFonts w:hint="eastAsia" w:ascii="仿宋" w:hAnsi="仿宋" w:eastAsia="仿宋" w:cs="仿宋"/>
          <w:color w:val="000000"/>
          <w:sz w:val="24"/>
          <w:szCs w:val="24"/>
          <w:highlight w:val="none"/>
          <w:lang w:val="zh-CN"/>
        </w:rPr>
      </w:r>
      <w:r/>
    </w:p>
    <w:p>
      <w:pPr>
        <w:pStyle w:val="953"/>
        <w:ind w:right="615" w:firstLine="840"/>
        <w:jc w:val="right"/>
        <w:spacing w:line="4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953"/>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t xml:space="preserve">附件3.磋商响应单位基本情况表</w:t>
      </w:r>
      <w:r>
        <w:rPr>
          <w:rFonts w:hint="eastAsia" w:ascii="仿宋" w:hAnsi="仿宋" w:eastAsia="仿宋" w:cs="仿宋"/>
          <w:b/>
          <w:color w:val="000000"/>
          <w:sz w:val="24"/>
          <w:szCs w:val="24"/>
          <w:highlight w:val="none"/>
        </w:rPr>
      </w:r>
      <w:r/>
    </w:p>
    <w:p>
      <w:pPr>
        <w:pStyle w:val="953"/>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bl>
      <w:tblPr>
        <w:tblW w:w="907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53"/>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953"/>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953"/>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成立日期</w:t>
            </w: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953"/>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53"/>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注册地址</w:t>
            </w: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953"/>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953"/>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注册资金</w:t>
            </w: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953"/>
              <w:ind w:firstLine="216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53"/>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rPr>
                <w:rFonts w:hint="eastAsia" w:ascii="仿宋" w:hAnsi="仿宋" w:eastAsia="仿宋" w:cs="仿宋"/>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953"/>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53"/>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实现利润</w:t>
            </w: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953"/>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2025</w:t>
            </w:r>
            <w:r>
              <w:rPr>
                <w:rFonts w:hint="eastAsia" w:ascii="仿宋" w:hAnsi="仿宋" w:eastAsia="仿宋" w:cs="仿宋"/>
                <w:color w:val="000000"/>
                <w:sz w:val="24"/>
                <w:szCs w:val="24"/>
                <w:highlight w:val="none"/>
              </w:rPr>
              <w:t xml:space="preserve">年   万元</w:t>
            </w: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953"/>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员工总人数</w:t>
            </w: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953"/>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53"/>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资产总计</w:t>
            </w: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953"/>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2025</w:t>
            </w:r>
            <w:r>
              <w:rPr>
                <w:rFonts w:hint="eastAsia" w:ascii="仿宋" w:hAnsi="仿宋" w:eastAsia="仿宋" w:cs="仿宋"/>
                <w:color w:val="000000"/>
                <w:sz w:val="24"/>
                <w:szCs w:val="24"/>
                <w:highlight w:val="none"/>
              </w:rPr>
              <w:t xml:space="preserve">年   万元</w:t>
            </w: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953"/>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营业收入</w:t>
            </w: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2025</w:t>
            </w:r>
            <w:r>
              <w:rPr>
                <w:rFonts w:hint="eastAsia" w:ascii="仿宋" w:hAnsi="仿宋" w:eastAsia="仿宋" w:cs="仿宋"/>
                <w:color w:val="000000"/>
                <w:sz w:val="24"/>
                <w:szCs w:val="24"/>
                <w:highlight w:val="none"/>
              </w:rPr>
              <w:t xml:space="preserve">年   万元</w:t>
            </w:r>
            <w:r>
              <w:rPr>
                <w:rFonts w:hint="eastAsia" w:ascii="仿宋" w:hAnsi="仿宋" w:eastAsia="仿宋" w:cs="仿宋"/>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53"/>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单位简历及内设机构情况</w:t>
            </w:r>
            <w:r>
              <w:rPr>
                <w:rFonts w:hint="eastAsia" w:ascii="仿宋" w:hAnsi="仿宋" w:eastAsia="仿宋" w:cs="仿宋"/>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953"/>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53"/>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单位优势及特长</w:t>
            </w:r>
            <w:r>
              <w:rPr>
                <w:rFonts w:hint="eastAsia" w:ascii="仿宋" w:hAnsi="仿宋" w:eastAsia="仿宋" w:cs="仿宋"/>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953"/>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53"/>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商业信誉和健全的财务会计制度介绍</w:t>
            </w:r>
            <w:r>
              <w:rPr>
                <w:rFonts w:hint="eastAsia" w:ascii="仿宋" w:hAnsi="仿宋" w:eastAsia="仿宋" w:cs="仿宋"/>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953"/>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53"/>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履行合同所必需的设备和专业技术能力情况</w:t>
            </w:r>
            <w:r>
              <w:rPr>
                <w:rFonts w:hint="eastAsia" w:ascii="仿宋" w:hAnsi="仿宋" w:eastAsia="仿宋" w:cs="仿宋"/>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953"/>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53"/>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依法缴纳税收和社会保障资金情况</w:t>
            </w:r>
            <w:r>
              <w:rPr>
                <w:rFonts w:hint="eastAsia" w:ascii="仿宋" w:hAnsi="仿宋" w:eastAsia="仿宋" w:cs="仿宋"/>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953"/>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53"/>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参加政府采购活动前三年内，在经营活动中有无重大违法记录</w:t>
            </w:r>
            <w:r>
              <w:rPr>
                <w:rFonts w:hint="eastAsia" w:ascii="仿宋" w:hAnsi="仿宋" w:eastAsia="仿宋" w:cs="仿宋"/>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953"/>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53"/>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其他需要说明的情况</w:t>
            </w:r>
            <w:r>
              <w:rPr>
                <w:rFonts w:hint="eastAsia" w:ascii="仿宋" w:hAnsi="仿宋" w:eastAsia="仿宋" w:cs="仿宋"/>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953"/>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953"/>
        <w:ind w:firstLine="315"/>
        <w:jc w:val="left"/>
        <w:spacing w:line="360" w:lineRule="auto"/>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注：若事项较多，供应商可根据实际情况另纸说明。</w:t>
      </w:r>
      <w:r>
        <w:rPr>
          <w:rFonts w:hint="eastAsia" w:ascii="仿宋" w:hAnsi="仿宋" w:eastAsia="仿宋" w:cs="仿宋"/>
          <w:b/>
          <w:color w:val="000000"/>
          <w:sz w:val="24"/>
          <w:szCs w:val="24"/>
          <w:highlight w:val="none"/>
        </w:rPr>
      </w:r>
      <w:r/>
    </w:p>
    <w:p>
      <w:pPr>
        <w:pStyle w:val="953"/>
        <w:ind w:firstLine="368"/>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53"/>
        <w:ind w:right="-200"/>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供应商名称：（公章）</w:t>
      </w: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953"/>
        <w:ind w:firstLine="210"/>
        <w:jc w:val="righ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法定代表人或</w:t>
      </w:r>
      <w:r>
        <w:rPr>
          <w:rFonts w:hint="eastAsia" w:ascii="仿宋" w:hAnsi="仿宋" w:eastAsia="仿宋" w:cs="仿宋"/>
          <w:color w:val="000000"/>
          <w:sz w:val="24"/>
          <w:szCs w:val="24"/>
          <w:highlight w:val="none"/>
        </w:rPr>
        <w:t xml:space="preserve">被授权</w:t>
      </w:r>
      <w:r>
        <w:rPr>
          <w:rFonts w:hint="eastAsia" w:ascii="仿宋" w:hAnsi="仿宋" w:eastAsia="仿宋" w:cs="仿宋"/>
          <w:color w:val="000000"/>
          <w:sz w:val="24"/>
          <w:szCs w:val="24"/>
          <w:highlight w:val="none"/>
          <w:lang w:val="zh-CN"/>
        </w:rPr>
        <w:t xml:space="preserve">人：（签字或盖章）</w:t>
      </w:r>
      <w:r>
        <w:rPr>
          <w:rFonts w:hint="eastAsia" w:ascii="仿宋" w:hAnsi="仿宋" w:eastAsia="仿宋" w:cs="仿宋"/>
          <w:color w:val="000000"/>
          <w:sz w:val="24"/>
          <w:szCs w:val="24"/>
          <w:highlight w:val="none"/>
          <w:lang w:val="zh-CN"/>
        </w:rPr>
      </w:r>
      <w:r/>
    </w:p>
    <w:p>
      <w:pPr>
        <w:pStyle w:val="953"/>
        <w:ind w:right="615" w:firstLine="840"/>
        <w:jc w:val="right"/>
        <w:spacing w:line="4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953"/>
        <w:rPr>
          <w:rFonts w:hint="eastAsia" w:ascii="仿宋" w:hAnsi="仿宋" w:eastAsia="仿宋" w:cs="仿宋"/>
          <w:b/>
          <w:color w:val="000000"/>
          <w:sz w:val="24"/>
          <w:szCs w:val="24"/>
          <w:highlight w:val="none"/>
        </w:rPr>
      </w:pPr>
      <w:r>
        <w:rPr>
          <w:b/>
          <w:color w:val="000000"/>
          <w:szCs w:val="21"/>
          <w:highlight w:val="none"/>
        </w:rPr>
        <w:br w:type="page" w:clear="all"/>
      </w:r>
      <w:r>
        <w:rPr>
          <w:rFonts w:hint="eastAsia" w:ascii="仿宋" w:hAnsi="仿宋" w:eastAsia="仿宋" w:cs="仿宋"/>
          <w:b/>
          <w:color w:val="000000"/>
          <w:sz w:val="24"/>
          <w:szCs w:val="24"/>
          <w:highlight w:val="none"/>
        </w:rPr>
        <w:t xml:space="preserve">附件</w:t>
      </w:r>
      <w:bookmarkEnd w:id="33"/>
      <w:r/>
      <w:bookmarkEnd w:id="34"/>
      <w:r>
        <w:rPr>
          <w:rFonts w:hint="eastAsia" w:ascii="仿宋" w:hAnsi="仿宋" w:eastAsia="仿宋" w:cs="仿宋"/>
          <w:b/>
          <w:color w:val="000000"/>
          <w:sz w:val="24"/>
          <w:szCs w:val="24"/>
          <w:highlight w:val="none"/>
        </w:rPr>
        <w:t xml:space="preserve">4.磋商响应函</w:t>
      </w:r>
      <w:r>
        <w:rPr>
          <w:rFonts w:hint="eastAsia" w:ascii="仿宋" w:hAnsi="仿宋" w:eastAsia="仿宋" w:cs="仿宋"/>
          <w:b/>
          <w:color w:val="000000"/>
          <w:sz w:val="24"/>
          <w:szCs w:val="24"/>
          <w:highlight w:val="none"/>
        </w:rPr>
      </w:r>
      <w:r/>
    </w:p>
    <w:p>
      <w:pPr>
        <w:pStyle w:val="953"/>
        <w:jc w:val="center"/>
        <w:spacing w:line="44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磋商响应函</w:t>
      </w:r>
      <w:r>
        <w:rPr>
          <w:rFonts w:hint="eastAsia" w:ascii="仿宋" w:hAnsi="仿宋" w:eastAsia="仿宋" w:cs="仿宋"/>
          <w:b/>
          <w:color w:val="000000"/>
          <w:sz w:val="24"/>
          <w:szCs w:val="24"/>
          <w:highlight w:val="none"/>
        </w:rPr>
      </w:r>
      <w:r/>
    </w:p>
    <w:p>
      <w:pPr>
        <w:pStyle w:val="965"/>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953"/>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致：</w:t>
      </w:r>
      <w:r>
        <w:rPr>
          <w:rFonts w:hint="eastAsia" w:ascii="仿宋" w:hAnsi="仿宋" w:eastAsia="仿宋" w:cs="仿宋"/>
          <w:color w:val="000000"/>
          <w:sz w:val="24"/>
          <w:szCs w:val="24"/>
          <w:highlight w:val="none"/>
          <w:u w:val="single"/>
          <w:lang w:val="zh-CN"/>
        </w:rPr>
        <w:t xml:space="preserve">苏州恒中造价师事务所有限责任公司</w:t>
      </w:r>
      <w:r>
        <w:rPr>
          <w:rFonts w:hint="eastAsia" w:ascii="仿宋" w:hAnsi="仿宋" w:eastAsia="仿宋" w:cs="仿宋"/>
          <w:color w:val="000000"/>
          <w:sz w:val="24"/>
          <w:szCs w:val="24"/>
          <w:highlight w:val="none"/>
          <w:lang w:val="zh-CN"/>
        </w:rPr>
      </w:r>
      <w:r/>
    </w:p>
    <w:p>
      <w:pPr>
        <w:pStyle w:val="953"/>
        <w:ind w:firstLine="42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我方收到贵单位</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（项目编号）采购文件，经仔细阅读和研究，我方决定参加磋商活动，并向贵单位作出如下承诺：</w:t>
      </w:r>
      <w:r>
        <w:rPr>
          <w:rFonts w:hint="eastAsia" w:ascii="仿宋" w:hAnsi="仿宋" w:eastAsia="仿宋" w:cs="仿宋"/>
          <w:color w:val="000000"/>
          <w:sz w:val="24"/>
          <w:szCs w:val="24"/>
          <w:highlight w:val="none"/>
          <w:lang w:val="zh-CN"/>
        </w:rPr>
      </w:r>
      <w:r/>
    </w:p>
    <w:p>
      <w:pPr>
        <w:pStyle w:val="953"/>
        <w:ind w:firstLine="42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1、我方愿意按照采购文件的一切要求，提供本项目的所有内容，我方的报价包括完成本项工作所需的一切应有费用。</w:t>
      </w:r>
      <w:r>
        <w:rPr>
          <w:rFonts w:hint="eastAsia" w:ascii="仿宋" w:hAnsi="仿宋" w:eastAsia="仿宋" w:cs="仿宋"/>
          <w:color w:val="000000"/>
          <w:sz w:val="24"/>
          <w:szCs w:val="24"/>
          <w:highlight w:val="none"/>
          <w:lang w:val="zh-CN"/>
        </w:rPr>
      </w:r>
      <w:r/>
    </w:p>
    <w:p>
      <w:pPr>
        <w:pStyle w:val="953"/>
        <w:ind w:firstLine="42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2、如果我方的磋商响应文件被接受，我方将严格履行采购文件中规定的每一项要求，严格履行合同的责任和义务，保证按期、按质履行合同，完成合同所规定的全部内容。</w:t>
      </w:r>
      <w:r>
        <w:rPr>
          <w:rFonts w:hint="eastAsia" w:ascii="仿宋" w:hAnsi="仿宋" w:eastAsia="仿宋" w:cs="仿宋"/>
          <w:color w:val="000000"/>
          <w:sz w:val="24"/>
          <w:szCs w:val="24"/>
          <w:highlight w:val="none"/>
          <w:lang w:val="zh-CN"/>
        </w:rPr>
      </w:r>
      <w:r/>
    </w:p>
    <w:p>
      <w:pPr>
        <w:pStyle w:val="953"/>
        <w:ind w:firstLine="42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3、我方已详细审查并同意采购文件及更正文件（若有）中的规定。我方完全理解并同意放弃对这方面有不明及误解的权利。</w:t>
      </w:r>
      <w:r>
        <w:rPr>
          <w:rFonts w:hint="eastAsia" w:ascii="仿宋" w:hAnsi="仿宋" w:eastAsia="仿宋" w:cs="仿宋"/>
          <w:color w:val="000000"/>
          <w:sz w:val="24"/>
          <w:szCs w:val="24"/>
          <w:highlight w:val="none"/>
          <w:lang w:val="zh-CN"/>
        </w:rPr>
      </w:r>
      <w:r/>
    </w:p>
    <w:p>
      <w:pPr>
        <w:pStyle w:val="953"/>
        <w:ind w:firstLine="42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4、本磋商响应文件的有效期限为</w:t>
      </w:r>
      <w:r>
        <w:rPr>
          <w:rFonts w:hint="eastAsia" w:ascii="仿宋" w:hAnsi="仿宋" w:eastAsia="仿宋" w:cs="仿宋"/>
          <w:color w:val="000000"/>
          <w:sz w:val="24"/>
          <w:szCs w:val="24"/>
          <w:highlight w:val="none"/>
        </w:rPr>
        <w:t xml:space="preserve">响应文件接收</w:t>
      </w:r>
      <w:r>
        <w:rPr>
          <w:rFonts w:hint="eastAsia" w:ascii="仿宋" w:hAnsi="仿宋" w:eastAsia="仿宋" w:cs="仿宋"/>
          <w:color w:val="000000"/>
          <w:sz w:val="24"/>
          <w:szCs w:val="24"/>
          <w:highlight w:val="none"/>
          <w:lang w:val="zh-CN"/>
        </w:rPr>
        <w:t xml:space="preserve">截止时间之日起60天。</w:t>
      </w:r>
      <w:r>
        <w:rPr>
          <w:rFonts w:hint="eastAsia" w:ascii="仿宋" w:hAnsi="仿宋" w:eastAsia="仿宋" w:cs="仿宋"/>
          <w:color w:val="000000"/>
          <w:sz w:val="24"/>
          <w:szCs w:val="24"/>
          <w:highlight w:val="none"/>
          <w:lang w:val="zh-CN"/>
        </w:rPr>
      </w:r>
      <w:r/>
    </w:p>
    <w:p>
      <w:pPr>
        <w:pStyle w:val="953"/>
        <w:ind w:firstLine="42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5、我方保证所提交的响应文件中所有资料均是真实的、准确的。若与真实情况不符，我方愿意承担由此而产生的一切后果。</w:t>
      </w:r>
      <w:r>
        <w:rPr>
          <w:rFonts w:hint="eastAsia" w:ascii="仿宋" w:hAnsi="仿宋" w:eastAsia="仿宋" w:cs="仿宋"/>
          <w:color w:val="000000"/>
          <w:sz w:val="24"/>
          <w:szCs w:val="24"/>
          <w:highlight w:val="none"/>
          <w:lang w:val="zh-CN"/>
        </w:rPr>
      </w:r>
      <w:r/>
    </w:p>
    <w:p>
      <w:pPr>
        <w:pStyle w:val="953"/>
        <w:ind w:firstLine="42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6、我方承诺磋商响应文件在磋商开始后的全过程中保持有效，不作任何更改和变动。</w:t>
      </w:r>
      <w:r>
        <w:rPr>
          <w:rFonts w:hint="eastAsia" w:ascii="仿宋" w:hAnsi="仿宋" w:eastAsia="仿宋" w:cs="仿宋"/>
          <w:color w:val="000000"/>
          <w:sz w:val="24"/>
          <w:szCs w:val="24"/>
          <w:highlight w:val="none"/>
          <w:lang w:val="zh-CN"/>
        </w:rPr>
      </w:r>
      <w:r/>
    </w:p>
    <w:p>
      <w:pPr>
        <w:pStyle w:val="953"/>
        <w:ind w:firstLine="42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7、我方承诺满足《中华人民共和国政府采购法》第二十二条规定的所有条件。</w:t>
      </w:r>
      <w:r>
        <w:rPr>
          <w:rFonts w:hint="eastAsia" w:ascii="仿宋" w:hAnsi="仿宋" w:eastAsia="仿宋" w:cs="仿宋"/>
          <w:color w:val="000000"/>
          <w:sz w:val="24"/>
          <w:szCs w:val="24"/>
          <w:highlight w:val="none"/>
          <w:lang w:val="zh-CN"/>
        </w:rPr>
      </w:r>
      <w:r/>
    </w:p>
    <w:p>
      <w:pPr>
        <w:pStyle w:val="953"/>
        <w:ind w:firstLine="42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8、与本磋商相应文件有关的通讯地址：</w:t>
      </w:r>
      <w:r>
        <w:rPr>
          <w:rFonts w:hint="eastAsia" w:ascii="仿宋" w:hAnsi="仿宋" w:eastAsia="仿宋" w:cs="仿宋"/>
          <w:color w:val="000000"/>
          <w:sz w:val="24"/>
          <w:szCs w:val="24"/>
          <w:highlight w:val="none"/>
          <w:lang w:val="zh-CN"/>
        </w:rPr>
      </w:r>
      <w:r/>
    </w:p>
    <w:p>
      <w:pPr>
        <w:pStyle w:val="953"/>
        <w:ind w:firstLine="21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单   位：                                              联 系 人： </w:t>
      </w:r>
      <w:r>
        <w:rPr>
          <w:rFonts w:hint="eastAsia" w:ascii="仿宋" w:hAnsi="仿宋" w:eastAsia="仿宋" w:cs="仿宋"/>
          <w:color w:val="000000"/>
          <w:sz w:val="24"/>
          <w:szCs w:val="24"/>
          <w:highlight w:val="none"/>
          <w:lang w:val="zh-CN"/>
        </w:rPr>
      </w:r>
      <w:r/>
    </w:p>
    <w:p>
      <w:pPr>
        <w:pStyle w:val="953"/>
        <w:ind w:firstLine="21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地   址：                                              邮政编码： </w:t>
      </w:r>
      <w:r>
        <w:rPr>
          <w:rFonts w:hint="eastAsia" w:ascii="仿宋" w:hAnsi="仿宋" w:eastAsia="仿宋" w:cs="仿宋"/>
          <w:color w:val="000000"/>
          <w:sz w:val="24"/>
          <w:szCs w:val="24"/>
          <w:highlight w:val="none"/>
          <w:lang w:val="zh-CN"/>
        </w:rPr>
      </w:r>
      <w:r/>
    </w:p>
    <w:p>
      <w:pPr>
        <w:pStyle w:val="953"/>
        <w:ind w:firstLine="21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联系电话：                                             电子邮箱：</w:t>
      </w:r>
      <w:r>
        <w:rPr>
          <w:rFonts w:hint="eastAsia" w:ascii="仿宋" w:hAnsi="仿宋" w:eastAsia="仿宋" w:cs="仿宋"/>
          <w:color w:val="000000"/>
          <w:sz w:val="24"/>
          <w:szCs w:val="24"/>
          <w:highlight w:val="none"/>
          <w:lang w:val="zh-CN"/>
        </w:rPr>
      </w:r>
      <w:r/>
    </w:p>
    <w:p>
      <w:pPr>
        <w:pStyle w:val="953"/>
        <w:ind w:right="840" w:firstLine="210"/>
        <w:jc w:val="center"/>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53"/>
        <w:ind w:right="-200"/>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rPr>
        <w:t xml:space="preserve">供应商名称：（公章）</w:t>
      </w: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953"/>
        <w:ind w:firstLine="210"/>
        <w:jc w:val="righ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法定代表人或</w:t>
      </w:r>
      <w:r>
        <w:rPr>
          <w:rFonts w:hint="eastAsia" w:ascii="仿宋" w:hAnsi="仿宋" w:eastAsia="仿宋" w:cs="仿宋"/>
          <w:color w:val="000000"/>
          <w:sz w:val="24"/>
          <w:szCs w:val="24"/>
          <w:highlight w:val="none"/>
        </w:rPr>
        <w:t xml:space="preserve">被授权</w:t>
      </w:r>
      <w:r>
        <w:rPr>
          <w:rFonts w:hint="eastAsia" w:ascii="仿宋" w:hAnsi="仿宋" w:eastAsia="仿宋" w:cs="仿宋"/>
          <w:color w:val="000000"/>
          <w:sz w:val="24"/>
          <w:szCs w:val="24"/>
          <w:highlight w:val="none"/>
          <w:lang w:val="zh-CN"/>
        </w:rPr>
        <w:t xml:space="preserve">人：（签字或盖章）</w:t>
      </w:r>
      <w:r>
        <w:rPr>
          <w:rFonts w:hint="eastAsia" w:ascii="仿宋" w:hAnsi="仿宋" w:eastAsia="仿宋" w:cs="仿宋"/>
          <w:color w:val="000000"/>
          <w:sz w:val="24"/>
          <w:szCs w:val="24"/>
          <w:highlight w:val="none"/>
          <w:lang w:val="zh-CN"/>
        </w:rPr>
      </w:r>
      <w:r/>
    </w:p>
    <w:p>
      <w:pPr>
        <w:pStyle w:val="953"/>
        <w:ind w:right="615" w:firstLine="840"/>
        <w:jc w:val="right"/>
        <w:spacing w:line="4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953"/>
        <w:ind w:right="-200"/>
        <w:jc w:val="left"/>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t xml:space="preserve">附件5.磋商报价分析表</w:t>
      </w:r>
      <w:r>
        <w:rPr>
          <w:rFonts w:hint="eastAsia" w:ascii="仿宋" w:hAnsi="仿宋" w:eastAsia="仿宋" w:cs="仿宋"/>
          <w:b/>
          <w:color w:val="000000"/>
          <w:sz w:val="24"/>
          <w:szCs w:val="24"/>
          <w:highlight w:val="none"/>
        </w:rPr>
      </w:r>
      <w:r/>
    </w:p>
    <w:p>
      <w:pPr>
        <w:pStyle w:val="953"/>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磋商报价分析表</w:t>
      </w:r>
      <w:r>
        <w:rPr>
          <w:rFonts w:hint="eastAsia" w:ascii="仿宋" w:hAnsi="仿宋" w:eastAsia="仿宋" w:cs="仿宋"/>
          <w:b/>
          <w:color w:val="000000"/>
          <w:sz w:val="24"/>
          <w:szCs w:val="24"/>
          <w:highlight w:val="none"/>
        </w:rPr>
      </w:r>
      <w:r/>
    </w:p>
    <w:p>
      <w:pPr>
        <w:pStyle w:val="953"/>
        <w:jc w:val="center"/>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r>
      <w:r/>
    </w:p>
    <w:tbl>
      <w:tblPr>
        <w:tblW w:w="98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trHeight w:val="503"/>
        </w:trPr>
        <w:tc>
          <w:tcPr>
            <w:tcW w:w="992"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2274"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费用项目</w:t>
            </w:r>
            <w:r>
              <w:rPr>
                <w:rFonts w:hint="eastAsia" w:ascii="仿宋" w:hAnsi="仿宋" w:eastAsia="仿宋" w:cs="仿宋"/>
                <w:color w:val="000000"/>
                <w:sz w:val="24"/>
                <w:szCs w:val="24"/>
                <w:highlight w:val="none"/>
              </w:rPr>
            </w:r>
            <w:r/>
          </w:p>
        </w:tc>
        <w:tc>
          <w:tcPr>
            <w:tcW w:w="1409"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单位/数量</w:t>
            </w:r>
            <w:r>
              <w:rPr>
                <w:rFonts w:hint="eastAsia" w:ascii="仿宋" w:hAnsi="仿宋" w:eastAsia="仿宋" w:cs="仿宋"/>
                <w:color w:val="000000"/>
                <w:sz w:val="24"/>
                <w:szCs w:val="24"/>
                <w:highlight w:val="none"/>
              </w:rPr>
            </w:r>
            <w:r/>
          </w:p>
        </w:tc>
        <w:tc>
          <w:tcPr>
            <w:tcW w:w="1781"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单价</w:t>
            </w:r>
            <w:r>
              <w:rPr>
                <w:rFonts w:hint="eastAsia" w:ascii="仿宋" w:hAnsi="仿宋" w:eastAsia="仿宋" w:cs="仿宋"/>
                <w:color w:val="000000"/>
                <w:sz w:val="24"/>
                <w:szCs w:val="24"/>
                <w:highlight w:val="none"/>
              </w:rPr>
            </w:r>
            <w:r/>
          </w:p>
        </w:tc>
        <w:tc>
          <w:tcPr>
            <w:tcW w:w="1913"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总价</w:t>
            </w:r>
            <w:r>
              <w:rPr>
                <w:rFonts w:hint="eastAsia" w:ascii="仿宋" w:hAnsi="仿宋" w:eastAsia="仿宋" w:cs="仿宋"/>
                <w:color w:val="000000"/>
                <w:sz w:val="24"/>
                <w:szCs w:val="24"/>
                <w:highlight w:val="none"/>
              </w:rPr>
            </w:r>
            <w:r/>
          </w:p>
        </w:tc>
        <w:tc>
          <w:tcPr>
            <w:tcW w:w="1489"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tc>
      </w:tr>
      <w:tr>
        <w:trPr>
          <w:cantSplit/>
          <w:trHeight w:val="427"/>
        </w:trPr>
        <w:tc>
          <w:tcPr>
            <w:tcW w:w="992"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2274"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09" w:type="dxa"/>
            <w:vAlign w:val="top"/>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81"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13"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9"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93"/>
        </w:trPr>
        <w:tc>
          <w:tcPr>
            <w:tcW w:w="992"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2274"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09" w:type="dxa"/>
            <w:vAlign w:val="top"/>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81"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13"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9"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43"/>
        </w:trPr>
        <w:tc>
          <w:tcPr>
            <w:tcW w:w="992"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2274"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09" w:type="dxa"/>
            <w:vAlign w:val="top"/>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81"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13"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9"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43"/>
        </w:trPr>
        <w:tc>
          <w:tcPr>
            <w:tcW w:w="992"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2274"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09" w:type="dxa"/>
            <w:vAlign w:val="top"/>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81"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13"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9"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43"/>
        </w:trPr>
        <w:tc>
          <w:tcPr>
            <w:tcW w:w="992"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2274"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09" w:type="dxa"/>
            <w:vAlign w:val="top"/>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81"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13"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9"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43"/>
        </w:trPr>
        <w:tc>
          <w:tcPr>
            <w:tcW w:w="992"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W w:w="2274"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09" w:type="dxa"/>
            <w:vAlign w:val="top"/>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81"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13"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9"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43"/>
        </w:trPr>
        <w:tc>
          <w:tcPr>
            <w:tcW w:w="992"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74"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09" w:type="dxa"/>
            <w:vAlign w:val="top"/>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81"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13"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9"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43"/>
        </w:trPr>
        <w:tc>
          <w:tcPr>
            <w:tcW w:w="992"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74"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09" w:type="dxa"/>
            <w:vAlign w:val="top"/>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81"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13"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9"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518"/>
        </w:trPr>
        <w:tc>
          <w:tcPr>
            <w:gridSpan w:val="2"/>
            <w:tcW w:w="3266"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合计总报价</w:t>
            </w:r>
            <w:r>
              <w:rPr>
                <w:rFonts w:hint="eastAsia" w:ascii="仿宋" w:hAnsi="仿宋" w:eastAsia="仿宋" w:cs="仿宋"/>
                <w:color w:val="000000"/>
                <w:sz w:val="24"/>
                <w:szCs w:val="24"/>
                <w:highlight w:val="none"/>
              </w:rPr>
            </w:r>
            <w:r/>
          </w:p>
        </w:tc>
        <w:tc>
          <w:tcPr>
            <w:gridSpan w:val="4"/>
            <w:tcW w:w="6592" w:type="dxa"/>
            <w:vAlign w:val="top"/>
            <w:textDirection w:val="lrTb"/>
            <w:noWrap w:val="false"/>
          </w:tcPr>
          <w:p>
            <w:pPr>
              <w:pStyle w:val="953"/>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人民币（小写）       元</w:t>
            </w:r>
            <w:r>
              <w:rPr>
                <w:rFonts w:hint="eastAsia" w:ascii="仿宋" w:hAnsi="仿宋" w:eastAsia="仿宋" w:cs="仿宋"/>
                <w:color w:val="000000"/>
                <w:sz w:val="24"/>
                <w:szCs w:val="24"/>
                <w:highlight w:val="none"/>
              </w:rPr>
            </w:r>
            <w:r/>
          </w:p>
        </w:tc>
      </w:tr>
      <w:tr>
        <w:trPr>
          <w:cantSplit/>
          <w:trHeight w:val="518"/>
        </w:trPr>
        <w:tc>
          <w:tcPr>
            <w:gridSpan w:val="2"/>
            <w:tcW w:w="3266"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服务期限</w:t>
            </w:r>
            <w:r>
              <w:rPr>
                <w:rFonts w:hint="eastAsia" w:ascii="仿宋" w:hAnsi="仿宋" w:eastAsia="仿宋" w:cs="仿宋"/>
                <w:color w:val="000000"/>
                <w:sz w:val="24"/>
                <w:szCs w:val="24"/>
                <w:highlight w:val="none"/>
              </w:rPr>
            </w:r>
            <w:r/>
          </w:p>
        </w:tc>
        <w:tc>
          <w:tcPr>
            <w:gridSpan w:val="4"/>
            <w:tcW w:w="6592" w:type="dxa"/>
            <w:vAlign w:val="center"/>
            <w:textDirection w:val="lrTb"/>
            <w:noWrap w:val="false"/>
          </w:tcPr>
          <w:p>
            <w:pPr>
              <w:pStyle w:val="953"/>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953"/>
        <w:ind w:right="-200"/>
        <w:jc w:val="righ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53"/>
        <w:ind w:right="-200"/>
        <w:jc w:val="righ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53"/>
        <w:ind w:right="-200"/>
        <w:jc w:val="righ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53"/>
        <w:ind w:right="-200"/>
        <w:jc w:val="righ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53"/>
        <w:ind w:right="-200"/>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供应商名称：（公章）</w:t>
      </w: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953"/>
        <w:ind w:firstLine="210"/>
        <w:jc w:val="righ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法定代表人或</w:t>
      </w:r>
      <w:r>
        <w:rPr>
          <w:rFonts w:hint="eastAsia" w:ascii="仿宋" w:hAnsi="仿宋" w:eastAsia="仿宋" w:cs="仿宋"/>
          <w:color w:val="000000"/>
          <w:sz w:val="24"/>
          <w:szCs w:val="24"/>
          <w:highlight w:val="none"/>
        </w:rPr>
        <w:t xml:space="preserve">被授权</w:t>
      </w:r>
      <w:r>
        <w:rPr>
          <w:rFonts w:hint="eastAsia" w:ascii="仿宋" w:hAnsi="仿宋" w:eastAsia="仿宋" w:cs="仿宋"/>
          <w:color w:val="000000"/>
          <w:sz w:val="24"/>
          <w:szCs w:val="24"/>
          <w:highlight w:val="none"/>
          <w:lang w:val="zh-CN"/>
        </w:rPr>
        <w:t xml:space="preserve">人：（签字或盖章）</w:t>
      </w:r>
      <w:r>
        <w:rPr>
          <w:rFonts w:hint="eastAsia" w:ascii="仿宋" w:hAnsi="仿宋" w:eastAsia="仿宋" w:cs="仿宋"/>
          <w:color w:val="000000"/>
          <w:sz w:val="24"/>
          <w:szCs w:val="24"/>
          <w:highlight w:val="none"/>
          <w:lang w:val="zh-CN"/>
        </w:rPr>
      </w:r>
      <w:r/>
    </w:p>
    <w:p>
      <w:pPr>
        <w:pStyle w:val="953"/>
        <w:ind w:right="615" w:firstLine="840"/>
        <w:jc w:val="right"/>
        <w:spacing w:line="4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953"/>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53"/>
        <w:spacing w:line="360" w:lineRule="auto"/>
        <w:tabs>
          <w:tab w:val="left" w:pos="132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仿宋" w:hAnsi="仿宋" w:eastAsia="仿宋" w:cs="仿宋"/>
          <w:color w:val="000000"/>
          <w:sz w:val="24"/>
          <w:szCs w:val="24"/>
          <w:highlight w:val="none"/>
        </w:rPr>
      </w:r>
      <w:r/>
    </w:p>
    <w:p>
      <w:pPr>
        <w:pStyle w:val="953"/>
        <w:spacing w:line="360" w:lineRule="auto"/>
        <w:tabs>
          <w:tab w:val="left" w:pos="132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2.磋商报价分析表包含响应单位各项成本核算和投入的成本明细，合计金额应与开标一览表金额一致；否则，以开标一览表为准。</w:t>
      </w:r>
      <w:r>
        <w:rPr>
          <w:rFonts w:hint="eastAsia" w:ascii="仿宋" w:hAnsi="仿宋" w:eastAsia="仿宋" w:cs="仿宋"/>
          <w:color w:val="000000"/>
          <w:sz w:val="24"/>
          <w:szCs w:val="24"/>
          <w:highlight w:val="none"/>
        </w:rPr>
      </w:r>
      <w:r/>
    </w:p>
    <w:p>
      <w:pPr>
        <w:pStyle w:val="953"/>
        <w:spacing w:line="360" w:lineRule="auto"/>
        <w:tabs>
          <w:tab w:val="left" w:pos="1320" w:leader="none"/>
        </w:tabs>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3</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若事</w:t>
      </w:r>
      <w:r>
        <w:rPr>
          <w:rFonts w:hint="eastAsia" w:ascii="仿宋" w:hAnsi="仿宋" w:eastAsia="仿宋" w:cs="仿宋"/>
          <w:color w:val="000000"/>
          <w:sz w:val="24"/>
          <w:szCs w:val="24"/>
          <w:highlight w:val="none"/>
        </w:rPr>
        <w:t xml:space="preserve">项较多，供应商可根据实际情况另纸说明。</w:t>
      </w:r>
      <w:r>
        <w:rPr>
          <w:rFonts w:hint="eastAsia" w:ascii="仿宋" w:hAnsi="仿宋" w:eastAsia="仿宋" w:cs="仿宋"/>
          <w:color w:val="000000"/>
          <w:sz w:val="24"/>
          <w:szCs w:val="24"/>
          <w:highlight w:val="none"/>
        </w:rPr>
      </w:r>
      <w:r/>
    </w:p>
    <w:p>
      <w:pPr>
        <w:pStyle w:val="953"/>
        <w:spacing w:line="360" w:lineRule="auto"/>
        <w:tabs>
          <w:tab w:val="left" w:pos="1320"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t xml:space="preserve">附件6.法定代表人授权委托书</w:t>
      </w:r>
      <w:r>
        <w:rPr>
          <w:rFonts w:hint="eastAsia" w:ascii="仿宋" w:hAnsi="仿宋" w:eastAsia="仿宋" w:cs="仿宋"/>
          <w:b/>
          <w:color w:val="000000"/>
          <w:sz w:val="24"/>
          <w:szCs w:val="24"/>
          <w:highlight w:val="none"/>
        </w:rPr>
      </w:r>
      <w:r/>
    </w:p>
    <w:p>
      <w:pPr>
        <w:pStyle w:val="953"/>
        <w:ind w:firstLine="3584"/>
        <w:spacing w:before="100" w:beforeAutospacing="1" w:after="100" w:afterAutospacing="1" w:line="48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法定代表人授权委托书</w:t>
      </w:r>
      <w:r>
        <w:rPr>
          <w:rFonts w:hint="eastAsia" w:ascii="仿宋" w:hAnsi="仿宋" w:eastAsia="仿宋" w:cs="仿宋"/>
          <w:b/>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本授权委托书声明：  我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（姓名）系</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供应商名称）的法定代表人，现授权委托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（姓名）为我公司授权代表（即代理人），以本公司的名义参</w:t>
      </w:r>
      <w:r>
        <w:rPr>
          <w:rFonts w:hint="eastAsia" w:ascii="仿宋" w:hAnsi="仿宋" w:eastAsia="仿宋" w:cs="仿宋"/>
          <w:color w:val="000000"/>
          <w:sz w:val="24"/>
          <w:szCs w:val="24"/>
          <w:highlight w:val="none"/>
          <w:u w:val="single"/>
        </w:rPr>
        <w:t xml:space="preserve">加苏州恒中造价师事务所有限责任公司</w:t>
      </w:r>
      <w:r>
        <w:rPr>
          <w:rFonts w:hint="eastAsia" w:ascii="仿宋" w:hAnsi="仿宋" w:eastAsia="仿宋" w:cs="仿宋"/>
          <w:color w:val="000000"/>
          <w:sz w:val="24"/>
          <w:szCs w:val="24"/>
          <w:highlight w:val="none"/>
        </w:rPr>
        <w:t xml:space="preserve">组织实施的编号为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号（项目编号）的竞争性磋商活动。代理人在磋商活动过程中所签署的一切文件和处理与这有关的一切事务，我均予以承认。</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代理人在授权委托书有效期内签署的所有文件不因授权委托的撤销而失效，除非有撤销授权委托的书面通知，本授权委托书自磋商活动开始至合同履行完毕止。</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代理人无转委托权。特此委托。</w:t>
      </w:r>
      <w:r>
        <w:rPr>
          <w:rFonts w:hint="eastAsia" w:ascii="仿宋" w:hAnsi="仿宋" w:eastAsia="仿宋" w:cs="仿宋"/>
          <w:color w:val="000000"/>
          <w:sz w:val="24"/>
          <w:szCs w:val="24"/>
          <w:highlight w:val="none"/>
        </w:rPr>
      </w:r>
      <w:r/>
    </w:p>
    <w:p>
      <w:pPr>
        <w:pStyle w:val="953"/>
        <w:ind w:right="420" w:firstLine="315"/>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53"/>
        <w:ind w:right="420" w:firstLine="315"/>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53"/>
        <w:ind w:right="420" w:firstLine="315"/>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法定代表人：（签字或盖章）</w:t>
      </w:r>
      <w:r>
        <w:rPr>
          <w:rFonts w:hint="eastAsia" w:ascii="仿宋" w:hAnsi="仿宋" w:eastAsia="仿宋" w:cs="仿宋"/>
          <w:color w:val="000000"/>
          <w:sz w:val="24"/>
          <w:szCs w:val="24"/>
          <w:highlight w:val="none"/>
          <w:lang w:val="zh-CN"/>
        </w:rPr>
      </w:r>
      <w:r/>
    </w:p>
    <w:p>
      <w:pPr>
        <w:pStyle w:val="953"/>
        <w:ind w:right="90" w:firstLine="840"/>
        <w:jc w:val="right"/>
        <w:spacing w:line="4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953"/>
        <w:ind w:right="615"/>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br w:type="page" w:clear="all"/>
      </w:r>
      <w:bookmarkStart w:id="35" w:name="_Toc7945"/>
      <w:r/>
      <w:bookmarkStart w:id="36" w:name="_Toc241"/>
      <w:r>
        <w:rPr>
          <w:rFonts w:hint="eastAsia" w:ascii="仿宋" w:hAnsi="仿宋" w:eastAsia="仿宋" w:cs="仿宋"/>
          <w:b/>
          <w:color w:val="000000"/>
          <w:sz w:val="24"/>
          <w:szCs w:val="24"/>
          <w:highlight w:val="none"/>
        </w:rPr>
        <w:t xml:space="preserve">附件7.偏离表</w:t>
      </w:r>
      <w:r>
        <w:rPr>
          <w:rFonts w:hint="eastAsia" w:ascii="仿宋" w:hAnsi="仿宋" w:eastAsia="仿宋" w:cs="仿宋"/>
          <w:color w:val="000000"/>
          <w:sz w:val="24"/>
          <w:szCs w:val="24"/>
          <w:highlight w:val="none"/>
        </w:rPr>
      </w:r>
      <w:r/>
    </w:p>
    <w:p>
      <w:pPr>
        <w:pStyle w:val="953"/>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53"/>
        <w:jc w:val="center"/>
        <w:spacing w:line="48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偏离表（技术、商务）</w:t>
      </w:r>
      <w:r>
        <w:rPr>
          <w:rFonts w:hint="eastAsia" w:ascii="仿宋" w:hAnsi="仿宋" w:eastAsia="仿宋" w:cs="仿宋"/>
          <w:b/>
          <w:color w:val="000000"/>
          <w:sz w:val="24"/>
          <w:szCs w:val="24"/>
          <w:highlight w:val="none"/>
        </w:rPr>
      </w:r>
      <w:r/>
    </w:p>
    <w:p>
      <w:pPr>
        <w:pStyle w:val="104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bl>
      <w:tblPr>
        <w:tblW w:w="5168" w:type="pct"/>
        <w:tblInd w:w="-3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1"/>
        <w:gridCol w:w="1565"/>
        <w:gridCol w:w="1704"/>
        <w:gridCol w:w="1828"/>
        <w:gridCol w:w="1581"/>
        <w:gridCol w:w="1219"/>
      </w:tblGrid>
      <w:tr>
        <w:trPr>
          <w:trHeight w:val="760"/>
        </w:trPr>
        <w:tc>
          <w:tcPr>
            <w:tcW w:w="517"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888"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w:t>
            </w:r>
            <w:r>
              <w:rPr>
                <w:rFonts w:hint="eastAsia" w:ascii="仿宋" w:hAnsi="仿宋" w:eastAsia="仿宋" w:cs="仿宋"/>
                <w:color w:val="000000"/>
                <w:sz w:val="24"/>
                <w:szCs w:val="24"/>
                <w:highlight w:val="none"/>
              </w:rPr>
            </w:r>
            <w:r/>
          </w:p>
        </w:tc>
        <w:tc>
          <w:tcPr>
            <w:tcW w:w="967"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采购要求</w:t>
            </w:r>
            <w:r>
              <w:rPr>
                <w:rFonts w:hint="eastAsia" w:ascii="仿宋" w:hAnsi="仿宋" w:eastAsia="仿宋" w:cs="仿宋"/>
                <w:color w:val="000000"/>
                <w:sz w:val="24"/>
                <w:szCs w:val="24"/>
                <w:highlight w:val="none"/>
              </w:rPr>
            </w:r>
            <w:r/>
          </w:p>
        </w:tc>
        <w:tc>
          <w:tcPr>
            <w:tcW w:w="1037"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响应情况</w:t>
            </w:r>
            <w:r>
              <w:rPr>
                <w:rFonts w:hint="eastAsia" w:ascii="仿宋" w:hAnsi="仿宋" w:eastAsia="仿宋" w:cs="仿宋"/>
                <w:color w:val="000000"/>
                <w:sz w:val="24"/>
                <w:szCs w:val="24"/>
                <w:highlight w:val="none"/>
              </w:rPr>
            </w:r>
            <w:r/>
          </w:p>
        </w:tc>
        <w:tc>
          <w:tcPr>
            <w:tcW w:w="897"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偏离说明</w:t>
            </w:r>
            <w:r>
              <w:rPr>
                <w:rFonts w:hint="eastAsia" w:ascii="仿宋" w:hAnsi="仿宋" w:eastAsia="仿宋" w:cs="仿宋"/>
                <w:color w:val="000000"/>
                <w:sz w:val="24"/>
                <w:szCs w:val="24"/>
                <w:highlight w:val="none"/>
              </w:rPr>
            </w:r>
            <w:r/>
          </w:p>
        </w:tc>
        <w:tc>
          <w:tcPr>
            <w:tcW w:w="691"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证明材料</w:t>
            </w:r>
            <w:r>
              <w:rPr>
                <w:rFonts w:hint="eastAsia" w:ascii="仿宋" w:hAnsi="仿宋" w:eastAsia="仿宋" w:cs="仿宋"/>
                <w:color w:val="000000"/>
                <w:sz w:val="24"/>
                <w:szCs w:val="24"/>
                <w:highlight w:val="none"/>
              </w:rPr>
            </w:r>
            <w:r/>
          </w:p>
        </w:tc>
      </w:tr>
      <w:tr>
        <w:trPr>
          <w:cantSplit/>
          <w:trHeight w:val="495"/>
        </w:trPr>
        <w:tc>
          <w:tcPr>
            <w:tcW w:w="517"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8"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67"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7"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7"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1" w:type="dxa"/>
            <w:vAlign w:val="top"/>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95"/>
        </w:trPr>
        <w:tc>
          <w:tcPr>
            <w:tcW w:w="517"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8"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67"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7"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7"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1" w:type="dxa"/>
            <w:vAlign w:val="top"/>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95"/>
        </w:trPr>
        <w:tc>
          <w:tcPr>
            <w:tcW w:w="517"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8"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67"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7"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7"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1" w:type="dxa"/>
            <w:vAlign w:val="top"/>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95"/>
        </w:trPr>
        <w:tc>
          <w:tcPr>
            <w:tcW w:w="517"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8"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67"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7"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7"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1" w:type="dxa"/>
            <w:vAlign w:val="top"/>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95"/>
        </w:trPr>
        <w:tc>
          <w:tcPr>
            <w:tcW w:w="517" w:type="dxa"/>
            <w:vAlign w:val="top"/>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8"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67"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7"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7"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1" w:type="dxa"/>
            <w:vAlign w:val="top"/>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95"/>
        </w:trPr>
        <w:tc>
          <w:tcPr>
            <w:tcW w:w="517" w:type="dxa"/>
            <w:vAlign w:val="top"/>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8"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67"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7"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7"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1" w:type="dxa"/>
            <w:vAlign w:val="top"/>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95"/>
        </w:trPr>
        <w:tc>
          <w:tcPr>
            <w:tcW w:w="517" w:type="dxa"/>
            <w:vAlign w:val="top"/>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8"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67"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7"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7"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1" w:type="dxa"/>
            <w:vAlign w:val="top"/>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95"/>
        </w:trPr>
        <w:tc>
          <w:tcPr>
            <w:tcW w:w="517" w:type="dxa"/>
            <w:vAlign w:val="top"/>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8"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67"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7"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7"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1" w:type="dxa"/>
            <w:vAlign w:val="top"/>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95"/>
        </w:trPr>
        <w:tc>
          <w:tcPr>
            <w:tcW w:w="517" w:type="dxa"/>
            <w:vAlign w:val="top"/>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8"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67"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7"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7"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1" w:type="dxa"/>
            <w:vAlign w:val="top"/>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953"/>
        <w:jc w:val="left"/>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53"/>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53"/>
        <w:ind w:right="-200"/>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供应商名称：（公章）</w:t>
      </w: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953"/>
        <w:ind w:firstLine="210"/>
        <w:jc w:val="righ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法定代表人或</w:t>
      </w:r>
      <w:r>
        <w:rPr>
          <w:rFonts w:hint="eastAsia" w:ascii="仿宋" w:hAnsi="仿宋" w:eastAsia="仿宋" w:cs="仿宋"/>
          <w:color w:val="000000"/>
          <w:sz w:val="24"/>
          <w:szCs w:val="24"/>
          <w:highlight w:val="none"/>
        </w:rPr>
        <w:t xml:space="preserve">被授权</w:t>
      </w:r>
      <w:r>
        <w:rPr>
          <w:rFonts w:hint="eastAsia" w:ascii="仿宋" w:hAnsi="仿宋" w:eastAsia="仿宋" w:cs="仿宋"/>
          <w:color w:val="000000"/>
          <w:sz w:val="24"/>
          <w:szCs w:val="24"/>
          <w:highlight w:val="none"/>
          <w:lang w:val="zh-CN"/>
        </w:rPr>
        <w:t xml:space="preserve">人：（签字或盖章）</w:t>
      </w:r>
      <w:r>
        <w:rPr>
          <w:rFonts w:hint="eastAsia" w:ascii="仿宋" w:hAnsi="仿宋" w:eastAsia="仿宋" w:cs="仿宋"/>
          <w:color w:val="000000"/>
          <w:sz w:val="24"/>
          <w:szCs w:val="24"/>
          <w:highlight w:val="none"/>
          <w:lang w:val="zh-CN"/>
        </w:rPr>
      </w:r>
      <w:r/>
    </w:p>
    <w:p>
      <w:pPr>
        <w:pStyle w:val="953"/>
        <w:ind w:right="615" w:firstLine="840"/>
        <w:jc w:val="right"/>
        <w:spacing w:line="4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953"/>
        <w:ind w:right="480"/>
        <w:jc w:val="right"/>
        <w:spacing w:line="4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953"/>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注：1.供应商应在本表中对照磋商采购文件要求逐项对应列出响应内容，并在“偏离说明”项下填写以下内容：优于的，填写“正偏离”；符合的，填写“无偏离”；低于的，填写“负偏离”。</w:t>
      </w:r>
      <w:r>
        <w:rPr>
          <w:rFonts w:hint="eastAsia" w:ascii="仿宋" w:hAnsi="仿宋" w:eastAsia="仿宋" w:cs="仿宋"/>
          <w:color w:val="000000"/>
          <w:sz w:val="24"/>
          <w:szCs w:val="24"/>
          <w:highlight w:val="none"/>
        </w:rPr>
      </w:r>
      <w:r/>
    </w:p>
    <w:p>
      <w:pPr>
        <w:pStyle w:val="953"/>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2.若事项较多，供应商可根据实际情况另纸说明。</w:t>
      </w:r>
      <w:r>
        <w:rPr>
          <w:rFonts w:hint="eastAsia" w:ascii="仿宋" w:hAnsi="仿宋" w:eastAsia="仿宋" w:cs="仿宋"/>
          <w:color w:val="000000"/>
          <w:sz w:val="24"/>
          <w:szCs w:val="24"/>
          <w:highlight w:val="none"/>
        </w:rPr>
      </w:r>
      <w:r/>
    </w:p>
    <w:p>
      <w:pPr>
        <w:pStyle w:val="953"/>
        <w:ind w:firstLine="420"/>
        <w:jc w:val="lef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953"/>
        <w:ind w:firstLine="420"/>
        <w:jc w:val="lef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53"/>
        <w:ind w:firstLine="420"/>
        <w:jc w:val="lef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53"/>
        <w:ind w:firstLine="420"/>
        <w:jc w:val="left"/>
        <w:spacing w:line="360" w:lineRule="auto"/>
        <w:rPr>
          <w:color w:val="000000"/>
          <w:szCs w:val="21"/>
          <w:highlight w:val="none"/>
          <w:lang w:val="zh-CN"/>
        </w:rPr>
      </w:pPr>
      <w:r>
        <w:rPr>
          <w:color w:val="000000"/>
          <w:szCs w:val="21"/>
          <w:highlight w:val="none"/>
          <w:lang w:val="zh-CN"/>
        </w:rPr>
      </w:r>
      <w:r/>
    </w:p>
    <w:p>
      <w:pPr>
        <w:pStyle w:val="1040"/>
        <w:rPr>
          <w:color w:val="000000"/>
          <w:highlight w:val="none"/>
          <w:lang w:val="zh-CN"/>
        </w:rPr>
      </w:pPr>
      <w:r>
        <w:rPr>
          <w:color w:val="000000"/>
          <w:highlight w:val="none"/>
          <w:lang w:val="zh-CN"/>
        </w:rPr>
      </w:r>
      <w:r/>
    </w:p>
    <w:p>
      <w:pPr>
        <w:pStyle w:val="1040"/>
        <w:rPr>
          <w:color w:val="000000"/>
          <w:highlight w:val="none"/>
          <w:lang w:val="zh-CN"/>
        </w:rPr>
      </w:pPr>
      <w:r>
        <w:rPr>
          <w:color w:val="000000"/>
          <w:highlight w:val="none"/>
          <w:lang w:val="zh-CN"/>
        </w:rPr>
      </w:r>
      <w:r/>
    </w:p>
    <w:p>
      <w:pPr>
        <w:pStyle w:val="953"/>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附件8.</w:t>
      </w:r>
      <w:r>
        <w:rPr>
          <w:rFonts w:hint="eastAsia" w:ascii="仿宋" w:hAnsi="仿宋" w:eastAsia="仿宋" w:cs="仿宋"/>
          <w:color w:val="000000"/>
          <w:sz w:val="24"/>
          <w:szCs w:val="24"/>
          <w:highlight w:val="none"/>
        </w:rPr>
        <w:t xml:space="preserve"> </w:t>
      </w:r>
      <w:r>
        <w:rPr>
          <w:rFonts w:hint="eastAsia" w:ascii="仿宋" w:hAnsi="仿宋" w:eastAsia="仿宋" w:cs="仿宋"/>
          <w:b/>
          <w:color w:val="000000"/>
          <w:sz w:val="24"/>
          <w:szCs w:val="24"/>
          <w:highlight w:val="none"/>
        </w:rPr>
        <w:t xml:space="preserve">项目服务人员配置表（参考格式）</w:t>
      </w:r>
      <w:r>
        <w:rPr>
          <w:rFonts w:hint="eastAsia" w:ascii="仿宋" w:hAnsi="仿宋" w:eastAsia="仿宋" w:cs="仿宋"/>
          <w:b/>
          <w:color w:val="000000"/>
          <w:sz w:val="24"/>
          <w:szCs w:val="24"/>
          <w:highlight w:val="none"/>
        </w:rPr>
      </w:r>
      <w:r/>
    </w:p>
    <w:p>
      <w:pPr>
        <w:pStyle w:val="953"/>
        <w:jc w:val="center"/>
        <w:keepLines w:val="0"/>
        <w:keepNext w:val="0"/>
        <w:pageBreakBefore w:val="0"/>
        <w:spacing w:before="181" w:after="181" w:line="400" w:lineRule="exact"/>
        <w:widowControl w:val="off"/>
        <w:rPr>
          <w:rFonts w:hint="eastAsia" w:ascii="仿宋" w:hAnsi="仿宋" w:eastAsia="仿宋" w:cs="仿宋"/>
          <w:b/>
          <w:bCs/>
          <w:color w:val="000000"/>
          <w:spacing w:val="20"/>
          <w:sz w:val="24"/>
          <w:szCs w:val="24"/>
          <w:highlight w:val="none"/>
        </w:rPr>
      </w:pPr>
      <w:r>
        <w:rPr>
          <w:rFonts w:hint="eastAsia" w:ascii="仿宋" w:hAnsi="仿宋" w:eastAsia="仿宋" w:cs="仿宋"/>
          <w:b/>
          <w:bCs/>
          <w:color w:val="000000"/>
          <w:spacing w:val="20"/>
          <w:sz w:val="24"/>
          <w:szCs w:val="24"/>
          <w:highlight w:val="none"/>
        </w:rPr>
        <w:t xml:space="preserve">项目服务人员配置表</w:t>
      </w:r>
      <w:r>
        <w:rPr>
          <w:rFonts w:hint="eastAsia" w:ascii="仿宋" w:hAnsi="仿宋" w:eastAsia="仿宋" w:cs="仿宋"/>
          <w:b/>
          <w:bCs/>
          <w:color w:val="000000"/>
          <w:spacing w:val="20"/>
          <w:sz w:val="24"/>
          <w:szCs w:val="24"/>
          <w:highlight w:val="none"/>
        </w:rPr>
      </w:r>
      <w:r/>
    </w:p>
    <w:tbl>
      <w:tblPr>
        <w:tblW w:w="511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127"/>
        <w:gridCol w:w="1235"/>
        <w:gridCol w:w="1346"/>
        <w:gridCol w:w="1235"/>
        <w:gridCol w:w="959"/>
        <w:gridCol w:w="959"/>
        <w:gridCol w:w="1153"/>
      </w:tblGrid>
      <w:tr>
        <w:trPr>
          <w:trHeight w:val="760"/>
        </w:trPr>
        <w:tc>
          <w:tcPr>
            <w:tcW w:w="401" w:type="dxa"/>
            <w:vAlign w:val="center"/>
            <w:textDirection w:val="lrTb"/>
            <w:noWrap w:val="false"/>
          </w:tcPr>
          <w:p>
            <w:pPr>
              <w:pStyle w:val="953"/>
              <w:ind w:left="0"/>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rPr>
                <w:rFonts w:hint="eastAsia" w:ascii="仿宋" w:hAnsi="仿宋" w:eastAsia="仿宋" w:cs="仿宋"/>
                <w:sz w:val="24"/>
                <w:szCs w:val="24"/>
                <w:highlight w:val="none"/>
              </w:rPr>
            </w:r>
            <w:r/>
          </w:p>
        </w:tc>
        <w:tc>
          <w:tcPr>
            <w:tcW w:w="646" w:type="dxa"/>
            <w:vAlign w:val="center"/>
            <w:textDirection w:val="lrTb"/>
            <w:noWrap w:val="false"/>
          </w:tcPr>
          <w:p>
            <w:pPr>
              <w:pStyle w:val="953"/>
              <w:ind w:left="0"/>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姓名</w:t>
            </w:r>
            <w:r>
              <w:rPr>
                <w:rFonts w:hint="eastAsia" w:ascii="仿宋" w:hAnsi="仿宋" w:eastAsia="仿宋" w:cs="仿宋"/>
                <w:sz w:val="24"/>
                <w:szCs w:val="24"/>
                <w:highlight w:val="none"/>
              </w:rPr>
            </w:r>
            <w:r/>
          </w:p>
        </w:tc>
        <w:tc>
          <w:tcPr>
            <w:tcW w:w="708" w:type="dxa"/>
            <w:vAlign w:val="center"/>
            <w:textDirection w:val="lrTb"/>
            <w:noWrap w:val="false"/>
          </w:tcPr>
          <w:p>
            <w:pPr>
              <w:pStyle w:val="953"/>
              <w:ind w:left="0"/>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性别</w:t>
            </w:r>
            <w:r>
              <w:rPr>
                <w:rFonts w:hint="eastAsia" w:ascii="仿宋" w:hAnsi="仿宋" w:eastAsia="仿宋" w:cs="仿宋"/>
                <w:sz w:val="24"/>
                <w:szCs w:val="24"/>
                <w:highlight w:val="none"/>
              </w:rPr>
            </w:r>
            <w:r/>
          </w:p>
        </w:tc>
        <w:tc>
          <w:tcPr>
            <w:tcW w:w="772" w:type="dxa"/>
            <w:vAlign w:val="center"/>
            <w:textDirection w:val="lrTb"/>
            <w:noWrap w:val="false"/>
          </w:tcPr>
          <w:p>
            <w:pPr>
              <w:pStyle w:val="953"/>
              <w:ind w:left="0"/>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年龄</w:t>
            </w:r>
            <w:r>
              <w:rPr>
                <w:rFonts w:hint="eastAsia" w:ascii="仿宋" w:hAnsi="仿宋" w:eastAsia="仿宋" w:cs="仿宋"/>
                <w:sz w:val="24"/>
                <w:szCs w:val="24"/>
                <w:highlight w:val="none"/>
              </w:rPr>
            </w:r>
            <w:r/>
          </w:p>
        </w:tc>
        <w:tc>
          <w:tcPr>
            <w:tcW w:w="708" w:type="dxa"/>
            <w:vAlign w:val="center"/>
            <w:textDirection w:val="lrTb"/>
            <w:noWrap w:val="false"/>
          </w:tcPr>
          <w:p>
            <w:pPr>
              <w:pStyle w:val="953"/>
              <w:ind w:left="0"/>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学历</w:t>
            </w:r>
            <w:r>
              <w:rPr>
                <w:rFonts w:hint="eastAsia" w:ascii="仿宋" w:hAnsi="仿宋" w:eastAsia="仿宋" w:cs="仿宋"/>
                <w:sz w:val="24"/>
                <w:szCs w:val="24"/>
                <w:highlight w:val="none"/>
              </w:rPr>
            </w:r>
            <w:r/>
          </w:p>
        </w:tc>
        <w:tc>
          <w:tcPr>
            <w:tcW w:w="550" w:type="dxa"/>
            <w:vAlign w:val="center"/>
            <w:textDirection w:val="lrTb"/>
            <w:noWrap w:val="false"/>
          </w:tcPr>
          <w:p>
            <w:pPr>
              <w:pStyle w:val="953"/>
              <w:ind w:left="0"/>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职称</w:t>
            </w:r>
            <w:r>
              <w:rPr>
                <w:rFonts w:hint="eastAsia" w:ascii="仿宋" w:hAnsi="仿宋" w:eastAsia="仿宋" w:cs="仿宋"/>
                <w:sz w:val="24"/>
                <w:szCs w:val="24"/>
                <w:highlight w:val="none"/>
              </w:rPr>
            </w:r>
            <w:r/>
          </w:p>
        </w:tc>
        <w:tc>
          <w:tcPr>
            <w:tcW w:w="550" w:type="dxa"/>
            <w:vAlign w:val="center"/>
            <w:textDirection w:val="lrTb"/>
            <w:noWrap w:val="false"/>
          </w:tcPr>
          <w:p>
            <w:pPr>
              <w:pStyle w:val="953"/>
              <w:ind w:left="0"/>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项目业绩经验</w:t>
            </w:r>
            <w:r>
              <w:rPr>
                <w:rFonts w:hint="eastAsia" w:ascii="仿宋" w:hAnsi="仿宋" w:eastAsia="仿宋" w:cs="仿宋"/>
                <w:sz w:val="24"/>
                <w:szCs w:val="24"/>
                <w:highlight w:val="none"/>
              </w:rPr>
            </w:r>
            <w:r/>
          </w:p>
        </w:tc>
        <w:tc>
          <w:tcPr>
            <w:tcW w:w="661" w:type="dxa"/>
            <w:vAlign w:val="top"/>
            <w:textDirection w:val="lrTb"/>
            <w:noWrap w:val="false"/>
          </w:tcPr>
          <w:p>
            <w:pPr>
              <w:pStyle w:val="953"/>
              <w:ind w:left="0"/>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是否为固定组成员（打★）</w:t>
            </w:r>
            <w:r>
              <w:rPr>
                <w:rFonts w:hint="eastAsia" w:ascii="仿宋" w:hAnsi="仿宋" w:eastAsia="仿宋" w:cs="仿宋"/>
                <w:sz w:val="24"/>
                <w:szCs w:val="24"/>
                <w:highlight w:val="none"/>
              </w:rPr>
            </w:r>
            <w:r/>
          </w:p>
        </w:tc>
      </w:tr>
      <w:tr>
        <w:trPr>
          <w:cantSplit/>
          <w:trHeight w:val="495"/>
        </w:trPr>
        <w:tc>
          <w:tcPr>
            <w:tcW w:w="401"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W w:w="646"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72"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top"/>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1" w:type="dxa"/>
            <w:vAlign w:val="top"/>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95"/>
        </w:trPr>
        <w:tc>
          <w:tcPr>
            <w:tcW w:w="401"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rPr>
            </w:r>
            <w:r/>
          </w:p>
        </w:tc>
        <w:tc>
          <w:tcPr>
            <w:tcW w:w="646"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72"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top"/>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1" w:type="dxa"/>
            <w:vAlign w:val="top"/>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95"/>
        </w:trPr>
        <w:tc>
          <w:tcPr>
            <w:tcW w:w="401"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rPr>
            </w:r>
            <w:r/>
          </w:p>
        </w:tc>
        <w:tc>
          <w:tcPr>
            <w:tcW w:w="646"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72"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top"/>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1" w:type="dxa"/>
            <w:vAlign w:val="top"/>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95"/>
        </w:trPr>
        <w:tc>
          <w:tcPr>
            <w:tcW w:w="401"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rPr>
            </w:r>
            <w:r/>
          </w:p>
        </w:tc>
        <w:tc>
          <w:tcPr>
            <w:tcW w:w="646"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72"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top"/>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1" w:type="dxa"/>
            <w:vAlign w:val="top"/>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95"/>
        </w:trPr>
        <w:tc>
          <w:tcPr>
            <w:tcW w:w="401"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rPr>
            </w:r>
            <w:r/>
          </w:p>
        </w:tc>
        <w:tc>
          <w:tcPr>
            <w:tcW w:w="646"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72"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top"/>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1" w:type="dxa"/>
            <w:vAlign w:val="top"/>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90"/>
        </w:trPr>
        <w:tc>
          <w:tcPr>
            <w:tcW w:w="401"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rPr>
            </w:r>
            <w:r/>
          </w:p>
        </w:tc>
        <w:tc>
          <w:tcPr>
            <w:tcW w:w="646"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72"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top"/>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1" w:type="dxa"/>
            <w:vAlign w:val="top"/>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95"/>
        </w:trPr>
        <w:tc>
          <w:tcPr>
            <w:tcW w:w="401"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rPr>
                <w:rFonts w:hint="eastAsia" w:ascii="仿宋" w:hAnsi="仿宋" w:eastAsia="仿宋" w:cs="仿宋"/>
                <w:sz w:val="24"/>
                <w:szCs w:val="24"/>
                <w:highlight w:val="none"/>
              </w:rPr>
            </w:r>
            <w:r/>
          </w:p>
        </w:tc>
        <w:tc>
          <w:tcPr>
            <w:tcW w:w="646"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72"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top"/>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1" w:type="dxa"/>
            <w:vAlign w:val="top"/>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95"/>
        </w:trPr>
        <w:tc>
          <w:tcPr>
            <w:tcW w:w="401"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rPr>
                <w:rFonts w:hint="eastAsia" w:ascii="仿宋" w:hAnsi="仿宋" w:eastAsia="仿宋" w:cs="仿宋"/>
                <w:sz w:val="24"/>
                <w:szCs w:val="24"/>
                <w:highlight w:val="none"/>
              </w:rPr>
            </w:r>
            <w:r/>
          </w:p>
        </w:tc>
        <w:tc>
          <w:tcPr>
            <w:tcW w:w="646"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72"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top"/>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1" w:type="dxa"/>
            <w:vAlign w:val="top"/>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95"/>
        </w:trPr>
        <w:tc>
          <w:tcPr>
            <w:tcW w:w="401"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rPr>
                <w:rFonts w:hint="eastAsia" w:ascii="仿宋" w:hAnsi="仿宋" w:eastAsia="仿宋" w:cs="仿宋"/>
                <w:sz w:val="24"/>
                <w:szCs w:val="24"/>
                <w:highlight w:val="none"/>
              </w:rPr>
            </w:r>
            <w:r/>
          </w:p>
        </w:tc>
        <w:tc>
          <w:tcPr>
            <w:tcW w:w="646"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72"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top"/>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1" w:type="dxa"/>
            <w:vAlign w:val="top"/>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95"/>
        </w:trPr>
        <w:tc>
          <w:tcPr>
            <w:tcW w:w="401"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eastAsia="zh-CN"/>
              </w:rPr>
            </w:r>
            <w:r/>
          </w:p>
        </w:tc>
        <w:tc>
          <w:tcPr>
            <w:tcW w:w="646"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72"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center"/>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top"/>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1" w:type="dxa"/>
            <w:vAlign w:val="top"/>
            <w:textDirection w:val="lrTb"/>
            <w:noWrap w:val="false"/>
          </w:tcPr>
          <w:p>
            <w:pPr>
              <w:pStyle w:val="953"/>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pStyle w:val="953"/>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注：1.若事项较多，供应商可根据实际情况另纸说明。</w:t>
      </w:r>
      <w:r>
        <w:rPr>
          <w:rFonts w:hint="eastAsia" w:ascii="仿宋" w:hAnsi="仿宋" w:eastAsia="仿宋" w:cs="仿宋"/>
          <w:color w:val="000000"/>
          <w:sz w:val="24"/>
          <w:szCs w:val="24"/>
          <w:highlight w:val="none"/>
        </w:rPr>
      </w:r>
      <w:r/>
    </w:p>
    <w:p>
      <w:pPr>
        <w:pStyle w:val="953"/>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2.请将相关证明材料复印件加盖公章后附在本表后面。</w:t>
      </w:r>
      <w:r>
        <w:rPr>
          <w:rFonts w:hint="eastAsia" w:ascii="仿宋" w:hAnsi="仿宋" w:eastAsia="仿宋" w:cs="仿宋"/>
          <w:color w:val="000000"/>
          <w:sz w:val="24"/>
          <w:szCs w:val="24"/>
          <w:highlight w:val="none"/>
        </w:rPr>
      </w:r>
      <w:r/>
    </w:p>
    <w:p>
      <w:pPr>
        <w:pStyle w:val="953"/>
        <w:ind w:right="-200"/>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供应商名称：（公章）</w:t>
      </w: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953"/>
        <w:ind w:firstLine="210"/>
        <w:jc w:val="righ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法定代表人或</w:t>
      </w:r>
      <w:r>
        <w:rPr>
          <w:rFonts w:hint="eastAsia" w:ascii="仿宋" w:hAnsi="仿宋" w:eastAsia="仿宋" w:cs="仿宋"/>
          <w:color w:val="000000"/>
          <w:sz w:val="24"/>
          <w:szCs w:val="24"/>
          <w:highlight w:val="none"/>
        </w:rPr>
        <w:t xml:space="preserve">被授权</w:t>
      </w:r>
      <w:r>
        <w:rPr>
          <w:rFonts w:hint="eastAsia" w:ascii="仿宋" w:hAnsi="仿宋" w:eastAsia="仿宋" w:cs="仿宋"/>
          <w:color w:val="000000"/>
          <w:sz w:val="24"/>
          <w:szCs w:val="24"/>
          <w:highlight w:val="none"/>
          <w:lang w:val="zh-CN"/>
        </w:rPr>
        <w:t xml:space="preserve">人：（签字或盖章）</w:t>
      </w:r>
      <w:r>
        <w:rPr>
          <w:rFonts w:hint="eastAsia" w:ascii="仿宋" w:hAnsi="仿宋" w:eastAsia="仿宋" w:cs="仿宋"/>
          <w:color w:val="000000"/>
          <w:sz w:val="24"/>
          <w:szCs w:val="24"/>
          <w:highlight w:val="none"/>
          <w:lang w:val="zh-CN"/>
        </w:rPr>
      </w:r>
      <w:r/>
    </w:p>
    <w:p>
      <w:pPr>
        <w:pStyle w:val="953"/>
        <w:ind w:right="615" w:firstLine="840"/>
        <w:jc w:val="right"/>
        <w:spacing w:line="4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953"/>
        <w:ind w:left="0" w:firstLine="422"/>
        <w:spacing w:line="360" w:lineRule="auto"/>
        <w:rPr>
          <w:rFonts w:hint="eastAsia" w:ascii="仿宋" w:hAnsi="仿宋" w:eastAsia="仿宋" w:cs="仿宋"/>
          <w:sz w:val="24"/>
          <w:szCs w:val="24"/>
          <w:highlight w:val="none"/>
        </w:rPr>
      </w:pPr>
      <w:r>
        <w:rPr>
          <w:rFonts w:hint="eastAsia" w:ascii="仿宋" w:hAnsi="仿宋" w:eastAsia="仿宋" w:cs="仿宋"/>
          <w:b/>
          <w:color w:val="000000"/>
          <w:sz w:val="24"/>
          <w:szCs w:val="24"/>
          <w:highlight w:val="none"/>
          <w:lang w:val="en-US" w:eastAsia="zh-CN"/>
        </w:rPr>
        <w:t xml:space="preserve">提示：</w:t>
      </w:r>
      <w:r>
        <w:rPr>
          <w:rFonts w:hint="eastAsia" w:ascii="仿宋" w:hAnsi="仿宋" w:eastAsia="仿宋" w:cs="仿宋"/>
          <w:b/>
          <w:color w:val="000000"/>
          <w:sz w:val="24"/>
          <w:szCs w:val="24"/>
          <w:highlight w:val="none"/>
          <w:lang w:val="zh-CN"/>
        </w:rPr>
        <w:t xml:space="preserve">响应单位的响应文件中，需提供拟派项目组人员，</w:t>
      </w:r>
      <w:r>
        <w:rPr>
          <w:rFonts w:hint="eastAsia" w:ascii="仿宋" w:hAnsi="仿宋" w:eastAsia="仿宋" w:cs="仿宋"/>
          <w:b/>
          <w:color w:val="000000"/>
          <w:sz w:val="24"/>
          <w:szCs w:val="24"/>
          <w:highlight w:val="none"/>
          <w:lang w:val="en-US" w:eastAsia="zh-CN"/>
        </w:rPr>
        <w:t xml:space="preserve">采购包1</w:t>
      </w:r>
      <w:r>
        <w:rPr>
          <w:rFonts w:hint="eastAsia" w:ascii="仿宋" w:hAnsi="仿宋" w:eastAsia="仿宋" w:cs="仿宋"/>
          <w:b/>
          <w:color w:val="000000"/>
          <w:sz w:val="24"/>
          <w:szCs w:val="24"/>
          <w:highlight w:val="none"/>
        </w:rPr>
        <w:t xml:space="preserve">的服务项目团队不得低于</w:t>
      </w:r>
      <w:r>
        <w:rPr>
          <w:rFonts w:hint="eastAsia" w:ascii="仿宋" w:hAnsi="仿宋" w:eastAsia="仿宋" w:cs="仿宋"/>
          <w:b/>
          <w:color w:val="000000"/>
          <w:sz w:val="24"/>
          <w:szCs w:val="24"/>
          <w:highlight w:val="none"/>
          <w:lang w:val="en-US" w:eastAsia="zh-CN"/>
        </w:rPr>
        <w:t xml:space="preserve">6</w:t>
      </w:r>
      <w:r>
        <w:rPr>
          <w:rFonts w:hint="eastAsia" w:ascii="仿宋" w:hAnsi="仿宋" w:eastAsia="仿宋" w:cs="仿宋"/>
          <w:b/>
          <w:color w:val="000000"/>
          <w:sz w:val="24"/>
          <w:szCs w:val="24"/>
          <w:highlight w:val="none"/>
        </w:rPr>
        <w:t xml:space="preserve">人，固定服务成员不少于</w:t>
      </w:r>
      <w:r>
        <w:rPr>
          <w:rFonts w:hint="eastAsia" w:ascii="仿宋" w:hAnsi="仿宋" w:eastAsia="仿宋" w:cs="仿宋"/>
          <w:b/>
          <w:color w:val="000000"/>
          <w:sz w:val="24"/>
          <w:szCs w:val="24"/>
          <w:highlight w:val="none"/>
          <w:lang w:val="en-US" w:eastAsia="zh-CN"/>
        </w:rPr>
        <w:t xml:space="preserve">4</w:t>
      </w:r>
      <w:r>
        <w:rPr>
          <w:rFonts w:hint="eastAsia" w:ascii="仿宋" w:hAnsi="仿宋" w:eastAsia="仿宋" w:cs="仿宋"/>
          <w:b/>
          <w:color w:val="000000"/>
          <w:sz w:val="24"/>
          <w:szCs w:val="24"/>
          <w:highlight w:val="none"/>
        </w:rPr>
        <w:t xml:space="preserve">人（固定成员</w:t>
      </w:r>
      <w:r>
        <w:rPr>
          <w:rFonts w:hint="eastAsia" w:ascii="仿宋" w:hAnsi="仿宋" w:eastAsia="仿宋" w:cs="仿宋"/>
          <w:b/>
          <w:sz w:val="24"/>
          <w:szCs w:val="24"/>
          <w:highlight w:val="none"/>
        </w:rPr>
        <w:t xml:space="preserve">须在第三章《项目服务人员配置表》中</w:t>
      </w:r>
      <w:r>
        <w:rPr>
          <w:rFonts w:hint="eastAsia" w:ascii="仿宋" w:hAnsi="仿宋" w:eastAsia="仿宋" w:cs="仿宋"/>
          <w:b/>
          <w:color w:val="000000"/>
          <w:sz w:val="24"/>
          <w:szCs w:val="24"/>
          <w:highlight w:val="none"/>
        </w:rPr>
        <w:t xml:space="preserve">打★）；</w:t>
      </w:r>
      <w:r>
        <w:rPr>
          <w:rFonts w:hint="eastAsia" w:ascii="仿宋" w:hAnsi="仿宋" w:eastAsia="仿宋" w:cs="仿宋"/>
          <w:b/>
          <w:color w:val="000000"/>
          <w:sz w:val="24"/>
          <w:szCs w:val="24"/>
          <w:highlight w:val="none"/>
          <w:lang w:val="en-US" w:eastAsia="zh-CN"/>
        </w:rPr>
        <w:t xml:space="preserve">采购包2、3</w:t>
      </w:r>
      <w:r>
        <w:rPr>
          <w:rFonts w:hint="eastAsia" w:ascii="仿宋" w:hAnsi="仿宋" w:eastAsia="仿宋" w:cs="仿宋"/>
          <w:b/>
          <w:color w:val="000000"/>
          <w:sz w:val="24"/>
          <w:szCs w:val="24"/>
          <w:highlight w:val="none"/>
        </w:rPr>
        <w:t xml:space="preserve">的服务项目团队不得低于</w:t>
      </w:r>
      <w:r>
        <w:rPr>
          <w:rFonts w:hint="eastAsia" w:ascii="仿宋" w:hAnsi="仿宋" w:eastAsia="仿宋" w:cs="仿宋"/>
          <w:b/>
          <w:color w:val="000000"/>
          <w:sz w:val="24"/>
          <w:szCs w:val="24"/>
          <w:highlight w:val="none"/>
          <w:lang w:val="en-US" w:eastAsia="zh-CN"/>
        </w:rPr>
        <w:t xml:space="preserve">5</w:t>
      </w:r>
      <w:r>
        <w:rPr>
          <w:rFonts w:hint="eastAsia" w:ascii="仿宋" w:hAnsi="仿宋" w:eastAsia="仿宋" w:cs="仿宋"/>
          <w:b/>
          <w:color w:val="000000"/>
          <w:sz w:val="24"/>
          <w:szCs w:val="24"/>
          <w:highlight w:val="none"/>
        </w:rPr>
        <w:t xml:space="preserve">人，固定服务成员不少于</w:t>
      </w:r>
      <w:r>
        <w:rPr>
          <w:rFonts w:hint="eastAsia" w:ascii="仿宋" w:hAnsi="仿宋" w:eastAsia="仿宋" w:cs="仿宋"/>
          <w:b/>
          <w:color w:val="000000"/>
          <w:sz w:val="24"/>
          <w:szCs w:val="24"/>
          <w:highlight w:val="none"/>
          <w:lang w:val="en-US" w:eastAsia="zh-CN"/>
        </w:rPr>
        <w:t xml:space="preserve">3</w:t>
      </w:r>
      <w:r>
        <w:rPr>
          <w:rFonts w:hint="eastAsia" w:ascii="仿宋" w:hAnsi="仿宋" w:eastAsia="仿宋" w:cs="仿宋"/>
          <w:b/>
          <w:color w:val="000000"/>
          <w:sz w:val="24"/>
          <w:szCs w:val="24"/>
          <w:highlight w:val="none"/>
        </w:rPr>
        <w:t xml:space="preserve">人（固定成员</w:t>
      </w:r>
      <w:r>
        <w:rPr>
          <w:rFonts w:hint="eastAsia" w:ascii="仿宋" w:hAnsi="仿宋" w:eastAsia="仿宋" w:cs="仿宋"/>
          <w:b/>
          <w:sz w:val="24"/>
          <w:szCs w:val="24"/>
          <w:highlight w:val="none"/>
        </w:rPr>
        <w:t xml:space="preserve">须在第三章.《项目服务人员配置表》中</w:t>
      </w:r>
      <w:r>
        <w:rPr>
          <w:rFonts w:hint="eastAsia" w:ascii="仿宋" w:hAnsi="仿宋" w:eastAsia="仿宋" w:cs="仿宋"/>
          <w:b/>
          <w:color w:val="000000"/>
          <w:sz w:val="24"/>
          <w:szCs w:val="24"/>
          <w:highlight w:val="none"/>
        </w:rPr>
        <w:t xml:space="preserve">打★）</w:t>
      </w:r>
      <w:r>
        <w:rPr>
          <w:rFonts w:hint="eastAsia" w:ascii="仿宋" w:hAnsi="仿宋" w:eastAsia="仿宋" w:cs="仿宋"/>
          <w:b/>
          <w:color w:val="000000"/>
          <w:sz w:val="24"/>
          <w:szCs w:val="24"/>
          <w:highlight w:val="none"/>
          <w:lang w:val="zh-CN"/>
        </w:rPr>
        <w:t xml:space="preserve">。</w:t>
      </w:r>
      <w:r>
        <w:rPr>
          <w:rFonts w:hint="eastAsia" w:ascii="仿宋" w:hAnsi="仿宋" w:eastAsia="仿宋" w:cs="仿宋"/>
          <w:b/>
          <w:color w:val="000000"/>
          <w:sz w:val="24"/>
          <w:szCs w:val="24"/>
          <w:highlight w:val="none"/>
          <w:lang w:val="en-US" w:eastAsia="zh-CN"/>
        </w:rPr>
        <w:t xml:space="preserve">采购包4</w:t>
      </w:r>
      <w:r>
        <w:rPr>
          <w:rFonts w:hint="eastAsia" w:ascii="仿宋" w:hAnsi="仿宋" w:eastAsia="仿宋" w:cs="仿宋"/>
          <w:b/>
          <w:color w:val="000000"/>
          <w:sz w:val="24"/>
          <w:szCs w:val="24"/>
          <w:highlight w:val="none"/>
        </w:rPr>
        <w:t xml:space="preserve">的服务项目团队不得低于</w:t>
      </w:r>
      <w:r>
        <w:rPr>
          <w:rFonts w:hint="eastAsia" w:ascii="仿宋" w:hAnsi="仿宋" w:eastAsia="仿宋" w:cs="仿宋"/>
          <w:b/>
          <w:color w:val="000000"/>
          <w:sz w:val="24"/>
          <w:szCs w:val="24"/>
          <w:highlight w:val="none"/>
          <w:lang w:val="en-US" w:eastAsia="zh-CN"/>
        </w:rPr>
        <w:t xml:space="preserve">4</w:t>
      </w:r>
      <w:r>
        <w:rPr>
          <w:rFonts w:hint="eastAsia" w:ascii="仿宋" w:hAnsi="仿宋" w:eastAsia="仿宋" w:cs="仿宋"/>
          <w:b/>
          <w:color w:val="000000"/>
          <w:sz w:val="24"/>
          <w:szCs w:val="24"/>
          <w:highlight w:val="none"/>
        </w:rPr>
        <w:t xml:space="preserve">人，固定服务成员不少于</w:t>
      </w:r>
      <w:r>
        <w:rPr>
          <w:rFonts w:hint="eastAsia" w:ascii="仿宋" w:hAnsi="仿宋" w:eastAsia="仿宋" w:cs="仿宋"/>
          <w:b/>
          <w:color w:val="000000"/>
          <w:sz w:val="24"/>
          <w:szCs w:val="24"/>
          <w:highlight w:val="none"/>
          <w:lang w:val="en-US" w:eastAsia="zh-CN"/>
        </w:rPr>
        <w:t xml:space="preserve">2</w:t>
      </w:r>
      <w:r>
        <w:rPr>
          <w:rFonts w:hint="eastAsia" w:ascii="仿宋" w:hAnsi="仿宋" w:eastAsia="仿宋" w:cs="仿宋"/>
          <w:b/>
          <w:color w:val="000000"/>
          <w:sz w:val="24"/>
          <w:szCs w:val="24"/>
          <w:highlight w:val="none"/>
        </w:rPr>
        <w:t xml:space="preserve">人（固定成员</w:t>
      </w:r>
      <w:r>
        <w:rPr>
          <w:rFonts w:hint="eastAsia" w:ascii="仿宋" w:hAnsi="仿宋" w:eastAsia="仿宋" w:cs="仿宋"/>
          <w:b/>
          <w:sz w:val="24"/>
          <w:szCs w:val="24"/>
          <w:highlight w:val="none"/>
        </w:rPr>
        <w:t xml:space="preserve">须在第三章.《项目服务人员配置表》中</w:t>
      </w:r>
      <w:r>
        <w:rPr>
          <w:rFonts w:hint="eastAsia" w:ascii="仿宋" w:hAnsi="仿宋" w:eastAsia="仿宋" w:cs="仿宋"/>
          <w:b/>
          <w:color w:val="000000"/>
          <w:sz w:val="24"/>
          <w:szCs w:val="24"/>
          <w:highlight w:val="none"/>
        </w:rPr>
        <w:t xml:space="preserve">打★）</w:t>
      </w:r>
      <w:r>
        <w:rPr>
          <w:rFonts w:hint="eastAsia" w:ascii="仿宋" w:hAnsi="仿宋" w:eastAsia="仿宋" w:cs="仿宋"/>
          <w:b/>
          <w:color w:val="000000"/>
          <w:sz w:val="24"/>
          <w:szCs w:val="24"/>
          <w:highlight w:val="none"/>
          <w:lang w:val="zh-CN"/>
        </w:rPr>
        <w:t xml:space="preserve">。</w:t>
      </w:r>
      <w:r>
        <w:rPr>
          <w:rFonts w:hint="eastAsia" w:ascii="仿宋" w:hAnsi="仿宋" w:eastAsia="仿宋" w:cs="仿宋"/>
          <w:b/>
          <w:color w:val="000000"/>
          <w:sz w:val="24"/>
          <w:szCs w:val="24"/>
          <w:highlight w:val="none"/>
          <w:lang w:val="en-US" w:eastAsia="zh-CN"/>
        </w:rPr>
        <w:t xml:space="preserve">采购包5、6、7的</w:t>
      </w:r>
      <w:r>
        <w:rPr>
          <w:rFonts w:hint="eastAsia" w:ascii="仿宋" w:hAnsi="仿宋" w:eastAsia="仿宋" w:cs="仿宋"/>
          <w:b/>
          <w:color w:val="000000"/>
          <w:sz w:val="24"/>
          <w:szCs w:val="24"/>
          <w:highlight w:val="none"/>
          <w:lang w:val="zh-CN"/>
        </w:rPr>
        <w:t xml:space="preserve">响应人须为本项目拟派充足的财务从业人员，确保项目顺利实施。财务从业人员是指按照行业相关规定，具备会计专业服务能力，熟悉掌握《预算法》《会计法》《审计法》，具备一定会计从业经验的财务从业人员，</w:t>
      </w:r>
      <w:r>
        <w:rPr>
          <w:rFonts w:hint="eastAsia" w:ascii="仿宋" w:hAnsi="仿宋" w:eastAsia="仿宋" w:cs="仿宋"/>
          <w:b/>
          <w:color w:val="000000"/>
          <w:sz w:val="24"/>
          <w:szCs w:val="24"/>
          <w:highlight w:val="none"/>
          <w:lang w:val="en-US" w:eastAsia="zh-CN"/>
        </w:rPr>
        <w:t xml:space="preserve">各采购包服务项目团队不得低于</w:t>
      </w:r>
      <w:r>
        <w:rPr>
          <w:rFonts w:hint="eastAsia" w:ascii="仿宋" w:hAnsi="仿宋" w:eastAsia="仿宋" w:cs="仿宋"/>
          <w:b/>
          <w:color w:val="000000"/>
          <w:sz w:val="24"/>
          <w:szCs w:val="24"/>
          <w:highlight w:val="none"/>
          <w:lang w:val="zh-CN"/>
        </w:rPr>
        <w:t xml:space="preserve">4人，其中至少1人为注册会计师。上述固定成员在成交后不得变更；响应单位提供的项目组成员同时出现在两家及以上的，若涉及提供虚假材料将按照《中华人民共和国政府采购法》第七十七</w:t>
      </w:r>
      <w:r>
        <w:rPr>
          <w:rFonts w:hint="eastAsia" w:ascii="仿宋" w:hAnsi="仿宋" w:eastAsia="仿宋" w:cs="仿宋"/>
          <w:b/>
          <w:color w:val="000000"/>
          <w:sz w:val="24"/>
          <w:szCs w:val="24"/>
          <w:highlight w:val="none"/>
        </w:rPr>
        <w:t xml:space="preserve">条</w:t>
      </w:r>
      <w:r>
        <w:rPr>
          <w:rFonts w:hint="eastAsia" w:ascii="仿宋" w:hAnsi="仿宋" w:eastAsia="仿宋" w:cs="仿宋"/>
          <w:b/>
          <w:color w:val="000000"/>
          <w:sz w:val="24"/>
          <w:szCs w:val="24"/>
          <w:highlight w:val="none"/>
          <w:lang w:val="zh-CN"/>
        </w:rPr>
        <w:t xml:space="preserve">执行。</w:t>
      </w:r>
      <w:r>
        <w:rPr>
          <w:rFonts w:hint="eastAsia" w:ascii="仿宋" w:hAnsi="仿宋" w:eastAsia="仿宋" w:cs="仿宋"/>
          <w:b/>
          <w:sz w:val="24"/>
          <w:szCs w:val="24"/>
          <w:highlight w:val="none"/>
        </w:rPr>
        <w:t xml:space="preserve">响应单位不得提供退休人员，若提供退休人员视为未实质性响应采购需求。</w:t>
      </w:r>
      <w:r>
        <w:rPr>
          <w:rFonts w:hint="eastAsia" w:ascii="仿宋" w:hAnsi="仿宋" w:eastAsia="仿宋" w:cs="仿宋"/>
          <w:sz w:val="24"/>
          <w:szCs w:val="24"/>
          <w:highlight w:val="none"/>
        </w:rPr>
      </w:r>
      <w:r/>
    </w:p>
    <w:p>
      <w:pPr>
        <w:pStyle w:val="953"/>
        <w:jc w:val="both"/>
        <w:spacing w:line="360" w:lineRule="auto"/>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pStyle w:val="953"/>
        <w:jc w:val="center"/>
        <w:spacing w:line="360" w:lineRule="auto"/>
        <w:rPr>
          <w:rFonts w:hint="eastAsia" w:ascii="仿宋" w:hAnsi="仿宋" w:eastAsia="仿宋" w:cs="仿宋"/>
          <w:b/>
          <w:bCs/>
          <w:color w:val="000000"/>
          <w:sz w:val="24"/>
          <w:szCs w:val="24"/>
          <w:highlight w:val="none"/>
        </w:rPr>
        <w:outlineLvl w:val="9"/>
      </w:pPr>
      <w:r>
        <w:rPr>
          <w:rFonts w:hint="eastAsia" w:ascii="仿宋" w:hAnsi="仿宋" w:eastAsia="仿宋" w:cs="仿宋"/>
          <w:b/>
          <w:color w:val="000000"/>
          <w:sz w:val="24"/>
          <w:szCs w:val="24"/>
          <w:highlight w:val="none"/>
        </w:rPr>
        <w:t xml:space="preserve">项目组主评人</w:t>
      </w:r>
      <w:r>
        <w:rPr>
          <w:rFonts w:hint="eastAsia" w:ascii="仿宋" w:hAnsi="仿宋" w:eastAsia="仿宋" w:cs="仿宋"/>
          <w:b/>
          <w:bCs/>
          <w:color w:val="000000"/>
          <w:sz w:val="24"/>
          <w:szCs w:val="24"/>
          <w:highlight w:val="none"/>
        </w:rPr>
        <w:t xml:space="preserve">介绍</w:t>
      </w:r>
      <w:r>
        <w:rPr>
          <w:rFonts w:hint="eastAsia" w:ascii="仿宋" w:hAnsi="仿宋" w:eastAsia="仿宋" w:cs="仿宋"/>
          <w:b/>
          <w:bCs/>
          <w:color w:val="000000"/>
          <w:sz w:val="24"/>
          <w:szCs w:val="24"/>
          <w:highlight w:val="none"/>
        </w:rPr>
      </w:r>
      <w:r/>
    </w:p>
    <w:p>
      <w:pPr>
        <w:pStyle w:val="953"/>
        <w:ind w:firstLine="48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bl>
      <w:tblPr>
        <w:tblW w:w="4998" w:type="pct"/>
        <w:tblInd w:w="-108" w:type="dxa"/>
        <w:tblLayout w:type="fixed"/>
        <w:tblCellMar>
          <w:left w:w="108" w:type="dxa"/>
          <w:top w:w="0" w:type="dxa"/>
          <w:right w:w="108" w:type="dxa"/>
          <w:bottom w:w="0" w:type="dxa"/>
        </w:tblCellMar>
        <w:tblLook w:val="04A0" w:firstRow="1" w:lastRow="0" w:firstColumn="1" w:lastColumn="0" w:noHBand="0" w:noVBand="1"/>
      </w:tblPr>
      <w:tblGrid>
        <w:gridCol w:w="567"/>
        <w:gridCol w:w="1367"/>
        <w:gridCol w:w="966"/>
        <w:gridCol w:w="1044"/>
        <w:gridCol w:w="890"/>
        <w:gridCol w:w="1094"/>
        <w:gridCol w:w="2591"/>
      </w:tblGrid>
      <w:tr>
        <w:trPr>
          <w:trHeight w:val="270"/>
        </w:trPr>
        <w:tc>
          <w:tcPr>
            <w:gridSpan w:val="2"/>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 名</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66"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44"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性 别</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94"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职称</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591" w:type="dxa"/>
            <w:vAlign w:val="center"/>
            <w:textDirection w:val="lrTb"/>
            <w:noWrap w:val="false"/>
          </w:tcPr>
          <w:p>
            <w:pPr>
              <w:pStyle w:val="953"/>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　</w:t>
            </w:r>
            <w:r>
              <w:rPr>
                <w:rFonts w:hint="eastAsia" w:ascii="仿宋" w:hAnsi="仿宋" w:eastAsia="仿宋" w:cs="仿宋"/>
                <w:b/>
                <w:bCs/>
                <w:color w:val="000000"/>
                <w:sz w:val="24"/>
                <w:szCs w:val="24"/>
                <w:highlight w:val="none"/>
              </w:rPr>
            </w:r>
            <w:r/>
          </w:p>
        </w:tc>
      </w:tr>
      <w:tr>
        <w:trPr>
          <w:trHeight w:val="510"/>
        </w:trPr>
        <w:tc>
          <w:tcPr>
            <w:gridSpan w:val="2"/>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 务</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66"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044"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岗位</w:t>
            </w:r>
            <w:r>
              <w:rPr>
                <w:rFonts w:hint="eastAsia" w:ascii="仿宋" w:hAnsi="仿宋" w:eastAsia="仿宋" w:cs="仿宋"/>
                <w:color w:val="000000"/>
                <w:sz w:val="24"/>
                <w:szCs w:val="24"/>
                <w:highlight w:val="none"/>
              </w:rPr>
            </w:r>
            <w:r/>
          </w:p>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资格</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094"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学历</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591" w:type="dxa"/>
            <w:vAlign w:val="center"/>
            <w:textDirection w:val="lrTb"/>
            <w:noWrap w:val="false"/>
          </w:tcPr>
          <w:p>
            <w:pPr>
              <w:pStyle w:val="953"/>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　</w:t>
            </w:r>
            <w:r>
              <w:rPr>
                <w:rFonts w:hint="eastAsia" w:ascii="仿宋" w:hAnsi="仿宋" w:eastAsia="仿宋" w:cs="仿宋"/>
                <w:b/>
                <w:bCs/>
                <w:color w:val="000000"/>
                <w:sz w:val="24"/>
                <w:szCs w:val="24"/>
                <w:highlight w:val="none"/>
              </w:rPr>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何时何校何专业毕业</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953"/>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　</w:t>
            </w:r>
            <w:r>
              <w:rPr>
                <w:rFonts w:hint="eastAsia" w:ascii="仿宋" w:hAnsi="仿宋" w:eastAsia="仿宋" w:cs="仿宋"/>
                <w:b/>
                <w:bCs/>
                <w:color w:val="000000"/>
                <w:sz w:val="24"/>
                <w:szCs w:val="24"/>
                <w:highlight w:val="none"/>
              </w:rPr>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w:t>
            </w: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pStyle w:val="95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094"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手机</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591"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岗位资历</w:t>
            </w: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年</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094"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传真</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591"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由何年月至何年月</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在何单位从事何工作、任何职</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工作经历</w:t>
            </w: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333"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95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333"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95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333"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95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333"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95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333"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95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333"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由何年月至何年月</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在何项目从事何工作、任何职</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个人</w:t>
            </w:r>
            <w:r>
              <w:rPr>
                <w:rFonts w:hint="eastAsia" w:ascii="仿宋" w:hAnsi="仿宋" w:eastAsia="仿宋" w:cs="仿宋"/>
                <w:color w:val="000000"/>
                <w:sz w:val="24"/>
                <w:szCs w:val="24"/>
                <w:highlight w:val="none"/>
              </w:rPr>
            </w:r>
            <w:r/>
          </w:p>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业绩</w:t>
            </w: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333"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95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333"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95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333"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95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333"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95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333"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95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333"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95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333"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95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333"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8519" w:type="dxa"/>
            <w:vAlign w:val="center"/>
            <w:textDirection w:val="lrTb"/>
            <w:noWrap w:val="false"/>
          </w:tcPr>
          <w:p>
            <w:pPr>
              <w:pStyle w:val="95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本人签字：                                                   年    月   日</w:t>
            </w:r>
            <w:r>
              <w:rPr>
                <w:rFonts w:hint="eastAsia" w:ascii="仿宋" w:hAnsi="仿宋" w:eastAsia="仿宋" w:cs="仿宋"/>
                <w:color w:val="000000"/>
                <w:sz w:val="24"/>
                <w:szCs w:val="24"/>
                <w:highlight w:val="none"/>
              </w:rPr>
            </w:r>
            <w:r/>
          </w:p>
        </w:tc>
      </w:tr>
    </w:tbl>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供应商名称：（公章）</w:t>
      </w:r>
      <w:r>
        <w:rPr>
          <w:rFonts w:hint="eastAsia" w:ascii="仿宋" w:hAnsi="仿宋" w:eastAsia="仿宋" w:cs="仿宋"/>
          <w:color w:val="000000"/>
          <w:sz w:val="24"/>
          <w:szCs w:val="24"/>
          <w:highlight w:val="none"/>
          <w:lang w:eastAsia="zh-CN"/>
        </w:rPr>
      </w:r>
      <w:r/>
    </w:p>
    <w:p>
      <w:pPr>
        <w:pStyle w:val="95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法定代表人或被授权人：（签字或盖章）                   年  月  日</w:t>
      </w:r>
      <w:r>
        <w:rPr>
          <w:rFonts w:hint="eastAsia" w:ascii="仿宋" w:hAnsi="仿宋" w:eastAsia="仿宋" w:cs="仿宋"/>
          <w:color w:val="000000"/>
          <w:sz w:val="24"/>
          <w:szCs w:val="24"/>
          <w:highlight w:val="none"/>
        </w:rPr>
      </w:r>
      <w:r/>
    </w:p>
    <w:p>
      <w:pPr>
        <w:pStyle w:val="96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5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53"/>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53"/>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附件9.针对本项目的技术方案及制度</w:t>
      </w:r>
      <w:r>
        <w:rPr>
          <w:rFonts w:hint="eastAsia" w:ascii="仿宋" w:hAnsi="仿宋" w:eastAsia="仿宋" w:cs="仿宋"/>
          <w:b/>
          <w:color w:val="000000"/>
          <w:sz w:val="24"/>
          <w:szCs w:val="24"/>
          <w:highlight w:val="none"/>
        </w:rPr>
      </w:r>
      <w:r/>
    </w:p>
    <w:p>
      <w:pPr>
        <w:pStyle w:val="953"/>
        <w:jc w:val="center"/>
        <w:keepLines w:val="0"/>
        <w:keepNext w:val="0"/>
        <w:pageBreakBefore w:val="0"/>
        <w:spacing w:before="181" w:after="181" w:line="400" w:lineRule="exact"/>
        <w:widowControl w:val="off"/>
        <w:rPr>
          <w:rFonts w:hint="eastAsia" w:ascii="仿宋" w:hAnsi="仿宋" w:eastAsia="仿宋" w:cs="仿宋"/>
          <w:b/>
          <w:bCs/>
          <w:color w:val="000000"/>
          <w:spacing w:val="20"/>
          <w:sz w:val="24"/>
          <w:szCs w:val="24"/>
          <w:highlight w:val="none"/>
        </w:rPr>
      </w:pPr>
      <w:r>
        <w:rPr>
          <w:rFonts w:hint="eastAsia" w:ascii="仿宋" w:hAnsi="仿宋" w:eastAsia="仿宋" w:cs="仿宋"/>
          <w:b/>
          <w:bCs/>
          <w:color w:val="000000"/>
          <w:spacing w:val="20"/>
          <w:sz w:val="24"/>
          <w:szCs w:val="24"/>
          <w:highlight w:val="none"/>
        </w:rPr>
        <w:t xml:space="preserve">针对本项目的技术方案及制度</w:t>
      </w:r>
      <w:r>
        <w:rPr>
          <w:rFonts w:hint="eastAsia" w:ascii="仿宋" w:hAnsi="仿宋" w:eastAsia="仿宋" w:cs="仿宋"/>
          <w:b/>
          <w:bCs/>
          <w:color w:val="000000"/>
          <w:spacing w:val="20"/>
          <w:sz w:val="24"/>
          <w:szCs w:val="24"/>
          <w:highlight w:val="none"/>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16"/>
      </w:tblGrid>
      <w:tr>
        <w:trPr/>
        <w:tc>
          <w:tcPr>
            <w:tcW w:w="5000" w:type="dxa"/>
            <w:vAlign w:val="top"/>
            <w:textDirection w:val="lrTb"/>
            <w:noWrap w:val="false"/>
          </w:tcPr>
          <w:p>
            <w:pPr>
              <w:pStyle w:val="95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提示：</w:t>
            </w:r>
            <w:r>
              <w:rPr>
                <w:rFonts w:hint="eastAsia" w:ascii="仿宋" w:hAnsi="仿宋" w:eastAsia="仿宋" w:cs="仿宋"/>
                <w:color w:val="000000"/>
                <w:sz w:val="24"/>
                <w:szCs w:val="24"/>
                <w:highlight w:val="none"/>
              </w:rPr>
            </w:r>
            <w:r/>
          </w:p>
          <w:p>
            <w:pPr>
              <w:pStyle w:val="95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1、供应商应针对本次采购项目特点编写公司成交后拟采取的管理技术方案。</w:t>
            </w:r>
            <w:r>
              <w:rPr>
                <w:rFonts w:hint="eastAsia" w:ascii="仿宋" w:hAnsi="仿宋" w:eastAsia="仿宋" w:cs="仿宋"/>
                <w:color w:val="000000"/>
                <w:sz w:val="24"/>
                <w:szCs w:val="24"/>
                <w:highlight w:val="none"/>
              </w:rPr>
            </w:r>
            <w:r/>
          </w:p>
          <w:p>
            <w:pPr>
              <w:pStyle w:val="953"/>
              <w:jc w:val="left"/>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2、供应商可根据自身情况编写，本页不够可另加页附后。</w:t>
            </w:r>
            <w:r>
              <w:rPr>
                <w:rFonts w:hint="eastAsia" w:ascii="仿宋" w:hAnsi="仿宋" w:eastAsia="仿宋" w:cs="仿宋"/>
                <w:b/>
                <w:color w:val="000000"/>
                <w:sz w:val="24"/>
                <w:szCs w:val="24"/>
                <w:highlight w:val="none"/>
              </w:rPr>
            </w:r>
            <w:r/>
          </w:p>
        </w:tc>
      </w:tr>
      <w:tr>
        <w:trPr>
          <w:trHeight w:val="9719"/>
        </w:trPr>
        <w:tc>
          <w:tcPr>
            <w:tcW w:w="5000" w:type="dxa"/>
            <w:vAlign w:val="top"/>
            <w:textDirection w:val="lrTb"/>
            <w:noWrap w:val="false"/>
          </w:tcPr>
          <w:p>
            <w:pPr>
              <w:pStyle w:val="953"/>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53"/>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53"/>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53"/>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53"/>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53"/>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53"/>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53"/>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53"/>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53"/>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53"/>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53"/>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53"/>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53"/>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53"/>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53"/>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53"/>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53"/>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53"/>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53"/>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53"/>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53"/>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53"/>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5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bl>
    <w:p>
      <w:pPr>
        <w:pStyle w:val="953"/>
        <w:ind w:right="-200"/>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供应商名称：（公章）</w:t>
      </w: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953"/>
        <w:ind w:firstLine="210"/>
        <w:jc w:val="righ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法定代表人或</w:t>
      </w:r>
      <w:r>
        <w:rPr>
          <w:rFonts w:hint="eastAsia" w:ascii="仿宋" w:hAnsi="仿宋" w:eastAsia="仿宋" w:cs="仿宋"/>
          <w:color w:val="000000"/>
          <w:sz w:val="24"/>
          <w:szCs w:val="24"/>
          <w:highlight w:val="none"/>
        </w:rPr>
        <w:t xml:space="preserve">被授权</w:t>
      </w:r>
      <w:r>
        <w:rPr>
          <w:rFonts w:hint="eastAsia" w:ascii="仿宋" w:hAnsi="仿宋" w:eastAsia="仿宋" w:cs="仿宋"/>
          <w:color w:val="000000"/>
          <w:sz w:val="24"/>
          <w:szCs w:val="24"/>
          <w:highlight w:val="none"/>
          <w:lang w:val="zh-CN"/>
        </w:rPr>
        <w:t xml:space="preserve">人：（签字或盖章）</w:t>
      </w:r>
      <w:r>
        <w:rPr>
          <w:rFonts w:hint="eastAsia" w:ascii="仿宋" w:hAnsi="仿宋" w:eastAsia="仿宋" w:cs="仿宋"/>
          <w:color w:val="000000"/>
          <w:sz w:val="24"/>
          <w:szCs w:val="24"/>
          <w:highlight w:val="none"/>
          <w:lang w:val="zh-CN"/>
        </w:rPr>
      </w:r>
      <w:r/>
    </w:p>
    <w:p>
      <w:pPr>
        <w:pStyle w:val="953"/>
        <w:ind w:right="615" w:firstLine="840"/>
        <w:jc w:val="right"/>
        <w:spacing w:line="4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95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5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53"/>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附件10.相关业绩一览表</w:t>
      </w:r>
      <w:r>
        <w:rPr>
          <w:rFonts w:hint="eastAsia" w:ascii="仿宋" w:hAnsi="仿宋" w:eastAsia="仿宋" w:cs="仿宋"/>
          <w:b/>
          <w:color w:val="000000"/>
          <w:sz w:val="24"/>
          <w:szCs w:val="24"/>
          <w:highlight w:val="none"/>
        </w:rPr>
      </w:r>
      <w:r/>
    </w:p>
    <w:p>
      <w:pPr>
        <w:pStyle w:val="953"/>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953"/>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相关业绩一览表</w:t>
      </w:r>
      <w:r>
        <w:rPr>
          <w:rFonts w:hint="eastAsia" w:ascii="仿宋" w:hAnsi="仿宋" w:eastAsia="仿宋" w:cs="仿宋"/>
          <w:b/>
          <w:bCs/>
          <w:color w:val="000000"/>
          <w:sz w:val="24"/>
          <w:szCs w:val="24"/>
          <w:highlight w:val="none"/>
        </w:rPr>
      </w:r>
      <w:r/>
    </w:p>
    <w:p>
      <w:pPr>
        <w:pStyle w:val="953"/>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tbl>
      <w:tblPr>
        <w:tblW w:w="7644"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trHeight w:val="740"/>
        </w:trPr>
        <w:tc>
          <w:tcPr>
            <w:tcW w:w="1003"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合同期</w:t>
            </w:r>
            <w:r>
              <w:rPr>
                <w:rFonts w:hint="eastAsia" w:ascii="仿宋" w:hAnsi="仿宋" w:eastAsia="仿宋" w:cs="仿宋"/>
                <w:color w:val="000000"/>
                <w:sz w:val="24"/>
                <w:szCs w:val="24"/>
                <w:highlight w:val="none"/>
              </w:rPr>
            </w:r>
            <w:r/>
          </w:p>
        </w:tc>
        <w:tc>
          <w:tcPr>
            <w:tcW w:w="1930"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合同金额</w:t>
            </w:r>
            <w:r>
              <w:rPr>
                <w:rFonts w:hint="eastAsia" w:ascii="仿宋" w:hAnsi="仿宋" w:eastAsia="仿宋" w:cs="仿宋"/>
                <w:color w:val="000000"/>
                <w:sz w:val="24"/>
                <w:szCs w:val="24"/>
                <w:highlight w:val="none"/>
              </w:rPr>
            </w:r>
            <w:r/>
          </w:p>
        </w:tc>
        <w:tc>
          <w:tcPr>
            <w:tcW w:w="1467"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tc>
      </w:tr>
      <w:tr>
        <w:trPr>
          <w:cantSplit/>
          <w:trHeight w:val="510" w:hRule="exact"/>
        </w:trPr>
        <w:tc>
          <w:tcPr>
            <w:tcW w:w="1003"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30"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67"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510" w:hRule="exact"/>
        </w:trPr>
        <w:tc>
          <w:tcPr>
            <w:tcW w:w="1003"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30"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67"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510" w:hRule="exact"/>
        </w:trPr>
        <w:tc>
          <w:tcPr>
            <w:tcW w:w="1003"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30"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67"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510" w:hRule="exact"/>
        </w:trPr>
        <w:tc>
          <w:tcPr>
            <w:tcW w:w="1003"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30"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67"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510" w:hRule="exact"/>
        </w:trPr>
        <w:tc>
          <w:tcPr>
            <w:tcW w:w="1003"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30"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67"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510" w:hRule="exact"/>
        </w:trPr>
        <w:tc>
          <w:tcPr>
            <w:tcW w:w="1003"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30"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67"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510" w:hRule="exact"/>
        </w:trPr>
        <w:tc>
          <w:tcPr>
            <w:tcW w:w="1003"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30"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67"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510" w:hRule="exact"/>
        </w:trPr>
        <w:tc>
          <w:tcPr>
            <w:tcW w:w="1003"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30"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67" w:type="dxa"/>
            <w:vAlign w:val="center"/>
            <w:textDirection w:val="lrTb"/>
            <w:noWrap w:val="false"/>
          </w:tcPr>
          <w:p>
            <w:pPr>
              <w:pStyle w:val="953"/>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953"/>
        <w:jc w:val="left"/>
        <w:keepLines w:val="0"/>
        <w:keepNext w:val="0"/>
        <w:pageBreakBefore w:val="0"/>
        <w:spacing w:before="181"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注：1.若事项较多，供应商可根据实际情况另纸说明。</w:t>
      </w:r>
      <w:r>
        <w:rPr>
          <w:rFonts w:hint="eastAsia" w:ascii="仿宋" w:hAnsi="仿宋" w:eastAsia="仿宋" w:cs="仿宋"/>
          <w:color w:val="000000"/>
          <w:sz w:val="24"/>
          <w:szCs w:val="24"/>
          <w:highlight w:val="none"/>
        </w:rPr>
      </w:r>
      <w:r/>
    </w:p>
    <w:p>
      <w:pPr>
        <w:pStyle w:val="953"/>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2.请将其他相关证明材料复印件加盖公章后附在本表后面。</w:t>
      </w:r>
      <w:r>
        <w:rPr>
          <w:rFonts w:hint="eastAsia" w:ascii="仿宋" w:hAnsi="仿宋" w:eastAsia="仿宋" w:cs="仿宋"/>
          <w:color w:val="000000"/>
          <w:sz w:val="24"/>
          <w:szCs w:val="24"/>
          <w:highlight w:val="none"/>
        </w:rPr>
      </w:r>
      <w:r/>
    </w:p>
    <w:p>
      <w:pPr>
        <w:pStyle w:val="953"/>
        <w:jc w:val="left"/>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53"/>
        <w:ind w:right="-200"/>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供应商名称：（公章）</w:t>
      </w: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953"/>
        <w:ind w:firstLine="210"/>
        <w:jc w:val="righ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法定代表人或</w:t>
      </w:r>
      <w:r>
        <w:rPr>
          <w:rFonts w:hint="eastAsia" w:ascii="仿宋" w:hAnsi="仿宋" w:eastAsia="仿宋" w:cs="仿宋"/>
          <w:color w:val="000000"/>
          <w:sz w:val="24"/>
          <w:szCs w:val="24"/>
          <w:highlight w:val="none"/>
        </w:rPr>
        <w:t xml:space="preserve">被授权</w:t>
      </w:r>
      <w:r>
        <w:rPr>
          <w:rFonts w:hint="eastAsia" w:ascii="仿宋" w:hAnsi="仿宋" w:eastAsia="仿宋" w:cs="仿宋"/>
          <w:color w:val="000000"/>
          <w:sz w:val="24"/>
          <w:szCs w:val="24"/>
          <w:highlight w:val="none"/>
          <w:lang w:val="zh-CN"/>
        </w:rPr>
        <w:t xml:space="preserve">人：（签字或盖章）</w:t>
      </w:r>
      <w:r>
        <w:rPr>
          <w:rFonts w:hint="eastAsia" w:ascii="仿宋" w:hAnsi="仿宋" w:eastAsia="仿宋" w:cs="仿宋"/>
          <w:color w:val="000000"/>
          <w:sz w:val="24"/>
          <w:szCs w:val="24"/>
          <w:highlight w:val="none"/>
          <w:lang w:val="zh-CN"/>
        </w:rPr>
      </w:r>
      <w:r/>
    </w:p>
    <w:p>
      <w:pPr>
        <w:pStyle w:val="953"/>
        <w:ind w:right="615" w:firstLine="840"/>
        <w:jc w:val="right"/>
        <w:spacing w:line="4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110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02"/>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53"/>
        <w:rPr>
          <w:rFonts w:hint="eastAsia" w:ascii="仿宋" w:hAnsi="仿宋" w:eastAsia="仿宋" w:cs="仿宋"/>
          <w:color w:val="000000"/>
          <w:sz w:val="24"/>
          <w:szCs w:val="24"/>
          <w:highlight w:val="none"/>
        </w:rPr>
      </w:pPr>
      <w:r/>
      <w:bookmarkEnd w:id="35"/>
      <w:r/>
      <w:bookmarkEnd w:id="36"/>
      <w:r>
        <w:rPr>
          <w:rFonts w:hint="eastAsia" w:ascii="仿宋" w:hAnsi="仿宋" w:eastAsia="仿宋" w:cs="仿宋"/>
          <w:color w:val="000000"/>
          <w:sz w:val="24"/>
          <w:szCs w:val="24"/>
          <w:highlight w:val="none"/>
        </w:rPr>
      </w:r>
      <w:r/>
    </w:p>
    <w:p>
      <w:pPr>
        <w:pStyle w:val="953"/>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br w:type="page" w:clear="all"/>
      </w:r>
      <w:bookmarkStart w:id="37" w:name="_Toc21574"/>
      <w:r/>
      <w:bookmarkStart w:id="38" w:name="_Toc19621"/>
      <w:r>
        <w:rPr>
          <w:rFonts w:hint="eastAsia" w:ascii="仿宋" w:hAnsi="仿宋" w:eastAsia="仿宋" w:cs="仿宋"/>
          <w:b/>
          <w:color w:val="000000"/>
          <w:sz w:val="24"/>
          <w:szCs w:val="24"/>
          <w:highlight w:val="none"/>
        </w:rPr>
        <w:t xml:space="preserve">附件11.中小企业声明函</w:t>
      </w:r>
      <w:bookmarkEnd w:id="37"/>
      <w:r/>
      <w:bookmarkEnd w:id="38"/>
      <w:r>
        <w:rPr>
          <w:rFonts w:hint="eastAsia" w:ascii="仿宋" w:hAnsi="仿宋" w:eastAsia="仿宋" w:cs="仿宋"/>
          <w:b/>
          <w:color w:val="000000"/>
          <w:sz w:val="24"/>
          <w:szCs w:val="24"/>
          <w:highlight w:val="none"/>
        </w:rPr>
      </w:r>
      <w:r/>
    </w:p>
    <w:p>
      <w:pPr>
        <w:pStyle w:val="953"/>
        <w:jc w:val="left"/>
        <w:spacing w:line="48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53"/>
        <w:jc w:val="center"/>
        <w:spacing w:line="480" w:lineRule="exact"/>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中小企业声明函（服务）</w:t>
      </w:r>
      <w:r>
        <w:rPr>
          <w:rFonts w:hint="eastAsia" w:ascii="仿宋" w:hAnsi="仿宋" w:eastAsia="仿宋" w:cs="仿宋"/>
          <w:b/>
          <w:color w:val="000000"/>
          <w:sz w:val="24"/>
          <w:szCs w:val="24"/>
          <w:highlight w:val="none"/>
        </w:rPr>
      </w:r>
      <w:r/>
    </w:p>
    <w:p>
      <w:pPr>
        <w:pStyle w:val="953"/>
        <w:jc w:val="left"/>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苏州恒中造价师事务所有限责任公司：</w:t>
      </w:r>
      <w:r>
        <w:rPr>
          <w:rFonts w:hint="eastAsia" w:ascii="仿宋" w:hAnsi="仿宋" w:eastAsia="仿宋" w:cs="仿宋"/>
          <w:color w:val="000000"/>
          <w:sz w:val="24"/>
          <w:szCs w:val="24"/>
          <w:highlight w:val="none"/>
        </w:rPr>
      </w:r>
      <w:r/>
    </w:p>
    <w:p>
      <w:pPr>
        <w:pStyle w:val="953"/>
        <w:ind w:firstLine="420"/>
        <w:spacing w:line="48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color w:val="000000"/>
          <w:sz w:val="24"/>
          <w:szCs w:val="24"/>
          <w:highlight w:val="none"/>
          <w:u w:val="single"/>
        </w:rPr>
        <w:t xml:space="preserve">（单位名称）</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（项目名称）</w:t>
      </w:r>
      <w:r>
        <w:rPr>
          <w:rFonts w:hint="eastAsia" w:ascii="仿宋" w:hAnsi="仿宋" w:eastAsia="仿宋" w:cs="仿宋"/>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仿宋" w:hAnsi="仿宋" w:eastAsia="仿宋" w:cs="仿宋"/>
          <w:color w:val="000000"/>
          <w:sz w:val="24"/>
          <w:szCs w:val="24"/>
          <w:highlight w:val="none"/>
          <w:u w:val="single"/>
        </w:rPr>
      </w:r>
      <w:r/>
    </w:p>
    <w:p>
      <w:pPr>
        <w:pStyle w:val="953"/>
        <w:ind w:firstLine="42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u w:val="single"/>
        </w:rPr>
        <w:t xml:space="preserve">（项目名称）</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（租赁和商务服务业）行业</w:t>
      </w:r>
      <w:r>
        <w:rPr>
          <w:rFonts w:hint="eastAsia" w:ascii="仿宋" w:hAnsi="仿宋" w:eastAsia="仿宋" w:cs="仿宋"/>
          <w:color w:val="000000"/>
          <w:sz w:val="24"/>
          <w:szCs w:val="24"/>
          <w:highlight w:val="none"/>
        </w:rPr>
        <w:t xml:space="preserve">；承接企业为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w:t>
      </w:r>
      <w:r>
        <w:rPr>
          <w:rStyle w:val="1047"/>
          <w:rFonts w:hint="eastAsia" w:ascii="仿宋" w:hAnsi="仿宋" w:eastAsia="仿宋" w:cs="仿宋"/>
          <w:color w:val="000000"/>
          <w:sz w:val="24"/>
          <w:szCs w:val="24"/>
          <w:highlight w:val="none"/>
        </w:rPr>
        <w:footnoteReference w:id="2"/>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（□中型企业、□小型企业、□微型企业）</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53"/>
        <w:ind w:firstLine="42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u w:val="single"/>
          <w:lang w:val="zh-CN"/>
        </w:rPr>
        <w:t xml:space="preserve">（</w:t>
      </w:r>
      <w:r>
        <w:rPr>
          <w:rFonts w:hint="eastAsia" w:ascii="仿宋" w:hAnsi="仿宋" w:eastAsia="仿宋" w:cs="仿宋"/>
          <w:color w:val="000000"/>
          <w:sz w:val="24"/>
          <w:szCs w:val="24"/>
          <w:highlight w:val="none"/>
          <w:u w:val="single"/>
        </w:rPr>
        <w:t xml:space="preserve">项目</w:t>
      </w:r>
      <w:r>
        <w:rPr>
          <w:rFonts w:hint="eastAsia" w:ascii="仿宋" w:hAnsi="仿宋" w:eastAsia="仿宋" w:cs="仿宋"/>
          <w:color w:val="000000"/>
          <w:sz w:val="24"/>
          <w:szCs w:val="24"/>
          <w:highlight w:val="none"/>
          <w:u w:val="single"/>
          <w:lang w:val="zh-CN"/>
        </w:rPr>
        <w:t xml:space="preserve">名称）</w:t>
      </w:r>
      <w:r>
        <w:rPr>
          <w:rFonts w:hint="eastAsia" w:ascii="仿宋" w:hAnsi="仿宋" w:eastAsia="仿宋" w:cs="仿宋"/>
          <w:color w:val="000000"/>
          <w:sz w:val="24"/>
          <w:szCs w:val="24"/>
          <w:highlight w:val="none"/>
          <w:lang w:val="zh-CN"/>
        </w:rPr>
        <w:t xml:space="preserve">，属于</w:t>
      </w:r>
      <w:r>
        <w:rPr>
          <w:rFonts w:hint="eastAsia" w:ascii="仿宋" w:hAnsi="仿宋" w:eastAsia="仿宋" w:cs="仿宋"/>
          <w:color w:val="000000"/>
          <w:sz w:val="24"/>
          <w:szCs w:val="24"/>
          <w:highlight w:val="none"/>
          <w:u w:val="single"/>
          <w:lang w:val="zh-CN"/>
        </w:rPr>
        <w:t xml:space="preserve">（</w:t>
      </w:r>
      <w:r>
        <w:rPr>
          <w:rFonts w:hint="eastAsia" w:ascii="仿宋" w:hAnsi="仿宋" w:eastAsia="仿宋" w:cs="仿宋"/>
          <w:color w:val="000000"/>
          <w:sz w:val="24"/>
          <w:szCs w:val="24"/>
          <w:highlight w:val="none"/>
          <w:u w:val="single"/>
        </w:rPr>
        <w:t xml:space="preserve">租赁和商务服务业</w:t>
      </w:r>
      <w:r>
        <w:rPr>
          <w:rFonts w:hint="eastAsia" w:ascii="仿宋" w:hAnsi="仿宋" w:eastAsia="仿宋" w:cs="仿宋"/>
          <w:color w:val="000000"/>
          <w:sz w:val="24"/>
          <w:szCs w:val="24"/>
          <w:highlight w:val="none"/>
          <w:u w:val="single"/>
          <w:lang w:val="zh-CN"/>
        </w:rPr>
        <w:t xml:space="preserve">）行业</w:t>
      </w:r>
      <w:r>
        <w:rPr>
          <w:rFonts w:hint="eastAsia" w:ascii="仿宋" w:hAnsi="仿宋" w:eastAsia="仿宋" w:cs="仿宋"/>
          <w:color w:val="000000"/>
          <w:sz w:val="24"/>
          <w:szCs w:val="24"/>
          <w:highlight w:val="none"/>
          <w:lang w:val="zh-CN"/>
        </w:rPr>
        <w:t xml:space="preserve">；承接企业为</w:t>
      </w:r>
      <w:r>
        <w:rPr>
          <w:rFonts w:hint="eastAsia" w:ascii="仿宋" w:hAnsi="仿宋" w:eastAsia="仿宋" w:cs="仿宋"/>
          <w:color w:val="000000"/>
          <w:sz w:val="24"/>
          <w:szCs w:val="24"/>
          <w:highlight w:val="none"/>
          <w:u w:val="single"/>
          <w:lang w:val="zh-CN"/>
        </w:rPr>
        <w:t xml:space="preserve">（企业名称）</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万元，属于</w:t>
      </w:r>
      <w:r>
        <w:rPr>
          <w:rFonts w:hint="eastAsia" w:ascii="仿宋" w:hAnsi="仿宋" w:eastAsia="仿宋" w:cs="仿宋"/>
          <w:color w:val="000000"/>
          <w:sz w:val="24"/>
          <w:szCs w:val="24"/>
          <w:highlight w:val="none"/>
          <w:u w:val="single"/>
        </w:rPr>
        <w:t xml:space="preserve">（□中型企业、□小型企业、□微型企业）</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53"/>
        <w:ind w:firstLine="42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53"/>
        <w:ind w:firstLine="42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highlight w:val="none"/>
        </w:rPr>
      </w:r>
      <w:r/>
    </w:p>
    <w:p>
      <w:pPr>
        <w:pStyle w:val="953"/>
        <w:ind w:firstLine="42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本企业对上述声明内容的真实性负责。如有虚假，将依法承担相应责任。</w:t>
      </w:r>
      <w:r>
        <w:rPr>
          <w:rFonts w:hint="eastAsia" w:ascii="仿宋" w:hAnsi="仿宋" w:eastAsia="仿宋" w:cs="仿宋"/>
          <w:color w:val="000000"/>
          <w:sz w:val="24"/>
          <w:szCs w:val="24"/>
          <w:highlight w:val="none"/>
        </w:rPr>
      </w:r>
      <w:r/>
    </w:p>
    <w:p>
      <w:pPr>
        <w:pStyle w:val="953"/>
        <w:ind w:right="-200"/>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供应商名称：（公章）</w:t>
      </w: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953"/>
        <w:ind w:firstLine="402"/>
        <w:spacing w:line="28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953"/>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1、本项目专门面向中小企业采购，</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应提供中小企业声明函或残疾人福利性单位声明函或省级以上监狱管理局、戒毒管理局（含新疆生产建设兵团）出具的属于监狱企业的证明文件,否则视为投标无效。</w:t>
      </w:r>
      <w:r>
        <w:rPr>
          <w:rFonts w:hint="eastAsia" w:ascii="仿宋" w:hAnsi="仿宋" w:eastAsia="仿宋" w:cs="仿宋"/>
          <w:color w:val="000000"/>
          <w:sz w:val="24"/>
          <w:szCs w:val="24"/>
          <w:highlight w:val="none"/>
        </w:rPr>
      </w:r>
      <w:r/>
    </w:p>
    <w:p>
      <w:pPr>
        <w:pStyle w:val="953"/>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提供的中小企业声明函必须包含本项目所有货物及其货物制造商，并按照声明函格式填写完整、明确，否则视为未按规定提供声明函，投标无效。</w:t>
      </w:r>
      <w:r>
        <w:rPr>
          <w:rFonts w:hint="eastAsia" w:ascii="仿宋" w:hAnsi="仿宋" w:eastAsia="仿宋" w:cs="仿宋"/>
          <w:color w:val="000000"/>
          <w:sz w:val="24"/>
          <w:szCs w:val="24"/>
          <w:highlight w:val="none"/>
        </w:rPr>
      </w:r>
      <w:r/>
    </w:p>
    <w:p>
      <w:pPr>
        <w:pStyle w:val="953"/>
        <w:ind w:firstLine="480"/>
        <w:spacing w:line="440" w:lineRule="exact"/>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3、中标、成交供应商享受规定的中小企业扶持政策的，《中小企业声明函》应当随中标、成交结果同时公告，接受社会监督。</w:t>
      </w:r>
      <w:r>
        <w:rPr>
          <w:rFonts w:hint="eastAsia" w:ascii="仿宋" w:hAnsi="仿宋" w:eastAsia="仿宋" w:cs="仿宋"/>
          <w:b/>
          <w:bCs/>
          <w:color w:val="000000"/>
          <w:sz w:val="24"/>
          <w:szCs w:val="24"/>
          <w:highlight w:val="none"/>
        </w:rPr>
        <w:br w:type="page" w:clear="all"/>
      </w:r>
      <w:r>
        <w:rPr>
          <w:rFonts w:hint="eastAsia" w:ascii="仿宋" w:hAnsi="仿宋" w:eastAsia="仿宋" w:cs="仿宋"/>
          <w:b/>
          <w:bCs/>
          <w:color w:val="000000"/>
          <w:sz w:val="24"/>
          <w:szCs w:val="24"/>
          <w:highlight w:val="none"/>
        </w:rPr>
        <w:t xml:space="preserve">附件12.</w:t>
      </w:r>
      <w:r>
        <w:rPr>
          <w:rFonts w:hint="eastAsia" w:ascii="仿宋" w:hAnsi="仿宋" w:eastAsia="仿宋" w:cs="仿宋"/>
          <w:b/>
          <w:color w:val="000000"/>
          <w:sz w:val="24"/>
          <w:szCs w:val="24"/>
          <w:highlight w:val="none"/>
        </w:rPr>
        <w:t xml:space="preserve">残疾人</w:t>
      </w:r>
      <w:r>
        <w:rPr>
          <w:rFonts w:hint="eastAsia" w:ascii="仿宋" w:hAnsi="仿宋" w:eastAsia="仿宋" w:cs="仿宋"/>
          <w:b/>
          <w:bCs/>
          <w:color w:val="000000"/>
          <w:sz w:val="24"/>
          <w:szCs w:val="24"/>
          <w:highlight w:val="none"/>
          <w:lang w:val="zh-CN"/>
        </w:rPr>
        <w:t xml:space="preserve">福利性单位声明函</w:t>
      </w:r>
      <w:r>
        <w:rPr>
          <w:rFonts w:hint="eastAsia" w:ascii="仿宋" w:hAnsi="仿宋" w:eastAsia="仿宋" w:cs="仿宋"/>
          <w:b/>
          <w:bCs/>
          <w:color w:val="000000"/>
          <w:sz w:val="24"/>
          <w:szCs w:val="24"/>
          <w:highlight w:val="none"/>
        </w:rPr>
      </w:r>
      <w:r/>
    </w:p>
    <w:p>
      <w:pPr>
        <w:pStyle w:val="953"/>
        <w:jc w:val="left"/>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53"/>
        <w:jc w:val="center"/>
        <w:spacing w:line="48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残疾人福利性单位声明函</w:t>
      </w:r>
      <w:r>
        <w:rPr>
          <w:rFonts w:hint="eastAsia" w:ascii="仿宋" w:hAnsi="仿宋" w:eastAsia="仿宋" w:cs="仿宋"/>
          <w:b/>
          <w:color w:val="000000"/>
          <w:sz w:val="24"/>
          <w:szCs w:val="24"/>
          <w:highlight w:val="none"/>
        </w:rPr>
      </w:r>
      <w:r/>
    </w:p>
    <w:p>
      <w:pPr>
        <w:pStyle w:val="953"/>
        <w:spacing w:line="360" w:lineRule="auto"/>
        <w:rPr>
          <w:rFonts w:hint="eastAsia" w:ascii="仿宋" w:hAnsi="仿宋" w:eastAsia="仿宋" w:cs="仿宋"/>
          <w:color w:val="000000"/>
          <w:sz w:val="24"/>
          <w:szCs w:val="24"/>
          <w:highlight w:val="none"/>
          <w:u w:val="single"/>
          <w:lang w:val="zh-CN"/>
        </w:rPr>
      </w:pPr>
      <w:r/>
      <w:bookmarkStart w:id="39" w:name="_Toc3869"/>
      <w:r/>
      <w:bookmarkStart w:id="40" w:name="_Toc15378"/>
      <w:r/>
      <w:bookmarkStart w:id="41" w:name="_Toc32206"/>
      <w:r>
        <w:rPr>
          <w:rFonts w:hint="eastAsia" w:ascii="仿宋" w:hAnsi="仿宋" w:eastAsia="仿宋" w:cs="仿宋"/>
          <w:color w:val="000000"/>
          <w:sz w:val="24"/>
          <w:szCs w:val="24"/>
          <w:highlight w:val="none"/>
          <w:u w:val="single"/>
          <w:lang w:val="zh-CN"/>
        </w:rPr>
      </w:r>
      <w:r/>
    </w:p>
    <w:p>
      <w:pPr>
        <w:pStyle w:val="953"/>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u w:val="single"/>
          <w:lang w:val="zh-CN"/>
        </w:rPr>
        <w:t xml:space="preserve">苏州恒中造价师事务所有限责任公司</w:t>
      </w:r>
      <w:r>
        <w:rPr>
          <w:rFonts w:hint="eastAsia" w:ascii="仿宋" w:hAnsi="仿宋" w:eastAsia="仿宋" w:cs="仿宋"/>
          <w:color w:val="000000"/>
          <w:sz w:val="24"/>
          <w:szCs w:val="24"/>
          <w:highlight w:val="none"/>
          <w:lang w:val="zh-CN"/>
        </w:rPr>
        <w:t xml:space="preserve">：</w:t>
      </w:r>
      <w:bookmarkEnd w:id="39"/>
      <w:r/>
      <w:bookmarkEnd w:id="40"/>
      <w:r/>
      <w:bookmarkEnd w:id="41"/>
      <w:r>
        <w:rPr>
          <w:rFonts w:hint="eastAsia" w:ascii="仿宋" w:hAnsi="仿宋" w:eastAsia="仿宋" w:cs="仿宋"/>
          <w:color w:val="000000"/>
          <w:sz w:val="24"/>
          <w:szCs w:val="24"/>
          <w:highlight w:val="none"/>
          <w:lang w:val="zh-CN"/>
        </w:rPr>
      </w:r>
      <w:r/>
    </w:p>
    <w:p>
      <w:pPr>
        <w:pStyle w:val="953"/>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szCs w:val="24"/>
          <w:highlight w:val="none"/>
          <w:lang w:val="zh-CN"/>
        </w:rPr>
        <w:t xml:space="preserve">贵单位组织实施的编号为</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号的采购活动</w:t>
      </w:r>
      <w:r>
        <w:rPr>
          <w:rFonts w:hint="eastAsia" w:ascii="仿宋" w:hAnsi="仿宋" w:eastAsia="仿宋" w:cs="仿宋"/>
          <w:color w:val="000000"/>
          <w:sz w:val="24"/>
          <w:szCs w:val="24"/>
          <w:highlight w:val="none"/>
        </w:rPr>
        <w:t xml:space="preserve">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本单位对上述声明的真实性负责。如有虚假，将依法承担相应责任。</w:t>
      </w:r>
      <w:r>
        <w:rPr>
          <w:rFonts w:hint="eastAsia" w:ascii="仿宋" w:hAnsi="仿宋" w:eastAsia="仿宋" w:cs="仿宋"/>
          <w:color w:val="000000"/>
          <w:sz w:val="24"/>
          <w:szCs w:val="24"/>
          <w:highlight w:val="none"/>
        </w:rPr>
      </w:r>
      <w:r/>
    </w:p>
    <w:p>
      <w:pPr>
        <w:pStyle w:val="1111"/>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53"/>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53"/>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53"/>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53"/>
        <w:ind w:right="-200"/>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供应商名称：（公章）</w:t>
      </w: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953"/>
        <w:ind w:firstLine="210"/>
        <w:jc w:val="righ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法定代表人或</w:t>
      </w:r>
      <w:r>
        <w:rPr>
          <w:rFonts w:hint="eastAsia" w:ascii="仿宋" w:hAnsi="仿宋" w:eastAsia="仿宋" w:cs="仿宋"/>
          <w:color w:val="000000"/>
          <w:sz w:val="24"/>
          <w:szCs w:val="24"/>
          <w:highlight w:val="none"/>
        </w:rPr>
        <w:t xml:space="preserve">被授权</w:t>
      </w:r>
      <w:r>
        <w:rPr>
          <w:rFonts w:hint="eastAsia" w:ascii="仿宋" w:hAnsi="仿宋" w:eastAsia="仿宋" w:cs="仿宋"/>
          <w:color w:val="000000"/>
          <w:sz w:val="24"/>
          <w:szCs w:val="24"/>
          <w:highlight w:val="none"/>
          <w:lang w:val="zh-CN"/>
        </w:rPr>
        <w:t xml:space="preserve">人：（签字或盖章）</w:t>
      </w:r>
      <w:r>
        <w:rPr>
          <w:rFonts w:hint="eastAsia" w:ascii="仿宋" w:hAnsi="仿宋" w:eastAsia="仿宋" w:cs="仿宋"/>
          <w:color w:val="000000"/>
          <w:sz w:val="24"/>
          <w:szCs w:val="24"/>
          <w:highlight w:val="none"/>
          <w:lang w:val="zh-CN"/>
        </w:rPr>
      </w:r>
      <w:r/>
    </w:p>
    <w:p>
      <w:pPr>
        <w:pStyle w:val="953"/>
        <w:ind w:right="615" w:firstLine="840"/>
        <w:jc w:val="right"/>
        <w:spacing w:line="4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110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5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54"/>
        <w:spacing w:before="156" w:after="156" w:line="360" w:lineRule="auto"/>
        <w:tabs>
          <w:tab w:val="left" w:pos="1134" w:leader="none"/>
        </w:tabs>
        <w:rPr>
          <w:rFonts w:ascii="Times New Roman" w:hAnsi="Times New Roman"/>
          <w:color w:val="000000"/>
          <w:sz w:val="44"/>
          <w:szCs w:val="44"/>
          <w:highlight w:val="none"/>
        </w:rPr>
      </w:pPr>
      <w:r>
        <w:rPr>
          <w:rFonts w:hint="eastAsia" w:ascii="仿宋" w:hAnsi="仿宋" w:eastAsia="仿宋" w:cs="仿宋"/>
          <w:color w:val="000000"/>
          <w:sz w:val="24"/>
          <w:szCs w:val="24"/>
          <w:highlight w:val="none"/>
        </w:rPr>
        <w:br w:type="page" w:clear="all"/>
      </w:r>
      <w:bookmarkStart w:id="42" w:name="_Toc19931"/>
      <w:r>
        <w:rPr>
          <w:rFonts w:ascii="Times New Roman" w:hAnsi="Times New Roman"/>
          <w:color w:val="000000"/>
          <w:sz w:val="44"/>
          <w:szCs w:val="44"/>
          <w:highlight w:val="none"/>
        </w:rPr>
        <w:t xml:space="preserve">第四章</w:t>
      </w:r>
      <w:bookmarkEnd w:id="25"/>
      <w:r/>
      <w:bookmarkEnd w:id="26"/>
      <w:r/>
      <w:bookmarkEnd w:id="27"/>
      <w:r/>
      <w:bookmarkEnd w:id="28"/>
      <w:r/>
      <w:bookmarkStart w:id="43" w:name="招标书"/>
      <w:r/>
      <w:bookmarkEnd w:id="43"/>
      <w:r>
        <w:rPr>
          <w:rFonts w:ascii="Times New Roman" w:hAnsi="Times New Roman"/>
          <w:color w:val="000000"/>
          <w:sz w:val="44"/>
          <w:szCs w:val="44"/>
          <w:highlight w:val="none"/>
        </w:rPr>
        <w:t xml:space="preserve"> 采购内容</w:t>
      </w:r>
      <w:bookmarkEnd w:id="29"/>
      <w:r/>
      <w:bookmarkEnd w:id="30"/>
      <w:r/>
      <w:bookmarkEnd w:id="31"/>
      <w:r/>
      <w:bookmarkEnd w:id="42"/>
      <w:r>
        <w:rPr>
          <w:rFonts w:ascii="Times New Roman" w:hAnsi="Times New Roman"/>
          <w:color w:val="000000"/>
          <w:sz w:val="44"/>
          <w:szCs w:val="4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苏州恒中造价师事务所有限责任公司受太仓市财政局的委托，就</w:t>
      </w:r>
      <w:r>
        <w:rPr>
          <w:rFonts w:hint="eastAsia" w:ascii="仿宋" w:hAnsi="仿宋" w:eastAsia="仿宋" w:cs="仿宋"/>
          <w:color w:val="000000"/>
          <w:sz w:val="24"/>
          <w:szCs w:val="24"/>
          <w:highlight w:val="none"/>
          <w:lang w:eastAsia="zh-CN"/>
        </w:rPr>
        <w:t xml:space="preserve">2026年太仓市市级财政支出项目等绩效评价管理及监督协审服务</w:t>
      </w:r>
      <w:r>
        <w:rPr>
          <w:rFonts w:hint="eastAsia" w:ascii="仿宋" w:hAnsi="仿宋" w:eastAsia="仿宋" w:cs="仿宋"/>
          <w:color w:val="000000"/>
          <w:sz w:val="24"/>
          <w:szCs w:val="24"/>
          <w:highlight w:val="none"/>
        </w:rPr>
        <w:t xml:space="preserve">项目采用竞争性磋商方式进行采购，现欢迎符合相关条件的供应商参加本次磋商采购活动。</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一、项目编号：</w:t>
      </w:r>
      <w:r>
        <w:rPr>
          <w:rFonts w:hint="eastAsia" w:ascii="仿宋" w:hAnsi="仿宋" w:eastAsia="仿宋" w:cs="仿宋"/>
          <w:color w:val="000000"/>
          <w:sz w:val="24"/>
          <w:szCs w:val="24"/>
          <w:highlight w:val="none"/>
          <w:lang w:eastAsia="zh-CN"/>
        </w:rPr>
        <w:t xml:space="preserve">JSZC-320585-SZHZ-G2024-0011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b/>
          <w:bCs/>
          <w:color w:val="000000"/>
          <w:sz w:val="24"/>
          <w:szCs w:val="24"/>
          <w:highlight w:val="none"/>
        </w:rPr>
        <w:t xml:space="preserve">二、项目名称</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2026年太仓市市级财政支出项目等绩效评价管理及监督协审服务</w:t>
      </w:r>
      <w:r>
        <w:rPr>
          <w:rFonts w:hint="eastAsia" w:ascii="仿宋" w:hAnsi="仿宋" w:eastAsia="仿宋" w:cs="仿宋"/>
          <w:color w:val="000000"/>
          <w:sz w:val="24"/>
          <w:szCs w:val="24"/>
          <w:highlight w:val="none"/>
          <w:lang w:eastAsia="zh-CN"/>
        </w:rPr>
      </w:r>
      <w:r/>
    </w:p>
    <w:p>
      <w:pPr>
        <w:pStyle w:val="953"/>
        <w:ind w:firstLine="42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b/>
          <w:bCs/>
          <w:color w:val="000000"/>
          <w:sz w:val="24"/>
          <w:szCs w:val="24"/>
          <w:highlight w:val="none"/>
        </w:rPr>
        <w:t xml:space="preserve">三、预算金额</w:t>
      </w:r>
      <w:r>
        <w:rPr>
          <w:rFonts w:hint="eastAsia" w:ascii="仿宋" w:hAnsi="仿宋" w:eastAsia="仿宋" w:cs="仿宋"/>
          <w:b/>
          <w:bCs/>
          <w:color w:val="000000"/>
          <w:sz w:val="24"/>
          <w:szCs w:val="24"/>
          <w:highlight w:val="none"/>
          <w:lang w:val="en-US" w:eastAsia="zh-CN"/>
        </w:rPr>
        <w:t xml:space="preserve">及最高限价</w:t>
      </w:r>
      <w:r>
        <w:rPr>
          <w:rFonts w:hint="eastAsia" w:ascii="仿宋" w:hAnsi="仿宋" w:eastAsia="仿宋" w:cs="仿宋"/>
          <w:b/>
          <w:bCs/>
          <w:color w:val="000000"/>
          <w:sz w:val="24"/>
          <w:szCs w:val="24"/>
          <w:highlight w:val="none"/>
        </w:rPr>
        <w:t xml:space="preserve">：</w:t>
      </w:r>
      <w:r>
        <w:rPr>
          <w:rFonts w:hint="eastAsia" w:ascii="仿宋" w:hAnsi="仿宋" w:eastAsia="仿宋" w:cs="仿宋"/>
          <w:color w:val="000000"/>
          <w:sz w:val="24"/>
          <w:szCs w:val="24"/>
          <w:highlight w:val="none"/>
        </w:rPr>
        <w:t xml:space="preserve">人民币贰佰壹拾伍万元整（2150000.00元），其中采购包1：</w:t>
      </w:r>
      <w:r>
        <w:rPr>
          <w:rFonts w:hint="eastAsia" w:ascii="仿宋" w:hAnsi="仿宋" w:eastAsia="仿宋" w:cs="仿宋"/>
          <w:color w:val="000000"/>
          <w:sz w:val="24"/>
          <w:szCs w:val="24"/>
          <w:highlight w:val="none"/>
          <w:lang w:val="en-US" w:eastAsia="zh-CN"/>
        </w:rPr>
        <w:t xml:space="preserve">50</w:t>
      </w:r>
      <w:r>
        <w:rPr>
          <w:rFonts w:hint="eastAsia" w:ascii="仿宋" w:hAnsi="仿宋" w:eastAsia="仿宋" w:cs="仿宋"/>
          <w:color w:val="000000"/>
          <w:sz w:val="24"/>
          <w:szCs w:val="24"/>
          <w:highlight w:val="none"/>
        </w:rPr>
        <w:t xml:space="preserve">0000.00元,采购包2：</w:t>
      </w:r>
      <w:r>
        <w:rPr>
          <w:rFonts w:hint="eastAsia" w:ascii="仿宋" w:hAnsi="仿宋" w:eastAsia="仿宋" w:cs="仿宋"/>
          <w:color w:val="000000"/>
          <w:sz w:val="24"/>
          <w:szCs w:val="24"/>
          <w:highlight w:val="none"/>
          <w:lang w:val="en-US" w:eastAsia="zh-CN"/>
        </w:rPr>
        <w:t xml:space="preserve">35</w:t>
      </w:r>
      <w:r>
        <w:rPr>
          <w:rFonts w:hint="eastAsia" w:ascii="仿宋" w:hAnsi="仿宋" w:eastAsia="仿宋" w:cs="仿宋"/>
          <w:color w:val="000000"/>
          <w:sz w:val="24"/>
          <w:szCs w:val="24"/>
          <w:highlight w:val="none"/>
        </w:rPr>
        <w:t xml:space="preserve">0000.00元，采购包3：</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rPr>
        <w:t xml:space="preserve">0000.00元，采购包4:</w:t>
      </w:r>
      <w:r>
        <w:rPr>
          <w:rFonts w:hint="eastAsia" w:ascii="仿宋" w:hAnsi="仿宋" w:eastAsia="仿宋" w:cs="仿宋"/>
          <w:color w:val="000000"/>
          <w:sz w:val="24"/>
          <w:szCs w:val="24"/>
          <w:highlight w:val="none"/>
          <w:lang w:val="en-US" w:eastAsia="zh-CN"/>
        </w:rPr>
        <w:t xml:space="preserve">25</w:t>
      </w:r>
      <w:r>
        <w:rPr>
          <w:rFonts w:hint="eastAsia" w:ascii="仿宋" w:hAnsi="仿宋" w:eastAsia="仿宋" w:cs="仿宋"/>
          <w:color w:val="000000"/>
          <w:sz w:val="24"/>
          <w:szCs w:val="24"/>
          <w:highlight w:val="none"/>
        </w:rPr>
        <w:t xml:space="preserve">0000.00元，采购包5：</w:t>
      </w:r>
      <w:r>
        <w:rPr>
          <w:rFonts w:hint="eastAsia" w:ascii="仿宋" w:hAnsi="仿宋" w:eastAsia="仿宋" w:cs="仿宋"/>
          <w:color w:val="000000"/>
          <w:sz w:val="24"/>
          <w:szCs w:val="24"/>
          <w:highlight w:val="none"/>
          <w:lang w:val="en-US" w:eastAsia="zh-CN"/>
        </w:rPr>
        <w:t xml:space="preserve">25</w:t>
      </w:r>
      <w:r>
        <w:rPr>
          <w:rFonts w:hint="eastAsia" w:ascii="仿宋" w:hAnsi="仿宋" w:eastAsia="仿宋" w:cs="仿宋"/>
          <w:color w:val="000000"/>
          <w:sz w:val="24"/>
          <w:szCs w:val="24"/>
          <w:highlight w:val="none"/>
        </w:rPr>
        <w:t xml:space="preserve">0000.00元，采购包6:</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50000.00元，采购包7:</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50000.00元</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四、合同履行期限：</w:t>
      </w:r>
      <w:r>
        <w:rPr>
          <w:rFonts w:hint="eastAsia" w:ascii="仿宋" w:hAnsi="仿宋" w:eastAsia="仿宋" w:cs="仿宋"/>
          <w:color w:val="000000"/>
          <w:sz w:val="24"/>
          <w:szCs w:val="24"/>
          <w:highlight w:val="none"/>
          <w:lang w:val="en-US" w:eastAsia="zh-CN" w:bidi="ar-SA"/>
        </w:rPr>
        <w:t xml:space="preserve">采购包1成交供应商应在2026年9月30日之前完成服务A、B，并向采购人提交绩效分析报告；在1年内完成服务C；采购包2、3成交供应商应在2026年9月30日之前完成服务，并向采购人提交绩效分析报告；采购包4成交供应商应在2026年8月31日之前完成服务，并向采购人提交复核分析报告；采购包5、6、7成交供应商应在1年内分阶段完成服务。</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五、采购内容：</w:t>
      </w:r>
      <w:bookmarkStart w:id="44" w:name="_Toc309637890"/>
      <w:r>
        <w:rPr>
          <w:rFonts w:hint="eastAsia" w:ascii="仿宋" w:hAnsi="仿宋" w:eastAsia="仿宋" w:cs="仿宋"/>
          <w:b/>
          <w:bCs/>
          <w:color w:val="000000"/>
          <w:sz w:val="24"/>
          <w:szCs w:val="24"/>
          <w:highlight w:val="none"/>
        </w:rPr>
      </w:r>
      <w:r/>
    </w:p>
    <w:p>
      <w:pPr>
        <w:pStyle w:val="953"/>
        <w:ind w:firstLine="482"/>
        <w:spacing w:line="360" w:lineRule="auto"/>
        <w:rPr>
          <w:rFonts w:hint="eastAsia" w:ascii="仿宋" w:hAnsi="仿宋" w:eastAsia="仿宋" w:cs="仿宋"/>
          <w:b/>
          <w:bCs/>
          <w:color w:val="000000"/>
          <w:sz w:val="24"/>
          <w:szCs w:val="24"/>
          <w:highlight w:val="none"/>
        </w:rPr>
      </w:pPr>
      <w:r/>
      <w:bookmarkEnd w:id="44"/>
      <w:r>
        <w:rPr>
          <w:rFonts w:hint="eastAsia" w:ascii="仿宋" w:hAnsi="仿宋" w:eastAsia="仿宋" w:cs="仿宋"/>
          <w:b/>
          <w:bCs/>
          <w:sz w:val="24"/>
          <w:szCs w:val="24"/>
          <w:highlight w:val="none"/>
        </w:rPr>
        <w:t xml:space="preserve">（一）</w:t>
      </w:r>
      <w:r>
        <w:rPr>
          <w:rFonts w:hint="eastAsia" w:ascii="仿宋" w:hAnsi="仿宋" w:eastAsia="仿宋" w:cs="仿宋"/>
          <w:b/>
          <w:bCs/>
          <w:color w:val="000000"/>
          <w:sz w:val="24"/>
          <w:szCs w:val="24"/>
          <w:highlight w:val="none"/>
        </w:rPr>
        <w:t xml:space="preserve">采购清单：</w:t>
      </w:r>
      <w:r>
        <w:rPr>
          <w:rFonts w:hint="eastAsia" w:ascii="仿宋" w:hAnsi="仿宋" w:eastAsia="仿宋" w:cs="仿宋"/>
          <w:b/>
          <w:bCs/>
          <w:color w:val="000000"/>
          <w:sz w:val="24"/>
          <w:szCs w:val="24"/>
          <w:highlight w:val="none"/>
        </w:rPr>
      </w:r>
      <w:r/>
    </w:p>
    <w:tbl>
      <w:tblPr>
        <w:tblW w:w="502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571"/>
        <w:gridCol w:w="1039"/>
        <w:gridCol w:w="650"/>
        <w:gridCol w:w="3863"/>
        <w:gridCol w:w="859"/>
        <w:gridCol w:w="909"/>
      </w:tblGrid>
      <w:tr>
        <w:trPr/>
        <w:tc>
          <w:tcPr>
            <w:tcW w:w="396" w:type="dxa"/>
            <w:vAlign w:val="center"/>
            <w:textDirection w:val="lrTb"/>
            <w:noWrap w:val="false"/>
          </w:tcPr>
          <w:p>
            <w:pPr>
              <w:pStyle w:val="953"/>
              <w:jc w:val="center"/>
              <w:keepLines w:val="0"/>
              <w:keepNext w:val="0"/>
              <w:pageBreakBefore w:val="0"/>
              <w:spacing w:line="24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包号</w:t>
            </w:r>
            <w:r>
              <w:rPr>
                <w:rFonts w:hint="eastAsia" w:ascii="仿宋" w:hAnsi="仿宋" w:eastAsia="仿宋" w:cs="仿宋"/>
                <w:b/>
                <w:bCs/>
                <w:color w:val="000000"/>
                <w:sz w:val="21"/>
                <w:szCs w:val="21"/>
                <w:highlight w:val="none"/>
              </w:rPr>
            </w:r>
            <w:r/>
          </w:p>
        </w:tc>
        <w:tc>
          <w:tcPr>
            <w:tcW w:w="333" w:type="dxa"/>
            <w:vAlign w:val="center"/>
            <w:textDirection w:val="lrTb"/>
            <w:noWrap w:val="false"/>
          </w:tcPr>
          <w:p>
            <w:pPr>
              <w:pStyle w:val="953"/>
              <w:jc w:val="center"/>
              <w:keepLines w:val="0"/>
              <w:keepNext w:val="0"/>
              <w:pageBreakBefore w:val="0"/>
              <w:spacing w:line="24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序号</w:t>
            </w:r>
            <w:r>
              <w:rPr>
                <w:rFonts w:hint="eastAsia" w:ascii="仿宋" w:hAnsi="仿宋" w:eastAsia="仿宋" w:cs="仿宋"/>
                <w:b/>
                <w:bCs/>
                <w:color w:val="000000"/>
                <w:sz w:val="21"/>
                <w:szCs w:val="21"/>
                <w:highlight w:val="none"/>
              </w:rPr>
            </w:r>
            <w:r/>
          </w:p>
        </w:tc>
        <w:tc>
          <w:tcPr>
            <w:tcW w:w="606" w:type="dxa"/>
            <w:vAlign w:val="center"/>
            <w:textDirection w:val="lrTb"/>
            <w:noWrap w:val="false"/>
          </w:tcPr>
          <w:p>
            <w:pPr>
              <w:pStyle w:val="953"/>
              <w:jc w:val="center"/>
              <w:keepLines w:val="0"/>
              <w:keepNext w:val="0"/>
              <w:pageBreakBefore w:val="0"/>
              <w:spacing w:line="24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服务名称</w:t>
            </w:r>
            <w:r>
              <w:rPr>
                <w:rFonts w:hint="eastAsia" w:ascii="仿宋" w:hAnsi="仿宋" w:eastAsia="仿宋" w:cs="仿宋"/>
                <w:b/>
                <w:bCs/>
                <w:color w:val="000000"/>
                <w:sz w:val="21"/>
                <w:szCs w:val="21"/>
                <w:highlight w:val="none"/>
              </w:rPr>
            </w:r>
            <w:r/>
          </w:p>
        </w:tc>
        <w:tc>
          <w:tcPr>
            <w:tcW w:w="379" w:type="dxa"/>
            <w:vAlign w:val="center"/>
            <w:textDirection w:val="lrTb"/>
            <w:noWrap w:val="false"/>
          </w:tcPr>
          <w:p>
            <w:pPr>
              <w:pStyle w:val="953"/>
              <w:jc w:val="center"/>
              <w:keepLines w:val="0"/>
              <w:keepNext w:val="0"/>
              <w:pageBreakBefore w:val="0"/>
              <w:spacing w:line="24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服务清单序号</w:t>
            </w:r>
            <w:r>
              <w:rPr>
                <w:rFonts w:hint="eastAsia" w:ascii="仿宋" w:hAnsi="仿宋" w:eastAsia="仿宋" w:cs="仿宋"/>
                <w:b/>
                <w:bCs/>
                <w:color w:val="000000"/>
                <w:sz w:val="21"/>
                <w:szCs w:val="21"/>
                <w:highlight w:val="none"/>
              </w:rPr>
            </w:r>
            <w:r/>
          </w:p>
        </w:tc>
        <w:tc>
          <w:tcPr>
            <w:tcW w:w="2253" w:type="dxa"/>
            <w:vAlign w:val="center"/>
            <w:textDirection w:val="lrTb"/>
            <w:noWrap w:val="false"/>
          </w:tcPr>
          <w:p>
            <w:pPr>
              <w:pStyle w:val="953"/>
              <w:jc w:val="center"/>
              <w:keepLines w:val="0"/>
              <w:keepNext w:val="0"/>
              <w:pageBreakBefore w:val="0"/>
              <w:spacing w:line="24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服务清单</w:t>
            </w:r>
            <w:r>
              <w:rPr>
                <w:rFonts w:hint="eastAsia" w:ascii="仿宋" w:hAnsi="仿宋" w:eastAsia="仿宋" w:cs="仿宋"/>
                <w:b/>
                <w:bCs/>
                <w:color w:val="000000"/>
                <w:sz w:val="21"/>
                <w:szCs w:val="21"/>
                <w:highlight w:val="none"/>
              </w:rPr>
            </w:r>
            <w:r/>
          </w:p>
        </w:tc>
        <w:tc>
          <w:tcPr>
            <w:tcW w:w="501" w:type="dxa"/>
            <w:vAlign w:val="center"/>
            <w:textDirection w:val="lrTb"/>
            <w:noWrap w:val="false"/>
          </w:tcPr>
          <w:p>
            <w:pPr>
              <w:pStyle w:val="953"/>
              <w:jc w:val="center"/>
              <w:keepLines w:val="0"/>
              <w:keepNext w:val="0"/>
              <w:pageBreakBefore w:val="0"/>
              <w:spacing w:line="24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最高限价（万元）</w:t>
            </w:r>
            <w:r>
              <w:rPr>
                <w:rFonts w:hint="eastAsia" w:ascii="仿宋" w:hAnsi="仿宋" w:eastAsia="仿宋" w:cs="仿宋"/>
                <w:b/>
                <w:bCs/>
                <w:color w:val="000000"/>
                <w:sz w:val="21"/>
                <w:szCs w:val="21"/>
                <w:highlight w:val="none"/>
              </w:rPr>
            </w:r>
            <w:r/>
          </w:p>
        </w:tc>
        <w:tc>
          <w:tcPr>
            <w:tcW w:w="530" w:type="dxa"/>
            <w:vAlign w:val="center"/>
            <w:textDirection w:val="lrTb"/>
            <w:noWrap w:val="false"/>
          </w:tcPr>
          <w:p>
            <w:pPr>
              <w:pStyle w:val="953"/>
              <w:jc w:val="center"/>
              <w:keepLines w:val="0"/>
              <w:keepNext w:val="0"/>
              <w:pageBreakBefore w:val="0"/>
              <w:spacing w:line="24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合计</w:t>
            </w:r>
            <w:r>
              <w:rPr>
                <w:rFonts w:hint="eastAsia" w:ascii="仿宋" w:hAnsi="仿宋" w:eastAsia="仿宋" w:cs="仿宋"/>
                <w:b/>
                <w:bCs/>
                <w:color w:val="000000"/>
                <w:sz w:val="21"/>
                <w:szCs w:val="21"/>
                <w:highlight w:val="none"/>
              </w:rPr>
            </w:r>
            <w:r/>
          </w:p>
          <w:p>
            <w:pPr>
              <w:pStyle w:val="953"/>
              <w:jc w:val="center"/>
              <w:keepLines w:val="0"/>
              <w:keepNext w:val="0"/>
              <w:pageBreakBefore w:val="0"/>
              <w:spacing w:line="24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（万元）</w:t>
            </w:r>
            <w:r>
              <w:rPr>
                <w:rFonts w:hint="eastAsia" w:ascii="仿宋" w:hAnsi="仿宋" w:eastAsia="仿宋" w:cs="仿宋"/>
                <w:b/>
                <w:bCs/>
                <w:color w:val="000000"/>
                <w:sz w:val="21"/>
                <w:szCs w:val="21"/>
                <w:highlight w:val="none"/>
              </w:rPr>
            </w:r>
            <w:r/>
          </w:p>
        </w:tc>
      </w:tr>
      <w:tr>
        <w:trPr/>
        <w:tc>
          <w:tcPr>
            <w:tcW w:w="396" w:type="dxa"/>
            <w:vAlign w:val="center"/>
            <w:vMerge w:val="restart"/>
            <w:textDirection w:val="lrTb"/>
            <w:noWrap w:val="false"/>
          </w:tcPr>
          <w:p>
            <w:pPr>
              <w:pStyle w:val="953"/>
              <w:jc w:val="both"/>
              <w:spacing w:line="40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eastAsia="zh-CN"/>
              </w:rPr>
              <w:t xml:space="preserve">采购包</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val="en-US" w:eastAsia="zh-CN"/>
              </w:rPr>
            </w:r>
            <w:r/>
          </w:p>
        </w:tc>
        <w:tc>
          <w:tcPr>
            <w:tcW w:w="333" w:type="dxa"/>
            <w:vAlign w:val="center"/>
            <w:textDirection w:val="lrTb"/>
            <w:noWrap w:val="false"/>
          </w:tcPr>
          <w:p>
            <w:pPr>
              <w:pStyle w:val="953"/>
              <w:jc w:val="center"/>
              <w:spacing w:line="40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A</w:t>
            </w:r>
            <w:r>
              <w:rPr>
                <w:rFonts w:hint="eastAsia" w:ascii="仿宋" w:hAnsi="仿宋" w:eastAsia="仿宋" w:cs="仿宋"/>
                <w:color w:val="000000"/>
                <w:sz w:val="21"/>
                <w:szCs w:val="21"/>
                <w:highlight w:val="none"/>
                <w:lang w:eastAsia="zh-CN"/>
              </w:rPr>
            </w:r>
            <w:r/>
          </w:p>
        </w:tc>
        <w:tc>
          <w:tcPr>
            <w:tcW w:w="606"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支出标准建设服务</w:t>
            </w:r>
            <w:r>
              <w:rPr>
                <w:rFonts w:hint="eastAsia" w:ascii="仿宋" w:hAnsi="仿宋" w:eastAsia="仿宋" w:cs="仿宋"/>
                <w:color w:val="000000"/>
                <w:sz w:val="21"/>
                <w:szCs w:val="21"/>
                <w:highlight w:val="none"/>
              </w:rPr>
            </w:r>
            <w:r/>
          </w:p>
        </w:tc>
        <w:tc>
          <w:tcPr>
            <w:tcW w:w="379" w:type="dxa"/>
            <w:vAlign w:val="center"/>
            <w:textDirection w:val="lrTb"/>
            <w:noWrap w:val="false"/>
          </w:tcPr>
          <w:p>
            <w:pPr>
              <w:pStyle w:val="953"/>
              <w:jc w:val="center"/>
              <w:spacing w:line="40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r>
            <w:r/>
          </w:p>
        </w:tc>
        <w:tc>
          <w:tcPr>
            <w:tcW w:w="2253" w:type="dxa"/>
            <w:vAlign w:val="center"/>
            <w:textDirection w:val="lrTb"/>
            <w:noWrap w:val="false"/>
          </w:tcPr>
          <w:p>
            <w:pPr>
              <w:pStyle w:val="953"/>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信息化运维</w:t>
            </w:r>
            <w:r>
              <w:rPr>
                <w:rFonts w:hint="eastAsia" w:ascii="仿宋" w:hAnsi="仿宋" w:eastAsia="仿宋" w:cs="仿宋"/>
                <w:color w:val="000000"/>
                <w:sz w:val="21"/>
                <w:szCs w:val="21"/>
                <w:highlight w:val="none"/>
              </w:rPr>
              <w:t xml:space="preserve">支出标准体系</w:t>
            </w:r>
            <w:r>
              <w:rPr>
                <w:rFonts w:hint="eastAsia" w:ascii="仿宋" w:hAnsi="仿宋" w:eastAsia="仿宋" w:cs="仿宋"/>
                <w:color w:val="000000"/>
                <w:sz w:val="21"/>
                <w:szCs w:val="21"/>
                <w:highlight w:val="none"/>
              </w:rPr>
            </w:r>
            <w:r/>
          </w:p>
        </w:tc>
        <w:tc>
          <w:tcPr>
            <w:tcW w:w="501"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30</w:t>
            </w:r>
            <w:r>
              <w:rPr>
                <w:rFonts w:hint="eastAsia" w:ascii="仿宋" w:hAnsi="仿宋" w:eastAsia="仿宋" w:cs="仿宋"/>
                <w:color w:val="000000"/>
                <w:sz w:val="21"/>
                <w:szCs w:val="21"/>
                <w:highlight w:val="none"/>
                <w:lang w:val="en-US" w:eastAsia="zh-CN"/>
              </w:rPr>
            </w:r>
            <w:r/>
          </w:p>
        </w:tc>
        <w:tc>
          <w:tcPr>
            <w:tcW w:w="530" w:type="dxa"/>
            <w:vAlign w:val="center"/>
            <w:vMerge w:val="restart"/>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50</w:t>
            </w:r>
            <w:r>
              <w:rPr>
                <w:rFonts w:hint="eastAsia" w:ascii="仿宋" w:hAnsi="仿宋" w:eastAsia="仿宋" w:cs="仿宋"/>
                <w:color w:val="000000"/>
                <w:sz w:val="21"/>
                <w:szCs w:val="21"/>
                <w:highlight w:val="none"/>
                <w:lang w:val="en-US" w:eastAsia="zh-CN"/>
              </w:rPr>
            </w:r>
            <w:r/>
          </w:p>
        </w:tc>
      </w:tr>
      <w:tr>
        <w:trPr/>
        <w:tc>
          <w:tcPr>
            <w:tcW w:w="396" w:type="dxa"/>
            <w:vAlign w:val="center"/>
            <w:vMerge w:val="continue"/>
            <w:textDirection w:val="lrTb"/>
            <w:noWrap w:val="false"/>
          </w:tcPr>
          <w:p>
            <w:pPr>
              <w:pStyle w:val="953"/>
              <w:ind w:firstLine="440"/>
              <w:jc w:val="center"/>
              <w:spacing w:line="40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333"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B</w:t>
            </w:r>
            <w:r>
              <w:rPr>
                <w:rFonts w:hint="eastAsia" w:ascii="仿宋" w:hAnsi="仿宋" w:eastAsia="仿宋" w:cs="仿宋"/>
                <w:color w:val="000000"/>
                <w:sz w:val="21"/>
                <w:szCs w:val="21"/>
                <w:highlight w:val="none"/>
                <w:lang w:eastAsia="zh-CN"/>
              </w:rPr>
            </w:r>
            <w:r/>
          </w:p>
        </w:tc>
        <w:tc>
          <w:tcPr>
            <w:tcW w:w="606"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重点绩效评价服务</w:t>
            </w:r>
            <w:r>
              <w:rPr>
                <w:rFonts w:hint="eastAsia" w:ascii="仿宋" w:hAnsi="仿宋" w:eastAsia="仿宋" w:cs="仿宋"/>
                <w:color w:val="000000"/>
                <w:sz w:val="21"/>
                <w:szCs w:val="21"/>
                <w:highlight w:val="none"/>
              </w:rPr>
            </w:r>
            <w:r/>
          </w:p>
        </w:tc>
        <w:tc>
          <w:tcPr>
            <w:tcW w:w="379"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253" w:type="dxa"/>
            <w:vAlign w:val="center"/>
            <w:textDirection w:val="lrTb"/>
            <w:noWrap w:val="false"/>
          </w:tcPr>
          <w:p>
            <w:pPr>
              <w:pStyle w:val="953"/>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太仓市双创综合服务平台建设及运营重点绩效评价</w:t>
            </w:r>
            <w:r>
              <w:rPr>
                <w:rFonts w:hint="eastAsia" w:ascii="仿宋" w:hAnsi="仿宋" w:eastAsia="仿宋" w:cs="仿宋"/>
                <w:color w:val="000000"/>
                <w:sz w:val="21"/>
                <w:szCs w:val="21"/>
                <w:highlight w:val="none"/>
              </w:rPr>
            </w:r>
            <w:r/>
          </w:p>
        </w:tc>
        <w:tc>
          <w:tcPr>
            <w:tcW w:w="501"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8</w:t>
            </w:r>
            <w:r>
              <w:rPr>
                <w:rFonts w:hint="eastAsia" w:ascii="仿宋" w:hAnsi="仿宋" w:eastAsia="仿宋" w:cs="仿宋"/>
                <w:color w:val="000000"/>
                <w:sz w:val="21"/>
                <w:szCs w:val="21"/>
                <w:highlight w:val="none"/>
                <w:lang w:eastAsia="zh-CN"/>
              </w:rPr>
            </w:r>
            <w:r/>
          </w:p>
        </w:tc>
        <w:tc>
          <w:tcPr>
            <w:tcW w:w="530" w:type="dxa"/>
            <w:vAlign w:val="top"/>
            <w:vMerge w:val="continue"/>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3287"/>
        </w:trPr>
        <w:tc>
          <w:tcPr>
            <w:tcW w:w="396" w:type="dxa"/>
            <w:vAlign w:val="center"/>
            <w:vMerge w:val="continue"/>
            <w:textDirection w:val="lrTb"/>
            <w:noWrap w:val="false"/>
          </w:tcPr>
          <w:p>
            <w:pPr>
              <w:pStyle w:val="953"/>
              <w:ind w:firstLine="440"/>
              <w:jc w:val="center"/>
              <w:spacing w:line="40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333"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C</w:t>
            </w:r>
            <w:r>
              <w:rPr>
                <w:rFonts w:hint="eastAsia" w:ascii="仿宋" w:hAnsi="仿宋" w:eastAsia="仿宋" w:cs="仿宋"/>
                <w:color w:val="000000"/>
                <w:sz w:val="21"/>
                <w:szCs w:val="21"/>
                <w:highlight w:val="none"/>
                <w:lang w:eastAsia="zh-CN"/>
              </w:rPr>
            </w:r>
            <w:r/>
          </w:p>
        </w:tc>
        <w:tc>
          <w:tcPr>
            <w:tcW w:w="606"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辅导、培训、评审、咨询服务</w:t>
            </w:r>
            <w:r>
              <w:rPr>
                <w:rFonts w:hint="eastAsia" w:ascii="仿宋" w:hAnsi="仿宋" w:eastAsia="仿宋" w:cs="仿宋"/>
                <w:color w:val="000000"/>
                <w:sz w:val="21"/>
                <w:szCs w:val="21"/>
                <w:highlight w:val="none"/>
              </w:rPr>
            </w:r>
            <w:r/>
          </w:p>
        </w:tc>
        <w:tc>
          <w:tcPr>
            <w:tcW w:w="379"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253" w:type="dxa"/>
            <w:vAlign w:val="center"/>
            <w:textDirection w:val="lrTb"/>
            <w:noWrap w:val="false"/>
          </w:tcPr>
          <w:p>
            <w:pPr>
              <w:pStyle w:val="953"/>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部门项目标准化分类和标签体系建设培训；部门整体绩效目标编制、审核辅导培训；项目绩效目标编制、审核综合培训；针对市财政局委托的第三方重点绩效评价及其他成本绩效管理试点项目，提供方案和报告的综合指导和质控；针对委托第三方服务项目组织开展专家评审工作；对重点项目自评价复核提供专家再评服务</w:t>
            </w:r>
            <w:r>
              <w:rPr>
                <w:rFonts w:hint="eastAsia" w:ascii="仿宋" w:hAnsi="仿宋" w:eastAsia="仿宋" w:cs="仿宋"/>
                <w:color w:val="000000"/>
                <w:sz w:val="21"/>
                <w:szCs w:val="21"/>
                <w:highlight w:val="none"/>
              </w:rPr>
            </w:r>
            <w:r/>
          </w:p>
        </w:tc>
        <w:tc>
          <w:tcPr>
            <w:tcW w:w="501"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12</w:t>
            </w:r>
            <w:r>
              <w:rPr>
                <w:rFonts w:hint="eastAsia" w:ascii="仿宋" w:hAnsi="仿宋" w:eastAsia="仿宋" w:cs="仿宋"/>
                <w:color w:val="000000"/>
                <w:sz w:val="21"/>
                <w:szCs w:val="21"/>
                <w:highlight w:val="none"/>
                <w:lang w:val="en-US" w:eastAsia="zh-CN"/>
              </w:rPr>
            </w:r>
            <w:r/>
          </w:p>
        </w:tc>
        <w:tc>
          <w:tcPr>
            <w:tcW w:w="530"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961"/>
        </w:trPr>
        <w:tc>
          <w:tcPr>
            <w:tcW w:w="396" w:type="dxa"/>
            <w:vAlign w:val="center"/>
            <w:vMerge w:val="restart"/>
            <w:textDirection w:val="lrTb"/>
            <w:noWrap w:val="false"/>
          </w:tcPr>
          <w:p>
            <w:pPr>
              <w:pStyle w:val="953"/>
              <w:jc w:val="center"/>
              <w:spacing w:line="40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采购</w:t>
            </w:r>
            <w:r>
              <w:rPr>
                <w:rFonts w:hint="eastAsia" w:ascii="仿宋" w:hAnsi="仿宋" w:eastAsia="仿宋" w:cs="仿宋"/>
                <w:color w:val="000000"/>
                <w:sz w:val="21"/>
                <w:szCs w:val="21"/>
                <w:highlight w:val="none"/>
              </w:rPr>
              <w:t xml:space="preserve">包2</w:t>
            </w:r>
            <w:r>
              <w:rPr>
                <w:rFonts w:hint="eastAsia" w:ascii="仿宋" w:hAnsi="仿宋" w:eastAsia="仿宋" w:cs="仿宋"/>
                <w:color w:val="000000"/>
                <w:sz w:val="21"/>
                <w:szCs w:val="21"/>
                <w:highlight w:val="none"/>
              </w:rPr>
            </w:r>
            <w:r/>
          </w:p>
        </w:tc>
        <w:tc>
          <w:tcPr>
            <w:tcW w:w="333"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A</w:t>
            </w:r>
            <w:r>
              <w:rPr>
                <w:rFonts w:hint="eastAsia" w:ascii="仿宋" w:hAnsi="仿宋" w:eastAsia="仿宋" w:cs="仿宋"/>
                <w:color w:val="000000"/>
                <w:sz w:val="21"/>
                <w:szCs w:val="21"/>
                <w:highlight w:val="none"/>
                <w:lang w:val="en-US" w:eastAsia="zh-CN"/>
              </w:rPr>
            </w:r>
            <w:r/>
          </w:p>
        </w:tc>
        <w:tc>
          <w:tcPr>
            <w:tcW w:w="606"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成本预算绩效分析服务</w:t>
            </w:r>
            <w:r>
              <w:rPr>
                <w:rFonts w:hint="eastAsia" w:ascii="仿宋" w:hAnsi="仿宋" w:eastAsia="仿宋" w:cs="仿宋"/>
                <w:color w:val="000000"/>
                <w:sz w:val="21"/>
                <w:szCs w:val="21"/>
                <w:highlight w:val="none"/>
              </w:rPr>
            </w:r>
            <w:r/>
          </w:p>
        </w:tc>
        <w:tc>
          <w:tcPr>
            <w:tcW w:w="379"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253" w:type="dxa"/>
            <w:vAlign w:val="center"/>
            <w:textDirection w:val="lrTb"/>
            <w:noWrap w:val="false"/>
          </w:tcPr>
          <w:p>
            <w:pPr>
              <w:pStyle w:val="953"/>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城际快线补贴资金成本预算绩效分析</w:t>
            </w:r>
            <w:r>
              <w:rPr>
                <w:rFonts w:hint="eastAsia" w:ascii="仿宋" w:hAnsi="仿宋" w:eastAsia="仿宋" w:cs="仿宋"/>
                <w:color w:val="000000"/>
                <w:sz w:val="21"/>
                <w:szCs w:val="21"/>
                <w:highlight w:val="none"/>
              </w:rPr>
            </w:r>
            <w:r/>
          </w:p>
        </w:tc>
        <w:tc>
          <w:tcPr>
            <w:tcW w:w="501"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15</w:t>
            </w:r>
            <w:r>
              <w:rPr>
                <w:rFonts w:hint="eastAsia" w:ascii="仿宋" w:hAnsi="仿宋" w:eastAsia="仿宋" w:cs="仿宋"/>
                <w:color w:val="000000"/>
                <w:sz w:val="21"/>
                <w:szCs w:val="21"/>
                <w:highlight w:val="none"/>
                <w:lang w:val="en-US" w:eastAsia="zh-CN"/>
              </w:rPr>
            </w:r>
            <w:r/>
          </w:p>
        </w:tc>
        <w:tc>
          <w:tcPr>
            <w:tcW w:w="530" w:type="dxa"/>
            <w:vAlign w:val="center"/>
            <w:vMerge w:val="restart"/>
            <w:textDirection w:val="lrTb"/>
            <w:noWrap w:val="false"/>
          </w:tcPr>
          <w:p>
            <w:pPr>
              <w:pStyle w:val="953"/>
              <w:jc w:val="center"/>
              <w:widowControl/>
              <w:tabs>
                <w:tab w:val="left" w:pos="780"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35</w:t>
            </w:r>
            <w:r>
              <w:rPr>
                <w:rFonts w:hint="eastAsia" w:ascii="仿宋" w:hAnsi="仿宋" w:eastAsia="仿宋" w:cs="仿宋"/>
                <w:color w:val="000000"/>
                <w:sz w:val="21"/>
                <w:szCs w:val="21"/>
                <w:highlight w:val="none"/>
                <w:lang w:val="en-US" w:eastAsia="zh-CN"/>
              </w:rPr>
            </w:r>
            <w:r/>
          </w:p>
        </w:tc>
      </w:tr>
      <w:tr>
        <w:trPr>
          <w:trHeight w:val="1454"/>
        </w:trPr>
        <w:tc>
          <w:tcPr>
            <w:tcW w:w="396" w:type="dxa"/>
            <w:vAlign w:val="center"/>
            <w:vMerge w:val="continue"/>
            <w:textDirection w:val="lrTb"/>
            <w:noWrap w:val="false"/>
          </w:tcPr>
          <w:p>
            <w:pPr>
              <w:pStyle w:val="953"/>
              <w:jc w:val="center"/>
              <w:spacing w:line="40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333"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B</w:t>
            </w:r>
            <w:r>
              <w:rPr>
                <w:rFonts w:hint="eastAsia" w:ascii="仿宋" w:hAnsi="仿宋" w:eastAsia="仿宋" w:cs="仿宋"/>
                <w:color w:val="000000"/>
                <w:sz w:val="21"/>
                <w:szCs w:val="21"/>
                <w:highlight w:val="none"/>
                <w:lang w:val="en-US" w:eastAsia="zh-CN"/>
              </w:rPr>
            </w:r>
            <w:r/>
          </w:p>
        </w:tc>
        <w:tc>
          <w:tcPr>
            <w:tcW w:w="606"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重点绩效评价服务</w:t>
            </w:r>
            <w:r>
              <w:rPr>
                <w:rFonts w:hint="eastAsia" w:ascii="仿宋" w:hAnsi="仿宋" w:eastAsia="仿宋" w:cs="仿宋"/>
                <w:color w:val="000000"/>
                <w:sz w:val="21"/>
                <w:szCs w:val="21"/>
                <w:highlight w:val="none"/>
              </w:rPr>
            </w:r>
            <w:r/>
          </w:p>
        </w:tc>
        <w:tc>
          <w:tcPr>
            <w:tcW w:w="379"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253" w:type="dxa"/>
            <w:vAlign w:val="center"/>
            <w:textDirection w:val="lrTb"/>
            <w:noWrap w:val="false"/>
          </w:tcPr>
          <w:p>
            <w:pPr>
              <w:pStyle w:val="953"/>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新质生产力集成政策重点绩效评价</w:t>
            </w:r>
            <w:r>
              <w:rPr>
                <w:rFonts w:hint="eastAsia" w:ascii="仿宋" w:hAnsi="仿宋" w:eastAsia="仿宋" w:cs="仿宋"/>
                <w:color w:val="000000"/>
                <w:sz w:val="21"/>
                <w:szCs w:val="21"/>
                <w:highlight w:val="none"/>
              </w:rPr>
            </w:r>
            <w:r/>
          </w:p>
        </w:tc>
        <w:tc>
          <w:tcPr>
            <w:tcW w:w="501"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20</w:t>
            </w:r>
            <w:r>
              <w:rPr>
                <w:rFonts w:hint="eastAsia" w:ascii="仿宋" w:hAnsi="仿宋" w:eastAsia="仿宋" w:cs="仿宋"/>
                <w:color w:val="000000"/>
                <w:sz w:val="21"/>
                <w:szCs w:val="21"/>
                <w:highlight w:val="none"/>
              </w:rPr>
            </w:r>
            <w:r/>
          </w:p>
        </w:tc>
        <w:tc>
          <w:tcPr>
            <w:tcW w:w="530" w:type="dxa"/>
            <w:vAlign w:val="center"/>
            <w:vMerge w:val="continue"/>
            <w:textDirection w:val="lrTb"/>
            <w:noWrap w:val="false"/>
          </w:tcPr>
          <w:p>
            <w:pPr>
              <w:pStyle w:val="953"/>
              <w:jc w:val="center"/>
              <w:widowControl/>
              <w:tabs>
                <w:tab w:val="left" w:pos="7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4669"/>
        </w:trPr>
        <w:tc>
          <w:tcPr>
            <w:tcW w:w="396" w:type="dxa"/>
            <w:vAlign w:val="center"/>
            <w:vMerge w:val="restart"/>
            <w:textDirection w:val="lrTb"/>
            <w:noWrap w:val="false"/>
          </w:tcPr>
          <w:p>
            <w:pPr>
              <w:pStyle w:val="953"/>
              <w:jc w:val="center"/>
              <w:spacing w:line="40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采购</w:t>
            </w:r>
            <w:r>
              <w:rPr>
                <w:rFonts w:hint="eastAsia" w:ascii="仿宋" w:hAnsi="仿宋" w:eastAsia="仿宋" w:cs="仿宋"/>
                <w:color w:val="000000"/>
                <w:sz w:val="21"/>
                <w:szCs w:val="21"/>
                <w:highlight w:val="none"/>
              </w:rPr>
              <w:t xml:space="preserve">包3</w:t>
            </w:r>
            <w:r>
              <w:rPr>
                <w:rFonts w:hint="eastAsia" w:ascii="仿宋" w:hAnsi="仿宋" w:eastAsia="仿宋" w:cs="仿宋"/>
                <w:color w:val="000000"/>
                <w:sz w:val="21"/>
                <w:szCs w:val="21"/>
                <w:highlight w:val="none"/>
              </w:rPr>
            </w:r>
            <w:r/>
          </w:p>
        </w:tc>
        <w:tc>
          <w:tcPr>
            <w:tcW w:w="333"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A</w:t>
            </w:r>
            <w:r>
              <w:rPr>
                <w:rFonts w:hint="eastAsia" w:ascii="仿宋" w:hAnsi="仿宋" w:eastAsia="仿宋" w:cs="仿宋"/>
                <w:color w:val="000000"/>
                <w:sz w:val="21"/>
                <w:szCs w:val="21"/>
                <w:highlight w:val="none"/>
                <w:lang w:val="en-US" w:eastAsia="zh-CN"/>
              </w:rPr>
            </w:r>
            <w:r/>
          </w:p>
        </w:tc>
        <w:tc>
          <w:tcPr>
            <w:tcW w:w="606"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事前绩效评估服务（重点偏向运用成本绩效分析方法开展投入经济性分析）</w:t>
            </w:r>
            <w:r>
              <w:rPr>
                <w:rFonts w:hint="eastAsia" w:ascii="仿宋" w:hAnsi="仿宋" w:eastAsia="仿宋" w:cs="仿宋"/>
                <w:color w:val="000000"/>
                <w:sz w:val="21"/>
                <w:szCs w:val="21"/>
                <w:highlight w:val="none"/>
              </w:rPr>
            </w:r>
            <w:r/>
          </w:p>
        </w:tc>
        <w:tc>
          <w:tcPr>
            <w:tcW w:w="379"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253" w:type="dxa"/>
            <w:vAlign w:val="center"/>
            <w:textDirection w:val="lrTb"/>
            <w:noWrap w:val="false"/>
          </w:tcPr>
          <w:p>
            <w:pPr>
              <w:pStyle w:val="953"/>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太仓市明德高级中学宿舍楼翻修工程事前绩效评估</w:t>
            </w:r>
            <w:r>
              <w:rPr>
                <w:rFonts w:hint="eastAsia" w:ascii="仿宋" w:hAnsi="仿宋" w:eastAsia="仿宋" w:cs="仿宋"/>
                <w:color w:val="000000"/>
                <w:sz w:val="21"/>
                <w:szCs w:val="21"/>
                <w:highlight w:val="none"/>
              </w:rPr>
            </w:r>
            <w:r/>
          </w:p>
        </w:tc>
        <w:tc>
          <w:tcPr>
            <w:tcW w:w="501"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15</w:t>
            </w:r>
            <w:r>
              <w:rPr>
                <w:rFonts w:hint="eastAsia" w:ascii="仿宋" w:hAnsi="仿宋" w:eastAsia="仿宋" w:cs="仿宋"/>
                <w:color w:val="000000"/>
                <w:sz w:val="21"/>
                <w:szCs w:val="21"/>
                <w:highlight w:val="none"/>
                <w:lang w:val="en-US" w:eastAsia="zh-CN"/>
              </w:rPr>
            </w:r>
            <w:r/>
          </w:p>
        </w:tc>
        <w:tc>
          <w:tcPr>
            <w:tcW w:w="530" w:type="dxa"/>
            <w:vAlign w:val="center"/>
            <w:vMerge w:val="restart"/>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30</w:t>
            </w:r>
            <w:r>
              <w:rPr>
                <w:rFonts w:hint="eastAsia" w:ascii="仿宋" w:hAnsi="仿宋" w:eastAsia="仿宋" w:cs="仿宋"/>
                <w:color w:val="000000"/>
                <w:sz w:val="21"/>
                <w:szCs w:val="21"/>
                <w:highlight w:val="none"/>
                <w:lang w:val="en-US" w:eastAsia="zh-CN"/>
              </w:rPr>
            </w:r>
            <w:r/>
          </w:p>
        </w:tc>
      </w:tr>
      <w:tr>
        <w:trPr>
          <w:trHeight w:val="699"/>
        </w:trPr>
        <w:tc>
          <w:tcPr>
            <w:tcW w:w="396" w:type="dxa"/>
            <w:vAlign w:val="center"/>
            <w:vMerge w:val="continue"/>
            <w:textDirection w:val="lrTb"/>
            <w:noWrap w:val="false"/>
          </w:tcPr>
          <w:p>
            <w:pPr>
              <w:pStyle w:val="953"/>
              <w:jc w:val="center"/>
              <w:spacing w:line="400" w:lineRule="exact"/>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r>
            <w:r/>
          </w:p>
        </w:tc>
        <w:tc>
          <w:tcPr>
            <w:tcW w:w="333" w:type="dxa"/>
            <w:vAlign w:val="center"/>
            <w:vMerge w:val="restart"/>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B</w:t>
            </w:r>
            <w:r>
              <w:rPr>
                <w:rFonts w:hint="eastAsia" w:ascii="仿宋" w:hAnsi="仿宋" w:eastAsia="仿宋" w:cs="仿宋"/>
                <w:color w:val="000000"/>
                <w:sz w:val="21"/>
                <w:szCs w:val="21"/>
                <w:highlight w:val="none"/>
                <w:lang w:val="en-US" w:eastAsia="zh-CN"/>
              </w:rPr>
            </w:r>
            <w:r/>
          </w:p>
        </w:tc>
        <w:tc>
          <w:tcPr>
            <w:tcW w:w="606" w:type="dxa"/>
            <w:vAlign w:val="center"/>
            <w:vMerge w:val="restart"/>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重点绩效评价服务</w:t>
            </w:r>
            <w:r>
              <w:rPr>
                <w:rFonts w:hint="eastAsia" w:ascii="仿宋" w:hAnsi="仿宋" w:eastAsia="仿宋" w:cs="仿宋"/>
                <w:color w:val="000000"/>
                <w:sz w:val="21"/>
                <w:szCs w:val="21"/>
                <w:highlight w:val="none"/>
              </w:rPr>
            </w:r>
            <w:r/>
          </w:p>
        </w:tc>
        <w:tc>
          <w:tcPr>
            <w:tcW w:w="379"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val="en-US" w:eastAsia="zh-CN"/>
              </w:rPr>
            </w:r>
            <w:r/>
          </w:p>
        </w:tc>
        <w:tc>
          <w:tcPr>
            <w:tcW w:w="2253" w:type="dxa"/>
            <w:vAlign w:val="center"/>
            <w:textDirection w:val="lrTb"/>
            <w:noWrap w:val="false"/>
          </w:tcPr>
          <w:p>
            <w:pPr>
              <w:pStyle w:val="953"/>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残疾人康复经费</w:t>
            </w:r>
            <w:r>
              <w:rPr>
                <w:rFonts w:hint="eastAsia" w:ascii="仿宋" w:hAnsi="仿宋" w:eastAsia="仿宋" w:cs="仿宋"/>
                <w:color w:val="000000"/>
                <w:sz w:val="21"/>
                <w:szCs w:val="21"/>
                <w:highlight w:val="none"/>
              </w:rPr>
              <w:t xml:space="preserve">重点绩效评价</w:t>
            </w:r>
            <w:r>
              <w:rPr>
                <w:rFonts w:hint="eastAsia" w:ascii="仿宋" w:hAnsi="仿宋" w:eastAsia="仿宋" w:cs="仿宋"/>
                <w:color w:val="000000"/>
                <w:sz w:val="21"/>
                <w:szCs w:val="21"/>
                <w:highlight w:val="none"/>
              </w:rPr>
            </w:r>
            <w:r/>
          </w:p>
        </w:tc>
        <w:tc>
          <w:tcPr>
            <w:tcW w:w="501"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8</w:t>
            </w:r>
            <w:r>
              <w:rPr>
                <w:rFonts w:hint="eastAsia" w:ascii="仿宋" w:hAnsi="仿宋" w:eastAsia="仿宋" w:cs="仿宋"/>
                <w:color w:val="000000"/>
                <w:sz w:val="21"/>
                <w:szCs w:val="21"/>
                <w:highlight w:val="none"/>
                <w:lang w:val="en-US" w:eastAsia="zh-CN"/>
              </w:rPr>
            </w:r>
            <w:r/>
          </w:p>
        </w:tc>
        <w:tc>
          <w:tcPr>
            <w:tcW w:w="530"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672"/>
        </w:trPr>
        <w:tc>
          <w:tcPr>
            <w:tcW w:w="396" w:type="dxa"/>
            <w:vAlign w:val="center"/>
            <w:vMerge w:val="continue"/>
            <w:textDirection w:val="lrTb"/>
            <w:noWrap w:val="false"/>
          </w:tcPr>
          <w:p>
            <w:pPr>
              <w:pStyle w:val="953"/>
              <w:jc w:val="center"/>
              <w:spacing w:line="400" w:lineRule="exact"/>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r>
            <w:r/>
          </w:p>
        </w:tc>
        <w:tc>
          <w:tcPr>
            <w:tcW w:w="333"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606"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379"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val="en-US" w:eastAsia="zh-CN"/>
              </w:rPr>
            </w:r>
            <w:r/>
          </w:p>
        </w:tc>
        <w:tc>
          <w:tcPr>
            <w:tcW w:w="2253" w:type="dxa"/>
            <w:vAlign w:val="center"/>
            <w:textDirection w:val="lrTb"/>
            <w:noWrap w:val="false"/>
          </w:tcPr>
          <w:p>
            <w:pPr>
              <w:pStyle w:val="953"/>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梅山猪保种补助经费</w:t>
            </w:r>
            <w:r>
              <w:rPr>
                <w:rFonts w:hint="eastAsia" w:ascii="仿宋" w:hAnsi="仿宋" w:eastAsia="仿宋" w:cs="仿宋"/>
                <w:color w:val="000000"/>
                <w:sz w:val="21"/>
                <w:szCs w:val="21"/>
                <w:highlight w:val="none"/>
              </w:rPr>
              <w:t xml:space="preserve">重点绩效评价</w:t>
            </w:r>
            <w:r>
              <w:rPr>
                <w:rFonts w:hint="eastAsia" w:ascii="仿宋" w:hAnsi="仿宋" w:eastAsia="仿宋" w:cs="仿宋"/>
                <w:color w:val="000000"/>
                <w:sz w:val="21"/>
                <w:szCs w:val="21"/>
                <w:highlight w:val="none"/>
              </w:rPr>
            </w:r>
            <w:r/>
          </w:p>
        </w:tc>
        <w:tc>
          <w:tcPr>
            <w:tcW w:w="501"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7</w:t>
            </w:r>
            <w:r>
              <w:rPr>
                <w:rFonts w:hint="eastAsia" w:ascii="仿宋" w:hAnsi="仿宋" w:eastAsia="仿宋" w:cs="仿宋"/>
                <w:color w:val="000000"/>
                <w:sz w:val="21"/>
                <w:szCs w:val="21"/>
                <w:highlight w:val="none"/>
                <w:lang w:val="en-US" w:eastAsia="zh-CN"/>
              </w:rPr>
            </w:r>
            <w:r/>
          </w:p>
        </w:tc>
        <w:tc>
          <w:tcPr>
            <w:tcW w:w="530"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652"/>
        </w:trPr>
        <w:tc>
          <w:tcPr>
            <w:tcW w:w="396" w:type="dxa"/>
            <w:vAlign w:val="center"/>
            <w:textDirection w:val="lrTb"/>
            <w:noWrap w:val="false"/>
          </w:tcPr>
          <w:p>
            <w:pPr>
              <w:pStyle w:val="953"/>
              <w:jc w:val="center"/>
              <w:spacing w:line="40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bidi="ar"/>
              </w:rPr>
              <w:t xml:space="preserve">采购</w:t>
            </w:r>
            <w:r>
              <w:rPr>
                <w:rFonts w:hint="eastAsia" w:ascii="仿宋" w:hAnsi="仿宋" w:eastAsia="仿宋" w:cs="仿宋"/>
                <w:color w:val="000000"/>
                <w:sz w:val="21"/>
                <w:szCs w:val="21"/>
                <w:highlight w:val="none"/>
              </w:rPr>
              <w:t xml:space="preserve">包</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eastAsia="zh-CN"/>
              </w:rPr>
            </w:r>
            <w:r/>
          </w:p>
        </w:tc>
        <w:tc>
          <w:tcPr>
            <w:tcW w:w="333"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606"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自评价复核服务</w:t>
            </w:r>
            <w:r>
              <w:rPr>
                <w:rFonts w:hint="eastAsia" w:ascii="仿宋" w:hAnsi="仿宋" w:eastAsia="仿宋" w:cs="仿宋"/>
                <w:color w:val="000000"/>
                <w:sz w:val="21"/>
                <w:szCs w:val="21"/>
                <w:highlight w:val="none"/>
              </w:rPr>
            </w:r>
            <w:r/>
          </w:p>
        </w:tc>
        <w:tc>
          <w:tcPr>
            <w:tcW w:w="379"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253" w:type="dxa"/>
            <w:vAlign w:val="center"/>
            <w:textDirection w:val="lrTb"/>
            <w:noWrap w:val="false"/>
          </w:tcPr>
          <w:p>
            <w:pPr>
              <w:pStyle w:val="953"/>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80</w:t>
            </w:r>
            <w:r>
              <w:rPr>
                <w:rFonts w:hint="eastAsia" w:ascii="仿宋" w:hAnsi="仿宋" w:eastAsia="仿宋" w:cs="仿宋"/>
                <w:color w:val="000000"/>
                <w:sz w:val="21"/>
                <w:szCs w:val="21"/>
                <w:highlight w:val="none"/>
              </w:rPr>
              <w:t xml:space="preserve">个项目</w:t>
            </w:r>
            <w:r>
              <w:rPr>
                <w:rFonts w:hint="eastAsia" w:ascii="仿宋" w:hAnsi="仿宋" w:eastAsia="仿宋" w:cs="仿宋"/>
                <w:color w:val="000000"/>
                <w:sz w:val="21"/>
                <w:szCs w:val="21"/>
                <w:highlight w:val="none"/>
              </w:rPr>
            </w:r>
            <w:r/>
          </w:p>
        </w:tc>
        <w:tc>
          <w:tcPr>
            <w:tcW w:w="501"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25</w:t>
            </w:r>
            <w:r>
              <w:rPr>
                <w:rFonts w:hint="eastAsia" w:ascii="仿宋" w:hAnsi="仿宋" w:eastAsia="仿宋" w:cs="仿宋"/>
                <w:color w:val="000000"/>
                <w:sz w:val="21"/>
                <w:szCs w:val="21"/>
                <w:highlight w:val="none"/>
                <w:lang w:val="en-US" w:eastAsia="zh-CN"/>
              </w:rPr>
            </w:r>
            <w:r/>
          </w:p>
        </w:tc>
        <w:tc>
          <w:tcPr>
            <w:tcW w:w="530"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25</w:t>
            </w:r>
            <w:r>
              <w:rPr>
                <w:rFonts w:hint="eastAsia" w:ascii="仿宋" w:hAnsi="仿宋" w:eastAsia="仿宋" w:cs="仿宋"/>
                <w:color w:val="000000"/>
                <w:sz w:val="21"/>
                <w:szCs w:val="21"/>
                <w:highlight w:val="none"/>
                <w:lang w:val="en-US" w:eastAsia="zh-CN"/>
              </w:rPr>
            </w:r>
            <w:r/>
          </w:p>
        </w:tc>
      </w:tr>
      <w:tr>
        <w:trPr>
          <w:trHeight w:val="803"/>
        </w:trPr>
        <w:tc>
          <w:tcPr>
            <w:tcW w:w="396" w:type="dxa"/>
            <w:vAlign w:val="center"/>
            <w:vMerge w:val="restart"/>
            <w:textDirection w:val="lrTb"/>
            <w:noWrap w:val="false"/>
          </w:tcPr>
          <w:p>
            <w:pPr>
              <w:pStyle w:val="953"/>
              <w:jc w:val="center"/>
              <w:spacing w:line="40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bidi="ar"/>
              </w:rPr>
              <w:t xml:space="preserve">采购</w:t>
            </w:r>
            <w:r>
              <w:rPr>
                <w:rFonts w:hint="eastAsia" w:ascii="仿宋" w:hAnsi="仿宋" w:eastAsia="仿宋" w:cs="仿宋"/>
                <w:color w:val="000000"/>
                <w:sz w:val="21"/>
                <w:szCs w:val="21"/>
                <w:highlight w:val="none"/>
              </w:rPr>
              <w:t xml:space="preserve">包</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lang w:val="en-US" w:eastAsia="zh-CN"/>
              </w:rPr>
            </w:r>
            <w:r/>
          </w:p>
        </w:tc>
        <w:tc>
          <w:tcPr>
            <w:tcW w:w="333" w:type="dxa"/>
            <w:vAlign w:val="center"/>
            <w:vMerge w:val="restart"/>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606" w:type="dxa"/>
            <w:vAlign w:val="center"/>
            <w:vMerge w:val="restart"/>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监督协审服务</w:t>
            </w:r>
            <w:r>
              <w:rPr>
                <w:rFonts w:hint="eastAsia" w:ascii="仿宋" w:hAnsi="仿宋" w:eastAsia="仿宋" w:cs="仿宋"/>
                <w:color w:val="000000"/>
                <w:sz w:val="21"/>
                <w:szCs w:val="21"/>
                <w:highlight w:val="none"/>
                <w:lang w:eastAsia="zh-CN"/>
              </w:rPr>
            </w:r>
            <w:r/>
          </w:p>
        </w:tc>
        <w:tc>
          <w:tcPr>
            <w:tcW w:w="379"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val="en-US" w:eastAsia="zh-CN"/>
              </w:rPr>
            </w:r>
            <w:r/>
          </w:p>
        </w:tc>
        <w:tc>
          <w:tcPr>
            <w:tcW w:w="2253" w:type="dxa"/>
            <w:vAlign w:val="center"/>
            <w:textDirection w:val="lrTb"/>
            <w:noWrap w:val="false"/>
          </w:tcPr>
          <w:p>
            <w:pPr>
              <w:pStyle w:val="953"/>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重大公共卫生服务经费（太仓市卫生健康委员会）</w:t>
            </w:r>
            <w:r>
              <w:rPr>
                <w:rFonts w:hint="eastAsia" w:ascii="仿宋" w:hAnsi="仿宋" w:eastAsia="仿宋" w:cs="仿宋"/>
                <w:color w:val="000000"/>
                <w:sz w:val="21"/>
                <w:szCs w:val="21"/>
                <w:highlight w:val="none"/>
                <w:lang w:val="en-US" w:eastAsia="zh-CN"/>
              </w:rPr>
              <w:t xml:space="preserve">监督协审</w:t>
            </w:r>
            <w:r>
              <w:rPr>
                <w:rFonts w:hint="eastAsia" w:ascii="仿宋" w:hAnsi="仿宋" w:eastAsia="仿宋" w:cs="仿宋"/>
                <w:color w:val="000000"/>
                <w:sz w:val="21"/>
                <w:szCs w:val="21"/>
                <w:highlight w:val="none"/>
                <w:lang w:val="en-US" w:eastAsia="zh-CN"/>
              </w:rPr>
            </w:r>
            <w:r/>
          </w:p>
        </w:tc>
        <w:tc>
          <w:tcPr>
            <w:tcW w:w="501"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7</w:t>
            </w:r>
            <w:r>
              <w:rPr>
                <w:rFonts w:hint="eastAsia" w:ascii="仿宋" w:hAnsi="仿宋" w:eastAsia="仿宋" w:cs="仿宋"/>
                <w:color w:val="000000"/>
                <w:sz w:val="21"/>
                <w:szCs w:val="21"/>
                <w:highlight w:val="none"/>
                <w:lang w:val="en-US" w:eastAsia="zh-CN"/>
              </w:rPr>
            </w:r>
            <w:r/>
          </w:p>
        </w:tc>
        <w:tc>
          <w:tcPr>
            <w:tcW w:w="530" w:type="dxa"/>
            <w:vAlign w:val="center"/>
            <w:vMerge w:val="restart"/>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25</w:t>
            </w:r>
            <w:r>
              <w:rPr>
                <w:rFonts w:hint="eastAsia" w:ascii="仿宋" w:hAnsi="仿宋" w:eastAsia="仿宋" w:cs="仿宋"/>
                <w:color w:val="000000"/>
                <w:sz w:val="21"/>
                <w:szCs w:val="21"/>
                <w:highlight w:val="none"/>
                <w:lang w:val="en-US" w:eastAsia="zh-CN"/>
              </w:rPr>
            </w:r>
            <w:r/>
          </w:p>
        </w:tc>
      </w:tr>
      <w:tr>
        <w:trPr>
          <w:trHeight w:val="803"/>
        </w:trPr>
        <w:tc>
          <w:tcPr>
            <w:tcW w:w="396" w:type="dxa"/>
            <w:vAlign w:val="center"/>
            <w:vMerge w:val="continue"/>
            <w:textDirection w:val="lrTb"/>
            <w:noWrap w:val="false"/>
          </w:tcPr>
          <w:p>
            <w:pPr>
              <w:pStyle w:val="953"/>
              <w:jc w:val="center"/>
              <w:spacing w:line="400" w:lineRule="exact"/>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r>
            <w:r/>
          </w:p>
        </w:tc>
        <w:tc>
          <w:tcPr>
            <w:tcW w:w="333"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606"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379"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val="en-US" w:eastAsia="zh-CN"/>
              </w:rPr>
            </w:r>
            <w:r/>
          </w:p>
        </w:tc>
        <w:tc>
          <w:tcPr>
            <w:tcW w:w="2253" w:type="dxa"/>
            <w:vAlign w:val="center"/>
            <w:textDirection w:val="lrTb"/>
            <w:noWrap w:val="false"/>
          </w:tcPr>
          <w:p>
            <w:pPr>
              <w:pStyle w:val="953"/>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红十字生命救助站经费（太仓市红十字会）</w:t>
            </w:r>
            <w:r>
              <w:rPr>
                <w:rFonts w:hint="eastAsia" w:ascii="仿宋" w:hAnsi="仿宋" w:eastAsia="仿宋" w:cs="仿宋"/>
                <w:color w:val="000000"/>
                <w:sz w:val="21"/>
                <w:szCs w:val="21"/>
                <w:highlight w:val="none"/>
                <w:lang w:val="en-US" w:eastAsia="zh-CN"/>
              </w:rPr>
              <w:t xml:space="preserve">监督协审</w:t>
            </w:r>
            <w:r>
              <w:rPr>
                <w:rFonts w:hint="eastAsia" w:ascii="仿宋" w:hAnsi="仿宋" w:eastAsia="仿宋" w:cs="仿宋"/>
                <w:color w:val="000000"/>
                <w:sz w:val="21"/>
                <w:szCs w:val="21"/>
                <w:highlight w:val="none"/>
                <w:lang w:val="en-US" w:eastAsia="zh-CN"/>
              </w:rPr>
            </w:r>
            <w:r/>
          </w:p>
        </w:tc>
        <w:tc>
          <w:tcPr>
            <w:tcW w:w="501"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lang w:val="en-US" w:eastAsia="zh-CN"/>
              </w:rPr>
            </w:r>
            <w:r/>
          </w:p>
        </w:tc>
        <w:tc>
          <w:tcPr>
            <w:tcW w:w="530"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803"/>
        </w:trPr>
        <w:tc>
          <w:tcPr>
            <w:tcW w:w="396" w:type="dxa"/>
            <w:vAlign w:val="center"/>
            <w:vMerge w:val="continue"/>
            <w:textDirection w:val="lrTb"/>
            <w:noWrap w:val="false"/>
          </w:tcPr>
          <w:p>
            <w:pPr>
              <w:pStyle w:val="953"/>
              <w:jc w:val="center"/>
              <w:spacing w:line="400" w:lineRule="exact"/>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r>
            <w:r/>
          </w:p>
        </w:tc>
        <w:tc>
          <w:tcPr>
            <w:tcW w:w="333"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606"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379"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val="en-US" w:eastAsia="zh-CN"/>
              </w:rPr>
            </w:r>
            <w:r/>
          </w:p>
        </w:tc>
        <w:tc>
          <w:tcPr>
            <w:tcW w:w="2253" w:type="dxa"/>
            <w:vAlign w:val="center"/>
            <w:textDirection w:val="lrTb"/>
            <w:noWrap w:val="false"/>
          </w:tcPr>
          <w:p>
            <w:pPr>
              <w:pStyle w:val="953"/>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德育新时空内涵建设项目（太仓市教育局）</w:t>
            </w:r>
            <w:r>
              <w:rPr>
                <w:rFonts w:hint="eastAsia" w:ascii="仿宋" w:hAnsi="仿宋" w:eastAsia="仿宋" w:cs="仿宋"/>
                <w:color w:val="000000"/>
                <w:sz w:val="21"/>
                <w:szCs w:val="21"/>
                <w:highlight w:val="none"/>
                <w:lang w:val="en-US" w:eastAsia="zh-CN"/>
              </w:rPr>
              <w:t xml:space="preserve">监督协审</w:t>
            </w:r>
            <w:r>
              <w:rPr>
                <w:rFonts w:hint="eastAsia" w:ascii="仿宋" w:hAnsi="仿宋" w:eastAsia="仿宋" w:cs="仿宋"/>
                <w:color w:val="000000"/>
                <w:sz w:val="21"/>
                <w:szCs w:val="21"/>
                <w:highlight w:val="none"/>
                <w:lang w:val="en-US" w:eastAsia="zh-CN"/>
              </w:rPr>
            </w:r>
            <w:r/>
          </w:p>
        </w:tc>
        <w:tc>
          <w:tcPr>
            <w:tcW w:w="501"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lang w:val="en-US" w:eastAsia="zh-CN"/>
              </w:rPr>
            </w:r>
            <w:r/>
          </w:p>
        </w:tc>
        <w:tc>
          <w:tcPr>
            <w:tcW w:w="530"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2196"/>
        </w:trPr>
        <w:tc>
          <w:tcPr>
            <w:tcW w:w="396" w:type="dxa"/>
            <w:vAlign w:val="center"/>
            <w:vMerge w:val="continue"/>
            <w:textDirection w:val="lrTb"/>
            <w:noWrap w:val="false"/>
          </w:tcPr>
          <w:p>
            <w:pPr>
              <w:pStyle w:val="953"/>
              <w:jc w:val="center"/>
              <w:spacing w:line="400" w:lineRule="exact"/>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r>
            <w:r/>
          </w:p>
        </w:tc>
        <w:tc>
          <w:tcPr>
            <w:tcW w:w="333"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606"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379"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val="en-US" w:eastAsia="zh-CN"/>
              </w:rPr>
            </w:r>
            <w:r/>
          </w:p>
        </w:tc>
        <w:tc>
          <w:tcPr>
            <w:tcW w:w="2253" w:type="dxa"/>
            <w:vAlign w:val="center"/>
            <w:textDirection w:val="lrTb"/>
            <w:noWrap w:val="false"/>
          </w:tcPr>
          <w:p>
            <w:pPr>
              <w:pStyle w:val="953"/>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2个联动项目（单份报告预算金额为3万元，根据实际业务和上级要求，视情况出具协审报告或附码的专项审计报告，按实际出具数量结算，单份报告结算价=3万*中标折扣率）</w:t>
            </w:r>
            <w:r>
              <w:rPr>
                <w:rFonts w:hint="eastAsia" w:ascii="仿宋" w:hAnsi="仿宋" w:eastAsia="仿宋" w:cs="仿宋"/>
                <w:color w:val="000000"/>
                <w:sz w:val="21"/>
                <w:szCs w:val="21"/>
                <w:highlight w:val="none"/>
              </w:rPr>
            </w:r>
            <w:r/>
          </w:p>
        </w:tc>
        <w:tc>
          <w:tcPr>
            <w:tcW w:w="501"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lang w:val="en-US" w:eastAsia="zh-CN"/>
              </w:rPr>
            </w:r>
            <w:r/>
          </w:p>
        </w:tc>
        <w:tc>
          <w:tcPr>
            <w:tcW w:w="530"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802"/>
        </w:trPr>
        <w:tc>
          <w:tcPr>
            <w:tcW w:w="396" w:type="dxa"/>
            <w:vAlign w:val="center"/>
            <w:vMerge w:val="restart"/>
            <w:textDirection w:val="lrTb"/>
            <w:noWrap w:val="false"/>
          </w:tcPr>
          <w:p>
            <w:pPr>
              <w:pStyle w:val="953"/>
              <w:jc w:val="center"/>
              <w:spacing w:line="40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bidi="ar"/>
              </w:rPr>
              <w:t xml:space="preserve">采购</w:t>
            </w:r>
            <w:r>
              <w:rPr>
                <w:rFonts w:hint="eastAsia" w:ascii="仿宋" w:hAnsi="仿宋" w:eastAsia="仿宋" w:cs="仿宋"/>
                <w:color w:val="000000"/>
                <w:sz w:val="21"/>
                <w:szCs w:val="21"/>
                <w:highlight w:val="none"/>
              </w:rPr>
              <w:t xml:space="preserve">包</w:t>
            </w: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lang w:val="en-US" w:eastAsia="zh-CN"/>
              </w:rPr>
            </w:r>
            <w:r/>
          </w:p>
        </w:tc>
        <w:tc>
          <w:tcPr>
            <w:tcW w:w="333" w:type="dxa"/>
            <w:vAlign w:val="center"/>
            <w:vMerge w:val="restart"/>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606" w:type="dxa"/>
            <w:vAlign w:val="center"/>
            <w:vMerge w:val="restart"/>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监督协审服务</w:t>
            </w:r>
            <w:r>
              <w:rPr>
                <w:rFonts w:hint="eastAsia" w:ascii="仿宋" w:hAnsi="仿宋" w:eastAsia="仿宋" w:cs="仿宋"/>
                <w:color w:val="000000"/>
                <w:sz w:val="21"/>
                <w:szCs w:val="21"/>
                <w:highlight w:val="none"/>
              </w:rPr>
            </w:r>
            <w:r/>
          </w:p>
        </w:tc>
        <w:tc>
          <w:tcPr>
            <w:tcW w:w="379"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r>
            <w:r/>
          </w:p>
        </w:tc>
        <w:tc>
          <w:tcPr>
            <w:tcW w:w="2253" w:type="dxa"/>
            <w:vAlign w:val="center"/>
            <w:textDirection w:val="lrTb"/>
            <w:noWrap w:val="false"/>
          </w:tcPr>
          <w:p>
            <w:pPr>
              <w:pStyle w:val="953"/>
              <w:spacing w:line="400" w:lineRule="exact"/>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专项债券审计</w:t>
            </w:r>
            <w:r>
              <w:rPr>
                <w:rFonts w:hint="eastAsia" w:ascii="仿宋" w:hAnsi="仿宋" w:eastAsia="仿宋" w:cs="仿宋"/>
                <w:color w:val="000000"/>
                <w:sz w:val="21"/>
                <w:szCs w:val="21"/>
                <w:highlight w:val="none"/>
                <w:lang w:eastAsia="zh-CN"/>
              </w:rPr>
              <w:t xml:space="preserve">（需出具附码的专项审计报告）</w:t>
            </w:r>
            <w:r>
              <w:rPr>
                <w:rFonts w:hint="eastAsia" w:ascii="仿宋" w:hAnsi="仿宋" w:eastAsia="仿宋" w:cs="仿宋"/>
                <w:color w:val="000000"/>
                <w:sz w:val="21"/>
                <w:szCs w:val="21"/>
                <w:highlight w:val="none"/>
                <w:lang w:eastAsia="zh-CN"/>
              </w:rPr>
            </w:r>
            <w:r/>
          </w:p>
        </w:tc>
        <w:tc>
          <w:tcPr>
            <w:tcW w:w="501"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lang w:val="en-US" w:eastAsia="zh-CN"/>
              </w:rPr>
            </w:r>
            <w:r/>
          </w:p>
        </w:tc>
        <w:tc>
          <w:tcPr>
            <w:tcW w:w="530" w:type="dxa"/>
            <w:vAlign w:val="center"/>
            <w:vMerge w:val="restart"/>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25</w:t>
            </w:r>
            <w:r>
              <w:rPr>
                <w:rFonts w:hint="eastAsia" w:ascii="仿宋" w:hAnsi="仿宋" w:eastAsia="仿宋" w:cs="仿宋"/>
                <w:color w:val="000000"/>
                <w:sz w:val="21"/>
                <w:szCs w:val="21"/>
                <w:highlight w:val="none"/>
                <w:lang w:val="en-US" w:eastAsia="zh-CN"/>
              </w:rPr>
            </w:r>
            <w:r/>
          </w:p>
        </w:tc>
      </w:tr>
      <w:tr>
        <w:trPr>
          <w:trHeight w:val="802"/>
        </w:trPr>
        <w:tc>
          <w:tcPr>
            <w:tcW w:w="396" w:type="dxa"/>
            <w:vAlign w:val="center"/>
            <w:vMerge w:val="continue"/>
            <w:textDirection w:val="lrTb"/>
            <w:noWrap w:val="false"/>
          </w:tcPr>
          <w:p>
            <w:pPr>
              <w:pStyle w:val="953"/>
              <w:jc w:val="center"/>
              <w:spacing w:line="400" w:lineRule="exact"/>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r>
            <w:r/>
          </w:p>
        </w:tc>
        <w:tc>
          <w:tcPr>
            <w:tcW w:w="333"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606"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379"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r>
            <w:r/>
          </w:p>
        </w:tc>
        <w:tc>
          <w:tcPr>
            <w:tcW w:w="2253" w:type="dxa"/>
            <w:vAlign w:val="center"/>
            <w:textDirection w:val="lrTb"/>
            <w:noWrap w:val="false"/>
          </w:tcPr>
          <w:p>
            <w:pPr>
              <w:pStyle w:val="953"/>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污水处理专项资金</w:t>
            </w:r>
            <w:r>
              <w:rPr>
                <w:rFonts w:hint="eastAsia" w:ascii="仿宋" w:hAnsi="仿宋" w:eastAsia="仿宋" w:cs="仿宋"/>
                <w:color w:val="000000"/>
                <w:sz w:val="21"/>
                <w:szCs w:val="21"/>
                <w:highlight w:val="none"/>
                <w:lang w:val="en-US" w:eastAsia="zh-CN"/>
              </w:rPr>
              <w:t xml:space="preserve">专项审计</w:t>
            </w:r>
            <w:r>
              <w:rPr>
                <w:rFonts w:hint="eastAsia" w:ascii="仿宋" w:hAnsi="仿宋" w:eastAsia="仿宋" w:cs="仿宋"/>
                <w:color w:val="000000"/>
                <w:sz w:val="21"/>
                <w:szCs w:val="21"/>
                <w:highlight w:val="none"/>
              </w:rPr>
              <w:t xml:space="preserve">（需出具附码的专项审计报告）</w:t>
            </w:r>
            <w:r>
              <w:rPr>
                <w:rFonts w:hint="eastAsia" w:ascii="仿宋" w:hAnsi="仿宋" w:eastAsia="仿宋" w:cs="仿宋"/>
                <w:color w:val="000000"/>
                <w:sz w:val="21"/>
                <w:szCs w:val="21"/>
                <w:highlight w:val="none"/>
              </w:rPr>
            </w:r>
            <w:r/>
          </w:p>
        </w:tc>
        <w:tc>
          <w:tcPr>
            <w:tcW w:w="501"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7</w:t>
            </w:r>
            <w:r>
              <w:rPr>
                <w:rFonts w:hint="eastAsia" w:ascii="仿宋" w:hAnsi="仿宋" w:eastAsia="仿宋" w:cs="仿宋"/>
                <w:color w:val="000000"/>
                <w:sz w:val="21"/>
                <w:szCs w:val="21"/>
                <w:highlight w:val="none"/>
                <w:lang w:val="en-US" w:eastAsia="zh-CN"/>
              </w:rPr>
            </w:r>
            <w:r/>
          </w:p>
        </w:tc>
        <w:tc>
          <w:tcPr>
            <w:tcW w:w="530"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802"/>
        </w:trPr>
        <w:tc>
          <w:tcPr>
            <w:tcW w:w="396" w:type="dxa"/>
            <w:vAlign w:val="center"/>
            <w:vMerge w:val="continue"/>
            <w:textDirection w:val="lrTb"/>
            <w:noWrap w:val="false"/>
          </w:tcPr>
          <w:p>
            <w:pPr>
              <w:pStyle w:val="953"/>
              <w:jc w:val="center"/>
              <w:spacing w:line="400" w:lineRule="exact"/>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r>
            <w:r/>
          </w:p>
        </w:tc>
        <w:tc>
          <w:tcPr>
            <w:tcW w:w="333"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606"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379"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r>
            <w:r/>
          </w:p>
        </w:tc>
        <w:tc>
          <w:tcPr>
            <w:tcW w:w="2253" w:type="dxa"/>
            <w:vAlign w:val="center"/>
            <w:textDirection w:val="lrTb"/>
            <w:noWrap w:val="false"/>
          </w:tcPr>
          <w:p>
            <w:pPr>
              <w:pStyle w:val="953"/>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房产促销费政策（两年）（太仓市住房和城乡建设局）</w:t>
            </w:r>
            <w:r>
              <w:rPr>
                <w:rFonts w:hint="eastAsia" w:ascii="仿宋" w:hAnsi="仿宋" w:eastAsia="仿宋" w:cs="仿宋"/>
                <w:color w:val="000000"/>
                <w:sz w:val="21"/>
                <w:szCs w:val="21"/>
                <w:highlight w:val="none"/>
                <w:lang w:val="en-US" w:eastAsia="zh-CN"/>
              </w:rPr>
              <w:t xml:space="preserve">监督协审</w:t>
            </w:r>
            <w:r>
              <w:rPr>
                <w:rFonts w:hint="eastAsia" w:ascii="仿宋" w:hAnsi="仿宋" w:eastAsia="仿宋" w:cs="仿宋"/>
                <w:color w:val="000000"/>
                <w:sz w:val="21"/>
                <w:szCs w:val="21"/>
                <w:highlight w:val="none"/>
                <w:lang w:val="en-US" w:eastAsia="zh-CN"/>
              </w:rPr>
            </w:r>
            <w:r/>
          </w:p>
        </w:tc>
        <w:tc>
          <w:tcPr>
            <w:tcW w:w="501"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lang w:val="en-US" w:eastAsia="zh-CN"/>
              </w:rPr>
            </w:r>
            <w:r/>
          </w:p>
        </w:tc>
        <w:tc>
          <w:tcPr>
            <w:tcW w:w="530"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802"/>
        </w:trPr>
        <w:tc>
          <w:tcPr>
            <w:tcW w:w="396" w:type="dxa"/>
            <w:vAlign w:val="center"/>
            <w:vMerge w:val="continue"/>
            <w:textDirection w:val="lrTb"/>
            <w:noWrap w:val="false"/>
          </w:tcPr>
          <w:p>
            <w:pPr>
              <w:pStyle w:val="953"/>
              <w:jc w:val="center"/>
              <w:spacing w:line="400" w:lineRule="exact"/>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r>
            <w:r/>
          </w:p>
        </w:tc>
        <w:tc>
          <w:tcPr>
            <w:tcW w:w="333"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606"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379"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r>
            <w:r/>
          </w:p>
        </w:tc>
        <w:tc>
          <w:tcPr>
            <w:tcW w:w="2253" w:type="dxa"/>
            <w:vAlign w:val="center"/>
            <w:textDirection w:val="lrTb"/>
            <w:noWrap w:val="false"/>
          </w:tcPr>
          <w:p>
            <w:pPr>
              <w:pStyle w:val="953"/>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公共文化发展专项资金（太仓市文体广电和旅游局）</w:t>
            </w:r>
            <w:r>
              <w:rPr>
                <w:rFonts w:hint="eastAsia" w:ascii="仿宋" w:hAnsi="仿宋" w:eastAsia="仿宋" w:cs="仿宋"/>
                <w:color w:val="000000"/>
                <w:sz w:val="21"/>
                <w:szCs w:val="21"/>
                <w:highlight w:val="none"/>
                <w:lang w:val="en-US" w:eastAsia="zh-CN"/>
              </w:rPr>
              <w:t xml:space="preserve">监督协审</w:t>
            </w:r>
            <w:r>
              <w:rPr>
                <w:rFonts w:hint="eastAsia" w:ascii="仿宋" w:hAnsi="仿宋" w:eastAsia="仿宋" w:cs="仿宋"/>
                <w:color w:val="000000"/>
                <w:sz w:val="21"/>
                <w:szCs w:val="21"/>
                <w:highlight w:val="none"/>
                <w:lang w:val="en-US" w:eastAsia="zh-CN"/>
              </w:rPr>
            </w:r>
            <w:r/>
          </w:p>
        </w:tc>
        <w:tc>
          <w:tcPr>
            <w:tcW w:w="501"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7</w:t>
            </w:r>
            <w:r>
              <w:rPr>
                <w:rFonts w:hint="eastAsia" w:ascii="仿宋" w:hAnsi="仿宋" w:eastAsia="仿宋" w:cs="仿宋"/>
                <w:color w:val="000000"/>
                <w:sz w:val="21"/>
                <w:szCs w:val="21"/>
                <w:highlight w:val="none"/>
                <w:lang w:val="en-US" w:eastAsia="zh-CN"/>
              </w:rPr>
            </w:r>
            <w:r/>
          </w:p>
        </w:tc>
        <w:tc>
          <w:tcPr>
            <w:tcW w:w="530"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652"/>
        </w:trPr>
        <w:tc>
          <w:tcPr>
            <w:tcW w:w="679" w:type="dxa"/>
            <w:vAlign w:val="center"/>
            <w:vMerge w:val="restart"/>
            <w:textDirection w:val="lrTb"/>
            <w:noWrap w:val="false"/>
          </w:tcPr>
          <w:p>
            <w:pPr>
              <w:pStyle w:val="953"/>
              <w:jc w:val="center"/>
              <w:spacing w:line="40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bidi="ar"/>
              </w:rPr>
              <w:t xml:space="preserve">采购</w:t>
            </w:r>
            <w:r>
              <w:rPr>
                <w:rFonts w:hint="eastAsia" w:ascii="仿宋" w:hAnsi="仿宋" w:eastAsia="仿宋" w:cs="仿宋"/>
                <w:color w:val="000000"/>
                <w:sz w:val="21"/>
                <w:szCs w:val="21"/>
                <w:highlight w:val="none"/>
              </w:rPr>
              <w:t xml:space="preserve">包</w:t>
            </w:r>
            <w:r>
              <w:rPr>
                <w:rFonts w:hint="eastAsia" w:ascii="仿宋" w:hAnsi="仿宋" w:eastAsia="仿宋" w:cs="仿宋"/>
                <w:color w:val="000000"/>
                <w:sz w:val="21"/>
                <w:szCs w:val="21"/>
                <w:highlight w:val="none"/>
                <w:lang w:val="en-US" w:eastAsia="zh-CN"/>
              </w:rPr>
              <w:t xml:space="preserve">7</w:t>
            </w:r>
            <w:r>
              <w:rPr>
                <w:rFonts w:hint="eastAsia" w:ascii="仿宋" w:hAnsi="仿宋" w:eastAsia="仿宋" w:cs="仿宋"/>
                <w:color w:val="000000"/>
                <w:sz w:val="21"/>
                <w:szCs w:val="21"/>
                <w:highlight w:val="none"/>
                <w:lang w:val="en-US" w:eastAsia="zh-CN"/>
              </w:rPr>
            </w:r>
            <w:r/>
          </w:p>
        </w:tc>
        <w:tc>
          <w:tcPr>
            <w:tcW w:w="571" w:type="dxa"/>
            <w:vAlign w:val="center"/>
            <w:vMerge w:val="restart"/>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039" w:type="dxa"/>
            <w:vAlign w:val="center"/>
            <w:vMerge w:val="restart"/>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监督协审服务</w:t>
            </w:r>
            <w:r>
              <w:rPr>
                <w:rFonts w:hint="eastAsia" w:ascii="仿宋" w:hAnsi="仿宋" w:eastAsia="仿宋" w:cs="仿宋"/>
                <w:color w:val="000000"/>
                <w:sz w:val="21"/>
                <w:szCs w:val="21"/>
                <w:highlight w:val="none"/>
              </w:rPr>
            </w:r>
            <w:r/>
          </w:p>
        </w:tc>
        <w:tc>
          <w:tcPr>
            <w:tcW w:w="650"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r>
            <w:r/>
          </w:p>
        </w:tc>
        <w:tc>
          <w:tcPr>
            <w:tcW w:w="3863" w:type="dxa"/>
            <w:vAlign w:val="center"/>
            <w:textDirection w:val="lrTb"/>
            <w:noWrap w:val="false"/>
          </w:tcPr>
          <w:p>
            <w:pPr>
              <w:pStyle w:val="953"/>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农产品质量安全建设经费（太仓市农业农村局）</w:t>
            </w:r>
            <w:r>
              <w:rPr>
                <w:rFonts w:hint="eastAsia" w:ascii="仿宋" w:hAnsi="仿宋" w:eastAsia="仿宋" w:cs="仿宋"/>
                <w:color w:val="000000"/>
                <w:sz w:val="21"/>
                <w:szCs w:val="21"/>
                <w:highlight w:val="none"/>
                <w:lang w:val="en-US" w:eastAsia="zh-CN"/>
              </w:rPr>
              <w:t xml:space="preserve">监督协审</w:t>
            </w:r>
            <w:r>
              <w:rPr>
                <w:rFonts w:hint="eastAsia" w:ascii="仿宋" w:hAnsi="仿宋" w:eastAsia="仿宋" w:cs="仿宋"/>
                <w:color w:val="000000"/>
                <w:sz w:val="21"/>
                <w:szCs w:val="21"/>
                <w:highlight w:val="none"/>
                <w:lang w:val="en-US" w:eastAsia="zh-CN"/>
              </w:rPr>
            </w:r>
            <w:r/>
          </w:p>
        </w:tc>
        <w:tc>
          <w:tcPr>
            <w:tcW w:w="859"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val="en-US" w:eastAsia="zh-CN"/>
              </w:rPr>
            </w:r>
            <w:r/>
          </w:p>
        </w:tc>
        <w:tc>
          <w:tcPr>
            <w:tcW w:w="530" w:type="dxa"/>
            <w:vAlign w:val="center"/>
            <w:vMerge w:val="restart"/>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25</w:t>
            </w:r>
            <w:r>
              <w:rPr>
                <w:rFonts w:hint="eastAsia" w:ascii="仿宋" w:hAnsi="仿宋" w:eastAsia="仿宋" w:cs="仿宋"/>
                <w:color w:val="000000"/>
                <w:sz w:val="21"/>
                <w:szCs w:val="21"/>
                <w:highlight w:val="none"/>
                <w:lang w:val="en-US" w:eastAsia="zh-CN"/>
              </w:rPr>
            </w:r>
            <w:r/>
          </w:p>
        </w:tc>
      </w:tr>
      <w:tr>
        <w:trPr>
          <w:trHeight w:val="652"/>
        </w:trPr>
        <w:tc>
          <w:tcPr>
            <w:tcW w:w="679" w:type="dxa"/>
            <w:vAlign w:val="center"/>
            <w:vMerge w:val="continue"/>
            <w:textDirection w:val="lrTb"/>
            <w:noWrap w:val="false"/>
          </w:tcPr>
          <w:p>
            <w:pPr>
              <w:pStyle w:val="953"/>
              <w:jc w:val="center"/>
              <w:spacing w:line="400" w:lineRule="exact"/>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r>
            <w:r/>
          </w:p>
        </w:tc>
        <w:tc>
          <w:tcPr>
            <w:tcW w:w="571"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039"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650"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r>
            <w:r/>
          </w:p>
        </w:tc>
        <w:tc>
          <w:tcPr>
            <w:tcW w:w="3863" w:type="dxa"/>
            <w:vAlign w:val="center"/>
            <w:textDirection w:val="lrTb"/>
            <w:noWrap w:val="false"/>
          </w:tcPr>
          <w:p>
            <w:pPr>
              <w:pStyle w:val="953"/>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4份专项审计报告（需出具附码的专项审计报告，单份报告预算金额为1.5万元，根据实际业务和上级要求，按实际出具数量结算，单份报告结算价=1.5万*中标折扣率）</w:t>
            </w:r>
            <w:r>
              <w:rPr>
                <w:rFonts w:hint="eastAsia" w:ascii="仿宋" w:hAnsi="仿宋" w:eastAsia="仿宋" w:cs="仿宋"/>
                <w:color w:val="000000"/>
                <w:sz w:val="21"/>
                <w:szCs w:val="21"/>
                <w:highlight w:val="none"/>
              </w:rPr>
            </w:r>
            <w:r/>
          </w:p>
        </w:tc>
        <w:tc>
          <w:tcPr>
            <w:tcW w:w="859"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lang w:val="en-US" w:eastAsia="zh-CN"/>
              </w:rPr>
            </w:r>
            <w:r/>
          </w:p>
        </w:tc>
        <w:tc>
          <w:tcPr>
            <w:tcW w:w="530"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652"/>
        </w:trPr>
        <w:tc>
          <w:tcPr>
            <w:tcW w:w="679" w:type="dxa"/>
            <w:vAlign w:val="center"/>
            <w:vMerge w:val="continue"/>
            <w:textDirection w:val="lrTb"/>
            <w:noWrap w:val="false"/>
          </w:tcPr>
          <w:p>
            <w:pPr>
              <w:pStyle w:val="953"/>
              <w:jc w:val="center"/>
              <w:spacing w:line="400" w:lineRule="exact"/>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r>
            <w:r/>
          </w:p>
        </w:tc>
        <w:tc>
          <w:tcPr>
            <w:tcW w:w="571"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039"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650"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r>
            <w:r/>
          </w:p>
        </w:tc>
        <w:tc>
          <w:tcPr>
            <w:tcW w:w="3863" w:type="dxa"/>
            <w:vAlign w:val="center"/>
            <w:textDirection w:val="lrTb"/>
            <w:noWrap w:val="false"/>
          </w:tcPr>
          <w:p>
            <w:pPr>
              <w:pStyle w:val="953"/>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专项监督检查项目“回头看”（约30个项目）</w:t>
            </w:r>
            <w:r>
              <w:rPr>
                <w:rFonts w:hint="eastAsia" w:ascii="仿宋" w:hAnsi="仿宋" w:eastAsia="仿宋" w:cs="仿宋"/>
                <w:color w:val="000000"/>
                <w:sz w:val="21"/>
                <w:szCs w:val="21"/>
                <w:highlight w:val="none"/>
              </w:rPr>
            </w:r>
            <w:r/>
          </w:p>
        </w:tc>
        <w:tc>
          <w:tcPr>
            <w:tcW w:w="859"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val="en-US" w:eastAsia="zh-CN"/>
              </w:rPr>
            </w:r>
            <w:r/>
          </w:p>
        </w:tc>
        <w:tc>
          <w:tcPr>
            <w:tcW w:w="530"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652"/>
        </w:trPr>
        <w:tc>
          <w:tcPr>
            <w:tcW w:w="679" w:type="dxa"/>
            <w:vAlign w:val="center"/>
            <w:vMerge w:val="continue"/>
            <w:textDirection w:val="lrTb"/>
            <w:noWrap w:val="false"/>
          </w:tcPr>
          <w:p>
            <w:pPr>
              <w:pStyle w:val="953"/>
              <w:jc w:val="center"/>
              <w:spacing w:line="400" w:lineRule="exact"/>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r>
            <w:r/>
          </w:p>
        </w:tc>
        <w:tc>
          <w:tcPr>
            <w:tcW w:w="571"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039"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650"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r>
            <w:r/>
          </w:p>
        </w:tc>
        <w:tc>
          <w:tcPr>
            <w:tcW w:w="3863" w:type="dxa"/>
            <w:vAlign w:val="center"/>
            <w:textDirection w:val="lrTb"/>
            <w:noWrap w:val="false"/>
          </w:tcPr>
          <w:p>
            <w:pPr>
              <w:pStyle w:val="953"/>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部门决算、财务报告质量、银行账户检查和会计信息质量检查（约35家预算单位）</w:t>
            </w:r>
            <w:r>
              <w:rPr>
                <w:rFonts w:hint="eastAsia" w:ascii="仿宋" w:hAnsi="仿宋" w:eastAsia="仿宋" w:cs="仿宋"/>
                <w:color w:val="000000"/>
                <w:sz w:val="21"/>
                <w:szCs w:val="21"/>
                <w:highlight w:val="none"/>
              </w:rPr>
            </w:r>
            <w:r/>
          </w:p>
        </w:tc>
        <w:tc>
          <w:tcPr>
            <w:tcW w:w="859" w:type="dxa"/>
            <w:vAlign w:val="center"/>
            <w:textDirection w:val="lrTb"/>
            <w:noWrap w:val="false"/>
          </w:tcPr>
          <w:p>
            <w:pPr>
              <w:pStyle w:val="953"/>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12</w:t>
            </w:r>
            <w:r>
              <w:rPr>
                <w:rFonts w:hint="eastAsia" w:ascii="仿宋" w:hAnsi="仿宋" w:eastAsia="仿宋" w:cs="仿宋"/>
                <w:color w:val="000000"/>
                <w:sz w:val="21"/>
                <w:szCs w:val="21"/>
                <w:highlight w:val="none"/>
                <w:lang w:val="en-US" w:eastAsia="zh-CN"/>
              </w:rPr>
            </w:r>
            <w:r/>
          </w:p>
        </w:tc>
        <w:tc>
          <w:tcPr>
            <w:tcW w:w="530" w:type="dxa"/>
            <w:vAlign w:val="center"/>
            <w:vMerge w:val="continue"/>
            <w:textDirection w:val="lrTb"/>
            <w:noWrap w:val="false"/>
          </w:tcPr>
          <w:p>
            <w:pPr>
              <w:pStyle w:val="953"/>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bl>
    <w:p>
      <w:pPr>
        <w:pStyle w:val="953"/>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p>
      <w:pPr>
        <w:pStyle w:val="953"/>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（二）服务内容及要求：</w:t>
      </w:r>
      <w:r>
        <w:rPr>
          <w:rFonts w:hint="eastAsia" w:ascii="仿宋" w:hAnsi="仿宋" w:eastAsia="仿宋" w:cs="仿宋"/>
          <w:b/>
          <w:bCs/>
          <w:sz w:val="24"/>
          <w:szCs w:val="24"/>
          <w:highlight w:val="none"/>
        </w:rPr>
      </w:r>
      <w:r/>
    </w:p>
    <w:p>
      <w:pPr>
        <w:pStyle w:val="953"/>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采购包1服务A内容：</w:t>
      </w:r>
      <w:r>
        <w:rPr>
          <w:rFonts w:hint="eastAsia" w:ascii="仿宋" w:hAnsi="仿宋" w:eastAsia="仿宋" w:cs="仿宋"/>
          <w:b/>
          <w:bCs/>
          <w:sz w:val="24"/>
          <w:szCs w:val="24"/>
          <w:highlight w:val="none"/>
        </w:rPr>
        <w:t xml:space="preserve">支出标准建设服务</w:t>
      </w:r>
      <w:r>
        <w:rPr>
          <w:rFonts w:hint="eastAsia" w:ascii="仿宋" w:hAnsi="仿宋" w:eastAsia="仿宋" w:cs="仿宋"/>
          <w:b/>
          <w:bCs/>
          <w:color w:val="000000"/>
          <w:sz w:val="24"/>
          <w:szCs w:val="24"/>
          <w:highlight w:val="none"/>
        </w:rPr>
      </w:r>
      <w:r/>
    </w:p>
    <w:p>
      <w:pPr>
        <w:pStyle w:val="953"/>
        <w:jc w:val="center"/>
        <w:keepLines w:val="0"/>
        <w:keepNext w:val="0"/>
        <w:pageBreakBefore w:val="0"/>
        <w:spacing w:line="360" w:lineRule="auto"/>
        <w:widowControl w:val="off"/>
        <w:rPr>
          <w:rFonts w:hint="eastAsia" w:ascii="仿宋" w:hAnsi="仿宋" w:eastAsia="仿宋" w:cs="仿宋"/>
          <w:b/>
          <w:bCs/>
          <w:color w:val="000000"/>
          <w:sz w:val="24"/>
          <w:szCs w:val="24"/>
          <w:highlight w:val="none"/>
          <w:lang w:eastAsia="zh-CN"/>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b/>
          <w:bCs/>
          <w:color w:val="000000"/>
          <w:sz w:val="24"/>
          <w:szCs w:val="24"/>
          <w:highlight w:val="none"/>
          <w:lang w:eastAsia="zh-CN"/>
        </w:rPr>
        <w:t xml:space="preserve">信息化运维</w:t>
      </w:r>
      <w:r>
        <w:rPr>
          <w:rFonts w:hint="eastAsia" w:ascii="仿宋" w:hAnsi="仿宋" w:eastAsia="仿宋" w:cs="仿宋"/>
          <w:b/>
          <w:bCs/>
          <w:color w:val="000000"/>
          <w:sz w:val="24"/>
          <w:szCs w:val="24"/>
          <w:highlight w:val="none"/>
        </w:rPr>
        <w:t xml:space="preserve">支出标准体系</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评分案例</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eastAsia="zh-CN"/>
        </w:rPr>
      </w:r>
      <w:r/>
    </w:p>
    <w:p>
      <w:pPr>
        <w:pStyle w:val="953"/>
        <w:ind w:firstLine="480"/>
        <w:spacing w:line="360" w:lineRule="auto"/>
        <w:rPr>
          <w:rFonts w:hint="eastAsia" w:ascii="仿宋" w:hAnsi="仿宋" w:eastAsia="仿宋" w:cs="仿宋"/>
          <w:sz w:val="24"/>
          <w:szCs w:val="24"/>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sz w:val="24"/>
          <w:szCs w:val="24"/>
          <w:highlight w:val="none"/>
          <w:lang w:val="en-US"/>
        </w:rPr>
        <w:t xml:space="preserve">信息化</w:t>
      </w:r>
      <w:r>
        <w:rPr>
          <w:rFonts w:hint="eastAsia" w:ascii="仿宋" w:hAnsi="仿宋" w:eastAsia="仿宋" w:cs="仿宋"/>
          <w:sz w:val="24"/>
          <w:szCs w:val="24"/>
          <w:highlight w:val="none"/>
        </w:rPr>
        <w:t xml:space="preserve">运维类项目，包括硬件运维项目和软件运维项目。硬件运维指针对市级政务云、部门接入机房和必须保留的自建机房提供的硬件设备维护服务；软件运维指针对系统（平台）提供的常规例行检查、状态监控、漏洞修复、响应支持等服务。</w:t>
      </w:r>
      <w:r>
        <w:rPr>
          <w:rFonts w:hint="eastAsia" w:ascii="仿宋" w:hAnsi="仿宋" w:eastAsia="仿宋" w:cs="仿宋"/>
          <w:color w:val="000000"/>
          <w:sz w:val="24"/>
          <w:szCs w:val="24"/>
          <w:highlight w:val="none"/>
          <w:shd w:val="clear" w:color="auto" w:fill="auto"/>
        </w:rPr>
        <w:t xml:space="preserve">2025年，32个市级部门共申报163个运维项目，部门预算申报数4599.26万元，预算安排数2603.43万元。其中25年度新建运维类项目</w:t>
      </w:r>
      <w:r>
        <w:rPr>
          <w:rFonts w:hint="eastAsia" w:ascii="仿宋" w:hAnsi="仿宋" w:eastAsia="仿宋" w:cs="仿宋"/>
          <w:color w:val="000000"/>
          <w:sz w:val="24"/>
          <w:szCs w:val="24"/>
          <w:highlight w:val="none"/>
          <w:shd w:val="clear" w:color="auto" w:fill="auto"/>
          <w:lang w:eastAsia="zh-CN"/>
        </w:rPr>
        <w:t xml:space="preserve">申报</w:t>
      </w:r>
      <w:r>
        <w:rPr>
          <w:rFonts w:hint="eastAsia" w:ascii="仿宋" w:hAnsi="仿宋" w:eastAsia="仿宋" w:cs="仿宋"/>
          <w:color w:val="000000"/>
          <w:sz w:val="24"/>
          <w:szCs w:val="24"/>
          <w:highlight w:val="none"/>
          <w:shd w:val="clear" w:color="auto" w:fill="auto"/>
        </w:rPr>
        <w:t xml:space="preserve">133个，申报预算数3577.24万元，实际安排</w:t>
      </w:r>
      <w:r>
        <w:rPr>
          <w:rFonts w:hint="eastAsia" w:ascii="仿宋" w:hAnsi="仿宋" w:eastAsia="仿宋" w:cs="仿宋"/>
          <w:color w:val="000000"/>
          <w:sz w:val="24"/>
          <w:szCs w:val="24"/>
          <w:highlight w:val="none"/>
          <w:shd w:val="clear" w:color="auto" w:fill="auto"/>
          <w:lang w:val="en-US"/>
        </w:rPr>
        <w:t xml:space="preserve">122个</w:t>
      </w:r>
      <w:r>
        <w:rPr>
          <w:rFonts w:hint="eastAsia" w:ascii="仿宋" w:hAnsi="仿宋" w:eastAsia="仿宋" w:cs="仿宋"/>
          <w:color w:val="000000"/>
          <w:sz w:val="24"/>
          <w:szCs w:val="24"/>
          <w:highlight w:val="none"/>
          <w:shd w:val="clear" w:color="auto" w:fill="auto"/>
        </w:rPr>
        <w:t xml:space="preserve">，预算安排数1584.65万元。续建运维类项目30个，根据合同剩余金额安排预算数1018.78万元。</w:t>
      </w:r>
      <w:r>
        <w:rPr>
          <w:rFonts w:hint="eastAsia" w:ascii="仿宋" w:hAnsi="仿宋" w:eastAsia="仿宋" w:cs="仿宋"/>
          <w:sz w:val="24"/>
          <w:szCs w:val="24"/>
          <w:highlight w:val="none"/>
        </w:rPr>
      </w:r>
      <w:r/>
    </w:p>
    <w:p>
      <w:pPr>
        <w:pStyle w:val="953"/>
        <w:ind w:firstLine="482"/>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b/>
          <w:bCs/>
          <w:color w:val="000000"/>
          <w:sz w:val="24"/>
          <w:szCs w:val="24"/>
          <w:highlight w:val="none"/>
        </w:rPr>
        <w:t xml:space="preserve">采购包1服务</w:t>
      </w:r>
      <w:r>
        <w:rPr>
          <w:rFonts w:hint="eastAsia" w:ascii="仿宋" w:hAnsi="仿宋" w:eastAsia="仿宋" w:cs="仿宋"/>
          <w:b/>
          <w:bCs/>
          <w:color w:val="000000"/>
          <w:sz w:val="24"/>
          <w:szCs w:val="24"/>
          <w:highlight w:val="none"/>
          <w:lang w:val="en-US" w:eastAsia="zh-CN"/>
        </w:rPr>
        <w:t xml:space="preserve">A</w:t>
      </w:r>
      <w:r>
        <w:rPr>
          <w:rFonts w:hint="eastAsia" w:ascii="仿宋" w:hAnsi="仿宋" w:eastAsia="仿宋" w:cs="仿宋"/>
          <w:b/>
          <w:bCs/>
          <w:color w:val="000000"/>
          <w:sz w:val="24"/>
          <w:szCs w:val="24"/>
          <w:highlight w:val="none"/>
        </w:rPr>
        <w:t xml:space="preserve">要求：</w:t>
      </w:r>
      <w:r>
        <w:rPr>
          <w:rFonts w:hint="eastAsia" w:ascii="仿宋" w:hAnsi="仿宋" w:eastAsia="仿宋" w:cs="仿宋"/>
          <w:sz w:val="24"/>
          <w:szCs w:val="24"/>
          <w:highlight w:val="none"/>
        </w:rPr>
      </w:r>
      <w:r/>
    </w:p>
    <w:p>
      <w:pPr>
        <w:pStyle w:val="953"/>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（1）开展摸排分析。收集相关政策文件及资料，</w:t>
      </w:r>
      <w:r>
        <w:rPr>
          <w:rFonts w:hint="eastAsia" w:ascii="仿宋" w:hAnsi="仿宋" w:eastAsia="仿宋" w:cs="仿宋"/>
          <w:sz w:val="24"/>
          <w:szCs w:val="24"/>
          <w:highlight w:val="none"/>
          <w:lang w:val="en-US"/>
        </w:rPr>
        <w:t xml:space="preserve">梳理全市信息化运维项目情况，</w:t>
      </w:r>
      <w:r>
        <w:rPr>
          <w:rFonts w:hint="eastAsia" w:ascii="仿宋" w:hAnsi="仿宋" w:eastAsia="仿宋" w:cs="仿宋"/>
          <w:sz w:val="24"/>
          <w:szCs w:val="24"/>
          <w:highlight w:val="none"/>
        </w:rPr>
        <w:t xml:space="preserve">选取具有代表性的部门作为调研对象，按照成本绩效分析的思路和方法，全面分析太仓市信息化运维类项目成本的构成，确定成本边界，明确成本构成要素。对项目发生的成本进行分类归集和科学加工，摸清成本核算与分摊方法，分析影响成本的关键因素和成本变动趋势，以此来计算出与项目实施有关的成本。</w:t>
      </w:r>
      <w:r>
        <w:rPr>
          <w:rFonts w:hint="eastAsia" w:ascii="仿宋" w:hAnsi="仿宋" w:eastAsia="仿宋" w:cs="仿宋"/>
          <w:sz w:val="24"/>
          <w:szCs w:val="24"/>
          <w:highlight w:val="none"/>
        </w:rPr>
      </w:r>
      <w:r/>
    </w:p>
    <w:p>
      <w:pPr>
        <w:pStyle w:val="953"/>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实施成本归制。科学核定成本规制结果，通过成本分析和趋势分析，剔除历史成本中不合理因素和与项目实施无关的支出，测定各项成本的取值方法以及标准值区间，并据此建立分级分档的信息化运维支出标准，建立政府购买服务价格动态调整体系。</w:t>
      </w:r>
      <w:r>
        <w:rPr>
          <w:rFonts w:hint="eastAsia" w:ascii="仿宋" w:hAnsi="仿宋" w:eastAsia="仿宋" w:cs="仿宋"/>
          <w:sz w:val="24"/>
          <w:szCs w:val="24"/>
          <w:highlight w:val="none"/>
        </w:rPr>
      </w:r>
      <w:r/>
    </w:p>
    <w:p>
      <w:pPr>
        <w:pStyle w:val="953"/>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（3）结合项目管理现状提出资源优化配置建议。</w:t>
      </w:r>
      <w:r>
        <w:rPr>
          <w:rFonts w:hint="eastAsia" w:ascii="仿宋" w:hAnsi="仿宋" w:eastAsia="仿宋" w:cs="仿宋"/>
          <w:sz w:val="24"/>
          <w:szCs w:val="24"/>
          <w:highlight w:val="none"/>
        </w:rPr>
      </w:r>
      <w:r/>
    </w:p>
    <w:p>
      <w:pPr>
        <w:pStyle w:val="953"/>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（4）协助财政构建项目绩效目标指标体系，形成绩效评价应用机制。</w:t>
      </w:r>
      <w:r>
        <w:rPr>
          <w:rFonts w:hint="eastAsia" w:ascii="仿宋" w:hAnsi="仿宋" w:eastAsia="仿宋" w:cs="仿宋"/>
          <w:sz w:val="24"/>
          <w:szCs w:val="24"/>
          <w:highlight w:val="none"/>
        </w:rPr>
      </w:r>
      <w:r/>
    </w:p>
    <w:p>
      <w:pPr>
        <w:pStyle w:val="953"/>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出具支出标准分析报告。撰写支出标准分析报告，报告力求做到依据充分、分析透彻、逻辑清晰、客观公正。绩效分析报告由采购人组织专家进行评审并出具专家评审意见，成交单位根据专家评审意见进行修改完善，按规定出具正式报告。</w:t>
      </w:r>
      <w:r>
        <w:rPr>
          <w:rFonts w:hint="eastAsia" w:ascii="仿宋" w:hAnsi="仿宋" w:eastAsia="仿宋" w:cs="仿宋"/>
          <w:sz w:val="24"/>
          <w:szCs w:val="24"/>
          <w:highlight w:val="none"/>
        </w:rPr>
      </w:r>
      <w:r/>
    </w:p>
    <w:p>
      <w:pPr>
        <w:pStyle w:val="953"/>
        <w:ind w:firstLine="482"/>
        <w:keepLines w:val="0"/>
        <w:keepNext w:val="0"/>
        <w:pageBreakBefore w:val="0"/>
        <w:spacing w:before="181"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采购包1服务</w:t>
      </w:r>
      <w:r>
        <w:rPr>
          <w:rFonts w:hint="eastAsia" w:ascii="仿宋" w:hAnsi="仿宋" w:eastAsia="仿宋" w:cs="仿宋"/>
          <w:b/>
          <w:bCs/>
          <w:color w:val="000000"/>
          <w:sz w:val="24"/>
          <w:szCs w:val="24"/>
          <w:highlight w:val="none"/>
          <w:lang w:val="en-US" w:eastAsia="zh-CN"/>
        </w:rPr>
        <w:t xml:space="preserve">B</w:t>
      </w:r>
      <w:r>
        <w:rPr>
          <w:rFonts w:hint="eastAsia" w:ascii="仿宋" w:hAnsi="仿宋" w:eastAsia="仿宋" w:cs="仿宋"/>
          <w:b/>
          <w:bCs/>
          <w:color w:val="000000"/>
          <w:sz w:val="24"/>
          <w:szCs w:val="24"/>
          <w:highlight w:val="none"/>
        </w:rPr>
        <w:t xml:space="preserve">内容：重点绩效评价服务</w:t>
      </w:r>
      <w:r>
        <w:rPr>
          <w:rFonts w:hint="eastAsia" w:ascii="仿宋" w:hAnsi="仿宋" w:eastAsia="仿宋" w:cs="仿宋"/>
          <w:color w:val="000000"/>
          <w:sz w:val="24"/>
          <w:szCs w:val="24"/>
          <w:highlight w:val="none"/>
        </w:rPr>
      </w:r>
      <w:r/>
    </w:p>
    <w:p>
      <w:pPr>
        <w:pStyle w:val="953"/>
        <w:jc w:val="center"/>
        <w:keepLines w:val="0"/>
        <w:keepNext w:val="0"/>
        <w:pageBreakBefore w:val="0"/>
        <w:spacing w:line="360" w:lineRule="auto"/>
        <w:widowControl w:val="off"/>
        <w:rPr>
          <w:rFonts w:hint="eastAsia" w:ascii="仿宋" w:hAnsi="仿宋" w:eastAsia="仿宋" w:cs="仿宋"/>
          <w:b/>
          <w:bCs/>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b/>
          <w:bCs/>
          <w:color w:val="000000"/>
          <w:sz w:val="24"/>
          <w:szCs w:val="24"/>
          <w:highlight w:val="none"/>
        </w:rPr>
        <w:t xml:space="preserve">太仓市双创综合服务平台建设及运营重点绩效评价</w:t>
      </w:r>
      <w:r>
        <w:rPr>
          <w:rFonts w:hint="eastAsia" w:ascii="仿宋" w:hAnsi="仿宋" w:eastAsia="仿宋" w:cs="仿宋"/>
          <w:b/>
          <w:bCs/>
          <w:color w:val="000000"/>
          <w:sz w:val="24"/>
          <w:szCs w:val="24"/>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一、项目概况</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太仓市双创综合服务平台是2018年政府投资项目，项目总投资1350万元，包括科技创新展厅、综合服务窗口、梦工厂等装饰、设备安装、软硬件及相关配套工程。平台分为“线上项目”和“线下项目”两部分，含科创融合中心（展厅）、梦工厂（路演场地）、太仓市双创综合服务平台运维项目。由市科技局具体实施，主要是服务我市企业科技创新，举办各类科技创新活动，推动提升我市科技创新氛围。</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二、设立依据</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《市政府关于下达2018年度市级政府投资项目计划的通知》（太政发﹝2018﹞24号）、《关于同意实施双创综合服务平台（线下）项目建议书的批复》（太发改投﹝2018﹞150号）。</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三、总目标及年度目标</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（一）项目总目标</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双创综合服务平台建设紧扣“大众创业、万众创新”工作主线，以“平台+数据+应用+服务”为核心模式，依托线上线下联动服务，集聚整合各类创新创业资源，持续优化创新创业生态环境。</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（二）项目年度目标</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在往年平台建设及运营基础上，结合太仓市科技局工作规划，为双创主体提供政策、人才、金融等8大服务板块，实现一站式找产业、找载体、找资金等功能。</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四、预算安排情况</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2018年初未安排预算，调整预算数为288.43万元。</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2019年预算安排565万元（太仓市“双创”综合服务平台线下540万元、双创综合服务平台运维经费25万元）。</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2020年预算安排516万元（太仓市“双创”综合服务平台线下471万元、双创综合服务平台运维经费45万元）。</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2021年预算安排323万元（太仓市“双创”综合服务平台线下296万元、双创综合服务平台运维经费27万元）。</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2022年预算安排61万元（2022年度太仓市“双创综合服务平台建设与运营”25万元、太仓市“双创”综合服务平台线下36万元）。</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2023年预算安排52万元（双创融合中心更新维护费32万元、2023年太仓市双创综合服务平台运维20万元）。</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2024年预算安排22万元（双创融合中心更新维护费5万元、2024年太仓市双创综合服务平台运维12万元、2024年太仓市双创综合服务平台二级等级保护测评5万元）。</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2025年预算安排16.4万元（双创融合中心更新维护费5万元、2025年太仓市双创综合服务平台运维11.4万元）。</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2026年安排预算42万元（双创融合中心更新维护费3万元、2026年太仓市双创综合服务平台运维11万元、双创综合服务平台梦工厂运营管理经费28万元）。</w:t>
      </w:r>
      <w:r>
        <w:rPr>
          <w:rFonts w:hint="eastAsia" w:ascii="仿宋" w:hAnsi="仿宋" w:eastAsia="仿宋" w:cs="仿宋"/>
          <w:color w:val="000000"/>
          <w:szCs w:val="21"/>
          <w:highlight w:val="none"/>
        </w:rPr>
      </w:r>
      <w:r/>
    </w:p>
    <w:p>
      <w:pPr>
        <w:pStyle w:val="953"/>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采</w:t>
      </w:r>
      <w:r>
        <w:rPr>
          <w:rFonts w:hint="eastAsia" w:ascii="仿宋" w:hAnsi="仿宋" w:eastAsia="仿宋" w:cs="仿宋"/>
          <w:b/>
          <w:bCs/>
          <w:color w:val="000000"/>
          <w:sz w:val="24"/>
          <w:szCs w:val="24"/>
          <w:highlight w:val="none"/>
        </w:rPr>
        <w:t xml:space="preserve">购包1服务</w:t>
      </w:r>
      <w:r>
        <w:rPr>
          <w:rFonts w:hint="eastAsia" w:ascii="仿宋" w:hAnsi="仿宋" w:eastAsia="仿宋" w:cs="仿宋"/>
          <w:b/>
          <w:bCs/>
          <w:color w:val="000000"/>
          <w:sz w:val="24"/>
          <w:szCs w:val="24"/>
          <w:highlight w:val="none"/>
          <w:lang w:val="en-US" w:eastAsia="zh-CN"/>
        </w:rPr>
        <w:t xml:space="preserve">B</w:t>
      </w:r>
      <w:r>
        <w:rPr>
          <w:rFonts w:hint="eastAsia" w:ascii="仿宋" w:hAnsi="仿宋" w:eastAsia="仿宋" w:cs="仿宋"/>
          <w:b/>
          <w:bCs/>
          <w:color w:val="000000"/>
          <w:sz w:val="24"/>
          <w:szCs w:val="24"/>
          <w:highlight w:val="none"/>
        </w:rPr>
        <w:t xml:space="preserve">要求：</w:t>
      </w:r>
      <w:r>
        <w:rPr>
          <w:rFonts w:hint="eastAsia" w:ascii="仿宋" w:hAnsi="仿宋" w:eastAsia="仿宋" w:cs="仿宋"/>
          <w:b/>
          <w:bCs/>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制定评价工作方案。由成交单位成立评价工作组，对评价项目资金进行调研，与预算部门（单位）沟通，收集相关政策文件及资料，了解项目资金的内容、操作流程、管理机制、资金使用、产出和效果等情况，根据项目资金实际情况和绩效管理要求制定绩效评价工作方案，并报送预算部门（单位）和采购人审核。采购人组织专家对工作方案进行评审，经评审通过的工作方案作为实施绩效评价的依据。</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实施绩效评价。根据绩效评价方案组织实施绩效评价工作。开展资料收集、数据复核、问卷调查和访谈等工作，对复核后的数据和资料进行汇总，依据评分标准对绩效指标进行评分，并通过绩效分析形成评价结论。</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出具绩效评价报告。按照采购人规定的文本格式要求撰写绩效评价报告，评价报告力求做到依据充分、分析透彻、逻辑清晰、客观公正。主要效果和存在问题分析应与评价结论逻辑一致，对策建议应具有针对性、可操作性和一定前瞻性。绩效评价报告征求预算部门（单位）意见后，由采购人组织专家进行评审并出具专家评审意见，成交单位根据专家评审意见进行修改完善，按规定出具正式报告。</w:t>
      </w:r>
      <w:r>
        <w:rPr>
          <w:rFonts w:hint="eastAsia" w:ascii="仿宋" w:hAnsi="仿宋" w:eastAsia="仿宋" w:cs="仿宋"/>
          <w:color w:val="000000"/>
          <w:sz w:val="24"/>
          <w:szCs w:val="24"/>
          <w:highlight w:val="none"/>
        </w:rPr>
      </w:r>
      <w:r/>
    </w:p>
    <w:p>
      <w:pPr>
        <w:pStyle w:val="953"/>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采购包1服务</w:t>
      </w:r>
      <w:r>
        <w:rPr>
          <w:rFonts w:hint="eastAsia" w:ascii="仿宋" w:hAnsi="仿宋" w:eastAsia="仿宋" w:cs="仿宋"/>
          <w:b/>
          <w:bCs/>
          <w:color w:val="000000"/>
          <w:sz w:val="24"/>
          <w:szCs w:val="24"/>
          <w:highlight w:val="none"/>
          <w:lang w:val="en-US" w:eastAsia="zh-CN"/>
        </w:rPr>
        <w:t xml:space="preserve">C</w:t>
      </w:r>
      <w:r>
        <w:rPr>
          <w:rFonts w:hint="eastAsia" w:ascii="仿宋" w:hAnsi="仿宋" w:eastAsia="仿宋" w:cs="仿宋"/>
          <w:b/>
          <w:bCs/>
          <w:color w:val="000000"/>
          <w:sz w:val="24"/>
          <w:szCs w:val="24"/>
          <w:highlight w:val="none"/>
        </w:rPr>
        <w:t xml:space="preserve">内容：辅导、培训、评审、咨询服务</w:t>
      </w:r>
      <w:r>
        <w:rPr>
          <w:rFonts w:hint="eastAsia" w:ascii="仿宋" w:hAnsi="仿宋" w:eastAsia="仿宋" w:cs="仿宋"/>
          <w:b/>
          <w:bCs/>
          <w:color w:val="000000"/>
          <w:sz w:val="24"/>
          <w:szCs w:val="24"/>
          <w:highlight w:val="none"/>
        </w:rPr>
      </w:r>
      <w:r/>
    </w:p>
    <w:p>
      <w:pPr>
        <w:pStyle w:val="953"/>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辅导、培训、评审、咨询</w:t>
      </w:r>
      <w:r>
        <w:rPr>
          <w:rFonts w:hint="eastAsia" w:ascii="仿宋" w:hAnsi="仿宋" w:eastAsia="仿宋" w:cs="仿宋"/>
          <w:sz w:val="24"/>
          <w:szCs w:val="24"/>
          <w:highlight w:val="none"/>
        </w:rPr>
      </w:r>
      <w:r/>
    </w:p>
    <w:p>
      <w:pPr>
        <w:pStyle w:val="953"/>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预算绩效各类相关培训、辅导；重点评价、绩效分析方案和报告的综合指导和质控；专家评审、再评价等。</w:t>
      </w:r>
      <w:r>
        <w:rPr>
          <w:rFonts w:hint="eastAsia" w:ascii="仿宋" w:hAnsi="仿宋" w:eastAsia="仿宋" w:cs="仿宋"/>
          <w:sz w:val="24"/>
          <w:szCs w:val="24"/>
          <w:highlight w:val="none"/>
        </w:rPr>
      </w:r>
      <w:r/>
    </w:p>
    <w:p>
      <w:pPr>
        <w:pStyle w:val="953"/>
        <w:ind w:firstLine="482"/>
        <w:keepLines w:val="0"/>
        <w:keepNext w:val="0"/>
        <w:pageBreakBefore w:val="0"/>
        <w:spacing w:before="181"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采购包1服务</w:t>
      </w:r>
      <w:r>
        <w:rPr>
          <w:rFonts w:hint="eastAsia" w:ascii="仿宋" w:hAnsi="仿宋" w:eastAsia="仿宋" w:cs="仿宋"/>
          <w:b/>
          <w:bCs/>
          <w:color w:val="000000"/>
          <w:sz w:val="24"/>
          <w:szCs w:val="24"/>
          <w:highlight w:val="none"/>
          <w:lang w:val="en-US" w:eastAsia="zh-CN"/>
        </w:rPr>
        <w:t xml:space="preserve">C</w:t>
      </w:r>
      <w:r>
        <w:rPr>
          <w:rFonts w:hint="eastAsia" w:ascii="仿宋" w:hAnsi="仿宋" w:eastAsia="仿宋" w:cs="仿宋"/>
          <w:b/>
          <w:bCs/>
          <w:color w:val="000000"/>
          <w:sz w:val="24"/>
          <w:szCs w:val="24"/>
          <w:highlight w:val="none"/>
        </w:rPr>
        <w:t xml:space="preserve">要求：</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（1）部门项目标准化分类和标签体系建设培训（财政、部门）。</w:t>
      </w:r>
      <w:r>
        <w:rPr>
          <w:rFonts w:hint="eastAsia" w:ascii="仿宋" w:hAnsi="仿宋" w:eastAsia="仿宋" w:cs="仿宋"/>
          <w:sz w:val="24"/>
          <w:szCs w:val="24"/>
          <w:highlight w:val="none"/>
        </w:rPr>
      </w:r>
      <w:r/>
    </w:p>
    <w:p>
      <w:pPr>
        <w:pStyle w:val="953"/>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（2）十个部门整体绩效目标设置辅导。</w:t>
      </w:r>
      <w:r>
        <w:rPr>
          <w:rFonts w:hint="eastAsia" w:ascii="仿宋" w:hAnsi="仿宋" w:eastAsia="仿宋" w:cs="仿宋"/>
          <w:sz w:val="24"/>
          <w:szCs w:val="24"/>
          <w:highlight w:val="none"/>
        </w:rPr>
      </w:r>
      <w:r/>
    </w:p>
    <w:p>
      <w:pPr>
        <w:pStyle w:val="953"/>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（3）预算部门、户管科室、区镇财政部门线上或线下绩效目标编制、审核等培训。</w:t>
      </w:r>
      <w:r>
        <w:rPr>
          <w:rFonts w:hint="eastAsia" w:ascii="仿宋" w:hAnsi="仿宋" w:eastAsia="仿宋" w:cs="仿宋"/>
          <w:sz w:val="24"/>
          <w:szCs w:val="24"/>
          <w:highlight w:val="none"/>
        </w:rPr>
      </w:r>
      <w:r/>
    </w:p>
    <w:p>
      <w:pPr>
        <w:pStyle w:val="953"/>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（4）针对市财政局委托的第三方重点绩效评价及其他成本绩效管理试点项目，提供方案和报告的综合指导和质控；针对委托第三方服务项目组织开展专家评审工作；对重点项目自评价复核提供专家再评服务</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协助建立共性绩效指标框架体系</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953"/>
        <w:ind w:firstLine="482"/>
        <w:keepLines w:val="0"/>
        <w:keepNext w:val="0"/>
        <w:pageBreakBefore w:val="0"/>
        <w:spacing w:before="181"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采购包2服务</w:t>
      </w:r>
      <w:r>
        <w:rPr>
          <w:rFonts w:hint="eastAsia" w:ascii="仿宋" w:hAnsi="仿宋" w:eastAsia="仿宋" w:cs="仿宋"/>
          <w:b/>
          <w:bCs/>
          <w:color w:val="000000"/>
          <w:sz w:val="24"/>
          <w:szCs w:val="24"/>
          <w:highlight w:val="none"/>
          <w:lang w:val="en-US" w:eastAsia="zh-CN"/>
        </w:rPr>
        <w:t xml:space="preserve">A</w:t>
      </w:r>
      <w:r>
        <w:rPr>
          <w:rFonts w:hint="eastAsia" w:ascii="仿宋" w:hAnsi="仿宋" w:eastAsia="仿宋" w:cs="仿宋"/>
          <w:b/>
          <w:bCs/>
          <w:color w:val="000000"/>
          <w:sz w:val="24"/>
          <w:szCs w:val="24"/>
          <w:highlight w:val="none"/>
        </w:rPr>
        <w:t xml:space="preserve">内容：成本预算绩效分析服务</w:t>
      </w:r>
      <w:r>
        <w:rPr>
          <w:rFonts w:hint="eastAsia" w:ascii="仿宋" w:hAnsi="仿宋" w:eastAsia="仿宋" w:cs="仿宋"/>
          <w:color w:val="000000"/>
          <w:sz w:val="24"/>
          <w:szCs w:val="24"/>
          <w:highlight w:val="none"/>
        </w:rPr>
      </w:r>
      <w:r/>
    </w:p>
    <w:p>
      <w:pPr>
        <w:pStyle w:val="953"/>
        <w:jc w:val="center"/>
        <w:keepLines w:val="0"/>
        <w:keepNext w:val="0"/>
        <w:pageBreakBefore w:val="0"/>
        <w:spacing w:line="360" w:lineRule="auto"/>
        <w:widowControl w:val="off"/>
        <w:rPr>
          <w:rFonts w:hint="eastAsia" w:ascii="仿宋" w:hAnsi="仿宋" w:eastAsia="仿宋" w:cs="仿宋"/>
          <w:b/>
          <w:bCs/>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b/>
          <w:bCs/>
          <w:color w:val="000000"/>
          <w:sz w:val="24"/>
          <w:szCs w:val="24"/>
          <w:highlight w:val="none"/>
        </w:rPr>
        <w:t xml:space="preserve">城际快线补贴资金成本预算绩效分析</w:t>
      </w:r>
      <w:r>
        <w:rPr>
          <w:rFonts w:hint="eastAsia" w:ascii="仿宋" w:hAnsi="仿宋" w:eastAsia="仿宋" w:cs="仿宋"/>
          <w:b/>
          <w:bCs/>
          <w:color w:val="000000"/>
          <w:sz w:val="24"/>
          <w:szCs w:val="24"/>
          <w:highlight w:val="none"/>
        </w:rPr>
      </w:r>
      <w:r/>
    </w:p>
    <w:p>
      <w:pPr>
        <w:pStyle w:val="953"/>
        <w:ind w:firstLine="420"/>
        <w:spacing w:line="360" w:lineRule="auto"/>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lang w:val="en-US" w:eastAsia="zh-CN"/>
        </w:rPr>
        <w:t xml:space="preserve">太仓</w:t>
      </w:r>
      <w:r>
        <w:rPr>
          <w:rFonts w:hint="eastAsia" w:ascii="仿宋" w:hAnsi="仿宋" w:eastAsia="仿宋" w:cs="仿宋"/>
          <w:color w:val="000000"/>
          <w:szCs w:val="21"/>
          <w:highlight w:val="none"/>
        </w:rPr>
        <w:t xml:space="preserve">市坚持政府培育、企业运作的原则，以2017</w:t>
      </w:r>
      <w:r>
        <w:rPr>
          <w:rFonts w:hint="eastAsia" w:ascii="仿宋" w:hAnsi="仿宋" w:eastAsia="仿宋" w:cs="仿宋"/>
          <w:color w:val="000000"/>
          <w:szCs w:val="21"/>
          <w:highlight w:val="none"/>
          <w:lang w:val="en-US" w:eastAsia="zh-CN"/>
        </w:rPr>
        <w:t xml:space="preserve">-</w:t>
      </w:r>
      <w:r>
        <w:rPr>
          <w:rFonts w:hint="eastAsia" w:ascii="仿宋" w:hAnsi="仿宋" w:eastAsia="仿宋" w:cs="仿宋"/>
          <w:color w:val="000000"/>
          <w:szCs w:val="21"/>
          <w:highlight w:val="none"/>
        </w:rPr>
        <w:t xml:space="preserve">2019年度财政补助平均数为基数，对城际公交快线采用财政定额补助模式。为进一步提升财政补贴效率、扶持发展城际公交快线，对由太仓交通运输集团有限公司与上海嘉定汽车客运场站管理有限公司合作经营的“太仓直达轨道交通11号线嘉定站城际铁路”和由太仓交通运输集团有限公司与上海白玉兰高速客运有限公司合作经营的“太仓浏河直达轨道交通7号线美兰湖城际铁路”开展成本绩效分析。</w:t>
      </w:r>
      <w:r>
        <w:rPr>
          <w:rFonts w:hint="eastAsia" w:ascii="仿宋" w:hAnsi="仿宋" w:eastAsia="仿宋" w:cs="仿宋"/>
          <w:color w:val="000000"/>
          <w:szCs w:val="21"/>
          <w:highlight w:val="none"/>
        </w:rPr>
      </w:r>
      <w:r/>
    </w:p>
    <w:p>
      <w:pPr>
        <w:pStyle w:val="953"/>
        <w:ind w:firstLine="420"/>
        <w:spacing w:line="360" w:lineRule="auto"/>
        <w:rPr>
          <w:rFonts w:hint="eastAsia" w:ascii="仿宋" w:hAnsi="仿宋" w:eastAsia="仿宋" w:cs="仿宋"/>
          <w:szCs w:val="22"/>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通过对城际公交快线补贴项目进行成本绩效分析，实现以下目标：1.全面分析项目成本的构成，确定成本构成要素，明确成本边界；2.全面分析项目产出指标，对客运量、信息化运用、运营安全等指标进行科学分析，评估运行效率；3.全面分析项目经济效益、社会效益和环境效益，与行业标准进行比较分析；4.协助财政部门构建城际公交快线补贴项目绩效监管体系，形成相关绩效体系应用机制和政府监管模式。</w:t>
      </w:r>
      <w:r>
        <w:rPr>
          <w:rFonts w:hint="eastAsia" w:ascii="仿宋" w:hAnsi="仿宋" w:eastAsia="仿宋" w:cs="仿宋"/>
          <w:szCs w:val="22"/>
          <w:highlight w:val="none"/>
        </w:rPr>
      </w:r>
      <w:r/>
    </w:p>
    <w:p>
      <w:pPr>
        <w:pStyle w:val="953"/>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采购包2服务</w:t>
      </w:r>
      <w:r>
        <w:rPr>
          <w:rFonts w:hint="eastAsia" w:ascii="仿宋" w:hAnsi="仿宋" w:eastAsia="仿宋" w:cs="仿宋"/>
          <w:b/>
          <w:bCs/>
          <w:color w:val="000000"/>
          <w:sz w:val="24"/>
          <w:szCs w:val="24"/>
          <w:highlight w:val="none"/>
          <w:lang w:val="en-US" w:eastAsia="zh-CN"/>
        </w:rPr>
        <w:t xml:space="preserve">A</w:t>
      </w:r>
      <w:r>
        <w:rPr>
          <w:rFonts w:hint="eastAsia" w:ascii="仿宋" w:hAnsi="仿宋" w:eastAsia="仿宋" w:cs="仿宋"/>
          <w:b/>
          <w:bCs/>
          <w:color w:val="000000"/>
          <w:sz w:val="24"/>
          <w:szCs w:val="24"/>
          <w:highlight w:val="none"/>
        </w:rPr>
        <w:t xml:space="preserve">要求：</w:t>
      </w:r>
      <w:r>
        <w:rPr>
          <w:rFonts w:hint="eastAsia" w:ascii="仿宋" w:hAnsi="仿宋" w:eastAsia="仿宋" w:cs="仿宋"/>
          <w:b/>
          <w:bCs/>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开展成本核算。由成交单位对项目资金进行调研，与预算部门（单位）沟通，收集相关政策文件及资料，了解项目资金的内容、操作流程、管理机制、资金使用等情况，对项目发生的成本进行分类归集和科学加工，对项目支出的历史成本进行分析，摸清成本核算与分摊方法，分析影响成本的关键因素和成本变动趋势，以此来计算出与项目实施有关的成本。</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实施成本分析。科学核定成本规制结果，通过成本分析和趋势分析，剔除历史成本中不合理因素和与项目实施无关的支出，测定各项成本的取值方法以及标准值区间，并据此优化的支出方式和支出标准，建立政府购买服务价格动态调整体系。</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（3）探索项目运行模式新思路，提出可操作、合规范的创新方案，为项目可持续发展提供建议和路径。</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（4）协助财政构建项目绩效目标指标体系，形成绩效评价应用机制。</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出具成本绩效分析报告。撰写成本绩效分析报告，报告力求做到依据充分、分析透彻、逻辑清晰、客观公正。成本绩效分析报告征求预算部门（单位）意见后，由采购人组织专家进行评审并出具专家评审意见，成交单位根据专家评审意见进行修改完善，按规定出具正式报告。</w:t>
      </w:r>
      <w:r>
        <w:rPr>
          <w:rFonts w:hint="eastAsia" w:ascii="仿宋" w:hAnsi="仿宋" w:eastAsia="仿宋" w:cs="仿宋"/>
          <w:color w:val="000000"/>
          <w:sz w:val="24"/>
          <w:szCs w:val="24"/>
          <w:highlight w:val="none"/>
        </w:rPr>
      </w:r>
      <w:r/>
    </w:p>
    <w:p>
      <w:pPr>
        <w:pStyle w:val="953"/>
        <w:ind w:firstLine="482"/>
        <w:keepLines w:val="0"/>
        <w:keepNext w:val="0"/>
        <w:pageBreakBefore w:val="0"/>
        <w:spacing w:before="181"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采购包</w:t>
      </w:r>
      <w:r>
        <w:rPr>
          <w:rFonts w:hint="eastAsia" w:ascii="仿宋" w:hAnsi="仿宋" w:eastAsia="仿宋" w:cs="仿宋"/>
          <w:b/>
          <w:bCs/>
          <w:color w:val="000000"/>
          <w:sz w:val="24"/>
          <w:szCs w:val="24"/>
          <w:highlight w:val="none"/>
          <w:lang w:val="en-US" w:eastAsia="zh-CN"/>
        </w:rPr>
        <w:t xml:space="preserve">2</w:t>
      </w:r>
      <w:r>
        <w:rPr>
          <w:rFonts w:hint="eastAsia" w:ascii="仿宋" w:hAnsi="仿宋" w:eastAsia="仿宋" w:cs="仿宋"/>
          <w:b/>
          <w:bCs/>
          <w:color w:val="000000"/>
          <w:sz w:val="24"/>
          <w:szCs w:val="24"/>
          <w:highlight w:val="none"/>
        </w:rPr>
        <w:t xml:space="preserve">服务</w:t>
      </w:r>
      <w:r>
        <w:rPr>
          <w:rFonts w:hint="eastAsia" w:ascii="仿宋" w:hAnsi="仿宋" w:eastAsia="仿宋" w:cs="仿宋"/>
          <w:b/>
          <w:bCs/>
          <w:color w:val="000000"/>
          <w:sz w:val="24"/>
          <w:szCs w:val="24"/>
          <w:highlight w:val="none"/>
          <w:lang w:val="en-US" w:eastAsia="zh-CN"/>
        </w:rPr>
        <w:t xml:space="preserve">B</w:t>
      </w:r>
      <w:r>
        <w:rPr>
          <w:rFonts w:hint="eastAsia" w:ascii="仿宋" w:hAnsi="仿宋" w:eastAsia="仿宋" w:cs="仿宋"/>
          <w:b/>
          <w:bCs/>
          <w:color w:val="000000"/>
          <w:sz w:val="24"/>
          <w:szCs w:val="24"/>
          <w:highlight w:val="none"/>
        </w:rPr>
        <w:t xml:space="preserve">内容：重点绩效评价服务</w:t>
      </w:r>
      <w:r>
        <w:rPr>
          <w:rFonts w:hint="eastAsia" w:ascii="仿宋" w:hAnsi="仿宋" w:eastAsia="仿宋" w:cs="仿宋"/>
          <w:color w:val="000000"/>
          <w:sz w:val="24"/>
          <w:szCs w:val="24"/>
          <w:highlight w:val="none"/>
        </w:rPr>
      </w:r>
      <w:r/>
    </w:p>
    <w:p>
      <w:pPr>
        <w:pStyle w:val="953"/>
        <w:jc w:val="center"/>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b/>
          <w:bCs/>
          <w:color w:val="000000"/>
          <w:sz w:val="24"/>
          <w:szCs w:val="24"/>
          <w:highlight w:val="none"/>
        </w:rPr>
        <w:t xml:space="preserve">新质生产力集成政策重点绩效评价</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评分案例</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一、政策概况</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太仓市加快发展新质生产力推动产业升级扶持政策》分为“产出贡献类”、“产业投入类”、“创新投入类”、“金融激励类”和“荣誉激励类”5大类99条政策条款，390项积分事项，涉及政府办、发改委、工信局、科技局、商务局、文体广旅局、市监局、交运局8个政策责任部门。政策资金兑现实行“赋分制”，专项资金总盘控制，统一管理，积极推行“免申即享”，资金通过“直达快享”方式下达。</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二、设立依据</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《太仓市工业经济高质量发展若干扶持政策》、《太仓市航空航天产业创新集群发</w:t>
      </w:r>
      <w:r>
        <w:rPr>
          <w:rFonts w:hint="eastAsia" w:ascii="仿宋" w:hAnsi="仿宋" w:eastAsia="仿宋" w:cs="仿宋"/>
          <w:color w:val="000000"/>
          <w:szCs w:val="21"/>
          <w:highlight w:val="none"/>
        </w:rPr>
        <w:t xml:space="preserve">展专项政策（二十条）》、《太仓市生物医药产业创新集群发展专项政策（二十条）》、《关于推进制造业智能化改造和数字化转型的若干措施》、《推动对德合作产业发展若干政策》、《太仓市促进商务经济转型升级若干政策》、《关于推动现代服务业转型升级创新发展若干政策》、《关于进一步推进临沪科创产业高地建设的若干政策》、《太仓市推进高新技术企业高质量发展实施意见（试行）》、《 关于推动企业质量和标准等高质量发展的若干政策》、《关于推动太仓市金融更高质量服务实体经济的政策意见》、《太仓市科技创业孵化载体管理办法（试行）》等政策。</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三、总目标及年度目标</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（一）总目标</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聚焦“3+3+X”产业链，支持高端装备、新材料、医药健康，人工智能等产业的开拓创新；聚焦现代服务业和临港产业集群，培育总部型、税源型现代物贸企业；支持我市打造国家级对德合作示范区，开展对德合作交流，引进德企“隐形冠军”企业等。聚焦培育发展高新技术企业和专精特新企业，对企业建设研发机构、研发费用投入，智改数转投入等与发展新质生产力紧密相关的项目予以突出支持；鼓励企业积极参与省级、国家级重大创新平台建设、争取高层次科技奖项、突破关键核心技术。</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（二）年度目标</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政策精简，条目式发布，减轻企业政策研究和多头申报的工作量，政策流程统一，缩短执行周期，扩大“免申即享”范围，资金兑现100%采取“直达快享”方式，提升企业获得感。通过“太仓一网通办产业政策扶持奖补平台”，建立从政策宣传-企业申报-部门审核-积分公示-资金兑现-执行分析的全过程信息化管理，打破信息壁垒，避免交叉重复，提升部门政策协同执行能力。整合分散管理的涉企资金，设置一个惠企专项资金，实行“总盘控制 跨部门统筹”资金管理原则，达到精准编制预算，提高惠企资金整体绩效目的。</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四、预算安排情况</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2025年预算安排3.15亿元，2026年安排预算2.8亿元。</w:t>
      </w:r>
      <w:r>
        <w:rPr>
          <w:rFonts w:hint="eastAsia" w:ascii="仿宋" w:hAnsi="仿宋" w:eastAsia="仿宋" w:cs="仿宋"/>
          <w:color w:val="000000"/>
          <w:szCs w:val="21"/>
          <w:highlight w:val="none"/>
        </w:rPr>
      </w:r>
      <w:r/>
    </w:p>
    <w:p>
      <w:pPr>
        <w:pStyle w:val="953"/>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采购包</w:t>
      </w:r>
      <w:r>
        <w:rPr>
          <w:rFonts w:hint="eastAsia" w:ascii="仿宋" w:hAnsi="仿宋" w:eastAsia="仿宋" w:cs="仿宋"/>
          <w:b/>
          <w:bCs/>
          <w:color w:val="000000"/>
          <w:sz w:val="24"/>
          <w:szCs w:val="24"/>
          <w:highlight w:val="none"/>
          <w:lang w:val="en-US" w:eastAsia="zh-CN"/>
        </w:rPr>
        <w:t xml:space="preserve">2</w:t>
      </w:r>
      <w:r>
        <w:rPr>
          <w:rFonts w:hint="eastAsia" w:ascii="仿宋" w:hAnsi="仿宋" w:eastAsia="仿宋" w:cs="仿宋"/>
          <w:b/>
          <w:bCs/>
          <w:color w:val="000000"/>
          <w:sz w:val="24"/>
          <w:szCs w:val="24"/>
          <w:highlight w:val="none"/>
        </w:rPr>
        <w:t xml:space="preserve">服务</w:t>
      </w:r>
      <w:r>
        <w:rPr>
          <w:rFonts w:hint="eastAsia" w:ascii="仿宋" w:hAnsi="仿宋" w:eastAsia="仿宋" w:cs="仿宋"/>
          <w:b/>
          <w:bCs/>
          <w:color w:val="000000"/>
          <w:sz w:val="24"/>
          <w:szCs w:val="24"/>
          <w:highlight w:val="none"/>
          <w:lang w:val="en-US" w:eastAsia="zh-CN"/>
        </w:rPr>
        <w:t xml:space="preserve">B</w:t>
      </w:r>
      <w:r>
        <w:rPr>
          <w:rFonts w:hint="eastAsia" w:ascii="仿宋" w:hAnsi="仿宋" w:eastAsia="仿宋" w:cs="仿宋"/>
          <w:b/>
          <w:bCs/>
          <w:color w:val="000000"/>
          <w:sz w:val="24"/>
          <w:szCs w:val="24"/>
          <w:highlight w:val="none"/>
        </w:rPr>
        <w:t xml:space="preserve">要求：</w:t>
      </w:r>
      <w:r>
        <w:rPr>
          <w:rFonts w:hint="eastAsia" w:ascii="仿宋" w:hAnsi="仿宋" w:eastAsia="仿宋" w:cs="仿宋"/>
          <w:b/>
          <w:bCs/>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制定评价工作方案。由成交单位成立评价工作组，对评价项目资金进行调研，与预算部门（单位）沟通，收集相关政策文件及资料，了解项目资金的内容、操作流程、管理机制、资金使用、产出和效果等情况，根据项目资金实际情况和绩效管理要求制定绩效评价工作方案，并报送预算部门（单位）和采购人审核。采购人组织专家对工作方案进行评审，经评审通过的工作方案作为实施绩效评价的依据。</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实施绩效评价。根据绩效评价方案组织实施绩效评价工作。开展资料收集、数据复核、问卷调查和访谈等工作，对复核后的数据和资料进行汇总，依据评分标准对绩效指标进行评分，并通过绩效分析形成评价结论。</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出具绩效评价报告。按照采购人规定的文本格式要求撰写绩效评价报告，评价报告力求做到依据充分、分析透彻、逻辑清晰、客观公正。主要效果和存在问题分析应与评价结论逻辑一致，对策建议应具有针对性、可操作性和一定前瞻性。绩效评价报告征求预算部门（单位）意见后，由采购人组织专家进行评审并出具专家评审意见，成交单位根据专家评审意见进行修改完善，按规定出具正式报告。</w:t>
      </w:r>
      <w:r>
        <w:rPr>
          <w:rFonts w:hint="eastAsia" w:ascii="仿宋" w:hAnsi="仿宋" w:eastAsia="仿宋" w:cs="仿宋"/>
          <w:color w:val="000000"/>
          <w:sz w:val="24"/>
          <w:szCs w:val="24"/>
          <w:highlight w:val="none"/>
        </w:rPr>
      </w:r>
      <w:r/>
    </w:p>
    <w:p>
      <w:pPr>
        <w:pStyle w:val="953"/>
        <w:ind w:firstLine="482"/>
        <w:keepLines w:val="0"/>
        <w:keepNext w:val="0"/>
        <w:pageBreakBefore w:val="0"/>
        <w:spacing w:before="181"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采购包</w:t>
      </w:r>
      <w:r>
        <w:rPr>
          <w:rFonts w:hint="eastAsia" w:ascii="仿宋" w:hAnsi="仿宋" w:eastAsia="仿宋" w:cs="仿宋"/>
          <w:b/>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rPr>
        <w:t xml:space="preserve">服务</w:t>
      </w:r>
      <w:r>
        <w:rPr>
          <w:rFonts w:hint="eastAsia" w:ascii="仿宋" w:hAnsi="仿宋" w:eastAsia="仿宋" w:cs="仿宋"/>
          <w:b/>
          <w:bCs/>
          <w:color w:val="000000"/>
          <w:sz w:val="24"/>
          <w:szCs w:val="24"/>
          <w:highlight w:val="none"/>
          <w:lang w:val="en-US" w:eastAsia="zh-CN"/>
        </w:rPr>
        <w:t xml:space="preserve">A</w:t>
      </w:r>
      <w:r>
        <w:rPr>
          <w:rFonts w:hint="eastAsia" w:ascii="仿宋" w:hAnsi="仿宋" w:eastAsia="仿宋" w:cs="仿宋"/>
          <w:b/>
          <w:bCs/>
          <w:color w:val="000000"/>
          <w:sz w:val="24"/>
          <w:szCs w:val="24"/>
          <w:highlight w:val="none"/>
        </w:rPr>
        <w:t xml:space="preserve">内容：事前绩效评估服务（重点偏向运用成本绩效分析方法开展投入经济性分析）</w:t>
      </w:r>
      <w:r>
        <w:rPr>
          <w:rFonts w:hint="eastAsia" w:ascii="仿宋" w:hAnsi="仿宋" w:eastAsia="仿宋" w:cs="仿宋"/>
          <w:color w:val="000000"/>
          <w:sz w:val="24"/>
          <w:szCs w:val="24"/>
          <w:highlight w:val="none"/>
        </w:rPr>
      </w:r>
      <w:r/>
    </w:p>
    <w:p>
      <w:pPr>
        <w:pStyle w:val="953"/>
        <w:jc w:val="center"/>
        <w:keepLines w:val="0"/>
        <w:keepNext w:val="0"/>
        <w:pageBreakBefore w:val="0"/>
        <w:spacing w:line="360" w:lineRule="auto"/>
        <w:widowControl w:val="off"/>
        <w:rPr>
          <w:rFonts w:hint="eastAsia" w:ascii="仿宋" w:hAnsi="仿宋" w:eastAsia="仿宋" w:cs="仿宋"/>
          <w:b/>
          <w:bCs/>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b/>
          <w:bCs/>
          <w:color w:val="000000"/>
          <w:sz w:val="24"/>
          <w:szCs w:val="24"/>
          <w:highlight w:val="none"/>
        </w:rPr>
        <w:t xml:space="preserve">太仓市明德高级中学宿舍楼翻修工程事前绩效评估</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评分案例</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r>
      <w:r/>
    </w:p>
    <w:p>
      <w:pPr>
        <w:pStyle w:val="953"/>
        <w:ind w:firstLine="420"/>
        <w:spacing w:line="360" w:lineRule="auto"/>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一、拟实施项目概况</w:t>
      </w:r>
      <w:r>
        <w:rPr>
          <w:rFonts w:hint="eastAsia" w:ascii="仿宋" w:hAnsi="仿宋" w:eastAsia="仿宋" w:cs="仿宋"/>
          <w:color w:val="000000"/>
          <w:szCs w:val="21"/>
          <w:highlight w:val="none"/>
        </w:rPr>
      </w:r>
      <w:r/>
    </w:p>
    <w:p>
      <w:pPr>
        <w:pStyle w:val="953"/>
        <w:ind w:firstLine="420"/>
        <w:spacing w:line="360" w:lineRule="auto"/>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本项目为太仓市明德高级中学宿舍楼翻修工程，建设地点位于江苏省太仓市东仓南路 128 号，太仓市明德高级中学校内。学校学生宿舍楼于2005 年建成投入使用，建筑面积约10300 平方米，是保障学校 57 个教学班、2700 名在校学生住宿生活的关键基础设施。</w:t>
      </w:r>
      <w:r>
        <w:rPr>
          <w:rFonts w:hint="eastAsia" w:ascii="仿宋" w:hAnsi="仿宋" w:eastAsia="仿宋" w:cs="仿宋"/>
          <w:color w:val="000000"/>
          <w:szCs w:val="21"/>
          <w:highlight w:val="none"/>
        </w:rPr>
      </w:r>
      <w:r/>
    </w:p>
    <w:p>
      <w:pPr>
        <w:pStyle w:val="953"/>
        <w:ind w:firstLine="420"/>
        <w:spacing w:line="360" w:lineRule="auto"/>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本次改造内容主要包括：宿舍室内卫生间整体翻修，宿舍、公共走道、楼梯间局部修缮翻新；室内装修、门窗更换、水电安装、消防安装、局部屋面防水修缮、室外管道维修、纱窗及窗帘采购安装等。项目建设周期150 天左右，计划总投资980 万元。</w:t>
      </w:r>
      <w:r>
        <w:rPr>
          <w:rFonts w:hint="eastAsia" w:ascii="仿宋" w:hAnsi="仿宋" w:eastAsia="仿宋" w:cs="仿宋"/>
          <w:color w:val="000000"/>
          <w:szCs w:val="21"/>
          <w:highlight w:val="none"/>
        </w:rPr>
      </w:r>
      <w:r/>
    </w:p>
    <w:p>
      <w:pPr>
        <w:pStyle w:val="953"/>
        <w:ind w:firstLine="420"/>
        <w:spacing w:line="360" w:lineRule="auto"/>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二、项目设立依据及必要性</w:t>
      </w:r>
      <w:r>
        <w:rPr>
          <w:rFonts w:hint="eastAsia" w:ascii="仿宋" w:hAnsi="仿宋" w:eastAsia="仿宋" w:cs="仿宋"/>
          <w:color w:val="000000"/>
          <w:szCs w:val="21"/>
          <w:highlight w:val="none"/>
        </w:rPr>
      </w:r>
      <w:r/>
    </w:p>
    <w:p>
      <w:pPr>
        <w:pStyle w:val="953"/>
        <w:ind w:firstLine="420"/>
        <w:spacing w:line="360" w:lineRule="auto"/>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太仓市明德高级中学为江苏省四星级普通高中，是太仓市基础教育高质量发展的重要载体。学生宿舍楼投用二十多年，虽 2023 年实施过配电设施与电路更新，但建筑老化、设施破损、功能缺陷问题突出，已无法满足安全使用与育人环境要求，实施翻修改造十分必要。</w:t>
      </w:r>
      <w:r>
        <w:rPr>
          <w:rFonts w:hint="eastAsia" w:ascii="仿宋" w:hAnsi="仿宋" w:eastAsia="仿宋" w:cs="仿宋"/>
          <w:color w:val="000000"/>
          <w:szCs w:val="21"/>
          <w:highlight w:val="none"/>
        </w:rPr>
      </w:r>
      <w:r/>
    </w:p>
    <w:p>
      <w:pPr>
        <w:pStyle w:val="953"/>
        <w:ind w:firstLine="420"/>
        <w:spacing w:line="360" w:lineRule="auto"/>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从安全保障看，宿舍楼普遍存在卫生间防水失效、积水渗漏严重等问题，导致卫生间顶部木质龙骨受潮腐烂，已发生坍塌险情，直接威胁学生人身安全；墙体装饰面层大面积剥落、管道堵塞渗漏频发，建筑结构与使用安全隐患突出。</w:t>
      </w:r>
      <w:r>
        <w:rPr>
          <w:rFonts w:hint="eastAsia" w:ascii="仿宋" w:hAnsi="仿宋" w:eastAsia="仿宋" w:cs="仿宋"/>
          <w:color w:val="000000"/>
          <w:szCs w:val="21"/>
          <w:highlight w:val="none"/>
        </w:rPr>
      </w:r>
      <w:r/>
    </w:p>
    <w:p>
      <w:pPr>
        <w:pStyle w:val="953"/>
        <w:ind w:firstLine="420"/>
        <w:spacing w:line="360" w:lineRule="auto"/>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从功能保障看，宿舍基础功能不完善、居住品质偏低，与四星级高中办学标准、学生良好住宿需求及现代化校园建设要求存在明显差距。实施本项目，是落实校舍安全管理规定、消除安全隐患、改善学生住宿条件、优化育人环境的重要举措，契合学校 “为学生终身可持续发展奠定基础” 的办学理念，是保障学生健康成长、回应师生及家长民生关切的必需工程。</w:t>
      </w:r>
      <w:r>
        <w:rPr>
          <w:rFonts w:hint="eastAsia" w:ascii="仿宋" w:hAnsi="仿宋" w:eastAsia="仿宋" w:cs="仿宋"/>
          <w:color w:val="000000"/>
          <w:szCs w:val="21"/>
          <w:highlight w:val="none"/>
        </w:rPr>
      </w:r>
      <w:r/>
    </w:p>
    <w:p>
      <w:pPr>
        <w:pStyle w:val="953"/>
        <w:ind w:firstLine="420"/>
        <w:spacing w:line="360" w:lineRule="auto"/>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三、拟申报预算情况</w:t>
      </w:r>
      <w:r>
        <w:rPr>
          <w:rFonts w:hint="eastAsia" w:ascii="仿宋" w:hAnsi="仿宋" w:eastAsia="仿宋" w:cs="仿宋"/>
          <w:color w:val="000000"/>
          <w:szCs w:val="21"/>
          <w:highlight w:val="none"/>
        </w:rPr>
      </w:r>
      <w:r/>
    </w:p>
    <w:p>
      <w:pPr>
        <w:pStyle w:val="953"/>
        <w:ind w:firstLine="420"/>
        <w:spacing w:line="360" w:lineRule="auto"/>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项目计划总投资980 万元，资金来源为市级财政拨款。经测算，项目概算构成如下：</w:t>
      </w:r>
      <w:r>
        <w:rPr>
          <w:rFonts w:hint="eastAsia" w:ascii="仿宋" w:hAnsi="仿宋" w:eastAsia="仿宋" w:cs="仿宋"/>
          <w:color w:val="000000"/>
          <w:szCs w:val="21"/>
          <w:highlight w:val="none"/>
        </w:rPr>
      </w:r>
      <w:r/>
    </w:p>
    <w:p>
      <w:pPr>
        <w:pStyle w:val="953"/>
        <w:ind w:firstLine="420"/>
        <w:spacing w:line="360" w:lineRule="auto"/>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1.工程建设费用：838.96 万元，含卫生间拆除、装修装饰、水电安装、消防安装、屋顶修缮等；</w:t>
      </w:r>
      <w:r>
        <w:rPr>
          <w:rFonts w:hint="eastAsia" w:ascii="仿宋" w:hAnsi="仿宋" w:eastAsia="仿宋" w:cs="仿宋"/>
          <w:color w:val="000000"/>
          <w:szCs w:val="21"/>
          <w:highlight w:val="none"/>
        </w:rPr>
      </w:r>
      <w:r/>
    </w:p>
    <w:p>
      <w:pPr>
        <w:pStyle w:val="953"/>
        <w:ind w:firstLine="420"/>
        <w:spacing w:line="360" w:lineRule="auto"/>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2.购置费用：10 万元，为纱窗、窗帘采购安装；</w:t>
      </w:r>
      <w:r>
        <w:rPr>
          <w:rFonts w:hint="eastAsia" w:ascii="仿宋" w:hAnsi="仿宋" w:eastAsia="仿宋" w:cs="仿宋"/>
          <w:color w:val="000000"/>
          <w:szCs w:val="21"/>
          <w:highlight w:val="none"/>
        </w:rPr>
      </w:r>
      <w:r/>
    </w:p>
    <w:p>
      <w:pPr>
        <w:pStyle w:val="953"/>
        <w:ind w:firstLine="420"/>
        <w:spacing w:line="360" w:lineRule="auto"/>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3.工程建设其他费用：84.85 万元，含设计、监理、招标代理、标底编制、跟踪审计、材料检测、空气质量检测、结算审计、建设管理费、竣工财务决算等；</w:t>
      </w:r>
      <w:r>
        <w:rPr>
          <w:rFonts w:hint="eastAsia" w:ascii="仿宋" w:hAnsi="仿宋" w:eastAsia="仿宋" w:cs="仿宋"/>
          <w:color w:val="000000"/>
          <w:szCs w:val="21"/>
          <w:highlight w:val="none"/>
        </w:rPr>
      </w:r>
      <w:r/>
    </w:p>
    <w:p>
      <w:pPr>
        <w:pStyle w:val="953"/>
        <w:ind w:firstLine="420"/>
        <w:spacing w:line="360" w:lineRule="auto"/>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4.预备费：46.19 万元。</w:t>
      </w:r>
      <w:r>
        <w:rPr>
          <w:rFonts w:hint="eastAsia" w:ascii="仿宋" w:hAnsi="仿宋" w:eastAsia="仿宋" w:cs="仿宋"/>
          <w:color w:val="000000"/>
          <w:szCs w:val="21"/>
          <w:highlight w:val="none"/>
        </w:rPr>
      </w:r>
      <w:r/>
    </w:p>
    <w:p>
      <w:pPr>
        <w:pStyle w:val="953"/>
        <w:ind w:firstLine="420"/>
        <w:spacing w:line="360" w:lineRule="auto"/>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四、拟实现目标</w:t>
      </w:r>
      <w:r>
        <w:rPr>
          <w:rFonts w:hint="eastAsia" w:ascii="仿宋" w:hAnsi="仿宋" w:eastAsia="仿宋" w:cs="仿宋"/>
          <w:color w:val="000000"/>
          <w:szCs w:val="21"/>
          <w:highlight w:val="none"/>
        </w:rPr>
      </w:r>
      <w:r/>
    </w:p>
    <w:p>
      <w:pPr>
        <w:pStyle w:val="953"/>
        <w:ind w:firstLine="420"/>
        <w:spacing w:line="360" w:lineRule="auto"/>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通过实施宿舍楼翻修工程，全面解决防水失效、渗漏、设施老化、功能缺失等问题，彻底消除建筑安全隐患，提升校舍安全等级。优化宿舍内部功能布局，规范水电、消防系统，改善通风、采光、隔音与节能条件，使用绿色环保建材，保障居住健康与舒适。</w:t>
      </w:r>
      <w:r>
        <w:rPr>
          <w:rFonts w:hint="eastAsia" w:ascii="仿宋" w:hAnsi="仿宋" w:eastAsia="仿宋" w:cs="仿宋"/>
          <w:color w:val="000000"/>
          <w:szCs w:val="21"/>
          <w:highlight w:val="none"/>
        </w:rPr>
      </w:r>
      <w:r/>
    </w:p>
    <w:p>
      <w:pPr>
        <w:pStyle w:val="953"/>
        <w:ind w:firstLine="420"/>
        <w:spacing w:line="360" w:lineRule="auto"/>
        <w:rPr>
          <w:rFonts w:hint="eastAsia" w:ascii="仿宋" w:hAnsi="仿宋" w:eastAsia="仿宋" w:cs="仿宋"/>
          <w:szCs w:val="22"/>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项目建成后，宿舍建筑外观整洁协调、与校园整体风貌统一，内部设施完备、使用便捷、管理规范，为学生提供安全、舒适、健康、文明的住宿环境，全面提升校园生活保障能力与育人品质，助力学校高质量发展。</w:t>
      </w:r>
      <w:r>
        <w:rPr>
          <w:rFonts w:hint="eastAsia" w:ascii="仿宋" w:hAnsi="仿宋" w:eastAsia="仿宋" w:cs="仿宋"/>
          <w:szCs w:val="22"/>
          <w:highlight w:val="none"/>
        </w:rPr>
      </w:r>
      <w:r/>
    </w:p>
    <w:p>
      <w:pPr>
        <w:pStyle w:val="953"/>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采购包</w:t>
      </w:r>
      <w:r>
        <w:rPr>
          <w:rFonts w:hint="eastAsia" w:ascii="仿宋" w:hAnsi="仿宋" w:eastAsia="仿宋" w:cs="仿宋"/>
          <w:b/>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rPr>
        <w:t xml:space="preserve">服务</w:t>
      </w:r>
      <w:r>
        <w:rPr>
          <w:rFonts w:hint="eastAsia" w:ascii="仿宋" w:hAnsi="仿宋" w:eastAsia="仿宋" w:cs="仿宋"/>
          <w:b/>
          <w:bCs/>
          <w:color w:val="000000"/>
          <w:sz w:val="24"/>
          <w:szCs w:val="24"/>
          <w:highlight w:val="none"/>
          <w:lang w:val="en-US" w:eastAsia="zh-CN"/>
        </w:rPr>
        <w:t xml:space="preserve">A</w:t>
      </w:r>
      <w:r>
        <w:rPr>
          <w:rFonts w:hint="eastAsia" w:ascii="仿宋" w:hAnsi="仿宋" w:eastAsia="仿宋" w:cs="仿宋"/>
          <w:b/>
          <w:bCs/>
          <w:color w:val="000000"/>
          <w:sz w:val="24"/>
          <w:szCs w:val="24"/>
          <w:highlight w:val="none"/>
        </w:rPr>
        <w:t xml:space="preserve">要求：</w:t>
      </w:r>
      <w:r>
        <w:rPr>
          <w:rFonts w:hint="eastAsia" w:ascii="仿宋" w:hAnsi="仿宋" w:eastAsia="仿宋" w:cs="仿宋"/>
          <w:b/>
          <w:bCs/>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（1）制定事</w:t>
      </w:r>
      <w:r>
        <w:rPr>
          <w:rFonts w:hint="eastAsia" w:ascii="仿宋" w:hAnsi="仿宋" w:eastAsia="仿宋" w:cs="仿宋"/>
          <w:color w:val="000000"/>
          <w:sz w:val="24"/>
          <w:szCs w:val="24"/>
          <w:highlight w:val="none"/>
        </w:rPr>
        <w:t xml:space="preserve">前评估工作方案。由成交单位成立评估工作组，对拟实施项目资金进行走访调研，与预算部门（单位）沟通，了解其设想、需求，收集相关政策文件及资料，了解拟实施项目资金的目的、背景、功能定位、主要内容、项目资金管理要求等基本情况，据此确定评估思路、评估方法、评估重点，并制定事前绩效评估的工作方案，工作方案应包含项目概况、评估思路、评估方法、评估标准、社会调查方案、工作流程安排、保障措施等。事前评估工作方案报送预算部门（单位）和采购人审核。采购人组织专家对工作方案进行评审，经评审通过的工作方案作为实施事前绩效评估的依据。</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实施事前绩效评估。根据工作方案组织实施事前绩效评估工作。开展资料收集、数据复核、问卷调查、调研访谈等工作，选取合适的方式方法进行评估，具体围绕项目的立项必要性、目标科学性、投入经济性、方案可行性、筹资合规性等多维度进行论证，通过绩效分析形成评估结论。</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出具事前绩效评估报告。按照采购人规定的文本格式要求撰写事前绩效评估报告，评估报告力求做到科学客观、系统全面、逻辑清晰、推论严谨、说理清楚。评估结论应清晰、客观、严谨、具有说服力，对策建议应具有针对性、可操作性和前瞻性。事前绩效评估报告征求预算部门（单位）意见后，由采购人组织专家进行评审并出具专家评审意见，成交单位根据专家评审意见进行修改完善，按规定出具正式报告。</w:t>
      </w:r>
      <w:r>
        <w:rPr>
          <w:rFonts w:hint="eastAsia" w:ascii="仿宋" w:hAnsi="仿宋" w:eastAsia="仿宋" w:cs="仿宋"/>
          <w:color w:val="000000"/>
          <w:sz w:val="24"/>
          <w:szCs w:val="24"/>
          <w:highlight w:val="none"/>
        </w:rPr>
      </w:r>
      <w:r/>
    </w:p>
    <w:p>
      <w:pPr>
        <w:pStyle w:val="953"/>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采购包</w:t>
      </w:r>
      <w:r>
        <w:rPr>
          <w:rFonts w:hint="eastAsia" w:ascii="仿宋" w:hAnsi="仿宋" w:eastAsia="仿宋" w:cs="仿宋"/>
          <w:b/>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rPr>
        <w:t xml:space="preserve">服务</w:t>
      </w:r>
      <w:r>
        <w:rPr>
          <w:rFonts w:hint="eastAsia" w:ascii="仿宋" w:hAnsi="仿宋" w:eastAsia="仿宋" w:cs="仿宋"/>
          <w:b/>
          <w:bCs/>
          <w:color w:val="000000"/>
          <w:sz w:val="24"/>
          <w:szCs w:val="24"/>
          <w:highlight w:val="none"/>
          <w:lang w:val="en-US" w:eastAsia="zh-CN"/>
        </w:rPr>
        <w:t xml:space="preserve">B</w:t>
      </w:r>
      <w:r>
        <w:rPr>
          <w:rFonts w:hint="eastAsia" w:ascii="仿宋" w:hAnsi="仿宋" w:eastAsia="仿宋" w:cs="仿宋"/>
          <w:b/>
          <w:bCs/>
          <w:color w:val="000000"/>
          <w:sz w:val="24"/>
          <w:szCs w:val="24"/>
          <w:highlight w:val="none"/>
        </w:rPr>
        <w:t xml:space="preserve">内容：重点绩效评价服务</w:t>
      </w:r>
      <w:r>
        <w:rPr>
          <w:rFonts w:hint="eastAsia" w:ascii="仿宋" w:hAnsi="仿宋" w:eastAsia="仿宋" w:cs="仿宋"/>
          <w:b/>
          <w:bCs/>
          <w:color w:val="000000"/>
          <w:sz w:val="24"/>
          <w:szCs w:val="24"/>
          <w:highlight w:val="none"/>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w:t>
      </w:r>
      <w:r>
        <w:rPr>
          <w:rFonts w:hint="eastAsia" w:ascii="仿宋" w:hAnsi="仿宋" w:eastAsia="仿宋" w:cs="仿宋"/>
          <w:color w:val="000000"/>
          <w:sz w:val="24"/>
          <w:szCs w:val="24"/>
          <w:highlight w:val="none"/>
          <w:lang w:val="en-US" w:eastAsia="zh-CN" w:bidi="ar-SA"/>
        </w:rPr>
        <w:t xml:space="preserve">残疾人康复经费重点绩效评价</w:t>
      </w:r>
      <w:r>
        <w:rPr>
          <w:rFonts w:hint="eastAsia" w:ascii="仿宋" w:hAnsi="仿宋" w:eastAsia="仿宋" w:cs="仿宋"/>
          <w:sz w:val="24"/>
          <w:szCs w:val="24"/>
          <w:highlight w:val="none"/>
          <w:lang w:val="en-US" w:eastAsia="zh-CN" w:bidi="ar-SA"/>
        </w:rPr>
      </w:r>
      <w:r/>
    </w:p>
    <w:p>
      <w:pPr>
        <w:pStyle w:val="953"/>
        <w:jc w:val="center"/>
        <w:keepLines w:val="0"/>
        <w:keepNext w:val="0"/>
        <w:pageBreakBefore w:val="0"/>
        <w:spacing w:line="360" w:lineRule="auto"/>
        <w:widowControl w:val="off"/>
        <w:rPr>
          <w:rFonts w:hint="eastAsia" w:ascii="仿宋" w:hAnsi="仿宋" w:eastAsia="仿宋" w:cs="仿宋"/>
          <w:b/>
          <w:bCs/>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b/>
          <w:bCs/>
          <w:color w:val="000000"/>
          <w:sz w:val="24"/>
          <w:szCs w:val="24"/>
          <w:highlight w:val="none"/>
        </w:rPr>
        <w:t xml:space="preserve">残疾人康复经费重点绩效评价</w:t>
      </w:r>
      <w:r>
        <w:rPr>
          <w:rFonts w:hint="eastAsia" w:ascii="仿宋" w:hAnsi="仿宋" w:eastAsia="仿宋" w:cs="仿宋"/>
          <w:b/>
          <w:bCs/>
          <w:color w:val="000000"/>
          <w:sz w:val="24"/>
          <w:szCs w:val="24"/>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一、项目概况</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残疾人康复经费项目主要包括残疾人康复服务提升、残疾人康复训练、残疾人辅助器具适配和康复器械等项目，由市残联负责具体实施，保障我市各类残疾人康复服务需求。</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二、设立依据</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关于推进全市残疾人心理关爱服务工作的指导意见》（苏残字﹝2023﹞19号）、《苏州市残疾人儿童基本康复服务实施规范（2024年版）》（苏残字〔2024〕10号）、关于优化《苏州市残疾人辅助器具适配补贴实施办法》的通知（苏残字〔2024〕50号）等文件。</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三、总目标及年度目标</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（一）项目总目标</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实现残疾人享有较高水平康复服务，残疾人及其家庭获得感和幸福感更加充实、更有保障、更可持续。为残疾人提供新型辅助器具、活动场所等方面的支持性服务，提高残疾人辅助器具适配水平，同时开展社区康复工作，加强康复效果的评估，完善残疾人辅具保障体系，进一步提升残疾人生活满意度。</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（二）项目年度目标</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为残疾人提供新型辅助器具、活动场所等方面的支持性服务，进一步提高残疾人生活满意度。同时开展社区康复工作，加强康复效果的评估，提高康复训练资金的使用效益，全年为200名残疾儿童进行康复评估；实现残疾人享有较高水平康复服务，残疾人及其家庭获得感和幸福感更加充实、更有保障、更可持续，全年为400名残疾儿童提供康复训练服务及资金支持；提高残疾人辅助器具适配水平，完善残疾人辅具保障体系，为250名残疾人提供相应地辅助器具适配服务。</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四、预算安排情况</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2024年预算安排1350万元，2025年预算安排1877万元，2026年预算安排2012万元。</w:t>
      </w:r>
      <w:r>
        <w:rPr>
          <w:rFonts w:hint="eastAsia" w:ascii="仿宋" w:hAnsi="仿宋" w:eastAsia="仿宋" w:cs="仿宋"/>
          <w:color w:val="000000"/>
          <w:szCs w:val="21"/>
          <w:highlight w:val="none"/>
        </w:rPr>
      </w:r>
      <w:r/>
    </w:p>
    <w:p>
      <w:pPr>
        <w:pStyle w:val="953"/>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2.</w:t>
      </w:r>
      <w:r>
        <w:rPr>
          <w:rFonts w:hint="eastAsia" w:ascii="仿宋" w:hAnsi="仿宋" w:eastAsia="仿宋" w:cs="仿宋"/>
          <w:color w:val="000000"/>
          <w:szCs w:val="21"/>
          <w:highlight w:val="none"/>
        </w:rPr>
        <w:t xml:space="preserve">梅山猪保种补助经费重点绩效评价</w:t>
      </w:r>
      <w:r>
        <w:rPr>
          <w:rFonts w:hint="eastAsia" w:ascii="仿宋" w:hAnsi="仿宋" w:eastAsia="仿宋" w:cs="仿宋"/>
          <w:color w:val="000000"/>
          <w:szCs w:val="21"/>
          <w:highlight w:val="none"/>
        </w:rPr>
      </w:r>
      <w:r/>
    </w:p>
    <w:p>
      <w:pPr>
        <w:pStyle w:val="953"/>
        <w:jc w:val="center"/>
        <w:keepLines w:val="0"/>
        <w:keepNext w:val="0"/>
        <w:pageBreakBefore w:val="0"/>
        <w:spacing w:line="360" w:lineRule="auto"/>
        <w:widowControl w:val="off"/>
        <w:rPr>
          <w:rFonts w:hint="eastAsia" w:ascii="仿宋" w:hAnsi="仿宋" w:eastAsia="仿宋" w:cs="仿宋"/>
          <w:b/>
          <w:bCs/>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b/>
          <w:bCs/>
          <w:color w:val="000000"/>
          <w:sz w:val="24"/>
          <w:szCs w:val="24"/>
          <w:highlight w:val="none"/>
        </w:rPr>
        <w:t xml:space="preserve">梅山猪保种经费绩效评价</w:t>
      </w:r>
      <w:r>
        <w:rPr>
          <w:rFonts w:hint="eastAsia" w:ascii="仿宋" w:hAnsi="仿宋" w:eastAsia="仿宋" w:cs="仿宋"/>
          <w:b/>
          <w:bCs/>
          <w:color w:val="000000"/>
          <w:sz w:val="24"/>
          <w:szCs w:val="24"/>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一、项目概况</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梅山猪保种经费项目旨在为实施梅山猪遗传资源保种的养殖场提供财政补助，完成梅山猪保种相关任务。根据太仓市恢复生猪生产保障市场供应工作联席会议2020年1号会议纪要，明确由国资位于璜泾镇雅鹿村新建梅山猪保种场，2021年4月建成后交太仓市雅勤生猪养殖有限公司运营。市财政每年补助120万元。</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二、设立依据</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关于切实加强地方猪遗传资源保护工作的通知》（苏农办牧〔2019〕37号）、《关于采取最严格措施保护好地方猪保种场的紧急通知》（苏市农牧〔2019〕63号）、太仓市恢复生猪生产保障市场供应工作联席会议2020年1号会议纪要。</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三、总目标及年度目标</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（一）项目总目标</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通过绩效评价，分析保种场梅山猪保种任务完成情况，对项目未来可持续性提出优化意见，鼓励引导保种场提升自主创收能力。</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（二）项目年度目标</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重点对太仓市雅勤生猪养殖有限公司资金收支情况，结合该企业及全资股东投资的其他生猪养殖相关的产业收支情况进行分析；对照保种任务，对梅山猪保种运营所需资金等成本情况开展优化分析；在确保种质资源安全的前提下，统筹研究企业整体盈利能力，逐步降低对财政补助的依赖。</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四、预算安排情况</w:t>
      </w:r>
      <w:r>
        <w:rPr>
          <w:rFonts w:hint="eastAsia" w:ascii="仿宋" w:hAnsi="仿宋" w:eastAsia="仿宋" w:cs="仿宋"/>
          <w:color w:val="000000"/>
          <w:szCs w:val="21"/>
          <w:highlight w:val="none"/>
        </w:rPr>
      </w:r>
      <w:r/>
    </w:p>
    <w:p>
      <w:pPr>
        <w:pStyle w:val="953"/>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2025年年初预算安排120万元，2026年年初预算安排120万元。</w:t>
      </w:r>
      <w:r>
        <w:rPr>
          <w:rFonts w:hint="eastAsia" w:ascii="仿宋" w:hAnsi="仿宋" w:eastAsia="仿宋" w:cs="仿宋"/>
          <w:color w:val="000000"/>
          <w:szCs w:val="21"/>
          <w:highlight w:val="none"/>
        </w:rPr>
      </w:r>
      <w:r/>
    </w:p>
    <w:p>
      <w:pPr>
        <w:pStyle w:val="953"/>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采购包</w:t>
      </w:r>
      <w:r>
        <w:rPr>
          <w:rFonts w:hint="eastAsia" w:ascii="仿宋" w:hAnsi="仿宋" w:eastAsia="仿宋" w:cs="仿宋"/>
          <w:b/>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rPr>
        <w:t xml:space="preserve">服务</w:t>
      </w:r>
      <w:r>
        <w:rPr>
          <w:rFonts w:hint="eastAsia" w:ascii="仿宋" w:hAnsi="仿宋" w:eastAsia="仿宋" w:cs="仿宋"/>
          <w:b/>
          <w:bCs/>
          <w:color w:val="000000"/>
          <w:sz w:val="24"/>
          <w:szCs w:val="24"/>
          <w:highlight w:val="none"/>
          <w:lang w:val="en-US" w:eastAsia="zh-CN"/>
        </w:rPr>
        <w:t xml:space="preserve">B</w:t>
      </w:r>
      <w:r>
        <w:rPr>
          <w:rFonts w:hint="eastAsia" w:ascii="仿宋" w:hAnsi="仿宋" w:eastAsia="仿宋" w:cs="仿宋"/>
          <w:b/>
          <w:bCs/>
          <w:color w:val="000000"/>
          <w:sz w:val="24"/>
          <w:szCs w:val="24"/>
          <w:highlight w:val="none"/>
        </w:rPr>
        <w:t xml:space="preserve">要求：</w:t>
      </w:r>
      <w:r>
        <w:rPr>
          <w:rFonts w:hint="eastAsia" w:ascii="仿宋" w:hAnsi="仿宋" w:eastAsia="仿宋" w:cs="仿宋"/>
          <w:b/>
          <w:bCs/>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制定评价工作方案。由成交单位成立评价工作组，对评价项目资金进行调研，与预算部门（单位）沟通，收集相关政策文件及资料，了解项目资金的内容、操作流程、管理机制、资金使用、产出和效果等情况，根据项目资金实际情况和绩效管理要求制定绩效评价工作方案，并报送预算部门（单位）和采购人审核。采购人组织专家对工作方案进行评审，经评审通过的工作方案作为实施绩效评价的依据。</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实施绩效评价。根据绩效评价方案组织实施绩效评价工作。开展资料收集、数据复核、问卷调查和访谈等工作，对复核后的数据和资料进行汇总，依据评分标准对绩效指标进行评分，并通过绩效分析形成评价结论。</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出具绩效评价报告。按照采购人规定的文本格式要求撰写绩效评价报告，评价报告力求做到依据充分、分析透彻、逻辑清晰、客观公正。主要效果和存在问题分析应与评价结论逻辑一致，对策建议应具有针对性、可操作性和一定前瞻性。绩效评价报告征求预算部门（单位）意见后，由采购人组织专家进行评审并出具专家评审意见，成交单位根据专家评审意见进行修改完善，按规定出具正式报告。</w:t>
      </w:r>
      <w:r>
        <w:rPr>
          <w:rFonts w:hint="eastAsia" w:ascii="仿宋" w:hAnsi="仿宋" w:eastAsia="仿宋" w:cs="仿宋"/>
          <w:color w:val="000000"/>
          <w:sz w:val="24"/>
          <w:szCs w:val="24"/>
          <w:highlight w:val="none"/>
        </w:rPr>
      </w:r>
      <w:r/>
    </w:p>
    <w:p>
      <w:pPr>
        <w:pStyle w:val="953"/>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采购包</w:t>
      </w:r>
      <w:r>
        <w:rPr>
          <w:rFonts w:hint="eastAsia" w:ascii="仿宋" w:hAnsi="仿宋" w:eastAsia="仿宋" w:cs="仿宋"/>
          <w:b/>
          <w:bCs/>
          <w:color w:val="000000"/>
          <w:sz w:val="24"/>
          <w:szCs w:val="24"/>
          <w:highlight w:val="none"/>
          <w:lang w:val="en-US" w:eastAsia="zh-CN"/>
        </w:rPr>
        <w:t xml:space="preserve">4</w:t>
      </w:r>
      <w:r>
        <w:rPr>
          <w:rFonts w:hint="eastAsia" w:ascii="仿宋" w:hAnsi="仿宋" w:eastAsia="仿宋" w:cs="仿宋"/>
          <w:b/>
          <w:bCs/>
          <w:color w:val="000000"/>
          <w:sz w:val="24"/>
          <w:szCs w:val="24"/>
          <w:highlight w:val="none"/>
        </w:rPr>
        <w:t xml:space="preserve">服务内容：自评价复核服务</w:t>
      </w:r>
      <w:r>
        <w:rPr>
          <w:rFonts w:hint="eastAsia" w:ascii="仿宋" w:hAnsi="仿宋" w:eastAsia="仿宋" w:cs="仿宋"/>
          <w:b/>
          <w:bCs/>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太仓市级财政支出项目绩效自评价复核</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对采购人选取的</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0个太仓</w:t>
      </w:r>
      <w:r>
        <w:rPr>
          <w:rFonts w:hint="eastAsia" w:ascii="仿宋" w:hAnsi="仿宋" w:eastAsia="仿宋" w:cs="仿宋"/>
          <w:color w:val="000000"/>
          <w:sz w:val="24"/>
          <w:szCs w:val="24"/>
          <w:highlight w:val="none"/>
        </w:rPr>
        <w:t xml:space="preserve">市级财政支出重点项目绩效自评价开展复核。</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虚拟复核项目：</w:t>
      </w:r>
      <w:r>
        <w:rPr>
          <w:rFonts w:hint="eastAsia" w:ascii="仿宋" w:hAnsi="仿宋" w:eastAsia="仿宋" w:cs="仿宋"/>
          <w:sz w:val="24"/>
          <w:szCs w:val="24"/>
          <w:highlight w:val="none"/>
          <w:lang w:bidi="ar"/>
        </w:rPr>
      </w:r>
      <w:r/>
    </w:p>
    <w:p>
      <w:pPr>
        <w:pStyle w:val="953"/>
        <w:ind w:firstLine="420"/>
        <w:spacing w:line="360" w:lineRule="auto"/>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bl>
      <w:tblPr>
        <w:tblW w:w="821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30"/>
        <w:gridCol w:w="980"/>
        <w:gridCol w:w="1880"/>
        <w:gridCol w:w="1020"/>
        <w:gridCol w:w="740"/>
        <w:gridCol w:w="2070"/>
        <w:gridCol w:w="690"/>
      </w:tblGrid>
      <w:tr>
        <w:trPr>
          <w:trHeight w:val="600"/>
        </w:trPr>
        <w:tc>
          <w:tcPr>
            <w:gridSpan w:val="7"/>
            <w:tcBorders>
              <w:top w:val="single" w:color="000000" w:sz="4" w:space="0"/>
              <w:left w:val="single" w:color="000000" w:sz="4" w:space="0"/>
              <w:bottom w:val="single" w:color="000000" w:sz="4" w:space="0"/>
              <w:right w:val="single" w:color="000000" w:sz="4" w:space="0"/>
            </w:tcBorders>
            <w:tcW w:w="8210" w:type="dxa"/>
            <w:vAlign w:val="center"/>
            <w:textDirection w:val="lrTb"/>
            <w:noWrap w:val="false"/>
          </w:tcPr>
          <w:p>
            <w:pPr>
              <w:pStyle w:val="953"/>
              <w:jc w:val="center"/>
              <w:widowControl/>
              <w:rPr>
                <w:rFonts w:hint="eastAsia" w:ascii="仿宋" w:hAnsi="仿宋" w:eastAsia="仿宋" w:cs="仿宋"/>
                <w:b/>
                <w:bCs/>
                <w:color w:val="000000"/>
                <w:sz w:val="20"/>
                <w:szCs w:val="20"/>
                <w:highlight w:val="none"/>
              </w:rPr>
            </w:pPr>
            <w:r>
              <w:rPr>
                <w:rFonts w:hint="eastAsia" w:ascii="仿宋" w:hAnsi="仿宋" w:eastAsia="仿宋" w:cs="仿宋"/>
                <w:b/>
                <w:bCs/>
                <w:color w:val="000000"/>
                <w:sz w:val="24"/>
                <w:szCs w:val="24"/>
                <w:highlight w:val="none"/>
              </w:rPr>
              <w:t xml:space="preserve">项目支出绩效自评价表</w:t>
            </w:r>
            <w:r>
              <w:rPr>
                <w:rFonts w:hint="eastAsia" w:ascii="仿宋" w:hAnsi="仿宋" w:eastAsia="仿宋" w:cs="仿宋"/>
                <w:b/>
                <w:bCs/>
                <w:color w:val="000000"/>
                <w:sz w:val="20"/>
                <w:szCs w:val="20"/>
                <w:highlight w:val="none"/>
              </w:rPr>
            </w:r>
            <w:r/>
          </w:p>
        </w:tc>
      </w:tr>
      <w:tr>
        <w:trPr>
          <w:trHeight w:val="439"/>
        </w:trPr>
        <w:tc>
          <w:tcPr>
            <w:gridSpan w:val="7"/>
            <w:tcBorders>
              <w:top w:val="single" w:color="000000" w:sz="4" w:space="0"/>
              <w:left w:val="single" w:color="000000" w:sz="4" w:space="0"/>
              <w:bottom w:val="single" w:color="000000" w:sz="4" w:space="0"/>
              <w:right w:val="single" w:color="000000" w:sz="4" w:space="0"/>
            </w:tcBorders>
            <w:tcW w:w="8210" w:type="dxa"/>
            <w:vAlign w:val="center"/>
            <w:textDirection w:val="lrTb"/>
            <w:noWrap w:val="false"/>
          </w:tcPr>
          <w:p>
            <w:pPr>
              <w:pStyle w:val="95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202</w:t>
            </w:r>
            <w:r>
              <w:rPr>
                <w:rFonts w:hint="eastAsia" w:ascii="仿宋" w:hAnsi="仿宋" w:eastAsia="仿宋" w:cs="仿宋"/>
                <w:color w:val="000000"/>
                <w:sz w:val="21"/>
                <w:szCs w:val="21"/>
                <w:highlight w:val="none"/>
                <w:lang w:val="en-US" w:eastAsia="zh-CN" w:bidi="ar"/>
              </w:rPr>
              <w:t xml:space="preserve">5</w:t>
            </w:r>
            <w:r>
              <w:rPr>
                <w:rFonts w:hint="eastAsia" w:ascii="仿宋" w:hAnsi="仿宋" w:eastAsia="仿宋" w:cs="仿宋"/>
                <w:color w:val="000000"/>
                <w:sz w:val="21"/>
                <w:szCs w:val="21"/>
                <w:highlight w:val="none"/>
                <w:lang w:bidi="ar"/>
              </w:rPr>
              <w:t xml:space="preserve">年度</w:t>
            </w:r>
            <w:r>
              <w:rPr>
                <w:rFonts w:hint="eastAsia" w:ascii="仿宋" w:hAnsi="仿宋" w:eastAsia="仿宋" w:cs="仿宋"/>
                <w:color w:val="000000"/>
                <w:sz w:val="21"/>
                <w:szCs w:val="21"/>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5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填报单位:</w:t>
            </w:r>
            <w:r>
              <w:rPr>
                <w:rFonts w:hint="eastAsia" w:ascii="仿宋" w:hAnsi="仿宋" w:eastAsia="仿宋" w:cs="仿宋"/>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860" w:type="dxa"/>
            <w:vAlign w:val="center"/>
            <w:textDirection w:val="lrTb"/>
            <w:noWrap w:val="false"/>
          </w:tcPr>
          <w:p>
            <w:pPr>
              <w:pStyle w:val="953"/>
              <w:jc w:val="left"/>
              <w:widowControl/>
              <w:rPr>
                <w:rFonts w:hint="eastAsia" w:ascii="仿宋" w:hAnsi="仿宋" w:eastAsia="仿宋" w:cs="仿宋"/>
                <w:color w:val="000000"/>
                <w:sz w:val="21"/>
                <w:szCs w:val="21"/>
                <w:highlight w:val="none"/>
              </w:rPr>
            </w:pPr>
            <w:r>
              <w:rPr>
                <w:rFonts w:hint="eastAsia" w:ascii="仿宋" w:hAnsi="仿宋" w:eastAsia="仿宋" w:cs="仿宋"/>
                <w:i w:val="0"/>
                <w:iCs w:val="0"/>
                <w:color w:val="000000"/>
                <w:sz w:val="21"/>
                <w:szCs w:val="21"/>
                <w:highlight w:val="none"/>
                <w:u w:val="none"/>
                <w:lang w:val="en-US" w:eastAsia="zh-CN" w:bidi="ar"/>
              </w:rPr>
              <w:t xml:space="preserve">太仓市文体广电和旅游局（本级）</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53"/>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项目名称:</w:t>
            </w:r>
            <w:r>
              <w:rPr>
                <w:rFonts w:hint="eastAsia" w:ascii="仿宋" w:hAnsi="仿宋" w:eastAsia="仿宋" w:cs="仿宋"/>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pStyle w:val="953"/>
              <w:jc w:val="center"/>
              <w:widowControl/>
              <w:rPr>
                <w:rFonts w:hint="eastAsia" w:ascii="仿宋" w:hAnsi="仿宋" w:eastAsia="仿宋" w:cs="仿宋"/>
                <w:color w:val="000000"/>
                <w:sz w:val="21"/>
                <w:szCs w:val="21"/>
                <w:highlight w:val="none"/>
              </w:rPr>
            </w:pPr>
            <w:r>
              <w:rPr>
                <w:rFonts w:hint="eastAsia" w:ascii="仿宋" w:hAnsi="仿宋" w:eastAsia="仿宋" w:cs="仿宋"/>
                <w:i w:val="0"/>
                <w:iCs w:val="0"/>
                <w:color w:val="000000"/>
                <w:sz w:val="21"/>
                <w:szCs w:val="21"/>
                <w:highlight w:val="none"/>
                <w:u w:val="none"/>
                <w:lang w:val="en-US" w:eastAsia="zh-CN" w:bidi="ar"/>
              </w:rPr>
              <w:t xml:space="preserve">文体旅产业业务经费</w:t>
            </w:r>
            <w:r>
              <w:rPr>
                <w:rFonts w:hint="eastAsia" w:ascii="仿宋" w:hAnsi="仿宋" w:eastAsia="仿宋" w:cs="仿宋"/>
                <w:color w:val="000000"/>
                <w:sz w:val="21"/>
                <w:szCs w:val="21"/>
                <w:highlight w:val="none"/>
              </w:rPr>
            </w:r>
            <w:r/>
          </w:p>
        </w:tc>
      </w:tr>
      <w:tr>
        <w:trPr>
          <w:trHeight w:val="479"/>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项目概况</w:t>
            </w:r>
            <w:r>
              <w:rPr>
                <w:rFonts w:hint="eastAsia" w:ascii="仿宋" w:hAnsi="仿宋" w:eastAsia="仿宋" w:cs="仿宋"/>
                <w:color w:val="000000"/>
                <w:sz w:val="21"/>
                <w:szCs w:val="21"/>
                <w:highlight w:val="none"/>
              </w:rPr>
            </w:r>
            <w:r/>
          </w:p>
        </w:tc>
        <w:tc>
          <w:tcPr>
            <w:gridSpan w:val="6"/>
            <w:tcBorders>
              <w:top w:val="single" w:color="000000" w:sz="4" w:space="0"/>
              <w:left w:val="single" w:color="000000" w:sz="4" w:space="0"/>
              <w:bottom w:val="single" w:color="000000" w:sz="4" w:space="0"/>
              <w:right w:val="single" w:color="000000" w:sz="4" w:space="0"/>
            </w:tcBorders>
            <w:tcW w:w="7380" w:type="dxa"/>
            <w:vAlign w:val="center"/>
            <w:textDirection w:val="lrTb"/>
            <w:noWrap w:val="false"/>
          </w:tcPr>
          <w:p>
            <w:pPr>
              <w:pStyle w:val="953"/>
              <w:jc w:val="left"/>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2025年，将组织开展文化产业专项招商对接等活动，重点引进国内外头部文化企业和机构、平台型数字文化企业来太设立中心。加强与文化产业联盟、行业协会、行业领军人物、龙头项目关联配套企业的联系沟通，利用苏州、西安、深圳以及长三角文博会平台，组织开展招商推介、产业对接等专题招商引资活动，积极推介我市文化产业发展新政策，展示文化产品和开展文化产业招商，重点在数字娱乐产业、音乐产业、影视产业方面，加强与头部文化企业合作，引进优秀文化企业入驻太仓</w:t>
            </w:r>
            <w:r>
              <w:rPr>
                <w:rFonts w:hint="eastAsia" w:ascii="仿宋" w:hAnsi="仿宋" w:eastAsia="仿宋" w:cs="仿宋"/>
                <w:color w:val="000000"/>
                <w:sz w:val="21"/>
                <w:szCs w:val="21"/>
                <w:highlight w:val="none"/>
              </w:rPr>
            </w:r>
            <w:r/>
          </w:p>
        </w:tc>
      </w:tr>
      <w:tr>
        <w:trPr>
          <w:trHeight w:val="282"/>
        </w:trPr>
        <w:tc>
          <w:tcPr>
            <w:gridSpan w:val="3"/>
            <w:tcBorders>
              <w:top w:val="single" w:color="000000" w:sz="4" w:space="0"/>
              <w:left w:val="single" w:color="000000" w:sz="4" w:space="0"/>
              <w:bottom w:val="single" w:color="000000" w:sz="4" w:space="0"/>
              <w:right w:val="single" w:color="000000" w:sz="4" w:space="0"/>
            </w:tcBorders>
            <w:tcW w:w="3690" w:type="dxa"/>
            <w:vAlign w:val="center"/>
            <w:textDirection w:val="lrTb"/>
            <w:noWrap w:val="false"/>
          </w:tcPr>
          <w:p>
            <w:pPr>
              <w:pStyle w:val="95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评价指标</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pStyle w:val="95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全年指标值</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pStyle w:val="95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分值</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restart"/>
            <w:textDirection w:val="lrTb"/>
            <w:noWrap w:val="false"/>
          </w:tcPr>
          <w:p>
            <w:pPr>
              <w:pStyle w:val="95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实际完成值</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pStyle w:val="95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得分</w:t>
            </w:r>
            <w:r>
              <w:rPr>
                <w:rFonts w:hint="eastAsia" w:ascii="仿宋" w:hAnsi="仿宋" w:eastAsia="仿宋" w:cs="仿宋"/>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5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一级指标</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95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二级指标</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95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三级指标</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70" w:type="dxa"/>
            <w:vAlign w:val="center"/>
            <w:vMerge w:val="continue"/>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495"/>
        </w:trPr>
        <w:tc>
          <w:tcPr>
            <w:tcBorders>
              <w:top w:val="single" w:color="000000" w:sz="4" w:space="0"/>
              <w:left w:val="single" w:color="000000" w:sz="4" w:space="0"/>
              <w:bottom w:val="single" w:color="000000" w:sz="4" w:space="0"/>
              <w:right w:val="single" w:color="000000" w:sz="4" w:space="0"/>
            </w:tcBorders>
            <w:tcW w:w="830" w:type="dxa"/>
            <w:vAlign w:val="center"/>
            <w:vMerge w:val="restart"/>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决策</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restart"/>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项目立项</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立项依据充分性</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充分</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达成预期目标</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color w:val="000000"/>
                <w:sz w:val="21"/>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立项程序规范性</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规范</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达成预期目标</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color w:val="000000"/>
                <w:sz w:val="21"/>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restart"/>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绩效目标</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绩效目标合理性</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合理</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达成预期目标</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color w:val="000000"/>
                <w:sz w:val="21"/>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绩效指标明确性</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明确</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达成预期目标</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color w:val="000000"/>
                <w:sz w:val="21"/>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restart"/>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资金投入</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资金分配合理性</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合理</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达成预期目标</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color w:val="000000"/>
                <w:sz w:val="21"/>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预算编制科学性</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科学</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达成预期目标</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color w:val="000000"/>
                <w:sz w:val="21"/>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830" w:type="dxa"/>
            <w:vAlign w:val="center"/>
            <w:vMerge w:val="restart"/>
            <w:textDirection w:val="lrTb"/>
            <w:noWrap w:val="false"/>
          </w:tcPr>
          <w:p>
            <w:pPr>
              <w:pStyle w:val="95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过程</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restart"/>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资金管理</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资金使用合规性</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合规</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达成预期目标</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rPr>
                <w:rFonts w:hint="eastAsia" w:ascii="仿宋" w:hAnsi="仿宋" w:eastAsia="仿宋" w:cs="仿宋"/>
                <w:color w:val="000000"/>
                <w:sz w:val="21"/>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预算执行率</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＝100%</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100.00%</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color w:val="000000"/>
                <w:sz w:val="21"/>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资金到位率</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100%</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达成预期目标</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color w:val="000000"/>
                <w:sz w:val="21"/>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restart"/>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组织实施</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管理制度健全性</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健全</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达成预期目标</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color w:val="000000"/>
                <w:sz w:val="21"/>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制度执行有效性</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有效</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达成预期目标</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w:t>
            </w:r>
            <w:r>
              <w:rPr>
                <w:rFonts w:hint="eastAsia" w:ascii="仿宋" w:hAnsi="仿宋" w:eastAsia="仿宋" w:cs="仿宋"/>
                <w:color w:val="000000"/>
                <w:sz w:val="21"/>
                <w:szCs w:val="21"/>
                <w:highlight w:val="none"/>
              </w:rPr>
            </w:r>
            <w:r/>
          </w:p>
        </w:tc>
      </w:tr>
      <w:tr>
        <w:trPr>
          <w:trHeight w:val="690"/>
        </w:trPr>
        <w:tc>
          <w:tcPr>
            <w:tcBorders>
              <w:top w:val="single" w:color="000000" w:sz="4" w:space="0"/>
              <w:left w:val="single" w:color="000000" w:sz="4" w:space="0"/>
              <w:bottom w:val="single" w:color="000000" w:sz="4" w:space="0"/>
              <w:right w:val="single" w:color="000000" w:sz="4" w:space="0"/>
            </w:tcBorders>
            <w:tcW w:w="830" w:type="dxa"/>
            <w:vAlign w:val="center"/>
            <w:vMerge w:val="restart"/>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产出指标</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restart"/>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数量指标</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举办招商对接会或文旅培训班</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＝1个</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1.00个</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color w:val="000000"/>
                <w:sz w:val="21"/>
                <w:szCs w:val="21"/>
                <w:highlight w:val="none"/>
              </w:rPr>
            </w:r>
            <w:r/>
          </w:p>
        </w:tc>
      </w:tr>
      <w:tr>
        <w:trPr>
          <w:trHeight w:val="69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参加苏州文博会</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＝1个</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1.00个</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color w:val="000000"/>
                <w:sz w:val="21"/>
                <w:szCs w:val="21"/>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参加各类展博会和文博会等</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＝2个</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2.00个</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color w:val="000000"/>
                <w:sz w:val="21"/>
                <w:szCs w:val="21"/>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质量指标</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经费支出合规性</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合规</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达成预期目标</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color w:val="000000"/>
                <w:sz w:val="21"/>
                <w:szCs w:val="21"/>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时效指标</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经费支出及时性</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及时</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达成预期目标</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color w:val="000000"/>
                <w:sz w:val="21"/>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成本指标</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项目成本</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≤90万元</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89.99万元</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Fonts w:hint="eastAsia" w:ascii="仿宋" w:hAnsi="仿宋" w:eastAsia="仿宋" w:cs="仿宋"/>
                <w:color w:val="000000"/>
                <w:sz w:val="21"/>
                <w:szCs w:val="21"/>
                <w:highlight w:val="none"/>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vMerge w:val="restart"/>
            <w:textDirection w:val="lrTb"/>
            <w:noWrap w:val="false"/>
          </w:tcPr>
          <w:p>
            <w:pPr>
              <w:pStyle w:val="95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效益指标</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经济效益</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发挥产业资金的引导作用</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提高</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达成预期目标</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color w:val="000000"/>
                <w:sz w:val="21"/>
                <w:szCs w:val="21"/>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社会效益</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引入更多的文旅企业入驻</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提高</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达成预期目标</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color w:val="000000"/>
                <w:sz w:val="21"/>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生态效益</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953"/>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可持续影响</w:t>
            </w:r>
            <w:r>
              <w:rPr>
                <w:rFonts w:hint="eastAsia" w:ascii="仿宋" w:hAnsi="仿宋" w:eastAsia="仿宋" w:cs="仿宋"/>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活动和展会带动城市宣传</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提高</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达成预期目标</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color w:val="000000"/>
                <w:sz w:val="21"/>
                <w:szCs w:val="21"/>
                <w:highlight w:val="none"/>
              </w:rPr>
            </w:r>
            <w:r/>
          </w:p>
        </w:tc>
      </w:tr>
      <w:tr>
        <w:trPr>
          <w:trHeight w:val="73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5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满意度指标</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服务对象满意度</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参展企业及参培人员满意度</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≥80%</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100.00%</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w:t>
            </w:r>
            <w:r>
              <w:rPr>
                <w:rFonts w:hint="eastAsia" w:ascii="仿宋" w:hAnsi="仿宋" w:eastAsia="仿宋" w:cs="仿宋"/>
                <w:color w:val="000000"/>
                <w:sz w:val="21"/>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5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总计</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95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100</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95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53"/>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702"/>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绩效等级</w:t>
            </w:r>
            <w:r>
              <w:rPr>
                <w:rFonts w:hint="eastAsia" w:ascii="仿宋" w:hAnsi="仿宋" w:eastAsia="仿宋" w:cs="仿宋"/>
                <w:color w:val="000000"/>
                <w:sz w:val="21"/>
                <w:szCs w:val="21"/>
                <w:highlight w:val="none"/>
              </w:rPr>
            </w:r>
            <w:r/>
          </w:p>
        </w:tc>
        <w:tc>
          <w:tcPr>
            <w:gridSpan w:val="6"/>
            <w:tcBorders>
              <w:top w:val="single" w:color="000000" w:sz="4" w:space="0"/>
              <w:left w:val="single" w:color="000000" w:sz="4" w:space="0"/>
              <w:bottom w:val="single" w:color="000000" w:sz="4" w:space="0"/>
              <w:right w:val="single" w:color="000000" w:sz="4" w:space="0"/>
            </w:tcBorders>
            <w:tcW w:w="738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优</w:t>
            </w:r>
            <w:r>
              <w:rPr>
                <w:rFonts w:hint="eastAsia" w:ascii="仿宋" w:hAnsi="仿宋" w:eastAsia="仿宋" w:cs="仿宋"/>
                <w:color w:val="000000"/>
                <w:sz w:val="21"/>
                <w:szCs w:val="21"/>
                <w:highlight w:val="none"/>
              </w:rPr>
            </w:r>
            <w:r/>
          </w:p>
        </w:tc>
      </w:tr>
      <w:tr>
        <w:trPr>
          <w:trHeight w:val="2131"/>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主要成效</w:t>
            </w:r>
            <w:r>
              <w:rPr>
                <w:rFonts w:hint="eastAsia" w:ascii="仿宋" w:hAnsi="仿宋" w:eastAsia="仿宋" w:cs="仿宋"/>
                <w:color w:val="000000"/>
                <w:sz w:val="21"/>
                <w:szCs w:val="21"/>
                <w:highlight w:val="none"/>
              </w:rPr>
            </w:r>
            <w:r/>
          </w:p>
        </w:tc>
        <w:tc>
          <w:tcPr>
            <w:gridSpan w:val="6"/>
            <w:tcBorders>
              <w:top w:val="single" w:color="000000" w:sz="4" w:space="0"/>
              <w:left w:val="single" w:color="000000" w:sz="4" w:space="0"/>
              <w:bottom w:val="single" w:color="000000" w:sz="4" w:space="0"/>
              <w:right w:val="single" w:color="000000" w:sz="4" w:space="0"/>
            </w:tcBorders>
            <w:tcW w:w="7380" w:type="dxa"/>
            <w:vAlign w:val="center"/>
            <w:textDirection w:val="lrTb"/>
            <w:noWrap w:val="false"/>
          </w:tcPr>
          <w:p>
            <w:pPr>
              <w:pStyle w:val="953"/>
              <w:jc w:val="left"/>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本项目围绕文体旅产业融合发展目标，聚焦品牌推广、资源整合、能力提升三大核心任务，资金使用精准匹配关键环节，实施后取得显著成效：</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品牌影响力显著提升。通过文旅视频制作（14.2万元）、使命召唤视频宣传（10万元）及深圳文博会宣传物料（3万元）、户外市集（21万元）、展馆搭建（28.1万元首付款）等项目，全方位打造区域文旅IP形象。文博会期间吸引专业观众超5万人次，现场达成合作意向12项，较上届展会增长30%，有效提升了区域文体旅品牌的知名度。</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产业资源加速集聚。依托文化产业大会（2万元）及产业引导资金专家评审（0.6万元+个税0.09万元）、审计（4.5万元+2.2万元）等规范流程，成功引入12家优质文体旅企业落地，推动2个亿元级文旅融合项目签约，产业引导资金撬动社会资本，为产业生态注入新动能。</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3.专业能力持续增强。文旅融合培训班（4.3万元）覆盖从业人员60人次，课程涵盖政策解读、数字营销、IP开发等模块， </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4.活动实效全面突破。深圳文博会、苏州文博会户外市集与展馆联动，带动周边餐饮、住宿消费；天美赛事审计（2.2万元）保障赛事合规运营，吸引全国12支战队参赛，线上观赛量破百万，进一步激活“体育+旅游”消费新场景</w:t>
            </w:r>
            <w:r>
              <w:rPr>
                <w:rFonts w:hint="eastAsia" w:ascii="仿宋" w:hAnsi="仿宋" w:eastAsia="仿宋" w:cs="仿宋"/>
                <w:color w:val="000000"/>
                <w:sz w:val="21"/>
                <w:szCs w:val="21"/>
                <w:highlight w:val="none"/>
              </w:rPr>
            </w:r>
            <w:r/>
          </w:p>
        </w:tc>
      </w:tr>
      <w:tr>
        <w:trPr>
          <w:trHeight w:val="538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存在问题</w:t>
            </w:r>
            <w:r>
              <w:rPr>
                <w:rFonts w:hint="eastAsia" w:ascii="仿宋" w:hAnsi="仿宋" w:eastAsia="仿宋" w:cs="仿宋"/>
                <w:color w:val="000000"/>
                <w:sz w:val="21"/>
                <w:szCs w:val="21"/>
                <w:highlight w:val="none"/>
              </w:rPr>
            </w:r>
            <w:r/>
          </w:p>
        </w:tc>
        <w:tc>
          <w:tcPr>
            <w:gridSpan w:val="6"/>
            <w:tcBorders>
              <w:top w:val="single" w:color="000000" w:sz="4" w:space="0"/>
              <w:left w:val="single" w:color="000000" w:sz="4" w:space="0"/>
              <w:bottom w:val="none" w:color="000000" w:sz="4" w:space="0"/>
              <w:right w:val="single" w:color="000000" w:sz="4" w:space="0"/>
            </w:tcBorders>
            <w:tcW w:w="7380" w:type="dxa"/>
            <w:vAlign w:val="center"/>
            <w:textDirection w:val="lrTb"/>
            <w:noWrap w:val="false"/>
          </w:tcPr>
          <w:p>
            <w:pPr>
              <w:pStyle w:val="953"/>
              <w:jc w:val="left"/>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资金支出结构存在“重品牌、轻转化”倾向，部分核心业务投入不足。从资金明细看，品牌推广类支出较高，而直接关联“招商转化”的业务较少，仅通过文化产业大会间接覆盖，导致招商活动的针对性、资源对接的深度不足。原因分析：项目初期对“品牌曝光”的重视程度高于“资源落地”，将主要资金倾斜于展会搭建、视频宣传等“可见性强”的工作，而对“招商对接会策划、目标企业精准邀约、资源库系统搭建”等“隐性但关键”的环节投入规划不足，导致部分展会意向未转化为实际落地项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资源转化效率待提升，部分合作意向未形成实质成果。落地企业的“产业带动效应”未充分释放—部分入驻企业以“注册型”为主，尚未形成数字娱乐、影视等领域的产业链协同。原因分析：一是资源对接的“精准度”不足，前期对太仓产业需求（如数字娱乐的技术缺口、影视产业的后期制作配套）调研不深，导致引入企业与本地产业生态匹配度不高；二是“落地后服务”缺失，未针对入驻企业建立“政策跟进、资源配套、市场对接”的全周期服务机制，企业落地后难以快速融入本地产业链。</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培训体系针对性不足，人才能力提升与产业需求存在差距。文旅融合培训班仅覆盖60人次，且课程以“政策解读、数字营销、IP开发”为主，缺乏“招商谈判技巧、产业链整合、新兴业态（如AIGC、元宇宙文旅）实操”等针对性内容。原因分析：培训需求调研不充分，未结合太仓文体旅产业当前的核心痛点设计课程。</w:t>
            </w:r>
            <w:r>
              <w:rPr>
                <w:rFonts w:hint="eastAsia" w:ascii="仿宋" w:hAnsi="仿宋" w:eastAsia="仿宋" w:cs="仿宋"/>
                <w:color w:val="000000"/>
                <w:sz w:val="21"/>
                <w:szCs w:val="21"/>
                <w:highlight w:val="none"/>
              </w:rPr>
            </w:r>
            <w:r/>
          </w:p>
        </w:tc>
      </w:tr>
      <w:tr>
        <w:trPr>
          <w:trHeight w:val="3463"/>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953"/>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整改措施</w:t>
            </w:r>
            <w:r>
              <w:rPr>
                <w:rFonts w:hint="eastAsia" w:ascii="仿宋" w:hAnsi="仿宋" w:eastAsia="仿宋" w:cs="仿宋"/>
                <w:color w:val="000000"/>
                <w:sz w:val="21"/>
                <w:szCs w:val="21"/>
                <w:highlight w:val="none"/>
              </w:rPr>
            </w:r>
            <w:r/>
          </w:p>
        </w:tc>
        <w:tc>
          <w:tcPr>
            <w:gridSpan w:val="6"/>
            <w:tcBorders>
              <w:top w:val="single" w:color="000000" w:sz="4" w:space="0"/>
              <w:left w:val="single" w:color="000000" w:sz="4" w:space="0"/>
              <w:bottom w:val="single" w:color="000000" w:sz="4" w:space="0"/>
              <w:right w:val="single" w:color="000000" w:sz="4" w:space="0"/>
            </w:tcBorders>
            <w:tcW w:w="7380" w:type="dxa"/>
            <w:vAlign w:val="center"/>
            <w:textDirection w:val="lrTb"/>
            <w:noWrap w:val="false"/>
          </w:tcPr>
          <w:p>
            <w:pPr>
              <w:pStyle w:val="953"/>
              <w:jc w:val="left"/>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针对上述问题，结合文体旅产业“引育并举、产融互促”的核心目标，提出以下优化建议：</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1.优化资金结构，强化“品牌-转化”双轮驱动。调整资金投向招商对接会等核心业务，确保“品牌曝光”与“资源落地”同步推进。</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2.深化精准招商，提升资源转化效率。明确数字娱乐（如游戏研发引擎）、影视（如后期制作基地）、音乐等领域的“急需资源”，建立“目标企业清单”。针对入驻企业成立“一对一服务小组”，提供“政策兑现指引、产业链配套对接、市场拓展支持推动企业从“注册落地”转向“实质运营”。</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3.升级培训体系，匹配产业实战需求。结合太仓产业痛点，增设“招商谈判技巧（如针对头部企业的‘利益点挖掘’）、产业链整合（如数字娱乐与本地制造业的跨界融合）等模块；邀请“头部企业招商负责人、本地成功落地企业创始人”担任实战讲师，跟踪参培人员的招商线索数量、落地项目贡献度）。</w:t>
            </w:r>
            <w:r>
              <w:rPr>
                <w:rFonts w:hint="eastAsia" w:ascii="仿宋" w:hAnsi="仿宋" w:eastAsia="仿宋" w:cs="仿宋"/>
                <w:color w:val="000000"/>
                <w:sz w:val="21"/>
                <w:szCs w:val="21"/>
                <w:highlight w:val="none"/>
              </w:rPr>
            </w:r>
            <w:r/>
          </w:p>
        </w:tc>
      </w:tr>
      <w:tr>
        <w:trPr>
          <w:trHeight w:val="1740"/>
        </w:trPr>
        <w:tc>
          <w:tcPr>
            <w:gridSpan w:val="7"/>
            <w:tcBorders>
              <w:top w:val="none" w:color="000000" w:sz="4" w:space="0"/>
              <w:left w:val="single" w:color="000000" w:sz="4" w:space="0"/>
              <w:bottom w:val="single" w:color="000000" w:sz="4" w:space="0"/>
              <w:right w:val="single" w:color="000000" w:sz="4" w:space="0"/>
            </w:tcBorders>
            <w:tcW w:w="8210" w:type="dxa"/>
            <w:vAlign w:val="center"/>
            <w:textDirection w:val="lrTb"/>
            <w:noWrap w:val="false"/>
          </w:tcPr>
          <w:p>
            <w:pPr>
              <w:pStyle w:val="953"/>
              <w:jc w:val="left"/>
              <w:widowControl/>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lang w:bidi="ar"/>
              </w:rPr>
              <w:t xml:space="preserve">说明：定性指标按照 好、较好、一般、较差、差 等级评分，分别得对应权重值的100%、80%、60</w:t>
            </w:r>
            <w:r>
              <w:rPr>
                <w:rFonts w:hint="eastAsia" w:ascii="仿宋" w:hAnsi="仿宋" w:eastAsia="仿宋" w:cs="仿宋"/>
                <w:b/>
                <w:bCs/>
                <w:color w:val="000000"/>
                <w:sz w:val="21"/>
                <w:szCs w:val="21"/>
                <w:highlight w:val="none"/>
                <w:lang w:bidi="ar"/>
              </w:rPr>
              <w:t xml:space="preserve">%、40%和20%。定量指标评分规则：“产出”类每项指标的实际完成值对应预期设定的目标值，完成100%～130%得权重值满分，实际完成值每低于目标值1个百分点相应扣减权重值的5%，超过130%的每超过1%扣权重值1%；除指标解释中有特别说明的以外，“投入”类指标评分规则同“产出”类指标；“结果”类每项指标的实际完成值对应预期设定的目标值，完成100%～200%得权重值满分，超过200%的每超过1%扣权重值1%,实际完成值每低于目标值1个百分点相应扣减权重值的5%。某项指标无法提供具体数值，且无说明，得0分。</w:t>
            </w:r>
            <w:r>
              <w:rPr>
                <w:rFonts w:hint="eastAsia" w:ascii="仿宋" w:hAnsi="仿宋" w:eastAsia="仿宋" w:cs="仿宋"/>
                <w:color w:val="000000"/>
                <w:sz w:val="21"/>
                <w:szCs w:val="21"/>
                <w:highlight w:val="none"/>
              </w:rPr>
            </w:r>
            <w:r/>
          </w:p>
        </w:tc>
      </w:tr>
    </w:tbl>
    <w:p>
      <w:pPr>
        <w:pStyle w:val="953"/>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560"/>
        <w:gridCol w:w="6939"/>
      </w:tblGrid>
      <w:tr>
        <w:trPr>
          <w:trHeight w:val="599"/>
        </w:trPr>
        <w:tc>
          <w:tcPr>
            <w:gridSpan w:val="2"/>
            <w:tcBorders>
              <w:top w:val="single" w:color="000000" w:sz="4" w:space="0"/>
              <w:left w:val="single" w:color="000000" w:sz="4" w:space="0"/>
              <w:bottom w:val="single" w:color="000000" w:sz="4" w:space="0"/>
              <w:right w:val="single" w:color="000000" w:sz="4" w:space="0"/>
            </w:tcBorders>
            <w:tcW w:w="8499" w:type="dxa"/>
            <w:vAlign w:val="center"/>
            <w:textDirection w:val="lrTb"/>
            <w:noWrap w:val="false"/>
          </w:tcPr>
          <w:p>
            <w:pPr>
              <w:pStyle w:val="953"/>
              <w:jc w:val="center"/>
              <w:widowControl/>
              <w:rPr>
                <w:rFonts w:hint="eastAsia" w:ascii="仿宋" w:hAnsi="仿宋" w:eastAsia="仿宋" w:cs="仿宋"/>
                <w:color w:val="000000"/>
                <w:sz w:val="20"/>
                <w:szCs w:val="20"/>
                <w:highlight w:val="none"/>
                <w:lang w:bidi="ar"/>
              </w:rPr>
            </w:pPr>
            <w:r/>
            <w:bookmarkStart w:id="45" w:name="_Toc23894"/>
            <w:r>
              <w:rPr>
                <w:rFonts w:hint="eastAsia" w:ascii="仿宋" w:hAnsi="仿宋" w:eastAsia="仿宋" w:cs="仿宋"/>
                <w:b/>
                <w:bCs/>
                <w:color w:val="000000"/>
                <w:sz w:val="24"/>
                <w:szCs w:val="24"/>
                <w:highlight w:val="none"/>
              </w:rPr>
              <w:t xml:space="preserve">文体旅产业业务经费绩效自评价报告</w:t>
            </w:r>
            <w:bookmarkEnd w:id="45"/>
            <w:r>
              <w:rPr>
                <w:rFonts w:hint="eastAsia" w:ascii="仿宋" w:hAnsi="仿宋" w:eastAsia="仿宋" w:cs="仿宋"/>
                <w:color w:val="000000"/>
                <w:sz w:val="20"/>
                <w:szCs w:val="20"/>
                <w:highlight w:val="none"/>
                <w:lang w:bidi="ar"/>
              </w:rPr>
            </w:r>
            <w:r/>
          </w:p>
        </w:tc>
      </w:tr>
      <w:tr>
        <w:trPr>
          <w:trHeight w:val="2681"/>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953"/>
              <w:jc w:val="left"/>
              <w:widowControl/>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 xml:space="preserve">一、项目情况</w:t>
            </w:r>
            <w:r>
              <w:rPr>
                <w:rFonts w:hint="eastAsia" w:ascii="仿宋" w:hAnsi="仿宋" w:eastAsia="仿宋" w:cs="仿宋"/>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939" w:type="dxa"/>
            <w:vAlign w:val="center"/>
            <w:textDirection w:val="lrTb"/>
            <w:noWrap w:val="false"/>
          </w:tcPr>
          <w:p>
            <w:pPr>
              <w:pStyle w:val="953"/>
              <w:jc w:val="left"/>
              <w:widowControl/>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 xml:space="preserve">本项目为文体旅产业业务经费项目，旨在破解产</w:t>
            </w:r>
            <w:r>
              <w:rPr>
                <w:rFonts w:hint="eastAsia" w:ascii="仿宋" w:hAnsi="仿宋" w:eastAsia="仿宋" w:cs="仿宋"/>
                <w:color w:val="000000"/>
                <w:sz w:val="21"/>
                <w:szCs w:val="21"/>
                <w:highlight w:val="none"/>
                <w:lang w:bidi="ar"/>
              </w:rPr>
              <w:t xml:space="preserve">业招商对接、品牌推广、人才培育等关键环节的资源瓶颈，加速构建“引育并举、产融互促”的现代文体旅产业体系。项目重点围绕“强招引、优服务、树品牌”三大主线，通过保障重点展会参与、招商对接、产业培训等核心业务，既为外部优质企业“走进来”搭建便捷通道，也为本地产业“强起来”夯实基础。同时，项目将强化与北京、上海、深圳等产业高地的资源联动，借力文博会等平台放大太仓产业优势，推动数字娱乐、音乐、影视等新兴领域突破发展，助力形成“头部引领、中小协同、特色鲜明”的产业生态，为太仓建设长三角文体旅融合发展示范区提供坚实保障。</w:t>
            </w:r>
            <w:r>
              <w:rPr>
                <w:rFonts w:hint="eastAsia" w:ascii="仿宋" w:hAnsi="仿宋" w:eastAsia="仿宋" w:cs="仿宋"/>
                <w:color w:val="000000"/>
                <w:sz w:val="21"/>
                <w:szCs w:val="21"/>
                <w:highlight w:val="none"/>
                <w:lang w:bidi="ar"/>
              </w:rPr>
            </w:r>
            <w:r/>
          </w:p>
        </w:tc>
      </w:tr>
      <w:tr>
        <w:trPr>
          <w:trHeight w:val="6688"/>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53"/>
              <w:jc w:val="left"/>
              <w:widowControl/>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 xml:space="preserve">二、项目总目标</w:t>
            </w:r>
            <w:r>
              <w:rPr>
                <w:rFonts w:hint="eastAsia" w:ascii="仿宋" w:hAnsi="仿宋" w:eastAsia="仿宋" w:cs="仿宋"/>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939" w:type="dxa"/>
            <w:vAlign w:val="center"/>
            <w:textDirection w:val="lrTb"/>
            <w:noWrap w:val="false"/>
          </w:tcPr>
          <w:p>
            <w:pPr>
              <w:pStyle w:val="953"/>
              <w:jc w:val="left"/>
              <w:widowControl/>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 xml:space="preserve">1.项目预算和资金用途。2025年年初预算90万元，资金来源为财政拨款，专款用于文体旅产业重点业务推进。资金主要用于组织参加苏州文博</w:t>
            </w:r>
            <w:r>
              <w:rPr>
                <w:rFonts w:hint="eastAsia" w:ascii="仿宋" w:hAnsi="仿宋" w:eastAsia="仿宋" w:cs="仿宋"/>
                <w:color w:val="000000"/>
                <w:sz w:val="21"/>
                <w:szCs w:val="21"/>
                <w:highlight w:val="none"/>
                <w:lang w:bidi="ar"/>
              </w:rPr>
              <w:t xml:space="preserve">会等国内知名文化展会，搭建产业展示与合作平台；开展文化产业招商活动，重点对接国内外头部文化企业、平台型数字文化企业，推动其在太仓设立区域中心或功能性机构；举办文旅产业专题培训班，提升本地产业人才专业素养与招商谈判能力；加强与文化产业联盟、行业协会、行业领军人物及龙头项目配套企业的常态化沟通，依托苏州、西安、深圳及长三角文博会等平台，开展招商推介、产业链对接等活动；宣传我市文化产业发展新政策，展示特色文化产品，提升城市文化产业影响力，重点在数字娱乐、音乐、影视三大细分领域深化与头部企业合作，推动优质企业落地。</w:t>
            </w:r>
            <w:r>
              <w:rPr>
                <w:rFonts w:hint="eastAsia" w:ascii="仿宋" w:hAnsi="仿宋" w:eastAsia="仿宋" w:cs="仿宋"/>
                <w:color w:val="000000"/>
                <w:sz w:val="21"/>
                <w:szCs w:val="21"/>
                <w:highlight w:val="none"/>
                <w:lang w:bidi="ar"/>
              </w:rPr>
            </w:r>
            <w:r/>
          </w:p>
          <w:p>
            <w:pPr>
              <w:pStyle w:val="953"/>
              <w:jc w:val="left"/>
              <w:widowControl/>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 xml:space="preserve">2.预期产出。完成苏州文博会等至少2场重点展会的参展工作，组织文化产业招商对接会、文旅产业专题培训班各不少于1场；与国内外头部文化企业、平台型数字文化企业建立初步合作意向不少于10家，其中明确来太设立中心或落地项目的企业不少于3家；新增与文化产业联盟、行业协会、行业领军人物及配套企业的有效联系渠道不少于20个，形成可长期对接的产业资源库；编制并发布我市文化产业发展新政策解读材料，在重点展会及活动中完成文化产品展示不少于5项，覆盖受众超500人次。</w:t>
            </w:r>
            <w:r>
              <w:rPr>
                <w:rFonts w:hint="eastAsia" w:ascii="仿宋" w:hAnsi="仿宋" w:eastAsia="仿宋" w:cs="仿宋"/>
                <w:color w:val="000000"/>
                <w:sz w:val="21"/>
                <w:szCs w:val="21"/>
                <w:highlight w:val="none"/>
                <w:lang w:bidi="ar"/>
              </w:rPr>
            </w:r>
            <w:r/>
          </w:p>
          <w:p>
            <w:pPr>
              <w:pStyle w:val="953"/>
              <w:jc w:val="left"/>
              <w:widowControl/>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 xml:space="preserve">3.总体预期效果。通过精准招商与资源对接，推动数字娱乐、音乐、影视等领域优质企业落地，优化我市文体旅产业结构，提升产业能级；借助展会平台、行业协会及领军人物资源，形成“引进来+促落地”的良性循环，为产业长期发展注入新动能；通过政策宣介与文化产品展示，提高我市文体旅产业政策吸引力与城市文化品牌知名度，增强对外部资源的虹吸效应；通过专题培训强化本地团队专业能力，为产业可持续发展提供人才支撑，助力打造更具竞争力的文体旅产业生态。</w:t>
            </w:r>
            <w:r>
              <w:rPr>
                <w:rFonts w:hint="eastAsia" w:ascii="仿宋" w:hAnsi="仿宋" w:eastAsia="仿宋" w:cs="仿宋"/>
                <w:color w:val="000000"/>
                <w:sz w:val="21"/>
                <w:szCs w:val="21"/>
                <w:highlight w:val="none"/>
                <w:lang w:bidi="ar"/>
              </w:rPr>
            </w:r>
            <w:r/>
          </w:p>
        </w:tc>
      </w:tr>
      <w:tr>
        <w:trPr>
          <w:trHeight w:val="2934"/>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53"/>
              <w:jc w:val="left"/>
              <w:widowControl/>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 xml:space="preserve">三、年度绩效目标</w:t>
            </w:r>
            <w:r>
              <w:rPr>
                <w:rFonts w:hint="eastAsia" w:ascii="仿宋" w:hAnsi="仿宋" w:eastAsia="仿宋" w:cs="仿宋"/>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939" w:type="dxa"/>
            <w:vAlign w:val="center"/>
            <w:textDirection w:val="lrTb"/>
            <w:noWrap w:val="false"/>
          </w:tcPr>
          <w:p>
            <w:pPr>
              <w:pStyle w:val="953"/>
              <w:jc w:val="left"/>
              <w:widowControl/>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 xml:space="preserve">为确保2025年度90万元财政资金精准高效使用，切实推动我市文体旅产业高质量发展。</w:t>
            </w:r>
            <w:r>
              <w:rPr>
                <w:rFonts w:hint="eastAsia" w:ascii="仿宋" w:hAnsi="仿宋" w:eastAsia="仿宋" w:cs="仿宋"/>
                <w:color w:val="000000"/>
                <w:sz w:val="21"/>
                <w:szCs w:val="21"/>
                <w:highlight w:val="none"/>
                <w:lang w:bidi="ar"/>
              </w:rPr>
            </w:r>
            <w:r/>
          </w:p>
          <w:p>
            <w:pPr>
              <w:pStyle w:val="953"/>
              <w:jc w:val="left"/>
              <w:widowControl/>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 xml:space="preserve">1.预算执行率：​确保90万元财政预算资金全年执行率达到100%，无重大资金沉淀或违规使用情况。</w:t>
            </w:r>
            <w:r>
              <w:rPr>
                <w:rFonts w:hint="eastAsia" w:ascii="仿宋" w:hAnsi="仿宋" w:eastAsia="仿宋" w:cs="仿宋"/>
                <w:color w:val="000000"/>
                <w:sz w:val="21"/>
                <w:szCs w:val="21"/>
                <w:highlight w:val="none"/>
                <w:lang w:bidi="ar"/>
              </w:rPr>
            </w:r>
            <w:r/>
          </w:p>
          <w:p>
            <w:pPr>
              <w:pStyle w:val="953"/>
              <w:jc w:val="left"/>
              <w:widowControl/>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 xml:space="preserve">2.资金投向精准度：资金实际支出方向与预算批复用途（展会参展、招商活动、人才培训、资源对接、政策宣介等）的匹配度达到100%，确保专款专用。</w:t>
            </w:r>
            <w:r>
              <w:rPr>
                <w:rFonts w:hint="eastAsia" w:ascii="仿宋" w:hAnsi="仿宋" w:eastAsia="仿宋" w:cs="仿宋"/>
                <w:color w:val="000000"/>
                <w:sz w:val="21"/>
                <w:szCs w:val="21"/>
                <w:highlight w:val="none"/>
                <w:lang w:bidi="ar"/>
              </w:rPr>
            </w:r>
            <w:r/>
          </w:p>
          <w:p>
            <w:pPr>
              <w:pStyle w:val="953"/>
              <w:jc w:val="left"/>
              <w:widowControl/>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 xml:space="preserve">3.成本控制有效性：​各项活动（如展会布展、招商推介、培训组织等）的实际成本控制在预算范围内，并通过比价、优化方案等方式实现成本节约或效益最大化。</w:t>
            </w:r>
            <w:r>
              <w:rPr>
                <w:rFonts w:hint="eastAsia" w:ascii="仿宋" w:hAnsi="仿宋" w:eastAsia="仿宋" w:cs="仿宋"/>
                <w:color w:val="000000"/>
                <w:sz w:val="21"/>
                <w:szCs w:val="21"/>
                <w:highlight w:val="none"/>
                <w:lang w:bidi="ar"/>
              </w:rPr>
            </w:r>
            <w:r/>
          </w:p>
        </w:tc>
      </w:tr>
      <w:tr>
        <w:trPr>
          <w:trHeight w:val="3826"/>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953"/>
              <w:jc w:val="left"/>
              <w:widowControl/>
              <w:rPr>
                <w:rFonts w:hint="eastAsia" w:ascii="仿宋" w:hAnsi="仿宋" w:eastAsia="仿宋" w:cs="仿宋"/>
                <w:color w:val="000000"/>
                <w:sz w:val="20"/>
                <w:szCs w:val="20"/>
                <w:highlight w:val="none"/>
                <w:lang w:bidi="ar"/>
              </w:rPr>
            </w:pPr>
            <w:r>
              <w:rPr>
                <w:rFonts w:hint="eastAsia" w:ascii="仿宋" w:hAnsi="仿宋" w:eastAsia="仿宋" w:cs="仿宋"/>
                <w:color w:val="000000"/>
                <w:sz w:val="20"/>
                <w:szCs w:val="20"/>
                <w:highlight w:val="none"/>
                <w:lang w:bidi="ar"/>
              </w:rPr>
              <w:t xml:space="preserve">四、项目实施情况</w:t>
            </w:r>
            <w:r>
              <w:rPr>
                <w:rFonts w:hint="eastAsia" w:ascii="仿宋" w:hAnsi="仿宋" w:eastAsia="仿宋" w:cs="仿宋"/>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6939" w:type="dxa"/>
            <w:vAlign w:val="center"/>
            <w:textDirection w:val="lrTb"/>
            <w:noWrap w:val="false"/>
          </w:tcPr>
          <w:p>
            <w:pPr>
              <w:pStyle w:val="953"/>
              <w:ind w:firstLine="402"/>
              <w:jc w:val="center"/>
              <w:spacing w:line="580" w:lineRule="exact"/>
              <w:rPr>
                <w:rFonts w:hint="eastAsia" w:ascii="仿宋" w:hAnsi="仿宋" w:eastAsia="仿宋" w:cs="仿宋"/>
                <w:b/>
                <w:sz w:val="20"/>
                <w:szCs w:val="20"/>
                <w:highlight w:val="none"/>
              </w:rPr>
            </w:pPr>
            <w:r>
              <w:rPr>
                <w:rFonts w:hint="eastAsia" w:ascii="仿宋" w:hAnsi="仿宋" w:eastAsia="仿宋" w:cs="仿宋"/>
                <w:b/>
                <w:sz w:val="20"/>
                <w:szCs w:val="20"/>
                <w:highlight w:val="none"/>
              </w:rPr>
              <w:t xml:space="preserve">项目资金支出情况明细（文体旅产业业务经费）</w:t>
            </w:r>
            <w:r>
              <w:rPr>
                <w:rFonts w:hint="eastAsia" w:ascii="仿宋" w:hAnsi="仿宋" w:eastAsia="仿宋" w:cs="仿宋"/>
                <w:b/>
                <w:sz w:val="20"/>
                <w:szCs w:val="20"/>
                <w:highlight w:val="none"/>
              </w:rPr>
            </w:r>
            <w:r/>
          </w:p>
          <w:tbl>
            <w:tblPr>
              <w:tblStyle w:val="1041"/>
              <w:tblW w:w="7987" w:type="dxa"/>
              <w:jc w:val="center"/>
              <w:tblInd w:w="4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2586"/>
              <w:gridCol w:w="2407"/>
            </w:tblGrid>
            <w:tr>
              <w:trPr>
                <w:trHeight w:val="398"/>
              </w:trPr>
              <w:tc>
                <w:tcPr>
                  <w:tcW w:w="1260" w:type="dxa"/>
                  <w:vAlign w:val="center"/>
                  <w:textDirection w:val="lrTb"/>
                  <w:noWrap w:val="false"/>
                </w:tcPr>
                <w:p>
                  <w:pPr>
                    <w:pStyle w:val="953"/>
                    <w:jc w:val="center"/>
                    <w:spacing w:line="580" w:lineRule="exact"/>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 xml:space="preserve">序号</w:t>
                  </w:r>
                  <w:r>
                    <w:rPr>
                      <w:rFonts w:hint="eastAsia" w:ascii="仿宋" w:hAnsi="仿宋" w:eastAsia="仿宋" w:cs="仿宋"/>
                      <w:b/>
                      <w:bCs/>
                      <w:sz w:val="20"/>
                      <w:szCs w:val="20"/>
                      <w:highlight w:val="none"/>
                    </w:rPr>
                  </w:r>
                  <w:r/>
                </w:p>
              </w:tc>
              <w:tc>
                <w:tcPr>
                  <w:tcW w:w="3487" w:type="dxa"/>
                  <w:vAlign w:val="center"/>
                  <w:textDirection w:val="lrTb"/>
                  <w:noWrap w:val="false"/>
                </w:tcPr>
                <w:p>
                  <w:pPr>
                    <w:pStyle w:val="953"/>
                    <w:ind w:firstLine="402"/>
                    <w:jc w:val="center"/>
                    <w:spacing w:line="580" w:lineRule="exact"/>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 xml:space="preserve">支出项目</w:t>
                  </w:r>
                  <w:r>
                    <w:rPr>
                      <w:rFonts w:hint="eastAsia" w:ascii="仿宋" w:hAnsi="仿宋" w:eastAsia="仿宋" w:cs="仿宋"/>
                      <w:b/>
                      <w:bCs/>
                      <w:sz w:val="20"/>
                      <w:szCs w:val="20"/>
                      <w:highlight w:val="none"/>
                    </w:rPr>
                  </w:r>
                  <w:r/>
                </w:p>
              </w:tc>
              <w:tc>
                <w:tcPr>
                  <w:tcW w:w="3240" w:type="dxa"/>
                  <w:vAlign w:val="center"/>
                  <w:textDirection w:val="lrTb"/>
                  <w:noWrap w:val="false"/>
                </w:tcPr>
                <w:p>
                  <w:pPr>
                    <w:pStyle w:val="953"/>
                    <w:jc w:val="center"/>
                    <w:spacing w:line="580" w:lineRule="exact"/>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 xml:space="preserve">支出金额（元）</w:t>
                  </w:r>
                  <w:r>
                    <w:rPr>
                      <w:rFonts w:hint="eastAsia" w:ascii="仿宋" w:hAnsi="仿宋" w:eastAsia="仿宋" w:cs="仿宋"/>
                      <w:b/>
                      <w:bCs/>
                      <w:sz w:val="20"/>
                      <w:szCs w:val="20"/>
                      <w:highlight w:val="none"/>
                    </w:rPr>
                  </w:r>
                  <w:r/>
                </w:p>
              </w:tc>
            </w:tr>
            <w:tr>
              <w:trPr>
                <w:trHeight w:val="284"/>
              </w:trPr>
              <w:tc>
                <w:tcPr>
                  <w:tcW w:w="1260" w:type="dxa"/>
                  <w:vAlign w:val="center"/>
                  <w:textDirection w:val="lrTb"/>
                  <w:noWrap/>
                </w:tcPr>
                <w:p>
                  <w:pPr>
                    <w:pStyle w:val="953"/>
                    <w:jc w:val="center"/>
                    <w:spacing w:line="58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tcW w:w="3487" w:type="dxa"/>
                  <w:vAlign w:val="center"/>
                  <w:textDirection w:val="lrTb"/>
                  <w:noWrap/>
                </w:tcPr>
                <w:p>
                  <w:pPr>
                    <w:pStyle w:val="953"/>
                    <w:jc w:val="center"/>
                    <w:rPr>
                      <w:rFonts w:hint="eastAsia" w:ascii="仿宋" w:hAnsi="仿宋" w:eastAsia="仿宋" w:cs="仿宋"/>
                      <w:color w:val="000000"/>
                      <w:sz w:val="20"/>
                      <w:szCs w:val="20"/>
                      <w:highlight w:val="none"/>
                    </w:rPr>
                    <w:outlineLvl w:val="1"/>
                  </w:pPr>
                  <w:r>
                    <w:rPr>
                      <w:rFonts w:hint="eastAsia" w:ascii="仿宋" w:hAnsi="仿宋" w:eastAsia="仿宋" w:cs="仿宋"/>
                      <w:color w:val="000000"/>
                      <w:sz w:val="20"/>
                      <w:szCs w:val="20"/>
                      <w:highlight w:val="none"/>
                    </w:rPr>
                    <w:t xml:space="preserve">文旅视频制作费</w:t>
                  </w:r>
                  <w:r>
                    <w:rPr>
                      <w:rFonts w:hint="eastAsia" w:ascii="仿宋" w:hAnsi="仿宋" w:eastAsia="仿宋" w:cs="仿宋"/>
                      <w:color w:val="000000"/>
                      <w:sz w:val="20"/>
                      <w:szCs w:val="20"/>
                      <w:highlight w:val="none"/>
                    </w:rPr>
                  </w:r>
                  <w:r/>
                </w:p>
              </w:tc>
              <w:tc>
                <w:tcPr>
                  <w:tcW w:w="3240" w:type="dxa"/>
                  <w:vAlign w:val="center"/>
                  <w:textDirection w:val="lrTb"/>
                  <w:noWrap/>
                </w:tcPr>
                <w:p>
                  <w:pPr>
                    <w:pStyle w:val="953"/>
                    <w:jc w:val="center"/>
                    <w:rPr>
                      <w:rFonts w:hint="eastAsia" w:ascii="仿宋" w:hAnsi="仿宋" w:eastAsia="仿宋" w:cs="仿宋"/>
                      <w:color w:val="000000"/>
                      <w:sz w:val="20"/>
                      <w:szCs w:val="20"/>
                      <w:highlight w:val="none"/>
                    </w:rPr>
                    <w:outlineLvl w:val="1"/>
                  </w:pPr>
                  <w:r>
                    <w:rPr>
                      <w:rFonts w:hint="eastAsia" w:ascii="仿宋" w:hAnsi="仿宋" w:eastAsia="仿宋" w:cs="仿宋"/>
                      <w:color w:val="000000"/>
                      <w:sz w:val="20"/>
                      <w:szCs w:val="20"/>
                      <w:highlight w:val="none"/>
                    </w:rPr>
                    <w:t xml:space="preserve">142,000.00</w:t>
                  </w:r>
                  <w:r>
                    <w:rPr>
                      <w:rFonts w:hint="eastAsia" w:ascii="仿宋" w:hAnsi="仿宋" w:eastAsia="仿宋" w:cs="仿宋"/>
                      <w:color w:val="000000"/>
                      <w:sz w:val="20"/>
                      <w:szCs w:val="20"/>
                      <w:highlight w:val="none"/>
                    </w:rPr>
                  </w:r>
                  <w:r/>
                </w:p>
              </w:tc>
            </w:tr>
            <w:tr>
              <w:trPr>
                <w:trHeight w:val="284"/>
              </w:trPr>
              <w:tc>
                <w:tcPr>
                  <w:tcW w:w="1260" w:type="dxa"/>
                  <w:vAlign w:val="center"/>
                  <w:textDirection w:val="lrTb"/>
                  <w:noWrap/>
                </w:tcPr>
                <w:p>
                  <w:pPr>
                    <w:pStyle w:val="953"/>
                    <w:jc w:val="center"/>
                    <w:spacing w:line="58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tcW w:w="3487" w:type="dxa"/>
                  <w:vAlign w:val="center"/>
                  <w:textDirection w:val="lrTb"/>
                  <w:noWrap/>
                </w:tcPr>
                <w:p>
                  <w:pPr>
                    <w:pStyle w:val="953"/>
                    <w:jc w:val="center"/>
                    <w:rPr>
                      <w:rFonts w:hint="eastAsia" w:ascii="仿宋" w:hAnsi="仿宋" w:eastAsia="仿宋" w:cs="仿宋"/>
                      <w:color w:val="000000"/>
                      <w:sz w:val="20"/>
                      <w:szCs w:val="20"/>
                      <w:highlight w:val="none"/>
                    </w:rPr>
                    <w:outlineLvl w:val="1"/>
                  </w:pPr>
                  <w:r>
                    <w:rPr>
                      <w:rFonts w:hint="eastAsia" w:ascii="仿宋" w:hAnsi="仿宋" w:eastAsia="仿宋" w:cs="仿宋"/>
                      <w:color w:val="000000"/>
                      <w:sz w:val="20"/>
                      <w:szCs w:val="20"/>
                      <w:highlight w:val="none"/>
                    </w:rPr>
                    <w:t xml:space="preserve">深圳文博会宣传物料</w:t>
                  </w:r>
                  <w:r>
                    <w:rPr>
                      <w:rFonts w:hint="eastAsia" w:ascii="仿宋" w:hAnsi="仿宋" w:eastAsia="仿宋" w:cs="仿宋"/>
                      <w:color w:val="000000"/>
                      <w:sz w:val="20"/>
                      <w:szCs w:val="20"/>
                      <w:highlight w:val="none"/>
                    </w:rPr>
                  </w:r>
                  <w:r/>
                </w:p>
              </w:tc>
              <w:tc>
                <w:tcPr>
                  <w:tcW w:w="3240" w:type="dxa"/>
                  <w:vAlign w:val="center"/>
                  <w:textDirection w:val="lrTb"/>
                  <w:noWrap/>
                </w:tcPr>
                <w:p>
                  <w:pPr>
                    <w:pStyle w:val="953"/>
                    <w:jc w:val="center"/>
                    <w:rPr>
                      <w:rFonts w:hint="eastAsia" w:ascii="仿宋" w:hAnsi="仿宋" w:eastAsia="仿宋" w:cs="仿宋"/>
                      <w:color w:val="000000"/>
                      <w:sz w:val="20"/>
                      <w:szCs w:val="20"/>
                      <w:highlight w:val="none"/>
                    </w:rPr>
                    <w:outlineLvl w:val="1"/>
                  </w:pPr>
                  <w:r>
                    <w:rPr>
                      <w:rFonts w:hint="eastAsia" w:ascii="仿宋" w:hAnsi="仿宋" w:eastAsia="仿宋" w:cs="仿宋"/>
                      <w:color w:val="000000"/>
                      <w:sz w:val="20"/>
                      <w:szCs w:val="20"/>
                      <w:highlight w:val="none"/>
                    </w:rPr>
                    <w:t xml:space="preserve">30,000.00</w:t>
                  </w:r>
                  <w:r>
                    <w:rPr>
                      <w:rFonts w:hint="eastAsia" w:ascii="仿宋" w:hAnsi="仿宋" w:eastAsia="仿宋" w:cs="仿宋"/>
                      <w:color w:val="000000"/>
                      <w:sz w:val="20"/>
                      <w:szCs w:val="20"/>
                      <w:highlight w:val="none"/>
                    </w:rPr>
                  </w:r>
                  <w:r/>
                </w:p>
              </w:tc>
            </w:tr>
            <w:tr>
              <w:trPr>
                <w:trHeight w:val="284"/>
              </w:trPr>
              <w:tc>
                <w:tcPr>
                  <w:tcW w:w="1260" w:type="dxa"/>
                  <w:vAlign w:val="center"/>
                  <w:textDirection w:val="lrTb"/>
                  <w:noWrap/>
                </w:tcPr>
                <w:p>
                  <w:pPr>
                    <w:pStyle w:val="953"/>
                    <w:jc w:val="center"/>
                    <w:spacing w:line="58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tcW w:w="3487" w:type="dxa"/>
                  <w:vAlign w:val="center"/>
                  <w:textDirection w:val="lrTb"/>
                  <w:noWrap/>
                </w:tcPr>
                <w:p>
                  <w:pPr>
                    <w:pStyle w:val="953"/>
                    <w:jc w:val="center"/>
                    <w:rPr>
                      <w:rFonts w:hint="eastAsia" w:ascii="仿宋" w:hAnsi="仿宋" w:eastAsia="仿宋" w:cs="仿宋"/>
                      <w:color w:val="000000"/>
                      <w:sz w:val="20"/>
                      <w:szCs w:val="20"/>
                      <w:highlight w:val="none"/>
                    </w:rPr>
                    <w:outlineLvl w:val="1"/>
                  </w:pPr>
                  <w:r>
                    <w:rPr>
                      <w:rFonts w:hint="eastAsia" w:ascii="仿宋" w:hAnsi="仿宋" w:eastAsia="仿宋" w:cs="仿宋"/>
                      <w:color w:val="000000"/>
                      <w:sz w:val="20"/>
                      <w:szCs w:val="20"/>
                      <w:highlight w:val="none"/>
                    </w:rPr>
                    <w:t xml:space="preserve">文化产业大会</w:t>
                  </w:r>
                  <w:r>
                    <w:rPr>
                      <w:rFonts w:hint="eastAsia" w:ascii="仿宋" w:hAnsi="仿宋" w:eastAsia="仿宋" w:cs="仿宋"/>
                      <w:color w:val="000000"/>
                      <w:sz w:val="20"/>
                      <w:szCs w:val="20"/>
                      <w:highlight w:val="none"/>
                    </w:rPr>
                  </w:r>
                  <w:r/>
                </w:p>
              </w:tc>
              <w:tc>
                <w:tcPr>
                  <w:tcW w:w="3240" w:type="dxa"/>
                  <w:vAlign w:val="center"/>
                  <w:textDirection w:val="lrTb"/>
                  <w:noWrap/>
                </w:tcPr>
                <w:p>
                  <w:pPr>
                    <w:pStyle w:val="953"/>
                    <w:jc w:val="center"/>
                    <w:rPr>
                      <w:rFonts w:hint="eastAsia" w:ascii="仿宋" w:hAnsi="仿宋" w:eastAsia="仿宋" w:cs="仿宋"/>
                      <w:color w:val="000000"/>
                      <w:sz w:val="20"/>
                      <w:szCs w:val="20"/>
                      <w:highlight w:val="none"/>
                    </w:rPr>
                    <w:outlineLvl w:val="1"/>
                  </w:pPr>
                  <w:r>
                    <w:rPr>
                      <w:rFonts w:hint="eastAsia" w:ascii="仿宋" w:hAnsi="仿宋" w:eastAsia="仿宋" w:cs="仿宋"/>
                      <w:color w:val="000000"/>
                      <w:sz w:val="20"/>
                      <w:szCs w:val="20"/>
                      <w:highlight w:val="none"/>
                    </w:rPr>
                    <w:t xml:space="preserve">20,000.00</w:t>
                  </w:r>
                  <w:r>
                    <w:rPr>
                      <w:rFonts w:hint="eastAsia" w:ascii="仿宋" w:hAnsi="仿宋" w:eastAsia="仿宋" w:cs="仿宋"/>
                      <w:color w:val="000000"/>
                      <w:sz w:val="20"/>
                      <w:szCs w:val="20"/>
                      <w:highlight w:val="none"/>
                    </w:rPr>
                  </w:r>
                  <w:r/>
                </w:p>
              </w:tc>
            </w:tr>
            <w:tr>
              <w:trPr>
                <w:trHeight w:val="284"/>
              </w:trPr>
              <w:tc>
                <w:tcPr>
                  <w:tcW w:w="1260" w:type="dxa"/>
                  <w:vAlign w:val="center"/>
                  <w:textDirection w:val="lrTb"/>
                  <w:noWrap/>
                </w:tcPr>
                <w:p>
                  <w:pPr>
                    <w:pStyle w:val="953"/>
                    <w:jc w:val="center"/>
                    <w:spacing w:line="58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sz w:val="20"/>
                      <w:szCs w:val="20"/>
                      <w:highlight w:val="none"/>
                    </w:rPr>
                  </w:r>
                  <w:r/>
                </w:p>
              </w:tc>
              <w:tc>
                <w:tcPr>
                  <w:tcW w:w="3487" w:type="dxa"/>
                  <w:vAlign w:val="center"/>
                  <w:textDirection w:val="lrTb"/>
                  <w:noWrap/>
                </w:tcPr>
                <w:p>
                  <w:pPr>
                    <w:pStyle w:val="953"/>
                    <w:jc w:val="center"/>
                    <w:rPr>
                      <w:rFonts w:hint="eastAsia" w:ascii="仿宋" w:hAnsi="仿宋" w:eastAsia="仿宋" w:cs="仿宋"/>
                      <w:color w:val="000000"/>
                      <w:sz w:val="20"/>
                      <w:szCs w:val="20"/>
                      <w:highlight w:val="none"/>
                    </w:rPr>
                    <w:outlineLvl w:val="1"/>
                  </w:pPr>
                  <w:r>
                    <w:rPr>
                      <w:rFonts w:hint="eastAsia" w:ascii="仿宋" w:hAnsi="仿宋" w:eastAsia="仿宋" w:cs="仿宋"/>
                      <w:color w:val="000000"/>
                      <w:sz w:val="20"/>
                      <w:szCs w:val="20"/>
                      <w:highlight w:val="none"/>
                    </w:rPr>
                    <w:t xml:space="preserve">产业引导资金专家评审费</w:t>
                  </w:r>
                  <w:r>
                    <w:rPr>
                      <w:rFonts w:hint="eastAsia" w:ascii="仿宋" w:hAnsi="仿宋" w:eastAsia="仿宋" w:cs="仿宋"/>
                      <w:color w:val="000000"/>
                      <w:sz w:val="20"/>
                      <w:szCs w:val="20"/>
                      <w:highlight w:val="none"/>
                    </w:rPr>
                  </w:r>
                  <w:r/>
                </w:p>
              </w:tc>
              <w:tc>
                <w:tcPr>
                  <w:tcW w:w="3240" w:type="dxa"/>
                  <w:vAlign w:val="center"/>
                  <w:textDirection w:val="lrTb"/>
                  <w:noWrap/>
                </w:tcPr>
                <w:p>
                  <w:pPr>
                    <w:pStyle w:val="953"/>
                    <w:jc w:val="center"/>
                    <w:rPr>
                      <w:rFonts w:hint="eastAsia" w:ascii="仿宋" w:hAnsi="仿宋" w:eastAsia="仿宋" w:cs="仿宋"/>
                      <w:color w:val="000000"/>
                      <w:sz w:val="20"/>
                      <w:szCs w:val="20"/>
                      <w:highlight w:val="none"/>
                    </w:rPr>
                    <w:outlineLvl w:val="1"/>
                  </w:pPr>
                  <w:r>
                    <w:rPr>
                      <w:rFonts w:hint="eastAsia" w:ascii="仿宋" w:hAnsi="仿宋" w:eastAsia="仿宋" w:cs="仿宋"/>
                      <w:color w:val="000000"/>
                      <w:sz w:val="20"/>
                      <w:szCs w:val="20"/>
                      <w:highlight w:val="none"/>
                    </w:rPr>
                    <w:t xml:space="preserve">6,071.43</w:t>
                  </w:r>
                  <w:r>
                    <w:rPr>
                      <w:rFonts w:hint="eastAsia" w:ascii="仿宋" w:hAnsi="仿宋" w:eastAsia="仿宋" w:cs="仿宋"/>
                      <w:color w:val="000000"/>
                      <w:sz w:val="20"/>
                      <w:szCs w:val="20"/>
                      <w:highlight w:val="none"/>
                    </w:rPr>
                  </w:r>
                  <w:r/>
                </w:p>
              </w:tc>
            </w:tr>
            <w:tr>
              <w:trPr>
                <w:trHeight w:val="284"/>
              </w:trPr>
              <w:tc>
                <w:tcPr>
                  <w:tcW w:w="1260" w:type="dxa"/>
                  <w:vAlign w:val="center"/>
                  <w:textDirection w:val="lrTb"/>
                  <w:noWrap/>
                </w:tcPr>
                <w:p>
                  <w:pPr>
                    <w:pStyle w:val="953"/>
                    <w:jc w:val="center"/>
                    <w:spacing w:line="58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tcW w:w="3487" w:type="dxa"/>
                  <w:vAlign w:val="center"/>
                  <w:textDirection w:val="lrTb"/>
                  <w:noWrap/>
                </w:tcPr>
                <w:p>
                  <w:pPr>
                    <w:pStyle w:val="953"/>
                    <w:jc w:val="center"/>
                    <w:rPr>
                      <w:rFonts w:hint="eastAsia" w:ascii="仿宋" w:hAnsi="仿宋" w:eastAsia="仿宋" w:cs="仿宋"/>
                      <w:color w:val="000000"/>
                      <w:sz w:val="20"/>
                      <w:szCs w:val="20"/>
                      <w:highlight w:val="none"/>
                    </w:rPr>
                    <w:outlineLvl w:val="1"/>
                  </w:pPr>
                  <w:r>
                    <w:rPr>
                      <w:rFonts w:hint="eastAsia" w:ascii="仿宋" w:hAnsi="仿宋" w:eastAsia="仿宋" w:cs="仿宋"/>
                      <w:color w:val="000000"/>
                      <w:sz w:val="20"/>
                      <w:szCs w:val="20"/>
                      <w:highlight w:val="none"/>
                    </w:rPr>
                    <w:t xml:space="preserve">文旅融合培训班</w:t>
                  </w:r>
                  <w:r>
                    <w:rPr>
                      <w:rFonts w:hint="eastAsia" w:ascii="仿宋" w:hAnsi="仿宋" w:eastAsia="仿宋" w:cs="仿宋"/>
                      <w:color w:val="000000"/>
                      <w:sz w:val="20"/>
                      <w:szCs w:val="20"/>
                      <w:highlight w:val="none"/>
                    </w:rPr>
                  </w:r>
                  <w:r/>
                </w:p>
              </w:tc>
              <w:tc>
                <w:tcPr>
                  <w:tcW w:w="3240" w:type="dxa"/>
                  <w:vAlign w:val="center"/>
                  <w:textDirection w:val="lrTb"/>
                  <w:noWrap/>
                </w:tcPr>
                <w:p>
                  <w:pPr>
                    <w:pStyle w:val="953"/>
                    <w:jc w:val="center"/>
                    <w:rPr>
                      <w:rFonts w:hint="eastAsia" w:ascii="仿宋" w:hAnsi="仿宋" w:eastAsia="仿宋" w:cs="仿宋"/>
                      <w:color w:val="000000"/>
                      <w:sz w:val="20"/>
                      <w:szCs w:val="20"/>
                      <w:highlight w:val="none"/>
                    </w:rPr>
                    <w:outlineLvl w:val="1"/>
                  </w:pPr>
                  <w:r>
                    <w:rPr>
                      <w:rFonts w:hint="eastAsia" w:ascii="仿宋" w:hAnsi="仿宋" w:eastAsia="仿宋" w:cs="仿宋"/>
                      <w:color w:val="000000"/>
                      <w:sz w:val="20"/>
                      <w:szCs w:val="20"/>
                      <w:highlight w:val="none"/>
                    </w:rPr>
                    <w:t xml:space="preserve">43,000.00</w:t>
                  </w:r>
                  <w:r>
                    <w:rPr>
                      <w:rFonts w:hint="eastAsia" w:ascii="仿宋" w:hAnsi="仿宋" w:eastAsia="仿宋" w:cs="仿宋"/>
                      <w:color w:val="000000"/>
                      <w:sz w:val="20"/>
                      <w:szCs w:val="20"/>
                      <w:highlight w:val="none"/>
                    </w:rPr>
                  </w:r>
                  <w:r/>
                </w:p>
              </w:tc>
            </w:tr>
            <w:tr>
              <w:trPr>
                <w:trHeight w:val="284"/>
              </w:trPr>
              <w:tc>
                <w:tcPr>
                  <w:tcW w:w="1260" w:type="dxa"/>
                  <w:vAlign w:val="center"/>
                  <w:textDirection w:val="lrTb"/>
                  <w:noWrap/>
                </w:tcPr>
                <w:p>
                  <w:pPr>
                    <w:pStyle w:val="953"/>
                    <w:jc w:val="center"/>
                    <w:spacing w:line="58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6</w:t>
                  </w:r>
                  <w:r>
                    <w:rPr>
                      <w:rFonts w:hint="eastAsia" w:ascii="仿宋" w:hAnsi="仿宋" w:eastAsia="仿宋" w:cs="仿宋"/>
                      <w:sz w:val="20"/>
                      <w:szCs w:val="20"/>
                      <w:highlight w:val="none"/>
                    </w:rPr>
                  </w:r>
                  <w:r/>
                </w:p>
              </w:tc>
              <w:tc>
                <w:tcPr>
                  <w:tcW w:w="3487" w:type="dxa"/>
                  <w:vAlign w:val="center"/>
                  <w:textDirection w:val="lrTb"/>
                  <w:noWrap/>
                </w:tcPr>
                <w:p>
                  <w:pPr>
                    <w:pStyle w:val="953"/>
                    <w:jc w:val="center"/>
                    <w:rPr>
                      <w:rFonts w:hint="eastAsia" w:ascii="仿宋" w:hAnsi="仿宋" w:eastAsia="仿宋" w:cs="仿宋"/>
                      <w:color w:val="000000"/>
                      <w:sz w:val="20"/>
                      <w:szCs w:val="20"/>
                      <w:highlight w:val="none"/>
                    </w:rPr>
                    <w:outlineLvl w:val="1"/>
                  </w:pPr>
                  <w:r>
                    <w:rPr>
                      <w:rFonts w:hint="eastAsia" w:ascii="仿宋" w:hAnsi="仿宋" w:eastAsia="仿宋" w:cs="仿宋"/>
                      <w:color w:val="000000"/>
                      <w:sz w:val="20"/>
                      <w:szCs w:val="20"/>
                      <w:highlight w:val="none"/>
                    </w:rPr>
                    <w:t xml:space="preserve">产业引导资金专家评审费个税</w:t>
                  </w:r>
                  <w:r>
                    <w:rPr>
                      <w:rFonts w:hint="eastAsia" w:ascii="仿宋" w:hAnsi="仿宋" w:eastAsia="仿宋" w:cs="仿宋"/>
                      <w:color w:val="000000"/>
                      <w:sz w:val="20"/>
                      <w:szCs w:val="20"/>
                      <w:highlight w:val="none"/>
                    </w:rPr>
                  </w:r>
                  <w:r/>
                </w:p>
              </w:tc>
              <w:tc>
                <w:tcPr>
                  <w:tcW w:w="3240" w:type="dxa"/>
                  <w:vAlign w:val="center"/>
                  <w:textDirection w:val="lrTb"/>
                  <w:noWrap/>
                </w:tcPr>
                <w:p>
                  <w:pPr>
                    <w:pStyle w:val="953"/>
                    <w:jc w:val="center"/>
                    <w:rPr>
                      <w:rFonts w:hint="eastAsia" w:ascii="仿宋" w:hAnsi="仿宋" w:eastAsia="仿宋" w:cs="仿宋"/>
                      <w:color w:val="000000"/>
                      <w:sz w:val="20"/>
                      <w:szCs w:val="20"/>
                      <w:highlight w:val="none"/>
                    </w:rPr>
                    <w:outlineLvl w:val="1"/>
                  </w:pPr>
                  <w:r>
                    <w:rPr>
                      <w:rFonts w:hint="eastAsia" w:ascii="仿宋" w:hAnsi="仿宋" w:eastAsia="仿宋" w:cs="仿宋"/>
                      <w:color w:val="000000"/>
                      <w:sz w:val="20"/>
                      <w:szCs w:val="20"/>
                      <w:highlight w:val="none"/>
                    </w:rPr>
                    <w:t xml:space="preserve">900.00</w:t>
                  </w:r>
                  <w:r>
                    <w:rPr>
                      <w:rFonts w:hint="eastAsia" w:ascii="仿宋" w:hAnsi="仿宋" w:eastAsia="仿宋" w:cs="仿宋"/>
                      <w:color w:val="000000"/>
                      <w:sz w:val="20"/>
                      <w:szCs w:val="20"/>
                      <w:highlight w:val="none"/>
                    </w:rPr>
                  </w:r>
                  <w:r/>
                </w:p>
              </w:tc>
            </w:tr>
            <w:tr>
              <w:trPr>
                <w:trHeight w:val="284"/>
              </w:trPr>
              <w:tc>
                <w:tcPr>
                  <w:tcW w:w="1260" w:type="dxa"/>
                  <w:vAlign w:val="center"/>
                  <w:textDirection w:val="lrTb"/>
                  <w:noWrap/>
                </w:tcPr>
                <w:p>
                  <w:pPr>
                    <w:pStyle w:val="953"/>
                    <w:jc w:val="center"/>
                    <w:spacing w:line="58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7</w:t>
                  </w:r>
                  <w:r>
                    <w:rPr>
                      <w:rFonts w:hint="eastAsia" w:ascii="仿宋" w:hAnsi="仿宋" w:eastAsia="仿宋" w:cs="仿宋"/>
                      <w:sz w:val="20"/>
                      <w:szCs w:val="20"/>
                      <w:highlight w:val="none"/>
                    </w:rPr>
                  </w:r>
                  <w:r/>
                </w:p>
              </w:tc>
              <w:tc>
                <w:tcPr>
                  <w:tcW w:w="3487" w:type="dxa"/>
                  <w:vAlign w:val="center"/>
                  <w:textDirection w:val="lrTb"/>
                  <w:noWrap/>
                </w:tcPr>
                <w:p>
                  <w:pPr>
                    <w:pStyle w:val="953"/>
                    <w:jc w:val="center"/>
                    <w:rPr>
                      <w:rFonts w:hint="eastAsia" w:ascii="仿宋" w:hAnsi="仿宋" w:eastAsia="仿宋" w:cs="仿宋"/>
                      <w:color w:val="000000"/>
                      <w:sz w:val="20"/>
                      <w:szCs w:val="20"/>
                      <w:highlight w:val="none"/>
                    </w:rPr>
                    <w:outlineLvl w:val="1"/>
                  </w:pPr>
                  <w:r>
                    <w:rPr>
                      <w:rFonts w:hint="eastAsia" w:ascii="仿宋" w:hAnsi="仿宋" w:eastAsia="仿宋" w:cs="仿宋"/>
                      <w:color w:val="000000"/>
                      <w:sz w:val="20"/>
                      <w:szCs w:val="20"/>
                      <w:highlight w:val="none"/>
                    </w:rPr>
                    <w:t xml:space="preserve">产业引导资金审计费</w:t>
                  </w:r>
                  <w:r>
                    <w:rPr>
                      <w:rFonts w:hint="eastAsia" w:ascii="仿宋" w:hAnsi="仿宋" w:eastAsia="仿宋" w:cs="仿宋"/>
                      <w:color w:val="000000"/>
                      <w:sz w:val="20"/>
                      <w:szCs w:val="20"/>
                      <w:highlight w:val="none"/>
                    </w:rPr>
                  </w:r>
                  <w:r/>
                </w:p>
              </w:tc>
              <w:tc>
                <w:tcPr>
                  <w:tcW w:w="3240" w:type="dxa"/>
                  <w:vAlign w:val="center"/>
                  <w:textDirection w:val="lrTb"/>
                  <w:noWrap/>
                </w:tcPr>
                <w:p>
                  <w:pPr>
                    <w:pStyle w:val="953"/>
                    <w:jc w:val="center"/>
                    <w:rPr>
                      <w:rFonts w:hint="eastAsia" w:ascii="仿宋" w:hAnsi="仿宋" w:eastAsia="仿宋" w:cs="仿宋"/>
                      <w:color w:val="000000"/>
                      <w:sz w:val="20"/>
                      <w:szCs w:val="20"/>
                      <w:highlight w:val="none"/>
                    </w:rPr>
                    <w:outlineLvl w:val="1"/>
                  </w:pPr>
                  <w:r>
                    <w:rPr>
                      <w:rFonts w:hint="eastAsia" w:ascii="仿宋" w:hAnsi="仿宋" w:eastAsia="仿宋" w:cs="仿宋"/>
                      <w:color w:val="000000"/>
                      <w:sz w:val="20"/>
                      <w:szCs w:val="20"/>
                      <w:highlight w:val="none"/>
                    </w:rPr>
                    <w:t xml:space="preserve">45,000.00</w:t>
                  </w:r>
                  <w:r>
                    <w:rPr>
                      <w:rFonts w:hint="eastAsia" w:ascii="仿宋" w:hAnsi="仿宋" w:eastAsia="仿宋" w:cs="仿宋"/>
                      <w:color w:val="000000"/>
                      <w:sz w:val="20"/>
                      <w:szCs w:val="20"/>
                      <w:highlight w:val="none"/>
                    </w:rPr>
                  </w:r>
                  <w:r/>
                </w:p>
              </w:tc>
            </w:tr>
            <w:tr>
              <w:trPr>
                <w:trHeight w:val="284"/>
              </w:trPr>
              <w:tc>
                <w:tcPr>
                  <w:tcW w:w="1260" w:type="dxa"/>
                  <w:vAlign w:val="center"/>
                  <w:textDirection w:val="lrTb"/>
                  <w:noWrap/>
                </w:tcPr>
                <w:p>
                  <w:pPr>
                    <w:pStyle w:val="953"/>
                    <w:jc w:val="center"/>
                    <w:spacing w:line="58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8</w:t>
                  </w:r>
                  <w:r>
                    <w:rPr>
                      <w:rFonts w:hint="eastAsia" w:ascii="仿宋" w:hAnsi="仿宋" w:eastAsia="仿宋" w:cs="仿宋"/>
                      <w:sz w:val="20"/>
                      <w:szCs w:val="20"/>
                      <w:highlight w:val="none"/>
                    </w:rPr>
                  </w:r>
                  <w:r/>
                </w:p>
              </w:tc>
              <w:tc>
                <w:tcPr>
                  <w:tcW w:w="3487" w:type="dxa"/>
                  <w:vAlign w:val="center"/>
                  <w:textDirection w:val="lrTb"/>
                  <w:noWrap/>
                </w:tcPr>
                <w:p>
                  <w:pPr>
                    <w:pStyle w:val="953"/>
                    <w:jc w:val="center"/>
                    <w:rPr>
                      <w:rFonts w:hint="eastAsia" w:ascii="仿宋" w:hAnsi="仿宋" w:eastAsia="仿宋" w:cs="仿宋"/>
                      <w:color w:val="000000"/>
                      <w:sz w:val="20"/>
                      <w:szCs w:val="20"/>
                      <w:highlight w:val="none"/>
                    </w:rPr>
                    <w:outlineLvl w:val="1"/>
                  </w:pPr>
                  <w:r>
                    <w:rPr>
                      <w:rFonts w:hint="eastAsia" w:ascii="仿宋" w:hAnsi="仿宋" w:eastAsia="仿宋" w:cs="仿宋"/>
                      <w:color w:val="000000"/>
                      <w:sz w:val="20"/>
                      <w:szCs w:val="20"/>
                      <w:highlight w:val="none"/>
                    </w:rPr>
                    <w:t xml:space="preserve">使命召唤视频宣传</w:t>
                  </w:r>
                  <w:r>
                    <w:rPr>
                      <w:rFonts w:hint="eastAsia" w:ascii="仿宋" w:hAnsi="仿宋" w:eastAsia="仿宋" w:cs="仿宋"/>
                      <w:color w:val="000000"/>
                      <w:sz w:val="20"/>
                      <w:szCs w:val="20"/>
                      <w:highlight w:val="none"/>
                    </w:rPr>
                  </w:r>
                  <w:r/>
                </w:p>
              </w:tc>
              <w:tc>
                <w:tcPr>
                  <w:tcW w:w="3240" w:type="dxa"/>
                  <w:vAlign w:val="center"/>
                  <w:textDirection w:val="lrTb"/>
                  <w:noWrap/>
                </w:tcPr>
                <w:p>
                  <w:pPr>
                    <w:pStyle w:val="953"/>
                    <w:jc w:val="center"/>
                    <w:rPr>
                      <w:rFonts w:hint="eastAsia" w:ascii="仿宋" w:hAnsi="仿宋" w:eastAsia="仿宋" w:cs="仿宋"/>
                      <w:color w:val="000000"/>
                      <w:sz w:val="20"/>
                      <w:szCs w:val="20"/>
                      <w:highlight w:val="none"/>
                    </w:rPr>
                    <w:outlineLvl w:val="1"/>
                  </w:pPr>
                  <w:r>
                    <w:rPr>
                      <w:rFonts w:hint="eastAsia" w:ascii="仿宋" w:hAnsi="仿宋" w:eastAsia="仿宋" w:cs="仿宋"/>
                      <w:color w:val="000000"/>
                      <w:sz w:val="20"/>
                      <w:szCs w:val="20"/>
                      <w:highlight w:val="none"/>
                    </w:rPr>
                    <w:t xml:space="preserve">100,000.00</w:t>
                  </w:r>
                  <w:r>
                    <w:rPr>
                      <w:rFonts w:hint="eastAsia" w:ascii="仿宋" w:hAnsi="仿宋" w:eastAsia="仿宋" w:cs="仿宋"/>
                      <w:color w:val="000000"/>
                      <w:sz w:val="20"/>
                      <w:szCs w:val="20"/>
                      <w:highlight w:val="none"/>
                    </w:rPr>
                  </w:r>
                  <w:r/>
                </w:p>
              </w:tc>
            </w:tr>
            <w:tr>
              <w:trPr>
                <w:trHeight w:val="284"/>
              </w:trPr>
              <w:tc>
                <w:tcPr>
                  <w:tcW w:w="1260" w:type="dxa"/>
                  <w:vAlign w:val="center"/>
                  <w:textDirection w:val="lrTb"/>
                  <w:noWrap/>
                </w:tcPr>
                <w:p>
                  <w:pPr>
                    <w:pStyle w:val="953"/>
                    <w:jc w:val="center"/>
                    <w:spacing w:line="58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9</w:t>
                  </w:r>
                  <w:r>
                    <w:rPr>
                      <w:rFonts w:hint="eastAsia" w:ascii="仿宋" w:hAnsi="仿宋" w:eastAsia="仿宋" w:cs="仿宋"/>
                      <w:sz w:val="20"/>
                      <w:szCs w:val="20"/>
                      <w:highlight w:val="none"/>
                    </w:rPr>
                  </w:r>
                  <w:r/>
                </w:p>
              </w:tc>
              <w:tc>
                <w:tcPr>
                  <w:tcW w:w="3487" w:type="dxa"/>
                  <w:vAlign w:val="center"/>
                  <w:textDirection w:val="lrTb"/>
                  <w:noWrap/>
                </w:tcPr>
                <w:p>
                  <w:pPr>
                    <w:pStyle w:val="953"/>
                    <w:jc w:val="center"/>
                    <w:rPr>
                      <w:rFonts w:hint="eastAsia" w:ascii="仿宋" w:hAnsi="仿宋" w:eastAsia="仿宋" w:cs="仿宋"/>
                      <w:color w:val="000000"/>
                      <w:sz w:val="20"/>
                      <w:szCs w:val="20"/>
                      <w:highlight w:val="none"/>
                    </w:rPr>
                    <w:outlineLvl w:val="1"/>
                  </w:pPr>
                  <w:r>
                    <w:rPr>
                      <w:rFonts w:hint="eastAsia" w:ascii="仿宋" w:hAnsi="仿宋" w:eastAsia="仿宋" w:cs="仿宋"/>
                      <w:color w:val="000000"/>
                      <w:sz w:val="20"/>
                      <w:szCs w:val="20"/>
                      <w:highlight w:val="none"/>
                    </w:rPr>
                    <w:t xml:space="preserve">天美赛事审计费</w:t>
                  </w:r>
                  <w:r>
                    <w:rPr>
                      <w:rFonts w:hint="eastAsia" w:ascii="仿宋" w:hAnsi="仿宋" w:eastAsia="仿宋" w:cs="仿宋"/>
                      <w:color w:val="000000"/>
                      <w:sz w:val="20"/>
                      <w:szCs w:val="20"/>
                      <w:highlight w:val="none"/>
                    </w:rPr>
                  </w:r>
                  <w:r/>
                </w:p>
              </w:tc>
              <w:tc>
                <w:tcPr>
                  <w:tcW w:w="3240" w:type="dxa"/>
                  <w:vAlign w:val="center"/>
                  <w:textDirection w:val="lrTb"/>
                  <w:noWrap/>
                </w:tcPr>
                <w:p>
                  <w:pPr>
                    <w:pStyle w:val="953"/>
                    <w:jc w:val="center"/>
                    <w:rPr>
                      <w:rFonts w:hint="eastAsia" w:ascii="仿宋" w:hAnsi="仿宋" w:eastAsia="仿宋" w:cs="仿宋"/>
                      <w:color w:val="000000"/>
                      <w:sz w:val="20"/>
                      <w:szCs w:val="20"/>
                      <w:highlight w:val="none"/>
                    </w:rPr>
                    <w:outlineLvl w:val="1"/>
                  </w:pPr>
                  <w:r>
                    <w:rPr>
                      <w:rFonts w:hint="eastAsia" w:ascii="仿宋" w:hAnsi="仿宋" w:eastAsia="仿宋" w:cs="仿宋"/>
                      <w:color w:val="000000"/>
                      <w:sz w:val="20"/>
                      <w:szCs w:val="20"/>
                      <w:highlight w:val="none"/>
                    </w:rPr>
                    <w:t xml:space="preserve">22,000.00</w:t>
                  </w:r>
                  <w:r>
                    <w:rPr>
                      <w:rFonts w:hint="eastAsia" w:ascii="仿宋" w:hAnsi="仿宋" w:eastAsia="仿宋" w:cs="仿宋"/>
                      <w:color w:val="000000"/>
                      <w:sz w:val="20"/>
                      <w:szCs w:val="20"/>
                      <w:highlight w:val="none"/>
                    </w:rPr>
                  </w:r>
                  <w:r/>
                </w:p>
              </w:tc>
            </w:tr>
            <w:tr>
              <w:trPr>
                <w:trHeight w:val="284"/>
              </w:trPr>
              <w:tc>
                <w:tcPr>
                  <w:tcW w:w="1260" w:type="dxa"/>
                  <w:vAlign w:val="center"/>
                  <w:textDirection w:val="lrTb"/>
                  <w:noWrap/>
                </w:tcPr>
                <w:p>
                  <w:pPr>
                    <w:pStyle w:val="953"/>
                    <w:jc w:val="center"/>
                    <w:spacing w:line="58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10</w:t>
                  </w:r>
                  <w:r>
                    <w:rPr>
                      <w:rFonts w:hint="eastAsia" w:ascii="仿宋" w:hAnsi="仿宋" w:eastAsia="仿宋" w:cs="仿宋"/>
                      <w:sz w:val="20"/>
                      <w:szCs w:val="20"/>
                      <w:highlight w:val="none"/>
                    </w:rPr>
                  </w:r>
                  <w:r/>
                </w:p>
              </w:tc>
              <w:tc>
                <w:tcPr>
                  <w:tcW w:w="3487" w:type="dxa"/>
                  <w:vAlign w:val="center"/>
                  <w:textDirection w:val="lrTb"/>
                  <w:noWrap/>
                </w:tcPr>
                <w:p>
                  <w:pPr>
                    <w:pStyle w:val="953"/>
                    <w:jc w:val="center"/>
                    <w:rPr>
                      <w:rFonts w:hint="eastAsia" w:ascii="仿宋" w:hAnsi="仿宋" w:eastAsia="仿宋" w:cs="仿宋"/>
                      <w:color w:val="000000"/>
                      <w:sz w:val="20"/>
                      <w:szCs w:val="20"/>
                      <w:highlight w:val="none"/>
                    </w:rPr>
                    <w:outlineLvl w:val="1"/>
                  </w:pPr>
                  <w:r>
                    <w:rPr>
                      <w:rFonts w:hint="eastAsia" w:ascii="仿宋" w:hAnsi="仿宋" w:eastAsia="仿宋" w:cs="仿宋"/>
                      <w:color w:val="000000"/>
                      <w:sz w:val="20"/>
                      <w:szCs w:val="20"/>
                      <w:highlight w:val="none"/>
                    </w:rPr>
                    <w:t xml:space="preserve">文博会户外市集费用</w:t>
                  </w:r>
                  <w:r>
                    <w:rPr>
                      <w:rFonts w:hint="eastAsia" w:ascii="仿宋" w:hAnsi="仿宋" w:eastAsia="仿宋" w:cs="仿宋"/>
                      <w:color w:val="000000"/>
                      <w:sz w:val="20"/>
                      <w:szCs w:val="20"/>
                      <w:highlight w:val="none"/>
                    </w:rPr>
                  </w:r>
                  <w:r/>
                </w:p>
              </w:tc>
              <w:tc>
                <w:tcPr>
                  <w:tcW w:w="3240" w:type="dxa"/>
                  <w:vAlign w:val="center"/>
                  <w:textDirection w:val="lrTb"/>
                  <w:noWrap/>
                </w:tcPr>
                <w:p>
                  <w:pPr>
                    <w:pStyle w:val="953"/>
                    <w:jc w:val="center"/>
                    <w:rPr>
                      <w:rFonts w:hint="eastAsia" w:ascii="仿宋" w:hAnsi="仿宋" w:eastAsia="仿宋" w:cs="仿宋"/>
                      <w:color w:val="000000"/>
                      <w:sz w:val="20"/>
                      <w:szCs w:val="20"/>
                      <w:highlight w:val="none"/>
                    </w:rPr>
                    <w:outlineLvl w:val="1"/>
                  </w:pPr>
                  <w:r>
                    <w:rPr>
                      <w:rFonts w:hint="eastAsia" w:ascii="仿宋" w:hAnsi="仿宋" w:eastAsia="仿宋" w:cs="仿宋"/>
                      <w:color w:val="000000"/>
                      <w:sz w:val="20"/>
                      <w:szCs w:val="20"/>
                      <w:highlight w:val="none"/>
                    </w:rPr>
                    <w:t xml:space="preserve">210,000.00</w:t>
                  </w:r>
                  <w:r>
                    <w:rPr>
                      <w:rFonts w:hint="eastAsia" w:ascii="仿宋" w:hAnsi="仿宋" w:eastAsia="仿宋" w:cs="仿宋"/>
                      <w:color w:val="000000"/>
                      <w:sz w:val="20"/>
                      <w:szCs w:val="20"/>
                      <w:highlight w:val="none"/>
                    </w:rPr>
                  </w:r>
                  <w:r/>
                </w:p>
              </w:tc>
            </w:tr>
            <w:tr>
              <w:trPr>
                <w:trHeight w:val="454"/>
              </w:trPr>
              <w:tc>
                <w:tcPr>
                  <w:tcW w:w="1260" w:type="dxa"/>
                  <w:vAlign w:val="center"/>
                  <w:textDirection w:val="lrTb"/>
                  <w:noWrap/>
                </w:tcPr>
                <w:p>
                  <w:pPr>
                    <w:pStyle w:val="953"/>
                    <w:jc w:val="center"/>
                    <w:spacing w:line="58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11</w:t>
                  </w:r>
                  <w:r>
                    <w:rPr>
                      <w:rFonts w:hint="eastAsia" w:ascii="仿宋" w:hAnsi="仿宋" w:eastAsia="仿宋" w:cs="仿宋"/>
                      <w:sz w:val="20"/>
                      <w:szCs w:val="20"/>
                      <w:highlight w:val="none"/>
                    </w:rPr>
                  </w:r>
                  <w:r/>
                </w:p>
              </w:tc>
              <w:tc>
                <w:tcPr>
                  <w:tcW w:w="3487" w:type="dxa"/>
                  <w:vAlign w:val="center"/>
                  <w:textDirection w:val="lrTb"/>
                  <w:noWrap/>
                </w:tcPr>
                <w:p>
                  <w:pPr>
                    <w:pStyle w:val="953"/>
                    <w:jc w:val="center"/>
                    <w:rPr>
                      <w:rFonts w:hint="eastAsia" w:ascii="仿宋" w:hAnsi="仿宋" w:eastAsia="仿宋" w:cs="仿宋"/>
                      <w:color w:val="000000"/>
                      <w:sz w:val="20"/>
                      <w:szCs w:val="20"/>
                      <w:highlight w:val="none"/>
                    </w:rPr>
                    <w:outlineLvl w:val="1"/>
                  </w:pPr>
                  <w:r>
                    <w:rPr>
                      <w:rFonts w:hint="eastAsia" w:ascii="仿宋" w:hAnsi="仿宋" w:eastAsia="仿宋" w:cs="仿宋"/>
                      <w:color w:val="000000"/>
                      <w:sz w:val="20"/>
                      <w:szCs w:val="20"/>
                      <w:highlight w:val="none"/>
                    </w:rPr>
                    <w:t xml:space="preserve">文博会展馆搭建首付款</w:t>
                  </w:r>
                  <w:r>
                    <w:rPr>
                      <w:rFonts w:hint="eastAsia" w:ascii="仿宋" w:hAnsi="仿宋" w:eastAsia="仿宋" w:cs="仿宋"/>
                      <w:color w:val="000000"/>
                      <w:sz w:val="20"/>
                      <w:szCs w:val="20"/>
                      <w:highlight w:val="none"/>
                    </w:rPr>
                  </w:r>
                  <w:r/>
                </w:p>
              </w:tc>
              <w:tc>
                <w:tcPr>
                  <w:tcW w:w="3240" w:type="dxa"/>
                  <w:vAlign w:val="center"/>
                  <w:textDirection w:val="lrTb"/>
                  <w:noWrap/>
                </w:tcPr>
                <w:p>
                  <w:pPr>
                    <w:pStyle w:val="953"/>
                    <w:jc w:val="center"/>
                    <w:rPr>
                      <w:rFonts w:hint="eastAsia" w:ascii="仿宋" w:hAnsi="仿宋" w:eastAsia="仿宋" w:cs="仿宋"/>
                      <w:color w:val="000000"/>
                      <w:sz w:val="20"/>
                      <w:szCs w:val="20"/>
                      <w:highlight w:val="none"/>
                    </w:rPr>
                    <w:outlineLvl w:val="1"/>
                  </w:pPr>
                  <w:r>
                    <w:rPr>
                      <w:rFonts w:hint="eastAsia" w:ascii="仿宋" w:hAnsi="仿宋" w:eastAsia="仿宋" w:cs="仿宋"/>
                      <w:color w:val="000000"/>
                      <w:sz w:val="20"/>
                      <w:szCs w:val="20"/>
                      <w:highlight w:val="none"/>
                    </w:rPr>
                    <w:t xml:space="preserve">281,000.00</w:t>
                  </w:r>
                  <w:r>
                    <w:rPr>
                      <w:rFonts w:hint="eastAsia" w:ascii="仿宋" w:hAnsi="仿宋" w:eastAsia="仿宋" w:cs="仿宋"/>
                      <w:color w:val="000000"/>
                      <w:sz w:val="20"/>
                      <w:szCs w:val="20"/>
                      <w:highlight w:val="none"/>
                    </w:rPr>
                  </w:r>
                  <w:r/>
                </w:p>
              </w:tc>
            </w:tr>
            <w:tr>
              <w:trPr>
                <w:trHeight w:val="284"/>
              </w:trPr>
              <w:tc>
                <w:tcPr>
                  <w:tcW w:w="1260" w:type="dxa"/>
                  <w:vAlign w:val="center"/>
                  <w:textDirection w:val="lrTb"/>
                  <w:noWrap/>
                </w:tcPr>
                <w:p>
                  <w:pPr>
                    <w:pStyle w:val="953"/>
                    <w:jc w:val="center"/>
                    <w:spacing w:line="58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3487" w:type="dxa"/>
                  <w:vAlign w:val="center"/>
                  <w:textDirection w:val="lrTb"/>
                  <w:noWrap/>
                </w:tcPr>
                <w:p>
                  <w:pPr>
                    <w:pStyle w:val="953"/>
                    <w:jc w:val="center"/>
                    <w:spacing w:line="58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合计</w:t>
                  </w:r>
                  <w:r>
                    <w:rPr>
                      <w:rFonts w:hint="eastAsia" w:ascii="仿宋" w:hAnsi="仿宋" w:eastAsia="仿宋" w:cs="仿宋"/>
                      <w:sz w:val="20"/>
                      <w:szCs w:val="20"/>
                      <w:highlight w:val="none"/>
                    </w:rPr>
                  </w:r>
                  <w:r/>
                </w:p>
              </w:tc>
              <w:tc>
                <w:tcPr>
                  <w:tcW w:w="3240" w:type="dxa"/>
                  <w:vAlign w:val="center"/>
                  <w:textDirection w:val="lrTb"/>
                  <w:noWrap/>
                </w:tcPr>
                <w:p>
                  <w:pPr>
                    <w:pStyle w:val="953"/>
                    <w:ind w:firstLine="1000"/>
                    <w:spacing w:line="58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899971.43</w:t>
                  </w:r>
                  <w:r>
                    <w:rPr>
                      <w:rFonts w:hint="eastAsia" w:ascii="仿宋" w:hAnsi="仿宋" w:eastAsia="仿宋" w:cs="仿宋"/>
                      <w:sz w:val="20"/>
                      <w:szCs w:val="20"/>
                      <w:highlight w:val="none"/>
                    </w:rPr>
                  </w:r>
                  <w:r/>
                </w:p>
              </w:tc>
            </w:tr>
          </w:tbl>
          <w:p>
            <w:pPr>
              <w:pStyle w:val="953"/>
              <w:jc w:val="left"/>
              <w:widowControl/>
              <w:rPr>
                <w:rFonts w:hint="eastAsia" w:ascii="仿宋" w:hAnsi="仿宋" w:eastAsia="仿宋" w:cs="仿宋"/>
                <w:color w:val="000000"/>
                <w:sz w:val="20"/>
                <w:szCs w:val="20"/>
                <w:highlight w:val="none"/>
                <w:lang w:bidi="ar"/>
              </w:rPr>
            </w:pPr>
            <w:r>
              <w:rPr>
                <w:rFonts w:hint="eastAsia" w:ascii="仿宋" w:hAnsi="仿宋" w:eastAsia="仿宋" w:cs="仿宋"/>
                <w:color w:val="000000"/>
                <w:sz w:val="20"/>
                <w:szCs w:val="20"/>
                <w:highlight w:val="none"/>
                <w:lang w:bidi="ar"/>
              </w:rPr>
            </w:r>
            <w:r/>
          </w:p>
        </w:tc>
      </w:tr>
      <w:tr>
        <w:trPr>
          <w:trHeight w:val="4898"/>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53"/>
              <w:jc w:val="left"/>
              <w:widowControl/>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 xml:space="preserve">五、项目管理成效</w:t>
            </w:r>
            <w:r>
              <w:rPr>
                <w:rFonts w:hint="eastAsia" w:ascii="仿宋" w:hAnsi="仿宋" w:eastAsia="仿宋" w:cs="仿宋"/>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939" w:type="dxa"/>
            <w:vAlign w:val="center"/>
            <w:textDirection w:val="lrTb"/>
            <w:noWrap w:val="false"/>
          </w:tcPr>
          <w:p>
            <w:pPr>
              <w:pStyle w:val="953"/>
              <w:jc w:val="left"/>
              <w:widowControl/>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 xml:space="preserve">本项目围绕文体旅产业融合发展目标，聚焦品牌推广、资源整合、能力提升三大核心任务，资金使用精准匹配关键环节，实施后取得显著成效：</w:t>
            </w:r>
            <w:r>
              <w:rPr>
                <w:rFonts w:hint="eastAsia" w:ascii="仿宋" w:hAnsi="仿宋" w:eastAsia="仿宋" w:cs="仿宋"/>
                <w:color w:val="000000"/>
                <w:sz w:val="21"/>
                <w:szCs w:val="21"/>
                <w:highlight w:val="none"/>
                <w:lang w:bidi="ar"/>
              </w:rPr>
            </w:r>
            <w:r/>
          </w:p>
          <w:p>
            <w:pPr>
              <w:pStyle w:val="953"/>
              <w:jc w:val="left"/>
              <w:widowControl/>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 xml:space="preserve">1.品牌影响力显著提升。通过文旅视频制作（14.2万元）、使命召唤视频宣传（10万元）及深圳文博会宣传物料（3万元）、户外市集（21万元）、展馆搭建（28.1万元首付款）等项目，全方位打造区域文旅IP形象。文博会期间吸引专业观众超5万人次，现场达成合作意向12项，较上届展会增长30%，有效提升了区域文体旅品牌的知名度。</w:t>
            </w:r>
            <w:r>
              <w:rPr>
                <w:rFonts w:hint="eastAsia" w:ascii="仿宋" w:hAnsi="仿宋" w:eastAsia="仿宋" w:cs="仿宋"/>
                <w:color w:val="000000"/>
                <w:sz w:val="21"/>
                <w:szCs w:val="21"/>
                <w:highlight w:val="none"/>
                <w:lang w:bidi="ar"/>
              </w:rPr>
            </w:r>
            <w:r/>
          </w:p>
          <w:p>
            <w:pPr>
              <w:pStyle w:val="953"/>
              <w:jc w:val="left"/>
              <w:widowControl/>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 xml:space="preserve">2.产业资源加速集聚。依托文化产业大会（2万元）及产业引导资金专家评审（0.6万元+个税0.09万元）、审计（4.5万元+2.2万元）等规范流程，成功引入12家优质文体旅企业落地，推动2个亿元级文旅融合项目签约，产业引导资金撬动社会资本，为产业生态注入新动能。</w:t>
            </w:r>
            <w:r>
              <w:rPr>
                <w:rFonts w:hint="eastAsia" w:ascii="仿宋" w:hAnsi="仿宋" w:eastAsia="仿宋" w:cs="仿宋"/>
                <w:color w:val="000000"/>
                <w:sz w:val="21"/>
                <w:szCs w:val="21"/>
                <w:highlight w:val="none"/>
                <w:lang w:bidi="ar"/>
              </w:rPr>
            </w:r>
            <w:r/>
          </w:p>
          <w:p>
            <w:pPr>
              <w:pStyle w:val="953"/>
              <w:jc w:val="left"/>
              <w:widowControl/>
              <w:rPr>
                <w:rFonts w:hint="eastAsia" w:ascii="仿宋" w:hAnsi="仿宋" w:eastAsia="仿宋" w:cs="仿宋"/>
                <w:color w:val="000000"/>
                <w:sz w:val="21"/>
                <w:szCs w:val="21"/>
                <w:highlight w:val="none"/>
                <w:lang w:eastAsia="zh-CN" w:bidi="ar"/>
              </w:rPr>
            </w:pPr>
            <w:r>
              <w:rPr>
                <w:rFonts w:hint="eastAsia" w:ascii="仿宋" w:hAnsi="仿宋" w:eastAsia="仿宋" w:cs="仿宋"/>
                <w:color w:val="000000"/>
                <w:sz w:val="21"/>
                <w:szCs w:val="21"/>
                <w:highlight w:val="none"/>
                <w:lang w:bidi="ar"/>
              </w:rPr>
              <w:t xml:space="preserve">3.专业能力持续增强。文旅融合培训班（4.3万元）覆盖从业人员60人次，课程涵盖政策解读、数字营销、IP开发等模块</w:t>
            </w:r>
            <w:r>
              <w:rPr>
                <w:rFonts w:hint="eastAsia" w:ascii="仿宋" w:hAnsi="仿宋" w:eastAsia="仿宋" w:cs="仿宋"/>
                <w:color w:val="000000"/>
                <w:sz w:val="21"/>
                <w:szCs w:val="21"/>
                <w:highlight w:val="none"/>
                <w:lang w:eastAsia="zh-CN" w:bidi="ar"/>
              </w:rPr>
              <w:t xml:space="preserve">。</w:t>
            </w:r>
            <w:r>
              <w:rPr>
                <w:rFonts w:hint="eastAsia" w:ascii="仿宋" w:hAnsi="仿宋" w:eastAsia="仿宋" w:cs="仿宋"/>
                <w:color w:val="000000"/>
                <w:sz w:val="21"/>
                <w:szCs w:val="21"/>
                <w:highlight w:val="none"/>
                <w:lang w:eastAsia="zh-CN" w:bidi="ar"/>
              </w:rPr>
            </w:r>
            <w:r/>
          </w:p>
          <w:p>
            <w:pPr>
              <w:pStyle w:val="953"/>
              <w:jc w:val="left"/>
              <w:widowControl/>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 xml:space="preserve">4.活动实效全面突破。深圳文博会、苏州文博会户外市集与展馆联动，带动周边餐饮、住宿消费；天美赛事审计（2.2万元）保障赛事合规运营，吸引全国12支战队参赛，线上观赛量破百万，进一步激活“体育+旅游”消费新场景。</w:t>
            </w:r>
            <w:r>
              <w:rPr>
                <w:rFonts w:hint="eastAsia" w:ascii="仿宋" w:hAnsi="仿宋" w:eastAsia="仿宋" w:cs="仿宋"/>
                <w:color w:val="000000"/>
                <w:sz w:val="21"/>
                <w:szCs w:val="21"/>
                <w:highlight w:val="none"/>
                <w:lang w:bidi="ar"/>
              </w:rPr>
            </w:r>
            <w:r/>
          </w:p>
        </w:tc>
      </w:tr>
      <w:tr>
        <w:trPr>
          <w:trHeight w:val="5598"/>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53"/>
              <w:jc w:val="left"/>
              <w:widowControl/>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 xml:space="preserve">六、项目管理存在的问题及原因</w:t>
            </w:r>
            <w:r>
              <w:rPr>
                <w:rFonts w:hint="eastAsia" w:ascii="仿宋" w:hAnsi="仿宋" w:eastAsia="仿宋" w:cs="仿宋"/>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939" w:type="dxa"/>
            <w:vAlign w:val="center"/>
            <w:textDirection w:val="lrTb"/>
            <w:noWrap w:val="false"/>
          </w:tcPr>
          <w:p>
            <w:pPr>
              <w:pStyle w:val="953"/>
              <w:jc w:val="left"/>
              <w:widowControl/>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 xml:space="preserve">结合项目实际执行情况，虽整体成效显著，但在资金结构均衡性、资源转化效率、培训体系完善度、成本管控精细化等方面仍存在优化空间，具体问题及原因如下：</w:t>
            </w:r>
            <w:r>
              <w:rPr>
                <w:rFonts w:hint="eastAsia" w:ascii="仿宋" w:hAnsi="仿宋" w:eastAsia="仿宋" w:cs="仿宋"/>
                <w:color w:val="000000"/>
                <w:sz w:val="21"/>
                <w:szCs w:val="21"/>
                <w:highlight w:val="none"/>
                <w:lang w:bidi="ar"/>
              </w:rPr>
            </w:r>
            <w:r/>
          </w:p>
          <w:p>
            <w:pPr>
              <w:pStyle w:val="953"/>
              <w:jc w:val="left"/>
              <w:widowControl/>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 xml:space="preserve">1.资金支出结构存在“重品牌、轻转化”倾向，部分核心业务投入不足。从资金明细看，品牌推广类支出较高，而直接关联“招商转化”的业务较少，仅通过文化产业大会间接覆盖，导致招商活动的针对性、资源对接的深度不足。原因分析：项目初期对“品牌曝光”的重视程度高于“资源落地”，将主要资金倾斜于展会搭建、视频宣传等“可见性强”的工作，而对“招商对接会策划、目标企业精准邀约、资源库系统搭建”等“隐性但关键”的环节投入规划不足，导致部分展会意向未转化为实际落地项目。</w:t>
            </w:r>
            <w:r>
              <w:rPr>
                <w:rFonts w:hint="eastAsia" w:ascii="仿宋" w:hAnsi="仿宋" w:eastAsia="仿宋" w:cs="仿宋"/>
                <w:color w:val="000000"/>
                <w:sz w:val="21"/>
                <w:szCs w:val="21"/>
                <w:highlight w:val="none"/>
                <w:lang w:bidi="ar"/>
              </w:rPr>
            </w:r>
            <w:r/>
          </w:p>
          <w:p>
            <w:pPr>
              <w:pStyle w:val="953"/>
              <w:jc w:val="left"/>
              <w:widowControl/>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 xml:space="preserve">2.资源转化效率待提升，部分合作意向未形成实质成果。落地企业的“产业带动效应”未充分释放—部分入驻企业以“注册型”为主，尚未形成数字娱乐、影视等领域的产业链协同。原因分析：一是资源对接的“精准度”不足，前期对太仓产业需求（如数字娱乐的技术缺口、影视产业的后期制作配套）调研不深，导致引入企业与本地产业生态匹配度不高；二是“落地后服务”缺失，未针对入驻企业建立“政策跟进、资源配套、市场对接”的全周期服务机制，企业落地后难以快速融入本地产业链。</w:t>
            </w:r>
            <w:r>
              <w:rPr>
                <w:rFonts w:hint="eastAsia" w:ascii="仿宋" w:hAnsi="仿宋" w:eastAsia="仿宋" w:cs="仿宋"/>
                <w:color w:val="000000"/>
                <w:sz w:val="21"/>
                <w:szCs w:val="21"/>
                <w:highlight w:val="none"/>
                <w:lang w:bidi="ar"/>
              </w:rPr>
            </w:r>
            <w:r/>
          </w:p>
          <w:p>
            <w:pPr>
              <w:pStyle w:val="953"/>
              <w:jc w:val="left"/>
              <w:widowControl/>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 xml:space="preserve">3.培训体系针对性不足，人才能力提升与产业需求存在差距。文旅融合培训班仅覆盖60人次，且课程以“政策解读、数字营销、IP开发”为主，缺乏“招商谈判技巧、产业链整合、新兴业态（如AIGC、元宇宙文旅）实操”等针对性内容。原因分析：培训需求调研不充分，未结合太仓文体旅产业当前的核心痛点设计课程。</w:t>
            </w:r>
            <w:r>
              <w:rPr>
                <w:rFonts w:hint="eastAsia" w:ascii="仿宋" w:hAnsi="仿宋" w:eastAsia="仿宋" w:cs="仿宋"/>
                <w:color w:val="000000"/>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53"/>
              <w:jc w:val="left"/>
              <w:widowControl/>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 xml:space="preserve">七、进一步加强项目管理的建议</w:t>
            </w:r>
            <w:r>
              <w:rPr>
                <w:rFonts w:hint="eastAsia" w:ascii="仿宋" w:hAnsi="仿宋" w:eastAsia="仿宋" w:cs="仿宋"/>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939" w:type="dxa"/>
            <w:vAlign w:val="center"/>
            <w:textDirection w:val="lrTb"/>
            <w:noWrap w:val="false"/>
          </w:tcPr>
          <w:p>
            <w:pPr>
              <w:pStyle w:val="953"/>
              <w:jc w:val="left"/>
              <w:widowControl/>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 xml:space="preserve">针对上述问题，结合文体旅产业“引育并举、产融互促”的核心目标，提出以下优化建议：</w:t>
            </w:r>
            <w:r>
              <w:rPr>
                <w:rFonts w:hint="eastAsia" w:ascii="仿宋" w:hAnsi="仿宋" w:eastAsia="仿宋" w:cs="仿宋"/>
                <w:color w:val="000000"/>
                <w:sz w:val="21"/>
                <w:szCs w:val="21"/>
                <w:highlight w:val="none"/>
                <w:lang w:bidi="ar"/>
              </w:rPr>
            </w:r>
            <w:r/>
          </w:p>
          <w:p>
            <w:pPr>
              <w:pStyle w:val="953"/>
              <w:jc w:val="left"/>
              <w:widowControl/>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 xml:space="preserve">1.优化资金结构，强化“品牌-转化”双轮驱动。调整资金投向招商对接会等核心业务，确保“品牌曝光”与“资源落地”同步推进。</w:t>
            </w:r>
            <w:r>
              <w:rPr>
                <w:rFonts w:hint="eastAsia" w:ascii="仿宋" w:hAnsi="仿宋" w:eastAsia="仿宋" w:cs="仿宋"/>
                <w:color w:val="000000"/>
                <w:sz w:val="21"/>
                <w:szCs w:val="21"/>
                <w:highlight w:val="none"/>
                <w:lang w:bidi="ar"/>
              </w:rPr>
            </w:r>
            <w:r/>
          </w:p>
          <w:p>
            <w:pPr>
              <w:pStyle w:val="953"/>
              <w:jc w:val="left"/>
              <w:widowControl/>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 xml:space="preserve">2.深化精准招商，提升资源转化效率。明确数字娱乐（如游戏研发引擎）、影视（如后期制作基地）、音乐等领域的“急需资源”，建立“目标企业清单”。针对入驻企业成立“一对一服务小组”，提供“政策兑现指引、产业链配套对接、市场拓展支持推动企业从“注册落地”转向“实质运营”。</w:t>
            </w:r>
            <w:r>
              <w:rPr>
                <w:rFonts w:hint="eastAsia" w:ascii="仿宋" w:hAnsi="仿宋" w:eastAsia="仿宋" w:cs="仿宋"/>
                <w:color w:val="000000"/>
                <w:sz w:val="21"/>
                <w:szCs w:val="21"/>
                <w:highlight w:val="none"/>
                <w:lang w:bidi="ar"/>
              </w:rPr>
            </w:r>
            <w:r/>
          </w:p>
          <w:p>
            <w:pPr>
              <w:pStyle w:val="953"/>
              <w:jc w:val="left"/>
              <w:widowControl/>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 xml:space="preserve">3.升级培训体系，匹配产业实战需求。结合太仓产业痛点，增设“招商谈判技巧（如针对头部企业的‘利益点挖掘’）、产业链整合（如数字娱乐与本地制造业的跨界融合）等模块；邀请“头部企业招商负责人、本地成功落地企业创始人”担任实战讲师，跟踪参培人员的招商线索数量、落地项目贡献度）。</w:t>
            </w:r>
            <w:r>
              <w:rPr>
                <w:rFonts w:hint="eastAsia" w:ascii="仿宋" w:hAnsi="仿宋" w:eastAsia="仿宋" w:cs="仿宋"/>
                <w:color w:val="000000"/>
                <w:sz w:val="21"/>
                <w:szCs w:val="21"/>
                <w:highlight w:val="none"/>
                <w:lang w:bidi="ar"/>
              </w:rPr>
            </w:r>
            <w:r/>
          </w:p>
        </w:tc>
      </w:tr>
    </w:tbl>
    <w:p>
      <w:pPr>
        <w:pStyle w:val="953"/>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53"/>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采购包</w:t>
      </w:r>
      <w:r>
        <w:rPr>
          <w:rFonts w:hint="eastAsia" w:ascii="仿宋" w:hAnsi="仿宋" w:eastAsia="仿宋" w:cs="仿宋"/>
          <w:b/>
          <w:bCs/>
          <w:color w:val="000000"/>
          <w:sz w:val="24"/>
          <w:szCs w:val="24"/>
          <w:highlight w:val="none"/>
          <w:lang w:val="en-US" w:eastAsia="zh-CN"/>
        </w:rPr>
        <w:t xml:space="preserve">4</w:t>
      </w:r>
      <w:r>
        <w:rPr>
          <w:rFonts w:hint="eastAsia" w:ascii="仿宋" w:hAnsi="仿宋" w:eastAsia="仿宋" w:cs="仿宋"/>
          <w:b/>
          <w:bCs/>
          <w:color w:val="000000"/>
          <w:sz w:val="24"/>
          <w:szCs w:val="24"/>
          <w:highlight w:val="none"/>
        </w:rPr>
        <w:t xml:space="preserve">服务要求：</w:t>
      </w:r>
      <w:r>
        <w:rPr>
          <w:rFonts w:hint="eastAsia" w:ascii="仿宋" w:hAnsi="仿宋" w:eastAsia="仿宋" w:cs="仿宋"/>
          <w:b/>
          <w:bCs/>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（1）根据时间安排提前阅读绩效评价项目自评表和自评报告，了解具体业务内容，明确复核重点。</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现场复核时，按现场数据复核程序规范取证确认。做好财务收支、定性和定量指标的复核，复核底稿需标注数据来源、索引标记及计算过程；确认问卷调查结果；需要做访谈的，做好书面访谈记录。复核后的绩效数据一般情况下需在现场取得被审核单位盖章确认。复核结束后，要告知被复核单位复核情况但不得提供复核分数。</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（3）尽可能不增加被复核单位的工作量，如存在差异或争议，不能与其发生冲突，沟通后再与被复核单位确认。</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（4）所有参加复核的人员负有保密义务。</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复核结束后出具复核汇总报告。汇总报告应突出重点、简明扼要，主要分析项目实际完成情况及与预定目标的差异，反映项目绩效管理过程中存在的问题和不足，提出进一步改进绩效评价指标、提高自评报告质量的建议，对于指标质量较差的项目需在总报告中分项目提出指标设置建议。</w:t>
      </w:r>
      <w:r>
        <w:rPr>
          <w:rFonts w:hint="eastAsia" w:ascii="仿宋" w:hAnsi="仿宋" w:eastAsia="仿宋" w:cs="仿宋"/>
          <w:color w:val="000000"/>
          <w:sz w:val="24"/>
          <w:szCs w:val="24"/>
          <w:highlight w:val="none"/>
        </w:rPr>
      </w:r>
      <w:r/>
    </w:p>
    <w:p>
      <w:pPr>
        <w:pStyle w:val="953"/>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采购包</w:t>
      </w:r>
      <w:r>
        <w:rPr>
          <w:rFonts w:hint="eastAsia" w:ascii="仿宋" w:hAnsi="仿宋" w:eastAsia="仿宋" w:cs="仿宋"/>
          <w:b/>
          <w:bCs/>
          <w:color w:val="000000"/>
          <w:sz w:val="24"/>
          <w:szCs w:val="24"/>
          <w:highlight w:val="none"/>
          <w:lang w:val="en-US" w:eastAsia="zh-CN"/>
        </w:rPr>
        <w:t xml:space="preserve">5、6、7</w:t>
      </w:r>
      <w:r>
        <w:rPr>
          <w:rFonts w:hint="eastAsia" w:ascii="仿宋" w:hAnsi="仿宋" w:eastAsia="仿宋" w:cs="仿宋"/>
          <w:b/>
          <w:bCs/>
          <w:color w:val="000000"/>
          <w:sz w:val="24"/>
          <w:szCs w:val="24"/>
          <w:highlight w:val="none"/>
        </w:rPr>
        <w:t xml:space="preserve">服务内容：监督协审服务</w:t>
      </w:r>
      <w:r>
        <w:rPr>
          <w:rFonts w:hint="eastAsia" w:ascii="仿宋" w:hAnsi="仿宋" w:eastAsia="仿宋" w:cs="仿宋"/>
          <w:b/>
          <w:bCs/>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太仓市市级财政支出项目等监督协审服务</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为太仓市市级财政支出项目提供全流程监督协审服务，包括预算审核、资金使用监督、项目结算核查及绩效评价等专业协审工作。</w:t>
      </w:r>
      <w:r>
        <w:rPr>
          <w:rFonts w:hint="eastAsia" w:ascii="仿宋" w:hAnsi="仿宋" w:eastAsia="仿宋" w:cs="仿宋"/>
          <w:color w:val="000000"/>
          <w:sz w:val="24"/>
          <w:szCs w:val="24"/>
          <w:highlight w:val="none"/>
        </w:rPr>
      </w:r>
      <w:r/>
    </w:p>
    <w:p>
      <w:pPr>
        <w:pStyle w:val="953"/>
        <w:ind w:firstLine="482"/>
        <w:keepLines w:val="0"/>
        <w:keepNext w:val="0"/>
        <w:pageBreakBefore w:val="0"/>
        <w:spacing w:before="181"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采购包</w:t>
      </w:r>
      <w:r>
        <w:rPr>
          <w:rFonts w:hint="eastAsia" w:ascii="仿宋" w:hAnsi="仿宋" w:eastAsia="仿宋" w:cs="仿宋"/>
          <w:b/>
          <w:bCs/>
          <w:color w:val="000000"/>
          <w:sz w:val="24"/>
          <w:szCs w:val="24"/>
          <w:highlight w:val="none"/>
          <w:lang w:val="en-US" w:eastAsia="zh-CN"/>
        </w:rPr>
        <w:t xml:space="preserve">5、6、7</w:t>
      </w:r>
      <w:r>
        <w:rPr>
          <w:rFonts w:hint="eastAsia" w:ascii="仿宋" w:hAnsi="仿宋" w:eastAsia="仿宋" w:cs="仿宋"/>
          <w:b/>
          <w:bCs/>
          <w:color w:val="000000"/>
          <w:sz w:val="24"/>
          <w:szCs w:val="24"/>
          <w:highlight w:val="none"/>
        </w:rPr>
        <w:t xml:space="preserve">服务要求：</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审计中介机构根据采购单位的具体要求依法执业、客观公正地出具审计报告等鉴证材料、严格履行保密义务。</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接受委托的审计中介机构应确保审计质量，按时完成审计工作。审计工作应当严格遵守国家的有关法律、法规、制度规定及有关执业规范要求。审计中介机构对审计意见的真实性、完整性、可靠性负责。审计中介机构的审计报告只向委托单位和被审计单位提供，不得自行提供给其他单位。对提供不实或内容虚假的审计结果以及自行对外提供审计报告的，除由审计中介机构自行承担责任外，委托单位可采取必要措施终止委托，情节严重的，依法提请有关部门追究审计单位和相关责任人的行政及法律责任。</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审计中介机构根据委托审计协议书的要求独立开展审计工作。对在审计过程中发现由于被审单位提供的送审资料不全，且由于补送资料不及时而严重影响审计进度的，由审计中介机构提出要求延长审计时间的书面申请，经委托单位核准后给予调整审计时间。</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审计中介机构应接受委托单位的业务指导。对审计工作中出现重大分歧而又确需协调解决的问题，由审计中介机构提出书面意见（应附调查取证资料、建议处理方案以及相关单位意见）报委托单位，委托单位将会同有关单位共同核实资料和具体情况，经研究达成的处理意见，由审计中介机构在其审计报告中调整，对其分歧较大影响审计进度的，由审计中介机构提出要求调整审计时间的书面申请，经委托单位核准后给予调整审计时间。</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审计中介机构向委托单位出具专项审计报告，应有被审单位、具体审计人员、审计中介机构负责人签字盖章确认的书面意见。</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审计中介机构要对各单位提供证据的真实性、可靠性、合法性进行核实确认。对被审计单位提供的文本材料上法人代表签字，相关责任人签字进行核实确认。</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委托单位通知单位进行账务处理的，审计中介机构应督促单位进行账务处理，并将账务处理的结果附在审计报告后。</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审计中介机构应加强对审计资料的保管。审计中介机构在完成项目审计后，应按委托单位的要求对审计资料存档保管，对档案管理不完善的审计中介机构将予以警告直至不再对其进行委托。</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供应商需根据采购需求，编制完整的审计工作方案，方案应当包括以下内容：总体工作思路；工作目标及任务；工作策略及具体措施；审计程序和审计方法；日常审计项目工作计划。</w:t>
      </w:r>
      <w:r>
        <w:rPr>
          <w:rFonts w:hint="eastAsia" w:ascii="仿宋" w:hAnsi="仿宋" w:eastAsia="仿宋" w:cs="仿宋"/>
          <w:color w:val="000000"/>
          <w:sz w:val="24"/>
          <w:szCs w:val="24"/>
          <w:highlight w:val="none"/>
        </w:rPr>
      </w:r>
      <w:r/>
    </w:p>
    <w:p>
      <w:pPr>
        <w:pStyle w:val="953"/>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（三）项目组配置要求</w:t>
      </w:r>
      <w:r>
        <w:rPr>
          <w:rFonts w:hint="eastAsia" w:ascii="仿宋" w:hAnsi="仿宋" w:eastAsia="仿宋" w:cs="仿宋"/>
          <w:b/>
          <w:bCs/>
          <w:color w:val="000000"/>
          <w:sz w:val="24"/>
          <w:szCs w:val="24"/>
          <w:highlight w:val="none"/>
        </w:rPr>
      </w:r>
      <w:r/>
    </w:p>
    <w:p>
      <w:pPr>
        <w:pStyle w:val="953"/>
        <w:ind w:left="0" w:firstLine="422"/>
        <w:spacing w:line="360" w:lineRule="auto"/>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响应单位的响应文件中，需提供拟派项目组人员，</w:t>
      </w:r>
      <w:r>
        <w:rPr>
          <w:rFonts w:hint="eastAsia" w:ascii="仿宋" w:hAnsi="仿宋" w:eastAsia="仿宋" w:cs="仿宋"/>
          <w:b/>
          <w:color w:val="000000"/>
          <w:sz w:val="24"/>
          <w:szCs w:val="24"/>
          <w:highlight w:val="none"/>
          <w:lang w:val="en-US" w:eastAsia="zh-CN"/>
        </w:rPr>
        <w:t xml:space="preserve">采购包1</w:t>
      </w:r>
      <w:r>
        <w:rPr>
          <w:rFonts w:hint="eastAsia" w:ascii="仿宋" w:hAnsi="仿宋" w:eastAsia="仿宋" w:cs="仿宋"/>
          <w:b/>
          <w:color w:val="000000"/>
          <w:sz w:val="24"/>
          <w:szCs w:val="24"/>
          <w:highlight w:val="none"/>
        </w:rPr>
        <w:t xml:space="preserve">的服务项目团队不得低于</w:t>
      </w:r>
      <w:r>
        <w:rPr>
          <w:rFonts w:hint="eastAsia" w:ascii="仿宋" w:hAnsi="仿宋" w:eastAsia="仿宋" w:cs="仿宋"/>
          <w:b/>
          <w:color w:val="000000"/>
          <w:sz w:val="24"/>
          <w:szCs w:val="24"/>
          <w:highlight w:val="none"/>
          <w:lang w:val="en-US" w:eastAsia="zh-CN"/>
        </w:rPr>
        <w:t xml:space="preserve">6</w:t>
      </w:r>
      <w:r>
        <w:rPr>
          <w:rFonts w:hint="eastAsia" w:ascii="仿宋" w:hAnsi="仿宋" w:eastAsia="仿宋" w:cs="仿宋"/>
          <w:b/>
          <w:color w:val="000000"/>
          <w:sz w:val="24"/>
          <w:szCs w:val="24"/>
          <w:highlight w:val="none"/>
        </w:rPr>
        <w:t xml:space="preserve">人，固定服务成员不少于</w:t>
      </w:r>
      <w:r>
        <w:rPr>
          <w:rFonts w:hint="eastAsia" w:ascii="仿宋" w:hAnsi="仿宋" w:eastAsia="仿宋" w:cs="仿宋"/>
          <w:b/>
          <w:color w:val="000000"/>
          <w:sz w:val="24"/>
          <w:szCs w:val="24"/>
          <w:highlight w:val="none"/>
          <w:lang w:val="en-US" w:eastAsia="zh-CN"/>
        </w:rPr>
        <w:t xml:space="preserve">4</w:t>
      </w:r>
      <w:r>
        <w:rPr>
          <w:rFonts w:hint="eastAsia" w:ascii="仿宋" w:hAnsi="仿宋" w:eastAsia="仿宋" w:cs="仿宋"/>
          <w:b/>
          <w:color w:val="000000"/>
          <w:sz w:val="24"/>
          <w:szCs w:val="24"/>
          <w:highlight w:val="none"/>
        </w:rPr>
        <w:t xml:space="preserve">人</w:t>
      </w:r>
      <w:r>
        <w:rPr>
          <w:rFonts w:hint="eastAsia" w:ascii="仿宋" w:hAnsi="仿宋" w:eastAsia="仿宋" w:cs="仿宋"/>
          <w:b/>
          <w:color w:val="000000"/>
          <w:sz w:val="24"/>
          <w:szCs w:val="24"/>
          <w:highlight w:val="none"/>
        </w:rPr>
        <w:t xml:space="preserve">（固定成员</w:t>
      </w:r>
      <w:r>
        <w:rPr>
          <w:rFonts w:hint="eastAsia" w:ascii="仿宋" w:hAnsi="仿宋" w:eastAsia="仿宋" w:cs="仿宋"/>
          <w:b/>
          <w:sz w:val="24"/>
          <w:szCs w:val="24"/>
          <w:highlight w:val="none"/>
        </w:rPr>
        <w:t xml:space="preserve">须在第三章《项目服务人员配置表》中</w:t>
      </w:r>
      <w:r>
        <w:rPr>
          <w:rFonts w:hint="eastAsia" w:ascii="仿宋" w:hAnsi="仿宋" w:eastAsia="仿宋" w:cs="仿宋"/>
          <w:b/>
          <w:color w:val="000000"/>
          <w:sz w:val="24"/>
          <w:szCs w:val="24"/>
          <w:highlight w:val="none"/>
        </w:rPr>
        <w:t xml:space="preserve">打★）；</w:t>
      </w:r>
      <w:r>
        <w:rPr>
          <w:rFonts w:hint="eastAsia" w:ascii="仿宋" w:hAnsi="仿宋" w:eastAsia="仿宋" w:cs="仿宋"/>
          <w:b/>
          <w:color w:val="000000"/>
          <w:sz w:val="24"/>
          <w:szCs w:val="24"/>
          <w:highlight w:val="none"/>
          <w:lang w:val="en-US" w:eastAsia="zh-CN"/>
        </w:rPr>
        <w:t xml:space="preserve">采购包2、3</w:t>
      </w:r>
      <w:r>
        <w:rPr>
          <w:rFonts w:hint="eastAsia" w:ascii="仿宋" w:hAnsi="仿宋" w:eastAsia="仿宋" w:cs="仿宋"/>
          <w:b/>
          <w:color w:val="000000"/>
          <w:sz w:val="24"/>
          <w:szCs w:val="24"/>
          <w:highlight w:val="none"/>
        </w:rPr>
        <w:t xml:space="preserve">的服务项目团队不得低于</w:t>
      </w:r>
      <w:r>
        <w:rPr>
          <w:rFonts w:hint="eastAsia" w:ascii="仿宋" w:hAnsi="仿宋" w:eastAsia="仿宋" w:cs="仿宋"/>
          <w:b/>
          <w:color w:val="000000"/>
          <w:sz w:val="24"/>
          <w:szCs w:val="24"/>
          <w:highlight w:val="none"/>
          <w:lang w:val="en-US" w:eastAsia="zh-CN"/>
        </w:rPr>
        <w:t xml:space="preserve">5</w:t>
      </w:r>
      <w:r>
        <w:rPr>
          <w:rFonts w:hint="eastAsia" w:ascii="仿宋" w:hAnsi="仿宋" w:eastAsia="仿宋" w:cs="仿宋"/>
          <w:b/>
          <w:color w:val="000000"/>
          <w:sz w:val="24"/>
          <w:szCs w:val="24"/>
          <w:highlight w:val="none"/>
        </w:rPr>
        <w:t xml:space="preserve">人，固定服务成员不少于</w:t>
      </w:r>
      <w:r>
        <w:rPr>
          <w:rFonts w:hint="eastAsia" w:ascii="仿宋" w:hAnsi="仿宋" w:eastAsia="仿宋" w:cs="仿宋"/>
          <w:b/>
          <w:color w:val="000000"/>
          <w:sz w:val="24"/>
          <w:szCs w:val="24"/>
          <w:highlight w:val="none"/>
          <w:lang w:val="en-US" w:eastAsia="zh-CN"/>
        </w:rPr>
        <w:t xml:space="preserve">3</w:t>
      </w:r>
      <w:r>
        <w:rPr>
          <w:rFonts w:hint="eastAsia" w:ascii="仿宋" w:hAnsi="仿宋" w:eastAsia="仿宋" w:cs="仿宋"/>
          <w:b/>
          <w:color w:val="000000"/>
          <w:sz w:val="24"/>
          <w:szCs w:val="24"/>
          <w:highlight w:val="none"/>
        </w:rPr>
        <w:t xml:space="preserve">人</w:t>
      </w:r>
      <w:r>
        <w:rPr>
          <w:rFonts w:hint="eastAsia" w:ascii="仿宋" w:hAnsi="仿宋" w:eastAsia="仿宋" w:cs="仿宋"/>
          <w:b/>
          <w:color w:val="000000"/>
          <w:sz w:val="24"/>
          <w:szCs w:val="24"/>
          <w:highlight w:val="none"/>
        </w:rPr>
        <w:t xml:space="preserve">（固定成员</w:t>
      </w:r>
      <w:r>
        <w:rPr>
          <w:rFonts w:hint="eastAsia" w:ascii="仿宋" w:hAnsi="仿宋" w:eastAsia="仿宋" w:cs="仿宋"/>
          <w:b/>
          <w:sz w:val="24"/>
          <w:szCs w:val="24"/>
          <w:highlight w:val="none"/>
        </w:rPr>
        <w:t xml:space="preserve">须在第三章.《项目服务人员配置表》中</w:t>
      </w:r>
      <w:r>
        <w:rPr>
          <w:rFonts w:hint="eastAsia" w:ascii="仿宋" w:hAnsi="仿宋" w:eastAsia="仿宋" w:cs="仿宋"/>
          <w:b/>
          <w:color w:val="000000"/>
          <w:sz w:val="24"/>
          <w:szCs w:val="24"/>
          <w:highlight w:val="none"/>
        </w:rPr>
        <w:t xml:space="preserve">打★）</w:t>
      </w:r>
      <w:r>
        <w:rPr>
          <w:rFonts w:hint="eastAsia" w:ascii="仿宋" w:hAnsi="仿宋" w:eastAsia="仿宋" w:cs="仿宋"/>
          <w:b/>
          <w:color w:val="000000"/>
          <w:sz w:val="24"/>
          <w:szCs w:val="24"/>
          <w:highlight w:val="none"/>
          <w:lang w:val="zh-CN"/>
        </w:rPr>
        <w:t xml:space="preserve">。</w:t>
      </w:r>
      <w:r>
        <w:rPr>
          <w:rFonts w:hint="eastAsia" w:ascii="仿宋" w:hAnsi="仿宋" w:eastAsia="仿宋" w:cs="仿宋"/>
          <w:b/>
          <w:color w:val="000000"/>
          <w:sz w:val="24"/>
          <w:szCs w:val="24"/>
          <w:highlight w:val="none"/>
          <w:lang w:val="en-US" w:eastAsia="zh-CN"/>
        </w:rPr>
        <w:t xml:space="preserve">采购包4</w:t>
      </w:r>
      <w:r>
        <w:rPr>
          <w:rFonts w:hint="eastAsia" w:ascii="仿宋" w:hAnsi="仿宋" w:eastAsia="仿宋" w:cs="仿宋"/>
          <w:b/>
          <w:color w:val="000000"/>
          <w:sz w:val="24"/>
          <w:szCs w:val="24"/>
          <w:highlight w:val="none"/>
        </w:rPr>
        <w:t xml:space="preserve">的服务项目团队不得低于</w:t>
      </w:r>
      <w:r>
        <w:rPr>
          <w:rFonts w:hint="eastAsia" w:ascii="仿宋" w:hAnsi="仿宋" w:eastAsia="仿宋" w:cs="仿宋"/>
          <w:b/>
          <w:color w:val="000000"/>
          <w:sz w:val="24"/>
          <w:szCs w:val="24"/>
          <w:highlight w:val="none"/>
          <w:lang w:val="en-US" w:eastAsia="zh-CN"/>
        </w:rPr>
        <w:t xml:space="preserve">4</w:t>
      </w:r>
      <w:r>
        <w:rPr>
          <w:rFonts w:hint="eastAsia" w:ascii="仿宋" w:hAnsi="仿宋" w:eastAsia="仿宋" w:cs="仿宋"/>
          <w:b/>
          <w:color w:val="000000"/>
          <w:sz w:val="24"/>
          <w:szCs w:val="24"/>
          <w:highlight w:val="none"/>
        </w:rPr>
        <w:t xml:space="preserve">人，固定服务成员不少于</w:t>
      </w:r>
      <w:r>
        <w:rPr>
          <w:rFonts w:hint="eastAsia" w:ascii="仿宋" w:hAnsi="仿宋" w:eastAsia="仿宋" w:cs="仿宋"/>
          <w:b/>
          <w:color w:val="000000"/>
          <w:sz w:val="24"/>
          <w:szCs w:val="24"/>
          <w:highlight w:val="none"/>
          <w:lang w:val="en-US" w:eastAsia="zh-CN"/>
        </w:rPr>
        <w:t xml:space="preserve">2</w:t>
      </w:r>
      <w:r>
        <w:rPr>
          <w:rFonts w:hint="eastAsia" w:ascii="仿宋" w:hAnsi="仿宋" w:eastAsia="仿宋" w:cs="仿宋"/>
          <w:b/>
          <w:color w:val="000000"/>
          <w:sz w:val="24"/>
          <w:szCs w:val="24"/>
          <w:highlight w:val="none"/>
        </w:rPr>
        <w:t xml:space="preserve">人</w:t>
      </w:r>
      <w:r>
        <w:rPr>
          <w:rFonts w:hint="eastAsia" w:ascii="仿宋" w:hAnsi="仿宋" w:eastAsia="仿宋" w:cs="仿宋"/>
          <w:b/>
          <w:color w:val="000000"/>
          <w:sz w:val="24"/>
          <w:szCs w:val="24"/>
          <w:highlight w:val="none"/>
        </w:rPr>
        <w:t xml:space="preserve">（固定成员</w:t>
      </w:r>
      <w:r>
        <w:rPr>
          <w:rFonts w:hint="eastAsia" w:ascii="仿宋" w:hAnsi="仿宋" w:eastAsia="仿宋" w:cs="仿宋"/>
          <w:b/>
          <w:sz w:val="24"/>
          <w:szCs w:val="24"/>
          <w:highlight w:val="none"/>
        </w:rPr>
        <w:t xml:space="preserve">须在第三章.《项目服务人员配置表》中</w:t>
      </w:r>
      <w:r>
        <w:rPr>
          <w:rFonts w:hint="eastAsia" w:ascii="仿宋" w:hAnsi="仿宋" w:eastAsia="仿宋" w:cs="仿宋"/>
          <w:b/>
          <w:color w:val="000000"/>
          <w:sz w:val="24"/>
          <w:szCs w:val="24"/>
          <w:highlight w:val="none"/>
        </w:rPr>
        <w:t xml:space="preserve">打★）</w:t>
      </w:r>
      <w:r>
        <w:rPr>
          <w:rFonts w:hint="eastAsia" w:ascii="仿宋" w:hAnsi="仿宋" w:eastAsia="仿宋" w:cs="仿宋"/>
          <w:b/>
          <w:color w:val="000000"/>
          <w:sz w:val="24"/>
          <w:szCs w:val="24"/>
          <w:highlight w:val="none"/>
          <w:lang w:val="zh-CN"/>
        </w:rPr>
        <w:t xml:space="preserve">。</w:t>
      </w:r>
      <w:r>
        <w:rPr>
          <w:rFonts w:hint="eastAsia" w:ascii="仿宋" w:hAnsi="仿宋" w:eastAsia="仿宋" w:cs="仿宋"/>
          <w:b/>
          <w:color w:val="000000"/>
          <w:sz w:val="24"/>
          <w:szCs w:val="24"/>
          <w:highlight w:val="none"/>
          <w:lang w:val="en-US" w:eastAsia="zh-CN"/>
        </w:rPr>
        <w:t xml:space="preserve">采购包5、6、7的</w:t>
      </w:r>
      <w:r>
        <w:rPr>
          <w:rFonts w:hint="eastAsia" w:ascii="仿宋" w:hAnsi="仿宋" w:eastAsia="仿宋" w:cs="仿宋"/>
          <w:b/>
          <w:color w:val="000000"/>
          <w:sz w:val="24"/>
          <w:szCs w:val="24"/>
          <w:highlight w:val="none"/>
          <w:lang w:val="zh-CN"/>
        </w:rPr>
        <w:t xml:space="preserve">响应人须为本项目拟派充足的财务从业人员，确保项目顺利实施。财务从业人员是指按照行业相关规定，具备会计专业服务能力，熟悉掌握《预算法》《会计法》《审计法》，具备一定会计从业经验的财务从业人员，</w:t>
      </w:r>
      <w:r>
        <w:rPr>
          <w:rFonts w:hint="eastAsia" w:ascii="仿宋" w:hAnsi="仿宋" w:eastAsia="仿宋" w:cs="仿宋"/>
          <w:b/>
          <w:color w:val="000000"/>
          <w:sz w:val="24"/>
          <w:szCs w:val="24"/>
          <w:highlight w:val="none"/>
          <w:lang w:val="en-US" w:eastAsia="zh-CN"/>
        </w:rPr>
        <w:t xml:space="preserve">各采购包服务项目团队不得低于</w:t>
      </w:r>
      <w:r>
        <w:rPr>
          <w:rFonts w:hint="eastAsia" w:ascii="仿宋" w:hAnsi="仿宋" w:eastAsia="仿宋" w:cs="仿宋"/>
          <w:b/>
          <w:color w:val="000000"/>
          <w:sz w:val="24"/>
          <w:szCs w:val="24"/>
          <w:highlight w:val="none"/>
          <w:lang w:val="zh-CN"/>
        </w:rPr>
        <w:t xml:space="preserve">4人，其中至少1人为注册会计师。</w:t>
      </w:r>
      <w:r>
        <w:rPr>
          <w:rFonts w:hint="eastAsia" w:ascii="仿宋" w:hAnsi="仿宋" w:eastAsia="仿宋" w:cs="仿宋"/>
          <w:b/>
          <w:color w:val="000000"/>
          <w:sz w:val="24"/>
          <w:szCs w:val="24"/>
          <w:highlight w:val="none"/>
          <w:lang w:val="zh-CN"/>
        </w:rPr>
      </w:r>
      <w:r/>
    </w:p>
    <w:p>
      <w:pPr>
        <w:pStyle w:val="953"/>
        <w:ind w:left="0" w:firstLine="42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zh-CN"/>
        </w:rPr>
        <w:t xml:space="preserve">上述固定成员在成交后不得变更；响应单位提供的项目组成员同时出现在两家及以上的，若涉及提供虚假材料将按照《中华人民共和国政府采购法》第七十七</w:t>
      </w:r>
      <w:r>
        <w:rPr>
          <w:rFonts w:hint="eastAsia" w:ascii="仿宋" w:hAnsi="仿宋" w:eastAsia="仿宋" w:cs="仿宋"/>
          <w:b/>
          <w:color w:val="000000"/>
          <w:sz w:val="24"/>
          <w:szCs w:val="24"/>
          <w:highlight w:val="none"/>
        </w:rPr>
        <w:t xml:space="preserve">条</w:t>
      </w:r>
      <w:r>
        <w:rPr>
          <w:rFonts w:hint="eastAsia" w:ascii="仿宋" w:hAnsi="仿宋" w:eastAsia="仿宋" w:cs="仿宋"/>
          <w:b/>
          <w:color w:val="000000"/>
          <w:sz w:val="24"/>
          <w:szCs w:val="24"/>
          <w:highlight w:val="none"/>
          <w:lang w:val="zh-CN"/>
        </w:rPr>
        <w:t xml:space="preserve">执行。</w:t>
      </w:r>
      <w:r>
        <w:rPr>
          <w:rFonts w:hint="eastAsia" w:ascii="仿宋" w:hAnsi="仿宋" w:eastAsia="仿宋" w:cs="仿宋"/>
          <w:b/>
          <w:sz w:val="24"/>
          <w:szCs w:val="24"/>
          <w:highlight w:val="none"/>
        </w:rPr>
        <w:t xml:space="preserve">响应单位不得提供退休人员，若提供退休人员视为未实质性响应采购需求。</w:t>
      </w:r>
      <w:r>
        <w:rPr>
          <w:rFonts w:hint="eastAsia" w:ascii="仿宋" w:hAnsi="仿宋" w:eastAsia="仿宋" w:cs="仿宋"/>
          <w:b/>
          <w:color w:val="000000"/>
          <w:sz w:val="24"/>
          <w:szCs w:val="24"/>
          <w:highlight w:val="none"/>
        </w:rPr>
      </w:r>
      <w:r/>
    </w:p>
    <w:p>
      <w:pPr>
        <w:pStyle w:val="953"/>
        <w:ind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上述项目负责人、主评人和固定成员为实质性响应条款，不满足视为无效响应。</w:t>
      </w:r>
      <w:r>
        <w:rPr>
          <w:rFonts w:hint="eastAsia" w:ascii="仿宋" w:hAnsi="仿宋" w:eastAsia="仿宋" w:cs="仿宋"/>
          <w:b/>
          <w:bCs/>
          <w:color w:val="000000"/>
          <w:sz w:val="24"/>
          <w:szCs w:val="24"/>
          <w:highlight w:val="none"/>
        </w:rPr>
      </w:r>
      <w:r/>
    </w:p>
    <w:p>
      <w:pPr>
        <w:pStyle w:val="953"/>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（四）报价要求</w:t>
      </w:r>
      <w:r>
        <w:rPr>
          <w:rFonts w:hint="eastAsia" w:ascii="仿宋" w:hAnsi="仿宋" w:eastAsia="仿宋" w:cs="仿宋"/>
          <w:b/>
          <w:bCs/>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1、以人民币报价，报价按采购文件所要求的全部项目报价，含为完成本项目所需的全部费用。</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rPr>
          <w:rFonts w:hint="eastAsia" w:ascii="仿宋" w:hAnsi="仿宋" w:eastAsia="仿宋" w:cs="仿宋"/>
          <w:color w:val="000000"/>
          <w:sz w:val="24"/>
          <w:szCs w:val="24"/>
          <w:highlight w:val="none"/>
          <w:lang w:val="zh-CN"/>
        </w:rPr>
      </w:r>
      <w:r/>
    </w:p>
    <w:p>
      <w:pPr>
        <w:pStyle w:val="953"/>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（五）项目支付</w:t>
      </w:r>
      <w:r>
        <w:rPr>
          <w:rFonts w:hint="eastAsia" w:ascii="仿宋" w:hAnsi="仿宋" w:eastAsia="仿宋" w:cs="仿宋"/>
          <w:b/>
          <w:bCs/>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签订后，乙方开具增值税发票，甲方在收到乙方的发票后60日内支付合同总价的10%作为预付款；全部工作内容完成验收通过后根据考核结果一次性付清余款，乙方根据考核结果开具增值税发票，甲方在收到乙方的发票后60日内支付余款。</w:t>
      </w:r>
      <w:r>
        <w:rPr>
          <w:rFonts w:hint="eastAsia" w:ascii="仿宋" w:hAnsi="仿宋" w:eastAsia="仿宋" w:cs="仿宋"/>
          <w:color w:val="000000"/>
          <w:sz w:val="24"/>
          <w:szCs w:val="24"/>
          <w:highlight w:val="none"/>
        </w:rPr>
      </w:r>
      <w:r/>
    </w:p>
    <w:p>
      <w:pPr>
        <w:pStyle w:val="953"/>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（六）考核标准</w:t>
      </w:r>
      <w:r>
        <w:rPr>
          <w:rFonts w:hint="eastAsia" w:ascii="仿宋" w:hAnsi="仿宋" w:eastAsia="仿宋" w:cs="仿宋"/>
          <w:b/>
          <w:bCs/>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采购包1、2、3、4</w:t>
      </w:r>
      <w:r>
        <w:rPr>
          <w:rFonts w:hint="eastAsia" w:ascii="仿宋" w:hAnsi="仿宋" w:eastAsia="仿宋" w:cs="仿宋"/>
          <w:color w:val="000000"/>
          <w:sz w:val="24"/>
          <w:szCs w:val="24"/>
          <w:highlight w:val="none"/>
        </w:rPr>
        <w:t xml:space="preserve">考核按照《太仓市财政局委托第三方机构参与预算绩效管理业务质量考核办法》执行</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采购包5、6、7考核按照</w:t>
      </w:r>
      <w:r>
        <w:rPr>
          <w:rFonts w:hint="eastAsia" w:ascii="仿宋" w:hAnsi="仿宋" w:eastAsia="仿宋" w:cs="仿宋"/>
          <w:color w:val="000000"/>
          <w:sz w:val="24"/>
          <w:szCs w:val="24"/>
          <w:highlight w:val="none"/>
          <w:lang w:val="en-US" w:eastAsia="zh-CN"/>
        </w:rPr>
        <w:t xml:space="preserve">《太仓市财政监督协审单位考核办法（修订稿）》</w:t>
      </w:r>
      <w:r>
        <w:rPr>
          <w:rFonts w:hint="eastAsia" w:ascii="仿宋" w:hAnsi="仿宋" w:eastAsia="仿宋" w:cs="仿宋"/>
          <w:color w:val="000000"/>
          <w:sz w:val="24"/>
          <w:szCs w:val="24"/>
          <w:highlight w:val="none"/>
          <w:lang w:val="en-US" w:eastAsia="zh-CN"/>
        </w:rPr>
        <w:t xml:space="preserve">执行</w:t>
      </w:r>
      <w:r>
        <w:rPr>
          <w:rFonts w:hint="eastAsia" w:ascii="仿宋" w:hAnsi="仿宋" w:eastAsia="仿宋" w:cs="仿宋"/>
          <w:color w:val="000000"/>
          <w:sz w:val="24"/>
          <w:szCs w:val="24"/>
          <w:highlight w:val="none"/>
        </w:rPr>
        <w:t xml:space="preserve">（详见合同附件）。</w:t>
      </w:r>
      <w:r>
        <w:rPr>
          <w:rFonts w:hint="eastAsia" w:ascii="仿宋" w:hAnsi="仿宋" w:eastAsia="仿宋" w:cs="仿宋"/>
          <w:color w:val="000000"/>
          <w:sz w:val="24"/>
          <w:szCs w:val="24"/>
          <w:highlight w:val="none"/>
        </w:rPr>
      </w:r>
      <w:r/>
    </w:p>
    <w:p>
      <w:pPr>
        <w:pStyle w:val="953"/>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（七）项目验收</w:t>
      </w:r>
      <w:r>
        <w:rPr>
          <w:rFonts w:hint="eastAsia" w:ascii="仿宋" w:hAnsi="仿宋" w:eastAsia="仿宋" w:cs="仿宋"/>
          <w:b/>
          <w:bCs/>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lang w:val="zh-TW"/>
        </w:rPr>
      </w:pPr>
      <w:r>
        <w:rPr>
          <w:rFonts w:hint="eastAsia" w:ascii="仿宋" w:hAnsi="仿宋" w:eastAsia="仿宋" w:cs="仿宋"/>
          <w:color w:val="000000"/>
          <w:sz w:val="24"/>
          <w:szCs w:val="24"/>
          <w:highlight w:val="none"/>
          <w:lang w:val="zh-TW"/>
        </w:rPr>
        <w:t xml:space="preserve">1、履约验收的实施主体：</w:t>
      </w:r>
      <w:r>
        <w:rPr>
          <w:rFonts w:hint="eastAsia" w:ascii="仿宋" w:hAnsi="仿宋" w:eastAsia="仿宋" w:cs="仿宋"/>
          <w:color w:val="000000"/>
          <w:sz w:val="24"/>
          <w:szCs w:val="24"/>
          <w:highlight w:val="none"/>
        </w:rPr>
        <w:t xml:space="preserve">太仓市财政局</w:t>
      </w:r>
      <w:r>
        <w:rPr>
          <w:rFonts w:hint="eastAsia" w:ascii="仿宋" w:hAnsi="仿宋" w:eastAsia="仿宋" w:cs="仿宋"/>
          <w:color w:val="000000"/>
          <w:sz w:val="24"/>
          <w:szCs w:val="24"/>
          <w:highlight w:val="none"/>
          <w:lang w:val="zh-TW"/>
        </w:rPr>
        <w:t xml:space="preserve">。</w:t>
      </w:r>
      <w:r>
        <w:rPr>
          <w:rFonts w:hint="eastAsia" w:ascii="仿宋" w:hAnsi="仿宋" w:eastAsia="仿宋" w:cs="仿宋"/>
          <w:color w:val="000000"/>
          <w:sz w:val="24"/>
          <w:szCs w:val="24"/>
          <w:highlight w:val="none"/>
          <w:lang w:val="zh-TW"/>
        </w:rPr>
      </w:r>
      <w:r/>
    </w:p>
    <w:p>
      <w:pPr>
        <w:pStyle w:val="953"/>
        <w:ind w:firstLine="480"/>
        <w:spacing w:line="360" w:lineRule="auto"/>
        <w:rPr>
          <w:rFonts w:hint="eastAsia" w:ascii="仿宋" w:hAnsi="仿宋" w:eastAsia="仿宋" w:cs="仿宋"/>
          <w:color w:val="000000"/>
          <w:sz w:val="24"/>
          <w:szCs w:val="24"/>
          <w:highlight w:val="none"/>
          <w:lang w:val="zh-TW"/>
        </w:rPr>
      </w:pPr>
      <w:r>
        <w:rPr>
          <w:rFonts w:hint="eastAsia" w:ascii="仿宋" w:hAnsi="仿宋" w:eastAsia="仿宋" w:cs="仿宋"/>
          <w:color w:val="000000"/>
          <w:sz w:val="24"/>
          <w:szCs w:val="24"/>
          <w:highlight w:val="none"/>
          <w:lang w:val="zh-TW"/>
        </w:rPr>
        <w:t xml:space="preserve">2、履约验收时间：</w:t>
      </w:r>
      <w:r>
        <w:rPr>
          <w:rFonts w:hint="eastAsia" w:ascii="仿宋" w:hAnsi="仿宋" w:eastAsia="仿宋" w:cs="仿宋"/>
          <w:color w:val="000000"/>
          <w:sz w:val="24"/>
          <w:szCs w:val="24"/>
          <w:highlight w:val="none"/>
        </w:rPr>
        <w:t xml:space="preserve">出具最终报告后</w:t>
      </w:r>
      <w:r>
        <w:rPr>
          <w:rFonts w:hint="eastAsia" w:ascii="仿宋" w:hAnsi="仿宋" w:eastAsia="仿宋" w:cs="仿宋"/>
          <w:color w:val="000000"/>
          <w:sz w:val="24"/>
          <w:szCs w:val="24"/>
          <w:highlight w:val="none"/>
          <w:lang w:val="zh-TW"/>
        </w:rPr>
        <w:t xml:space="preserve">。</w:t>
      </w:r>
      <w:r>
        <w:rPr>
          <w:rFonts w:hint="eastAsia" w:ascii="仿宋" w:hAnsi="仿宋" w:eastAsia="仿宋" w:cs="仿宋"/>
          <w:color w:val="000000"/>
          <w:sz w:val="24"/>
          <w:szCs w:val="24"/>
          <w:highlight w:val="none"/>
          <w:lang w:val="zh-TW"/>
        </w:rPr>
      </w:r>
      <w:r/>
    </w:p>
    <w:p>
      <w:pPr>
        <w:pStyle w:val="953"/>
        <w:ind w:firstLine="480"/>
        <w:spacing w:line="360" w:lineRule="auto"/>
        <w:rPr>
          <w:rFonts w:hint="eastAsia" w:ascii="仿宋" w:hAnsi="仿宋" w:eastAsia="仿宋" w:cs="仿宋"/>
          <w:color w:val="000000"/>
          <w:sz w:val="24"/>
          <w:szCs w:val="24"/>
          <w:highlight w:val="none"/>
          <w:lang w:val="zh-TW"/>
        </w:rPr>
      </w:pPr>
      <w:r>
        <w:rPr>
          <w:rFonts w:hint="eastAsia" w:ascii="仿宋" w:hAnsi="仿宋" w:eastAsia="仿宋" w:cs="仿宋"/>
          <w:color w:val="000000"/>
          <w:sz w:val="24"/>
          <w:szCs w:val="24"/>
          <w:highlight w:val="none"/>
          <w:lang w:val="zh-TW"/>
        </w:rPr>
        <w:t xml:space="preserve">3、履约验收方式：</w:t>
      </w:r>
      <w:r>
        <w:rPr>
          <w:rFonts w:hint="eastAsia" w:ascii="仿宋" w:hAnsi="仿宋" w:eastAsia="仿宋" w:cs="仿宋"/>
          <w:color w:val="000000"/>
          <w:sz w:val="24"/>
          <w:szCs w:val="24"/>
          <w:highlight w:val="none"/>
        </w:rPr>
        <w:t xml:space="preserve">整体成果验收</w:t>
      </w:r>
      <w:r>
        <w:rPr>
          <w:rFonts w:hint="eastAsia" w:ascii="仿宋" w:hAnsi="仿宋" w:eastAsia="仿宋" w:cs="仿宋"/>
          <w:color w:val="000000"/>
          <w:sz w:val="24"/>
          <w:szCs w:val="24"/>
          <w:highlight w:val="none"/>
          <w:lang w:val="zh-TW"/>
        </w:rPr>
        <w:t xml:space="preserve">。</w:t>
      </w:r>
      <w:r>
        <w:rPr>
          <w:rFonts w:hint="eastAsia" w:ascii="仿宋" w:hAnsi="仿宋" w:eastAsia="仿宋" w:cs="仿宋"/>
          <w:color w:val="000000"/>
          <w:sz w:val="24"/>
          <w:szCs w:val="24"/>
          <w:highlight w:val="none"/>
          <w:lang w:val="zh-TW"/>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4、验收</w:t>
      </w:r>
      <w:r>
        <w:rPr>
          <w:rFonts w:hint="eastAsia" w:ascii="仿宋" w:hAnsi="仿宋" w:eastAsia="仿宋" w:cs="仿宋"/>
          <w:color w:val="000000"/>
          <w:sz w:val="24"/>
          <w:szCs w:val="24"/>
          <w:highlight w:val="none"/>
          <w:lang w:val="zh-TW"/>
        </w:rPr>
        <w:t xml:space="preserve">内容</w:t>
      </w:r>
      <w:r>
        <w:rPr>
          <w:rFonts w:hint="eastAsia" w:ascii="仿宋" w:hAnsi="仿宋" w:eastAsia="仿宋" w:cs="仿宋"/>
          <w:color w:val="000000"/>
          <w:sz w:val="24"/>
          <w:szCs w:val="24"/>
          <w:highlight w:val="none"/>
        </w:rPr>
        <w:t xml:space="preserve">及标准</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lang w:val="zh-TW"/>
        </w:rPr>
      </w:pPr>
      <w:r>
        <w:rPr>
          <w:rFonts w:hint="eastAsia" w:ascii="仿宋" w:hAnsi="仿宋" w:eastAsia="仿宋" w:cs="仿宋"/>
          <w:color w:val="000000"/>
          <w:sz w:val="24"/>
          <w:szCs w:val="24"/>
          <w:highlight w:val="none"/>
          <w:lang w:val="zh-TW"/>
        </w:rPr>
        <w:t xml:space="preserve">（</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TW"/>
        </w:rPr>
        <w:t xml:space="preserve">）验收内容‌</w:t>
      </w:r>
      <w:r>
        <w:rPr>
          <w:rFonts w:hint="eastAsia" w:ascii="仿宋" w:hAnsi="仿宋" w:eastAsia="仿宋" w:cs="仿宋"/>
          <w:color w:val="000000"/>
          <w:sz w:val="24"/>
          <w:szCs w:val="24"/>
          <w:highlight w:val="none"/>
          <w:lang w:val="zh-TW"/>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1）对服务合同中约定的服务内容进行验收，确保各项服务均得到履行。</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2）对最终成果报告进行验收。</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lang w:val="zh-TW"/>
        </w:rPr>
      </w:pPr>
      <w:r>
        <w:rPr>
          <w:rFonts w:hint="eastAsia" w:ascii="仿宋" w:hAnsi="仿宋" w:eastAsia="仿宋" w:cs="仿宋"/>
          <w:color w:val="000000"/>
          <w:sz w:val="24"/>
          <w:szCs w:val="24"/>
          <w:highlight w:val="none"/>
          <w:lang w:val="zh-TW"/>
        </w:rPr>
        <w:t xml:space="preserve">（</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TW"/>
        </w:rPr>
        <w:t xml:space="preserve">）设定验收标准‌</w:t>
      </w:r>
      <w:r>
        <w:rPr>
          <w:rFonts w:hint="eastAsia" w:ascii="仿宋" w:hAnsi="仿宋" w:eastAsia="仿宋" w:cs="仿宋"/>
          <w:color w:val="000000"/>
          <w:sz w:val="24"/>
          <w:szCs w:val="24"/>
          <w:highlight w:val="none"/>
          <w:lang w:val="zh-TW"/>
        </w:rPr>
      </w:r>
      <w:r/>
    </w:p>
    <w:p>
      <w:pPr>
        <w:pStyle w:val="953"/>
        <w:ind w:firstLine="480"/>
        <w:spacing w:line="360" w:lineRule="auto"/>
        <w:rPr>
          <w:rFonts w:hint="eastAsia" w:ascii="仿宋" w:hAnsi="仿宋" w:eastAsia="仿宋" w:cs="仿宋"/>
          <w:color w:val="000000"/>
          <w:sz w:val="24"/>
          <w:szCs w:val="24"/>
          <w:highlight w:val="none"/>
          <w:lang w:val="zh-TW"/>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TW"/>
        </w:rPr>
        <w:t xml:space="preserve">服务内容的完成情况必须符合合同约定，达到预期的服务效果。</w:t>
      </w:r>
      <w:r>
        <w:rPr>
          <w:rFonts w:hint="eastAsia" w:ascii="仿宋" w:hAnsi="仿宋" w:eastAsia="仿宋" w:cs="仿宋"/>
          <w:color w:val="000000"/>
          <w:sz w:val="24"/>
          <w:szCs w:val="24"/>
          <w:highlight w:val="none"/>
          <w:lang w:val="zh-TW"/>
        </w:rPr>
      </w:r>
      <w:r/>
    </w:p>
    <w:p>
      <w:pPr>
        <w:pStyle w:val="953"/>
        <w:ind w:firstLine="480"/>
        <w:spacing w:line="360" w:lineRule="auto"/>
        <w:rPr>
          <w:rFonts w:hint="eastAsia" w:ascii="仿宋" w:hAnsi="仿宋" w:eastAsia="仿宋" w:cs="仿宋"/>
          <w:color w:val="000000"/>
          <w:sz w:val="24"/>
          <w:szCs w:val="24"/>
          <w:highlight w:val="none"/>
          <w:lang w:val="zh-TW"/>
        </w:rPr>
      </w:pPr>
      <w:r>
        <w:rPr>
          <w:rFonts w:hint="eastAsia" w:ascii="仿宋" w:hAnsi="仿宋" w:eastAsia="仿宋" w:cs="仿宋"/>
          <w:color w:val="000000"/>
          <w:sz w:val="24"/>
          <w:szCs w:val="24"/>
          <w:highlight w:val="none"/>
        </w:rPr>
        <w:t xml:space="preserve">2）成果报告</w:t>
      </w:r>
      <w:r>
        <w:rPr>
          <w:rFonts w:hint="eastAsia" w:ascii="仿宋" w:hAnsi="仿宋" w:eastAsia="仿宋" w:cs="仿宋"/>
          <w:color w:val="000000"/>
          <w:sz w:val="24"/>
          <w:szCs w:val="24"/>
          <w:highlight w:val="none"/>
          <w:lang w:val="zh-TW"/>
        </w:rPr>
        <w:t xml:space="preserve">必须符合合同约定，达到</w:t>
      </w:r>
      <w:r>
        <w:rPr>
          <w:rFonts w:hint="eastAsia" w:ascii="仿宋" w:hAnsi="仿宋" w:eastAsia="仿宋" w:cs="仿宋"/>
          <w:color w:val="000000"/>
          <w:sz w:val="24"/>
          <w:szCs w:val="24"/>
          <w:highlight w:val="none"/>
        </w:rPr>
        <w:t xml:space="preserve">采购要求</w:t>
      </w:r>
      <w:r>
        <w:rPr>
          <w:rFonts w:hint="eastAsia" w:ascii="仿宋" w:hAnsi="仿宋" w:eastAsia="仿宋" w:cs="仿宋"/>
          <w:color w:val="000000"/>
          <w:sz w:val="24"/>
          <w:szCs w:val="24"/>
          <w:highlight w:val="none"/>
          <w:lang w:val="zh-TW"/>
        </w:rPr>
        <w:t xml:space="preserve">。</w:t>
      </w:r>
      <w:r>
        <w:rPr>
          <w:rFonts w:hint="eastAsia" w:ascii="仿宋" w:hAnsi="仿宋" w:eastAsia="仿宋" w:cs="仿宋"/>
          <w:color w:val="000000"/>
          <w:sz w:val="24"/>
          <w:szCs w:val="24"/>
          <w:highlight w:val="none"/>
          <w:lang w:val="zh-TW"/>
        </w:rPr>
      </w:r>
      <w:r/>
    </w:p>
    <w:p>
      <w:pPr>
        <w:pStyle w:val="953"/>
        <w:ind w:firstLine="480"/>
        <w:spacing w:line="360" w:lineRule="auto"/>
        <w:rPr>
          <w:rFonts w:hint="eastAsia" w:ascii="仿宋" w:hAnsi="仿宋" w:eastAsia="仿宋" w:cs="仿宋"/>
          <w:color w:val="000000"/>
          <w:sz w:val="24"/>
          <w:szCs w:val="24"/>
          <w:highlight w:val="none"/>
          <w:lang w:val="zh-TW"/>
        </w:rPr>
      </w:pPr>
      <w:r>
        <w:rPr>
          <w:rFonts w:hint="eastAsia" w:ascii="仿宋" w:hAnsi="仿宋" w:eastAsia="仿宋" w:cs="仿宋"/>
          <w:color w:val="000000"/>
          <w:sz w:val="24"/>
          <w:szCs w:val="24"/>
          <w:highlight w:val="none"/>
        </w:rPr>
        <w:t xml:space="preserve">3）最终报告需通过专家评审</w:t>
      </w:r>
      <w:r>
        <w:rPr>
          <w:rFonts w:hint="eastAsia" w:ascii="仿宋" w:hAnsi="仿宋" w:eastAsia="仿宋" w:cs="仿宋"/>
          <w:color w:val="000000"/>
          <w:sz w:val="24"/>
          <w:szCs w:val="24"/>
          <w:highlight w:val="none"/>
          <w:lang w:val="zh-TW"/>
        </w:rPr>
        <w:t xml:space="preserve">。</w:t>
      </w:r>
      <w:r>
        <w:rPr>
          <w:rFonts w:hint="eastAsia" w:ascii="仿宋" w:hAnsi="仿宋" w:eastAsia="仿宋" w:cs="仿宋"/>
          <w:color w:val="000000"/>
          <w:sz w:val="24"/>
          <w:szCs w:val="24"/>
          <w:highlight w:val="none"/>
          <w:lang w:val="zh-TW"/>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4）通过《太仓市财政局委托第三方机构参与预算绩效管理业务质量考核办法》《太仓市财政监督协审单位考核办法（修订稿）》考核</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lang w:val="zh-TW"/>
        </w:rPr>
      </w:pPr>
      <w:r>
        <w:rPr>
          <w:rFonts w:hint="eastAsia" w:ascii="仿宋" w:hAnsi="仿宋" w:eastAsia="仿宋" w:cs="仿宋"/>
          <w:color w:val="000000"/>
          <w:sz w:val="24"/>
          <w:szCs w:val="24"/>
          <w:highlight w:val="none"/>
        </w:rPr>
        <w:t xml:space="preserve">5、政府采购履约验收书格式见合同附件。</w:t>
      </w:r>
      <w:r>
        <w:rPr>
          <w:rFonts w:hint="eastAsia" w:ascii="仿宋" w:hAnsi="仿宋" w:eastAsia="仿宋" w:cs="仿宋"/>
          <w:color w:val="000000"/>
          <w:sz w:val="24"/>
          <w:szCs w:val="24"/>
          <w:highlight w:val="none"/>
          <w:lang w:val="zh-TW"/>
        </w:rPr>
      </w:r>
      <w:r/>
    </w:p>
    <w:p>
      <w:pPr>
        <w:pStyle w:val="953"/>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zh-TW"/>
        </w:rPr>
        <w:t xml:space="preserve">（</w:t>
      </w:r>
      <w:r>
        <w:rPr>
          <w:rFonts w:hint="eastAsia" w:ascii="仿宋" w:hAnsi="仿宋" w:eastAsia="仿宋" w:cs="仿宋"/>
          <w:b/>
          <w:bCs/>
          <w:color w:val="000000"/>
          <w:sz w:val="24"/>
          <w:szCs w:val="24"/>
          <w:highlight w:val="none"/>
        </w:rPr>
        <w:t xml:space="preserve">八</w:t>
      </w:r>
      <w:r>
        <w:rPr>
          <w:rFonts w:hint="eastAsia" w:ascii="仿宋" w:hAnsi="仿宋" w:eastAsia="仿宋" w:cs="仿宋"/>
          <w:b/>
          <w:bCs/>
          <w:color w:val="000000"/>
          <w:sz w:val="24"/>
          <w:szCs w:val="24"/>
          <w:highlight w:val="none"/>
          <w:lang w:val="zh-TW"/>
        </w:rPr>
        <w:t xml:space="preserve">）</w:t>
      </w:r>
      <w:r>
        <w:rPr>
          <w:rFonts w:hint="eastAsia" w:ascii="仿宋" w:hAnsi="仿宋" w:eastAsia="仿宋" w:cs="仿宋"/>
          <w:b/>
          <w:bCs/>
          <w:color w:val="000000"/>
          <w:sz w:val="24"/>
          <w:szCs w:val="24"/>
          <w:highlight w:val="none"/>
        </w:rPr>
        <w:t xml:space="preserve">服务方案要求</w:t>
      </w:r>
      <w:r>
        <w:rPr>
          <w:rFonts w:hint="eastAsia" w:ascii="仿宋" w:hAnsi="仿宋" w:eastAsia="仿宋" w:cs="仿宋"/>
          <w:b/>
          <w:bCs/>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lang w:val="zh-TW"/>
        </w:rPr>
      </w:pP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zh-CN"/>
        </w:rPr>
        <w:t xml:space="preserve">需根据本项目工作内容，</w:t>
      </w:r>
      <w:r>
        <w:rPr>
          <w:rFonts w:hint="eastAsia" w:ascii="仿宋" w:hAnsi="仿宋" w:eastAsia="仿宋" w:cs="仿宋"/>
          <w:color w:val="000000"/>
          <w:sz w:val="24"/>
          <w:szCs w:val="24"/>
          <w:highlight w:val="none"/>
        </w:rPr>
        <w:t xml:space="preserve">针对相应</w:t>
      </w:r>
      <w:r>
        <w:rPr>
          <w:rFonts w:hint="eastAsia" w:ascii="仿宋" w:hAnsi="仿宋" w:eastAsia="仿宋" w:cs="仿宋"/>
          <w:color w:val="000000"/>
          <w:sz w:val="24"/>
          <w:szCs w:val="24"/>
          <w:highlight w:val="none"/>
          <w:lang w:val="en-US" w:eastAsia="zh-CN"/>
        </w:rPr>
        <w:t xml:space="preserve">采购包</w:t>
      </w:r>
      <w:r>
        <w:rPr>
          <w:rFonts w:hint="eastAsia" w:ascii="仿宋" w:hAnsi="仿宋" w:eastAsia="仿宋" w:cs="仿宋"/>
          <w:color w:val="000000"/>
          <w:sz w:val="24"/>
          <w:szCs w:val="24"/>
          <w:highlight w:val="none"/>
        </w:rPr>
        <w:t xml:space="preserve">制定针对性强、操作性高的各项服务方案。</w:t>
      </w:r>
      <w:r>
        <w:rPr>
          <w:rFonts w:hint="eastAsia" w:ascii="仿宋" w:hAnsi="仿宋" w:eastAsia="仿宋" w:cs="仿宋"/>
          <w:color w:val="000000"/>
          <w:sz w:val="24"/>
          <w:szCs w:val="24"/>
          <w:highlight w:val="none"/>
          <w:lang w:val="zh-CN"/>
        </w:rPr>
        <w:t xml:space="preserve">包括但不限于</w:t>
      </w:r>
      <w:r>
        <w:rPr>
          <w:rFonts w:hint="eastAsia" w:ascii="仿宋" w:hAnsi="仿宋" w:eastAsia="仿宋" w:cs="仿宋"/>
          <w:sz w:val="24"/>
          <w:szCs w:val="24"/>
          <w:highlight w:val="none"/>
        </w:rPr>
        <w:t xml:space="preserve">对项目的理解、组织实施保障体系、服务承诺及服务响应时间措施、承揽本项目的优势、服务的质量及保密、实施计划及进度安排、</w:t>
      </w:r>
      <w:r>
        <w:rPr>
          <w:rFonts w:hint="eastAsia" w:ascii="仿宋" w:hAnsi="仿宋" w:eastAsia="仿宋" w:cs="仿宋"/>
          <w:color w:val="000000"/>
          <w:sz w:val="24"/>
          <w:szCs w:val="24"/>
          <w:highlight w:val="none"/>
        </w:rPr>
        <w:t xml:space="preserve">项目重难点分析、核心绩效指标体系、社会调查方案</w:t>
      </w:r>
      <w:r>
        <w:rPr>
          <w:rFonts w:hint="eastAsia" w:ascii="仿宋" w:hAnsi="仿宋" w:eastAsia="仿宋" w:cs="仿宋"/>
          <w:sz w:val="24"/>
          <w:szCs w:val="24"/>
          <w:highlight w:val="none"/>
        </w:rPr>
        <w:t xml:space="preserve">等等各种表述</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zh-TW"/>
        </w:rPr>
      </w:r>
      <w:r/>
    </w:p>
    <w:p>
      <w:pPr>
        <w:pStyle w:val="953"/>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六</w:t>
      </w:r>
      <w:r>
        <w:rPr>
          <w:rFonts w:hint="eastAsia" w:ascii="仿宋" w:hAnsi="仿宋" w:eastAsia="仿宋" w:cs="仿宋"/>
          <w:b/>
          <w:bCs/>
          <w:color w:val="000000"/>
          <w:sz w:val="24"/>
          <w:szCs w:val="24"/>
          <w:highlight w:val="none"/>
        </w:rPr>
        <w:t xml:space="preserve">、综合说明及其他：</w:t>
      </w:r>
      <w:r>
        <w:rPr>
          <w:rFonts w:hint="eastAsia" w:ascii="仿宋" w:hAnsi="仿宋" w:eastAsia="仿宋" w:cs="仿宋"/>
          <w:b/>
          <w:bCs/>
          <w:color w:val="000000"/>
          <w:sz w:val="24"/>
          <w:szCs w:val="24"/>
          <w:highlight w:val="none"/>
        </w:rPr>
      </w:r>
      <w:r/>
    </w:p>
    <w:p>
      <w:pPr>
        <w:pStyle w:val="953"/>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1、各供应商在响应时须认真阅读采购文件并自行了解项目情况，承担响应风险。任何因响应供应商理解错误、情况不明导致的响应失误，均由供应商承担，磋商采购单位不承担任何责任。</w:t>
      </w:r>
      <w:r>
        <w:rPr>
          <w:rFonts w:hint="eastAsia" w:ascii="仿宋" w:hAnsi="仿宋" w:eastAsia="仿宋" w:cs="仿宋"/>
          <w:sz w:val="24"/>
          <w:szCs w:val="24"/>
          <w:highlight w:val="none"/>
          <w:lang w:val="zh-CN"/>
        </w:rPr>
      </w:r>
      <w:r/>
    </w:p>
    <w:p>
      <w:pPr>
        <w:pStyle w:val="953"/>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2、成交人在合同履行期间应严格遵守国家相关法律和项目所在地的相关规定，所有产生的一切纠纷由成交人承担，采购人不承担任何责任。</w:t>
      </w:r>
      <w:r>
        <w:rPr>
          <w:rFonts w:hint="eastAsia" w:ascii="仿宋" w:hAnsi="仿宋" w:eastAsia="仿宋" w:cs="仿宋"/>
          <w:sz w:val="24"/>
          <w:szCs w:val="24"/>
          <w:highlight w:val="none"/>
          <w:lang w:val="zh-CN"/>
        </w:rPr>
      </w:r>
      <w:r/>
    </w:p>
    <w:p>
      <w:pPr>
        <w:pStyle w:val="953"/>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3、成交人在合同履行期间应严格遵守采购人的保密、廉政等各项规章制度，服从采购人的管理要求，如有严重违反采购人规章制度且拒绝改正的，则采购人有权无条件终止合同。</w:t>
      </w:r>
      <w:r>
        <w:rPr>
          <w:rFonts w:hint="eastAsia" w:ascii="仿宋" w:hAnsi="仿宋" w:eastAsia="仿宋" w:cs="仿宋"/>
          <w:sz w:val="24"/>
          <w:szCs w:val="24"/>
          <w:highlight w:val="none"/>
          <w:lang w:val="zh-CN"/>
        </w:rPr>
      </w:r>
      <w:r/>
    </w:p>
    <w:p>
      <w:pPr>
        <w:pStyle w:val="953"/>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4、成交人须保证对其提交成果的真实性负全责，并承担相应的法律责任。</w:t>
      </w:r>
      <w:r>
        <w:rPr>
          <w:rFonts w:hint="eastAsia" w:ascii="仿宋" w:hAnsi="仿宋" w:eastAsia="仿宋" w:cs="仿宋"/>
          <w:sz w:val="24"/>
          <w:szCs w:val="24"/>
          <w:highlight w:val="none"/>
          <w:lang w:val="zh-CN"/>
        </w:rPr>
      </w:r>
      <w:r/>
    </w:p>
    <w:p>
      <w:pPr>
        <w:pStyle w:val="953"/>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5、成交人在合同履行过程中对采购人提出的质量（服务）缺陷不予改正，采购人有权另请其他单位更正，所发生的费用按合同相关项目价格从其合同价款中扣除。</w:t>
      </w:r>
      <w:r>
        <w:rPr>
          <w:rFonts w:hint="eastAsia" w:ascii="仿宋" w:hAnsi="仿宋" w:eastAsia="仿宋" w:cs="仿宋"/>
          <w:sz w:val="24"/>
          <w:szCs w:val="24"/>
          <w:highlight w:val="none"/>
          <w:lang w:val="zh-CN"/>
        </w:rPr>
      </w:r>
      <w:r/>
    </w:p>
    <w:p>
      <w:pPr>
        <w:pStyle w:val="953"/>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6、成交人在合同期内如因未诚信履约或其他原因导致合同提前终止的，则须无条件配合采购单位做好交接工作，并承担采购人因此产生的一切损失。</w:t>
      </w:r>
      <w:r>
        <w:rPr>
          <w:rFonts w:hint="eastAsia" w:ascii="仿宋" w:hAnsi="仿宋" w:eastAsia="仿宋" w:cs="仿宋"/>
          <w:sz w:val="24"/>
          <w:szCs w:val="24"/>
          <w:highlight w:val="none"/>
          <w:lang w:val="zh-CN"/>
        </w:rPr>
      </w:r>
      <w:r/>
    </w:p>
    <w:p>
      <w:pPr>
        <w:pStyle w:val="953"/>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7、因成交人原因，给采购人及第三人造成的一切后果及损失，由成交人承担，后果严重的采购方有权解除合同。</w:t>
      </w:r>
      <w:r>
        <w:rPr>
          <w:rFonts w:hint="eastAsia" w:ascii="仿宋" w:hAnsi="仿宋" w:eastAsia="仿宋" w:cs="仿宋"/>
          <w:sz w:val="24"/>
          <w:szCs w:val="24"/>
          <w:highlight w:val="none"/>
          <w:lang w:val="zh-CN"/>
        </w:rPr>
      </w:r>
      <w:r/>
    </w:p>
    <w:p>
      <w:pPr>
        <w:pStyle w:val="953"/>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8、成交人为本项目所派出服务人员的廉洁、生病、意外等所有风险成交人承担。</w:t>
      </w:r>
      <w:r>
        <w:rPr>
          <w:rFonts w:hint="eastAsia" w:ascii="仿宋" w:hAnsi="仿宋" w:eastAsia="仿宋" w:cs="仿宋"/>
          <w:sz w:val="24"/>
          <w:szCs w:val="24"/>
          <w:highlight w:val="none"/>
          <w:lang w:val="zh-CN"/>
        </w:rPr>
      </w:r>
      <w:r/>
    </w:p>
    <w:p>
      <w:pPr>
        <w:pStyle w:val="953"/>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9、凡涉及本项目采购文件的补充、修改，均以苏州政府采购网发布的信息为准。同一条款有不同表达的，以最后时间发布的为准。</w:t>
      </w:r>
      <w:r>
        <w:rPr>
          <w:rFonts w:hint="eastAsia" w:ascii="仿宋" w:hAnsi="仿宋" w:eastAsia="仿宋" w:cs="仿宋"/>
          <w:sz w:val="24"/>
          <w:szCs w:val="24"/>
          <w:highlight w:val="none"/>
        </w:rPr>
        <w:t xml:space="preserve">请各供应商随时查看。</w:t>
      </w:r>
      <w:r>
        <w:rPr>
          <w:rFonts w:hint="eastAsia" w:ascii="仿宋" w:hAnsi="仿宋" w:eastAsia="仿宋" w:cs="仿宋"/>
          <w:sz w:val="24"/>
          <w:szCs w:val="24"/>
          <w:highlight w:val="none"/>
        </w:rPr>
      </w:r>
      <w:r/>
    </w:p>
    <w:p>
      <w:pPr>
        <w:pStyle w:val="953"/>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五、政府采购政策</w:t>
      </w:r>
      <w:r>
        <w:rPr>
          <w:rFonts w:hint="eastAsia" w:ascii="仿宋" w:hAnsi="仿宋" w:eastAsia="仿宋" w:cs="仿宋"/>
          <w:sz w:val="24"/>
          <w:szCs w:val="24"/>
          <w:highlight w:val="none"/>
        </w:rPr>
      </w:r>
      <w:r/>
    </w:p>
    <w:p>
      <w:pPr>
        <w:pStyle w:val="953"/>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（一）节能产品和环境标志产品</w:t>
      </w:r>
      <w:r>
        <w:rPr>
          <w:rFonts w:hint="eastAsia" w:ascii="仿宋" w:hAnsi="仿宋" w:eastAsia="仿宋" w:cs="仿宋"/>
          <w:b/>
          <w:bCs/>
          <w:color w:val="000000"/>
          <w:sz w:val="24"/>
          <w:szCs w:val="24"/>
          <w:highlight w:val="none"/>
        </w:rPr>
      </w:r>
      <w:r/>
    </w:p>
    <w:p>
      <w:pPr>
        <w:pStyle w:val="953"/>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供应商应当选择强制采购产品，</w:t>
      </w:r>
      <w:bookmarkStart w:id="46" w:name="_Hlk45012782"/>
      <w:r>
        <w:rPr>
          <w:rFonts w:hint="eastAsia" w:ascii="仿宋" w:hAnsi="仿宋" w:eastAsia="仿宋" w:cs="仿宋"/>
          <w:sz w:val="24"/>
          <w:szCs w:val="24"/>
          <w:highlight w:val="none"/>
        </w:rPr>
        <w:t xml:space="preserve">并提供由国家确定的认证机构出具的、处于有效期之内的节能产品或环境标志产品认证证书，否则视为未实质响应。</w:t>
      </w:r>
      <w:bookmarkEnd w:id="46"/>
      <w:r>
        <w:rPr>
          <w:rFonts w:hint="eastAsia" w:ascii="仿宋" w:hAnsi="仿宋" w:eastAsia="仿宋" w:cs="仿宋"/>
          <w:sz w:val="24"/>
          <w:szCs w:val="24"/>
          <w:highlight w:val="none"/>
        </w:rPr>
      </w:r>
      <w:r/>
    </w:p>
    <w:p>
      <w:pPr>
        <w:pStyle w:val="953"/>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节能产品：无</w:t>
      </w:r>
      <w:r>
        <w:rPr>
          <w:rFonts w:hint="eastAsia" w:ascii="仿宋" w:hAnsi="仿宋" w:eastAsia="仿宋" w:cs="仿宋"/>
          <w:sz w:val="24"/>
          <w:szCs w:val="24"/>
          <w:highlight w:val="none"/>
        </w:rPr>
      </w:r>
      <w:r/>
    </w:p>
    <w:p>
      <w:pPr>
        <w:pStyle w:val="953"/>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（二）中小企业相关政策：</w:t>
      </w:r>
      <w:r>
        <w:rPr>
          <w:rFonts w:hint="eastAsia" w:ascii="仿宋" w:hAnsi="仿宋" w:eastAsia="仿宋" w:cs="仿宋"/>
          <w:b/>
          <w:bCs/>
          <w:color w:val="000000"/>
          <w:sz w:val="24"/>
          <w:szCs w:val="24"/>
          <w:highlight w:val="none"/>
        </w:rPr>
      </w:r>
      <w:r/>
    </w:p>
    <w:p>
      <w:pPr>
        <w:pStyle w:val="953"/>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1、本项目为专门面向中小企业采购的项目。供应商应提供中小企业声明函或残疾人福利性单位声明函或省级以上监狱管理局、戒毒管理局（含新疆生产建设兵团）出具的属于监狱企业的证明文件,否则视为</w:t>
      </w:r>
      <w:r>
        <w:rPr>
          <w:rFonts w:hint="eastAsia" w:ascii="仿宋" w:hAnsi="仿宋" w:eastAsia="仿宋" w:cs="仿宋"/>
          <w:sz w:val="24"/>
          <w:szCs w:val="24"/>
          <w:highlight w:val="none"/>
          <w:lang w:val="en-US" w:eastAsia="zh-CN"/>
        </w:rPr>
        <w:t xml:space="preserve">响应</w:t>
      </w:r>
      <w:r>
        <w:rPr>
          <w:rFonts w:hint="eastAsia" w:ascii="仿宋" w:hAnsi="仿宋" w:eastAsia="仿宋" w:cs="仿宋"/>
          <w:sz w:val="24"/>
          <w:szCs w:val="24"/>
          <w:highlight w:val="none"/>
        </w:rPr>
        <w:t xml:space="preserve">无效。</w:t>
      </w:r>
      <w:r>
        <w:rPr>
          <w:rFonts w:hint="eastAsia" w:ascii="仿宋" w:hAnsi="仿宋" w:eastAsia="仿宋" w:cs="仿宋"/>
          <w:sz w:val="24"/>
          <w:szCs w:val="24"/>
          <w:highlight w:val="none"/>
        </w:rPr>
      </w:r>
      <w:r/>
    </w:p>
    <w:p>
      <w:pPr>
        <w:pStyle w:val="953"/>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2、中小企业划分：</w:t>
      </w:r>
      <w:r>
        <w:rPr>
          <w:rFonts w:hint="eastAsia" w:ascii="仿宋" w:hAnsi="仿宋" w:eastAsia="仿宋" w:cs="仿宋"/>
          <w:sz w:val="24"/>
          <w:szCs w:val="24"/>
          <w:highlight w:val="none"/>
        </w:rPr>
      </w:r>
      <w:r/>
    </w:p>
    <w:p>
      <w:pPr>
        <w:pStyle w:val="953"/>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（1）符合中小企业划分标准的个体工商户，在政府采购活动中视同中小企业。</w:t>
      </w:r>
      <w:r>
        <w:rPr>
          <w:rFonts w:hint="eastAsia" w:ascii="仿宋" w:hAnsi="仿宋" w:eastAsia="仿宋" w:cs="仿宋"/>
          <w:sz w:val="24"/>
          <w:szCs w:val="24"/>
          <w:highlight w:val="none"/>
        </w:rPr>
      </w:r>
      <w:r/>
    </w:p>
    <w:p>
      <w:pPr>
        <w:pStyle w:val="953"/>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（2）中小企业划分标准详见“工信部联企业〔2011〕300号通知”</w:t>
      </w:r>
      <w:r>
        <w:rPr>
          <w:rFonts w:hint="eastAsia" w:ascii="仿宋" w:hAnsi="仿宋" w:eastAsia="仿宋" w:cs="仿宋"/>
          <w:sz w:val="24"/>
          <w:szCs w:val="24"/>
          <w:highlight w:val="none"/>
        </w:rPr>
      </w:r>
      <w:r/>
    </w:p>
    <w:p>
      <w:pPr>
        <w:pStyle w:val="953"/>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3、残疾人福利性单位政策：</w:t>
      </w:r>
      <w:r>
        <w:rPr>
          <w:rFonts w:hint="eastAsia" w:ascii="仿宋" w:hAnsi="仿宋" w:eastAsia="仿宋" w:cs="仿宋"/>
          <w:sz w:val="24"/>
          <w:szCs w:val="24"/>
          <w:highlight w:val="none"/>
        </w:rPr>
      </w:r>
      <w:r/>
    </w:p>
    <w:p>
      <w:pPr>
        <w:pStyle w:val="953"/>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（1）根据《关于促进残疾人就业政府采购政策的通知》（财库〔2017〕141号）规定，供应商若为残疾人福利性单位的，视同小型企业。残疾人福利性单位属于小型、微型企业的，不重复认定。</w:t>
      </w:r>
      <w:r>
        <w:rPr>
          <w:rFonts w:hint="eastAsia" w:ascii="仿宋" w:hAnsi="仿宋" w:eastAsia="仿宋" w:cs="仿宋"/>
          <w:sz w:val="24"/>
          <w:szCs w:val="24"/>
          <w:highlight w:val="none"/>
        </w:rPr>
      </w:r>
      <w:r/>
    </w:p>
    <w:p>
      <w:pPr>
        <w:pStyle w:val="953"/>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本项目专门面向中小企业采购，供应商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rPr>
          <w:rFonts w:hint="eastAsia" w:ascii="仿宋" w:hAnsi="仿宋" w:eastAsia="仿宋" w:cs="仿宋"/>
          <w:sz w:val="24"/>
          <w:szCs w:val="24"/>
          <w:highlight w:val="none"/>
        </w:rPr>
      </w:r>
      <w:r/>
    </w:p>
    <w:p>
      <w:pPr>
        <w:pStyle w:val="953"/>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（3）中标、成交供应商为残疾人福利性单位的，《残疾人福利性单位声明函》应当随中标、成交结果同时公告，接受社会监督。</w:t>
      </w:r>
      <w:r>
        <w:rPr>
          <w:rFonts w:hint="eastAsia" w:ascii="仿宋" w:hAnsi="仿宋" w:eastAsia="仿宋" w:cs="仿宋"/>
          <w:sz w:val="24"/>
          <w:szCs w:val="24"/>
          <w:highlight w:val="none"/>
        </w:rPr>
      </w:r>
      <w:r/>
    </w:p>
    <w:p>
      <w:pPr>
        <w:pStyle w:val="953"/>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4、监狱企业发展政策：</w:t>
      </w:r>
      <w:r>
        <w:rPr>
          <w:rFonts w:hint="eastAsia" w:ascii="仿宋" w:hAnsi="仿宋" w:eastAsia="仿宋" w:cs="仿宋"/>
          <w:sz w:val="24"/>
          <w:szCs w:val="24"/>
          <w:highlight w:val="none"/>
        </w:rPr>
      </w:r>
      <w:r/>
    </w:p>
    <w:p>
      <w:pPr>
        <w:pStyle w:val="953"/>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（1）根据《关于政府采购支持监狱企业发展有关问题的通知》（财库〔2014〕68号）规定，供应商若为监狱企业的，视同小型企业。</w:t>
      </w:r>
      <w:r>
        <w:rPr>
          <w:rFonts w:hint="eastAsia" w:ascii="仿宋" w:hAnsi="仿宋" w:eastAsia="仿宋" w:cs="仿宋"/>
          <w:sz w:val="24"/>
          <w:szCs w:val="24"/>
          <w:highlight w:val="none"/>
        </w:rPr>
      </w:r>
      <w:r/>
    </w:p>
    <w:p>
      <w:pPr>
        <w:pStyle w:val="953"/>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本项目专门面向中小企业采购，供应商若为符合《关于政府采购支持监狱企业发展有关问题的通知》（财库〔2014〕68号）条件的监狱企业，在政府采购活动中，应当提供由省级以上监狱管理局、戒毒管理局（含新疆生产建设兵团）出具的属于监狱企业的证明文件，否则为非实质响应。并对声明的真实性负责，供应商提供声明函内容不实的，属于提供虚假材料谋取中标、成交，依照《中华人民共和国政府采购法》 等国家有关规定追究相应责任。</w:t>
      </w:r>
      <w:r>
        <w:rPr>
          <w:rFonts w:hint="eastAsia" w:ascii="仿宋" w:hAnsi="仿宋" w:eastAsia="仿宋" w:cs="仿宋"/>
          <w:sz w:val="24"/>
          <w:szCs w:val="24"/>
          <w:highlight w:val="none"/>
        </w:rPr>
      </w:r>
      <w:r/>
    </w:p>
    <w:p>
      <w:pPr>
        <w:pStyle w:val="965"/>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953"/>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953"/>
        <w:ind w:firstLine="420"/>
        <w:spacing w:line="360" w:lineRule="auto"/>
        <w:tabs>
          <w:tab w:val="left" w:pos="420" w:leader="none"/>
          <w:tab w:val="left" w:pos="540" w:leader="none"/>
        </w:tabs>
        <w:rPr>
          <w:color w:val="000000"/>
          <w:sz w:val="24"/>
          <w:szCs w:val="24"/>
          <w:highlight w:val="none"/>
        </w:rPr>
      </w:pPr>
      <w:r>
        <w:rPr>
          <w:color w:val="000000"/>
          <w:sz w:val="24"/>
          <w:szCs w:val="24"/>
          <w:highlight w:val="none"/>
        </w:rPr>
      </w:r>
      <w:r/>
    </w:p>
    <w:p>
      <w:pPr>
        <w:pStyle w:val="953"/>
        <w:ind w:firstLine="482"/>
        <w:jc w:val="center"/>
        <w:spacing w:line="360" w:lineRule="auto"/>
        <w:rPr>
          <w:rFonts w:hint="eastAsia"/>
          <w:b/>
          <w:color w:val="000000"/>
          <w:sz w:val="24"/>
          <w:szCs w:val="24"/>
          <w:highlight w:val="none"/>
        </w:rPr>
        <w:outlineLvl w:val="0"/>
      </w:pPr>
      <w:r/>
      <w:bookmarkEnd w:id="3"/>
      <w:r/>
      <w:bookmarkStart w:id="47" w:name="_Toc32240"/>
      <w:r>
        <w:rPr>
          <w:rFonts w:hint="eastAsia"/>
          <w:b/>
          <w:color w:val="000000"/>
          <w:sz w:val="24"/>
          <w:szCs w:val="24"/>
          <w:highlight w:val="none"/>
        </w:rPr>
      </w:r>
      <w:r/>
    </w:p>
    <w:p>
      <w:pPr>
        <w:pStyle w:val="953"/>
        <w:ind w:firstLine="482"/>
        <w:jc w:val="center"/>
        <w:spacing w:line="360" w:lineRule="auto"/>
        <w:rPr>
          <w:rFonts w:hint="eastAsia"/>
          <w:b/>
          <w:color w:val="000000"/>
          <w:sz w:val="24"/>
          <w:szCs w:val="24"/>
          <w:highlight w:val="none"/>
        </w:rPr>
        <w:outlineLvl w:val="0"/>
      </w:pPr>
      <w:r>
        <w:rPr>
          <w:rFonts w:hint="eastAsia"/>
          <w:b/>
          <w:color w:val="000000"/>
          <w:sz w:val="24"/>
          <w:szCs w:val="24"/>
          <w:highlight w:val="none"/>
        </w:rPr>
      </w:r>
      <w:r/>
    </w:p>
    <w:p>
      <w:pPr>
        <w:pStyle w:val="953"/>
        <w:ind w:firstLine="883"/>
        <w:jc w:val="center"/>
        <w:spacing w:line="360" w:lineRule="auto"/>
        <w:rPr>
          <w:rFonts w:ascii="宋体" w:hAnsi="宋体"/>
          <w:color w:val="000000"/>
          <w:szCs w:val="21"/>
          <w:highlight w:val="none"/>
        </w:rPr>
        <w:outlineLvl w:val="0"/>
      </w:pPr>
      <w:r>
        <w:rPr>
          <w:rFonts w:hint="eastAsia"/>
          <w:b/>
          <w:color w:val="000000"/>
          <w:sz w:val="44"/>
          <w:szCs w:val="44"/>
          <w:highlight w:val="none"/>
        </w:rPr>
        <w:t xml:space="preserve">第五章 合同主要条款</w:t>
      </w:r>
      <w:bookmarkEnd w:id="47"/>
      <w:r>
        <w:rPr>
          <w:rFonts w:ascii="宋体" w:hAnsi="宋体"/>
          <w:color w:val="000000"/>
          <w:szCs w:val="21"/>
          <w:highlight w:val="none"/>
        </w:rPr>
      </w:r>
      <w:r/>
    </w:p>
    <w:p>
      <w:pPr>
        <w:pStyle w:val="953"/>
        <w:jc w:val="center"/>
        <w:spacing w:line="360" w:lineRule="auto"/>
        <w:rPr>
          <w:rFonts w:ascii="宋体" w:hAnsi="宋体" w:eastAsia="宋体" w:cs="Times New Roman"/>
          <w:b/>
          <w:sz w:val="28"/>
          <w:szCs w:val="28"/>
          <w:highlight w:val="none"/>
        </w:rPr>
      </w:pPr>
      <w:r>
        <w:rPr>
          <w:rFonts w:hint="eastAsia" w:ascii="宋体" w:hAnsi="宋体" w:eastAsia="宋体" w:cs="Times New Roman"/>
          <w:b/>
          <w:sz w:val="28"/>
          <w:szCs w:val="28"/>
          <w:highlight w:val="none"/>
        </w:rPr>
        <w:t xml:space="preserve">2025年太仓市市级财政支出项目等绩效评价、管理服务</w:t>
      </w:r>
      <w:r>
        <w:rPr>
          <w:rFonts w:ascii="宋体" w:hAnsi="宋体" w:eastAsia="宋体" w:cs="Times New Roman"/>
          <w:b/>
          <w:sz w:val="28"/>
          <w:szCs w:val="28"/>
          <w:highlight w:val="none"/>
        </w:rPr>
        <w:t xml:space="preserve">采购合同</w:t>
      </w:r>
      <w:r>
        <w:rPr>
          <w:rFonts w:ascii="宋体" w:hAnsi="宋体" w:eastAsia="宋体" w:cs="Times New Roman"/>
          <w:b/>
          <w:sz w:val="28"/>
          <w:szCs w:val="28"/>
          <w:highlight w:val="none"/>
        </w:rPr>
      </w:r>
      <w:r/>
    </w:p>
    <w:p>
      <w:pPr>
        <w:pStyle w:val="953"/>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953"/>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甲方：              （以下简称甲方）</w:t>
      </w:r>
      <w:r>
        <w:rPr>
          <w:rFonts w:hint="eastAsia" w:ascii="仿宋" w:hAnsi="仿宋" w:eastAsia="仿宋" w:cs="仿宋"/>
          <w:bCs/>
          <w:sz w:val="24"/>
          <w:szCs w:val="24"/>
          <w:highlight w:val="none"/>
        </w:rPr>
      </w:r>
      <w:r/>
    </w:p>
    <w:p>
      <w:pPr>
        <w:pStyle w:val="953"/>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乙方：              （以下简称乙方）</w:t>
      </w:r>
      <w:r>
        <w:rPr>
          <w:rFonts w:hint="eastAsia" w:ascii="仿宋" w:hAnsi="仿宋" w:eastAsia="仿宋" w:cs="仿宋"/>
          <w:bCs/>
          <w:sz w:val="24"/>
          <w:szCs w:val="24"/>
          <w:highlight w:val="none"/>
        </w:rPr>
      </w:r>
      <w:r/>
    </w:p>
    <w:p>
      <w:pPr>
        <w:pStyle w:val="953"/>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hint="eastAsia" w:ascii="仿宋" w:hAnsi="仿宋" w:eastAsia="仿宋" w:cs="仿宋"/>
          <w:bCs/>
          <w:sz w:val="24"/>
          <w:szCs w:val="24"/>
          <w:highlight w:val="none"/>
        </w:rPr>
      </w:r>
      <w:r/>
    </w:p>
    <w:p>
      <w:pPr>
        <w:pStyle w:val="953"/>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一、定义</w:t>
      </w:r>
      <w:r>
        <w:rPr>
          <w:rFonts w:hint="eastAsia" w:ascii="仿宋" w:hAnsi="仿宋" w:eastAsia="仿宋" w:cs="仿宋"/>
          <w:b/>
          <w:color w:val="000000"/>
          <w:sz w:val="24"/>
          <w:szCs w:val="24"/>
          <w:highlight w:val="none"/>
        </w:rPr>
      </w:r>
      <w:r/>
    </w:p>
    <w:p>
      <w:pPr>
        <w:pStyle w:val="953"/>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以下术语有特定的含义：</w:t>
      </w:r>
      <w:r>
        <w:rPr>
          <w:rFonts w:hint="eastAsia" w:ascii="仿宋" w:hAnsi="仿宋" w:eastAsia="仿宋" w:cs="仿宋"/>
          <w:b/>
          <w:color w:val="000000"/>
          <w:sz w:val="24"/>
          <w:szCs w:val="24"/>
          <w:highlight w:val="none"/>
        </w:rPr>
      </w:r>
      <w:r/>
    </w:p>
    <w:p>
      <w:pPr>
        <w:pStyle w:val="953"/>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服务是指根据合同规定乙方应承担</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等工作和合同中规定乙方应承担的其它义务。</w:t>
      </w:r>
      <w:r>
        <w:rPr>
          <w:rFonts w:hint="eastAsia" w:ascii="仿宋" w:hAnsi="仿宋" w:eastAsia="仿宋" w:cs="仿宋"/>
          <w:color w:val="000000"/>
          <w:sz w:val="24"/>
          <w:szCs w:val="24"/>
          <w:highlight w:val="none"/>
        </w:rPr>
      </w:r>
      <w:r/>
    </w:p>
    <w:p>
      <w:pPr>
        <w:pStyle w:val="953"/>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合同</w:t>
      </w:r>
      <w:r>
        <w:rPr>
          <w:rFonts w:hint="eastAsia" w:ascii="仿宋" w:hAnsi="仿宋" w:eastAsia="仿宋" w:cs="仿宋"/>
          <w:color w:val="000000"/>
          <w:sz w:val="24"/>
          <w:szCs w:val="24"/>
          <w:highlight w:val="none"/>
        </w:rPr>
        <w:t xml:space="preserve">价款是指根据成交单位的响应文件和合同规定，乙方在正确地履行合同义务后甲方</w:t>
      </w:r>
      <w:r>
        <w:rPr>
          <w:rFonts w:hint="eastAsia" w:ascii="仿宋" w:hAnsi="仿宋" w:eastAsia="仿宋" w:cs="仿宋"/>
          <w:bCs/>
          <w:sz w:val="24"/>
          <w:szCs w:val="24"/>
          <w:highlight w:val="none"/>
        </w:rPr>
        <w:t xml:space="preserve">应支付给乙方的价款。</w:t>
      </w:r>
      <w:r>
        <w:rPr>
          <w:rFonts w:hint="eastAsia" w:ascii="仿宋" w:hAnsi="仿宋" w:eastAsia="仿宋" w:cs="仿宋"/>
          <w:bCs/>
          <w:sz w:val="24"/>
          <w:szCs w:val="24"/>
          <w:highlight w:val="none"/>
        </w:rPr>
      </w:r>
      <w:r/>
    </w:p>
    <w:p>
      <w:pPr>
        <w:pStyle w:val="953"/>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甲方是指合同中明确规定的实际购买和接受服务的单位。</w:t>
      </w:r>
      <w:r>
        <w:rPr>
          <w:rFonts w:hint="eastAsia" w:ascii="仿宋" w:hAnsi="仿宋" w:eastAsia="仿宋" w:cs="仿宋"/>
          <w:bCs/>
          <w:sz w:val="24"/>
          <w:szCs w:val="24"/>
          <w:highlight w:val="none"/>
        </w:rPr>
      </w:r>
      <w:r/>
    </w:p>
    <w:p>
      <w:pPr>
        <w:pStyle w:val="953"/>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乙方是指合同中规定的提供服务的单位。</w:t>
      </w:r>
      <w:r>
        <w:rPr>
          <w:rFonts w:hint="eastAsia" w:ascii="仿宋" w:hAnsi="仿宋" w:eastAsia="仿宋" w:cs="仿宋"/>
          <w:bCs/>
          <w:sz w:val="24"/>
          <w:szCs w:val="24"/>
          <w:highlight w:val="none"/>
        </w:rPr>
      </w:r>
      <w:r/>
    </w:p>
    <w:p>
      <w:pPr>
        <w:pStyle w:val="953"/>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损失是指合同一方因不履行合同义务而导致另一方及第三方的各种损失的费用，还包括守约方为减轻损失或维护权利而需支付的各种调查费用、车旅费用、律师费用等。</w:t>
      </w:r>
      <w:r>
        <w:rPr>
          <w:rFonts w:hint="eastAsia" w:ascii="仿宋" w:hAnsi="仿宋" w:eastAsia="仿宋" w:cs="仿宋"/>
          <w:bCs/>
          <w:sz w:val="24"/>
          <w:szCs w:val="24"/>
          <w:highlight w:val="none"/>
        </w:rPr>
      </w:r>
      <w:r/>
    </w:p>
    <w:p>
      <w:pPr>
        <w:pStyle w:val="953"/>
        <w:ind w:firstLine="42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二、合同项目及期限</w:t>
      </w:r>
      <w:r>
        <w:rPr>
          <w:rFonts w:hint="eastAsia" w:ascii="仿宋" w:hAnsi="仿宋" w:eastAsia="仿宋" w:cs="仿宋"/>
          <w:b/>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2.1乙方负责</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的服务工作。</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2.2服务期限：</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2.3服务地点：根据甲方指定地点。</w:t>
      </w:r>
      <w:r>
        <w:rPr>
          <w:rFonts w:hint="eastAsia" w:ascii="仿宋" w:hAnsi="仿宋" w:eastAsia="仿宋" w:cs="仿宋"/>
          <w:color w:val="000000"/>
          <w:sz w:val="24"/>
          <w:szCs w:val="24"/>
          <w:highlight w:val="none"/>
        </w:rPr>
      </w:r>
      <w:r/>
    </w:p>
    <w:p>
      <w:pPr>
        <w:pStyle w:val="953"/>
        <w:ind w:firstLine="422"/>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三、合同总价款：</w:t>
      </w:r>
      <w:r>
        <w:rPr>
          <w:rFonts w:hint="eastAsia" w:ascii="仿宋" w:hAnsi="仿宋" w:eastAsia="仿宋" w:cs="仿宋"/>
          <w:color w:val="000000"/>
          <w:sz w:val="24"/>
          <w:szCs w:val="24"/>
          <w:highlight w:val="none"/>
        </w:rPr>
        <w:t xml:space="preserve">大写人民币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元整，小写￥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仿宋" w:hAnsi="仿宋" w:eastAsia="仿宋" w:cs="仿宋"/>
          <w:color w:val="000000"/>
          <w:sz w:val="24"/>
          <w:szCs w:val="24"/>
          <w:highlight w:val="none"/>
        </w:rPr>
      </w:r>
      <w:r/>
    </w:p>
    <w:p>
      <w:pPr>
        <w:pStyle w:val="953"/>
        <w:ind w:firstLine="422"/>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四、付款方式</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1.付款步骤：</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签订后，乙方开具增值税发票，甲方在收到乙方的发票后60日内支付合同总价的10%作为预付款；全部工作内容完成验收通过后根据考核结果一次性付清余款，乙方根据考核结果开具增值税发票，甲方在收到乙方的发票后60日内支付余款。</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2.根据国家现行税法对甲方征收的与本合同有关的税费均由甲方承担；根据国家现行税法对乙方征收的与本合同有关的一切税费均由乙方承担。如乙方在履约过程中产生额外的收益，归甲方所有。</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3.账户信息</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乙方开户名称：</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银行账号：</w:t>
      </w:r>
      <w:r>
        <w:rPr>
          <w:rFonts w:hint="eastAsia" w:ascii="仿宋" w:hAnsi="仿宋" w:eastAsia="仿宋" w:cs="仿宋"/>
          <w:color w:val="000000"/>
          <w:sz w:val="24"/>
          <w:szCs w:val="24"/>
          <w:highlight w:val="none"/>
        </w:rPr>
      </w:r>
      <w:r/>
    </w:p>
    <w:p>
      <w:pPr>
        <w:pStyle w:val="953"/>
        <w:ind w:firstLine="40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数字人民币账户（数币钱包ID）：</w:t>
      </w:r>
      <w:r>
        <w:rPr>
          <w:rFonts w:hint="eastAsia" w:ascii="仿宋" w:hAnsi="仿宋" w:eastAsia="仿宋" w:cs="仿宋"/>
          <w:color w:val="000000"/>
          <w:sz w:val="24"/>
          <w:szCs w:val="24"/>
          <w:highlight w:val="none"/>
        </w:rPr>
      </w:r>
      <w:r/>
    </w:p>
    <w:p>
      <w:pPr>
        <w:pStyle w:val="953"/>
        <w:ind w:firstLine="42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五、甲、乙双方的责任</w:t>
      </w:r>
      <w:r>
        <w:rPr>
          <w:rFonts w:hint="eastAsia" w:ascii="仿宋" w:hAnsi="仿宋" w:eastAsia="仿宋" w:cs="仿宋"/>
          <w:b/>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1.甲方责任：</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1.1依本合同约定按期支付合同款项；</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1.2依本合同约定及时组织验收；</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1.3协助乙方进行项目的相关协调工作及约定期限内提供相关资料以利于开展项目。</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2.乙方责任：</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乙方负责完成本次采购要求的全部服务工作，乙方应按采购文件以及合同约定的技术规范、标准进行实施，并保证按期、保质保量完成项目的实施工作，对提交的项目质量负责。</w:t>
      </w:r>
      <w:r>
        <w:rPr>
          <w:rFonts w:hint="eastAsia" w:ascii="仿宋" w:hAnsi="仿宋" w:eastAsia="仿宋" w:cs="仿宋"/>
          <w:color w:val="000000"/>
          <w:sz w:val="24"/>
          <w:szCs w:val="24"/>
          <w:highlight w:val="none"/>
        </w:rPr>
      </w:r>
      <w:r/>
    </w:p>
    <w:p>
      <w:pPr>
        <w:pStyle w:val="953"/>
        <w:ind w:firstLine="42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六、违约责任</w:t>
      </w:r>
      <w:r>
        <w:rPr>
          <w:rFonts w:hint="eastAsia" w:ascii="仿宋" w:hAnsi="仿宋" w:eastAsia="仿宋" w:cs="仿宋"/>
          <w:b/>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1.甲方违约责任：</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甲方无故逾期付款的应按照逾期付款金额的每天万分之三支付逾期付款违约金，违约金总额不超逾期付款金额的5%。</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2.乙方的违约责任：</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 在合同生效后，乙方无故要求解除合同的，应向甲方偿付合同总价款5%的违约金，违约金不足以补偿损失的，甲方有权要求乙方补足。</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2.2乙方未按合同规定的质量要求提供服务，存在以下情形之一的，每种情形扣除合同总价款的5%的款项：</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（1）未到相关单位现场复核；</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（2）仅依据相关单位提供的汇总数据复核，未对数据支撑材料进行核查；</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（3）填报的复核表内容前后矛盾、计算错误等形式错误；</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（4）其他未按合同规定的服务要求提供服务的情形。</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2.3乙方必须自己完成合同内容，不得自行分包，否则，甲方有权按乙方不能完成合同处理。</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2.4乙方应执行国家有关规定（如苏州最低工资标准和其他规定），负责乙方员工的生病、事故、伤残、死亡和劳务纠纷，甲方不承担任何相关责任。</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2.5乙方负有对自己员工的安全责任，甲方不承担任何相关责任。</w:t>
      </w:r>
      <w:r>
        <w:rPr>
          <w:rFonts w:hint="eastAsia" w:ascii="仿宋" w:hAnsi="仿宋" w:eastAsia="仿宋" w:cs="仿宋"/>
          <w:color w:val="000000"/>
          <w:sz w:val="24"/>
          <w:szCs w:val="24"/>
          <w:highlight w:val="none"/>
        </w:rPr>
      </w:r>
      <w:r/>
    </w:p>
    <w:p>
      <w:pPr>
        <w:pStyle w:val="953"/>
        <w:ind w:firstLine="42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七、不可抗力</w:t>
      </w:r>
      <w:r>
        <w:rPr>
          <w:rFonts w:hint="eastAsia" w:ascii="仿宋" w:hAnsi="仿宋" w:eastAsia="仿宋" w:cs="仿宋"/>
          <w:b/>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2.本条所述的“不可抗力”系指那些双方无法控制，不可预见的事件，但不包括双方的违约或疏忽。这些事件包括但不限于：战争、严重火灾、洪水、台风、地震以及其它双方商定的事件。 </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hint="eastAsia" w:ascii="仿宋" w:hAnsi="仿宋" w:eastAsia="仿宋" w:cs="仿宋"/>
          <w:color w:val="000000"/>
          <w:sz w:val="24"/>
          <w:szCs w:val="24"/>
          <w:highlight w:val="none"/>
        </w:rPr>
      </w:r>
      <w:r/>
    </w:p>
    <w:p>
      <w:pPr>
        <w:pStyle w:val="953"/>
        <w:ind w:firstLine="42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八、争端的解决 </w:t>
      </w:r>
      <w:r>
        <w:rPr>
          <w:rFonts w:hint="eastAsia" w:ascii="仿宋" w:hAnsi="仿宋" w:eastAsia="仿宋" w:cs="仿宋"/>
          <w:b/>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1.甲方和乙方应通过友好协商，解决在执行本合同过程中所发生的或与本合同有关的一切争端。如从协商开始十天内仍不能解决，可向有关合同管理部门提请调解。 </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2.如果调解不成，双方中的任何一方可向甲方所在地有管辖权人民法院提起诉讼。 </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3.诉讼费由败诉方负担。</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4.因合同部分履行引发诉讼的，在诉讼期间，除正在进行诉讼的部分外，本合同的其它部分应继续执行。</w:t>
      </w:r>
      <w:r>
        <w:rPr>
          <w:rFonts w:hint="eastAsia" w:ascii="仿宋" w:hAnsi="仿宋" w:eastAsia="仿宋" w:cs="仿宋"/>
          <w:color w:val="000000"/>
          <w:sz w:val="24"/>
          <w:szCs w:val="24"/>
          <w:highlight w:val="none"/>
        </w:rPr>
      </w:r>
      <w:r/>
    </w:p>
    <w:p>
      <w:pPr>
        <w:pStyle w:val="953"/>
        <w:ind w:firstLine="42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九、违约终止合同</w:t>
      </w:r>
      <w:r>
        <w:rPr>
          <w:rFonts w:hint="eastAsia" w:ascii="仿宋" w:hAnsi="仿宋" w:eastAsia="仿宋" w:cs="仿宋"/>
          <w:b/>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1.在甲方因乙方违约而按合同约定采取的任何补救措施不受影响的情况下，甲方可在下列情况下向乙方发出书面通知，提出终止部分或全部合同。</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 如果乙方未能在合同规定的限期或甲方同意延长的限期内提供部分或全部服务。</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 如果乙方未能履行合同规定的其它任何义务。</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3.如果甲方违约，应承担相应的违约责任。 </w:t>
      </w:r>
      <w:r>
        <w:rPr>
          <w:rFonts w:hint="eastAsia" w:ascii="仿宋" w:hAnsi="仿宋" w:eastAsia="仿宋" w:cs="仿宋"/>
          <w:color w:val="000000"/>
          <w:sz w:val="24"/>
          <w:szCs w:val="24"/>
          <w:highlight w:val="none"/>
        </w:rPr>
      </w:r>
      <w:r/>
    </w:p>
    <w:p>
      <w:pPr>
        <w:pStyle w:val="953"/>
        <w:ind w:firstLine="422"/>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十、破产终止合同：</w:t>
      </w:r>
      <w:r>
        <w:rPr>
          <w:rFonts w:hint="eastAsia" w:ascii="仿宋" w:hAnsi="仿宋" w:eastAsia="仿宋" w:cs="仿宋"/>
          <w:color w:val="000000"/>
          <w:sz w:val="24"/>
          <w:szCs w:val="24"/>
          <w:highlight w:val="none"/>
        </w:rPr>
        <w:t xml:space="preserve">如果乙方破产或丧失清偿能力，甲方可在任何时候以书面形式通知乙方终止合同而不给乙方补偿。该终止合同将不损害或影响甲方已经采取或将要采取任何补救措施的权利。 </w:t>
      </w:r>
      <w:r>
        <w:rPr>
          <w:rFonts w:hint="eastAsia" w:ascii="仿宋" w:hAnsi="仿宋" w:eastAsia="仿宋" w:cs="仿宋"/>
          <w:color w:val="000000"/>
          <w:sz w:val="24"/>
          <w:szCs w:val="24"/>
          <w:highlight w:val="none"/>
        </w:rPr>
      </w:r>
      <w:r/>
    </w:p>
    <w:p>
      <w:pPr>
        <w:pStyle w:val="953"/>
        <w:ind w:firstLine="422"/>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十一、政府采购法对政府采购合同变更终止的规定：</w:t>
      </w:r>
      <w:r>
        <w:rPr>
          <w:rFonts w:hint="eastAsia" w:ascii="仿宋" w:hAnsi="仿宋" w:eastAsia="仿宋" w:cs="仿宋"/>
          <w:color w:val="000000"/>
          <w:sz w:val="24"/>
          <w:szCs w:val="24"/>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hint="eastAsia" w:ascii="仿宋" w:hAnsi="仿宋" w:eastAsia="仿宋" w:cs="仿宋"/>
          <w:color w:val="000000"/>
          <w:sz w:val="24"/>
          <w:szCs w:val="24"/>
          <w:highlight w:val="none"/>
        </w:rPr>
      </w:r>
      <w:r/>
    </w:p>
    <w:p>
      <w:pPr>
        <w:pStyle w:val="953"/>
        <w:ind w:firstLine="422"/>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十二、合同转让和分包：</w:t>
      </w:r>
      <w:r>
        <w:rPr>
          <w:rFonts w:hint="eastAsia" w:ascii="仿宋" w:hAnsi="仿宋" w:eastAsia="仿宋" w:cs="仿宋"/>
          <w:color w:val="000000"/>
          <w:sz w:val="24"/>
          <w:szCs w:val="24"/>
          <w:highlight w:val="none"/>
        </w:rPr>
        <w:t xml:space="preserve">本项目不得转让和分包。</w:t>
      </w:r>
      <w:r>
        <w:rPr>
          <w:rFonts w:hint="eastAsia" w:ascii="仿宋" w:hAnsi="仿宋" w:eastAsia="仿宋" w:cs="仿宋"/>
          <w:color w:val="000000"/>
          <w:sz w:val="24"/>
          <w:szCs w:val="24"/>
          <w:highlight w:val="none"/>
        </w:rPr>
      </w:r>
      <w:r/>
    </w:p>
    <w:p>
      <w:pPr>
        <w:pStyle w:val="953"/>
        <w:ind w:firstLine="42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十三、需要补充的合同条款：</w:t>
      </w:r>
      <w:r>
        <w:rPr>
          <w:rFonts w:hint="eastAsia" w:ascii="仿宋" w:hAnsi="仿宋" w:eastAsia="仿宋" w:cs="仿宋"/>
          <w:color w:val="000000"/>
          <w:sz w:val="24"/>
          <w:szCs w:val="24"/>
          <w:highlight w:val="none"/>
        </w:rPr>
        <w:t xml:space="preserve">（根据评审过程中或者商务谈判时商定的条款和条件在订立合同时标明）。</w:t>
      </w:r>
      <w:r>
        <w:rPr>
          <w:rFonts w:hint="eastAsia" w:ascii="仿宋" w:hAnsi="仿宋" w:eastAsia="仿宋" w:cs="仿宋"/>
          <w:b/>
          <w:color w:val="000000"/>
          <w:sz w:val="24"/>
          <w:szCs w:val="24"/>
          <w:highlight w:val="none"/>
        </w:rPr>
      </w:r>
      <w:r/>
    </w:p>
    <w:p>
      <w:pPr>
        <w:pStyle w:val="953"/>
        <w:ind w:firstLine="42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十四、合同生效</w:t>
      </w:r>
      <w:r>
        <w:rPr>
          <w:rFonts w:hint="eastAsia" w:ascii="仿宋" w:hAnsi="仿宋" w:eastAsia="仿宋" w:cs="仿宋"/>
          <w:b/>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1.双方签约人为各自法定代表人或被授权代表。</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2.本合同系指本文件及其附件中的所有部分，采购文件、成交单位的响应文件、成交通知书、成交单位在采购过程中的澄清和承诺等为本合同不可缺少的组成部分。</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3.本合同自甲乙双方签字盖章之日起生效。</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4.本合同壹式</w:t>
      </w:r>
      <w:r>
        <w:rPr>
          <w:rFonts w:hint="eastAsia" w:ascii="仿宋" w:hAnsi="仿宋" w:eastAsia="仿宋" w:cs="仿宋"/>
          <w:b/>
          <w:color w:val="000000"/>
          <w:sz w:val="24"/>
          <w:szCs w:val="24"/>
          <w:highlight w:val="none"/>
        </w:rPr>
        <w:t xml:space="preserve">肆</w:t>
      </w:r>
      <w:r>
        <w:rPr>
          <w:rFonts w:hint="eastAsia" w:ascii="仿宋" w:hAnsi="仿宋" w:eastAsia="仿宋" w:cs="仿宋"/>
          <w:color w:val="000000"/>
          <w:sz w:val="24"/>
          <w:szCs w:val="24"/>
          <w:highlight w:val="none"/>
        </w:rPr>
        <w:t xml:space="preserve">份，甲乙双方各执</w:t>
      </w:r>
      <w:r>
        <w:rPr>
          <w:rFonts w:hint="eastAsia" w:ascii="仿宋" w:hAnsi="仿宋" w:eastAsia="仿宋" w:cs="仿宋"/>
          <w:b/>
          <w:color w:val="000000"/>
          <w:sz w:val="24"/>
          <w:szCs w:val="24"/>
          <w:highlight w:val="none"/>
        </w:rPr>
        <w:t xml:space="preserve">贰</w:t>
      </w:r>
      <w:r>
        <w:rPr>
          <w:rFonts w:hint="eastAsia" w:ascii="仿宋" w:hAnsi="仿宋" w:eastAsia="仿宋" w:cs="仿宋"/>
          <w:color w:val="000000"/>
          <w:sz w:val="24"/>
          <w:szCs w:val="24"/>
          <w:highlight w:val="none"/>
        </w:rPr>
        <w:t xml:space="preserve">份，各份具有同等法律效力。</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5.本合同应按照中华人民共和国的现行法律进行解释。</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6.合同修改：除甲乙双方签署书面修改、补充协议，并成为本合同不可分割的一部分之外，本合同条件不得有任何变化或修改。</w:t>
      </w:r>
      <w:r>
        <w:rPr>
          <w:rFonts w:hint="eastAsia" w:ascii="仿宋" w:hAnsi="仿宋" w:eastAsia="仿宋" w:cs="仿宋"/>
          <w:color w:val="000000"/>
          <w:sz w:val="24"/>
          <w:szCs w:val="24"/>
          <w:highlight w:val="none"/>
        </w:rPr>
      </w:r>
      <w:r/>
    </w:p>
    <w:p>
      <w:pPr>
        <w:pStyle w:val="953"/>
        <w:jc w:val="center"/>
        <w:spacing w:line="5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合同附件：《太仓市财政局委托第三方机构参与预算绩效管理业务质量考核办法》</w:t>
      </w:r>
      <w:r>
        <w:rPr>
          <w:rFonts w:hint="eastAsia" w:ascii="仿宋" w:hAnsi="仿宋" w:eastAsia="仿宋" w:cs="仿宋"/>
          <w:color w:val="000000"/>
          <w:sz w:val="24"/>
          <w:szCs w:val="24"/>
          <w:highlight w:val="none"/>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sz w:val="24"/>
          <w:szCs w:val="24"/>
          <w:highlight w:val="none"/>
          <w:lang w:bidi="ar"/>
        </w:rPr>
        <w:t xml:space="preserve">政府采购履约验收书格式》</w:t>
      </w:r>
      <w:r>
        <w:rPr>
          <w:rFonts w:hint="eastAsia" w:ascii="仿宋" w:hAnsi="仿宋" w:eastAsia="仿宋" w:cs="仿宋"/>
          <w:color w:val="000000"/>
          <w:sz w:val="24"/>
          <w:szCs w:val="24"/>
          <w:highlight w:val="none"/>
        </w:rPr>
      </w:r>
      <w:r/>
    </w:p>
    <w:p>
      <w:pPr>
        <w:pStyle w:val="953"/>
        <w:ind w:left="420" w:firstLine="420"/>
        <w:jc w:val="both"/>
        <w:spacing w:after="120"/>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p>
      <w:pPr>
        <w:pStyle w:val="953"/>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甲方（公章）：                             乙方（公章）：</w:t>
      </w:r>
      <w:r>
        <w:rPr>
          <w:rFonts w:hint="eastAsia" w:ascii="仿宋" w:hAnsi="仿宋" w:eastAsia="仿宋" w:cs="仿宋"/>
          <w:color w:val="000000"/>
          <w:sz w:val="24"/>
          <w:szCs w:val="24"/>
          <w:highlight w:val="none"/>
        </w:rPr>
      </w:r>
      <w:r/>
    </w:p>
    <w:p>
      <w:pPr>
        <w:pStyle w:val="953"/>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法定代表人或授权代表（签字或盖章）：       法定代表人或授权代表（签字或盖章）： </w:t>
      </w:r>
      <w:r>
        <w:rPr>
          <w:rFonts w:hint="eastAsia" w:ascii="仿宋" w:hAnsi="仿宋" w:eastAsia="仿宋" w:cs="仿宋"/>
          <w:color w:val="000000"/>
          <w:sz w:val="24"/>
          <w:szCs w:val="24"/>
          <w:highlight w:val="none"/>
        </w:rPr>
      </w:r>
      <w:r/>
    </w:p>
    <w:p>
      <w:pPr>
        <w:pStyle w:val="953"/>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签约日期：                                 签约日期： </w:t>
      </w:r>
      <w:r>
        <w:rPr>
          <w:rFonts w:hint="eastAsia" w:ascii="仿宋" w:hAnsi="仿宋" w:eastAsia="仿宋" w:cs="仿宋"/>
          <w:color w:val="000000"/>
          <w:sz w:val="24"/>
          <w:szCs w:val="24"/>
          <w:highlight w:val="none"/>
        </w:rPr>
      </w:r>
      <w:r/>
    </w:p>
    <w:p>
      <w:pPr>
        <w:pStyle w:val="953"/>
        <w:jc w:val="left"/>
        <w:spacing w:line="580" w:lineRule="exact"/>
        <w:rPr>
          <w:rFonts w:hint="eastAsia" w:ascii="仿宋" w:hAnsi="仿宋" w:eastAsia="仿宋" w:cs="仿宋"/>
          <w:szCs w:val="22"/>
          <w:highlight w:val="none"/>
        </w:rPr>
      </w:pPr>
      <w:r>
        <w:rPr>
          <w:rFonts w:hint="eastAsia" w:ascii="Calibri" w:hAnsi="Calibri" w:eastAsia="宋体" w:cs="宋体"/>
          <w:szCs w:val="22"/>
          <w:highlight w:val="none"/>
        </w:rPr>
        <w:br w:type="page" w:clear="all"/>
      </w:r>
      <w:r>
        <w:rPr>
          <w:rFonts w:hint="eastAsia" w:ascii="仿宋" w:hAnsi="仿宋" w:eastAsia="仿宋" w:cs="仿宋"/>
          <w:sz w:val="24"/>
          <w:szCs w:val="24"/>
          <w:highlight w:val="none"/>
        </w:rPr>
        <w:t xml:space="preserve">附件：</w:t>
      </w:r>
      <w:r>
        <w:rPr>
          <w:rFonts w:hint="eastAsia" w:ascii="仿宋" w:hAnsi="仿宋" w:eastAsia="仿宋" w:cs="仿宋"/>
          <w:szCs w:val="22"/>
          <w:highlight w:val="none"/>
        </w:rPr>
      </w:r>
      <w:r/>
    </w:p>
    <w:p>
      <w:pPr>
        <w:pStyle w:val="953"/>
        <w:jc w:val="center"/>
        <w:spacing w:line="580" w:lineRule="exact"/>
        <w:rPr>
          <w:rFonts w:hint="eastAsia" w:ascii="仿宋" w:hAnsi="仿宋" w:eastAsia="仿宋" w:cs="仿宋"/>
          <w:b/>
          <w:bCs/>
          <w:sz w:val="28"/>
          <w:szCs w:val="28"/>
          <w:highlight w:val="none"/>
          <w:lang w:eastAsia="en-US"/>
        </w:rPr>
      </w:pPr>
      <w:r>
        <w:rPr>
          <w:rFonts w:hint="eastAsia" w:ascii="仿宋" w:hAnsi="仿宋" w:eastAsia="仿宋" w:cs="仿宋"/>
          <w:b/>
          <w:bCs/>
          <w:sz w:val="28"/>
          <w:szCs w:val="28"/>
          <w:highlight w:val="none"/>
          <w:lang w:eastAsia="en-US"/>
        </w:rPr>
        <w:t xml:space="preserve">太仓市财政局</w:t>
      </w:r>
      <w:r>
        <w:rPr>
          <w:rFonts w:hint="eastAsia" w:ascii="仿宋" w:hAnsi="仿宋" w:eastAsia="仿宋" w:cs="仿宋"/>
          <w:b/>
          <w:bCs/>
          <w:sz w:val="28"/>
          <w:szCs w:val="28"/>
          <w:highlight w:val="none"/>
        </w:rPr>
        <w:t xml:space="preserve">委托</w:t>
      </w:r>
      <w:r>
        <w:rPr>
          <w:rFonts w:hint="eastAsia" w:ascii="仿宋" w:hAnsi="仿宋" w:eastAsia="仿宋" w:cs="仿宋"/>
          <w:b/>
          <w:bCs/>
          <w:sz w:val="28"/>
          <w:szCs w:val="28"/>
          <w:highlight w:val="none"/>
          <w:lang w:eastAsia="en-US"/>
        </w:rPr>
        <w:t xml:space="preserve">第三方机构参与预算绩效管理业务质量考核办法</w:t>
      </w:r>
      <w:r>
        <w:rPr>
          <w:rFonts w:hint="eastAsia" w:ascii="仿宋" w:hAnsi="仿宋" w:eastAsia="仿宋" w:cs="仿宋"/>
          <w:b/>
          <w:bCs/>
          <w:sz w:val="28"/>
          <w:szCs w:val="28"/>
          <w:highlight w:val="none"/>
          <w:lang w:eastAsia="en-US"/>
        </w:rPr>
      </w:r>
      <w:r/>
    </w:p>
    <w:p>
      <w:pPr>
        <w:pStyle w:val="953"/>
        <w:jc w:val="center"/>
        <w:spacing w:line="580" w:lineRule="exact"/>
        <w:rPr>
          <w:rFonts w:ascii="宋体" w:hAnsi="宋体" w:eastAsia="宋体" w:cs="宋体"/>
          <w:szCs w:val="21"/>
          <w:highlight w:val="none"/>
          <w:lang w:eastAsia="en-US"/>
        </w:rPr>
      </w:pPr>
      <w:r>
        <w:rPr>
          <w:rFonts w:ascii="宋体" w:hAnsi="宋体" w:eastAsia="宋体" w:cs="宋体"/>
          <w:szCs w:val="21"/>
          <w:highlight w:val="none"/>
          <w:lang w:eastAsia="en-US"/>
        </w:rPr>
      </w:r>
      <w:r/>
    </w:p>
    <w:p>
      <w:pPr>
        <w:pStyle w:val="953"/>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第一条</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en-US"/>
        </w:rPr>
        <w:t xml:space="preserve">为提高第三方机构参与预算绩效管理业务的工作效率和质量，根据省财政厅</w:t>
      </w:r>
      <w:r>
        <w:rPr>
          <w:rFonts w:hint="eastAsia" w:ascii="仿宋" w:hAnsi="仿宋" w:eastAsia="仿宋" w:cs="仿宋"/>
          <w:color w:val="000000"/>
          <w:sz w:val="24"/>
          <w:szCs w:val="24"/>
          <w:highlight w:val="none"/>
        </w:rPr>
        <w:t xml:space="preserve">印发的《江苏省委托第三方机构参与预算绩效管理业务办法》</w:t>
      </w:r>
      <w:r>
        <w:rPr>
          <w:rFonts w:hint="eastAsia" w:ascii="仿宋" w:hAnsi="仿宋" w:eastAsia="仿宋" w:cs="仿宋"/>
          <w:color w:val="000000"/>
          <w:sz w:val="24"/>
          <w:szCs w:val="24"/>
          <w:highlight w:val="none"/>
          <w:lang w:eastAsia="en-US"/>
        </w:rPr>
        <w:t xml:space="preserve">《第三方机构参与预算绩效管理业务质量考核办法》等相关规定，制定本办法。</w:t>
      </w:r>
      <w:r>
        <w:rPr>
          <w:rFonts w:hint="eastAsia" w:ascii="仿宋" w:hAnsi="仿宋" w:eastAsia="仿宋" w:cs="仿宋"/>
          <w:color w:val="000000"/>
          <w:sz w:val="24"/>
          <w:szCs w:val="24"/>
          <w:highlight w:val="none"/>
          <w:lang w:eastAsia="en-US"/>
        </w:rPr>
      </w:r>
      <w:r/>
    </w:p>
    <w:p>
      <w:pPr>
        <w:pStyle w:val="953"/>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第二条</w:t>
      </w:r>
      <w:r>
        <w:rPr>
          <w:rFonts w:hint="eastAsia" w:ascii="仿宋" w:hAnsi="仿宋" w:eastAsia="仿宋" w:cs="仿宋"/>
          <w:color w:val="000000"/>
          <w:sz w:val="24"/>
          <w:szCs w:val="24"/>
          <w:highlight w:val="none"/>
        </w:rPr>
        <w:t xml:space="preserve">  太仓市财政局（</w:t>
      </w:r>
      <w:r>
        <w:rPr>
          <w:rFonts w:hint="eastAsia" w:ascii="仿宋" w:hAnsi="仿宋" w:eastAsia="仿宋" w:cs="仿宋"/>
          <w:color w:val="000000"/>
          <w:sz w:val="24"/>
          <w:szCs w:val="24"/>
          <w:highlight w:val="none"/>
          <w:lang w:eastAsia="en-US"/>
        </w:rPr>
        <w:t xml:space="preserve">以下</w:t>
      </w:r>
      <w:r>
        <w:rPr>
          <w:rFonts w:hint="eastAsia" w:ascii="仿宋" w:hAnsi="仿宋" w:eastAsia="仿宋" w:cs="仿宋"/>
          <w:color w:val="000000"/>
          <w:sz w:val="24"/>
          <w:szCs w:val="24"/>
          <w:highlight w:val="none"/>
        </w:rPr>
        <w:t xml:space="preserve">简称</w:t>
      </w:r>
      <w:r>
        <w:rPr>
          <w:rFonts w:hint="eastAsia" w:ascii="仿宋" w:hAnsi="仿宋" w:eastAsia="仿宋" w:cs="仿宋"/>
          <w:color w:val="000000"/>
          <w:sz w:val="24"/>
          <w:szCs w:val="24"/>
          <w:highlight w:val="none"/>
          <w:lang w:eastAsia="en-US"/>
        </w:rPr>
        <w:t xml:space="preserve">委托方</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en-US"/>
        </w:rPr>
        <w:t xml:space="preserve">根据所委托业务的特点和要求，对第三方机构参与预算绩效管理业务质量开展考核。</w:t>
      </w:r>
      <w:r>
        <w:rPr>
          <w:rFonts w:hint="eastAsia" w:ascii="仿宋" w:hAnsi="仿宋" w:eastAsia="仿宋" w:cs="仿宋"/>
          <w:color w:val="000000"/>
          <w:sz w:val="24"/>
          <w:szCs w:val="24"/>
          <w:highlight w:val="none"/>
          <w:lang w:eastAsia="en-US"/>
        </w:rPr>
      </w:r>
      <w:r/>
    </w:p>
    <w:p>
      <w:pPr>
        <w:pStyle w:val="953"/>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第三条</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en-US"/>
        </w:rPr>
        <w:t xml:space="preserve">委托方重点围绕委托协议明确的工作内容和要求，根据工作完成情况，采用分级分档方式，客观公正进行考核。</w:t>
      </w:r>
      <w:r>
        <w:rPr>
          <w:rFonts w:hint="eastAsia" w:ascii="仿宋" w:hAnsi="仿宋" w:eastAsia="仿宋" w:cs="仿宋"/>
          <w:color w:val="000000"/>
          <w:sz w:val="24"/>
          <w:szCs w:val="24"/>
          <w:highlight w:val="none"/>
          <w:lang w:eastAsia="en-US"/>
        </w:rPr>
      </w:r>
      <w:r/>
    </w:p>
    <w:p>
      <w:pPr>
        <w:pStyle w:val="953"/>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委托方不得以考核名义影响第三方机构独立、公正开展工作。</w:t>
      </w:r>
      <w:r>
        <w:rPr>
          <w:rFonts w:hint="eastAsia" w:ascii="仿宋" w:hAnsi="仿宋" w:eastAsia="仿宋" w:cs="仿宋"/>
          <w:color w:val="000000"/>
          <w:sz w:val="24"/>
          <w:szCs w:val="24"/>
          <w:highlight w:val="none"/>
          <w:lang w:eastAsia="en-US"/>
        </w:rPr>
      </w:r>
      <w:r/>
    </w:p>
    <w:p>
      <w:pPr>
        <w:pStyle w:val="953"/>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第四条</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en-US"/>
        </w:rPr>
        <w:t xml:space="preserve">考核内容包括第三方机构参与预算绩效管理业务的工作规范和工作质量。考核评分采用百分制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en-US"/>
        </w:rPr>
        <w:t xml:space="preserve">详见附表</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en-US"/>
        </w:rPr>
        <w:t xml:space="preserve">。</w:t>
      </w:r>
      <w:r>
        <w:rPr>
          <w:rFonts w:hint="eastAsia" w:ascii="仿宋" w:hAnsi="仿宋" w:eastAsia="仿宋" w:cs="仿宋"/>
          <w:color w:val="000000"/>
          <w:sz w:val="24"/>
          <w:szCs w:val="24"/>
          <w:highlight w:val="none"/>
          <w:lang w:eastAsia="en-US"/>
        </w:rPr>
      </w:r>
      <w:r/>
    </w:p>
    <w:p>
      <w:pPr>
        <w:pStyle w:val="953"/>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w:t>
      </w:r>
      <w:r>
        <w:rPr>
          <w:rFonts w:hint="eastAsia" w:ascii="仿宋" w:hAnsi="仿宋" w:eastAsia="仿宋" w:cs="仿宋"/>
          <w:color w:val="000000"/>
          <w:sz w:val="24"/>
          <w:szCs w:val="24"/>
          <w:highlight w:val="none"/>
        </w:rPr>
        <w:t xml:space="preserve">一</w:t>
      </w:r>
      <w:r>
        <w:rPr>
          <w:rFonts w:hint="eastAsia" w:ascii="仿宋" w:hAnsi="仿宋" w:eastAsia="仿宋" w:cs="仿宋"/>
          <w:color w:val="000000"/>
          <w:sz w:val="24"/>
          <w:szCs w:val="24"/>
          <w:highlight w:val="none"/>
          <w:lang w:eastAsia="en-US"/>
        </w:rPr>
        <w:t xml:space="preserve">）</w:t>
      </w:r>
      <w:r>
        <w:rPr>
          <w:rFonts w:hint="eastAsia" w:ascii="仿宋" w:hAnsi="仿宋" w:eastAsia="仿宋" w:cs="仿宋"/>
          <w:color w:val="000000"/>
          <w:sz w:val="24"/>
          <w:szCs w:val="24"/>
          <w:highlight w:val="none"/>
        </w:rPr>
        <w:t xml:space="preserve">工作规范</w:t>
      </w:r>
      <w:r>
        <w:rPr>
          <w:rFonts w:hint="eastAsia" w:ascii="仿宋" w:hAnsi="仿宋" w:eastAsia="仿宋" w:cs="仿宋"/>
          <w:color w:val="000000"/>
          <w:sz w:val="24"/>
          <w:szCs w:val="24"/>
          <w:highlight w:val="none"/>
          <w:lang w:eastAsia="en-US"/>
        </w:rPr>
        <w:t xml:space="preserve">（</w:t>
      </w:r>
      <w:r>
        <w:rPr>
          <w:rFonts w:hint="eastAsia" w:ascii="仿宋" w:hAnsi="仿宋" w:eastAsia="仿宋" w:cs="仿宋"/>
          <w:color w:val="000000"/>
          <w:sz w:val="24"/>
          <w:szCs w:val="24"/>
          <w:highlight w:val="none"/>
        </w:rPr>
        <w:t xml:space="preserve">40分</w:t>
      </w:r>
      <w:r>
        <w:rPr>
          <w:rFonts w:hint="eastAsia" w:ascii="仿宋" w:hAnsi="仿宋" w:eastAsia="仿宋" w:cs="仿宋"/>
          <w:color w:val="000000"/>
          <w:sz w:val="24"/>
          <w:szCs w:val="24"/>
          <w:highlight w:val="none"/>
          <w:lang w:eastAsia="en-US"/>
        </w:rPr>
        <w:t xml:space="preserve">）</w:t>
      </w:r>
      <w:r>
        <w:rPr>
          <w:rFonts w:hint="eastAsia" w:ascii="仿宋" w:hAnsi="仿宋" w:eastAsia="仿宋" w:cs="仿宋"/>
          <w:color w:val="000000"/>
          <w:sz w:val="24"/>
          <w:szCs w:val="24"/>
          <w:highlight w:val="none"/>
          <w:lang w:eastAsia="en-US"/>
        </w:rPr>
      </w:r>
      <w:r/>
    </w:p>
    <w:p>
      <w:pPr>
        <w:pStyle w:val="953"/>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en-US"/>
        </w:rPr>
        <w:t xml:space="preserve">工作保障（15 分）。考核人员安排、沟通协调等情况。</w:t>
      </w:r>
      <w:r>
        <w:rPr>
          <w:rFonts w:hint="eastAsia" w:ascii="仿宋" w:hAnsi="仿宋" w:eastAsia="仿宋" w:cs="仿宋"/>
          <w:color w:val="000000"/>
          <w:sz w:val="24"/>
          <w:szCs w:val="24"/>
          <w:highlight w:val="none"/>
          <w:lang w:eastAsia="en-US"/>
        </w:rPr>
      </w:r>
      <w:r/>
    </w:p>
    <w:p>
      <w:pPr>
        <w:pStyle w:val="953"/>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2</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en-US"/>
        </w:rPr>
        <w:t xml:space="preserve">工作流程（5 分）。考核是否符合委托业务的工作流程要求。</w:t>
      </w:r>
      <w:r>
        <w:rPr>
          <w:rFonts w:hint="eastAsia" w:ascii="仿宋" w:hAnsi="仿宋" w:eastAsia="仿宋" w:cs="仿宋"/>
          <w:color w:val="000000"/>
          <w:sz w:val="24"/>
          <w:szCs w:val="24"/>
          <w:highlight w:val="none"/>
          <w:lang w:eastAsia="en-US"/>
        </w:rPr>
      </w:r>
      <w:r/>
    </w:p>
    <w:p>
      <w:pPr>
        <w:pStyle w:val="953"/>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3</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en-US"/>
        </w:rPr>
        <w:t xml:space="preserve">工作进度（10 分）。考核是否按照协议约定的时限完成各项工作。</w:t>
      </w:r>
      <w:r>
        <w:rPr>
          <w:rFonts w:hint="eastAsia" w:ascii="仿宋" w:hAnsi="仿宋" w:eastAsia="仿宋" w:cs="仿宋"/>
          <w:color w:val="000000"/>
          <w:sz w:val="24"/>
          <w:szCs w:val="24"/>
          <w:highlight w:val="none"/>
          <w:lang w:eastAsia="en-US"/>
        </w:rPr>
      </w:r>
      <w:r/>
    </w:p>
    <w:p>
      <w:pPr>
        <w:pStyle w:val="953"/>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4</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en-US"/>
        </w:rPr>
        <w:t xml:space="preserve">工作纪律（10 分）。考核是否遵守廉洁、回避、保密等要求。</w:t>
      </w:r>
      <w:r>
        <w:rPr>
          <w:rFonts w:hint="eastAsia" w:ascii="仿宋" w:hAnsi="仿宋" w:eastAsia="仿宋" w:cs="仿宋"/>
          <w:color w:val="000000"/>
          <w:sz w:val="24"/>
          <w:szCs w:val="24"/>
          <w:highlight w:val="none"/>
          <w:lang w:eastAsia="en-US"/>
        </w:rPr>
      </w:r>
      <w:r/>
    </w:p>
    <w:p>
      <w:pPr>
        <w:pStyle w:val="953"/>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（二）</w:t>
      </w:r>
      <w:r>
        <w:rPr>
          <w:rFonts w:hint="eastAsia" w:ascii="仿宋" w:hAnsi="仿宋" w:eastAsia="仿宋" w:cs="仿宋"/>
          <w:color w:val="000000"/>
          <w:sz w:val="24"/>
          <w:szCs w:val="24"/>
          <w:highlight w:val="none"/>
        </w:rPr>
        <w:t xml:space="preserve">工作质量</w:t>
      </w:r>
      <w:r>
        <w:rPr>
          <w:rFonts w:hint="eastAsia" w:ascii="仿宋" w:hAnsi="仿宋" w:eastAsia="仿宋" w:cs="仿宋"/>
          <w:color w:val="000000"/>
          <w:sz w:val="24"/>
          <w:szCs w:val="24"/>
          <w:highlight w:val="none"/>
          <w:lang w:eastAsia="en-US"/>
        </w:rPr>
        <w:t xml:space="preserve">（</w:t>
      </w:r>
      <w:r>
        <w:rPr>
          <w:rFonts w:hint="eastAsia" w:ascii="仿宋" w:hAnsi="仿宋" w:eastAsia="仿宋" w:cs="仿宋"/>
          <w:color w:val="000000"/>
          <w:sz w:val="24"/>
          <w:szCs w:val="24"/>
          <w:highlight w:val="none"/>
        </w:rPr>
        <w:t xml:space="preserve">60分</w:t>
      </w:r>
      <w:r>
        <w:rPr>
          <w:rFonts w:hint="eastAsia" w:ascii="仿宋" w:hAnsi="仿宋" w:eastAsia="仿宋" w:cs="仿宋"/>
          <w:color w:val="000000"/>
          <w:sz w:val="24"/>
          <w:szCs w:val="24"/>
          <w:highlight w:val="none"/>
          <w:lang w:eastAsia="en-US"/>
        </w:rPr>
        <w:t xml:space="preserve">）</w:t>
      </w:r>
      <w:r>
        <w:rPr>
          <w:rFonts w:hint="eastAsia" w:ascii="仿宋" w:hAnsi="仿宋" w:eastAsia="仿宋" w:cs="仿宋"/>
          <w:color w:val="000000"/>
          <w:sz w:val="24"/>
          <w:szCs w:val="24"/>
          <w:highlight w:val="none"/>
          <w:lang w:eastAsia="en-US"/>
        </w:rPr>
      </w:r>
      <w:r/>
    </w:p>
    <w:p>
      <w:pPr>
        <w:pStyle w:val="953"/>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en-US"/>
        </w:rPr>
        <w:t xml:space="preserve">工作方案（20 分）。考核资料收集、政策研究等情况。</w:t>
      </w:r>
      <w:r>
        <w:rPr>
          <w:rFonts w:hint="eastAsia" w:ascii="仿宋" w:hAnsi="仿宋" w:eastAsia="仿宋" w:cs="仿宋"/>
          <w:color w:val="000000"/>
          <w:sz w:val="24"/>
          <w:szCs w:val="24"/>
          <w:highlight w:val="none"/>
          <w:lang w:eastAsia="en-US"/>
        </w:rPr>
      </w:r>
      <w:r/>
    </w:p>
    <w:p>
      <w:pPr>
        <w:pStyle w:val="953"/>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2</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en-US"/>
        </w:rPr>
        <w:t xml:space="preserve">工作成果（40 分）。考核工作结果是否具有针对性、合理性等。</w:t>
      </w:r>
      <w:r>
        <w:rPr>
          <w:rFonts w:hint="eastAsia" w:ascii="仿宋" w:hAnsi="仿宋" w:eastAsia="仿宋" w:cs="仿宋"/>
          <w:color w:val="000000"/>
          <w:sz w:val="24"/>
          <w:szCs w:val="24"/>
          <w:highlight w:val="none"/>
          <w:lang w:eastAsia="en-US"/>
        </w:rPr>
      </w:r>
      <w:r/>
    </w:p>
    <w:p>
      <w:pPr>
        <w:pStyle w:val="953"/>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第</w:t>
      </w:r>
      <w:r>
        <w:rPr>
          <w:rFonts w:hint="eastAsia" w:ascii="仿宋" w:hAnsi="仿宋" w:eastAsia="仿宋" w:cs="仿宋"/>
          <w:color w:val="000000"/>
          <w:sz w:val="24"/>
          <w:szCs w:val="24"/>
          <w:highlight w:val="none"/>
        </w:rPr>
        <w:t xml:space="preserve">五</w:t>
      </w:r>
      <w:r>
        <w:rPr>
          <w:rFonts w:hint="eastAsia" w:ascii="仿宋" w:hAnsi="仿宋" w:eastAsia="仿宋" w:cs="仿宋"/>
          <w:color w:val="000000"/>
          <w:sz w:val="24"/>
          <w:szCs w:val="24"/>
          <w:highlight w:val="none"/>
          <w:lang w:eastAsia="en-US"/>
        </w:rPr>
        <w:t xml:space="preserve">条</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en-US"/>
        </w:rPr>
        <w:t xml:space="preserve">考核结果与支付委托费用挂钩，具体如下：考核得分≥90分的，按中标价的100%支付；80分≤考核得分＜90分的，按中标价的90%支付；60分≤考核得分＜80分的，按中标价的70%支付；考核得分＜60分的，不予支付。同时，考核结果作为以后年度选取第三方机构参与预算绩效管理业务的重要参考。</w:t>
      </w:r>
      <w:r>
        <w:rPr>
          <w:rFonts w:hint="eastAsia" w:ascii="仿宋" w:hAnsi="仿宋" w:eastAsia="仿宋" w:cs="仿宋"/>
          <w:color w:val="000000"/>
          <w:sz w:val="24"/>
          <w:szCs w:val="24"/>
          <w:highlight w:val="none"/>
          <w:lang w:eastAsia="en-US"/>
        </w:rPr>
      </w:r>
      <w:r/>
    </w:p>
    <w:p>
      <w:pPr>
        <w:pStyle w:val="953"/>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en-US"/>
        </w:rPr>
        <w:t xml:space="preserve">第</w:t>
      </w:r>
      <w:r>
        <w:rPr>
          <w:rFonts w:hint="eastAsia" w:ascii="仿宋" w:hAnsi="仿宋" w:eastAsia="仿宋" w:cs="仿宋"/>
          <w:color w:val="000000"/>
          <w:sz w:val="24"/>
          <w:szCs w:val="24"/>
          <w:highlight w:val="none"/>
        </w:rPr>
        <w:t xml:space="preserve">六</w:t>
      </w:r>
      <w:r>
        <w:rPr>
          <w:rFonts w:hint="eastAsia" w:ascii="仿宋" w:hAnsi="仿宋" w:eastAsia="仿宋" w:cs="仿宋"/>
          <w:color w:val="000000"/>
          <w:sz w:val="24"/>
          <w:szCs w:val="24"/>
          <w:highlight w:val="none"/>
          <w:lang w:eastAsia="en-US"/>
        </w:rPr>
        <w:t xml:space="preserve">条</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en-US"/>
        </w:rPr>
        <w:t xml:space="preserve">本办法自</w:t>
      </w:r>
      <w:r>
        <w:rPr>
          <w:rFonts w:hint="eastAsia" w:ascii="仿宋" w:hAnsi="仿宋" w:eastAsia="仿宋" w:cs="仿宋"/>
          <w:color w:val="000000"/>
          <w:sz w:val="24"/>
          <w:szCs w:val="24"/>
          <w:highlight w:val="none"/>
        </w:rPr>
        <w:t xml:space="preserve">印发</w:t>
      </w:r>
      <w:r>
        <w:rPr>
          <w:rFonts w:hint="eastAsia" w:ascii="仿宋" w:hAnsi="仿宋" w:eastAsia="仿宋" w:cs="仿宋"/>
          <w:color w:val="000000"/>
          <w:sz w:val="24"/>
          <w:szCs w:val="24"/>
          <w:highlight w:val="none"/>
          <w:lang w:eastAsia="en-US"/>
        </w:rPr>
        <w:t xml:space="preserve">之日起施行。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en-US"/>
        </w:rPr>
        <w:t xml:space="preserve">太仓市财政局委托第三方机构参与预算绩效管理业务质量考核暂行办法</w:t>
      </w:r>
      <w:r>
        <w:rPr>
          <w:rFonts w:hint="eastAsia" w:ascii="仿宋" w:hAnsi="仿宋" w:eastAsia="仿宋" w:cs="仿宋"/>
          <w:color w:val="000000"/>
          <w:sz w:val="24"/>
          <w:szCs w:val="24"/>
          <w:highlight w:val="none"/>
        </w:rPr>
        <w:t xml:space="preserve">》同时废止。</w:t>
      </w:r>
      <w:r>
        <w:rPr>
          <w:rFonts w:hint="eastAsia" w:ascii="仿宋" w:hAnsi="仿宋" w:eastAsia="仿宋" w:cs="仿宋"/>
          <w:color w:val="000000"/>
          <w:sz w:val="24"/>
          <w:szCs w:val="24"/>
          <w:highlight w:val="none"/>
        </w:rPr>
      </w:r>
      <w:r/>
    </w:p>
    <w:p>
      <w:pPr>
        <w:pStyle w:val="953"/>
        <w:jc w:val="left"/>
        <w:spacing w:line="580" w:lineRule="exact"/>
        <w:rPr>
          <w:rFonts w:hint="eastAsia" w:ascii="仿宋" w:hAnsi="仿宋" w:eastAsia="仿宋" w:cs="仿宋"/>
          <w:sz w:val="24"/>
          <w:szCs w:val="24"/>
          <w:highlight w:val="none"/>
        </w:rPr>
      </w:pPr>
      <w:r>
        <w:rPr>
          <w:rFonts w:hint="eastAsia" w:ascii="仿宋" w:hAnsi="仿宋" w:eastAsia="仿宋" w:cs="仿宋"/>
          <w:szCs w:val="22"/>
          <w:highlight w:val="none"/>
        </w:rPr>
        <w:br w:type="page" w:clear="all"/>
      </w:r>
      <w:r>
        <w:rPr>
          <w:rFonts w:hint="eastAsia" w:ascii="仿宋" w:hAnsi="仿宋" w:eastAsia="仿宋" w:cs="仿宋"/>
          <w:sz w:val="24"/>
          <w:szCs w:val="24"/>
          <w:highlight w:val="none"/>
        </w:rPr>
        <w:t xml:space="preserve">附表：</w:t>
      </w:r>
      <w:r>
        <w:rPr>
          <w:rFonts w:hint="eastAsia" w:ascii="仿宋" w:hAnsi="仿宋" w:eastAsia="仿宋" w:cs="仿宋"/>
          <w:sz w:val="24"/>
          <w:szCs w:val="24"/>
          <w:highlight w:val="none"/>
        </w:rPr>
      </w:r>
      <w:r/>
    </w:p>
    <w:p>
      <w:pPr>
        <w:pStyle w:val="953"/>
        <w:jc w:val="center"/>
        <w:spacing w:line="580" w:lineRule="exact"/>
        <w:rPr>
          <w:rFonts w:hint="eastAsia" w:ascii="仿宋" w:hAnsi="仿宋" w:eastAsia="仿宋" w:cs="仿宋"/>
          <w:b/>
          <w:bCs/>
          <w:sz w:val="28"/>
          <w:szCs w:val="28"/>
          <w:highlight w:val="none"/>
          <w:lang w:eastAsia="en-US"/>
        </w:rPr>
      </w:pPr>
      <w:r>
        <w:rPr>
          <w:rFonts w:hint="eastAsia" w:ascii="仿宋" w:hAnsi="仿宋" w:eastAsia="仿宋" w:cs="仿宋"/>
          <w:b/>
          <w:bCs/>
          <w:sz w:val="28"/>
          <w:szCs w:val="28"/>
          <w:highlight w:val="none"/>
          <w:lang w:eastAsia="en-US"/>
        </w:rPr>
        <w:t xml:space="preserve">第三方机构参与预算绩效管理业务质量评分表（参考）</w:t>
      </w:r>
      <w:r>
        <w:rPr>
          <w:rFonts w:hint="eastAsia" w:ascii="仿宋" w:hAnsi="仿宋" w:eastAsia="仿宋" w:cs="仿宋"/>
          <w:b/>
          <w:bCs/>
          <w:sz w:val="28"/>
          <w:szCs w:val="28"/>
          <w:highlight w:val="none"/>
          <w:lang w:eastAsia="en-US"/>
        </w:rPr>
      </w:r>
      <w:r/>
    </w:p>
    <w:p>
      <w:pPr>
        <w:pStyle w:val="953"/>
        <w:jc w:val="left"/>
        <w:spacing w:line="5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第三方机构：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p>
      <w:pPr>
        <w:pStyle w:val="953"/>
        <w:jc w:val="left"/>
        <w:spacing w:after="240" w:line="5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委托业务：</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bl>
      <w:tblPr>
        <w:tblW w:w="5190" w:type="pct"/>
        <w:tblInd w:w="-2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196"/>
        <w:gridCol w:w="1523"/>
        <w:gridCol w:w="762"/>
        <w:gridCol w:w="4343"/>
        <w:gridCol w:w="814"/>
      </w:tblGrid>
      <w:tr>
        <w:trPr>
          <w:trHeight w:val="474"/>
        </w:trPr>
        <w:tc>
          <w:tcPr>
            <w:tcW w:w="692" w:type="dxa"/>
            <w:vAlign w:val="center"/>
            <w:textDirection w:val="lrTb"/>
            <w:noWrap w:val="false"/>
          </w:tcPr>
          <w:p>
            <w:pPr>
              <w:pStyle w:val="953"/>
              <w:jc w:val="center"/>
              <w:rPr>
                <w:rFonts w:hint="eastAsia" w:ascii="仿宋" w:hAnsi="仿宋" w:eastAsia="仿宋" w:cs="仿宋"/>
                <w:b/>
                <w:bCs/>
                <w:sz w:val="24"/>
                <w:szCs w:val="24"/>
                <w:highlight w:val="none"/>
                <w:lang w:eastAsia="en-US"/>
              </w:rPr>
            </w:pPr>
            <w:r>
              <w:rPr>
                <w:rFonts w:hint="eastAsia" w:ascii="仿宋" w:hAnsi="仿宋" w:eastAsia="仿宋" w:cs="仿宋"/>
                <w:b/>
                <w:bCs/>
                <w:sz w:val="24"/>
                <w:szCs w:val="24"/>
                <w:highlight w:val="none"/>
                <w:lang w:eastAsia="en-US"/>
              </w:rPr>
              <w:t xml:space="preserve">一级指标</w:t>
            </w:r>
            <w:r>
              <w:rPr>
                <w:rFonts w:hint="eastAsia" w:ascii="仿宋" w:hAnsi="仿宋" w:eastAsia="仿宋" w:cs="仿宋"/>
                <w:b/>
                <w:bCs/>
                <w:sz w:val="24"/>
                <w:szCs w:val="24"/>
                <w:highlight w:val="none"/>
                <w:lang w:eastAsia="en-US"/>
              </w:rPr>
            </w:r>
            <w:r/>
          </w:p>
        </w:tc>
        <w:tc>
          <w:tcPr>
            <w:tcW w:w="881" w:type="dxa"/>
            <w:vAlign w:val="center"/>
            <w:textDirection w:val="lrTb"/>
            <w:noWrap w:val="false"/>
          </w:tcPr>
          <w:p>
            <w:pPr>
              <w:pStyle w:val="953"/>
              <w:jc w:val="center"/>
              <w:rPr>
                <w:rFonts w:hint="eastAsia" w:ascii="仿宋" w:hAnsi="仿宋" w:eastAsia="仿宋" w:cs="仿宋"/>
                <w:b/>
                <w:bCs/>
                <w:sz w:val="24"/>
                <w:szCs w:val="24"/>
                <w:highlight w:val="none"/>
                <w:lang w:eastAsia="en-US"/>
              </w:rPr>
            </w:pPr>
            <w:r>
              <w:rPr>
                <w:rFonts w:hint="eastAsia" w:ascii="仿宋" w:hAnsi="仿宋" w:eastAsia="仿宋" w:cs="仿宋"/>
                <w:b/>
                <w:bCs/>
                <w:sz w:val="24"/>
                <w:szCs w:val="24"/>
                <w:highlight w:val="none"/>
                <w:lang w:eastAsia="en-US"/>
              </w:rPr>
              <w:t xml:space="preserve">二级指标</w:t>
            </w:r>
            <w:r>
              <w:rPr>
                <w:rFonts w:hint="eastAsia" w:ascii="仿宋" w:hAnsi="仿宋" w:eastAsia="仿宋" w:cs="仿宋"/>
                <w:b/>
                <w:bCs/>
                <w:sz w:val="24"/>
                <w:szCs w:val="24"/>
                <w:highlight w:val="none"/>
                <w:lang w:eastAsia="en-US"/>
              </w:rPr>
            </w:r>
            <w:r/>
          </w:p>
        </w:tc>
        <w:tc>
          <w:tcPr>
            <w:tcW w:w="441" w:type="dxa"/>
            <w:vAlign w:val="center"/>
            <w:textDirection w:val="lrTb"/>
            <w:noWrap w:val="false"/>
          </w:tcPr>
          <w:p>
            <w:pPr>
              <w:pStyle w:val="953"/>
              <w:jc w:val="center"/>
              <w:rPr>
                <w:rFonts w:hint="eastAsia" w:ascii="仿宋" w:hAnsi="仿宋" w:eastAsia="仿宋" w:cs="仿宋"/>
                <w:b/>
                <w:bCs/>
                <w:sz w:val="24"/>
                <w:szCs w:val="24"/>
                <w:highlight w:val="none"/>
                <w:lang w:eastAsia="en-US"/>
              </w:rPr>
            </w:pPr>
            <w:r>
              <w:rPr>
                <w:rFonts w:hint="eastAsia" w:ascii="仿宋" w:hAnsi="仿宋" w:eastAsia="仿宋" w:cs="仿宋"/>
                <w:b/>
                <w:bCs/>
                <w:sz w:val="24"/>
                <w:szCs w:val="24"/>
                <w:highlight w:val="none"/>
                <w:lang w:eastAsia="en-US"/>
              </w:rPr>
              <w:t xml:space="preserve">分值</w:t>
            </w:r>
            <w:r>
              <w:rPr>
                <w:rFonts w:hint="eastAsia" w:ascii="仿宋" w:hAnsi="仿宋" w:eastAsia="仿宋" w:cs="仿宋"/>
                <w:b/>
                <w:bCs/>
                <w:sz w:val="24"/>
                <w:szCs w:val="24"/>
                <w:highlight w:val="none"/>
                <w:lang w:eastAsia="en-US"/>
              </w:rPr>
            </w:r>
            <w:r/>
          </w:p>
        </w:tc>
        <w:tc>
          <w:tcPr>
            <w:tcW w:w="2513" w:type="dxa"/>
            <w:vAlign w:val="center"/>
            <w:textDirection w:val="lrTb"/>
            <w:noWrap w:val="false"/>
          </w:tcPr>
          <w:p>
            <w:pPr>
              <w:pStyle w:val="953"/>
              <w:jc w:val="center"/>
              <w:rPr>
                <w:rFonts w:hint="eastAsia" w:ascii="仿宋" w:hAnsi="仿宋" w:eastAsia="仿宋" w:cs="仿宋"/>
                <w:b/>
                <w:bCs/>
                <w:sz w:val="24"/>
                <w:szCs w:val="24"/>
                <w:highlight w:val="none"/>
                <w:lang w:eastAsia="en-US"/>
              </w:rPr>
            </w:pPr>
            <w:r>
              <w:rPr>
                <w:rFonts w:hint="eastAsia" w:ascii="仿宋" w:hAnsi="仿宋" w:eastAsia="仿宋" w:cs="仿宋"/>
                <w:b/>
                <w:bCs/>
                <w:sz w:val="24"/>
                <w:szCs w:val="24"/>
                <w:highlight w:val="none"/>
                <w:lang w:eastAsia="en-US"/>
              </w:rPr>
              <w:t xml:space="preserve">评分规则</w:t>
            </w:r>
            <w:r>
              <w:rPr>
                <w:rFonts w:hint="eastAsia" w:ascii="仿宋" w:hAnsi="仿宋" w:eastAsia="仿宋" w:cs="仿宋"/>
                <w:b/>
                <w:bCs/>
                <w:sz w:val="24"/>
                <w:szCs w:val="24"/>
                <w:highlight w:val="none"/>
                <w:lang w:eastAsia="en-US"/>
              </w:rPr>
            </w:r>
            <w:r/>
          </w:p>
        </w:tc>
        <w:tc>
          <w:tcPr>
            <w:tcW w:w="471" w:type="dxa"/>
            <w:vAlign w:val="center"/>
            <w:textDirection w:val="lrTb"/>
            <w:noWrap w:val="false"/>
          </w:tcPr>
          <w:p>
            <w:pPr>
              <w:pStyle w:val="953"/>
              <w:jc w:val="center"/>
              <w:rPr>
                <w:rFonts w:hint="eastAsia" w:ascii="仿宋" w:hAnsi="仿宋" w:eastAsia="仿宋" w:cs="仿宋"/>
                <w:b/>
                <w:bCs/>
                <w:sz w:val="24"/>
                <w:szCs w:val="24"/>
                <w:highlight w:val="none"/>
                <w:lang w:eastAsia="en-US"/>
              </w:rPr>
            </w:pPr>
            <w:r>
              <w:rPr>
                <w:rFonts w:hint="eastAsia" w:ascii="仿宋" w:hAnsi="仿宋" w:eastAsia="仿宋" w:cs="仿宋"/>
                <w:b/>
                <w:bCs/>
                <w:sz w:val="24"/>
                <w:szCs w:val="24"/>
                <w:highlight w:val="none"/>
                <w:lang w:eastAsia="en-US"/>
              </w:rPr>
              <w:t xml:space="preserve">得分</w:t>
            </w:r>
            <w:r>
              <w:rPr>
                <w:rFonts w:hint="eastAsia" w:ascii="仿宋" w:hAnsi="仿宋" w:eastAsia="仿宋" w:cs="仿宋"/>
                <w:b/>
                <w:bCs/>
                <w:sz w:val="24"/>
                <w:szCs w:val="24"/>
                <w:highlight w:val="none"/>
                <w:lang w:eastAsia="en-US"/>
              </w:rPr>
            </w:r>
            <w:r/>
          </w:p>
        </w:tc>
      </w:tr>
      <w:tr>
        <w:trPr>
          <w:trHeight w:val="2433" w:hRule="exact"/>
        </w:trPr>
        <w:tc>
          <w:tcPr>
            <w:tcW w:w="692" w:type="dxa"/>
            <w:vAlign w:val="center"/>
            <w:vMerge w:val="restart"/>
            <w:textDirection w:val="lrTb"/>
            <w:noWrap w:val="false"/>
          </w:tcPr>
          <w:p>
            <w:pPr>
              <w:pStyle w:val="953"/>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工作规范</w:t>
            </w:r>
            <w:r>
              <w:rPr>
                <w:rFonts w:hint="eastAsia" w:ascii="仿宋" w:hAnsi="仿宋" w:eastAsia="仿宋" w:cs="仿宋"/>
                <w:sz w:val="24"/>
                <w:szCs w:val="24"/>
                <w:highlight w:val="none"/>
                <w:lang w:eastAsia="en-US"/>
              </w:rPr>
            </w:r>
            <w:r/>
          </w:p>
          <w:p>
            <w:pPr>
              <w:pStyle w:val="953"/>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（40分）</w:t>
            </w:r>
            <w:r>
              <w:rPr>
                <w:rFonts w:hint="eastAsia" w:ascii="仿宋" w:hAnsi="仿宋" w:eastAsia="仿宋" w:cs="仿宋"/>
                <w:sz w:val="24"/>
                <w:szCs w:val="24"/>
                <w:highlight w:val="none"/>
                <w:lang w:eastAsia="en-US"/>
              </w:rPr>
            </w:r>
            <w:r/>
          </w:p>
        </w:tc>
        <w:tc>
          <w:tcPr>
            <w:tcW w:w="881" w:type="dxa"/>
            <w:vAlign w:val="center"/>
            <w:textDirection w:val="lrTb"/>
            <w:noWrap w:val="false"/>
          </w:tcPr>
          <w:p>
            <w:pPr>
              <w:pStyle w:val="953"/>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工作保障</w:t>
            </w:r>
            <w:r>
              <w:rPr>
                <w:rFonts w:hint="eastAsia" w:ascii="仿宋" w:hAnsi="仿宋" w:eastAsia="仿宋" w:cs="仿宋"/>
                <w:sz w:val="24"/>
                <w:szCs w:val="24"/>
                <w:highlight w:val="none"/>
                <w:lang w:eastAsia="en-US"/>
              </w:rPr>
            </w:r>
            <w:r/>
          </w:p>
        </w:tc>
        <w:tc>
          <w:tcPr>
            <w:tcW w:w="441" w:type="dxa"/>
            <w:vAlign w:val="center"/>
            <w:textDirection w:val="lrTb"/>
            <w:noWrap w:val="false"/>
          </w:tcPr>
          <w:p>
            <w:pPr>
              <w:pStyle w:val="953"/>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w:t>
            </w:r>
            <w:r>
              <w:rPr>
                <w:rFonts w:hint="eastAsia" w:ascii="仿宋" w:hAnsi="仿宋" w:eastAsia="仿宋" w:cs="仿宋"/>
                <w:sz w:val="24"/>
                <w:szCs w:val="24"/>
                <w:highlight w:val="none"/>
              </w:rPr>
            </w:r>
            <w:r/>
          </w:p>
        </w:tc>
        <w:tc>
          <w:tcPr>
            <w:tcW w:w="2513" w:type="dxa"/>
            <w:vAlign w:val="center"/>
            <w:textDirection w:val="lrTb"/>
            <w:noWrap w:val="false"/>
          </w:tcPr>
          <w:p>
            <w:pPr>
              <w:pStyle w:val="953"/>
              <w:keepLines w:val="0"/>
              <w:keepNext w:val="0"/>
              <w:pageBreakBefore w:val="0"/>
              <w:spacing w:line="300" w:lineRule="auto"/>
              <w:widowControl w:val="off"/>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①人员安排</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en-US"/>
              </w:rPr>
              <w:t xml:space="preserve">业务负责人专业水平与委托业务符合度</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en-US"/>
              </w:rPr>
              <w:t xml:space="preserve">高的得8分</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en-US"/>
              </w:rPr>
              <w:t xml:space="preserve">较高的得6分；一般的得3分。工作组人员符合业务需要的</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en-US"/>
              </w:rPr>
              <w:t xml:space="preserve">得3分；一般的得1分</w:t>
            </w:r>
            <w:r>
              <w:rPr>
                <w:rFonts w:hint="eastAsia" w:ascii="仿宋" w:hAnsi="仿宋" w:eastAsia="仿宋" w:cs="仿宋"/>
                <w:sz w:val="24"/>
                <w:szCs w:val="24"/>
                <w:highlight w:val="none"/>
                <w:lang w:eastAsia="en-US"/>
              </w:rPr>
            </w:r>
            <w:r/>
          </w:p>
          <w:p>
            <w:pPr>
              <w:pStyle w:val="953"/>
              <w:keepLines w:val="0"/>
              <w:keepNext w:val="0"/>
              <w:pageBreakBefore w:val="0"/>
              <w:spacing w:line="300" w:lineRule="auto"/>
              <w:widowControl w:val="off"/>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②沟通协调</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en-US"/>
              </w:rPr>
              <w:t xml:space="preserve">与委托方、预算绩效管理对象沟通及时有效的得4分；一般的得2分</w:t>
            </w:r>
            <w:r>
              <w:rPr>
                <w:rFonts w:hint="eastAsia" w:ascii="仿宋" w:hAnsi="仿宋" w:eastAsia="仿宋" w:cs="仿宋"/>
                <w:sz w:val="24"/>
                <w:szCs w:val="24"/>
                <w:highlight w:val="none"/>
                <w:lang w:eastAsia="en-US"/>
              </w:rPr>
            </w:r>
            <w:r/>
          </w:p>
        </w:tc>
        <w:tc>
          <w:tcPr>
            <w:tcW w:w="471" w:type="dxa"/>
            <w:vAlign w:val="center"/>
            <w:textDirection w:val="lrTb"/>
            <w:noWrap w:val="false"/>
          </w:tcPr>
          <w:p>
            <w:pPr>
              <w:pStyle w:val="953"/>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r>
      <w:tr>
        <w:trPr>
          <w:trHeight w:val="1013"/>
        </w:trPr>
        <w:tc>
          <w:tcPr>
            <w:tcW w:w="692" w:type="dxa"/>
            <w:vAlign w:val="center"/>
            <w:vMerge w:val="continue"/>
            <w:textDirection w:val="lrTb"/>
            <w:noWrap w:val="false"/>
          </w:tcPr>
          <w:p>
            <w:pPr>
              <w:pStyle w:val="953"/>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c>
          <w:tcPr>
            <w:tcW w:w="881" w:type="dxa"/>
            <w:vAlign w:val="center"/>
            <w:textDirection w:val="lrTb"/>
            <w:noWrap w:val="false"/>
          </w:tcPr>
          <w:p>
            <w:pPr>
              <w:pStyle w:val="953"/>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工作流程</w:t>
            </w:r>
            <w:r>
              <w:rPr>
                <w:rFonts w:hint="eastAsia" w:ascii="仿宋" w:hAnsi="仿宋" w:eastAsia="仿宋" w:cs="仿宋"/>
                <w:sz w:val="24"/>
                <w:szCs w:val="24"/>
                <w:highlight w:val="none"/>
                <w:lang w:eastAsia="en-US"/>
              </w:rPr>
            </w:r>
            <w:r/>
          </w:p>
        </w:tc>
        <w:tc>
          <w:tcPr>
            <w:tcW w:w="441" w:type="dxa"/>
            <w:vAlign w:val="center"/>
            <w:textDirection w:val="lrTb"/>
            <w:noWrap w:val="false"/>
          </w:tcPr>
          <w:p>
            <w:pPr>
              <w:pStyle w:val="953"/>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rPr>
            </w:r>
            <w:r/>
          </w:p>
        </w:tc>
        <w:tc>
          <w:tcPr>
            <w:tcW w:w="2513" w:type="dxa"/>
            <w:vAlign w:val="center"/>
            <w:textDirection w:val="lrTb"/>
            <w:noWrap w:val="false"/>
          </w:tcPr>
          <w:p>
            <w:pPr>
              <w:pStyle w:val="953"/>
              <w:keepLines w:val="0"/>
              <w:keepNext w:val="0"/>
              <w:pageBreakBefore w:val="0"/>
              <w:spacing w:line="300" w:lineRule="auto"/>
              <w:widowControl w:val="off"/>
              <w:rPr>
                <w:rFonts w:hint="eastAsia" w:ascii="仿宋" w:hAnsi="仿宋" w:eastAsia="仿宋" w:cs="仿宋"/>
                <w:sz w:val="24"/>
                <w:szCs w:val="24"/>
                <w:highlight w:val="none"/>
                <w:lang w:eastAsia="en-US"/>
              </w:rPr>
            </w:pPr>
            <w:r>
              <w:rPr>
                <w:rFonts w:hint="eastAsia" w:ascii="仿宋" w:hAnsi="仿宋" w:eastAsia="仿宋" w:cs="仿宋"/>
                <w:spacing w:val="-4"/>
                <w:sz w:val="24"/>
                <w:szCs w:val="24"/>
                <w:highlight w:val="none"/>
              </w:rPr>
              <w:t xml:space="preserve">开</w:t>
            </w:r>
            <w:r>
              <w:rPr>
                <w:rFonts w:hint="eastAsia" w:ascii="仿宋" w:hAnsi="仿宋" w:eastAsia="仿宋" w:cs="仿宋"/>
                <w:spacing w:val="-4"/>
                <w:sz w:val="24"/>
                <w:szCs w:val="24"/>
                <w:highlight w:val="none"/>
                <w:lang w:eastAsia="en-US"/>
              </w:rPr>
              <w:t xml:space="preserve">展工作符合相关制度规定和协议要求的得</w:t>
            </w:r>
            <w:r>
              <w:rPr>
                <w:rFonts w:hint="eastAsia" w:ascii="仿宋" w:hAnsi="仿宋" w:eastAsia="仿宋" w:cs="仿宋"/>
                <w:spacing w:val="6"/>
                <w:sz w:val="24"/>
                <w:szCs w:val="24"/>
                <w:highlight w:val="none"/>
                <w:lang w:eastAsia="en-US"/>
              </w:rPr>
              <w:t xml:space="preserve">5</w:t>
            </w:r>
            <w:r>
              <w:rPr>
                <w:rFonts w:hint="eastAsia" w:ascii="仿宋" w:hAnsi="仿宋" w:eastAsia="仿宋" w:cs="仿宋"/>
                <w:spacing w:val="-3"/>
                <w:sz w:val="24"/>
                <w:szCs w:val="24"/>
                <w:highlight w:val="none"/>
                <w:lang w:eastAsia="en-US"/>
              </w:rPr>
              <w:t xml:space="preserve">分；基本符合的得</w:t>
            </w:r>
            <w:r>
              <w:rPr>
                <w:rFonts w:hint="eastAsia" w:ascii="仿宋" w:hAnsi="仿宋" w:eastAsia="仿宋" w:cs="仿宋"/>
                <w:spacing w:val="-4"/>
                <w:sz w:val="24"/>
                <w:szCs w:val="24"/>
                <w:highlight w:val="none"/>
                <w:lang w:eastAsia="en-US"/>
              </w:rPr>
              <w:t xml:space="preserve">3分；不符合的得0分</w:t>
            </w:r>
            <w:r>
              <w:rPr>
                <w:rFonts w:hint="eastAsia" w:ascii="仿宋" w:hAnsi="仿宋" w:eastAsia="仿宋" w:cs="仿宋"/>
                <w:sz w:val="24"/>
                <w:szCs w:val="24"/>
                <w:highlight w:val="none"/>
                <w:lang w:eastAsia="en-US"/>
              </w:rPr>
            </w:r>
            <w:r/>
          </w:p>
        </w:tc>
        <w:tc>
          <w:tcPr>
            <w:tcW w:w="471" w:type="dxa"/>
            <w:vAlign w:val="center"/>
            <w:textDirection w:val="lrTb"/>
            <w:noWrap w:val="false"/>
          </w:tcPr>
          <w:p>
            <w:pPr>
              <w:pStyle w:val="953"/>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r>
      <w:tr>
        <w:trPr>
          <w:trHeight w:val="1013"/>
        </w:trPr>
        <w:tc>
          <w:tcPr>
            <w:tcW w:w="692" w:type="dxa"/>
            <w:vAlign w:val="center"/>
            <w:vMerge w:val="continue"/>
            <w:textDirection w:val="lrTb"/>
            <w:noWrap w:val="false"/>
          </w:tcPr>
          <w:p>
            <w:pPr>
              <w:pStyle w:val="953"/>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c>
          <w:tcPr>
            <w:tcW w:w="881" w:type="dxa"/>
            <w:vAlign w:val="center"/>
            <w:textDirection w:val="lrTb"/>
            <w:noWrap w:val="false"/>
          </w:tcPr>
          <w:p>
            <w:pPr>
              <w:pStyle w:val="953"/>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工作进度</w:t>
            </w:r>
            <w:r>
              <w:rPr>
                <w:rFonts w:hint="eastAsia" w:ascii="仿宋" w:hAnsi="仿宋" w:eastAsia="仿宋" w:cs="仿宋"/>
                <w:sz w:val="24"/>
                <w:szCs w:val="24"/>
                <w:highlight w:val="none"/>
                <w:lang w:eastAsia="en-US"/>
              </w:rPr>
            </w:r>
            <w:r/>
          </w:p>
        </w:tc>
        <w:tc>
          <w:tcPr>
            <w:tcW w:w="441" w:type="dxa"/>
            <w:vAlign w:val="center"/>
            <w:textDirection w:val="lrTb"/>
            <w:noWrap w:val="false"/>
          </w:tcPr>
          <w:p>
            <w:pPr>
              <w:pStyle w:val="953"/>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rPr>
                <w:rFonts w:hint="eastAsia" w:ascii="仿宋" w:hAnsi="仿宋" w:eastAsia="仿宋" w:cs="仿宋"/>
                <w:sz w:val="24"/>
                <w:szCs w:val="24"/>
                <w:highlight w:val="none"/>
              </w:rPr>
            </w:r>
            <w:r/>
          </w:p>
        </w:tc>
        <w:tc>
          <w:tcPr>
            <w:tcW w:w="2513" w:type="dxa"/>
            <w:vAlign w:val="center"/>
            <w:textDirection w:val="lrTb"/>
            <w:noWrap w:val="false"/>
          </w:tcPr>
          <w:p>
            <w:pPr>
              <w:pStyle w:val="953"/>
              <w:keepLines w:val="0"/>
              <w:keepNext w:val="0"/>
              <w:pageBreakBefore w:val="0"/>
              <w:spacing w:line="300" w:lineRule="auto"/>
              <w:widowControl w:val="off"/>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符合协议要求的得10分；延期的酌情扣分</w:t>
            </w:r>
            <w:r>
              <w:rPr>
                <w:rFonts w:hint="eastAsia" w:ascii="仿宋" w:hAnsi="仿宋" w:eastAsia="仿宋" w:cs="仿宋"/>
                <w:sz w:val="24"/>
                <w:szCs w:val="24"/>
                <w:highlight w:val="none"/>
                <w:lang w:eastAsia="en-US"/>
              </w:rPr>
            </w:r>
            <w:r/>
          </w:p>
        </w:tc>
        <w:tc>
          <w:tcPr>
            <w:tcW w:w="471" w:type="dxa"/>
            <w:vAlign w:val="center"/>
            <w:textDirection w:val="lrTb"/>
            <w:noWrap w:val="false"/>
          </w:tcPr>
          <w:p>
            <w:pPr>
              <w:pStyle w:val="953"/>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r>
      <w:tr>
        <w:trPr>
          <w:trHeight w:val="1013"/>
        </w:trPr>
        <w:tc>
          <w:tcPr>
            <w:tcW w:w="692" w:type="dxa"/>
            <w:vAlign w:val="center"/>
            <w:vMerge w:val="continue"/>
            <w:textDirection w:val="lrTb"/>
            <w:noWrap w:val="false"/>
          </w:tcPr>
          <w:p>
            <w:pPr>
              <w:pStyle w:val="953"/>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c>
          <w:tcPr>
            <w:tcW w:w="881" w:type="dxa"/>
            <w:vAlign w:val="center"/>
            <w:textDirection w:val="lrTb"/>
            <w:noWrap w:val="false"/>
          </w:tcPr>
          <w:p>
            <w:pPr>
              <w:pStyle w:val="953"/>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工作纪律</w:t>
            </w:r>
            <w:r>
              <w:rPr>
                <w:rFonts w:hint="eastAsia" w:ascii="仿宋" w:hAnsi="仿宋" w:eastAsia="仿宋" w:cs="仿宋"/>
                <w:sz w:val="24"/>
                <w:szCs w:val="24"/>
                <w:highlight w:val="none"/>
                <w:lang w:eastAsia="en-US"/>
              </w:rPr>
            </w:r>
            <w:r/>
          </w:p>
        </w:tc>
        <w:tc>
          <w:tcPr>
            <w:tcW w:w="441" w:type="dxa"/>
            <w:vAlign w:val="center"/>
            <w:textDirection w:val="lrTb"/>
            <w:noWrap w:val="false"/>
          </w:tcPr>
          <w:p>
            <w:pPr>
              <w:pStyle w:val="953"/>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rPr>
                <w:rFonts w:hint="eastAsia" w:ascii="仿宋" w:hAnsi="仿宋" w:eastAsia="仿宋" w:cs="仿宋"/>
                <w:sz w:val="24"/>
                <w:szCs w:val="24"/>
                <w:highlight w:val="none"/>
              </w:rPr>
            </w:r>
            <w:r/>
          </w:p>
        </w:tc>
        <w:tc>
          <w:tcPr>
            <w:tcW w:w="2513" w:type="dxa"/>
            <w:vAlign w:val="center"/>
            <w:textDirection w:val="lrTb"/>
            <w:noWrap w:val="false"/>
          </w:tcPr>
          <w:p>
            <w:pPr>
              <w:pStyle w:val="953"/>
              <w:keepLines w:val="0"/>
              <w:keepNext w:val="0"/>
              <w:pageBreakBefore w:val="0"/>
              <w:spacing w:line="300" w:lineRule="auto"/>
              <w:widowControl w:val="off"/>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严格执行协议明确的廉洁、回避、保密等要求的得10分；违反任何一条的得0分</w:t>
            </w:r>
            <w:r>
              <w:rPr>
                <w:rFonts w:hint="eastAsia" w:ascii="仿宋" w:hAnsi="仿宋" w:eastAsia="仿宋" w:cs="仿宋"/>
                <w:sz w:val="24"/>
                <w:szCs w:val="24"/>
                <w:highlight w:val="none"/>
                <w:lang w:eastAsia="en-US"/>
              </w:rPr>
            </w:r>
            <w:r/>
          </w:p>
        </w:tc>
        <w:tc>
          <w:tcPr>
            <w:tcW w:w="471" w:type="dxa"/>
            <w:vAlign w:val="center"/>
            <w:textDirection w:val="lrTb"/>
            <w:noWrap w:val="false"/>
          </w:tcPr>
          <w:p>
            <w:pPr>
              <w:pStyle w:val="953"/>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r>
      <w:tr>
        <w:trPr>
          <w:trHeight w:val="1013"/>
        </w:trPr>
        <w:tc>
          <w:tcPr>
            <w:tcW w:w="692" w:type="dxa"/>
            <w:vAlign w:val="center"/>
            <w:vMerge w:val="restart"/>
            <w:textDirection w:val="lrTb"/>
            <w:noWrap w:val="false"/>
          </w:tcPr>
          <w:p>
            <w:pPr>
              <w:pStyle w:val="953"/>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工作质量</w:t>
            </w:r>
            <w:r>
              <w:rPr>
                <w:rFonts w:hint="eastAsia" w:ascii="仿宋" w:hAnsi="仿宋" w:eastAsia="仿宋" w:cs="仿宋"/>
                <w:sz w:val="24"/>
                <w:szCs w:val="24"/>
                <w:highlight w:val="none"/>
                <w:lang w:eastAsia="en-US"/>
              </w:rPr>
            </w:r>
            <w:r/>
          </w:p>
          <w:p>
            <w:pPr>
              <w:pStyle w:val="953"/>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（60分）</w:t>
            </w:r>
            <w:r>
              <w:rPr>
                <w:rFonts w:hint="eastAsia" w:ascii="仿宋" w:hAnsi="仿宋" w:eastAsia="仿宋" w:cs="仿宋"/>
                <w:sz w:val="24"/>
                <w:szCs w:val="24"/>
                <w:highlight w:val="none"/>
                <w:lang w:eastAsia="en-US"/>
              </w:rPr>
            </w:r>
            <w:r/>
          </w:p>
        </w:tc>
        <w:tc>
          <w:tcPr>
            <w:tcW w:w="881" w:type="dxa"/>
            <w:vAlign w:val="center"/>
            <w:textDirection w:val="lrTb"/>
            <w:noWrap w:val="false"/>
          </w:tcPr>
          <w:p>
            <w:pPr>
              <w:pStyle w:val="953"/>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工作方案</w:t>
            </w:r>
            <w:r>
              <w:rPr>
                <w:rFonts w:hint="eastAsia" w:ascii="仿宋" w:hAnsi="仿宋" w:eastAsia="仿宋" w:cs="仿宋"/>
                <w:sz w:val="24"/>
                <w:szCs w:val="24"/>
                <w:highlight w:val="none"/>
                <w:lang w:eastAsia="en-US"/>
              </w:rPr>
            </w:r>
            <w:r/>
          </w:p>
        </w:tc>
        <w:tc>
          <w:tcPr>
            <w:tcW w:w="441" w:type="dxa"/>
            <w:vAlign w:val="center"/>
            <w:textDirection w:val="lrTb"/>
            <w:noWrap w:val="false"/>
          </w:tcPr>
          <w:p>
            <w:pPr>
              <w:pStyle w:val="953"/>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w:t>
            </w:r>
            <w:r>
              <w:rPr>
                <w:rFonts w:hint="eastAsia" w:ascii="仿宋" w:hAnsi="仿宋" w:eastAsia="仿宋" w:cs="仿宋"/>
                <w:sz w:val="24"/>
                <w:szCs w:val="24"/>
                <w:highlight w:val="none"/>
              </w:rPr>
            </w:r>
            <w:r/>
          </w:p>
        </w:tc>
        <w:tc>
          <w:tcPr>
            <w:tcW w:w="2513" w:type="dxa"/>
            <w:vAlign w:val="center"/>
            <w:textDirection w:val="lrTb"/>
            <w:noWrap w:val="false"/>
          </w:tcPr>
          <w:p>
            <w:pPr>
              <w:pStyle w:val="953"/>
              <w:keepLines w:val="0"/>
              <w:keepNext w:val="0"/>
              <w:pageBreakBefore w:val="0"/>
              <w:spacing w:line="300" w:lineRule="auto"/>
              <w:widowControl w:val="off"/>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工作方案符合业务要求、可行性高的得20分；较高的得15分；一般的得10分</w:t>
            </w:r>
            <w:r>
              <w:rPr>
                <w:rFonts w:hint="eastAsia" w:ascii="仿宋" w:hAnsi="仿宋" w:eastAsia="仿宋" w:cs="仿宋"/>
                <w:sz w:val="24"/>
                <w:szCs w:val="24"/>
                <w:highlight w:val="none"/>
                <w:lang w:eastAsia="en-US"/>
              </w:rPr>
            </w:r>
            <w:r/>
          </w:p>
        </w:tc>
        <w:tc>
          <w:tcPr>
            <w:tcW w:w="471" w:type="dxa"/>
            <w:vAlign w:val="center"/>
            <w:textDirection w:val="lrTb"/>
            <w:noWrap w:val="false"/>
          </w:tcPr>
          <w:p>
            <w:pPr>
              <w:pStyle w:val="953"/>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r>
      <w:tr>
        <w:trPr>
          <w:trHeight w:val="3070"/>
        </w:trPr>
        <w:tc>
          <w:tcPr>
            <w:tcW w:w="692" w:type="dxa"/>
            <w:vAlign w:val="center"/>
            <w:vMerge w:val="continue"/>
            <w:textDirection w:val="lrTb"/>
            <w:noWrap w:val="false"/>
          </w:tcPr>
          <w:p>
            <w:pPr>
              <w:pStyle w:val="953"/>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c>
          <w:tcPr>
            <w:tcW w:w="881" w:type="dxa"/>
            <w:vAlign w:val="center"/>
            <w:textDirection w:val="lrTb"/>
            <w:noWrap w:val="false"/>
          </w:tcPr>
          <w:p>
            <w:pPr>
              <w:pStyle w:val="953"/>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工作成果</w:t>
            </w:r>
            <w:r>
              <w:rPr>
                <w:rFonts w:hint="eastAsia" w:ascii="仿宋" w:hAnsi="仿宋" w:eastAsia="仿宋" w:cs="仿宋"/>
                <w:sz w:val="24"/>
                <w:szCs w:val="24"/>
                <w:highlight w:val="none"/>
                <w:lang w:eastAsia="en-US"/>
              </w:rPr>
            </w:r>
            <w:r/>
          </w:p>
        </w:tc>
        <w:tc>
          <w:tcPr>
            <w:tcW w:w="441" w:type="dxa"/>
            <w:vAlign w:val="center"/>
            <w:textDirection w:val="lrTb"/>
            <w:noWrap w:val="false"/>
          </w:tcPr>
          <w:p>
            <w:pPr>
              <w:pStyle w:val="953"/>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40</w:t>
            </w:r>
            <w:r>
              <w:rPr>
                <w:rFonts w:hint="eastAsia" w:ascii="仿宋" w:hAnsi="仿宋" w:eastAsia="仿宋" w:cs="仿宋"/>
                <w:sz w:val="24"/>
                <w:szCs w:val="24"/>
                <w:highlight w:val="none"/>
              </w:rPr>
            </w:r>
            <w:r/>
          </w:p>
        </w:tc>
        <w:tc>
          <w:tcPr>
            <w:tcW w:w="2513" w:type="dxa"/>
            <w:vAlign w:val="center"/>
            <w:textDirection w:val="lrTb"/>
            <w:noWrap w:val="false"/>
          </w:tcPr>
          <w:p>
            <w:pPr>
              <w:pStyle w:val="953"/>
              <w:keepLines w:val="0"/>
              <w:keepNext w:val="0"/>
              <w:pageBreakBefore w:val="0"/>
              <w:spacing w:line="300" w:lineRule="auto"/>
              <w:widowControl w:val="off"/>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（1）工作结果以报告形式体现：①发现问题针对性强的得25分；较强的得20分；一般的得15分。②所提意见建议合理的得15分；比较合理的得12分；一般的得9分</w:t>
            </w:r>
            <w:r>
              <w:rPr>
                <w:rFonts w:hint="eastAsia" w:ascii="仿宋" w:hAnsi="仿宋" w:eastAsia="仿宋" w:cs="仿宋"/>
                <w:sz w:val="24"/>
                <w:szCs w:val="24"/>
                <w:highlight w:val="none"/>
                <w:lang w:eastAsia="en-US"/>
              </w:rPr>
            </w:r>
            <w:r/>
          </w:p>
          <w:p>
            <w:pPr>
              <w:pStyle w:val="953"/>
              <w:keepLines w:val="0"/>
              <w:keepNext w:val="0"/>
              <w:pageBreakBefore w:val="0"/>
              <w:spacing w:line="300" w:lineRule="auto"/>
              <w:widowControl w:val="off"/>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（2）工作结果以其他形式体现：符合委托方质量要求的得40分；较好的得32分；一般的得24分</w:t>
            </w:r>
            <w:r>
              <w:rPr>
                <w:rFonts w:hint="eastAsia" w:ascii="仿宋" w:hAnsi="仿宋" w:eastAsia="仿宋" w:cs="仿宋"/>
                <w:sz w:val="24"/>
                <w:szCs w:val="24"/>
                <w:highlight w:val="none"/>
                <w:lang w:eastAsia="en-US"/>
              </w:rPr>
            </w:r>
            <w:r/>
          </w:p>
        </w:tc>
        <w:tc>
          <w:tcPr>
            <w:tcW w:w="471" w:type="dxa"/>
            <w:vAlign w:val="center"/>
            <w:textDirection w:val="lrTb"/>
            <w:noWrap w:val="false"/>
          </w:tcPr>
          <w:p>
            <w:pPr>
              <w:pStyle w:val="953"/>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r>
      <w:tr>
        <w:trPr>
          <w:trHeight w:val="647"/>
        </w:trPr>
        <w:tc>
          <w:tcPr>
            <w:tcW w:w="692" w:type="dxa"/>
            <w:vAlign w:val="center"/>
            <w:textDirection w:val="lrTb"/>
            <w:noWrap w:val="false"/>
          </w:tcPr>
          <w:p>
            <w:pPr>
              <w:pStyle w:val="953"/>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合计</w:t>
            </w:r>
            <w:r>
              <w:rPr>
                <w:rFonts w:hint="eastAsia" w:ascii="仿宋" w:hAnsi="仿宋" w:eastAsia="仿宋" w:cs="仿宋"/>
                <w:sz w:val="24"/>
                <w:szCs w:val="24"/>
                <w:highlight w:val="none"/>
                <w:lang w:eastAsia="en-US"/>
              </w:rPr>
            </w:r>
            <w:r/>
          </w:p>
        </w:tc>
        <w:tc>
          <w:tcPr>
            <w:tcW w:w="881" w:type="dxa"/>
            <w:vAlign w:val="center"/>
            <w:textDirection w:val="lrTb"/>
            <w:noWrap w:val="false"/>
          </w:tcPr>
          <w:p>
            <w:pPr>
              <w:pStyle w:val="953"/>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c>
          <w:tcPr>
            <w:tcW w:w="441" w:type="dxa"/>
            <w:vAlign w:val="center"/>
            <w:textDirection w:val="lrTb"/>
            <w:noWrap w:val="false"/>
          </w:tcPr>
          <w:p>
            <w:pPr>
              <w:pStyle w:val="953"/>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100</w:t>
            </w:r>
            <w:r>
              <w:rPr>
                <w:rFonts w:hint="eastAsia" w:ascii="仿宋" w:hAnsi="仿宋" w:eastAsia="仿宋" w:cs="仿宋"/>
                <w:sz w:val="24"/>
                <w:szCs w:val="24"/>
                <w:highlight w:val="none"/>
              </w:rPr>
            </w:r>
            <w:r/>
          </w:p>
        </w:tc>
        <w:tc>
          <w:tcPr>
            <w:tcW w:w="2513" w:type="dxa"/>
            <w:vAlign w:val="center"/>
            <w:textDirection w:val="lrTb"/>
            <w:noWrap w:val="false"/>
          </w:tcPr>
          <w:p>
            <w:pPr>
              <w:pStyle w:val="953"/>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c>
          <w:tcPr>
            <w:tcW w:w="471" w:type="dxa"/>
            <w:vAlign w:val="center"/>
            <w:textDirection w:val="lrTb"/>
            <w:noWrap w:val="false"/>
          </w:tcPr>
          <w:p>
            <w:pPr>
              <w:pStyle w:val="953"/>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r>
    </w:tbl>
    <w:p>
      <w:pPr>
        <w:pStyle w:val="953"/>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53"/>
        <w:jc w:val="center"/>
        <w:spacing w:line="580" w:lineRule="exact"/>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太仓市财政监督协审单位考核办法</w:t>
      </w:r>
      <w:r>
        <w:rPr>
          <w:rFonts w:hint="eastAsia" w:ascii="仿宋" w:hAnsi="仿宋" w:eastAsia="仿宋" w:cs="仿宋"/>
          <w:b/>
          <w:bCs/>
          <w:sz w:val="28"/>
          <w:szCs w:val="28"/>
          <w:highlight w:val="none"/>
          <w:lang w:val="en-US" w:eastAsia="zh-CN"/>
        </w:rPr>
      </w:r>
      <w:r/>
    </w:p>
    <w:p>
      <w:pPr>
        <w:pStyle w:val="953"/>
        <w:jc w:val="center"/>
        <w:spacing w:line="580" w:lineRule="exact"/>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（修订稿）</w:t>
      </w:r>
      <w:r>
        <w:rPr>
          <w:rFonts w:hint="eastAsia" w:ascii="仿宋" w:hAnsi="仿宋" w:eastAsia="仿宋" w:cs="仿宋"/>
          <w:b/>
          <w:bCs/>
          <w:sz w:val="28"/>
          <w:szCs w:val="28"/>
          <w:highlight w:val="none"/>
          <w:lang w:val="en-US" w:eastAsia="zh-CN"/>
        </w:rPr>
      </w:r>
      <w:r/>
    </w:p>
    <w:p>
      <w:pPr>
        <w:pStyle w:val="953"/>
        <w:ind w:left="420"/>
        <w:jc w:val="both"/>
        <w:spacing w:after="120"/>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第一章  总  则</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第一条  为加强对财政监督协审单位工作的管理，规范协审执业行为，提高协审工作质量和效率，根据《江苏省财政监督条例》和《财政检查工作办法》（财政部令第32号）等规定，制订本办法。</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第二条  本办法所称协审单位，是指太仓市财政局通过公开招标确定的财政监督协审服务商。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第三条  财政监督协审工作按协审项目进行考核，考核采取百分制，内容包括审前准备、审计过程、报告质量、档案管理和工作表现。</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第二章  考核内容</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第四条  财政监督协审工作考核由太仓市财政局会计监督和绩效管理科牵头组织实施，各项目相关科室配合。考核内容包括审前准备考核13分、审计过程考核32分、报告质量考核35分、档案管理考核8分、工作表现考核12分。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第五条  审前准备考核（13分）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（一）审前沟通（3分）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根据委托人通知按时参加审前沟通会议，项目负责人必须到场。迟到的，扣1分；项目负责人未参加的，扣2分。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（二）审计方案（10分）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1.提交方案。进场后原则上两天内必须出具审计方案；未在规定时间内向委托人提交审计方案的，扣10分；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2.方案内容。审计方案应当包括但不限于审计目标、审计程序、项目组成员、审计时间安排。内容每缺一项，扣2分；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3.方案修改。根据委托人要求，如需修改方案的，需在24小时内完成修改并提交给委托人再次审核；未按时提交的，扣3分；修改后仍未达到委托人要求的，扣3分。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第六条  审计过程考核（32分）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（一）入驻时限（2分）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协审人员应按通知或约定时间入驻被审计单位现场。超过3天入驻被审计单位现场的，扣2分。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（二）人员配备（3分）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每个项目至少配备一名注册会计师，一名辅助人员。每个项目人员确定后，未经委托方同意，不得另行换人。自行更换人员的，直接扣除项目款的10%，同时扣3分。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（三）审中沟通（12分）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项目开展过程中，协审人员需做到每周一报。每周五下班前将本周协审项目的进展情况、掌握的动态、遇到的困难等情况以书面形式（或现场）及时向委托人汇报。不及时汇报协审动态的，每出现一次扣3分；不汇报的，扣12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（四）方案执行（6分）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协审人员应严格按照审计方案开展审计工作，审计过程中需要调整审计方案的，应及时向委托人汇报，经委托人确认后再行开展。未经委托人同意，而导致审计过程与审计目标出现严重偏差的，扣6分。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（五）完成时限（3分）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在审计方案计划内完成协审工作并提交报告，未及时完成的，扣3分。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（六）审后沟通（6分）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审计工作完成后出具初审报告前，应当罗列发现的问题清单，并与委托人召开审后沟通会议（原则上要求现场沟通）。未召开审后沟通会议的，扣3分；未提交问题清单的，扣3分。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第七条  报告质量考核[从首次提交资料起纳入考核。]（35分）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（一）及时性（4分）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现场检查结束后，应在一周内提交初审报告。超过一周提交报告的，每推迟一日扣1分；对前期沟通中指出的问题未予以纠正的，扣4分。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（二）完整性（10分）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初审报告应当包括但不限于被审计单位基本情况（人员机构情况、预决算情况、资产情况、其他业务情况）、项目基本情况、发现的问题（如有）、提出的建议。内容有遗漏的，扣10分。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（三）规范性（3分）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审计报告不规范、表述不正确、内容不完整、存在错别字等情况的，发现一处错误扣1分，累计扣分不超过3分。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（四）准确性（9分）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初审报告或相关材料表内表间数据的勾稽关系有误的，发现一处错误扣3分；初审报告提交后修改超过3次的，扣3分。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（五）合理性（9分）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1.问题合理性。协审人员应对问题定性准确，报告结论不客观、不公正、不真实的，扣6分；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2.建议合理性。协审人员应提出解决实际问题的建议，提出的建议不具有较强的针对性或较高参考价值的，扣3分。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第八条  档案管理考核（8分）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（一）工作底稿（6分）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协审人员应当根据检查证据，按照一事一稿原则制作工作底稿，内容精简完整、真实准确，并提请被审计单位相关人员签署意见并签名、盖章。</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1.工作底稿附件缺失的，每发现一次扣3分；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2.工作底稿缺少制单人、被审计单位人员签字、盖章的，每发现一次扣2分；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3.附件缺少被审计单位盖章的，每发现一次扣2分。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（二）递交时限（2分）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在提交正式报告后两周内，应将协审形成的资料整理、归档并移交委托人。移交不符合要求、不及时的，扣2分。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第九条  工作表现考核（12分）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（一）返场时限（4分）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因审计需要后续返场的，协审人员应当根据委托人要求立即返场，每推迟一日扣1分。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（二）答复时限（4分）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针对报告提出的问题，协审单位应当立即答复。未答复的，每次扣2分；如当场不能答复的，请说明理由，经委托人同意后可适当延长。未及时说明理由的，每次扣2分。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（三）服务态度（2分）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协审人员工作态度不认真，责任心不强，对协审任务敷衍，服务态度不好的，扣2分。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（四）食宿行要求（2分）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协审人员自行解决食宿行问题。协审人员不能自行解决食宿或者未向被审计单位充足缴纳合理的食宿费用的，扣2分。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第三章  考核结果运用</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第十条  财政监督协审工作各项目考核结果与协审业务费结算挂钩，具体如下：</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（一）考核得分≥90分的，该项目的协审费用按照中标价的100%支付；</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（二）80分≤考核得分＜90分的，该项目的协审费用按照中标价的80%支付；</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（三）70分≤考核得分＜80分的，该项目的协审费用按照中标价的70%支付；</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（四）考核得分＜70分的，太仓市财政局有权单方解约，终止委托关系，不予支付该项目的协审费用。</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第四章  一票否决事项</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第十一条  协审单位出现下列四种情形之一的，委托人有权单方解约，终止委托关系；出现下列前三种情形之一的，委托方有权向行业主管部门或其他相关部门进行通报处理，并建议将其作为行业及政府采购管理和信用评价的依据之一。</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1.审计过程中发现重大问题但故意瞒报的或者不如实报告造成严重后果的；</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2.违反“审计八不准四严禁”等有关廉政纪律的；</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3.协审单位中标后，拒绝参与委托方协审任务；</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4.协审单位考核得分低于70分。</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第五章  附  则</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第十二条  本考核办法由太仓市财政局负责实施、解释。</w:t>
      </w:r>
      <w:r>
        <w:rPr>
          <w:rFonts w:hint="eastAsia" w:ascii="仿宋" w:hAnsi="仿宋" w:eastAsia="仿宋" w:cs="仿宋"/>
          <w:sz w:val="24"/>
          <w:szCs w:val="24"/>
          <w:highlight w:val="none"/>
          <w:lang w:val="en-US" w:eastAsia="zh-CN" w:bidi="ar-SA"/>
        </w:rPr>
      </w:r>
      <w:r/>
    </w:p>
    <w:p>
      <w:pPr>
        <w:pStyle w:val="953"/>
        <w:ind w:left="420"/>
        <w:jc w:val="both"/>
        <w:spacing w:after="120"/>
        <w:widowControl w:val="off"/>
        <w:rPr>
          <w:rFonts w:hint="eastAsia" w:ascii="仿宋" w:hAnsi="仿宋" w:eastAsia="仿宋" w:cs="仿宋"/>
          <w:sz w:val="24"/>
          <w:szCs w:val="24"/>
          <w:highlight w:val="none"/>
        </w:rPr>
        <w:sectPr>
          <w:headerReference w:type="default" r:id="rId9"/>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sz w:val="24"/>
          <w:szCs w:val="24"/>
          <w:highlight w:val="none"/>
          <w:lang w:val="en-US" w:eastAsia="zh-CN" w:bidi="ar-SA"/>
        </w:rPr>
        <w:t xml:space="preserve">第十三条  本考核办法自2021年2月19日起执行。2020年1月19日发布的《太仓市财政监督协审单位考核办法》（太财监〔2020〕1号）同时废止。</w:t>
      </w:r>
      <w:r>
        <w:rPr>
          <w:rFonts w:hint="eastAsia" w:ascii="仿宋" w:hAnsi="仿宋" w:eastAsia="仿宋" w:cs="仿宋"/>
          <w:sz w:val="24"/>
          <w:szCs w:val="24"/>
          <w:highlight w:val="none"/>
        </w:rPr>
      </w:r>
      <w:r/>
    </w:p>
    <w:p>
      <w:pPr>
        <w:pStyle w:val="953"/>
        <w:jc w:val="center"/>
        <w:spacing w:line="560" w:lineRule="exact"/>
        <w:rPr>
          <w:rFonts w:ascii="宋体" w:hAnsi="宋体" w:eastAsia="宋体" w:cs="Arial"/>
          <w:b/>
          <w:color w:val="000000"/>
          <w:spacing w:val="9"/>
          <w:sz w:val="28"/>
          <w:szCs w:val="28"/>
          <w:highlight w:val="none"/>
        </w:rPr>
      </w:pPr>
      <w:r>
        <w:rPr>
          <w:rFonts w:hint="eastAsia" w:ascii="宋体" w:hAnsi="宋体" w:eastAsia="宋体" w:cs="Arial"/>
          <w:b/>
          <w:color w:val="000000"/>
          <w:spacing w:val="9"/>
          <w:sz w:val="28"/>
          <w:szCs w:val="28"/>
          <w:highlight w:val="none"/>
        </w:rPr>
        <w:t xml:space="preserve">政府采购履约验收书格式</w:t>
      </w:r>
      <w:r>
        <w:rPr>
          <w:rFonts w:ascii="宋体" w:hAnsi="宋体" w:eastAsia="宋体" w:cs="Arial"/>
          <w:b/>
          <w:color w:val="000000"/>
          <w:spacing w:val="9"/>
          <w:sz w:val="28"/>
          <w:szCs w:val="28"/>
          <w:highlight w:val="none"/>
        </w:rPr>
      </w:r>
      <w:r/>
    </w:p>
    <w:tbl>
      <w:tblPr>
        <w:tblW w:w="15249" w:type="dxa"/>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940"/>
        <w:gridCol w:w="1920"/>
        <w:gridCol w:w="2140"/>
        <w:gridCol w:w="2169"/>
        <w:gridCol w:w="2030"/>
        <w:gridCol w:w="2270"/>
        <w:gridCol w:w="2780"/>
      </w:tblGrid>
      <w:tr>
        <w:trPr>
          <w:trHeight w:val="532"/>
        </w:trPr>
        <w:tc>
          <w:tcPr>
            <w:tcW w:w="1940" w:type="dxa"/>
            <w:vAlign w:val="center"/>
            <w:textDirection w:val="lrTb"/>
            <w:noWrap w:val="false"/>
          </w:tcPr>
          <w:p>
            <w:pPr>
              <w:pStyle w:val="953"/>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采购人</w:t>
            </w:r>
            <w:r>
              <w:rPr>
                <w:rFonts w:ascii="宋体" w:hAnsi="宋体" w:eastAsia="宋体" w:cs="宋体"/>
                <w:szCs w:val="21"/>
                <w:highlight w:val="none"/>
                <w:lang w:bidi="ar"/>
              </w:rPr>
            </w:r>
            <w:r/>
          </w:p>
        </w:tc>
        <w:tc>
          <w:tcPr>
            <w:tcW w:w="1920" w:type="dxa"/>
            <w:vAlign w:val="center"/>
            <w:textDirection w:val="lrTb"/>
            <w:noWrap w:val="false"/>
          </w:tcPr>
          <w:p>
            <w:pPr>
              <w:pStyle w:val="953"/>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tcW w:w="2140" w:type="dxa"/>
            <w:vAlign w:val="center"/>
            <w:textDirection w:val="lrTb"/>
            <w:noWrap w:val="false"/>
          </w:tcPr>
          <w:p>
            <w:pPr>
              <w:pStyle w:val="953"/>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项目名称</w:t>
            </w:r>
            <w:r>
              <w:rPr>
                <w:rFonts w:ascii="宋体" w:hAnsi="宋体" w:eastAsia="宋体" w:cs="宋体"/>
                <w:szCs w:val="21"/>
                <w:highlight w:val="none"/>
                <w:lang w:bidi="ar"/>
              </w:rPr>
            </w:r>
            <w:r/>
          </w:p>
        </w:tc>
        <w:tc>
          <w:tcPr>
            <w:tcW w:w="2169" w:type="dxa"/>
            <w:vAlign w:val="center"/>
            <w:textDirection w:val="lrTb"/>
            <w:noWrap w:val="false"/>
          </w:tcPr>
          <w:p>
            <w:pPr>
              <w:pStyle w:val="953"/>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gridSpan w:val="2"/>
            <w:tcW w:w="4300" w:type="dxa"/>
            <w:vAlign w:val="center"/>
            <w:textDirection w:val="lrTb"/>
            <w:noWrap w:val="false"/>
          </w:tcPr>
          <w:p>
            <w:pPr>
              <w:pStyle w:val="953"/>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合同名称</w:t>
            </w:r>
            <w:r>
              <w:rPr>
                <w:rFonts w:ascii="宋体" w:hAnsi="宋体" w:eastAsia="宋体" w:cs="宋体"/>
                <w:szCs w:val="21"/>
                <w:highlight w:val="none"/>
                <w:lang w:bidi="ar"/>
              </w:rPr>
            </w:r>
            <w:r/>
          </w:p>
        </w:tc>
        <w:tc>
          <w:tcPr>
            <w:tcW w:w="2780" w:type="dxa"/>
            <w:vAlign w:val="center"/>
            <w:textDirection w:val="lrTb"/>
            <w:noWrap w:val="false"/>
          </w:tcPr>
          <w:p>
            <w:pPr>
              <w:pStyle w:val="953"/>
              <w:jc w:val="center"/>
              <w:spacing w:line="400" w:lineRule="exact"/>
              <w:rPr>
                <w:rFonts w:ascii="宋体" w:hAnsi="宋体" w:eastAsia="仿宋_GB2312" w:cs="宋体"/>
                <w:szCs w:val="21"/>
                <w:highlight w:val="none"/>
                <w:lang w:bidi="ar"/>
              </w:rPr>
            </w:pPr>
            <w:r>
              <w:rPr>
                <w:rFonts w:ascii="宋体" w:hAnsi="宋体" w:eastAsia="仿宋_GB2312" w:cs="宋体"/>
                <w:szCs w:val="21"/>
                <w:highlight w:val="none"/>
                <w:lang w:bidi="ar"/>
              </w:rPr>
            </w:r>
            <w:r/>
          </w:p>
        </w:tc>
      </w:tr>
      <w:tr>
        <w:trPr>
          <w:trHeight w:val="565"/>
        </w:trPr>
        <w:tc>
          <w:tcPr>
            <w:tcW w:w="1940" w:type="dxa"/>
            <w:vAlign w:val="center"/>
            <w:textDirection w:val="lrTb"/>
            <w:noWrap w:val="false"/>
          </w:tcPr>
          <w:p>
            <w:pPr>
              <w:pStyle w:val="953"/>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供应商</w:t>
            </w:r>
            <w:r>
              <w:rPr>
                <w:rFonts w:ascii="宋体" w:hAnsi="宋体" w:eastAsia="宋体" w:cs="宋体"/>
                <w:szCs w:val="21"/>
                <w:highlight w:val="none"/>
                <w:lang w:bidi="ar"/>
              </w:rPr>
            </w:r>
            <w:r/>
          </w:p>
        </w:tc>
        <w:tc>
          <w:tcPr>
            <w:tcW w:w="1920" w:type="dxa"/>
            <w:vAlign w:val="center"/>
            <w:textDirection w:val="lrTb"/>
            <w:noWrap w:val="false"/>
          </w:tcPr>
          <w:p>
            <w:pPr>
              <w:pStyle w:val="953"/>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tcW w:w="2140" w:type="dxa"/>
            <w:vAlign w:val="center"/>
            <w:textDirection w:val="lrTb"/>
            <w:noWrap w:val="false"/>
          </w:tcPr>
          <w:p>
            <w:pPr>
              <w:pStyle w:val="953"/>
              <w:jc w:val="center"/>
              <w:rPr>
                <w:rFonts w:ascii="宋体" w:hAnsi="宋体" w:eastAsia="宋体" w:cs="宋体"/>
                <w:szCs w:val="21"/>
                <w:highlight w:val="none"/>
                <w:lang w:bidi="ar"/>
              </w:rPr>
            </w:pPr>
            <w:r>
              <w:rPr>
                <w:rFonts w:hint="eastAsia" w:ascii="宋体" w:hAnsi="宋体" w:eastAsia="宋体" w:cs="宋体"/>
                <w:szCs w:val="21"/>
                <w:highlight w:val="none"/>
                <w:lang w:bidi="ar"/>
              </w:rPr>
              <w:t xml:space="preserve">项目及合</w:t>
            </w:r>
            <w:r>
              <w:rPr>
                <w:rFonts w:ascii="宋体" w:hAnsi="宋体" w:eastAsia="宋体" w:cs="宋体"/>
                <w:szCs w:val="21"/>
                <w:highlight w:val="none"/>
                <w:lang w:bidi="ar"/>
              </w:rPr>
            </w:r>
            <w:r/>
          </w:p>
          <w:p>
            <w:pPr>
              <w:pStyle w:val="953"/>
              <w:jc w:val="center"/>
              <w:rPr>
                <w:rFonts w:ascii="宋体" w:hAnsi="宋体" w:eastAsia="宋体" w:cs="宋体"/>
                <w:szCs w:val="21"/>
                <w:highlight w:val="none"/>
                <w:lang w:bidi="ar"/>
              </w:rPr>
            </w:pPr>
            <w:r>
              <w:rPr>
                <w:rFonts w:hint="eastAsia" w:ascii="宋体" w:hAnsi="宋体" w:eastAsia="宋体" w:cs="宋体"/>
                <w:szCs w:val="21"/>
                <w:highlight w:val="none"/>
                <w:lang w:bidi="ar"/>
              </w:rPr>
              <w:t xml:space="preserve">同编号</w:t>
            </w:r>
            <w:r>
              <w:rPr>
                <w:rFonts w:ascii="宋体" w:hAnsi="宋体" w:eastAsia="宋体" w:cs="宋体"/>
                <w:szCs w:val="21"/>
                <w:highlight w:val="none"/>
                <w:lang w:bidi="ar"/>
              </w:rPr>
            </w:r>
            <w:r/>
          </w:p>
        </w:tc>
        <w:tc>
          <w:tcPr>
            <w:tcW w:w="2169" w:type="dxa"/>
            <w:vAlign w:val="center"/>
            <w:textDirection w:val="lrTb"/>
            <w:noWrap w:val="false"/>
          </w:tcPr>
          <w:p>
            <w:pPr>
              <w:pStyle w:val="953"/>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gridSpan w:val="2"/>
            <w:tcW w:w="4300" w:type="dxa"/>
            <w:vAlign w:val="center"/>
            <w:textDirection w:val="lrTb"/>
            <w:noWrap w:val="false"/>
          </w:tcPr>
          <w:p>
            <w:pPr>
              <w:pStyle w:val="953"/>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合同金额</w:t>
            </w:r>
            <w:r>
              <w:rPr>
                <w:rFonts w:ascii="宋体" w:hAnsi="宋体" w:eastAsia="宋体" w:cs="宋体"/>
                <w:szCs w:val="21"/>
                <w:highlight w:val="none"/>
                <w:lang w:bidi="ar"/>
              </w:rPr>
            </w:r>
            <w:r/>
          </w:p>
        </w:tc>
        <w:tc>
          <w:tcPr>
            <w:tcW w:w="2780" w:type="dxa"/>
            <w:vAlign w:val="center"/>
            <w:textDirection w:val="lrTb"/>
            <w:noWrap w:val="false"/>
          </w:tcPr>
          <w:p>
            <w:pPr>
              <w:pStyle w:val="953"/>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r>
      <w:tr>
        <w:trPr>
          <w:trHeight w:val="410"/>
        </w:trPr>
        <w:tc>
          <w:tcPr>
            <w:tcW w:w="1940" w:type="dxa"/>
            <w:vAlign w:val="center"/>
            <w:textDirection w:val="lrTb"/>
            <w:noWrap w:val="false"/>
          </w:tcPr>
          <w:p>
            <w:pPr>
              <w:pStyle w:val="953"/>
              <w:jc w:val="center"/>
              <w:rPr>
                <w:rFonts w:ascii="宋体" w:hAnsi="宋体" w:eastAsia="宋体" w:cs="宋体"/>
                <w:szCs w:val="21"/>
                <w:highlight w:val="none"/>
                <w:lang w:bidi="ar"/>
              </w:rPr>
            </w:pPr>
            <w:r>
              <w:rPr>
                <w:rFonts w:hint="eastAsia" w:ascii="宋体" w:hAnsi="宋体" w:eastAsia="宋体" w:cs="宋体"/>
                <w:szCs w:val="21"/>
                <w:highlight w:val="none"/>
                <w:lang w:bidi="ar"/>
              </w:rPr>
              <w:t xml:space="preserve">分期（段）验收</w:t>
            </w:r>
            <w:r>
              <w:rPr>
                <w:rFonts w:ascii="宋体" w:hAnsi="宋体" w:eastAsia="宋体" w:cs="宋体"/>
                <w:szCs w:val="21"/>
                <w:highlight w:val="none"/>
                <w:lang w:bidi="ar"/>
              </w:rPr>
            </w:r>
            <w:r/>
          </w:p>
        </w:tc>
        <w:tc>
          <w:tcPr>
            <w:tcW w:w="1920" w:type="dxa"/>
            <w:vAlign w:val="center"/>
            <w:textDirection w:val="lrTb"/>
            <w:noWrap w:val="false"/>
          </w:tcPr>
          <w:p>
            <w:pPr>
              <w:pStyle w:val="953"/>
              <w:jc w:val="center"/>
              <w:rPr>
                <w:rFonts w:ascii="宋体" w:hAnsi="宋体" w:eastAsia="宋体" w:cs="宋体"/>
                <w:szCs w:val="21"/>
                <w:highlight w:val="none"/>
                <w:lang w:bidi="ar"/>
              </w:rPr>
            </w:pPr>
            <w:r>
              <w:rPr>
                <w:rFonts w:hint="eastAsia" w:ascii="宋体" w:hAnsi="宋体" w:eastAsia="宋体" w:cs="宋体"/>
                <w:szCs w:val="21"/>
                <w:highlight w:val="none"/>
                <w:lang w:bidi="ar"/>
              </w:rPr>
              <w:t xml:space="preserve">是□  否</w:t>
            </w:r>
            <w:r>
              <w:rPr>
                <w:rFonts w:ascii="Wingdings 2" w:hAnsi="Wingdings 2" w:eastAsia="Wingdings 2" w:cs="Wingdings 2"/>
                <w:szCs w:val="21"/>
                <w:highlight w:val="none"/>
                <w:lang w:bidi="ar"/>
              </w:rPr>
              <w:t xml:space="preserve">£</w:t>
            </w:r>
            <w:r>
              <w:rPr>
                <w:rFonts w:ascii="宋体" w:hAnsi="宋体" w:eastAsia="宋体" w:cs="宋体"/>
                <w:szCs w:val="21"/>
                <w:highlight w:val="none"/>
                <w:lang w:bidi="ar"/>
              </w:rPr>
            </w:r>
            <w:r/>
          </w:p>
        </w:tc>
        <w:tc>
          <w:tcPr>
            <w:tcW w:w="2140" w:type="dxa"/>
            <w:vAlign w:val="center"/>
            <w:textDirection w:val="lrTb"/>
            <w:noWrap w:val="false"/>
          </w:tcPr>
          <w:p>
            <w:pPr>
              <w:pStyle w:val="953"/>
              <w:jc w:val="center"/>
              <w:rPr>
                <w:rFonts w:ascii="宋体" w:hAnsi="宋体" w:eastAsia="宋体" w:cs="宋体"/>
                <w:szCs w:val="21"/>
                <w:highlight w:val="none"/>
                <w:lang w:bidi="ar"/>
              </w:rPr>
            </w:pPr>
            <w:r>
              <w:rPr>
                <w:rFonts w:hint="eastAsia" w:ascii="宋体" w:hAnsi="宋体" w:eastAsia="宋体" w:cs="宋体"/>
                <w:szCs w:val="21"/>
                <w:highlight w:val="none"/>
                <w:lang w:bidi="ar"/>
              </w:rPr>
              <w:t xml:space="preserve">分期（段）情况</w:t>
            </w:r>
            <w:r>
              <w:rPr>
                <w:rFonts w:ascii="宋体" w:hAnsi="宋体" w:eastAsia="宋体" w:cs="宋体"/>
                <w:szCs w:val="21"/>
                <w:highlight w:val="none"/>
                <w:lang w:bidi="ar"/>
              </w:rPr>
            </w:r>
            <w:r/>
          </w:p>
        </w:tc>
        <w:tc>
          <w:tcPr>
            <w:gridSpan w:val="4"/>
            <w:tcW w:w="9249" w:type="dxa"/>
            <w:vAlign w:val="center"/>
            <w:textDirection w:val="lrTb"/>
            <w:noWrap w:val="false"/>
          </w:tcPr>
          <w:p>
            <w:pPr>
              <w:pStyle w:val="953"/>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共分   期（段），此为第   期（段）验收</w:t>
            </w:r>
            <w:r>
              <w:rPr>
                <w:rFonts w:ascii="宋体" w:hAnsi="宋体" w:eastAsia="宋体" w:cs="宋体"/>
                <w:szCs w:val="21"/>
                <w:highlight w:val="none"/>
                <w:lang w:bidi="ar"/>
              </w:rPr>
            </w:r>
            <w:r/>
          </w:p>
        </w:tc>
      </w:tr>
      <w:tr>
        <w:trPr>
          <w:trHeight w:val="889"/>
        </w:trPr>
        <w:tc>
          <w:tcPr>
            <w:tcW w:w="1940" w:type="dxa"/>
            <w:vAlign w:val="center"/>
            <w:textDirection w:val="lrTb"/>
            <w:noWrap w:val="false"/>
          </w:tcPr>
          <w:p>
            <w:pPr>
              <w:pStyle w:val="953"/>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验收时间</w:t>
            </w:r>
            <w:r>
              <w:rPr>
                <w:rFonts w:ascii="宋体" w:hAnsi="宋体" w:eastAsia="宋体" w:cs="宋体"/>
                <w:szCs w:val="21"/>
                <w:highlight w:val="none"/>
                <w:lang w:bidi="ar"/>
              </w:rPr>
            </w:r>
            <w:r/>
          </w:p>
        </w:tc>
        <w:tc>
          <w:tcPr>
            <w:tcW w:w="1920" w:type="dxa"/>
            <w:vAlign w:val="center"/>
            <w:textDirection w:val="lrTb"/>
            <w:noWrap w:val="false"/>
          </w:tcPr>
          <w:p>
            <w:pPr>
              <w:pStyle w:val="953"/>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tcW w:w="2140" w:type="dxa"/>
            <w:vAlign w:val="center"/>
            <w:textDirection w:val="lrTb"/>
            <w:noWrap w:val="false"/>
          </w:tcPr>
          <w:p>
            <w:pPr>
              <w:pStyle w:val="953"/>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验收地点</w:t>
            </w:r>
            <w:r>
              <w:rPr>
                <w:rFonts w:ascii="宋体" w:hAnsi="宋体" w:eastAsia="宋体" w:cs="宋体"/>
                <w:szCs w:val="21"/>
                <w:highlight w:val="none"/>
                <w:lang w:bidi="ar"/>
              </w:rPr>
            </w:r>
            <w:r/>
          </w:p>
        </w:tc>
        <w:tc>
          <w:tcPr>
            <w:tcW w:w="2169" w:type="dxa"/>
            <w:vAlign w:val="center"/>
            <w:textDirection w:val="lrTb"/>
            <w:noWrap w:val="false"/>
          </w:tcPr>
          <w:p>
            <w:pPr>
              <w:pStyle w:val="953"/>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gridSpan w:val="2"/>
            <w:tcW w:w="4300" w:type="dxa"/>
            <w:vAlign w:val="center"/>
            <w:textDirection w:val="lrTb"/>
            <w:noWrap w:val="false"/>
          </w:tcPr>
          <w:p>
            <w:pPr>
              <w:pStyle w:val="953"/>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验收组织形式</w:t>
            </w:r>
            <w:r>
              <w:rPr>
                <w:rFonts w:ascii="宋体" w:hAnsi="宋体" w:eastAsia="宋体" w:cs="宋体"/>
                <w:szCs w:val="21"/>
                <w:highlight w:val="none"/>
                <w:lang w:bidi="ar"/>
              </w:rPr>
            </w:r>
            <w:r/>
          </w:p>
        </w:tc>
        <w:tc>
          <w:tcPr>
            <w:tcW w:w="2780" w:type="dxa"/>
            <w:vAlign w:val="center"/>
            <w:textDirection w:val="lrTb"/>
            <w:noWrap w:val="false"/>
          </w:tcPr>
          <w:p>
            <w:pPr>
              <w:pStyle w:val="953"/>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□自行简易验收</w:t>
            </w:r>
            <w:r>
              <w:rPr>
                <w:rFonts w:ascii="宋体" w:hAnsi="宋体" w:eastAsia="宋体" w:cs="宋体"/>
                <w:szCs w:val="21"/>
                <w:highlight w:val="none"/>
                <w:lang w:bidi="ar"/>
              </w:rPr>
            </w:r>
            <w:r/>
          </w:p>
          <w:p>
            <w:pPr>
              <w:pStyle w:val="953"/>
              <w:spacing w:line="400" w:lineRule="exact"/>
              <w:rPr>
                <w:rFonts w:ascii="宋体" w:hAnsi="宋体" w:eastAsia="宋体" w:cs="宋体"/>
                <w:szCs w:val="21"/>
                <w:highlight w:val="none"/>
                <w:lang w:bidi="ar"/>
              </w:rPr>
            </w:pPr>
            <w:r>
              <w:rPr>
                <w:rFonts w:ascii="Wingdings 2" w:hAnsi="Wingdings 2" w:eastAsia="Wingdings 2" w:cs="Wingdings 2"/>
                <w:szCs w:val="21"/>
                <w:highlight w:val="none"/>
                <w:lang w:bidi="ar"/>
              </w:rPr>
              <w:t xml:space="preserve">£</w:t>
            </w:r>
            <w:r>
              <w:rPr>
                <w:rFonts w:hint="eastAsia" w:ascii="宋体" w:hAnsi="宋体" w:eastAsia="宋体" w:cs="宋体"/>
                <w:szCs w:val="21"/>
                <w:highlight w:val="none"/>
                <w:lang w:bidi="ar"/>
              </w:rPr>
              <w:t xml:space="preserve">验收小组验收</w:t>
            </w:r>
            <w:r>
              <w:rPr>
                <w:rFonts w:ascii="宋体" w:hAnsi="宋体" w:eastAsia="宋体" w:cs="宋体"/>
                <w:szCs w:val="21"/>
                <w:highlight w:val="none"/>
                <w:lang w:bidi="ar"/>
              </w:rPr>
            </w:r>
            <w:r/>
          </w:p>
          <w:p>
            <w:pPr>
              <w:pStyle w:val="953"/>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□采购代理机构验收</w:t>
            </w:r>
            <w:r>
              <w:rPr>
                <w:rFonts w:ascii="宋体" w:hAnsi="宋体" w:eastAsia="宋体" w:cs="宋体"/>
                <w:szCs w:val="21"/>
                <w:highlight w:val="none"/>
                <w:lang w:bidi="ar"/>
              </w:rPr>
            </w:r>
            <w:r/>
          </w:p>
        </w:tc>
      </w:tr>
      <w:tr>
        <w:trPr>
          <w:trHeight w:val="395"/>
        </w:trPr>
        <w:tc>
          <w:tcPr>
            <w:tcW w:w="1940" w:type="dxa"/>
            <w:vAlign w:val="center"/>
            <w:vMerge w:val="restart"/>
            <w:textDirection w:val="lrTb"/>
            <w:noWrap w:val="false"/>
          </w:tcPr>
          <w:p>
            <w:pPr>
              <w:pStyle w:val="953"/>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验收内容</w:t>
            </w:r>
            <w:r>
              <w:rPr>
                <w:rFonts w:ascii="宋体" w:hAnsi="宋体" w:eastAsia="宋体" w:cs="宋体"/>
                <w:szCs w:val="21"/>
                <w:highlight w:val="none"/>
                <w:lang w:bidi="ar"/>
              </w:rPr>
            </w:r>
            <w:r/>
          </w:p>
        </w:tc>
        <w:tc>
          <w:tcPr>
            <w:tcW w:w="1920" w:type="dxa"/>
            <w:vAlign w:val="center"/>
            <w:textDirection w:val="lrTb"/>
            <w:noWrap w:val="false"/>
          </w:tcPr>
          <w:p>
            <w:pPr>
              <w:pStyle w:val="953"/>
              <w:jc w:val="center"/>
              <w:rPr>
                <w:rFonts w:ascii="宋体" w:hAnsi="宋体" w:eastAsia="宋体" w:cs="宋体"/>
                <w:szCs w:val="21"/>
                <w:highlight w:val="none"/>
                <w:lang w:bidi="ar"/>
              </w:rPr>
            </w:pPr>
            <w:r>
              <w:rPr>
                <w:rFonts w:hint="eastAsia" w:ascii="宋体" w:hAnsi="宋体" w:eastAsia="宋体" w:cs="宋体"/>
                <w:szCs w:val="21"/>
                <w:highlight w:val="none"/>
                <w:lang w:bidi="ar"/>
              </w:rPr>
              <w:t xml:space="preserve">服务质量</w:t>
            </w:r>
            <w:r>
              <w:rPr>
                <w:rFonts w:ascii="宋体" w:hAnsi="宋体" w:eastAsia="宋体" w:cs="宋体"/>
                <w:szCs w:val="21"/>
                <w:highlight w:val="none"/>
                <w:lang w:bidi="ar"/>
              </w:rPr>
            </w:r>
            <w:r/>
          </w:p>
        </w:tc>
        <w:tc>
          <w:tcPr>
            <w:tcW w:w="2140" w:type="dxa"/>
            <w:vAlign w:val="center"/>
            <w:textDirection w:val="lrTb"/>
            <w:noWrap w:val="false"/>
          </w:tcPr>
          <w:p>
            <w:pPr>
              <w:pStyle w:val="953"/>
              <w:jc w:val="center"/>
              <w:rPr>
                <w:rFonts w:ascii="宋体" w:hAnsi="宋体" w:eastAsia="宋体" w:cs="宋体"/>
                <w:szCs w:val="21"/>
                <w:highlight w:val="none"/>
                <w:lang w:bidi="ar"/>
              </w:rPr>
            </w:pPr>
            <w:r>
              <w:rPr>
                <w:rFonts w:hint="eastAsia" w:ascii="宋体" w:hAnsi="宋体" w:eastAsia="宋体" w:cs="宋体"/>
                <w:szCs w:val="21"/>
                <w:highlight w:val="none"/>
                <w:lang w:bidi="ar"/>
              </w:rPr>
              <w:t xml:space="preserve">服务进度</w:t>
            </w:r>
            <w:r>
              <w:rPr>
                <w:rFonts w:ascii="宋体" w:hAnsi="宋体" w:eastAsia="宋体" w:cs="宋体"/>
                <w:szCs w:val="21"/>
                <w:highlight w:val="none"/>
                <w:lang w:bidi="ar"/>
              </w:rPr>
            </w:r>
            <w:r/>
          </w:p>
        </w:tc>
        <w:tc>
          <w:tcPr>
            <w:tcW w:w="2169" w:type="dxa"/>
            <w:vAlign w:val="center"/>
            <w:textDirection w:val="lrTb"/>
            <w:noWrap w:val="false"/>
          </w:tcPr>
          <w:p>
            <w:pPr>
              <w:pStyle w:val="953"/>
              <w:jc w:val="center"/>
              <w:rPr>
                <w:rFonts w:ascii="宋体" w:hAnsi="宋体" w:eastAsia="宋体" w:cs="宋体"/>
                <w:szCs w:val="21"/>
                <w:highlight w:val="none"/>
                <w:lang w:bidi="ar"/>
              </w:rPr>
            </w:pPr>
            <w:r>
              <w:rPr>
                <w:rFonts w:hint="eastAsia" w:ascii="宋体" w:hAnsi="宋体" w:eastAsia="宋体" w:cs="宋体"/>
                <w:szCs w:val="21"/>
                <w:highlight w:val="none"/>
                <w:lang w:bidi="ar"/>
              </w:rPr>
              <w:t xml:space="preserve">人员、设备配备情况</w:t>
            </w:r>
            <w:r>
              <w:rPr>
                <w:rFonts w:ascii="宋体" w:hAnsi="宋体" w:eastAsia="宋体" w:cs="宋体"/>
                <w:szCs w:val="21"/>
                <w:highlight w:val="none"/>
                <w:lang w:bidi="ar"/>
              </w:rPr>
            </w:r>
            <w:r/>
          </w:p>
        </w:tc>
        <w:tc>
          <w:tcPr>
            <w:tcW w:w="2030" w:type="dxa"/>
            <w:vAlign w:val="center"/>
            <w:textDirection w:val="lrTb"/>
            <w:noWrap w:val="false"/>
          </w:tcPr>
          <w:p>
            <w:pPr>
              <w:pStyle w:val="953"/>
              <w:jc w:val="center"/>
              <w:rPr>
                <w:rFonts w:ascii="宋体" w:hAnsi="宋体" w:eastAsia="宋体" w:cs="宋体"/>
                <w:szCs w:val="21"/>
                <w:highlight w:val="none"/>
                <w:lang w:bidi="ar"/>
              </w:rPr>
            </w:pPr>
            <w:r>
              <w:rPr>
                <w:rFonts w:hint="eastAsia" w:ascii="宋体" w:hAnsi="宋体" w:eastAsia="宋体" w:cs="宋体"/>
                <w:szCs w:val="21"/>
                <w:highlight w:val="none"/>
                <w:lang w:bidi="ar"/>
              </w:rPr>
              <w:t xml:space="preserve">行业、安全标准</w:t>
            </w:r>
            <w:r>
              <w:rPr>
                <w:rFonts w:ascii="宋体" w:hAnsi="宋体" w:eastAsia="宋体" w:cs="宋体"/>
                <w:szCs w:val="21"/>
                <w:highlight w:val="none"/>
                <w:lang w:bidi="ar"/>
              </w:rPr>
            </w:r>
            <w:r/>
          </w:p>
        </w:tc>
        <w:tc>
          <w:tcPr>
            <w:tcW w:w="2270" w:type="dxa"/>
            <w:vAlign w:val="center"/>
            <w:textDirection w:val="lrTb"/>
            <w:noWrap w:val="false"/>
          </w:tcPr>
          <w:p>
            <w:pPr>
              <w:pStyle w:val="953"/>
              <w:jc w:val="center"/>
              <w:rPr>
                <w:rFonts w:ascii="宋体" w:hAnsi="宋体" w:eastAsia="宋体" w:cs="宋体"/>
                <w:szCs w:val="21"/>
                <w:highlight w:val="none"/>
                <w:lang w:bidi="ar"/>
              </w:rPr>
            </w:pPr>
            <w:r>
              <w:rPr>
                <w:rFonts w:hint="eastAsia" w:ascii="宋体" w:hAnsi="宋体" w:eastAsia="宋体" w:cs="宋体"/>
                <w:szCs w:val="21"/>
                <w:highlight w:val="none"/>
                <w:lang w:bidi="ar"/>
              </w:rPr>
              <w:t xml:space="preserve">项目需求、服务承诺</w:t>
            </w:r>
            <w:r>
              <w:rPr>
                <w:rFonts w:ascii="宋体" w:hAnsi="宋体" w:eastAsia="宋体" w:cs="宋体"/>
                <w:szCs w:val="21"/>
                <w:highlight w:val="none"/>
                <w:lang w:bidi="ar"/>
              </w:rPr>
            </w:r>
            <w:r/>
          </w:p>
        </w:tc>
        <w:tc>
          <w:tcPr>
            <w:tcW w:w="2780" w:type="dxa"/>
            <w:vAlign w:val="center"/>
            <w:textDirection w:val="lrTb"/>
            <w:noWrap w:val="false"/>
          </w:tcPr>
          <w:p>
            <w:pPr>
              <w:pStyle w:val="953"/>
              <w:jc w:val="center"/>
              <w:rPr>
                <w:rFonts w:ascii="宋体" w:hAnsi="宋体" w:eastAsia="宋体" w:cs="宋体"/>
                <w:szCs w:val="21"/>
                <w:highlight w:val="none"/>
                <w:lang w:bidi="ar"/>
              </w:rPr>
            </w:pPr>
            <w:r>
              <w:rPr>
                <w:rFonts w:hint="eastAsia" w:ascii="宋体" w:hAnsi="宋体" w:eastAsia="宋体" w:cs="宋体"/>
                <w:szCs w:val="21"/>
                <w:highlight w:val="none"/>
                <w:lang w:bidi="ar"/>
              </w:rPr>
              <w:t xml:space="preserve">合同履约时间、地点、方式</w:t>
            </w:r>
            <w:r>
              <w:rPr>
                <w:rFonts w:ascii="宋体" w:hAnsi="宋体" w:eastAsia="宋体" w:cs="宋体"/>
                <w:szCs w:val="21"/>
                <w:highlight w:val="none"/>
                <w:lang w:bidi="ar"/>
              </w:rPr>
            </w:r>
            <w:r/>
          </w:p>
        </w:tc>
      </w:tr>
      <w:tr>
        <w:trPr>
          <w:trHeight w:val="1055"/>
        </w:trPr>
        <w:tc>
          <w:tcPr>
            <w:tcW w:w="1940" w:type="dxa"/>
            <w:vAlign w:val="center"/>
            <w:vMerge w:val="continue"/>
            <w:textDirection w:val="lrTb"/>
            <w:noWrap w:val="false"/>
          </w:tcPr>
          <w:p>
            <w:pPr>
              <w:pStyle w:val="953"/>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tcW w:w="1920" w:type="dxa"/>
            <w:vAlign w:val="center"/>
            <w:textDirection w:val="lrTb"/>
            <w:noWrap w:val="false"/>
          </w:tcPr>
          <w:p>
            <w:pPr>
              <w:pStyle w:val="953"/>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w:t>
            </w:r>
            <w:r>
              <w:rPr>
                <w:rFonts w:ascii="Wingdings 2" w:hAnsi="Wingdings 2" w:eastAsia="Wingdings 2" w:cs="Wingdings 2"/>
                <w:szCs w:val="21"/>
                <w:highlight w:val="none"/>
                <w:lang w:bidi="ar"/>
              </w:rPr>
              <w:t xml:space="preserve">£</w:t>
            </w:r>
            <w:r>
              <w:rPr>
                <w:rFonts w:ascii="宋体" w:hAnsi="宋体" w:eastAsia="宋体" w:cs="宋体"/>
                <w:szCs w:val="21"/>
                <w:highlight w:val="none"/>
                <w:lang w:bidi="ar"/>
              </w:rPr>
            </w:r>
            <w:r/>
          </w:p>
          <w:p>
            <w:pPr>
              <w:pStyle w:val="953"/>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不合格□</w:t>
            </w:r>
            <w:r>
              <w:rPr>
                <w:rFonts w:ascii="宋体" w:hAnsi="宋体" w:eastAsia="宋体" w:cs="宋体"/>
                <w:szCs w:val="21"/>
                <w:highlight w:val="none"/>
                <w:lang w:bidi="ar"/>
              </w:rPr>
            </w:r>
            <w:r/>
          </w:p>
        </w:tc>
        <w:tc>
          <w:tcPr>
            <w:tcW w:w="2140" w:type="dxa"/>
            <w:vAlign w:val="center"/>
            <w:textDirection w:val="lrTb"/>
            <w:noWrap w:val="false"/>
          </w:tcPr>
          <w:p>
            <w:pPr>
              <w:pStyle w:val="953"/>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按  时</w:t>
            </w:r>
            <w:r>
              <w:rPr>
                <w:rFonts w:ascii="Wingdings 2" w:hAnsi="Wingdings 2" w:eastAsia="Wingdings 2" w:cs="Wingdings 2"/>
                <w:szCs w:val="21"/>
                <w:highlight w:val="none"/>
                <w:lang w:bidi="ar"/>
              </w:rPr>
              <w:t xml:space="preserve">£</w:t>
            </w:r>
            <w:r>
              <w:rPr>
                <w:rFonts w:ascii="宋体" w:hAnsi="宋体" w:eastAsia="宋体" w:cs="宋体"/>
                <w:szCs w:val="21"/>
                <w:highlight w:val="none"/>
                <w:lang w:bidi="ar"/>
              </w:rPr>
            </w:r>
            <w:r/>
          </w:p>
          <w:p>
            <w:pPr>
              <w:pStyle w:val="953"/>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不按时□</w:t>
            </w:r>
            <w:r>
              <w:rPr>
                <w:rFonts w:ascii="宋体" w:hAnsi="宋体" w:eastAsia="宋体" w:cs="宋体"/>
                <w:szCs w:val="21"/>
                <w:highlight w:val="none"/>
                <w:lang w:bidi="ar"/>
              </w:rPr>
            </w:r>
            <w:r/>
          </w:p>
        </w:tc>
        <w:tc>
          <w:tcPr>
            <w:tcW w:w="2169" w:type="dxa"/>
            <w:vAlign w:val="center"/>
            <w:textDirection w:val="lrTb"/>
            <w:noWrap w:val="false"/>
          </w:tcPr>
          <w:p>
            <w:pPr>
              <w:pStyle w:val="953"/>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w:t>
            </w:r>
            <w:r>
              <w:rPr>
                <w:rFonts w:ascii="Wingdings 2" w:hAnsi="Wingdings 2" w:eastAsia="Wingdings 2" w:cs="Wingdings 2"/>
                <w:szCs w:val="21"/>
                <w:highlight w:val="none"/>
                <w:lang w:bidi="ar"/>
              </w:rPr>
              <w:t xml:space="preserve">£</w:t>
            </w:r>
            <w:r>
              <w:rPr>
                <w:rFonts w:ascii="宋体" w:hAnsi="宋体" w:eastAsia="宋体" w:cs="宋体"/>
                <w:szCs w:val="21"/>
                <w:highlight w:val="none"/>
                <w:lang w:bidi="ar"/>
              </w:rPr>
            </w:r>
            <w:r/>
          </w:p>
          <w:p>
            <w:pPr>
              <w:pStyle w:val="953"/>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不合格□</w:t>
            </w:r>
            <w:r>
              <w:rPr>
                <w:rFonts w:ascii="宋体" w:hAnsi="宋体" w:eastAsia="宋体" w:cs="宋体"/>
                <w:szCs w:val="21"/>
                <w:highlight w:val="none"/>
                <w:lang w:bidi="ar"/>
              </w:rPr>
            </w:r>
            <w:r/>
          </w:p>
        </w:tc>
        <w:tc>
          <w:tcPr>
            <w:tcW w:w="2030" w:type="dxa"/>
            <w:vAlign w:val="center"/>
            <w:textDirection w:val="lrTb"/>
            <w:noWrap w:val="false"/>
          </w:tcPr>
          <w:p>
            <w:pPr>
              <w:pStyle w:val="953"/>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w:t>
            </w:r>
            <w:r>
              <w:rPr>
                <w:rFonts w:ascii="Wingdings 2" w:hAnsi="Wingdings 2" w:eastAsia="Wingdings 2" w:cs="Wingdings 2"/>
                <w:szCs w:val="21"/>
                <w:highlight w:val="none"/>
                <w:lang w:bidi="ar"/>
              </w:rPr>
              <w:t xml:space="preserve">£</w:t>
            </w:r>
            <w:r>
              <w:rPr>
                <w:rFonts w:ascii="宋体" w:hAnsi="宋体" w:eastAsia="宋体" w:cs="宋体"/>
                <w:szCs w:val="21"/>
                <w:highlight w:val="none"/>
                <w:lang w:bidi="ar"/>
              </w:rPr>
            </w:r>
            <w:r/>
          </w:p>
          <w:p>
            <w:pPr>
              <w:pStyle w:val="953"/>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不合格□</w:t>
            </w:r>
            <w:r>
              <w:rPr>
                <w:rFonts w:ascii="宋体" w:hAnsi="宋体" w:eastAsia="宋体" w:cs="宋体"/>
                <w:szCs w:val="21"/>
                <w:highlight w:val="none"/>
                <w:lang w:bidi="ar"/>
              </w:rPr>
            </w:r>
            <w:r/>
          </w:p>
        </w:tc>
        <w:tc>
          <w:tcPr>
            <w:tcW w:w="2270" w:type="dxa"/>
            <w:vAlign w:val="center"/>
            <w:textDirection w:val="lrTb"/>
            <w:noWrap w:val="false"/>
          </w:tcPr>
          <w:p>
            <w:pPr>
              <w:pStyle w:val="953"/>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w:t>
            </w:r>
            <w:r>
              <w:rPr>
                <w:rFonts w:ascii="Wingdings 2" w:hAnsi="Wingdings 2" w:eastAsia="Wingdings 2" w:cs="Wingdings 2"/>
                <w:szCs w:val="21"/>
                <w:highlight w:val="none"/>
                <w:lang w:bidi="ar"/>
              </w:rPr>
              <w:t xml:space="preserve">£</w:t>
            </w:r>
            <w:r>
              <w:rPr>
                <w:rFonts w:ascii="宋体" w:hAnsi="宋体" w:eastAsia="宋体" w:cs="宋体"/>
                <w:szCs w:val="21"/>
                <w:highlight w:val="none"/>
                <w:lang w:bidi="ar"/>
              </w:rPr>
            </w:r>
            <w:r/>
          </w:p>
          <w:p>
            <w:pPr>
              <w:pStyle w:val="953"/>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不合格□</w:t>
            </w:r>
            <w:r>
              <w:rPr>
                <w:rFonts w:ascii="宋体" w:hAnsi="宋体" w:eastAsia="宋体" w:cs="宋体"/>
                <w:szCs w:val="21"/>
                <w:highlight w:val="none"/>
                <w:lang w:bidi="ar"/>
              </w:rPr>
            </w:r>
            <w:r/>
          </w:p>
        </w:tc>
        <w:tc>
          <w:tcPr>
            <w:tcW w:w="2780" w:type="dxa"/>
            <w:vAlign w:val="center"/>
            <w:textDirection w:val="lrTb"/>
            <w:noWrap w:val="false"/>
          </w:tcPr>
          <w:p>
            <w:pPr>
              <w:pStyle w:val="953"/>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w:t>
            </w:r>
            <w:r>
              <w:rPr>
                <w:rFonts w:ascii="Wingdings 2" w:hAnsi="Wingdings 2" w:eastAsia="Wingdings 2" w:cs="Wingdings 2"/>
                <w:szCs w:val="21"/>
                <w:highlight w:val="none"/>
                <w:lang w:bidi="ar"/>
              </w:rPr>
              <w:t xml:space="preserve">£</w:t>
            </w:r>
            <w:r>
              <w:rPr>
                <w:rFonts w:ascii="宋体" w:hAnsi="宋体" w:eastAsia="宋体" w:cs="宋体"/>
                <w:szCs w:val="21"/>
                <w:highlight w:val="none"/>
                <w:lang w:bidi="ar"/>
              </w:rPr>
            </w:r>
            <w:r/>
          </w:p>
          <w:p>
            <w:pPr>
              <w:pStyle w:val="953"/>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不合格□</w:t>
            </w:r>
            <w:r>
              <w:rPr>
                <w:rFonts w:ascii="宋体" w:hAnsi="宋体" w:eastAsia="宋体" w:cs="宋体"/>
                <w:szCs w:val="21"/>
                <w:highlight w:val="none"/>
                <w:lang w:bidi="ar"/>
              </w:rPr>
            </w:r>
            <w:r/>
          </w:p>
        </w:tc>
      </w:tr>
      <w:tr>
        <w:trPr>
          <w:trHeight w:val="1017"/>
        </w:trPr>
        <w:tc>
          <w:tcPr>
            <w:tcW w:w="1940" w:type="dxa"/>
            <w:vAlign w:val="center"/>
            <w:textDirection w:val="lrTb"/>
            <w:noWrap w:val="false"/>
          </w:tcPr>
          <w:p>
            <w:pPr>
              <w:pStyle w:val="953"/>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专业检测机构情况说明</w:t>
            </w:r>
            <w:r>
              <w:rPr>
                <w:rFonts w:ascii="宋体" w:hAnsi="宋体" w:eastAsia="宋体" w:cs="宋体"/>
                <w:szCs w:val="21"/>
                <w:highlight w:val="none"/>
                <w:lang w:bidi="ar"/>
              </w:rPr>
            </w:r>
            <w:r/>
          </w:p>
        </w:tc>
        <w:tc>
          <w:tcPr>
            <w:gridSpan w:val="6"/>
            <w:tcW w:w="13309" w:type="dxa"/>
            <w:vAlign w:val="center"/>
            <w:textDirection w:val="lrTb"/>
            <w:noWrap w:val="false"/>
          </w:tcPr>
          <w:p>
            <w:pPr>
              <w:pStyle w:val="953"/>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r>
      <w:tr>
        <w:trPr>
          <w:trHeight w:val="1017"/>
        </w:trPr>
        <w:tc>
          <w:tcPr>
            <w:tcW w:w="1940" w:type="dxa"/>
            <w:vAlign w:val="center"/>
            <w:textDirection w:val="lrTb"/>
            <w:noWrap w:val="false"/>
          </w:tcPr>
          <w:p>
            <w:pPr>
              <w:pStyle w:val="953"/>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存在问题</w:t>
            </w:r>
            <w:r>
              <w:rPr>
                <w:rFonts w:ascii="宋体" w:hAnsi="宋体" w:eastAsia="宋体" w:cs="宋体"/>
                <w:szCs w:val="21"/>
                <w:highlight w:val="none"/>
                <w:lang w:bidi="ar"/>
              </w:rPr>
            </w:r>
            <w:r/>
          </w:p>
          <w:p>
            <w:pPr>
              <w:pStyle w:val="953"/>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和改进意见</w:t>
            </w:r>
            <w:r>
              <w:rPr>
                <w:rFonts w:ascii="宋体" w:hAnsi="宋体" w:eastAsia="宋体" w:cs="宋体"/>
                <w:szCs w:val="21"/>
                <w:highlight w:val="none"/>
                <w:lang w:bidi="ar"/>
              </w:rPr>
            </w:r>
            <w:r/>
          </w:p>
        </w:tc>
        <w:tc>
          <w:tcPr>
            <w:gridSpan w:val="6"/>
            <w:tcW w:w="13309" w:type="dxa"/>
            <w:vAlign w:val="center"/>
            <w:textDirection w:val="lrTb"/>
            <w:noWrap w:val="false"/>
          </w:tcPr>
          <w:p>
            <w:pPr>
              <w:pStyle w:val="953"/>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953"/>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r>
      <w:tr>
        <w:trPr>
          <w:trHeight w:val="686"/>
        </w:trPr>
        <w:tc>
          <w:tcPr>
            <w:tcW w:w="1940" w:type="dxa"/>
            <w:vAlign w:val="center"/>
            <w:textDirection w:val="lrTb"/>
            <w:noWrap w:val="false"/>
          </w:tcPr>
          <w:p>
            <w:pPr>
              <w:pStyle w:val="953"/>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最终结论</w:t>
            </w:r>
            <w:r>
              <w:rPr>
                <w:rFonts w:ascii="宋体" w:hAnsi="宋体" w:eastAsia="宋体" w:cs="宋体"/>
                <w:szCs w:val="21"/>
                <w:highlight w:val="none"/>
                <w:lang w:bidi="ar"/>
              </w:rPr>
            </w:r>
            <w:r/>
          </w:p>
        </w:tc>
        <w:tc>
          <w:tcPr>
            <w:gridSpan w:val="6"/>
            <w:tcW w:w="13309" w:type="dxa"/>
            <w:vAlign w:val="center"/>
            <w:textDirection w:val="lrTb"/>
            <w:noWrap w:val="false"/>
          </w:tcPr>
          <w:p>
            <w:pPr>
              <w:pStyle w:val="953"/>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w:t>
            </w:r>
            <w:r>
              <w:rPr>
                <w:rFonts w:ascii="Wingdings 2" w:hAnsi="Wingdings 2" w:eastAsia="Wingdings 2" w:cs="Wingdings 2"/>
                <w:szCs w:val="21"/>
                <w:highlight w:val="none"/>
                <w:lang w:bidi="ar"/>
              </w:rPr>
              <w:t xml:space="preserve">£</w:t>
            </w:r>
            <w:r>
              <w:rPr>
                <w:rFonts w:hint="eastAsia" w:ascii="宋体" w:hAnsi="宋体" w:eastAsia="宋体" w:cs="宋体"/>
                <w:szCs w:val="21"/>
                <w:highlight w:val="none"/>
                <w:lang w:bidi="ar"/>
              </w:rPr>
              <w:t xml:space="preserve">                              不合格□</w:t>
            </w:r>
            <w:r>
              <w:rPr>
                <w:rFonts w:ascii="宋体" w:hAnsi="宋体" w:eastAsia="宋体" w:cs="宋体"/>
                <w:szCs w:val="21"/>
                <w:highlight w:val="none"/>
                <w:lang w:bidi="ar"/>
              </w:rPr>
            </w:r>
            <w:r/>
          </w:p>
        </w:tc>
      </w:tr>
      <w:tr>
        <w:trPr>
          <w:trHeight w:val="565"/>
        </w:trPr>
        <w:tc>
          <w:tcPr>
            <w:tcW w:w="1940" w:type="dxa"/>
            <w:vAlign w:val="center"/>
            <w:textDirection w:val="lrTb"/>
            <w:noWrap w:val="false"/>
          </w:tcPr>
          <w:p>
            <w:pPr>
              <w:pStyle w:val="953"/>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验收小组成员签字</w:t>
            </w:r>
            <w:r>
              <w:rPr>
                <w:rFonts w:ascii="宋体" w:hAnsi="宋体" w:eastAsia="宋体" w:cs="宋体"/>
                <w:szCs w:val="21"/>
                <w:highlight w:val="none"/>
                <w:lang w:bidi="ar"/>
              </w:rPr>
            </w:r>
            <w:r/>
          </w:p>
        </w:tc>
        <w:tc>
          <w:tcPr>
            <w:gridSpan w:val="6"/>
            <w:tcW w:w="13309" w:type="dxa"/>
            <w:vAlign w:val="center"/>
            <w:textDirection w:val="lrTb"/>
            <w:noWrap w:val="false"/>
          </w:tcPr>
          <w:p>
            <w:pPr>
              <w:pStyle w:val="953"/>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953"/>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953"/>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r>
      <w:tr>
        <w:trPr>
          <w:trHeight w:val="519"/>
        </w:trPr>
        <w:tc>
          <w:tcPr>
            <w:gridSpan w:val="4"/>
            <w:tcW w:w="8169" w:type="dxa"/>
            <w:vAlign w:val="center"/>
            <w:textDirection w:val="lrTb"/>
            <w:noWrap w:val="false"/>
          </w:tcPr>
          <w:p>
            <w:pPr>
              <w:pStyle w:val="953"/>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采购代理机构意见</w:t>
            </w:r>
            <w:r>
              <w:rPr>
                <w:rFonts w:ascii="宋体" w:hAnsi="宋体" w:eastAsia="宋体" w:cs="宋体"/>
                <w:szCs w:val="21"/>
                <w:highlight w:val="none"/>
                <w:lang w:bidi="ar"/>
              </w:rPr>
            </w:r>
            <w:r/>
          </w:p>
        </w:tc>
        <w:tc>
          <w:tcPr>
            <w:gridSpan w:val="3"/>
            <w:tcW w:w="7080" w:type="dxa"/>
            <w:vAlign w:val="center"/>
            <w:textDirection w:val="lrTb"/>
            <w:noWrap w:val="false"/>
          </w:tcPr>
          <w:p>
            <w:pPr>
              <w:pStyle w:val="953"/>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采购人意见</w:t>
            </w:r>
            <w:r>
              <w:rPr>
                <w:rFonts w:ascii="宋体" w:hAnsi="宋体" w:eastAsia="宋体" w:cs="宋体"/>
                <w:szCs w:val="21"/>
                <w:highlight w:val="none"/>
                <w:lang w:bidi="ar"/>
              </w:rPr>
            </w:r>
            <w:r/>
          </w:p>
        </w:tc>
      </w:tr>
      <w:tr>
        <w:trPr>
          <w:trHeight w:val="886"/>
        </w:trPr>
        <w:tc>
          <w:tcPr>
            <w:gridSpan w:val="4"/>
            <w:tcW w:w="8169" w:type="dxa"/>
            <w:vAlign w:val="top"/>
            <w:textDirection w:val="lrTb"/>
            <w:noWrap w:val="false"/>
          </w:tcPr>
          <w:p>
            <w:pPr>
              <w:pStyle w:val="953"/>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953"/>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953"/>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953"/>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953"/>
              <w:jc w:val="left"/>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经办人：       负责人：    （采购代理机构公章）</w:t>
            </w:r>
            <w:r>
              <w:rPr>
                <w:rFonts w:ascii="宋体" w:hAnsi="宋体" w:eastAsia="宋体" w:cs="宋体"/>
                <w:szCs w:val="21"/>
                <w:highlight w:val="none"/>
                <w:lang w:bidi="ar"/>
              </w:rPr>
            </w:r>
            <w:r/>
          </w:p>
        </w:tc>
        <w:tc>
          <w:tcPr>
            <w:gridSpan w:val="3"/>
            <w:tcW w:w="7080" w:type="dxa"/>
            <w:vAlign w:val="top"/>
            <w:textDirection w:val="lrTb"/>
            <w:noWrap w:val="false"/>
          </w:tcPr>
          <w:p>
            <w:pPr>
              <w:pStyle w:val="953"/>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953"/>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953"/>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953"/>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953"/>
              <w:jc w:val="left"/>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经办人：        负责人：       （采购人公章）</w:t>
            </w:r>
            <w:r>
              <w:rPr>
                <w:rFonts w:ascii="宋体" w:hAnsi="宋体" w:eastAsia="宋体" w:cs="宋体"/>
                <w:szCs w:val="21"/>
                <w:highlight w:val="none"/>
                <w:lang w:bidi="ar"/>
              </w:rPr>
            </w:r>
            <w:r/>
          </w:p>
        </w:tc>
      </w:tr>
      <w:tr>
        <w:trPr/>
        <w:tc>
          <w:tcPr>
            <w:gridSpan w:val="7"/>
            <w:tcW w:w="15249" w:type="dxa"/>
            <w:vAlign w:val="top"/>
            <w:textDirection w:val="lrTb"/>
            <w:noWrap w:val="false"/>
          </w:tcPr>
          <w:p>
            <w:pPr>
              <w:pStyle w:val="953"/>
              <w:jc w:val="left"/>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供应商确认：</w:t>
            </w:r>
            <w:r>
              <w:rPr>
                <w:rFonts w:ascii="宋体" w:hAnsi="宋体" w:eastAsia="宋体" w:cs="宋体"/>
                <w:szCs w:val="21"/>
                <w:highlight w:val="none"/>
                <w:lang w:bidi="ar"/>
              </w:rPr>
            </w:r>
            <w:r/>
          </w:p>
          <w:p>
            <w:pPr>
              <w:pStyle w:val="953"/>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953"/>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953"/>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953"/>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953"/>
              <w:jc w:val="left"/>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（单位公章或授权代表签字）</w:t>
            </w:r>
            <w:r>
              <w:rPr>
                <w:rFonts w:ascii="宋体" w:hAnsi="宋体" w:eastAsia="宋体" w:cs="宋体"/>
                <w:szCs w:val="21"/>
                <w:highlight w:val="none"/>
                <w:lang w:bidi="ar"/>
              </w:rPr>
            </w:r>
            <w:r/>
          </w:p>
        </w:tc>
      </w:tr>
    </w:tbl>
    <w:p>
      <w:pPr>
        <w:pStyle w:val="953"/>
        <w:rPr>
          <w:rFonts w:ascii="Calibri" w:hAnsi="Calibri" w:eastAsia="宋体" w:cs="Times New Roman"/>
          <w:szCs w:val="24"/>
          <w:highlight w:val="none"/>
        </w:rPr>
      </w:pPr>
      <w:r>
        <w:rPr>
          <w:rFonts w:ascii="Calibri" w:hAnsi="Calibri" w:eastAsia="宋体" w:cs="Times New Roman"/>
          <w:szCs w:val="24"/>
          <w:highlight w:val="none"/>
        </w:rPr>
      </w:r>
      <w:r/>
    </w:p>
    <w:p>
      <w:pPr>
        <w:pStyle w:val="953"/>
        <w:ind w:firstLine="420"/>
        <w:spacing w:line="400" w:lineRule="atLeast"/>
        <w:rPr>
          <w:rFonts w:cs="宋体"/>
          <w:highlight w:val="none"/>
        </w:rPr>
        <w:sectPr>
          <w:footnotePr/>
          <w:endnotePr/>
          <w:type w:val="nextPage"/>
          <w:pgSz w:w="16838" w:h="11906" w:orient="landscape"/>
          <w:pgMar w:top="1800" w:right="1440" w:bottom="1800" w:left="1440" w:header="851" w:footer="992" w:gutter="0"/>
          <w:cols w:num="1" w:sep="0" w:space="1701" w:equalWidth="1"/>
          <w:docGrid w:linePitch="360"/>
        </w:sectPr>
      </w:pPr>
      <w:r>
        <w:rPr>
          <w:rFonts w:cs="宋体"/>
          <w:highlight w:val="none"/>
        </w:rPr>
      </w:r>
      <w:r/>
    </w:p>
    <w:p>
      <w:pPr>
        <w:pStyle w:val="953"/>
        <w:ind w:firstLine="883"/>
        <w:jc w:val="center"/>
        <w:spacing w:line="360" w:lineRule="auto"/>
        <w:rPr>
          <w:rFonts w:hint="eastAsia" w:ascii="Times New Roman" w:hAnsi="Times New Roman" w:eastAsia="宋体" w:cs="Times New Roman"/>
          <w:b/>
          <w:color w:val="000000"/>
          <w:sz w:val="44"/>
          <w:szCs w:val="44"/>
          <w:highlight w:val="none"/>
        </w:rPr>
        <w:outlineLvl w:val="0"/>
      </w:pPr>
      <w:r/>
      <w:bookmarkStart w:id="48" w:name="_Toc29577"/>
      <w:r>
        <w:rPr>
          <w:rFonts w:hint="eastAsia" w:ascii="Times New Roman" w:hAnsi="Times New Roman" w:eastAsia="宋体" w:cs="Times New Roman"/>
          <w:b/>
          <w:color w:val="000000"/>
          <w:sz w:val="44"/>
          <w:szCs w:val="44"/>
          <w:highlight w:val="none"/>
        </w:rPr>
        <w:t xml:space="preserve">第六章 评标办法与评分标准</w:t>
      </w:r>
      <w:bookmarkEnd w:id="48"/>
      <w:r/>
      <w:bookmarkStart w:id="49" w:name="_Toc142194274"/>
      <w:r>
        <w:rPr>
          <w:rFonts w:hint="eastAsia" w:ascii="Times New Roman" w:hAnsi="Times New Roman" w:eastAsia="宋体" w:cs="Times New Roman"/>
          <w:b/>
          <w:color w:val="000000"/>
          <w:sz w:val="44"/>
          <w:szCs w:val="44"/>
          <w:highlight w:val="none"/>
        </w:rPr>
      </w:r>
      <w:r/>
    </w:p>
    <w:p>
      <w:pPr>
        <w:pStyle w:val="953"/>
        <w:spacing w:line="360" w:lineRule="auto"/>
        <w:rPr>
          <w:rFonts w:hint="eastAsia" w:ascii="仿宋" w:hAnsi="仿宋" w:eastAsia="仿宋" w:cs="仿宋"/>
          <w:b/>
          <w:sz w:val="24"/>
          <w:szCs w:val="24"/>
          <w:highlight w:val="none"/>
        </w:rPr>
      </w:pPr>
      <w:r/>
      <w:bookmarkEnd w:id="49"/>
      <w:r>
        <w:rPr>
          <w:rFonts w:hint="eastAsia" w:ascii="仿宋" w:hAnsi="仿宋" w:eastAsia="仿宋" w:cs="仿宋"/>
          <w:b/>
          <w:sz w:val="24"/>
          <w:szCs w:val="24"/>
          <w:highlight w:val="none"/>
        </w:rPr>
      </w:r>
      <w:r/>
    </w:p>
    <w:p>
      <w:pPr>
        <w:pStyle w:val="953"/>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一、成交原则</w:t>
      </w:r>
      <w:r>
        <w:rPr>
          <w:rFonts w:hint="eastAsia" w:ascii="仿宋" w:hAnsi="仿宋" w:eastAsia="仿宋" w:cs="仿宋"/>
          <w:b/>
          <w:sz w:val="24"/>
          <w:szCs w:val="24"/>
          <w:highlight w:val="none"/>
        </w:rPr>
      </w:r>
      <w:r/>
    </w:p>
    <w:p>
      <w:pPr>
        <w:pStyle w:val="953"/>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rPr>
          <w:rFonts w:hint="eastAsia" w:ascii="仿宋" w:hAnsi="仿宋" w:eastAsia="仿宋" w:cs="仿宋"/>
          <w:sz w:val="24"/>
          <w:szCs w:val="24"/>
          <w:highlight w:val="none"/>
        </w:rPr>
      </w:r>
      <w:r/>
    </w:p>
    <w:p>
      <w:pPr>
        <w:pStyle w:val="953"/>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2、评审时，磋商小组各成员应当按照采购文件规定的评分标准独立对每个供应商的响应文件进行评价，并汇总每个供应商的得分。对评委的评分(除价格分外)进行统计汇总，直接算术平均，计算出每个</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rPr>
        <w:t xml:space="preserve">的得分，加上价格得分即为每个供应商的综合得分。</w:t>
      </w:r>
      <w:r>
        <w:rPr>
          <w:rFonts w:hint="eastAsia" w:ascii="仿宋" w:hAnsi="仿宋" w:eastAsia="仿宋" w:cs="仿宋"/>
          <w:sz w:val="24"/>
          <w:szCs w:val="24"/>
          <w:highlight w:val="none"/>
        </w:rPr>
      </w:r>
      <w:r/>
    </w:p>
    <w:p>
      <w:pPr>
        <w:pStyle w:val="953"/>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3、如出现评审总得分最高的磋商供应商有两个或两个以上的，以磋商报价较低者优先作为成交供应商，如果磋商报价也相同的，则由磋商小组组织以抽签方式确定成交候选人。</w:t>
      </w:r>
      <w:r>
        <w:rPr>
          <w:rFonts w:hint="eastAsia" w:ascii="仿宋" w:hAnsi="仿宋" w:eastAsia="仿宋" w:cs="仿宋"/>
          <w:sz w:val="24"/>
          <w:szCs w:val="24"/>
          <w:highlight w:val="none"/>
        </w:rPr>
      </w:r>
      <w:r/>
    </w:p>
    <w:p>
      <w:pPr>
        <w:pStyle w:val="953"/>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4、本项目专门面向中小企业采购，小微企业、残疾人福利企业、监狱企业不再享受价格评审优惠政策。</w:t>
      </w:r>
      <w:r>
        <w:rPr>
          <w:rFonts w:hint="eastAsia" w:ascii="仿宋" w:hAnsi="仿宋" w:eastAsia="仿宋" w:cs="仿宋"/>
          <w:sz w:val="24"/>
          <w:szCs w:val="24"/>
          <w:highlight w:val="none"/>
        </w:rPr>
      </w:r>
      <w:r/>
    </w:p>
    <w:p>
      <w:pPr>
        <w:pStyle w:val="953"/>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color w:val="000000"/>
          <w:sz w:val="24"/>
          <w:szCs w:val="24"/>
          <w:highlight w:val="none"/>
          <w:lang w:bidi="ar"/>
        </w:rPr>
        <w:t xml:space="preserve">本项目共分七个采购包，评审顺序按</w:t>
      </w:r>
      <w:r>
        <w:rPr>
          <w:rFonts w:hint="eastAsia" w:ascii="仿宋" w:hAnsi="仿宋" w:eastAsia="仿宋" w:cs="仿宋"/>
          <w:color w:val="000000"/>
          <w:sz w:val="24"/>
          <w:szCs w:val="24"/>
          <w:highlight w:val="none"/>
          <w:lang w:eastAsia="zh-CN" w:bidi="ar"/>
        </w:rPr>
        <w:t xml:space="preserve">采购包</w:t>
      </w: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bidi="ar"/>
        </w:rPr>
        <w:t xml:space="preserve">至</w:t>
      </w:r>
      <w:r>
        <w:rPr>
          <w:rFonts w:hint="eastAsia" w:ascii="仿宋" w:hAnsi="仿宋" w:eastAsia="仿宋" w:cs="仿宋"/>
          <w:color w:val="000000"/>
          <w:sz w:val="24"/>
          <w:szCs w:val="24"/>
          <w:highlight w:val="none"/>
          <w:lang w:eastAsia="zh-CN" w:bidi="ar"/>
        </w:rPr>
        <w:t xml:space="preserve">采购包</w:t>
      </w:r>
      <w:r>
        <w:rPr>
          <w:rFonts w:hint="eastAsia" w:ascii="仿宋" w:hAnsi="仿宋" w:eastAsia="仿宋" w:cs="仿宋"/>
          <w:color w:val="000000"/>
          <w:sz w:val="24"/>
          <w:szCs w:val="24"/>
          <w:highlight w:val="none"/>
          <w:lang w:val="en-US" w:eastAsia="zh-CN" w:bidi="ar"/>
        </w:rPr>
        <w:t xml:space="preserve">7</w:t>
      </w:r>
      <w:r>
        <w:rPr>
          <w:rFonts w:hint="eastAsia" w:ascii="仿宋" w:hAnsi="仿宋" w:eastAsia="仿宋" w:cs="仿宋"/>
          <w:color w:val="000000"/>
          <w:sz w:val="24"/>
          <w:szCs w:val="24"/>
          <w:highlight w:val="none"/>
          <w:lang w:bidi="ar"/>
        </w:rPr>
        <w:t xml:space="preserve">的顺序进行。本项目响应单位可同时对多个</w:t>
      </w:r>
      <w:r>
        <w:rPr>
          <w:rFonts w:hint="eastAsia" w:ascii="仿宋" w:hAnsi="仿宋" w:eastAsia="仿宋" w:cs="仿宋"/>
          <w:color w:val="000000"/>
          <w:sz w:val="24"/>
          <w:szCs w:val="24"/>
          <w:highlight w:val="none"/>
          <w:lang w:eastAsia="zh-CN" w:bidi="ar"/>
        </w:rPr>
        <w:t xml:space="preserve">采购包</w:t>
      </w:r>
      <w:r>
        <w:rPr>
          <w:rFonts w:hint="eastAsia" w:ascii="仿宋" w:hAnsi="仿宋" w:eastAsia="仿宋" w:cs="仿宋"/>
          <w:color w:val="000000"/>
          <w:sz w:val="24"/>
          <w:szCs w:val="24"/>
          <w:highlight w:val="none"/>
          <w:lang w:bidi="ar"/>
        </w:rPr>
        <w:t xml:space="preserve">进行响应，且允许最多成交</w:t>
      </w:r>
      <w:r>
        <w:rPr>
          <w:rFonts w:hint="eastAsia" w:ascii="仿宋" w:hAnsi="仿宋" w:eastAsia="仿宋" w:cs="仿宋"/>
          <w:color w:val="000000"/>
          <w:sz w:val="24"/>
          <w:szCs w:val="24"/>
          <w:highlight w:val="none"/>
          <w:lang w:val="en-US" w:eastAsia="zh-CN" w:bidi="ar"/>
        </w:rPr>
        <w:t xml:space="preserve">2</w:t>
      </w:r>
      <w:r>
        <w:rPr>
          <w:rFonts w:hint="eastAsia" w:ascii="仿宋" w:hAnsi="仿宋" w:eastAsia="仿宋" w:cs="仿宋"/>
          <w:color w:val="000000"/>
          <w:sz w:val="24"/>
          <w:szCs w:val="24"/>
          <w:highlight w:val="none"/>
          <w:lang w:bidi="ar"/>
        </w:rPr>
        <w:t xml:space="preserve">个</w:t>
      </w:r>
      <w:r>
        <w:rPr>
          <w:rFonts w:hint="eastAsia" w:ascii="仿宋" w:hAnsi="仿宋" w:eastAsia="仿宋" w:cs="仿宋"/>
          <w:color w:val="000000"/>
          <w:sz w:val="24"/>
          <w:szCs w:val="24"/>
          <w:highlight w:val="none"/>
          <w:lang w:eastAsia="zh-CN" w:bidi="ar"/>
        </w:rPr>
        <w:t xml:space="preserve">采购包</w:t>
      </w:r>
      <w:r>
        <w:rPr>
          <w:rFonts w:hint="eastAsia" w:ascii="仿宋" w:hAnsi="仿宋" w:eastAsia="仿宋" w:cs="仿宋"/>
          <w:color w:val="000000"/>
          <w:sz w:val="24"/>
          <w:szCs w:val="24"/>
          <w:highlight w:val="none"/>
          <w:lang w:bidi="ar"/>
        </w:rPr>
        <w:t xml:space="preserve">（其中</w:t>
      </w:r>
      <w:r>
        <w:rPr>
          <w:rFonts w:hint="eastAsia" w:ascii="仿宋" w:hAnsi="仿宋" w:eastAsia="仿宋" w:cs="仿宋"/>
          <w:color w:val="000000"/>
          <w:sz w:val="24"/>
          <w:szCs w:val="24"/>
          <w:highlight w:val="none"/>
          <w:lang w:eastAsia="zh-CN" w:bidi="ar"/>
        </w:rPr>
        <w:t xml:space="preserve">采购包</w:t>
      </w:r>
      <w:r>
        <w:rPr>
          <w:rFonts w:hint="eastAsia" w:ascii="仿宋" w:hAnsi="仿宋" w:eastAsia="仿宋" w:cs="仿宋"/>
          <w:color w:val="000000"/>
          <w:sz w:val="24"/>
          <w:szCs w:val="24"/>
          <w:highlight w:val="none"/>
          <w:lang w:val="en-US" w:eastAsia="zh-CN" w:bidi="ar"/>
        </w:rPr>
        <w:t xml:space="preserve">1至采购包4</w:t>
      </w:r>
      <w:r>
        <w:rPr>
          <w:rFonts w:hint="eastAsia" w:ascii="仿宋" w:hAnsi="仿宋" w:eastAsia="仿宋" w:cs="仿宋"/>
          <w:color w:val="000000"/>
          <w:sz w:val="24"/>
          <w:szCs w:val="24"/>
          <w:highlight w:val="none"/>
          <w:lang w:bidi="ar"/>
        </w:rPr>
        <w:t xml:space="preserve">只能成交1个</w:t>
      </w:r>
      <w:r>
        <w:rPr>
          <w:rFonts w:hint="eastAsia" w:ascii="仿宋" w:hAnsi="仿宋" w:eastAsia="仿宋" w:cs="仿宋"/>
          <w:color w:val="000000"/>
          <w:sz w:val="24"/>
          <w:szCs w:val="24"/>
          <w:highlight w:val="none"/>
          <w:lang w:eastAsia="zh-CN" w:bidi="ar"/>
        </w:rPr>
        <w:t xml:space="preserve">采购包，采购包</w:t>
      </w:r>
      <w:r>
        <w:rPr>
          <w:rFonts w:hint="eastAsia" w:ascii="仿宋" w:hAnsi="仿宋" w:eastAsia="仿宋" w:cs="仿宋"/>
          <w:color w:val="000000"/>
          <w:sz w:val="24"/>
          <w:szCs w:val="24"/>
          <w:highlight w:val="none"/>
          <w:lang w:val="en-US" w:eastAsia="zh-CN" w:bidi="ar"/>
        </w:rPr>
        <w:t xml:space="preserve">5至采购包7</w:t>
      </w:r>
      <w:r>
        <w:rPr>
          <w:rFonts w:hint="eastAsia" w:ascii="仿宋" w:hAnsi="仿宋" w:eastAsia="仿宋" w:cs="仿宋"/>
          <w:color w:val="000000"/>
          <w:sz w:val="24"/>
          <w:szCs w:val="24"/>
          <w:highlight w:val="none"/>
          <w:lang w:bidi="ar"/>
        </w:rPr>
        <w:t xml:space="preserve">只能成交1个</w:t>
      </w:r>
      <w:r>
        <w:rPr>
          <w:rFonts w:hint="eastAsia" w:ascii="仿宋" w:hAnsi="仿宋" w:eastAsia="仿宋" w:cs="仿宋"/>
          <w:color w:val="000000"/>
          <w:sz w:val="24"/>
          <w:szCs w:val="24"/>
          <w:highlight w:val="none"/>
          <w:lang w:eastAsia="zh-CN" w:bidi="ar"/>
        </w:rPr>
        <w:t xml:space="preserve">采购包</w:t>
      </w:r>
      <w:r>
        <w:rPr>
          <w:rFonts w:hint="eastAsia" w:ascii="仿宋" w:hAnsi="仿宋" w:eastAsia="仿宋" w:cs="仿宋"/>
          <w:color w:val="000000"/>
          <w:sz w:val="24"/>
          <w:szCs w:val="24"/>
          <w:highlight w:val="none"/>
          <w:lang w:bidi="ar"/>
        </w:rPr>
        <w:t xml:space="preserve">），具体需遵循以下限制： </w:t>
      </w: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bidi="ar"/>
        </w:rPr>
        <w:t xml:space="preserve">.</w:t>
      </w:r>
      <w:r>
        <w:rPr>
          <w:rFonts w:hint="eastAsia" w:ascii="仿宋" w:hAnsi="仿宋" w:eastAsia="仿宋" w:cs="仿宋"/>
          <w:color w:val="000000"/>
          <w:sz w:val="24"/>
          <w:szCs w:val="24"/>
          <w:highlight w:val="none"/>
          <w:lang w:eastAsia="zh-CN" w:bidi="ar"/>
        </w:rPr>
        <w:t xml:space="preserve">采购包</w:t>
      </w:r>
      <w:r>
        <w:rPr>
          <w:rFonts w:hint="eastAsia" w:ascii="仿宋" w:hAnsi="仿宋" w:eastAsia="仿宋" w:cs="仿宋"/>
          <w:color w:val="000000"/>
          <w:sz w:val="24"/>
          <w:szCs w:val="24"/>
          <w:highlight w:val="none"/>
          <w:lang w:val="en-US" w:eastAsia="zh-CN" w:bidi="ar"/>
        </w:rPr>
        <w:t xml:space="preserve">1至采购包4</w:t>
      </w:r>
      <w:r>
        <w:rPr>
          <w:rFonts w:hint="eastAsia" w:ascii="仿宋" w:hAnsi="仿宋" w:eastAsia="仿宋" w:cs="仿宋"/>
          <w:color w:val="000000"/>
          <w:sz w:val="24"/>
          <w:szCs w:val="24"/>
          <w:highlight w:val="none"/>
          <w:lang w:bidi="ar"/>
        </w:rPr>
        <w:t xml:space="preserve">：响应单位可同时投多个</w:t>
      </w:r>
      <w:r>
        <w:rPr>
          <w:rFonts w:hint="eastAsia" w:ascii="仿宋" w:hAnsi="仿宋" w:eastAsia="仿宋" w:cs="仿宋"/>
          <w:color w:val="000000"/>
          <w:sz w:val="24"/>
          <w:szCs w:val="24"/>
          <w:highlight w:val="none"/>
          <w:lang w:eastAsia="zh-CN" w:bidi="ar"/>
        </w:rPr>
        <w:t xml:space="preserve">采购包</w:t>
      </w:r>
      <w:r>
        <w:rPr>
          <w:rFonts w:hint="eastAsia" w:ascii="仿宋" w:hAnsi="仿宋" w:eastAsia="仿宋" w:cs="仿宋"/>
          <w:color w:val="000000"/>
          <w:sz w:val="24"/>
          <w:szCs w:val="24"/>
          <w:highlight w:val="none"/>
          <w:lang w:bidi="ar"/>
        </w:rPr>
        <w:t xml:space="preserve">，但最多只能成交其中一个</w:t>
      </w:r>
      <w:r>
        <w:rPr>
          <w:rFonts w:hint="eastAsia" w:ascii="仿宋" w:hAnsi="仿宋" w:eastAsia="仿宋" w:cs="仿宋"/>
          <w:color w:val="000000"/>
          <w:sz w:val="24"/>
          <w:szCs w:val="24"/>
          <w:highlight w:val="none"/>
          <w:lang w:eastAsia="zh-CN" w:bidi="ar"/>
        </w:rPr>
        <w:t xml:space="preserve">采购包</w:t>
      </w:r>
      <w:r>
        <w:rPr>
          <w:rFonts w:hint="eastAsia" w:ascii="仿宋" w:hAnsi="仿宋" w:eastAsia="仿宋" w:cs="仿宋"/>
          <w:color w:val="000000"/>
          <w:sz w:val="24"/>
          <w:szCs w:val="24"/>
          <w:highlight w:val="none"/>
          <w:lang w:bidi="ar"/>
        </w:rPr>
        <w:t xml:space="preserve">（即兼投不兼中），若已成交某一</w:t>
      </w:r>
      <w:r>
        <w:rPr>
          <w:rFonts w:hint="eastAsia" w:ascii="仿宋" w:hAnsi="仿宋" w:eastAsia="仿宋" w:cs="仿宋"/>
          <w:color w:val="000000"/>
          <w:sz w:val="24"/>
          <w:szCs w:val="24"/>
          <w:highlight w:val="none"/>
          <w:lang w:eastAsia="zh-CN" w:bidi="ar"/>
        </w:rPr>
        <w:t xml:space="preserve">采购包</w:t>
      </w:r>
      <w:r>
        <w:rPr>
          <w:rFonts w:hint="eastAsia" w:ascii="仿宋" w:hAnsi="仿宋" w:eastAsia="仿宋" w:cs="仿宋"/>
          <w:color w:val="000000"/>
          <w:sz w:val="24"/>
          <w:szCs w:val="24"/>
          <w:highlight w:val="none"/>
          <w:lang w:bidi="ar"/>
        </w:rPr>
        <w:t xml:space="preserve">，则不进入其他</w:t>
      </w:r>
      <w:r>
        <w:rPr>
          <w:rFonts w:hint="eastAsia" w:ascii="仿宋" w:hAnsi="仿宋" w:eastAsia="仿宋" w:cs="仿宋"/>
          <w:color w:val="000000"/>
          <w:sz w:val="24"/>
          <w:szCs w:val="24"/>
          <w:highlight w:val="none"/>
          <w:lang w:eastAsia="zh-CN" w:bidi="ar"/>
        </w:rPr>
        <w:t xml:space="preserve">采购包</w:t>
      </w:r>
      <w:r>
        <w:rPr>
          <w:rFonts w:hint="eastAsia" w:ascii="仿宋" w:hAnsi="仿宋" w:eastAsia="仿宋" w:cs="仿宋"/>
          <w:color w:val="000000"/>
          <w:sz w:val="24"/>
          <w:szCs w:val="24"/>
          <w:highlight w:val="none"/>
          <w:lang w:bidi="ar"/>
        </w:rPr>
        <w:t xml:space="preserve">评审。</w:t>
      </w:r>
      <w:r>
        <w:rPr>
          <w:rFonts w:hint="eastAsia" w:ascii="仿宋" w:hAnsi="仿宋" w:eastAsia="仿宋" w:cs="仿宋"/>
          <w:color w:val="000000"/>
          <w:sz w:val="24"/>
          <w:szCs w:val="24"/>
          <w:highlight w:val="none"/>
          <w:lang w:val="en-US" w:eastAsia="zh-CN" w:bidi="ar"/>
        </w:rPr>
        <w:t xml:space="preserve">2</w:t>
      </w:r>
      <w:r>
        <w:rPr>
          <w:rFonts w:hint="eastAsia" w:ascii="仿宋" w:hAnsi="仿宋" w:eastAsia="仿宋" w:cs="仿宋"/>
          <w:color w:val="000000"/>
          <w:sz w:val="24"/>
          <w:szCs w:val="24"/>
          <w:highlight w:val="none"/>
          <w:lang w:bidi="ar"/>
        </w:rPr>
        <w:t xml:space="preserve">.</w:t>
      </w:r>
      <w:r>
        <w:rPr>
          <w:rFonts w:hint="eastAsia" w:ascii="仿宋" w:hAnsi="仿宋" w:eastAsia="仿宋" w:cs="仿宋"/>
          <w:color w:val="000000"/>
          <w:sz w:val="24"/>
          <w:szCs w:val="24"/>
          <w:highlight w:val="none"/>
          <w:lang w:eastAsia="zh-CN" w:bidi="ar"/>
        </w:rPr>
        <w:t xml:space="preserve">采购包</w:t>
      </w:r>
      <w:r>
        <w:rPr>
          <w:rFonts w:hint="eastAsia" w:ascii="仿宋" w:hAnsi="仿宋" w:eastAsia="仿宋" w:cs="仿宋"/>
          <w:color w:val="000000"/>
          <w:sz w:val="24"/>
          <w:szCs w:val="24"/>
          <w:highlight w:val="none"/>
          <w:lang w:val="en-US" w:eastAsia="zh-CN" w:bidi="ar"/>
        </w:rPr>
        <w:t xml:space="preserve">5至采购包7</w:t>
      </w:r>
      <w:r>
        <w:rPr>
          <w:rFonts w:hint="eastAsia" w:ascii="仿宋" w:hAnsi="仿宋" w:eastAsia="仿宋" w:cs="仿宋"/>
          <w:color w:val="000000"/>
          <w:sz w:val="24"/>
          <w:szCs w:val="24"/>
          <w:highlight w:val="none"/>
          <w:lang w:bidi="ar"/>
        </w:rPr>
        <w:t xml:space="preserve">：响应单位可同时投多个</w:t>
      </w:r>
      <w:r>
        <w:rPr>
          <w:rFonts w:hint="eastAsia" w:ascii="仿宋" w:hAnsi="仿宋" w:eastAsia="仿宋" w:cs="仿宋"/>
          <w:color w:val="000000"/>
          <w:sz w:val="24"/>
          <w:szCs w:val="24"/>
          <w:highlight w:val="none"/>
          <w:lang w:eastAsia="zh-CN" w:bidi="ar"/>
        </w:rPr>
        <w:t xml:space="preserve">采购包</w:t>
      </w:r>
      <w:r>
        <w:rPr>
          <w:rFonts w:hint="eastAsia" w:ascii="仿宋" w:hAnsi="仿宋" w:eastAsia="仿宋" w:cs="仿宋"/>
          <w:color w:val="000000"/>
          <w:sz w:val="24"/>
          <w:szCs w:val="24"/>
          <w:highlight w:val="none"/>
          <w:lang w:bidi="ar"/>
        </w:rPr>
        <w:t xml:space="preserve">，但最多只能成交其中一个</w:t>
      </w:r>
      <w:r>
        <w:rPr>
          <w:rFonts w:hint="eastAsia" w:ascii="仿宋" w:hAnsi="仿宋" w:eastAsia="仿宋" w:cs="仿宋"/>
          <w:color w:val="000000"/>
          <w:sz w:val="24"/>
          <w:szCs w:val="24"/>
          <w:highlight w:val="none"/>
          <w:lang w:eastAsia="zh-CN" w:bidi="ar"/>
        </w:rPr>
        <w:t xml:space="preserve">采购包</w:t>
      </w:r>
      <w:r>
        <w:rPr>
          <w:rFonts w:hint="eastAsia" w:ascii="仿宋" w:hAnsi="仿宋" w:eastAsia="仿宋" w:cs="仿宋"/>
          <w:color w:val="000000"/>
          <w:sz w:val="24"/>
          <w:szCs w:val="24"/>
          <w:highlight w:val="none"/>
          <w:lang w:bidi="ar"/>
        </w:rPr>
        <w:t xml:space="preserve">（即兼投不兼中），若已成交某一</w:t>
      </w:r>
      <w:r>
        <w:rPr>
          <w:rFonts w:hint="eastAsia" w:ascii="仿宋" w:hAnsi="仿宋" w:eastAsia="仿宋" w:cs="仿宋"/>
          <w:color w:val="000000"/>
          <w:sz w:val="24"/>
          <w:szCs w:val="24"/>
          <w:highlight w:val="none"/>
          <w:lang w:eastAsia="zh-CN" w:bidi="ar"/>
        </w:rPr>
        <w:t xml:space="preserve">采购包</w:t>
      </w:r>
      <w:r>
        <w:rPr>
          <w:rFonts w:hint="eastAsia" w:ascii="仿宋" w:hAnsi="仿宋" w:eastAsia="仿宋" w:cs="仿宋"/>
          <w:color w:val="000000"/>
          <w:sz w:val="24"/>
          <w:szCs w:val="24"/>
          <w:highlight w:val="none"/>
          <w:lang w:bidi="ar"/>
        </w:rPr>
        <w:t xml:space="preserve">，则不进入其他</w:t>
      </w:r>
      <w:r>
        <w:rPr>
          <w:rFonts w:hint="eastAsia" w:ascii="仿宋" w:hAnsi="仿宋" w:eastAsia="仿宋" w:cs="仿宋"/>
          <w:color w:val="000000"/>
          <w:sz w:val="24"/>
          <w:szCs w:val="24"/>
          <w:highlight w:val="none"/>
          <w:lang w:eastAsia="zh-CN" w:bidi="ar"/>
        </w:rPr>
        <w:t xml:space="preserve">采购包</w:t>
      </w:r>
      <w:r>
        <w:rPr>
          <w:rFonts w:hint="eastAsia" w:ascii="仿宋" w:hAnsi="仿宋" w:eastAsia="仿宋" w:cs="仿宋"/>
          <w:color w:val="000000"/>
          <w:sz w:val="24"/>
          <w:szCs w:val="24"/>
          <w:highlight w:val="none"/>
          <w:lang w:bidi="ar"/>
        </w:rPr>
        <w:t xml:space="preserve">评审。</w:t>
      </w:r>
      <w:r>
        <w:rPr>
          <w:rFonts w:hint="eastAsia" w:ascii="仿宋" w:hAnsi="仿宋" w:eastAsia="仿宋" w:cs="仿宋"/>
          <w:sz w:val="24"/>
          <w:szCs w:val="24"/>
          <w:highlight w:val="none"/>
        </w:rPr>
      </w:r>
      <w:r/>
    </w:p>
    <w:p>
      <w:pPr>
        <w:pStyle w:val="953"/>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二、评分标准 </w:t>
      </w:r>
      <w:r>
        <w:rPr>
          <w:rFonts w:hint="eastAsia" w:ascii="仿宋" w:hAnsi="仿宋" w:eastAsia="仿宋" w:cs="仿宋"/>
          <w:b/>
          <w:sz w:val="24"/>
          <w:szCs w:val="24"/>
          <w:highlight w:val="none"/>
        </w:rPr>
      </w:r>
      <w:r/>
    </w:p>
    <w:p>
      <w:pPr>
        <w:pStyle w:val="953"/>
        <w:ind w:firstLine="482"/>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采购包1评分标准：</w:t>
      </w:r>
      <w:r>
        <w:rPr>
          <w:rFonts w:hint="eastAsia" w:ascii="仿宋" w:hAnsi="仿宋" w:eastAsia="仿宋" w:cs="仿宋"/>
          <w:b/>
          <w:sz w:val="24"/>
          <w:szCs w:val="24"/>
          <w:highlight w:val="none"/>
        </w:rPr>
      </w:r>
      <w:r/>
    </w:p>
    <w:tbl>
      <w:tblPr>
        <w:tblpPr w:horzAnchor="text" w:tblpXSpec="center" w:vertAnchor="text" w:tblpY="1" w:leftFromText="180" w:topFromText="0" w:rightFromText="180" w:bottomFromText="0"/>
        <w:tblW w:w="516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1030"/>
        <w:gridCol w:w="6136"/>
        <w:gridCol w:w="823"/>
      </w:tblGrid>
      <w:tr>
        <w:trPr>
          <w:trHeight w:val="406"/>
        </w:trPr>
        <w:tc>
          <w:tcPr>
            <w:tcW w:w="460" w:type="dxa"/>
            <w:vAlign w:val="center"/>
            <w:textDirection w:val="lrTb"/>
            <w:noWrap w:val="false"/>
          </w:tcPr>
          <w:p>
            <w:pPr>
              <w:pStyle w:val="953"/>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评审类别</w:t>
            </w:r>
            <w:r>
              <w:rPr>
                <w:rFonts w:hint="eastAsia" w:ascii="宋体" w:hAnsi="宋体" w:eastAsia="宋体" w:cs="宋体"/>
                <w:b/>
                <w:bCs/>
                <w:color w:val="000000"/>
                <w:sz w:val="21"/>
                <w:szCs w:val="21"/>
                <w:highlight w:val="none"/>
              </w:rPr>
            </w:r>
            <w:r/>
          </w:p>
        </w:tc>
        <w:tc>
          <w:tcPr>
            <w:tcW w:w="585" w:type="dxa"/>
            <w:vAlign w:val="center"/>
            <w:textDirection w:val="lrTb"/>
            <w:noWrap w:val="false"/>
          </w:tcPr>
          <w:p>
            <w:pPr>
              <w:pStyle w:val="953"/>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评审项</w:t>
            </w:r>
            <w:r>
              <w:rPr>
                <w:rFonts w:hint="eastAsia" w:ascii="宋体" w:hAnsi="宋体" w:eastAsia="宋体" w:cs="宋体"/>
                <w:b/>
                <w:bCs/>
                <w:color w:val="000000"/>
                <w:sz w:val="21"/>
                <w:szCs w:val="21"/>
                <w:highlight w:val="none"/>
              </w:rPr>
            </w:r>
            <w:r/>
          </w:p>
        </w:tc>
        <w:tc>
          <w:tcPr>
            <w:tcW w:w="3486" w:type="dxa"/>
            <w:vAlign w:val="center"/>
            <w:textDirection w:val="lrTb"/>
            <w:noWrap w:val="false"/>
          </w:tcPr>
          <w:p>
            <w:pPr>
              <w:pStyle w:val="953"/>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评审规则</w:t>
            </w:r>
            <w:r>
              <w:rPr>
                <w:rFonts w:hint="eastAsia" w:ascii="宋体" w:hAnsi="宋体" w:eastAsia="宋体" w:cs="宋体"/>
                <w:b/>
                <w:bCs/>
                <w:color w:val="000000"/>
                <w:sz w:val="21"/>
                <w:szCs w:val="21"/>
                <w:highlight w:val="none"/>
              </w:rPr>
            </w:r>
            <w:r/>
          </w:p>
        </w:tc>
        <w:tc>
          <w:tcPr>
            <w:tcW w:w="467" w:type="dxa"/>
            <w:vAlign w:val="center"/>
            <w:textDirection w:val="lrTb"/>
            <w:noWrap w:val="false"/>
          </w:tcPr>
          <w:p>
            <w:pPr>
              <w:pStyle w:val="953"/>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分值（分）</w:t>
            </w:r>
            <w:r>
              <w:rPr>
                <w:rFonts w:hint="eastAsia" w:ascii="宋体" w:hAnsi="宋体" w:eastAsia="宋体" w:cs="宋体"/>
                <w:b/>
                <w:bCs/>
                <w:color w:val="000000"/>
                <w:sz w:val="21"/>
                <w:szCs w:val="21"/>
                <w:highlight w:val="none"/>
              </w:rPr>
            </w:r>
            <w:r/>
          </w:p>
        </w:tc>
      </w:tr>
      <w:tr>
        <w:trPr>
          <w:trHeight w:val="2468"/>
        </w:trPr>
        <w:tc>
          <w:tcPr>
            <w:tcW w:w="460" w:type="dxa"/>
            <w:vAlign w:val="center"/>
            <w:textDirection w:val="lrTb"/>
            <w:noWrap w:val="false"/>
          </w:tcPr>
          <w:p>
            <w:pPr>
              <w:pStyle w:val="953"/>
              <w:ind w:left="0"/>
              <w:jc w:val="center"/>
              <w:widowControl w:val="off"/>
              <w:rPr>
                <w:rFonts w:hint="eastAsia" w:ascii="宋体" w:hAnsi="宋体" w:eastAsia="宋体" w:cs="宋体"/>
                <w:b/>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价格部分</w:t>
            </w:r>
            <w:r>
              <w:rPr>
                <w:rFonts w:hint="eastAsia" w:ascii="宋体" w:hAnsi="宋体" w:eastAsia="宋体" w:cs="宋体"/>
                <w:b/>
                <w:color w:val="000000"/>
                <w:sz w:val="21"/>
                <w:szCs w:val="21"/>
                <w:highlight w:val="none"/>
              </w:rPr>
            </w:r>
            <w:r/>
          </w:p>
          <w:p>
            <w:pPr>
              <w:pStyle w:val="953"/>
              <w:ind w:left="0"/>
              <w:jc w:val="center"/>
              <w:widowControl w:val="off"/>
              <w:rPr>
                <w:rFonts w:hint="eastAsia" w:ascii="宋体" w:hAnsi="宋体" w:eastAsia="宋体" w:cs="宋体"/>
                <w:b/>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（10分）</w:t>
            </w:r>
            <w:r>
              <w:rPr>
                <w:rFonts w:hint="eastAsia" w:ascii="宋体" w:hAnsi="宋体" w:eastAsia="宋体" w:cs="宋体"/>
                <w:b/>
                <w:color w:val="000000"/>
                <w:sz w:val="21"/>
                <w:szCs w:val="21"/>
                <w:highlight w:val="none"/>
              </w:rPr>
            </w:r>
            <w:r/>
          </w:p>
        </w:tc>
        <w:tc>
          <w:tcPr>
            <w:tcW w:w="585" w:type="dxa"/>
            <w:vAlign w:val="center"/>
            <w:textDirection w:val="lrTb"/>
            <w:noWrap w:val="false"/>
          </w:tcPr>
          <w:p>
            <w:pPr>
              <w:pStyle w:val="953"/>
              <w:ind w:left="0"/>
              <w:jc w:val="center"/>
              <w:widowControl w:val="off"/>
              <w:rPr>
                <w:rFonts w:hint="eastAsia" w:ascii="宋体" w:hAnsi="宋体" w:eastAsia="宋体" w:cs="宋体"/>
                <w:bCs/>
                <w:color w:val="000000"/>
                <w:sz w:val="21"/>
                <w:szCs w:val="21"/>
                <w:highlight w:val="none"/>
              </w:rPr>
              <w:framePr w:vAnchor="margin" w:hAnchor="page" w:xAlign="center" w:y="1"/>
            </w:pPr>
            <w:r>
              <w:rPr>
                <w:rFonts w:hint="eastAsia" w:ascii="宋体" w:hAnsi="宋体" w:eastAsia="宋体" w:cs="宋体"/>
                <w:bCs/>
                <w:color w:val="000000"/>
                <w:sz w:val="21"/>
                <w:szCs w:val="21"/>
                <w:highlight w:val="none"/>
              </w:rPr>
              <w:t xml:space="preserve">响应报价</w:t>
            </w:r>
            <w:r>
              <w:rPr>
                <w:rFonts w:hint="eastAsia" w:ascii="宋体" w:hAnsi="宋体" w:eastAsia="宋体" w:cs="宋体"/>
                <w:bCs/>
                <w:color w:val="000000"/>
                <w:sz w:val="21"/>
                <w:szCs w:val="21"/>
                <w:highlight w:val="none"/>
              </w:rPr>
            </w:r>
            <w:r/>
          </w:p>
        </w:tc>
        <w:tc>
          <w:tcPr>
            <w:tcW w:w="3486" w:type="dxa"/>
            <w:vAlign w:val="center"/>
            <w:textDirection w:val="lrTb"/>
            <w:noWrap w:val="false"/>
          </w:tcPr>
          <w:p>
            <w:pPr>
              <w:pStyle w:val="953"/>
              <w:ind w:left="0"/>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bidi="ar"/>
              </w:rPr>
              <w:t xml:space="preserve">第一步：响应报价低于或等于财政预算价格（或最高限价）的，为有效响应报价。超财政预算（或最高限价）的响应报价为无效响应报价。</w:t>
            </w:r>
            <w:r>
              <w:rPr>
                <w:rFonts w:hint="eastAsia" w:ascii="宋体" w:hAnsi="宋体" w:eastAsia="宋体" w:cs="宋体"/>
                <w:color w:val="000000"/>
                <w:sz w:val="21"/>
                <w:szCs w:val="21"/>
                <w:highlight w:val="none"/>
                <w:lang w:bidi="ar"/>
              </w:rPr>
            </w:r>
            <w:r/>
          </w:p>
          <w:p>
            <w:pPr>
              <w:pStyle w:val="953"/>
              <w:ind w:left="0"/>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bidi="ar"/>
              </w:rPr>
              <w:t xml:space="preserve">第二步：在所有有效响应报价中满足</w:t>
            </w:r>
            <w:r>
              <w:rPr>
                <w:rFonts w:hint="eastAsia" w:ascii="宋体" w:hAnsi="宋体" w:eastAsia="宋体" w:cs="宋体"/>
                <w:sz w:val="21"/>
                <w:szCs w:val="21"/>
                <w:highlight w:val="none"/>
              </w:rPr>
              <w:t xml:space="preserve">采购</w:t>
            </w:r>
            <w:r>
              <w:rPr>
                <w:rFonts w:hint="eastAsia" w:ascii="宋体" w:hAnsi="宋体" w:eastAsia="宋体" w:cs="宋体"/>
                <w:color w:val="000000"/>
                <w:sz w:val="21"/>
                <w:szCs w:val="21"/>
                <w:highlight w:val="none"/>
                <w:lang w:bidi="ar"/>
              </w:rPr>
              <w:t xml:space="preserve">文件要求，且响应价格最低的响应报价为评标基准价，其他供应商的价格分按照下列公式计算（计算结果四舍五入保留两位小数）。</w:t>
            </w:r>
            <w:r>
              <w:rPr>
                <w:rFonts w:hint="eastAsia" w:ascii="宋体" w:hAnsi="宋体" w:eastAsia="宋体" w:cs="宋体"/>
                <w:color w:val="000000"/>
                <w:sz w:val="21"/>
                <w:szCs w:val="21"/>
                <w:highlight w:val="none"/>
                <w:lang w:bidi="ar"/>
              </w:rPr>
            </w:r>
            <w:r/>
          </w:p>
          <w:p>
            <w:pPr>
              <w:pStyle w:val="953"/>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响应报价得分＝（评标基准价/响应报价）×10％×100</w:t>
            </w:r>
            <w:r>
              <w:rPr>
                <w:rFonts w:hint="eastAsia" w:ascii="宋体" w:hAnsi="宋体" w:eastAsia="宋体" w:cs="宋体"/>
                <w:sz w:val="21"/>
                <w:szCs w:val="21"/>
                <w:highlight w:val="none"/>
              </w:rPr>
            </w:r>
            <w:r/>
          </w:p>
        </w:tc>
        <w:tc>
          <w:tcPr>
            <w:tcW w:w="467" w:type="dxa"/>
            <w:vAlign w:val="center"/>
            <w:textDirection w:val="lrTb"/>
            <w:noWrap w:val="false"/>
          </w:tcPr>
          <w:p>
            <w:pPr>
              <w:pStyle w:val="953"/>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10</w:t>
            </w:r>
            <w:r>
              <w:rPr>
                <w:rFonts w:hint="eastAsia" w:ascii="宋体" w:hAnsi="宋体" w:eastAsia="宋体" w:cs="宋体"/>
                <w:color w:val="000000"/>
                <w:sz w:val="21"/>
                <w:szCs w:val="21"/>
                <w:highlight w:val="none"/>
              </w:rPr>
            </w:r>
            <w:r/>
          </w:p>
        </w:tc>
      </w:tr>
      <w:tr>
        <w:trPr>
          <w:trHeight w:val="5099"/>
        </w:trPr>
        <w:tc>
          <w:tcPr>
            <w:tcW w:w="460" w:type="dxa"/>
            <w:vAlign w:val="center"/>
            <w:vMerge w:val="restart"/>
            <w:textDirection w:val="lrTb"/>
            <w:noWrap w:val="false"/>
          </w:tcPr>
          <w:p>
            <w:pPr>
              <w:pStyle w:val="953"/>
              <w:ind w:left="0"/>
              <w:jc w:val="center"/>
              <w:widowControl w:val="off"/>
              <w:rPr>
                <w:rFonts w:hint="eastAsia" w:ascii="宋体" w:hAnsi="宋体" w:eastAsia="宋体" w:cs="宋体"/>
                <w:b/>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t xml:space="preserve">技术及商务部分（90分）</w:t>
            </w:r>
            <w:r>
              <w:rPr>
                <w:rFonts w:hint="eastAsia" w:ascii="宋体" w:hAnsi="宋体" w:eastAsia="宋体" w:cs="宋体"/>
                <w:b/>
                <w:color w:val="000000"/>
                <w:sz w:val="21"/>
                <w:szCs w:val="21"/>
                <w:highlight w:val="none"/>
              </w:rPr>
            </w:r>
            <w:r/>
          </w:p>
        </w:tc>
        <w:tc>
          <w:tcPr>
            <w:tcW w:w="585" w:type="dxa"/>
            <w:vAlign w:val="center"/>
            <w:textDirection w:val="lrTb"/>
            <w:noWrap w:val="false"/>
          </w:tcPr>
          <w:p>
            <w:pPr>
              <w:pStyle w:val="953"/>
              <w:ind w:left="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重难点分析、核心绩效指标体系</w:t>
            </w:r>
            <w:r>
              <w:rPr>
                <w:rFonts w:hint="eastAsia" w:ascii="宋体" w:hAnsi="宋体" w:eastAsia="宋体" w:cs="宋体"/>
                <w:color w:val="000000"/>
                <w:sz w:val="21"/>
                <w:szCs w:val="21"/>
                <w:highlight w:val="none"/>
              </w:rPr>
            </w:r>
            <w:r/>
          </w:p>
        </w:tc>
        <w:tc>
          <w:tcPr>
            <w:tcW w:w="3486" w:type="dxa"/>
            <w:vAlign w:val="center"/>
            <w:textDirection w:val="lrTb"/>
            <w:noWrap w:val="false"/>
          </w:tcPr>
          <w:p>
            <w:pPr>
              <w:pStyle w:val="953"/>
              <w:ind w:left="0"/>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bidi="ar"/>
              </w:rPr>
              <w:t xml:space="preserve">运用绩效分析手段对</w:t>
            </w:r>
            <w:r>
              <w:rPr>
                <w:rFonts w:hint="eastAsia" w:ascii="宋体" w:hAnsi="宋体" w:eastAsia="宋体" w:cs="宋体"/>
                <w:b/>
                <w:bCs/>
                <w:color w:val="000000"/>
                <w:sz w:val="21"/>
                <w:szCs w:val="21"/>
                <w:highlight w:val="none"/>
                <w:lang w:bidi="ar"/>
              </w:rPr>
              <w:t xml:space="preserve">信息化运维</w:t>
            </w:r>
            <w:r>
              <w:rPr>
                <w:rFonts w:hint="eastAsia" w:ascii="宋体" w:hAnsi="宋体" w:eastAsia="宋体" w:cs="宋体"/>
                <w:color w:val="000000"/>
                <w:sz w:val="21"/>
                <w:szCs w:val="21"/>
                <w:highlight w:val="none"/>
                <w:lang w:bidi="ar"/>
              </w:rPr>
              <w:t xml:space="preserve">支出结构的合理性进行分析，制定分析方案，方案内容包括：（1）项目重难点分析、分析思路、分析方法，（2）核心绩效指标体系等。（19分）</w:t>
            </w:r>
            <w:r>
              <w:rPr>
                <w:rFonts w:hint="eastAsia" w:ascii="宋体" w:hAnsi="宋体" w:eastAsia="宋体" w:cs="宋体"/>
                <w:color w:val="000000"/>
                <w:sz w:val="21"/>
                <w:szCs w:val="21"/>
                <w:highlight w:val="none"/>
                <w:lang w:bidi="ar"/>
              </w:rPr>
            </w:r>
            <w:r/>
          </w:p>
          <w:p>
            <w:pPr>
              <w:pStyle w:val="953"/>
              <w:ind w:left="0" w:firstLine="0"/>
              <w:jc w:val="both"/>
              <w:spacing w:after="120"/>
              <w:widowControl w:val="off"/>
              <w:rPr>
                <w:rFonts w:hint="eastAsia" w:ascii="宋体" w:hAnsi="宋体" w:eastAsia="宋体" w:cs="宋体"/>
                <w:color w:val="000000"/>
                <w:sz w:val="21"/>
                <w:szCs w:val="21"/>
                <w:highlight w:val="none"/>
                <w:lang w:val="en-US" w:eastAsia="zh-CN" w:bidi="ar"/>
              </w:rPr>
              <w:framePr w:vAnchor="margin" w:hAnchor="page" w:xAlign="center" w:y="1"/>
            </w:pPr>
            <w:r>
              <w:rPr>
                <w:rFonts w:hint="eastAsia" w:ascii="宋体" w:hAnsi="宋体" w:eastAsia="宋体" w:cs="宋体"/>
                <w:color w:val="000000"/>
                <w:sz w:val="21"/>
                <w:szCs w:val="21"/>
                <w:highlight w:val="none"/>
                <w:lang w:val="en-US" w:eastAsia="zh-CN" w:bidi="ar"/>
              </w:rPr>
              <w:t xml:space="preserve">（1）提供项目重难点分析，根据项目重难点提出分析思路，以及计划采取的分析方法。项目重难点分析精准到位、理解全面深刻、逻辑清晰、分析方法的选用贴合项目实际的，得9分；分析理解清晰全面但尚不够精准和到位、逻辑较清晰、分析方法的选用基本贴合项目实际的，得7分；分析理解泛化、不够准确、不够全面、逻辑性一般的，得4分；分析理解内容有缺失或有偏颇、有错位、与项目实际偏离较大的，得1分；分析完全脱离项目实际或未作项目重难点分析及分析方法陈述的，不得分。（9分）</w:t>
            </w:r>
            <w:r>
              <w:rPr>
                <w:rFonts w:hint="eastAsia" w:ascii="宋体" w:hAnsi="宋体" w:eastAsia="宋体" w:cs="宋体"/>
                <w:color w:val="000000"/>
                <w:sz w:val="21"/>
                <w:szCs w:val="21"/>
                <w:highlight w:val="none"/>
                <w:lang w:val="en-US" w:eastAsia="zh-CN" w:bidi="ar"/>
              </w:rPr>
            </w:r>
            <w:r/>
          </w:p>
          <w:p>
            <w:pPr>
              <w:pStyle w:val="953"/>
              <w:ind w:left="0" w:firstLine="0"/>
              <w:jc w:val="both"/>
              <w:spacing w:after="120"/>
              <w:widowControl w:val="off"/>
              <w:rPr>
                <w:rFonts w:hint="eastAsia" w:ascii="宋体" w:hAnsi="宋体" w:eastAsia="宋体" w:cs="宋体"/>
                <w:color w:val="000000"/>
                <w:sz w:val="21"/>
                <w:szCs w:val="21"/>
                <w:highlight w:val="none"/>
                <w:lang w:val="en-US" w:eastAsia="zh-CN" w:bidi="ar"/>
              </w:rPr>
              <w:framePr w:vAnchor="margin" w:hAnchor="page" w:xAlign="center" w:y="1"/>
            </w:pPr>
            <w:r>
              <w:rPr>
                <w:rFonts w:hint="eastAsia" w:ascii="宋体" w:hAnsi="宋体" w:eastAsia="宋体" w:cs="宋体"/>
                <w:color w:val="000000"/>
                <w:sz w:val="21"/>
                <w:szCs w:val="21"/>
                <w:highlight w:val="none"/>
                <w:lang w:val="en-US" w:eastAsia="zh-CN" w:bidi="ar"/>
              </w:rPr>
              <w:t xml:space="preserve">（2）提供</w:t>
            </w:r>
            <w:r>
              <w:rPr>
                <w:rFonts w:hint="eastAsia" w:ascii="宋体" w:hAnsi="宋体" w:eastAsia="宋体" w:cs="宋体"/>
                <w:color w:val="000000"/>
                <w:sz w:val="21"/>
                <w:szCs w:val="21"/>
                <w:highlight w:val="none"/>
                <w:lang w:val="en-US" w:eastAsia="zh-CN" w:bidi="ar"/>
              </w:rPr>
              <w:t xml:space="preserve">信息化运维</w:t>
            </w:r>
            <w:r>
              <w:rPr>
                <w:rFonts w:hint="eastAsia" w:ascii="宋体" w:hAnsi="宋体" w:eastAsia="宋体" w:cs="宋体"/>
                <w:color w:val="000000"/>
                <w:sz w:val="21"/>
                <w:szCs w:val="21"/>
                <w:highlight w:val="none"/>
                <w:lang w:val="en-US" w:eastAsia="zh-CN" w:bidi="ar"/>
              </w:rPr>
              <w:t xml:space="preserve">支出项目的核心绩效指标体系，该体系应能够</w:t>
            </w:r>
            <w:r>
              <w:rPr>
                <w:rFonts w:hint="eastAsia" w:ascii="宋体" w:hAnsi="宋体" w:eastAsia="宋体" w:cs="宋体"/>
                <w:color w:val="000000"/>
                <w:sz w:val="21"/>
                <w:szCs w:val="21"/>
                <w:highlight w:val="none"/>
                <w:lang w:val="en-US" w:eastAsia="zh-CN" w:bidi="ar"/>
              </w:rPr>
              <w:t xml:space="preserve">反映对信息化运维类项目（包括硬件运维项目和软件运维项目）的成本、运维质量、服务效率、可持续发展等方面</w:t>
            </w:r>
            <w:r>
              <w:rPr>
                <w:rFonts w:hint="eastAsia" w:ascii="宋体" w:hAnsi="宋体" w:eastAsia="宋体" w:cs="宋体"/>
                <w:color w:val="000000"/>
                <w:sz w:val="21"/>
                <w:szCs w:val="21"/>
                <w:highlight w:val="none"/>
                <w:lang w:val="en-US" w:eastAsia="zh-CN" w:bidi="ar"/>
              </w:rPr>
              <w:t xml:space="preserve">的绩效分析，指标体系科学合理，且具备可操作性。指标设置贴合项目实际、条理清楚、清晰完整、精准到位的，得10分；指标设置基本契合项目实际、清晰完整但尚不够精准到位的，得7分；指标设置的理解泛化、不够完整准确到位的，得4分；指标设置的理解内容有缺失或有偏颇、有错位的、与项目实际偏离较大的，得1分；指标设置完全脱离项目实际或未制定核心绩效指标体系的，不得分。（10分）</w:t>
            </w:r>
            <w:r>
              <w:rPr>
                <w:rFonts w:hint="eastAsia" w:ascii="宋体" w:hAnsi="宋体" w:eastAsia="宋体" w:cs="宋体"/>
                <w:color w:val="000000"/>
                <w:sz w:val="21"/>
                <w:szCs w:val="21"/>
                <w:highlight w:val="none"/>
                <w:lang w:val="en-US" w:eastAsia="zh-CN" w:bidi="ar"/>
              </w:rPr>
            </w:r>
            <w:r/>
          </w:p>
        </w:tc>
        <w:tc>
          <w:tcPr>
            <w:tcW w:w="467" w:type="dxa"/>
            <w:vAlign w:val="center"/>
            <w:textDirection w:val="lrTb"/>
            <w:noWrap w:val="false"/>
          </w:tcPr>
          <w:p>
            <w:pPr>
              <w:pStyle w:val="953"/>
              <w:ind w:left="0"/>
              <w:jc w:val="center"/>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19</w:t>
            </w:r>
            <w:r>
              <w:rPr>
                <w:rFonts w:hint="eastAsia" w:ascii="宋体" w:hAnsi="宋体" w:eastAsia="宋体" w:cs="宋体"/>
                <w:sz w:val="21"/>
                <w:szCs w:val="21"/>
                <w:highlight w:val="none"/>
              </w:rPr>
            </w:r>
            <w:r/>
          </w:p>
        </w:tc>
      </w:tr>
      <w:tr>
        <w:trPr>
          <w:trHeight w:val="2609"/>
        </w:trPr>
        <w:tc>
          <w:tcPr>
            <w:tcW w:w="460" w:type="dxa"/>
            <w:vAlign w:val="center"/>
            <w:vMerge w:val="continue"/>
            <w:textDirection w:val="lrTb"/>
            <w:noWrap w:val="false"/>
          </w:tcPr>
          <w:p>
            <w:pPr>
              <w:pStyle w:val="953"/>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r>
            <w:r/>
          </w:p>
        </w:tc>
        <w:tc>
          <w:tcPr>
            <w:tcW w:w="585" w:type="dxa"/>
            <w:vAlign w:val="center"/>
            <w:textDirection w:val="lrTb"/>
            <w:noWrap w:val="false"/>
          </w:tcPr>
          <w:p>
            <w:pPr>
              <w:pStyle w:val="953"/>
              <w:ind w:left="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运营效能分析方案</w:t>
            </w:r>
            <w:r>
              <w:rPr>
                <w:rFonts w:hint="eastAsia" w:ascii="宋体" w:hAnsi="宋体" w:eastAsia="宋体" w:cs="宋体"/>
                <w:color w:val="000000"/>
                <w:sz w:val="21"/>
                <w:szCs w:val="21"/>
                <w:highlight w:val="none"/>
              </w:rPr>
            </w:r>
            <w:r/>
          </w:p>
        </w:tc>
        <w:tc>
          <w:tcPr>
            <w:tcW w:w="3486" w:type="dxa"/>
            <w:vAlign w:val="center"/>
            <w:textDirection w:val="lrTb"/>
            <w:noWrap w:val="false"/>
          </w:tcPr>
          <w:p>
            <w:pPr>
              <w:pStyle w:val="953"/>
              <w:ind w:left="0"/>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全面、深入分析市级</w:t>
            </w:r>
            <w:r>
              <w:rPr>
                <w:rFonts w:hint="eastAsia" w:ascii="宋体" w:hAnsi="宋体" w:eastAsia="宋体" w:cs="宋体"/>
                <w:color w:val="000000"/>
                <w:sz w:val="21"/>
                <w:szCs w:val="21"/>
                <w:highlight w:val="none"/>
                <w:lang w:val="en-US" w:eastAsia="zh-CN"/>
              </w:rPr>
              <w:t xml:space="preserve">信息化运维项目</w:t>
            </w:r>
            <w:r>
              <w:rPr>
                <w:rFonts w:hint="eastAsia" w:ascii="宋体" w:hAnsi="宋体" w:eastAsia="宋体" w:cs="宋体"/>
                <w:color w:val="000000"/>
                <w:sz w:val="21"/>
                <w:szCs w:val="21"/>
                <w:highlight w:val="none"/>
              </w:rPr>
              <w:t xml:space="preserve">状况，制定运营效能分析方案，方案内容包括但不限于</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运维</w:t>
            </w:r>
            <w:r>
              <w:rPr>
                <w:rFonts w:hint="eastAsia" w:ascii="宋体" w:hAnsi="宋体" w:eastAsia="宋体" w:cs="宋体"/>
                <w:color w:val="000000"/>
                <w:sz w:val="21"/>
                <w:szCs w:val="21"/>
                <w:highlight w:val="none"/>
              </w:rPr>
              <w:t xml:space="preserve">成效分析、资产和人员配置分析、存在问题查找分析等。</w:t>
            </w:r>
            <w:r>
              <w:rPr>
                <w:rFonts w:hint="eastAsia" w:ascii="宋体" w:hAnsi="宋体" w:eastAsia="宋体" w:cs="宋体"/>
                <w:color w:val="000000"/>
                <w:sz w:val="21"/>
                <w:szCs w:val="21"/>
                <w:highlight w:val="none"/>
              </w:rPr>
              <w:t xml:space="preserve">（10分）</w:t>
            </w:r>
            <w:r>
              <w:rPr>
                <w:rFonts w:hint="eastAsia" w:ascii="宋体" w:hAnsi="宋体" w:eastAsia="宋体" w:cs="宋体"/>
                <w:color w:val="000000"/>
                <w:sz w:val="21"/>
                <w:szCs w:val="21"/>
                <w:highlight w:val="none"/>
              </w:rPr>
            </w:r>
            <w:r/>
          </w:p>
          <w:p>
            <w:pPr>
              <w:pStyle w:val="953"/>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运营效能分析方案</w:t>
            </w:r>
            <w:r>
              <w:rPr>
                <w:rFonts w:hint="eastAsia" w:ascii="宋体" w:hAnsi="宋体" w:eastAsia="宋体" w:cs="宋体"/>
                <w:sz w:val="21"/>
                <w:szCs w:val="21"/>
                <w:highlight w:val="none"/>
              </w:rPr>
              <w:t xml:space="preserve">清晰、完整、可操作性强、贴合项目实际</w:t>
            </w:r>
            <w:r>
              <w:rPr>
                <w:rFonts w:hint="eastAsia" w:ascii="宋体" w:hAnsi="宋体" w:eastAsia="宋体" w:cs="宋体"/>
                <w:color w:val="000000"/>
                <w:sz w:val="21"/>
                <w:szCs w:val="21"/>
                <w:highlight w:val="none"/>
                <w:lang w:bidi="ar"/>
              </w:rPr>
              <w:t xml:space="preserve">的，得10分；分析方案</w:t>
            </w:r>
            <w:r>
              <w:rPr>
                <w:rFonts w:hint="eastAsia" w:ascii="宋体" w:hAnsi="宋体" w:eastAsia="宋体" w:cs="宋体"/>
                <w:sz w:val="21"/>
                <w:szCs w:val="21"/>
                <w:highlight w:val="none"/>
              </w:rPr>
              <w:t xml:space="preserve">清晰但尚不够完整和到位、基本贴合项目实际</w:t>
            </w:r>
            <w:r>
              <w:rPr>
                <w:rFonts w:hint="eastAsia" w:ascii="宋体" w:hAnsi="宋体" w:eastAsia="宋体" w:cs="宋体"/>
                <w:color w:val="000000"/>
                <w:sz w:val="21"/>
                <w:szCs w:val="21"/>
                <w:highlight w:val="none"/>
                <w:lang w:bidi="ar"/>
              </w:rPr>
              <w:t xml:space="preserve">的，得7分；分析方案</w:t>
            </w:r>
            <w:r>
              <w:rPr>
                <w:rFonts w:hint="eastAsia" w:ascii="宋体" w:hAnsi="宋体" w:eastAsia="宋体" w:cs="宋体"/>
                <w:sz w:val="21"/>
                <w:szCs w:val="21"/>
                <w:highlight w:val="none"/>
              </w:rPr>
              <w:t xml:space="preserve">理解泛化、不够清晰完整</w:t>
            </w:r>
            <w:r>
              <w:rPr>
                <w:rFonts w:hint="eastAsia" w:ascii="宋体" w:hAnsi="宋体" w:eastAsia="宋体" w:cs="宋体"/>
                <w:color w:val="000000"/>
                <w:sz w:val="21"/>
                <w:szCs w:val="21"/>
                <w:highlight w:val="none"/>
                <w:lang w:bidi="ar"/>
              </w:rPr>
              <w:t xml:space="preserve">的得4分；分析方案内容有缺失或有偏颇、有错位、与项目实际偏离较大，得1分；分析方案</w:t>
            </w:r>
            <w:r>
              <w:rPr>
                <w:rFonts w:hint="eastAsia" w:ascii="宋体" w:hAnsi="宋体" w:eastAsia="宋体" w:cs="宋体"/>
                <w:sz w:val="21"/>
                <w:szCs w:val="21"/>
                <w:highlight w:val="none"/>
              </w:rPr>
              <w:t xml:space="preserve">完全脱离项目实际或未提供分析方案</w:t>
            </w:r>
            <w:r>
              <w:rPr>
                <w:rFonts w:hint="eastAsia" w:ascii="宋体" w:hAnsi="宋体" w:eastAsia="宋体" w:cs="宋体"/>
                <w:color w:val="000000"/>
                <w:sz w:val="21"/>
                <w:szCs w:val="21"/>
                <w:highlight w:val="none"/>
                <w:lang w:bidi="ar"/>
              </w:rPr>
              <w:t xml:space="preserve">的不得分。</w:t>
            </w:r>
            <w:r>
              <w:rPr>
                <w:rFonts w:hint="eastAsia" w:ascii="宋体" w:hAnsi="宋体" w:eastAsia="宋体" w:cs="宋体"/>
                <w:sz w:val="21"/>
                <w:szCs w:val="21"/>
                <w:highlight w:val="none"/>
              </w:rPr>
            </w:r>
            <w:r/>
          </w:p>
        </w:tc>
        <w:tc>
          <w:tcPr>
            <w:tcW w:w="467" w:type="dxa"/>
            <w:vAlign w:val="center"/>
            <w:textDirection w:val="lrTb"/>
            <w:noWrap w:val="false"/>
          </w:tcPr>
          <w:p>
            <w:pPr>
              <w:pStyle w:val="953"/>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rHeight w:val="6439"/>
        </w:trPr>
        <w:tc>
          <w:tcPr>
            <w:tcW w:w="460" w:type="dxa"/>
            <w:vAlign w:val="center"/>
            <w:vMerge w:val="continue"/>
            <w:textDirection w:val="lrTb"/>
            <w:noWrap w:val="false"/>
          </w:tcPr>
          <w:p>
            <w:pPr>
              <w:pStyle w:val="953"/>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r>
            <w:r/>
          </w:p>
        </w:tc>
        <w:tc>
          <w:tcPr>
            <w:tcW w:w="585" w:type="dxa"/>
            <w:vAlign w:val="center"/>
            <w:textDirection w:val="lrTb"/>
            <w:noWrap w:val="false"/>
          </w:tcPr>
          <w:p>
            <w:pPr>
              <w:pStyle w:val="953"/>
              <w:ind w:left="0"/>
              <w:jc w:val="center"/>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val="en-US" w:eastAsia="zh-CN" w:bidi="ar"/>
              </w:rPr>
              <w:t xml:space="preserve">支出标准建设</w:t>
            </w:r>
            <w:r>
              <w:rPr>
                <w:rFonts w:hint="eastAsia" w:ascii="宋体" w:hAnsi="宋体" w:eastAsia="宋体" w:cs="宋体"/>
                <w:color w:val="000000"/>
                <w:sz w:val="21"/>
                <w:szCs w:val="21"/>
                <w:highlight w:val="none"/>
                <w:lang w:bidi="ar"/>
              </w:rPr>
              <w:t xml:space="preserve">方案、创新和监管方案</w:t>
            </w:r>
            <w:r>
              <w:rPr>
                <w:rFonts w:hint="eastAsia" w:ascii="宋体" w:hAnsi="宋体" w:eastAsia="宋体" w:cs="宋体"/>
                <w:color w:val="000000"/>
                <w:sz w:val="21"/>
                <w:szCs w:val="21"/>
                <w:highlight w:val="none"/>
                <w:lang w:bidi="ar"/>
              </w:rPr>
            </w:r>
            <w:r/>
          </w:p>
        </w:tc>
        <w:tc>
          <w:tcPr>
            <w:tcW w:w="3486" w:type="dxa"/>
            <w:vAlign w:val="center"/>
            <w:textDirection w:val="lrTb"/>
            <w:noWrap w:val="false"/>
          </w:tcPr>
          <w:p>
            <w:pPr>
              <w:pStyle w:val="953"/>
              <w:ind w:left="0"/>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bidi="ar"/>
              </w:rPr>
              <w:t xml:space="preserve">1.科学核定</w:t>
            </w:r>
            <w:r>
              <w:rPr>
                <w:rFonts w:hint="eastAsia" w:ascii="宋体" w:hAnsi="宋体" w:eastAsia="宋体" w:cs="宋体"/>
                <w:color w:val="000000"/>
                <w:sz w:val="21"/>
                <w:szCs w:val="21"/>
                <w:highlight w:val="none"/>
                <w:lang w:val="en-US" w:eastAsia="zh-CN" w:bidi="ar"/>
              </w:rPr>
              <w:t xml:space="preserve">信息化运维</w:t>
            </w:r>
            <w:r>
              <w:rPr>
                <w:rFonts w:hint="eastAsia" w:ascii="宋体" w:hAnsi="宋体" w:eastAsia="宋体" w:cs="宋体"/>
                <w:color w:val="000000"/>
                <w:sz w:val="21"/>
                <w:szCs w:val="21"/>
                <w:highlight w:val="none"/>
                <w:lang w:bidi="ar"/>
              </w:rPr>
              <w:t xml:space="preserve">成本，确定硬件设备维保支出</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基础软件运维支出</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业务系统运维支出</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网络与安全运维支出</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数据运维与备份支出</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驻场技术服务支出</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机房及环境配套运维支出</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运维耗材备件等方面的成本定额标准，并据此优化</w:t>
            </w:r>
            <w:r>
              <w:rPr>
                <w:rFonts w:hint="eastAsia" w:ascii="宋体" w:hAnsi="宋体" w:eastAsia="宋体" w:cs="宋体"/>
                <w:color w:val="000000"/>
                <w:sz w:val="21"/>
                <w:szCs w:val="21"/>
                <w:highlight w:val="none"/>
                <w:lang w:val="en-US" w:eastAsia="zh-CN" w:bidi="ar"/>
              </w:rPr>
              <w:t xml:space="preserve">信息化</w:t>
            </w:r>
            <w:r>
              <w:rPr>
                <w:rFonts w:hint="eastAsia" w:ascii="宋体" w:hAnsi="宋体" w:eastAsia="宋体" w:cs="宋体"/>
                <w:color w:val="000000"/>
                <w:sz w:val="21"/>
                <w:szCs w:val="21"/>
                <w:highlight w:val="none"/>
                <w:lang w:bidi="ar"/>
              </w:rPr>
              <w:t xml:space="preserve">运维支出标准；根据上述要求制定</w:t>
            </w:r>
            <w:r>
              <w:rPr>
                <w:rFonts w:hint="eastAsia" w:ascii="宋体" w:hAnsi="宋体" w:eastAsia="宋体" w:cs="宋体"/>
                <w:color w:val="000000"/>
                <w:sz w:val="21"/>
                <w:szCs w:val="21"/>
                <w:highlight w:val="none"/>
                <w:lang w:val="en-US" w:eastAsia="zh-CN" w:bidi="ar"/>
              </w:rPr>
              <w:t xml:space="preserve">支出标准</w:t>
            </w:r>
            <w:r>
              <w:rPr>
                <w:rFonts w:hint="eastAsia" w:ascii="宋体" w:hAnsi="宋体" w:eastAsia="宋体" w:cs="宋体"/>
                <w:color w:val="000000"/>
                <w:sz w:val="21"/>
                <w:szCs w:val="21"/>
                <w:highlight w:val="none"/>
                <w:lang w:bidi="ar"/>
              </w:rPr>
              <w:t xml:space="preserve">实施方案。</w:t>
            </w:r>
            <w:r>
              <w:rPr>
                <w:rFonts w:hint="eastAsia" w:ascii="宋体" w:hAnsi="宋体" w:eastAsia="宋体" w:cs="宋体"/>
                <w:color w:val="000000"/>
                <w:sz w:val="21"/>
                <w:szCs w:val="21"/>
                <w:highlight w:val="none"/>
                <w:lang w:bidi="ar"/>
              </w:rPr>
            </w:r>
            <w:r/>
          </w:p>
          <w:p>
            <w:pPr>
              <w:pStyle w:val="953"/>
              <w:ind w:left="0"/>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bidi="ar"/>
              </w:rPr>
              <w:t xml:space="preserve">实施方案</w:t>
            </w:r>
            <w:r>
              <w:rPr>
                <w:rFonts w:hint="eastAsia" w:ascii="宋体" w:hAnsi="宋体" w:eastAsia="宋体" w:cs="宋体"/>
                <w:sz w:val="21"/>
                <w:szCs w:val="21"/>
                <w:highlight w:val="none"/>
              </w:rPr>
              <w:t xml:space="preserve">清晰、完整、可操作性强、贴合项目实际</w:t>
            </w:r>
            <w:r>
              <w:rPr>
                <w:rFonts w:hint="eastAsia" w:ascii="宋体" w:hAnsi="宋体" w:eastAsia="宋体" w:cs="宋体"/>
                <w:color w:val="000000"/>
                <w:sz w:val="21"/>
                <w:szCs w:val="21"/>
                <w:highlight w:val="none"/>
                <w:lang w:bidi="ar"/>
              </w:rPr>
              <w:t xml:space="preserve">的，得10分；分析方案</w:t>
            </w:r>
            <w:r>
              <w:rPr>
                <w:rFonts w:hint="eastAsia" w:ascii="宋体" w:hAnsi="宋体" w:eastAsia="宋体" w:cs="宋体"/>
                <w:sz w:val="21"/>
                <w:szCs w:val="21"/>
                <w:highlight w:val="none"/>
              </w:rPr>
              <w:t xml:space="preserve">清晰但尚不够完整和到位、基本贴合项目实际</w:t>
            </w:r>
            <w:r>
              <w:rPr>
                <w:rFonts w:hint="eastAsia" w:ascii="宋体" w:hAnsi="宋体" w:eastAsia="宋体" w:cs="宋体"/>
                <w:color w:val="000000"/>
                <w:sz w:val="21"/>
                <w:szCs w:val="21"/>
                <w:highlight w:val="none"/>
                <w:lang w:bidi="ar"/>
              </w:rPr>
              <w:t xml:space="preserve">的，得7分；分析方案</w:t>
            </w:r>
            <w:r>
              <w:rPr>
                <w:rFonts w:hint="eastAsia" w:ascii="宋体" w:hAnsi="宋体" w:eastAsia="宋体" w:cs="宋体"/>
                <w:sz w:val="21"/>
                <w:szCs w:val="21"/>
                <w:highlight w:val="none"/>
              </w:rPr>
              <w:t xml:space="preserve">理解泛化、不够清晰完整</w:t>
            </w:r>
            <w:r>
              <w:rPr>
                <w:rFonts w:hint="eastAsia" w:ascii="宋体" w:hAnsi="宋体" w:eastAsia="宋体" w:cs="宋体"/>
                <w:color w:val="000000"/>
                <w:sz w:val="21"/>
                <w:szCs w:val="21"/>
                <w:highlight w:val="none"/>
                <w:lang w:bidi="ar"/>
              </w:rPr>
              <w:t xml:space="preserve">的得4分；分析方案内容有缺失或有偏颇、有错位、与项目实际偏离较大，得1分；分析方案</w:t>
            </w:r>
            <w:r>
              <w:rPr>
                <w:rFonts w:hint="eastAsia" w:ascii="宋体" w:hAnsi="宋体" w:eastAsia="宋体" w:cs="宋体"/>
                <w:sz w:val="21"/>
                <w:szCs w:val="21"/>
                <w:highlight w:val="none"/>
              </w:rPr>
              <w:t xml:space="preserve">完全脱离项目实际或未提供分析方案</w:t>
            </w:r>
            <w:r>
              <w:rPr>
                <w:rFonts w:hint="eastAsia" w:ascii="宋体" w:hAnsi="宋体" w:eastAsia="宋体" w:cs="宋体"/>
                <w:color w:val="000000"/>
                <w:sz w:val="21"/>
                <w:szCs w:val="21"/>
                <w:highlight w:val="none"/>
                <w:lang w:bidi="ar"/>
              </w:rPr>
              <w:t xml:space="preserve">的不得分。（10分）</w:t>
            </w:r>
            <w:r>
              <w:rPr>
                <w:rFonts w:hint="eastAsia" w:ascii="宋体" w:hAnsi="宋体" w:eastAsia="宋体" w:cs="宋体"/>
                <w:color w:val="000000"/>
                <w:sz w:val="21"/>
                <w:szCs w:val="21"/>
                <w:highlight w:val="none"/>
                <w:lang w:bidi="ar"/>
              </w:rPr>
            </w:r>
            <w:r/>
          </w:p>
          <w:p>
            <w:pPr>
              <w:pStyle w:val="953"/>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2.探索</w:t>
            </w:r>
            <w:r>
              <w:rPr>
                <w:rFonts w:hint="eastAsia" w:ascii="宋体" w:hAnsi="宋体" w:eastAsia="宋体" w:cs="宋体"/>
                <w:sz w:val="21"/>
                <w:szCs w:val="21"/>
                <w:highlight w:val="none"/>
                <w:lang w:val="en-US" w:eastAsia="zh-CN"/>
              </w:rPr>
              <w:t xml:space="preserve">信息化运维</w:t>
            </w:r>
            <w:r>
              <w:rPr>
                <w:rFonts w:hint="eastAsia" w:ascii="宋体" w:hAnsi="宋体" w:eastAsia="宋体" w:cs="宋体"/>
                <w:sz w:val="21"/>
                <w:szCs w:val="21"/>
                <w:highlight w:val="none"/>
              </w:rPr>
              <w:t xml:space="preserve">新思路，提出可操作、合规范、可推广的创新方案，提升整体运营效率，为</w:t>
            </w:r>
            <w:r>
              <w:rPr>
                <w:rFonts w:hint="eastAsia" w:ascii="宋体" w:hAnsi="宋体" w:eastAsia="宋体" w:cs="宋体"/>
                <w:sz w:val="21"/>
                <w:szCs w:val="21"/>
                <w:highlight w:val="none"/>
                <w:lang w:val="en-US" w:eastAsia="zh-CN"/>
              </w:rPr>
              <w:t xml:space="preserve">信息化运维</w:t>
            </w:r>
            <w:r>
              <w:rPr>
                <w:rFonts w:hint="eastAsia" w:ascii="宋体" w:hAnsi="宋体" w:eastAsia="宋体" w:cs="宋体"/>
                <w:sz w:val="21"/>
                <w:szCs w:val="21"/>
                <w:highlight w:val="none"/>
              </w:rPr>
              <w:t xml:space="preserve">的可持续发展提供建议和路径；协助财政构建市级</w:t>
            </w:r>
            <w:r>
              <w:rPr>
                <w:rFonts w:hint="eastAsia" w:ascii="宋体" w:hAnsi="宋体" w:eastAsia="宋体" w:cs="宋体"/>
                <w:sz w:val="21"/>
                <w:szCs w:val="21"/>
                <w:highlight w:val="none"/>
                <w:lang w:val="en-US" w:eastAsia="zh-CN"/>
              </w:rPr>
              <w:t xml:space="preserve">信息化运维</w:t>
            </w:r>
            <w:r>
              <w:rPr>
                <w:rFonts w:hint="eastAsia" w:ascii="宋体" w:hAnsi="宋体" w:eastAsia="宋体" w:cs="宋体"/>
                <w:sz w:val="21"/>
                <w:szCs w:val="21"/>
                <w:highlight w:val="none"/>
              </w:rPr>
              <w:t xml:space="preserve">的绩效监管体制，形成行业绩效评价应用机制和政府监管模式。根据上述要求制定工作方案。</w:t>
            </w:r>
            <w:r>
              <w:rPr>
                <w:rFonts w:hint="eastAsia" w:ascii="宋体" w:hAnsi="宋体" w:eastAsia="宋体" w:cs="宋体"/>
                <w:sz w:val="21"/>
                <w:szCs w:val="21"/>
                <w:highlight w:val="none"/>
              </w:rPr>
            </w:r>
            <w:r/>
          </w:p>
          <w:p>
            <w:pPr>
              <w:pStyle w:val="953"/>
              <w:ind w:left="0"/>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bidi="ar"/>
              </w:rPr>
              <w:t xml:space="preserve">实施方案</w:t>
            </w:r>
            <w:r>
              <w:rPr>
                <w:rFonts w:hint="eastAsia" w:ascii="宋体" w:hAnsi="宋体" w:eastAsia="宋体" w:cs="宋体"/>
                <w:sz w:val="21"/>
                <w:szCs w:val="21"/>
                <w:highlight w:val="none"/>
              </w:rPr>
              <w:t xml:space="preserve">清晰、完整、可操作性强、贴合项目实际</w:t>
            </w:r>
            <w:r>
              <w:rPr>
                <w:rFonts w:hint="eastAsia" w:ascii="宋体" w:hAnsi="宋体" w:eastAsia="宋体" w:cs="宋体"/>
                <w:color w:val="000000"/>
                <w:sz w:val="21"/>
                <w:szCs w:val="21"/>
                <w:highlight w:val="none"/>
                <w:lang w:bidi="ar"/>
              </w:rPr>
              <w:t xml:space="preserve">的，得10分；分析方案</w:t>
            </w:r>
            <w:r>
              <w:rPr>
                <w:rFonts w:hint="eastAsia" w:ascii="宋体" w:hAnsi="宋体" w:eastAsia="宋体" w:cs="宋体"/>
                <w:sz w:val="21"/>
                <w:szCs w:val="21"/>
                <w:highlight w:val="none"/>
              </w:rPr>
              <w:t xml:space="preserve">清晰但尚不够完整和到位、基本贴合项目实际</w:t>
            </w:r>
            <w:r>
              <w:rPr>
                <w:rFonts w:hint="eastAsia" w:ascii="宋体" w:hAnsi="宋体" w:eastAsia="宋体" w:cs="宋体"/>
                <w:color w:val="000000"/>
                <w:sz w:val="21"/>
                <w:szCs w:val="21"/>
                <w:highlight w:val="none"/>
                <w:lang w:bidi="ar"/>
              </w:rPr>
              <w:t xml:space="preserve">的，得7分；分析方案</w:t>
            </w:r>
            <w:r>
              <w:rPr>
                <w:rFonts w:hint="eastAsia" w:ascii="宋体" w:hAnsi="宋体" w:eastAsia="宋体" w:cs="宋体"/>
                <w:sz w:val="21"/>
                <w:szCs w:val="21"/>
                <w:highlight w:val="none"/>
              </w:rPr>
              <w:t xml:space="preserve">理解泛化、不够清晰完整</w:t>
            </w:r>
            <w:r>
              <w:rPr>
                <w:rFonts w:hint="eastAsia" w:ascii="宋体" w:hAnsi="宋体" w:eastAsia="宋体" w:cs="宋体"/>
                <w:color w:val="000000"/>
                <w:sz w:val="21"/>
                <w:szCs w:val="21"/>
                <w:highlight w:val="none"/>
                <w:lang w:bidi="ar"/>
              </w:rPr>
              <w:t xml:space="preserve">的得4分；分析方案内容有缺失或有偏颇、有错位、与项目实际偏离较大，得1分；分析方案</w:t>
            </w:r>
            <w:r>
              <w:rPr>
                <w:rFonts w:hint="eastAsia" w:ascii="宋体" w:hAnsi="宋体" w:eastAsia="宋体" w:cs="宋体"/>
                <w:sz w:val="21"/>
                <w:szCs w:val="21"/>
                <w:highlight w:val="none"/>
              </w:rPr>
              <w:t xml:space="preserve">完全脱离项目实际或未提供分析方案</w:t>
            </w:r>
            <w:r>
              <w:rPr>
                <w:rFonts w:hint="eastAsia" w:ascii="宋体" w:hAnsi="宋体" w:eastAsia="宋体" w:cs="宋体"/>
                <w:color w:val="000000"/>
                <w:sz w:val="21"/>
                <w:szCs w:val="21"/>
                <w:highlight w:val="none"/>
                <w:lang w:bidi="ar"/>
              </w:rPr>
              <w:t xml:space="preserve">的不得分。（10分）</w:t>
            </w:r>
            <w:r>
              <w:rPr>
                <w:rFonts w:hint="eastAsia" w:ascii="宋体" w:hAnsi="宋体" w:eastAsia="宋体" w:cs="宋体"/>
                <w:color w:val="000000"/>
                <w:sz w:val="21"/>
                <w:szCs w:val="21"/>
                <w:highlight w:val="none"/>
                <w:lang w:bidi="ar"/>
              </w:rPr>
            </w:r>
            <w:r/>
          </w:p>
        </w:tc>
        <w:tc>
          <w:tcPr>
            <w:tcW w:w="467" w:type="dxa"/>
            <w:vAlign w:val="center"/>
            <w:textDirection w:val="lrTb"/>
            <w:noWrap w:val="false"/>
          </w:tcPr>
          <w:p>
            <w:pPr>
              <w:pStyle w:val="953"/>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rHeight w:val="3882"/>
        </w:trPr>
        <w:tc>
          <w:tcPr>
            <w:tcW w:w="460" w:type="dxa"/>
            <w:vAlign w:val="center"/>
            <w:vMerge w:val="continue"/>
            <w:textDirection w:val="lrTb"/>
            <w:noWrap w:val="false"/>
          </w:tcPr>
          <w:p>
            <w:pPr>
              <w:pStyle w:val="953"/>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r>
            <w:r/>
          </w:p>
        </w:tc>
        <w:tc>
          <w:tcPr>
            <w:tcW w:w="585" w:type="dxa"/>
            <w:vAlign w:val="center"/>
            <w:textDirection w:val="lrTb"/>
            <w:noWrap w:val="false"/>
          </w:tcPr>
          <w:p>
            <w:pPr>
              <w:pStyle w:val="953"/>
              <w:ind w:left="0"/>
              <w:jc w:val="center"/>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项目实施服务方案</w:t>
            </w:r>
            <w:r>
              <w:rPr>
                <w:rFonts w:hint="eastAsia" w:ascii="宋体" w:hAnsi="宋体" w:eastAsia="宋体" w:cs="宋体"/>
                <w:sz w:val="21"/>
                <w:szCs w:val="21"/>
                <w:highlight w:val="none"/>
              </w:rPr>
            </w:r>
            <w:r/>
          </w:p>
        </w:tc>
        <w:tc>
          <w:tcPr>
            <w:tcW w:w="3486" w:type="dxa"/>
            <w:vAlign w:val="center"/>
            <w:textDirection w:val="lrTb"/>
            <w:noWrap w:val="false"/>
          </w:tcPr>
          <w:p>
            <w:pPr>
              <w:pStyle w:val="953"/>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制定</w:t>
            </w:r>
            <w:r>
              <w:rPr>
                <w:rFonts w:hint="eastAsia" w:ascii="宋体" w:hAnsi="宋体" w:eastAsia="宋体" w:cs="宋体"/>
                <w:sz w:val="21"/>
                <w:szCs w:val="21"/>
                <w:highlight w:val="none"/>
                <w:lang w:val="en-US" w:eastAsia="zh-CN"/>
              </w:rPr>
              <w:t xml:space="preserve">支出标准建设</w:t>
            </w:r>
            <w:r>
              <w:rPr>
                <w:rFonts w:hint="eastAsia" w:ascii="宋体" w:hAnsi="宋体" w:eastAsia="宋体" w:cs="宋体"/>
                <w:sz w:val="21"/>
                <w:szCs w:val="21"/>
                <w:highlight w:val="none"/>
              </w:rPr>
              <w:t xml:space="preserve">项目实施的服务方案，方案内容包括但不限于：（1）数据采集、处理和分析工作方案，能有效支撑绩效分析、项目效能分析工作；（2）工作程序规范，能有效保障项目实施的各个环节的实施质量；（3）现场调研协调及管理方案，能有效保障项目按计划推进；（4）项目实施时间计划清晰合理、具备可操作性；（5）能够利用专业信息化应用开展相应的分析工作。</w:t>
            </w:r>
            <w:r>
              <w:rPr>
                <w:rFonts w:hint="eastAsia" w:ascii="宋体" w:hAnsi="宋体" w:eastAsia="宋体" w:cs="宋体"/>
                <w:color w:val="000000"/>
                <w:sz w:val="21"/>
                <w:szCs w:val="21"/>
                <w:highlight w:val="none"/>
                <w:lang w:bidi="ar"/>
              </w:rPr>
              <w:t xml:space="preserve">（10分）</w:t>
            </w:r>
            <w:r>
              <w:rPr>
                <w:rFonts w:hint="eastAsia" w:ascii="宋体" w:hAnsi="宋体" w:eastAsia="宋体" w:cs="宋体"/>
                <w:sz w:val="21"/>
                <w:szCs w:val="21"/>
                <w:highlight w:val="none"/>
              </w:rPr>
            </w:r>
            <w:r/>
          </w:p>
          <w:p>
            <w:pPr>
              <w:pStyle w:val="953"/>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方案</w:t>
            </w:r>
            <w:r>
              <w:rPr>
                <w:rFonts w:hint="eastAsia" w:ascii="宋体" w:hAnsi="宋体" w:eastAsia="宋体" w:cs="宋体"/>
                <w:sz w:val="21"/>
                <w:szCs w:val="21"/>
                <w:highlight w:val="none"/>
              </w:rPr>
              <w:t xml:space="preserve">清晰、完整、可操作性强、贴合项目实际</w:t>
            </w:r>
            <w:r>
              <w:rPr>
                <w:rFonts w:hint="eastAsia" w:ascii="宋体" w:hAnsi="宋体" w:eastAsia="宋体" w:cs="宋体"/>
                <w:color w:val="000000"/>
                <w:sz w:val="21"/>
                <w:szCs w:val="21"/>
                <w:highlight w:val="none"/>
                <w:lang w:bidi="ar"/>
              </w:rPr>
              <w:t xml:space="preserve">的，得10分；分析方案</w:t>
            </w:r>
            <w:r>
              <w:rPr>
                <w:rFonts w:hint="eastAsia" w:ascii="宋体" w:hAnsi="宋体" w:eastAsia="宋体" w:cs="宋体"/>
                <w:sz w:val="21"/>
                <w:szCs w:val="21"/>
                <w:highlight w:val="none"/>
              </w:rPr>
              <w:t xml:space="preserve">清晰但尚不够完整和到位、基本贴合项目实际</w:t>
            </w:r>
            <w:r>
              <w:rPr>
                <w:rFonts w:hint="eastAsia" w:ascii="宋体" w:hAnsi="宋体" w:eastAsia="宋体" w:cs="宋体"/>
                <w:color w:val="000000"/>
                <w:sz w:val="21"/>
                <w:szCs w:val="21"/>
                <w:highlight w:val="none"/>
                <w:lang w:bidi="ar"/>
              </w:rPr>
              <w:t xml:space="preserve">的，得7分；分析方案</w:t>
            </w:r>
            <w:r>
              <w:rPr>
                <w:rFonts w:hint="eastAsia" w:ascii="宋体" w:hAnsi="宋体" w:eastAsia="宋体" w:cs="宋体"/>
                <w:sz w:val="21"/>
                <w:szCs w:val="21"/>
                <w:highlight w:val="none"/>
              </w:rPr>
              <w:t xml:space="preserve">理解泛化、不够清晰完整</w:t>
            </w:r>
            <w:r>
              <w:rPr>
                <w:rFonts w:hint="eastAsia" w:ascii="宋体" w:hAnsi="宋体" w:eastAsia="宋体" w:cs="宋体"/>
                <w:color w:val="000000"/>
                <w:sz w:val="21"/>
                <w:szCs w:val="21"/>
                <w:highlight w:val="none"/>
                <w:lang w:bidi="ar"/>
              </w:rPr>
              <w:t xml:space="preserve">的得4分；分析方案内容有缺失或有偏颇、有错位、与项目实际偏离较大，得1分；分析方案</w:t>
            </w:r>
            <w:r>
              <w:rPr>
                <w:rFonts w:hint="eastAsia" w:ascii="宋体" w:hAnsi="宋体" w:eastAsia="宋体" w:cs="宋体"/>
                <w:sz w:val="21"/>
                <w:szCs w:val="21"/>
                <w:highlight w:val="none"/>
              </w:rPr>
              <w:t xml:space="preserve">完全脱离项目实际或未提供分析方案</w:t>
            </w:r>
            <w:r>
              <w:rPr>
                <w:rFonts w:hint="eastAsia" w:ascii="宋体" w:hAnsi="宋体" w:eastAsia="宋体" w:cs="宋体"/>
                <w:color w:val="000000"/>
                <w:sz w:val="21"/>
                <w:szCs w:val="21"/>
                <w:highlight w:val="none"/>
                <w:lang w:bidi="ar"/>
              </w:rPr>
              <w:t xml:space="preserve">的不得分。</w:t>
            </w:r>
            <w:r>
              <w:rPr>
                <w:rFonts w:hint="eastAsia" w:ascii="宋体" w:hAnsi="宋体" w:eastAsia="宋体" w:cs="宋体"/>
                <w:sz w:val="21"/>
                <w:szCs w:val="21"/>
                <w:highlight w:val="none"/>
              </w:rPr>
            </w:r>
            <w:r/>
          </w:p>
        </w:tc>
        <w:tc>
          <w:tcPr>
            <w:tcW w:w="467" w:type="dxa"/>
            <w:vAlign w:val="center"/>
            <w:textDirection w:val="lrTb"/>
            <w:noWrap w:val="false"/>
          </w:tcPr>
          <w:p>
            <w:pPr>
              <w:pStyle w:val="953"/>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rHeight w:val="1439"/>
        </w:trPr>
        <w:tc>
          <w:tcPr>
            <w:tcW w:w="460" w:type="dxa"/>
            <w:vAlign w:val="center"/>
            <w:vMerge w:val="continue"/>
            <w:textDirection w:val="lrTb"/>
            <w:noWrap w:val="false"/>
          </w:tcPr>
          <w:p>
            <w:pPr>
              <w:pStyle w:val="953"/>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r>
            <w:r/>
          </w:p>
        </w:tc>
        <w:tc>
          <w:tcPr>
            <w:tcW w:w="585" w:type="dxa"/>
            <w:vAlign w:val="center"/>
            <w:textDirection w:val="lrTb"/>
            <w:noWrap w:val="false"/>
          </w:tcPr>
          <w:p>
            <w:pPr>
              <w:pStyle w:val="953"/>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拟投入项目评价工作组人员</w:t>
            </w:r>
            <w:r>
              <w:rPr>
                <w:rFonts w:hint="eastAsia" w:ascii="宋体" w:hAnsi="宋体" w:eastAsia="宋体" w:cs="宋体"/>
                <w:color w:val="000000"/>
                <w:sz w:val="21"/>
                <w:szCs w:val="21"/>
                <w:highlight w:val="none"/>
              </w:rPr>
            </w:r>
            <w:r/>
          </w:p>
        </w:tc>
        <w:tc>
          <w:tcPr>
            <w:tcW w:w="3486" w:type="dxa"/>
            <w:vAlign w:val="center"/>
            <w:textDirection w:val="lrTb"/>
            <w:noWrap w:val="false"/>
          </w:tcPr>
          <w:p>
            <w:pPr>
              <w:pStyle w:val="953"/>
              <w:ind w:left="0"/>
              <w:widowControl w:val="off"/>
              <w:rPr>
                <w:rFonts w:hint="eastAsia" w:ascii="宋体" w:hAnsi="宋体" w:eastAsia="宋体" w:cs="宋体"/>
                <w:sz w:val="21"/>
                <w:szCs w:val="21"/>
                <w:highlight w:val="none"/>
                <w:lang w:val="en-US" w:eastAsia="zh-CN"/>
              </w:rPr>
              <w:framePr w:vAnchor="margin" w:hAnchor="page" w:xAlign="center" w:y="1"/>
            </w:pPr>
            <w:r>
              <w:rPr>
                <w:rFonts w:hint="eastAsia" w:ascii="宋体" w:hAnsi="宋体" w:eastAsia="宋体" w:cs="宋体"/>
                <w:sz w:val="21"/>
                <w:szCs w:val="21"/>
                <w:highlight w:val="none"/>
              </w:rPr>
              <w:t xml:space="preserve">2023年1月1日起至今参加财政部门（或注册会计师协会）组织的绩效评价业务培训的，有1人次得1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分，最高</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r>
            <w:r/>
          </w:p>
          <w:p>
            <w:pPr>
              <w:pStyle w:val="953"/>
              <w:ind w:left="0"/>
              <w:widowControl w:val="off"/>
              <w:rPr>
                <w:rFonts w:hint="eastAsia" w:ascii="宋体" w:hAnsi="宋体" w:eastAsia="宋体" w:cs="宋体"/>
                <w:b/>
                <w:sz w:val="21"/>
                <w:szCs w:val="21"/>
                <w:highlight w:val="none"/>
              </w:rPr>
              <w:framePr w:vAnchor="margin" w:hAnchor="page" w:xAlign="center" w:y="1"/>
            </w:pPr>
            <w:r>
              <w:rPr>
                <w:rFonts w:hint="eastAsia" w:ascii="宋体" w:hAnsi="宋体" w:eastAsia="宋体" w:cs="宋体"/>
                <w:b/>
                <w:sz w:val="21"/>
                <w:szCs w:val="21"/>
                <w:highlight w:val="none"/>
              </w:rPr>
              <w:t xml:space="preserve">注：响应文件中须提供以上相关人员身份证扫描件、培训证书复印件并加盖响应单位公章，未提供不得分。</w:t>
            </w:r>
            <w:r>
              <w:rPr>
                <w:rFonts w:hint="eastAsia" w:ascii="宋体" w:hAnsi="宋体" w:eastAsia="宋体" w:cs="宋体"/>
                <w:b/>
                <w:sz w:val="21"/>
                <w:szCs w:val="21"/>
                <w:highlight w:val="none"/>
              </w:rPr>
            </w:r>
            <w:r/>
          </w:p>
        </w:tc>
        <w:tc>
          <w:tcPr>
            <w:tcW w:w="467" w:type="dxa"/>
            <w:vAlign w:val="center"/>
            <w:textDirection w:val="lrTb"/>
            <w:noWrap w:val="false"/>
          </w:tcPr>
          <w:p>
            <w:pPr>
              <w:pStyle w:val="953"/>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r>
      <w:tr>
        <w:trPr>
          <w:trHeight w:val="1742"/>
        </w:trPr>
        <w:tc>
          <w:tcPr>
            <w:tcW w:w="460" w:type="dxa"/>
            <w:vAlign w:val="center"/>
            <w:vMerge w:val="continue"/>
            <w:textDirection w:val="lrTb"/>
            <w:noWrap w:val="false"/>
          </w:tcPr>
          <w:p>
            <w:pPr>
              <w:pStyle w:val="953"/>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r>
            <w:r/>
          </w:p>
        </w:tc>
        <w:tc>
          <w:tcPr>
            <w:tcW w:w="585" w:type="dxa"/>
            <w:vAlign w:val="center"/>
            <w:textDirection w:val="lrTb"/>
            <w:noWrap w:val="false"/>
          </w:tcPr>
          <w:p>
            <w:pPr>
              <w:pStyle w:val="953"/>
              <w:ind w:left="0"/>
              <w:jc w:val="center"/>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rPr>
              <w:t xml:space="preserve">拟派的本项目服务人员</w:t>
            </w:r>
            <w:r>
              <w:rPr>
                <w:rFonts w:hint="eastAsia" w:ascii="宋体" w:hAnsi="宋体" w:eastAsia="宋体" w:cs="宋体"/>
                <w:sz w:val="21"/>
                <w:szCs w:val="21"/>
                <w:highlight w:val="none"/>
              </w:rPr>
            </w:r>
            <w:r/>
          </w:p>
        </w:tc>
        <w:tc>
          <w:tcPr>
            <w:tcW w:w="3486" w:type="dxa"/>
            <w:vAlign w:val="center"/>
            <w:textDirection w:val="lrTb"/>
            <w:noWrap w:val="false"/>
          </w:tcPr>
          <w:p>
            <w:pPr>
              <w:pStyle w:val="953"/>
              <w:ind w:left="0"/>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拟派的本项目服务人员中，每具备一名高级会计师或高级经济师得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分，每具备一名中级会计师或中级经济师得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分，本项最高得5分。</w:t>
            </w:r>
            <w:r>
              <w:rPr>
                <w:rFonts w:hint="eastAsia" w:ascii="宋体" w:hAnsi="宋体" w:eastAsia="宋体" w:cs="宋体"/>
                <w:color w:val="000000"/>
                <w:sz w:val="21"/>
                <w:szCs w:val="21"/>
                <w:highlight w:val="none"/>
              </w:rPr>
            </w:r>
            <w:r/>
          </w:p>
          <w:p>
            <w:pPr>
              <w:pStyle w:val="953"/>
              <w:ind w:left="0"/>
              <w:widowControl w:val="off"/>
              <w:rPr>
                <w:rFonts w:hint="eastAsia" w:ascii="宋体" w:hAnsi="宋体" w:eastAsia="宋体" w:cs="宋体"/>
                <w:b/>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注：响应文件中须提供相关人员身份证扫描件、证书复印件并加盖响应单位公章，未提供不得分。</w:t>
            </w:r>
            <w:r>
              <w:rPr>
                <w:rFonts w:hint="eastAsia" w:ascii="宋体" w:hAnsi="宋体" w:eastAsia="宋体" w:cs="宋体"/>
                <w:b/>
                <w:color w:val="000000"/>
                <w:sz w:val="21"/>
                <w:szCs w:val="21"/>
                <w:highlight w:val="none"/>
              </w:rPr>
            </w:r>
            <w:r/>
          </w:p>
        </w:tc>
        <w:tc>
          <w:tcPr>
            <w:tcW w:w="467" w:type="dxa"/>
            <w:vAlign w:val="center"/>
            <w:textDirection w:val="lrTb"/>
            <w:noWrap w:val="false"/>
          </w:tcPr>
          <w:p>
            <w:pPr>
              <w:pStyle w:val="953"/>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r>
      <w:tr>
        <w:trPr>
          <w:trHeight w:val="3631"/>
        </w:trPr>
        <w:tc>
          <w:tcPr>
            <w:tcW w:w="460" w:type="dxa"/>
            <w:vAlign w:val="center"/>
            <w:vMerge w:val="continue"/>
            <w:textDirection w:val="lrTb"/>
            <w:noWrap w:val="false"/>
          </w:tcPr>
          <w:p>
            <w:pPr>
              <w:pStyle w:val="953"/>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r>
            <w:r/>
          </w:p>
        </w:tc>
        <w:tc>
          <w:tcPr>
            <w:tcW w:w="585" w:type="dxa"/>
            <w:vAlign w:val="center"/>
            <w:textDirection w:val="lrTb"/>
            <w:noWrap w:val="false"/>
          </w:tcPr>
          <w:p>
            <w:pPr>
              <w:pStyle w:val="953"/>
              <w:ind w:left="0"/>
              <w:jc w:val="center"/>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▲拟派出项目组成员（固定1人打★之人员）评价</w:t>
            </w:r>
            <w:r>
              <w:rPr>
                <w:rFonts w:hint="eastAsia" w:ascii="宋体" w:hAnsi="宋体" w:eastAsia="宋体" w:cs="宋体"/>
                <w:sz w:val="21"/>
                <w:szCs w:val="21"/>
                <w:highlight w:val="none"/>
              </w:rPr>
            </w:r>
            <w:r/>
          </w:p>
        </w:tc>
        <w:tc>
          <w:tcPr>
            <w:tcW w:w="3486" w:type="dxa"/>
            <w:vAlign w:val="center"/>
            <w:textDirection w:val="lrTb"/>
            <w:noWrap w:val="false"/>
          </w:tcPr>
          <w:p>
            <w:pPr>
              <w:pStyle w:val="953"/>
              <w:ind w:left="0"/>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1.拟派的项目组固定成员中具备与本项目领域相关的项目经验，有一人有1个项目经验的得1分，有一人有2个项目经验的得2分，有一人有3个及以上项目经验的得3分（参与同一项目的人员不重复计分），本项最高6分。</w:t>
            </w:r>
            <w:r>
              <w:rPr>
                <w:rFonts w:hint="eastAsia" w:ascii="宋体" w:hAnsi="宋体" w:eastAsia="宋体" w:cs="宋体"/>
                <w:sz w:val="21"/>
                <w:szCs w:val="21"/>
                <w:highlight w:val="none"/>
              </w:rPr>
            </w:r>
            <w:r/>
          </w:p>
          <w:p>
            <w:pPr>
              <w:pStyle w:val="953"/>
              <w:ind w:left="0"/>
              <w:rPr>
                <w:rFonts w:hint="eastAsia" w:ascii="宋体" w:hAnsi="宋体" w:eastAsia="宋体" w:cs="宋体"/>
                <w:b/>
                <w:sz w:val="21"/>
                <w:szCs w:val="21"/>
                <w:highlight w:val="none"/>
              </w:rPr>
              <w:framePr w:vAnchor="margin" w:hAnchor="page" w:xAlign="center" w:y="1"/>
            </w:pPr>
            <w:r>
              <w:rPr>
                <w:rFonts w:hint="eastAsia" w:ascii="宋体" w:hAnsi="宋体" w:eastAsia="宋体" w:cs="宋体"/>
                <w:b/>
                <w:sz w:val="21"/>
                <w:szCs w:val="21"/>
                <w:highlight w:val="none"/>
              </w:rPr>
              <w:t xml:space="preserve">注：</w:t>
            </w:r>
            <w:r>
              <w:rPr>
                <w:rFonts w:hint="eastAsia" w:ascii="宋体" w:hAnsi="宋体" w:eastAsia="宋体" w:cs="宋体"/>
                <w:b/>
                <w:color w:val="000000"/>
                <w:sz w:val="21"/>
                <w:szCs w:val="21"/>
                <w:highlight w:val="none"/>
              </w:rPr>
              <w:t xml:space="preserve">响应文件中须</w:t>
            </w:r>
            <w:r>
              <w:rPr>
                <w:rFonts w:hint="eastAsia" w:ascii="宋体" w:hAnsi="宋体" w:eastAsia="宋体" w:cs="宋体"/>
                <w:b/>
                <w:sz w:val="21"/>
                <w:szCs w:val="21"/>
                <w:highlight w:val="none"/>
              </w:rPr>
              <w:t xml:space="preserve">提供上述人员身份证扫描件、参与相关项目履约验收资料复印件（证明材料中能体现拟派人员的名称）并加盖响应单位公章，不提供或不满足不得分。</w:t>
            </w:r>
            <w:r>
              <w:rPr>
                <w:rFonts w:hint="eastAsia" w:ascii="宋体" w:hAnsi="宋体" w:eastAsia="宋体" w:cs="宋体"/>
                <w:b/>
                <w:sz w:val="21"/>
                <w:szCs w:val="21"/>
                <w:highlight w:val="none"/>
              </w:rPr>
            </w:r>
            <w:r/>
          </w:p>
          <w:p>
            <w:pPr>
              <w:pStyle w:val="953"/>
              <w:ind w:left="0"/>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2.拟派的项目组固定成员中在专业期刊有发表与本项目领域相关论文或成果的，每有一项得1分，此项最高得3分。</w:t>
            </w:r>
            <w:r>
              <w:rPr>
                <w:rFonts w:hint="eastAsia" w:ascii="宋体" w:hAnsi="宋体" w:eastAsia="宋体" w:cs="宋体"/>
                <w:sz w:val="21"/>
                <w:szCs w:val="21"/>
                <w:highlight w:val="none"/>
              </w:rPr>
            </w:r>
            <w:r/>
          </w:p>
          <w:p>
            <w:pPr>
              <w:pStyle w:val="953"/>
              <w:ind w:left="0"/>
              <w:rPr>
                <w:rFonts w:hint="eastAsia" w:ascii="宋体" w:hAnsi="宋体" w:eastAsia="宋体" w:cs="宋体"/>
                <w:b/>
                <w:sz w:val="21"/>
                <w:szCs w:val="21"/>
                <w:highlight w:val="none"/>
              </w:rPr>
              <w:framePr w:vAnchor="margin" w:hAnchor="page" w:xAlign="center" w:y="1"/>
            </w:pPr>
            <w:r>
              <w:rPr>
                <w:rFonts w:hint="eastAsia" w:ascii="宋体" w:hAnsi="宋体" w:eastAsia="宋体" w:cs="宋体"/>
                <w:b/>
                <w:sz w:val="21"/>
                <w:szCs w:val="21"/>
                <w:highlight w:val="none"/>
              </w:rPr>
              <w:t xml:space="preserve">注：</w:t>
            </w:r>
            <w:r>
              <w:rPr>
                <w:rFonts w:hint="eastAsia" w:ascii="宋体" w:hAnsi="宋体" w:eastAsia="宋体" w:cs="宋体"/>
                <w:b/>
                <w:color w:val="000000"/>
                <w:sz w:val="21"/>
                <w:szCs w:val="21"/>
                <w:highlight w:val="none"/>
              </w:rPr>
              <w:t xml:space="preserve">响应文件中须</w:t>
            </w:r>
            <w:r>
              <w:rPr>
                <w:rFonts w:hint="eastAsia" w:ascii="宋体" w:hAnsi="宋体" w:eastAsia="宋体" w:cs="宋体"/>
                <w:b/>
                <w:sz w:val="21"/>
                <w:szCs w:val="21"/>
                <w:highlight w:val="none"/>
              </w:rPr>
              <w:t xml:space="preserve">提供上述人员身份证扫描件、相关证明复印件并加盖响应单位公章，不提供或不满足不得分。</w:t>
            </w:r>
            <w:r>
              <w:rPr>
                <w:rFonts w:hint="eastAsia" w:ascii="宋体" w:hAnsi="宋体" w:eastAsia="宋体" w:cs="宋体"/>
                <w:b/>
                <w:sz w:val="21"/>
                <w:szCs w:val="21"/>
                <w:highlight w:val="none"/>
              </w:rPr>
            </w:r>
            <w:r/>
          </w:p>
        </w:tc>
        <w:tc>
          <w:tcPr>
            <w:tcW w:w="467" w:type="dxa"/>
            <w:vAlign w:val="center"/>
            <w:textDirection w:val="lrTb"/>
            <w:noWrap w:val="false"/>
          </w:tcPr>
          <w:p>
            <w:pPr>
              <w:pStyle w:val="953"/>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r>
      <w:tr>
        <w:trPr>
          <w:trHeight w:val="983"/>
        </w:trPr>
        <w:tc>
          <w:tcPr>
            <w:tcW w:w="460" w:type="dxa"/>
            <w:vAlign w:val="center"/>
            <w:vMerge w:val="continue"/>
            <w:textDirection w:val="lrTb"/>
            <w:noWrap w:val="false"/>
          </w:tcPr>
          <w:p>
            <w:pPr>
              <w:pStyle w:val="953"/>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r>
            <w:r/>
          </w:p>
        </w:tc>
        <w:tc>
          <w:tcPr>
            <w:tcW w:w="585" w:type="dxa"/>
            <w:vAlign w:val="center"/>
            <w:textDirection w:val="lrTb"/>
            <w:noWrap w:val="false"/>
          </w:tcPr>
          <w:p>
            <w:pPr>
              <w:pStyle w:val="953"/>
              <w:ind w:left="0"/>
              <w:jc w:val="center"/>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▲类似业绩</w:t>
            </w:r>
            <w:r>
              <w:rPr>
                <w:rFonts w:hint="eastAsia" w:ascii="宋体" w:hAnsi="宋体" w:eastAsia="宋体" w:cs="宋体"/>
                <w:sz w:val="21"/>
                <w:szCs w:val="21"/>
                <w:highlight w:val="none"/>
              </w:rPr>
            </w:r>
            <w:r/>
          </w:p>
        </w:tc>
        <w:tc>
          <w:tcPr>
            <w:tcW w:w="3486" w:type="dxa"/>
            <w:vAlign w:val="center"/>
            <w:textDirection w:val="lrTb"/>
            <w:noWrap w:val="false"/>
          </w:tcPr>
          <w:p>
            <w:pPr>
              <w:pStyle w:val="953"/>
              <w:ind w:left="0"/>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供应商自2023年1月1日起至今签订的类似项目业绩，每提供一份得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分。此项累计加分最高8分。</w:t>
            </w:r>
            <w:r>
              <w:rPr>
                <w:rFonts w:hint="eastAsia" w:ascii="宋体" w:hAnsi="宋体" w:eastAsia="宋体" w:cs="宋体"/>
                <w:sz w:val="21"/>
                <w:szCs w:val="21"/>
                <w:highlight w:val="none"/>
              </w:rPr>
            </w:r>
            <w:r/>
          </w:p>
          <w:p>
            <w:pPr>
              <w:pStyle w:val="953"/>
              <w:ind w:left="0"/>
              <w:rPr>
                <w:rFonts w:hint="eastAsia" w:ascii="宋体" w:hAnsi="宋体" w:eastAsia="宋体" w:cs="宋体"/>
                <w:b/>
                <w:sz w:val="21"/>
                <w:szCs w:val="21"/>
                <w:highlight w:val="none"/>
              </w:rPr>
              <w:framePr w:vAnchor="margin" w:hAnchor="page" w:xAlign="center" w:y="1"/>
            </w:pPr>
            <w:r>
              <w:rPr>
                <w:rFonts w:hint="eastAsia" w:ascii="宋体" w:hAnsi="宋体" w:eastAsia="宋体" w:cs="宋体"/>
                <w:b/>
                <w:sz w:val="21"/>
                <w:szCs w:val="21"/>
                <w:highlight w:val="none"/>
              </w:rPr>
              <w:t xml:space="preserve">注：响应文件中须提供合同复印件并加盖响应单位公章，不提供不得分。类似业绩日期认定：以签订合同日期为准。</w:t>
            </w:r>
            <w:r>
              <w:rPr>
                <w:rFonts w:hint="eastAsia" w:ascii="宋体" w:hAnsi="宋体" w:eastAsia="宋体" w:cs="宋体"/>
                <w:b/>
                <w:sz w:val="21"/>
                <w:szCs w:val="21"/>
                <w:highlight w:val="none"/>
              </w:rPr>
            </w:r>
            <w:r/>
          </w:p>
        </w:tc>
        <w:tc>
          <w:tcPr>
            <w:tcW w:w="467" w:type="dxa"/>
            <w:vAlign w:val="center"/>
            <w:textDirection w:val="lrTb"/>
            <w:noWrap w:val="false"/>
          </w:tcPr>
          <w:p>
            <w:pPr>
              <w:pStyle w:val="953"/>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r>
    </w:tbl>
    <w:p>
      <w:pPr>
        <w:pStyle w:val="953"/>
        <w:ind w:left="0" w:firstLine="422"/>
        <w:spacing w:line="360" w:lineRule="auto"/>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t xml:space="preserve">备注：表格中▲为客观分。</w:t>
      </w:r>
      <w:r>
        <w:rPr>
          <w:rFonts w:hint="eastAsia" w:ascii="宋体" w:hAnsi="宋体" w:eastAsia="宋体" w:cs="宋体"/>
          <w:b/>
          <w:sz w:val="21"/>
          <w:szCs w:val="21"/>
          <w:highlight w:val="none"/>
          <w:lang w:bidi="ar"/>
        </w:rPr>
      </w:r>
      <w:r/>
    </w:p>
    <w:p>
      <w:pPr>
        <w:pStyle w:val="953"/>
        <w:ind w:firstLine="48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953"/>
        <w:ind w:firstLine="480"/>
        <w:spacing w:line="360" w:lineRule="auto"/>
        <w:rPr>
          <w:rFonts w:hint="eastAsia" w:ascii="宋体" w:hAnsi="宋体" w:eastAsia="宋体" w:cs="宋体"/>
          <w:b/>
          <w:sz w:val="21"/>
          <w:szCs w:val="21"/>
          <w:highlight w:val="none"/>
        </w:rPr>
      </w:pPr>
      <w:r>
        <w:rPr>
          <w:rFonts w:hint="eastAsia" w:ascii="宋体" w:hAnsi="宋体" w:eastAsia="宋体" w:cs="宋体"/>
          <w:b/>
          <w:bCs/>
          <w:sz w:val="21"/>
          <w:szCs w:val="21"/>
          <w:highlight w:val="none"/>
        </w:rPr>
        <w:t xml:space="preserve">采购包2评分标准：</w:t>
      </w:r>
      <w:r>
        <w:rPr>
          <w:rFonts w:hint="eastAsia" w:ascii="宋体" w:hAnsi="宋体" w:eastAsia="宋体" w:cs="宋体"/>
          <w:b/>
          <w:sz w:val="21"/>
          <w:szCs w:val="21"/>
          <w:highlight w:val="none"/>
        </w:rPr>
      </w:r>
      <w:r/>
    </w:p>
    <w:tbl>
      <w:tblPr>
        <w:tblpPr w:horzAnchor="text" w:tblpXSpec="center" w:vertAnchor="text" w:tblpY="1" w:leftFromText="180" w:topFromText="0" w:rightFromText="180" w:bottomFromText="0"/>
        <w:tblW w:w="516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1045"/>
        <w:gridCol w:w="6117"/>
        <w:gridCol w:w="823"/>
      </w:tblGrid>
      <w:tr>
        <w:trPr>
          <w:trHeight w:val="406"/>
        </w:trPr>
        <w:tc>
          <w:tcPr>
            <w:tcW w:w="466" w:type="dxa"/>
            <w:vAlign w:val="center"/>
            <w:textDirection w:val="lrTb"/>
            <w:noWrap w:val="false"/>
          </w:tcPr>
          <w:p>
            <w:pPr>
              <w:pStyle w:val="953"/>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评审类别</w:t>
            </w:r>
            <w:r>
              <w:rPr>
                <w:rFonts w:hint="eastAsia" w:ascii="宋体" w:hAnsi="宋体" w:eastAsia="宋体" w:cs="宋体"/>
                <w:b/>
                <w:bCs/>
                <w:color w:val="000000"/>
                <w:sz w:val="21"/>
                <w:szCs w:val="21"/>
                <w:highlight w:val="none"/>
              </w:rPr>
            </w:r>
            <w:r/>
          </w:p>
        </w:tc>
        <w:tc>
          <w:tcPr>
            <w:tcW w:w="593" w:type="dxa"/>
            <w:vAlign w:val="center"/>
            <w:textDirection w:val="lrTb"/>
            <w:noWrap w:val="false"/>
          </w:tcPr>
          <w:p>
            <w:pPr>
              <w:pStyle w:val="953"/>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评审项</w:t>
            </w:r>
            <w:r>
              <w:rPr>
                <w:rFonts w:hint="eastAsia" w:ascii="宋体" w:hAnsi="宋体" w:eastAsia="宋体" w:cs="宋体"/>
                <w:b/>
                <w:bCs/>
                <w:color w:val="000000"/>
                <w:sz w:val="21"/>
                <w:szCs w:val="21"/>
                <w:highlight w:val="none"/>
              </w:rPr>
            </w:r>
            <w:r/>
          </w:p>
        </w:tc>
        <w:tc>
          <w:tcPr>
            <w:tcW w:w="3472" w:type="dxa"/>
            <w:vAlign w:val="center"/>
            <w:textDirection w:val="lrTb"/>
            <w:noWrap w:val="false"/>
          </w:tcPr>
          <w:p>
            <w:pPr>
              <w:pStyle w:val="953"/>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评审规则</w:t>
            </w:r>
            <w:r>
              <w:rPr>
                <w:rFonts w:hint="eastAsia" w:ascii="宋体" w:hAnsi="宋体" w:eastAsia="宋体" w:cs="宋体"/>
                <w:b/>
                <w:bCs/>
                <w:color w:val="000000"/>
                <w:sz w:val="21"/>
                <w:szCs w:val="21"/>
                <w:highlight w:val="none"/>
              </w:rPr>
            </w:r>
            <w:r/>
          </w:p>
        </w:tc>
        <w:tc>
          <w:tcPr>
            <w:tcW w:w="467" w:type="dxa"/>
            <w:vAlign w:val="center"/>
            <w:textDirection w:val="lrTb"/>
            <w:noWrap w:val="false"/>
          </w:tcPr>
          <w:p>
            <w:pPr>
              <w:pStyle w:val="953"/>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分值（分）</w:t>
            </w:r>
            <w:r>
              <w:rPr>
                <w:rFonts w:hint="eastAsia" w:ascii="宋体" w:hAnsi="宋体" w:eastAsia="宋体" w:cs="宋体"/>
                <w:b/>
                <w:bCs/>
                <w:color w:val="000000"/>
                <w:sz w:val="21"/>
                <w:szCs w:val="21"/>
                <w:highlight w:val="none"/>
              </w:rPr>
            </w:r>
            <w:r/>
          </w:p>
        </w:tc>
      </w:tr>
      <w:tr>
        <w:trPr>
          <w:trHeight w:val="2382"/>
        </w:trPr>
        <w:tc>
          <w:tcPr>
            <w:tcW w:w="466" w:type="dxa"/>
            <w:vAlign w:val="center"/>
            <w:textDirection w:val="lrTb"/>
            <w:noWrap w:val="false"/>
          </w:tcPr>
          <w:p>
            <w:pPr>
              <w:pStyle w:val="953"/>
              <w:ind w:left="0"/>
              <w:jc w:val="center"/>
              <w:widowControl w:val="off"/>
              <w:rPr>
                <w:rFonts w:hint="eastAsia" w:ascii="宋体" w:hAnsi="宋体" w:eastAsia="宋体" w:cs="宋体"/>
                <w:b/>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价格部分</w:t>
            </w:r>
            <w:r>
              <w:rPr>
                <w:rFonts w:hint="eastAsia" w:ascii="宋体" w:hAnsi="宋体" w:eastAsia="宋体" w:cs="宋体"/>
                <w:b/>
                <w:color w:val="000000"/>
                <w:sz w:val="21"/>
                <w:szCs w:val="21"/>
                <w:highlight w:val="none"/>
              </w:rPr>
            </w:r>
            <w:r/>
          </w:p>
          <w:p>
            <w:pPr>
              <w:pStyle w:val="953"/>
              <w:ind w:left="0"/>
              <w:jc w:val="center"/>
              <w:widowControl w:val="off"/>
              <w:rPr>
                <w:rFonts w:hint="eastAsia" w:ascii="宋体" w:hAnsi="宋体" w:eastAsia="宋体" w:cs="宋体"/>
                <w:b/>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（10分）</w:t>
            </w:r>
            <w:r>
              <w:rPr>
                <w:rFonts w:hint="eastAsia" w:ascii="宋体" w:hAnsi="宋体" w:eastAsia="宋体" w:cs="宋体"/>
                <w:b/>
                <w:color w:val="000000"/>
                <w:sz w:val="21"/>
                <w:szCs w:val="21"/>
                <w:highlight w:val="none"/>
              </w:rPr>
            </w:r>
            <w:r/>
          </w:p>
        </w:tc>
        <w:tc>
          <w:tcPr>
            <w:tcW w:w="593" w:type="dxa"/>
            <w:vAlign w:val="center"/>
            <w:textDirection w:val="lrTb"/>
            <w:noWrap w:val="false"/>
          </w:tcPr>
          <w:p>
            <w:pPr>
              <w:pStyle w:val="953"/>
              <w:ind w:left="0"/>
              <w:jc w:val="center"/>
              <w:widowControl w:val="off"/>
              <w:rPr>
                <w:rFonts w:hint="eastAsia" w:ascii="宋体" w:hAnsi="宋体" w:eastAsia="宋体" w:cs="宋体"/>
                <w:bCs/>
                <w:color w:val="000000"/>
                <w:sz w:val="21"/>
                <w:szCs w:val="21"/>
                <w:highlight w:val="none"/>
              </w:rPr>
              <w:framePr w:vAnchor="margin" w:hAnchor="page" w:xAlign="center" w:y="1"/>
            </w:pPr>
            <w:r>
              <w:rPr>
                <w:rFonts w:hint="eastAsia" w:ascii="宋体" w:hAnsi="宋体" w:eastAsia="宋体" w:cs="宋体"/>
                <w:bCs/>
                <w:color w:val="000000"/>
                <w:sz w:val="21"/>
                <w:szCs w:val="21"/>
                <w:highlight w:val="none"/>
              </w:rPr>
              <w:t xml:space="preserve">响应报价</w:t>
            </w:r>
            <w:r>
              <w:rPr>
                <w:rFonts w:hint="eastAsia" w:ascii="宋体" w:hAnsi="宋体" w:eastAsia="宋体" w:cs="宋体"/>
                <w:bCs/>
                <w:color w:val="000000"/>
                <w:sz w:val="21"/>
                <w:szCs w:val="21"/>
                <w:highlight w:val="none"/>
              </w:rPr>
            </w:r>
            <w:r/>
          </w:p>
        </w:tc>
        <w:tc>
          <w:tcPr>
            <w:tcW w:w="3472" w:type="dxa"/>
            <w:vAlign w:val="center"/>
            <w:textDirection w:val="lrTb"/>
            <w:noWrap w:val="false"/>
          </w:tcPr>
          <w:p>
            <w:pPr>
              <w:pStyle w:val="953"/>
              <w:ind w:left="0"/>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bidi="ar"/>
              </w:rPr>
              <w:t xml:space="preserve">第一步：响应报价低于或等于财政预算价格（或最高限价）的，为有效响应报价。超财政预算（或最高限价）的响应报价为无效响应报价。</w:t>
            </w:r>
            <w:r>
              <w:rPr>
                <w:rFonts w:hint="eastAsia" w:ascii="宋体" w:hAnsi="宋体" w:eastAsia="宋体" w:cs="宋体"/>
                <w:color w:val="000000"/>
                <w:sz w:val="21"/>
                <w:szCs w:val="21"/>
                <w:highlight w:val="none"/>
                <w:lang w:bidi="ar"/>
              </w:rPr>
            </w:r>
            <w:r/>
          </w:p>
          <w:p>
            <w:pPr>
              <w:pStyle w:val="953"/>
              <w:ind w:left="0"/>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bidi="ar"/>
              </w:rPr>
              <w:t xml:space="preserve">第二步：在所有有效响应报价中满足</w:t>
            </w:r>
            <w:r>
              <w:rPr>
                <w:rFonts w:hint="eastAsia" w:ascii="宋体" w:hAnsi="宋体" w:eastAsia="宋体" w:cs="宋体"/>
                <w:sz w:val="21"/>
                <w:szCs w:val="21"/>
                <w:highlight w:val="none"/>
              </w:rPr>
              <w:t xml:space="preserve">采购</w:t>
            </w:r>
            <w:r>
              <w:rPr>
                <w:rFonts w:hint="eastAsia" w:ascii="宋体" w:hAnsi="宋体" w:eastAsia="宋体" w:cs="宋体"/>
                <w:color w:val="000000"/>
                <w:sz w:val="21"/>
                <w:szCs w:val="21"/>
                <w:highlight w:val="none"/>
                <w:lang w:bidi="ar"/>
              </w:rPr>
              <w:t xml:space="preserve">文件要求，且响应价格最低的响应报价为评标基准价，其他供应商的价格分按照下列公式计算（计算结果四舍五入保留两位小数）。</w:t>
            </w:r>
            <w:r>
              <w:rPr>
                <w:rFonts w:hint="eastAsia" w:ascii="宋体" w:hAnsi="宋体" w:eastAsia="宋体" w:cs="宋体"/>
                <w:color w:val="000000"/>
                <w:sz w:val="21"/>
                <w:szCs w:val="21"/>
                <w:highlight w:val="none"/>
                <w:lang w:bidi="ar"/>
              </w:rPr>
            </w:r>
            <w:r/>
          </w:p>
          <w:p>
            <w:pPr>
              <w:pStyle w:val="953"/>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响应报价得分＝（评标基准价/响应报价）×10％×100</w:t>
            </w:r>
            <w:r>
              <w:rPr>
                <w:rFonts w:hint="eastAsia" w:ascii="宋体" w:hAnsi="宋体" w:eastAsia="宋体" w:cs="宋体"/>
                <w:sz w:val="21"/>
                <w:szCs w:val="21"/>
                <w:highlight w:val="none"/>
              </w:rPr>
            </w:r>
            <w:r/>
          </w:p>
        </w:tc>
        <w:tc>
          <w:tcPr>
            <w:tcW w:w="467" w:type="dxa"/>
            <w:vAlign w:val="center"/>
            <w:textDirection w:val="lrTb"/>
            <w:noWrap w:val="false"/>
          </w:tcPr>
          <w:p>
            <w:pPr>
              <w:pStyle w:val="953"/>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10</w:t>
            </w:r>
            <w:r>
              <w:rPr>
                <w:rFonts w:hint="eastAsia" w:ascii="宋体" w:hAnsi="宋体" w:eastAsia="宋体" w:cs="宋体"/>
                <w:color w:val="000000"/>
                <w:sz w:val="21"/>
                <w:szCs w:val="21"/>
                <w:highlight w:val="none"/>
              </w:rPr>
            </w:r>
            <w:r/>
          </w:p>
        </w:tc>
      </w:tr>
      <w:tr>
        <w:trPr>
          <w:trHeight w:val="2744"/>
        </w:trPr>
        <w:tc>
          <w:tcPr>
            <w:tcW w:w="466" w:type="dxa"/>
            <w:vAlign w:val="center"/>
            <w:vMerge w:val="restart"/>
            <w:textDirection w:val="lrTb"/>
            <w:noWrap w:val="false"/>
          </w:tcPr>
          <w:p>
            <w:pPr>
              <w:pStyle w:val="953"/>
              <w:ind w:left="0"/>
              <w:jc w:val="center"/>
              <w:widowControl w:val="off"/>
              <w:rPr>
                <w:rFonts w:hint="eastAsia" w:ascii="宋体" w:hAnsi="宋体" w:eastAsia="宋体" w:cs="宋体"/>
                <w:b/>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t xml:space="preserve">技术及商务部分（90分）</w:t>
            </w:r>
            <w:r>
              <w:rPr>
                <w:rFonts w:hint="eastAsia" w:ascii="宋体" w:hAnsi="宋体" w:eastAsia="宋体" w:cs="宋体"/>
                <w:b/>
                <w:color w:val="000000"/>
                <w:sz w:val="21"/>
                <w:szCs w:val="21"/>
                <w:highlight w:val="none"/>
              </w:rPr>
            </w:r>
            <w:r/>
          </w:p>
        </w:tc>
        <w:tc>
          <w:tcPr>
            <w:tcW w:w="593" w:type="dxa"/>
            <w:vAlign w:val="center"/>
            <w:textDirection w:val="lrTb"/>
            <w:noWrap w:val="false"/>
          </w:tcPr>
          <w:p>
            <w:pPr>
              <w:pStyle w:val="953"/>
              <w:ind w:left="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bCs/>
                <w:sz w:val="21"/>
                <w:szCs w:val="21"/>
                <w:highlight w:val="none"/>
              </w:rPr>
              <w:t xml:space="preserve">项目评价总体分析</w:t>
            </w:r>
            <w:r>
              <w:rPr>
                <w:rFonts w:hint="eastAsia" w:ascii="宋体" w:hAnsi="宋体" w:eastAsia="宋体" w:cs="宋体"/>
                <w:color w:val="000000"/>
                <w:sz w:val="21"/>
                <w:szCs w:val="21"/>
                <w:highlight w:val="none"/>
              </w:rPr>
            </w:r>
            <w:r/>
          </w:p>
        </w:tc>
        <w:tc>
          <w:tcPr>
            <w:tcW w:w="3472" w:type="dxa"/>
            <w:vAlign w:val="center"/>
            <w:textDirection w:val="lrTb"/>
            <w:noWrap w:val="false"/>
          </w:tcPr>
          <w:p>
            <w:pPr>
              <w:pStyle w:val="953"/>
              <w:ind w:left="0"/>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bidi="ar"/>
              </w:rPr>
              <w:t xml:space="preserve">供应商需根据提供的</w:t>
            </w:r>
            <w:r>
              <w:rPr>
                <w:rFonts w:hint="eastAsia" w:ascii="宋体" w:hAnsi="宋体" w:eastAsia="宋体" w:cs="宋体"/>
                <w:b/>
                <w:bCs/>
                <w:color w:val="000000"/>
                <w:sz w:val="21"/>
                <w:szCs w:val="21"/>
                <w:highlight w:val="none"/>
                <w:lang w:bidi="ar"/>
              </w:rPr>
              <w:t xml:space="preserve">新质生产力集成政策</w:t>
            </w:r>
            <w:r>
              <w:rPr>
                <w:rFonts w:hint="eastAsia" w:ascii="宋体" w:hAnsi="宋体" w:eastAsia="宋体" w:cs="宋体"/>
                <w:color w:val="000000"/>
                <w:sz w:val="21"/>
                <w:szCs w:val="21"/>
                <w:highlight w:val="none"/>
                <w:lang w:bidi="ar"/>
              </w:rPr>
              <w:t xml:space="preserve">项目情况，书面分析对项目开展绩效重点评价的评价目的、评价思路、评价要点、评价方法。（25分）</w:t>
            </w:r>
            <w:r>
              <w:rPr>
                <w:rFonts w:hint="eastAsia" w:ascii="宋体" w:hAnsi="宋体" w:eastAsia="宋体" w:cs="宋体"/>
                <w:color w:val="000000"/>
                <w:sz w:val="21"/>
                <w:szCs w:val="21"/>
                <w:highlight w:val="none"/>
                <w:lang w:bidi="ar"/>
              </w:rPr>
            </w:r>
            <w:r/>
          </w:p>
          <w:p>
            <w:pPr>
              <w:pStyle w:val="953"/>
              <w:numPr>
                <w:ilvl w:val="0"/>
                <w:numId w:val="0"/>
              </w:numPr>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bidi="ar"/>
              </w:rPr>
              <w:t xml:space="preserve">（1）对书面分析报告中的评价目的、评价思路的理解掌握情况进行评分。对本项目评价目的及思路的理解清晰、精准、到位的得7分；对本项目评价目的及思路的理解清晰全面但尚不够精准和到位的得5分；对本项目评价目的及思路的理解泛化、不够准确的得3分；对本项目评价目的或思路的理解内容有缺失或有偏颇、有错位的得1分；无评价目的及思路分析的不得分。（7分）</w:t>
            </w:r>
            <w:r>
              <w:rPr>
                <w:rFonts w:hint="eastAsia" w:ascii="宋体" w:hAnsi="宋体" w:eastAsia="宋体" w:cs="宋体"/>
                <w:color w:val="000000"/>
                <w:sz w:val="21"/>
                <w:szCs w:val="21"/>
                <w:highlight w:val="none"/>
                <w:lang w:bidi="ar"/>
              </w:rPr>
            </w:r>
            <w:r/>
          </w:p>
          <w:p>
            <w:pPr>
              <w:pStyle w:val="953"/>
              <w:ind w:left="0"/>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bidi="ar"/>
              </w:rPr>
              <w:t xml:space="preserve">（2）对评价关注要点的分析精准到位、理解全面深刻、贴合项目实际的得8分；对评价要点的分析理解清晰全面但尚不够精准和到位、基本贴合项目实际的得6分；对评价要点的分析理解泛化、不够准确、不够全面的得4分；对评价要点的分析理解内容有缺失或有偏颇、有错位、与项目实际偏离较大的得2分；对评价要点的分析完全脱离项目实际或未作评估要点分析的不得分。（8分）</w:t>
            </w:r>
            <w:r>
              <w:rPr>
                <w:rFonts w:hint="eastAsia" w:ascii="宋体" w:hAnsi="宋体" w:eastAsia="宋体" w:cs="宋体"/>
                <w:color w:val="000000"/>
                <w:sz w:val="21"/>
                <w:szCs w:val="21"/>
                <w:highlight w:val="none"/>
                <w:lang w:bidi="ar"/>
              </w:rPr>
            </w:r>
            <w:r/>
          </w:p>
          <w:p>
            <w:pPr>
              <w:pStyle w:val="953"/>
              <w:ind w:left="0"/>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bidi="ar"/>
              </w:rPr>
              <w:t xml:space="preserve">（3）评审小组对采用的评价方法进行评分。对评价方法的选取逻辑清晰、精准到位、贴合项目实际、可操作性强的得10分；对评价方法的选取逻辑清晰但尚不够精准和到位、基本贴合项目实际的得7分；对评价方法的选取理解泛化、不够准确、可操作性不强的得4分；对评价方法的选取理解有偏颇或有错位、与项目实际偏离较大的得1分；对评价方法的选取完全脱离项目实际或未作评估方法陈述的不得分。（10分）</w:t>
            </w:r>
            <w:r>
              <w:rPr>
                <w:rFonts w:hint="eastAsia" w:ascii="宋体" w:hAnsi="宋体" w:eastAsia="宋体" w:cs="宋体"/>
                <w:color w:val="000000"/>
                <w:sz w:val="21"/>
                <w:szCs w:val="21"/>
                <w:highlight w:val="none"/>
                <w:lang w:bidi="ar"/>
              </w:rPr>
            </w:r>
            <w:r/>
          </w:p>
        </w:tc>
        <w:tc>
          <w:tcPr>
            <w:tcW w:w="467" w:type="dxa"/>
            <w:vAlign w:val="center"/>
            <w:textDirection w:val="lrTb"/>
            <w:noWrap w:val="false"/>
          </w:tcPr>
          <w:p>
            <w:pPr>
              <w:pStyle w:val="953"/>
              <w:ind w:left="0"/>
              <w:jc w:val="center"/>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25</w:t>
            </w:r>
            <w:r>
              <w:rPr>
                <w:rFonts w:hint="eastAsia" w:ascii="宋体" w:hAnsi="宋体" w:eastAsia="宋体" w:cs="宋体"/>
                <w:sz w:val="21"/>
                <w:szCs w:val="21"/>
                <w:highlight w:val="none"/>
              </w:rPr>
            </w:r>
            <w:r/>
          </w:p>
        </w:tc>
      </w:tr>
      <w:tr>
        <w:trPr>
          <w:trHeight w:val="3395"/>
        </w:trPr>
        <w:tc>
          <w:tcPr>
            <w:tcW w:w="466" w:type="dxa"/>
            <w:vAlign w:val="center"/>
            <w:vMerge w:val="continue"/>
            <w:textDirection w:val="lrTb"/>
            <w:noWrap w:val="false"/>
          </w:tcPr>
          <w:p>
            <w:pPr>
              <w:pStyle w:val="953"/>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r>
            <w:r/>
          </w:p>
        </w:tc>
        <w:tc>
          <w:tcPr>
            <w:tcW w:w="593" w:type="dxa"/>
            <w:vAlign w:val="center"/>
            <w:textDirection w:val="lrTb"/>
            <w:noWrap w:val="false"/>
          </w:tcPr>
          <w:p>
            <w:pPr>
              <w:pStyle w:val="953"/>
              <w:ind w:left="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评价组织实施计划</w:t>
            </w:r>
            <w:r>
              <w:rPr>
                <w:rFonts w:hint="eastAsia" w:ascii="宋体" w:hAnsi="宋体" w:eastAsia="宋体" w:cs="宋体"/>
                <w:color w:val="000000"/>
                <w:sz w:val="21"/>
                <w:szCs w:val="21"/>
                <w:highlight w:val="none"/>
              </w:rPr>
            </w:r>
            <w:r/>
          </w:p>
        </w:tc>
        <w:tc>
          <w:tcPr>
            <w:tcW w:w="3472" w:type="dxa"/>
            <w:vAlign w:val="center"/>
            <w:textDirection w:val="lrTb"/>
            <w:noWrap w:val="false"/>
          </w:tcPr>
          <w:p>
            <w:pPr>
              <w:pStyle w:val="953"/>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评价工作涉及环节为项目前期调研、评价方案制定、数据采集复核、问卷调查访谈、评价报告撰写。供应商需明确在评价工作涉及环节，项目组成员的任务分工以及各环节时间节点安排。（6分）</w:t>
            </w:r>
            <w:r>
              <w:rPr>
                <w:rFonts w:hint="eastAsia" w:ascii="宋体" w:hAnsi="宋体" w:eastAsia="宋体" w:cs="宋体"/>
                <w:sz w:val="21"/>
                <w:szCs w:val="21"/>
                <w:highlight w:val="none"/>
              </w:rPr>
            </w:r>
            <w:r/>
          </w:p>
          <w:p>
            <w:pPr>
              <w:pStyle w:val="953"/>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项目组成员任务分工清晰完整、时间节点安排周密合理、可行性强、贴合项目实际的得6分；项目组成员任务分工清晰但尚不够完整、时间节点安排尚不够周密合理、基本贴合项目实际的得4分；项目组成员任务分工不够清晰完整、时间节点安排不够周密合理、可行性不强的得2分；组织实施计划完全脱离项目实际或未作项目组成员任务分工、未作时间节点安排的不得分。</w:t>
            </w:r>
            <w:r>
              <w:rPr>
                <w:rFonts w:hint="eastAsia" w:ascii="宋体" w:hAnsi="宋体" w:eastAsia="宋体" w:cs="宋体"/>
                <w:sz w:val="21"/>
                <w:szCs w:val="21"/>
                <w:highlight w:val="none"/>
              </w:rPr>
            </w:r>
            <w:r/>
          </w:p>
        </w:tc>
        <w:tc>
          <w:tcPr>
            <w:tcW w:w="467" w:type="dxa"/>
            <w:vAlign w:val="center"/>
            <w:textDirection w:val="lrTb"/>
            <w:noWrap w:val="false"/>
          </w:tcPr>
          <w:p>
            <w:pPr>
              <w:pStyle w:val="953"/>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r>
      <w:tr>
        <w:trPr>
          <w:trHeight w:val="5913"/>
        </w:trPr>
        <w:tc>
          <w:tcPr>
            <w:tcW w:w="466" w:type="dxa"/>
            <w:vAlign w:val="center"/>
            <w:vMerge w:val="continue"/>
            <w:textDirection w:val="lrTb"/>
            <w:noWrap w:val="false"/>
          </w:tcPr>
          <w:p>
            <w:pPr>
              <w:pStyle w:val="953"/>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r>
            <w:r/>
          </w:p>
        </w:tc>
        <w:tc>
          <w:tcPr>
            <w:tcW w:w="593" w:type="dxa"/>
            <w:vAlign w:val="center"/>
            <w:textDirection w:val="lrTb"/>
            <w:noWrap w:val="false"/>
          </w:tcPr>
          <w:p>
            <w:pPr>
              <w:pStyle w:val="953"/>
              <w:ind w:left="0"/>
              <w:jc w:val="center"/>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bCs/>
                <w:sz w:val="21"/>
                <w:szCs w:val="21"/>
                <w:highlight w:val="none"/>
              </w:rPr>
              <w:t xml:space="preserve">评价指标体系</w:t>
            </w:r>
            <w:r>
              <w:rPr>
                <w:rFonts w:hint="eastAsia" w:ascii="宋体" w:hAnsi="宋体" w:eastAsia="宋体" w:cs="宋体"/>
                <w:color w:val="000000"/>
                <w:sz w:val="21"/>
                <w:szCs w:val="21"/>
                <w:highlight w:val="none"/>
                <w:lang w:bidi="ar"/>
              </w:rPr>
            </w:r>
            <w:r/>
          </w:p>
        </w:tc>
        <w:tc>
          <w:tcPr>
            <w:tcW w:w="3472" w:type="dxa"/>
            <w:vAlign w:val="center"/>
            <w:textDirection w:val="lrTb"/>
            <w:noWrap w:val="false"/>
          </w:tcPr>
          <w:p>
            <w:pPr>
              <w:pStyle w:val="953"/>
              <w:ind w:left="0"/>
              <w:widowControl w:val="off"/>
              <w:rPr>
                <w:rFonts w:hint="eastAsia" w:ascii="宋体" w:hAnsi="宋体" w:eastAsia="宋体" w:cs="宋体"/>
                <w:bCs/>
                <w:sz w:val="21"/>
                <w:szCs w:val="21"/>
                <w:highlight w:val="none"/>
              </w:rPr>
              <w:framePr w:vAnchor="margin" w:hAnchor="page" w:xAlign="center" w:y="1"/>
            </w:pPr>
            <w:r>
              <w:rPr>
                <w:rFonts w:hint="eastAsia" w:ascii="宋体" w:hAnsi="宋体" w:eastAsia="宋体" w:cs="宋体"/>
                <w:bCs/>
                <w:sz w:val="21"/>
                <w:szCs w:val="21"/>
                <w:highlight w:val="none"/>
              </w:rPr>
              <w:t xml:space="preserve">供应商需根据提供的项目情况设计绩效评价指标体系，阐述指标体系设计思路、设计要点，以表格形式展示指标体系。（24分）</w:t>
            </w:r>
            <w:r>
              <w:rPr>
                <w:rFonts w:hint="eastAsia" w:ascii="宋体" w:hAnsi="宋体" w:eastAsia="宋体" w:cs="宋体"/>
                <w:bCs/>
                <w:sz w:val="21"/>
                <w:szCs w:val="21"/>
                <w:highlight w:val="none"/>
              </w:rPr>
            </w:r>
            <w:r/>
          </w:p>
          <w:p>
            <w:pPr>
              <w:pStyle w:val="953"/>
              <w:ind w:left="0"/>
              <w:widowControl w:val="off"/>
              <w:rPr>
                <w:rFonts w:hint="eastAsia" w:ascii="宋体" w:hAnsi="宋体" w:eastAsia="宋体" w:cs="宋体"/>
                <w:bCs/>
                <w:sz w:val="21"/>
                <w:szCs w:val="21"/>
                <w:highlight w:val="none"/>
              </w:rPr>
              <w:framePr w:vAnchor="margin" w:hAnchor="page" w:xAlign="center" w:y="1"/>
            </w:pPr>
            <w:r>
              <w:rPr>
                <w:rFonts w:hint="eastAsia" w:ascii="宋体" w:hAnsi="宋体" w:eastAsia="宋体" w:cs="宋体"/>
                <w:bCs/>
                <w:sz w:val="21"/>
                <w:szCs w:val="21"/>
                <w:highlight w:val="none"/>
              </w:rPr>
              <w:t xml:space="preserve">（1）对指标体系设计思路、设计要点进行评分。</w:t>
            </w:r>
            <w:r>
              <w:rPr>
                <w:rFonts w:hint="eastAsia" w:ascii="宋体" w:hAnsi="宋体" w:eastAsia="宋体" w:cs="宋体"/>
                <w:color w:val="000000"/>
                <w:sz w:val="21"/>
                <w:szCs w:val="21"/>
                <w:highlight w:val="none"/>
                <w:lang w:bidi="ar"/>
              </w:rPr>
              <w:t xml:space="preserve">（12分）</w:t>
            </w:r>
            <w:r>
              <w:rPr>
                <w:rFonts w:hint="eastAsia" w:ascii="宋体" w:hAnsi="宋体" w:eastAsia="宋体" w:cs="宋体"/>
                <w:bCs/>
                <w:sz w:val="21"/>
                <w:szCs w:val="21"/>
                <w:highlight w:val="none"/>
              </w:rPr>
            </w:r>
            <w:r/>
          </w:p>
          <w:p>
            <w:pPr>
              <w:pStyle w:val="953"/>
              <w:ind w:left="0"/>
              <w:widowControl w:val="off"/>
              <w:rPr>
                <w:rFonts w:hint="eastAsia" w:ascii="宋体" w:hAnsi="宋体" w:eastAsia="宋体" w:cs="宋体"/>
                <w:bCs/>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指标体系贴合项目实际，设计思路和设计要点条理清楚、逻辑完整，得12分；指标体系基本契合项目实际，设计思路和设计要点陈述清晰但尚不够逻辑完整，得8分；对指标体系的设计思路、设计要点的理解泛化、不够准确到位的，得4分；对指标体系的设计思路、设计要点的理解内容有缺失或有偏颇、有错位的、与项目实际偏离较大的，得1分；指标体系的设计思路、设计要点完全脱离项目实际或未提供指标体系设计思路、设计要点的不得分。</w:t>
            </w:r>
            <w:r>
              <w:rPr>
                <w:rFonts w:hint="eastAsia" w:ascii="宋体" w:hAnsi="宋体" w:eastAsia="宋体" w:cs="宋体"/>
                <w:bCs/>
                <w:sz w:val="21"/>
                <w:szCs w:val="21"/>
                <w:highlight w:val="none"/>
              </w:rPr>
            </w:r>
            <w:r/>
          </w:p>
          <w:p>
            <w:pPr>
              <w:pStyle w:val="953"/>
              <w:ind w:left="0"/>
              <w:widowControl w:val="off"/>
              <w:rPr>
                <w:rFonts w:hint="eastAsia" w:ascii="宋体" w:hAnsi="宋体" w:eastAsia="宋体" w:cs="宋体"/>
                <w:bCs/>
                <w:sz w:val="21"/>
                <w:szCs w:val="21"/>
                <w:highlight w:val="none"/>
              </w:rPr>
              <w:framePr w:vAnchor="margin" w:hAnchor="page" w:xAlign="center" w:y="1"/>
            </w:pPr>
            <w:r>
              <w:rPr>
                <w:rFonts w:hint="eastAsia" w:ascii="宋体" w:hAnsi="宋体" w:eastAsia="宋体" w:cs="宋体"/>
                <w:bCs/>
                <w:sz w:val="21"/>
                <w:szCs w:val="21"/>
                <w:highlight w:val="none"/>
              </w:rPr>
              <w:t xml:space="preserve">（2）对指标体系科学性、指标权重合理性、指标解释及公式明确性进行评分。（12分）</w:t>
            </w:r>
            <w:r>
              <w:rPr>
                <w:rFonts w:hint="eastAsia" w:ascii="宋体" w:hAnsi="宋体" w:eastAsia="宋体" w:cs="宋体"/>
                <w:bCs/>
                <w:sz w:val="21"/>
                <w:szCs w:val="21"/>
                <w:highlight w:val="none"/>
              </w:rPr>
            </w:r>
            <w:r/>
          </w:p>
          <w:p>
            <w:pPr>
              <w:pStyle w:val="953"/>
              <w:ind w:left="0"/>
              <w:widowControl w:val="off"/>
              <w:rPr>
                <w:rFonts w:hint="eastAsia" w:ascii="宋体" w:hAnsi="宋体" w:eastAsia="宋体" w:cs="宋体"/>
                <w:bCs/>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指标体系设置清晰全面、精准到位的，得12分；指标体系设置清晰全面但尚不够精准到位的，得8分；对指标体系设置的理解泛化、不够准确到位的，得4分；对指标体系设置的理解内容有缺失或有偏颇、有错位的、与项目实际偏离较大的，得1分；指标体系设置完全脱离项目实际或未提供设计的指标体系的不得分。</w:t>
            </w:r>
            <w:r>
              <w:rPr>
                <w:rFonts w:hint="eastAsia" w:ascii="宋体" w:hAnsi="宋体" w:eastAsia="宋体" w:cs="宋体"/>
                <w:bCs/>
                <w:sz w:val="21"/>
                <w:szCs w:val="21"/>
                <w:highlight w:val="none"/>
              </w:rPr>
            </w:r>
            <w:r/>
          </w:p>
        </w:tc>
        <w:tc>
          <w:tcPr>
            <w:tcW w:w="467" w:type="dxa"/>
            <w:vAlign w:val="center"/>
            <w:textDirection w:val="lrTb"/>
            <w:noWrap w:val="false"/>
          </w:tcPr>
          <w:p>
            <w:pPr>
              <w:pStyle w:val="953"/>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24</w:t>
            </w:r>
            <w:r>
              <w:rPr>
                <w:rFonts w:hint="eastAsia" w:ascii="宋体" w:hAnsi="宋体" w:eastAsia="宋体" w:cs="宋体"/>
                <w:color w:val="000000"/>
                <w:sz w:val="21"/>
                <w:szCs w:val="21"/>
                <w:highlight w:val="none"/>
              </w:rPr>
            </w:r>
            <w:r/>
          </w:p>
        </w:tc>
      </w:tr>
      <w:tr>
        <w:trPr>
          <w:trHeight w:val="2596"/>
        </w:trPr>
        <w:tc>
          <w:tcPr>
            <w:tcW w:w="466" w:type="dxa"/>
            <w:vAlign w:val="center"/>
            <w:vMerge w:val="continue"/>
            <w:textDirection w:val="lrTb"/>
            <w:noWrap w:val="false"/>
          </w:tcPr>
          <w:p>
            <w:pPr>
              <w:pStyle w:val="953"/>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r>
            <w:r/>
          </w:p>
        </w:tc>
        <w:tc>
          <w:tcPr>
            <w:tcW w:w="593" w:type="dxa"/>
            <w:vAlign w:val="center"/>
            <w:textDirection w:val="lrTb"/>
            <w:noWrap w:val="false"/>
          </w:tcPr>
          <w:p>
            <w:pPr>
              <w:pStyle w:val="953"/>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bCs/>
                <w:sz w:val="21"/>
                <w:szCs w:val="21"/>
                <w:highlight w:val="none"/>
              </w:rPr>
              <w:t xml:space="preserve">社会调查方案</w:t>
            </w:r>
            <w:r>
              <w:rPr>
                <w:rFonts w:hint="eastAsia" w:ascii="宋体" w:hAnsi="宋体" w:eastAsia="宋体" w:cs="宋体"/>
                <w:color w:val="000000"/>
                <w:sz w:val="21"/>
                <w:szCs w:val="21"/>
                <w:highlight w:val="none"/>
              </w:rPr>
            </w:r>
            <w:r/>
          </w:p>
        </w:tc>
        <w:tc>
          <w:tcPr>
            <w:tcW w:w="3472" w:type="dxa"/>
            <w:vAlign w:val="center"/>
            <w:textDirection w:val="lrTb"/>
            <w:noWrap w:val="false"/>
          </w:tcPr>
          <w:p>
            <w:pPr>
              <w:pStyle w:val="953"/>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供应商需根据提供的项目情况，设计问卷调查方案、访谈工作方案。评审小组根据问卷调查方案科学性、访谈工作方案合理性进行评分。（6分）</w:t>
            </w:r>
            <w:r>
              <w:rPr>
                <w:rFonts w:hint="eastAsia" w:ascii="宋体" w:hAnsi="宋体" w:eastAsia="宋体" w:cs="宋体"/>
                <w:sz w:val="21"/>
                <w:szCs w:val="21"/>
                <w:highlight w:val="none"/>
              </w:rPr>
            </w:r>
            <w:r/>
          </w:p>
          <w:p>
            <w:pPr>
              <w:pStyle w:val="953"/>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社会调查方案清晰、完整、可操作性强、贴合项目实际的得6分；社会调查方案清晰但尚不够完整和到位、基本贴合项目实际的得4分；社会调查方案理解泛化、不够清晰完整</w:t>
            </w:r>
            <w:r>
              <w:rPr>
                <w:rFonts w:hint="eastAsia" w:ascii="宋体" w:hAnsi="宋体" w:eastAsia="宋体" w:cs="宋体"/>
                <w:color w:val="000000"/>
                <w:sz w:val="21"/>
                <w:szCs w:val="21"/>
                <w:highlight w:val="none"/>
                <w:lang w:bidi="ar"/>
              </w:rPr>
              <w:t xml:space="preserve">、与项目实际偏离较大</w:t>
            </w:r>
            <w:r>
              <w:rPr>
                <w:rFonts w:hint="eastAsia" w:ascii="宋体" w:hAnsi="宋体" w:eastAsia="宋体" w:cs="宋体"/>
                <w:sz w:val="21"/>
                <w:szCs w:val="21"/>
                <w:highlight w:val="none"/>
              </w:rPr>
              <w:t xml:space="preserve">的得2分；社会调查方案完全脱离项目实际或未提供社会调查方案的不得分。</w:t>
            </w:r>
            <w:r>
              <w:rPr>
                <w:rFonts w:hint="eastAsia" w:ascii="宋体" w:hAnsi="宋体" w:eastAsia="宋体" w:cs="宋体"/>
                <w:sz w:val="21"/>
                <w:szCs w:val="21"/>
                <w:highlight w:val="none"/>
              </w:rPr>
            </w:r>
            <w:r/>
          </w:p>
        </w:tc>
        <w:tc>
          <w:tcPr>
            <w:tcW w:w="467" w:type="dxa"/>
            <w:vAlign w:val="center"/>
            <w:textDirection w:val="lrTb"/>
            <w:noWrap w:val="false"/>
          </w:tcPr>
          <w:p>
            <w:pPr>
              <w:pStyle w:val="953"/>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r>
      <w:tr>
        <w:trPr>
          <w:trHeight w:val="2237"/>
        </w:trPr>
        <w:tc>
          <w:tcPr>
            <w:tcW w:w="466" w:type="dxa"/>
            <w:vAlign w:val="center"/>
            <w:vMerge w:val="continue"/>
            <w:textDirection w:val="lrTb"/>
            <w:noWrap w:val="false"/>
          </w:tcPr>
          <w:p>
            <w:pPr>
              <w:pStyle w:val="953"/>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r>
            <w:r/>
          </w:p>
        </w:tc>
        <w:tc>
          <w:tcPr>
            <w:tcW w:w="593" w:type="dxa"/>
            <w:vAlign w:val="center"/>
            <w:textDirection w:val="lrTb"/>
            <w:noWrap w:val="false"/>
          </w:tcPr>
          <w:p>
            <w:pPr>
              <w:pStyle w:val="953"/>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拟投入项目评价工作组人员</w:t>
            </w:r>
            <w:r>
              <w:rPr>
                <w:rFonts w:hint="eastAsia" w:ascii="宋体" w:hAnsi="宋体" w:eastAsia="宋体" w:cs="宋体"/>
                <w:color w:val="000000"/>
                <w:sz w:val="21"/>
                <w:szCs w:val="21"/>
                <w:highlight w:val="none"/>
              </w:rPr>
            </w:r>
            <w:r/>
          </w:p>
        </w:tc>
        <w:tc>
          <w:tcPr>
            <w:tcW w:w="3472" w:type="dxa"/>
            <w:vAlign w:val="center"/>
            <w:textDirection w:val="lrTb"/>
            <w:noWrap w:val="false"/>
          </w:tcPr>
          <w:p>
            <w:pPr>
              <w:pStyle w:val="953"/>
              <w:ind w:left="0"/>
              <w:widowControl w:val="off"/>
              <w:rPr>
                <w:rFonts w:hint="eastAsia" w:ascii="宋体" w:hAnsi="宋体" w:eastAsia="宋体" w:cs="宋体"/>
                <w:sz w:val="21"/>
                <w:szCs w:val="21"/>
                <w:highlight w:val="none"/>
                <w:lang w:eastAsia="zh-CN"/>
              </w:rPr>
              <w:framePr w:vAnchor="margin" w:hAnchor="page" w:xAlign="center" w:y="1"/>
            </w:pPr>
            <w:r>
              <w:rPr>
                <w:rFonts w:hint="eastAsia" w:ascii="宋体" w:hAnsi="宋体" w:eastAsia="宋体" w:cs="宋体"/>
                <w:sz w:val="21"/>
                <w:szCs w:val="21"/>
                <w:highlight w:val="none"/>
              </w:rPr>
              <w:t xml:space="preserve">2023年1月1日起至今参加财政部门（或注册会计师协会）组织的绩效评价业务培训的，有1人次得1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分，最高</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53"/>
              <w:ind w:left="0"/>
              <w:widowControl w:val="off"/>
              <w:rPr>
                <w:rFonts w:hint="eastAsia" w:ascii="宋体" w:hAnsi="宋体" w:eastAsia="宋体" w:cs="宋体"/>
                <w:b/>
                <w:sz w:val="21"/>
                <w:szCs w:val="21"/>
                <w:highlight w:val="none"/>
              </w:rPr>
              <w:framePr w:vAnchor="margin" w:hAnchor="page" w:xAlign="center" w:y="1"/>
            </w:pPr>
            <w:r>
              <w:rPr>
                <w:rFonts w:hint="eastAsia" w:ascii="宋体" w:hAnsi="宋体" w:eastAsia="宋体" w:cs="宋体"/>
                <w:b/>
                <w:sz w:val="21"/>
                <w:szCs w:val="21"/>
                <w:highlight w:val="none"/>
              </w:rPr>
              <w:t xml:space="preserve">注：响应文件中须提供以上人员身份证扫描件并加盖响应单位公章，参加财政部门组织的绩效评价业务培训，需提供财政部门盖章确认的证明材料，证明材料可提供复印件或扫描件并加盖响应单位公章。 </w:t>
            </w:r>
            <w:r>
              <w:rPr>
                <w:rFonts w:hint="eastAsia" w:ascii="宋体" w:hAnsi="宋体" w:eastAsia="宋体" w:cs="宋体"/>
                <w:b/>
                <w:sz w:val="21"/>
                <w:szCs w:val="21"/>
                <w:highlight w:val="none"/>
              </w:rPr>
            </w:r>
            <w:r/>
          </w:p>
        </w:tc>
        <w:tc>
          <w:tcPr>
            <w:tcW w:w="467" w:type="dxa"/>
            <w:vAlign w:val="center"/>
            <w:textDirection w:val="lrTb"/>
            <w:noWrap w:val="false"/>
          </w:tcPr>
          <w:p>
            <w:pPr>
              <w:pStyle w:val="953"/>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r>
      <w:tr>
        <w:trPr>
          <w:trHeight w:val="2933"/>
        </w:trPr>
        <w:tc>
          <w:tcPr>
            <w:tcW w:w="466" w:type="dxa"/>
            <w:vAlign w:val="center"/>
            <w:vMerge w:val="continue"/>
            <w:textDirection w:val="lrTb"/>
            <w:noWrap w:val="false"/>
          </w:tcPr>
          <w:p>
            <w:pPr>
              <w:pStyle w:val="953"/>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r>
            <w:r/>
          </w:p>
        </w:tc>
        <w:tc>
          <w:tcPr>
            <w:tcW w:w="593" w:type="dxa"/>
            <w:vAlign w:val="center"/>
            <w:textDirection w:val="lrTb"/>
            <w:noWrap w:val="false"/>
          </w:tcPr>
          <w:p>
            <w:pPr>
              <w:pStyle w:val="953"/>
              <w:ind w:left="0"/>
              <w:jc w:val="center"/>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rPr>
              <w:t xml:space="preserve">拟派出项目组主评人评价</w:t>
            </w:r>
            <w:r>
              <w:rPr>
                <w:rFonts w:hint="eastAsia" w:ascii="宋体" w:hAnsi="宋体" w:eastAsia="宋体" w:cs="宋体"/>
                <w:sz w:val="21"/>
                <w:szCs w:val="21"/>
                <w:highlight w:val="none"/>
              </w:rPr>
            </w:r>
            <w:r/>
          </w:p>
        </w:tc>
        <w:tc>
          <w:tcPr>
            <w:tcW w:w="3472" w:type="dxa"/>
            <w:vAlign w:val="center"/>
            <w:textDirection w:val="lrTb"/>
            <w:noWrap w:val="false"/>
          </w:tcPr>
          <w:p>
            <w:pPr>
              <w:pStyle w:val="953"/>
              <w:ind w:left="0"/>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连续7年（含）以上绩效重点评价工作经验得7分，连续5年（含）到7年（不含7年）绩效重点评价工作经验得5分，连续3年（含）到5年（不含5年）绩效重点评价工作经验得3分，不满3年不得分。</w:t>
            </w:r>
            <w:r>
              <w:rPr>
                <w:rFonts w:hint="eastAsia" w:ascii="宋体" w:hAnsi="宋体" w:eastAsia="宋体" w:cs="宋体"/>
                <w:color w:val="000000"/>
                <w:sz w:val="21"/>
                <w:szCs w:val="21"/>
                <w:highlight w:val="none"/>
              </w:rPr>
            </w:r>
            <w:r/>
          </w:p>
          <w:p>
            <w:pPr>
              <w:pStyle w:val="953"/>
              <w:ind w:left="0"/>
              <w:widowControl w:val="off"/>
              <w:rPr>
                <w:rFonts w:hint="eastAsia" w:ascii="宋体" w:hAnsi="宋体" w:eastAsia="宋体" w:cs="宋体"/>
                <w:b/>
                <w:sz w:val="21"/>
                <w:szCs w:val="21"/>
                <w:highlight w:val="none"/>
              </w:rPr>
              <w:framePr w:vAnchor="margin" w:hAnchor="page" w:xAlign="center" w:y="1"/>
            </w:pPr>
            <w:r>
              <w:rPr>
                <w:rFonts w:hint="eastAsia" w:ascii="宋体" w:hAnsi="宋体" w:eastAsia="宋体" w:cs="宋体"/>
                <w:b/>
                <w:sz w:val="21"/>
                <w:szCs w:val="21"/>
                <w:highlight w:val="none"/>
              </w:rPr>
              <w:t xml:space="preserve">注：</w:t>
            </w:r>
            <w:r>
              <w:rPr>
                <w:rFonts w:hint="eastAsia" w:ascii="宋体" w:hAnsi="宋体" w:eastAsia="宋体" w:cs="宋体"/>
                <w:b/>
                <w:color w:val="000000"/>
                <w:sz w:val="21"/>
                <w:szCs w:val="21"/>
                <w:highlight w:val="none"/>
              </w:rPr>
              <w:t xml:space="preserve">响应文件中须提供人员身份证扫描件并加盖响应单位公章，连续年度个人参与绩效重点评价业绩，需提供财政部门盖章确认的证明材料，证明材料需列明个人参与的绩效重点评价项目名称以及开展年度，连续年度可以提供不同财政部门证明，证明材料可提供复印件或扫描件并加盖响应单位公章。未提供不得分。</w:t>
            </w:r>
            <w:r>
              <w:rPr>
                <w:rFonts w:hint="eastAsia" w:ascii="宋体" w:hAnsi="宋体" w:eastAsia="宋体" w:cs="宋体"/>
                <w:b/>
                <w:sz w:val="21"/>
                <w:szCs w:val="21"/>
                <w:highlight w:val="none"/>
              </w:rPr>
            </w:r>
            <w:r/>
          </w:p>
        </w:tc>
        <w:tc>
          <w:tcPr>
            <w:tcW w:w="467" w:type="dxa"/>
            <w:vAlign w:val="center"/>
            <w:textDirection w:val="lrTb"/>
            <w:noWrap w:val="false"/>
          </w:tcPr>
          <w:p>
            <w:pPr>
              <w:pStyle w:val="953"/>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r>
      <w:tr>
        <w:trPr>
          <w:trHeight w:val="3019"/>
        </w:trPr>
        <w:tc>
          <w:tcPr>
            <w:tcW w:w="466" w:type="dxa"/>
            <w:vAlign w:val="center"/>
            <w:vMerge w:val="continue"/>
            <w:textDirection w:val="lrTb"/>
            <w:noWrap w:val="false"/>
          </w:tcPr>
          <w:p>
            <w:pPr>
              <w:pStyle w:val="953"/>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r>
            <w:r/>
          </w:p>
        </w:tc>
        <w:tc>
          <w:tcPr>
            <w:tcW w:w="593" w:type="dxa"/>
            <w:vAlign w:val="center"/>
            <w:textDirection w:val="lrTb"/>
            <w:noWrap w:val="false"/>
          </w:tcPr>
          <w:p>
            <w:pPr>
              <w:pStyle w:val="953"/>
              <w:ind w:left="0"/>
              <w:jc w:val="center"/>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▲拟派出项目组成员（固定1人打★之人员）</w:t>
            </w:r>
            <w:r>
              <w:rPr>
                <w:rFonts w:hint="eastAsia" w:ascii="宋体" w:hAnsi="宋体" w:eastAsia="宋体" w:cs="宋体"/>
                <w:sz w:val="21"/>
                <w:szCs w:val="21"/>
                <w:highlight w:val="none"/>
              </w:rPr>
            </w:r>
            <w:r/>
          </w:p>
        </w:tc>
        <w:tc>
          <w:tcPr>
            <w:tcW w:w="3472" w:type="dxa"/>
            <w:vAlign w:val="center"/>
            <w:textDirection w:val="lrTb"/>
            <w:noWrap w:val="false"/>
          </w:tcPr>
          <w:p>
            <w:pPr>
              <w:pStyle w:val="953"/>
              <w:ind w:left="0"/>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连续5年（含）以上绩效重点评价工作经验得5分，连续3年（含）到5年（不含5年）绩效重点评价工作经验得3分，连续2年（含）以上到3年（不含3年）绩效重点评价工作经验得1分，不满2年不得分。</w:t>
            </w:r>
            <w:r>
              <w:rPr>
                <w:rFonts w:hint="eastAsia" w:ascii="宋体" w:hAnsi="宋体" w:eastAsia="宋体" w:cs="宋体"/>
                <w:sz w:val="21"/>
                <w:szCs w:val="21"/>
                <w:highlight w:val="none"/>
              </w:rPr>
            </w:r>
            <w:r/>
          </w:p>
          <w:p>
            <w:pPr>
              <w:pStyle w:val="953"/>
              <w:ind w:left="0"/>
              <w:rPr>
                <w:rFonts w:hint="eastAsia" w:ascii="宋体" w:hAnsi="宋体" w:eastAsia="宋体" w:cs="宋体"/>
                <w:b/>
                <w:sz w:val="21"/>
                <w:szCs w:val="21"/>
                <w:highlight w:val="none"/>
              </w:rPr>
              <w:framePr w:vAnchor="margin" w:hAnchor="page" w:xAlign="center" w:y="1"/>
            </w:pPr>
            <w:r>
              <w:rPr>
                <w:rFonts w:hint="eastAsia" w:ascii="宋体" w:hAnsi="宋体" w:eastAsia="宋体" w:cs="宋体"/>
                <w:b/>
                <w:sz w:val="21"/>
                <w:szCs w:val="21"/>
                <w:highlight w:val="none"/>
              </w:rPr>
              <w:t xml:space="preserve">注：</w:t>
            </w:r>
            <w:r>
              <w:rPr>
                <w:rFonts w:hint="eastAsia" w:ascii="宋体" w:hAnsi="宋体" w:eastAsia="宋体" w:cs="宋体"/>
                <w:b/>
                <w:color w:val="000000"/>
                <w:sz w:val="21"/>
                <w:szCs w:val="21"/>
                <w:highlight w:val="none"/>
              </w:rPr>
              <w:t xml:space="preserve">响应文件中须提供人员身份证扫描件并加盖响应单位公章，连续年度个人参与绩效重点评价业绩，需提供财政部门盖章确认的证明材料，证明材料需列明个人参与的绩效重点评价项目名称以及开展年度，连续年度可以提供不同财政部门证明，证明材料可提供复印件或扫描件并加盖响应单位公章。未提供不得分。</w:t>
            </w:r>
            <w:r>
              <w:rPr>
                <w:rFonts w:hint="eastAsia" w:ascii="宋体" w:hAnsi="宋体" w:eastAsia="宋体" w:cs="宋体"/>
                <w:b/>
                <w:sz w:val="21"/>
                <w:szCs w:val="21"/>
                <w:highlight w:val="none"/>
              </w:rPr>
            </w:r>
            <w:r/>
          </w:p>
        </w:tc>
        <w:tc>
          <w:tcPr>
            <w:tcW w:w="467" w:type="dxa"/>
            <w:vAlign w:val="center"/>
            <w:textDirection w:val="lrTb"/>
            <w:noWrap w:val="false"/>
          </w:tcPr>
          <w:p>
            <w:pPr>
              <w:pStyle w:val="953"/>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r>
      <w:tr>
        <w:trPr>
          <w:trHeight w:val="1995"/>
        </w:trPr>
        <w:tc>
          <w:tcPr>
            <w:tcW w:w="466" w:type="dxa"/>
            <w:vAlign w:val="center"/>
            <w:vMerge w:val="continue"/>
            <w:textDirection w:val="lrTb"/>
            <w:noWrap w:val="false"/>
          </w:tcPr>
          <w:p>
            <w:pPr>
              <w:pStyle w:val="953"/>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r>
            <w:r/>
          </w:p>
        </w:tc>
        <w:tc>
          <w:tcPr>
            <w:tcW w:w="593" w:type="dxa"/>
            <w:vAlign w:val="center"/>
            <w:textDirection w:val="lrTb"/>
            <w:noWrap w:val="false"/>
          </w:tcPr>
          <w:p>
            <w:pPr>
              <w:pStyle w:val="953"/>
              <w:ind w:left="0"/>
              <w:jc w:val="center"/>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▲类似业绩</w:t>
            </w:r>
            <w:r>
              <w:rPr>
                <w:rFonts w:hint="eastAsia" w:ascii="宋体" w:hAnsi="宋体" w:eastAsia="宋体" w:cs="宋体"/>
                <w:sz w:val="21"/>
                <w:szCs w:val="21"/>
                <w:highlight w:val="none"/>
              </w:rPr>
            </w:r>
            <w:r/>
          </w:p>
        </w:tc>
        <w:tc>
          <w:tcPr>
            <w:tcW w:w="3472" w:type="dxa"/>
            <w:vAlign w:val="center"/>
            <w:textDirection w:val="lrTb"/>
            <w:noWrap w:val="false"/>
          </w:tcPr>
          <w:p>
            <w:pPr>
              <w:pStyle w:val="953"/>
              <w:ind w:left="0"/>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供应商提供2023年1月1日起至今承担（以合同签订时间为准）的财政部门委托的绩效重点评价的项目业绩，每提供一份得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分。此项累计加分最高8分。</w:t>
            </w:r>
            <w:r>
              <w:rPr>
                <w:rFonts w:hint="eastAsia" w:ascii="宋体" w:hAnsi="宋体" w:eastAsia="宋体" w:cs="宋体"/>
                <w:sz w:val="21"/>
                <w:szCs w:val="21"/>
                <w:highlight w:val="none"/>
              </w:rPr>
            </w:r>
            <w:r/>
          </w:p>
          <w:p>
            <w:pPr>
              <w:pStyle w:val="953"/>
              <w:ind w:left="0"/>
              <w:rPr>
                <w:rFonts w:hint="eastAsia" w:ascii="宋体" w:hAnsi="宋体" w:eastAsia="宋体" w:cs="宋体"/>
                <w:b/>
                <w:sz w:val="21"/>
                <w:szCs w:val="21"/>
                <w:highlight w:val="none"/>
              </w:rPr>
              <w:framePr w:vAnchor="margin" w:hAnchor="page" w:xAlign="center" w:y="1"/>
            </w:pPr>
            <w:r>
              <w:rPr>
                <w:rFonts w:hint="eastAsia" w:ascii="宋体" w:hAnsi="宋体" w:eastAsia="宋体" w:cs="宋体"/>
                <w:b/>
                <w:sz w:val="21"/>
                <w:szCs w:val="21"/>
                <w:highlight w:val="none"/>
              </w:rPr>
              <w:t xml:space="preserve">注：响应文件中须提供委托方盖章确认的证明材料或提供业务合同及对应的发票（如仅提供业务合同不能证明是否履约）并加盖响应单位公章，不提供不得分。</w:t>
            </w:r>
            <w:r>
              <w:rPr>
                <w:rFonts w:hint="eastAsia" w:ascii="宋体" w:hAnsi="宋体" w:eastAsia="宋体" w:cs="宋体"/>
                <w:b/>
                <w:sz w:val="21"/>
                <w:szCs w:val="21"/>
                <w:highlight w:val="none"/>
              </w:rPr>
            </w:r>
            <w:r/>
          </w:p>
        </w:tc>
        <w:tc>
          <w:tcPr>
            <w:tcW w:w="467" w:type="dxa"/>
            <w:vAlign w:val="center"/>
            <w:textDirection w:val="lrTb"/>
            <w:noWrap w:val="false"/>
          </w:tcPr>
          <w:p>
            <w:pPr>
              <w:pStyle w:val="953"/>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r>
    </w:tbl>
    <w:p>
      <w:pPr>
        <w:pStyle w:val="953"/>
        <w:ind w:left="0" w:firstLine="422"/>
        <w:spacing w:line="360" w:lineRule="auto"/>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t xml:space="preserve">备注：表格中▲为客观分。</w:t>
      </w:r>
      <w:r>
        <w:rPr>
          <w:rFonts w:hint="eastAsia" w:ascii="宋体" w:hAnsi="宋体" w:eastAsia="宋体" w:cs="宋体"/>
          <w:b/>
          <w:sz w:val="21"/>
          <w:szCs w:val="21"/>
          <w:highlight w:val="none"/>
          <w:lang w:bidi="ar"/>
        </w:rPr>
      </w:r>
      <w:r/>
    </w:p>
    <w:p>
      <w:pPr>
        <w:pStyle w:val="953"/>
        <w:ind w:firstLine="48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953"/>
        <w:ind w:firstLine="480"/>
        <w:spacing w:line="360" w:lineRule="auto"/>
        <w:rPr>
          <w:rFonts w:hint="eastAsia" w:ascii="宋体" w:hAnsi="宋体" w:eastAsia="宋体" w:cs="宋体"/>
          <w:b/>
          <w:sz w:val="21"/>
          <w:szCs w:val="21"/>
          <w:highlight w:val="none"/>
        </w:rPr>
      </w:pPr>
      <w:r>
        <w:rPr>
          <w:rFonts w:hint="eastAsia" w:ascii="宋体" w:hAnsi="宋体" w:eastAsia="宋体" w:cs="宋体"/>
          <w:b/>
          <w:bCs/>
          <w:sz w:val="21"/>
          <w:szCs w:val="21"/>
          <w:highlight w:val="none"/>
        </w:rPr>
        <w:t xml:space="preserve">采购包3评分标准：</w:t>
      </w:r>
      <w:r>
        <w:rPr>
          <w:rFonts w:hint="eastAsia" w:ascii="宋体" w:hAnsi="宋体" w:eastAsia="宋体" w:cs="宋体"/>
          <w:b/>
          <w:sz w:val="21"/>
          <w:szCs w:val="21"/>
          <w:highlight w:val="none"/>
        </w:rPr>
      </w:r>
      <w:r/>
    </w:p>
    <w:tbl>
      <w:tblPr>
        <w:tblpPr w:horzAnchor="text" w:tblpXSpec="center" w:vertAnchor="text" w:tblpY="1" w:leftFromText="180" w:topFromText="0" w:rightFromText="180" w:bottomFromText="0"/>
        <w:tblW w:w="883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1082"/>
        <w:gridCol w:w="6098"/>
        <w:gridCol w:w="849"/>
      </w:tblGrid>
      <w:tr>
        <w:trPr>
          <w:trHeight w:val="406"/>
        </w:trPr>
        <w:tc>
          <w:tcPr>
            <w:tcW w:w="804" w:type="dxa"/>
            <w:vAlign w:val="center"/>
            <w:textDirection w:val="lrTb"/>
            <w:noWrap w:val="false"/>
          </w:tcPr>
          <w:p>
            <w:pPr>
              <w:pStyle w:val="953"/>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评审类别</w:t>
            </w:r>
            <w:r>
              <w:rPr>
                <w:rFonts w:hint="eastAsia" w:ascii="宋体" w:hAnsi="宋体" w:eastAsia="宋体" w:cs="宋体"/>
                <w:b/>
                <w:bCs/>
                <w:color w:val="000000"/>
                <w:sz w:val="21"/>
                <w:szCs w:val="21"/>
                <w:highlight w:val="none"/>
              </w:rPr>
            </w:r>
            <w:r/>
          </w:p>
        </w:tc>
        <w:tc>
          <w:tcPr>
            <w:tcW w:w="1082" w:type="dxa"/>
            <w:vAlign w:val="center"/>
            <w:textDirection w:val="lrTb"/>
            <w:noWrap w:val="false"/>
          </w:tcPr>
          <w:p>
            <w:pPr>
              <w:pStyle w:val="953"/>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评审项</w:t>
            </w:r>
            <w:r>
              <w:rPr>
                <w:rFonts w:hint="eastAsia" w:ascii="宋体" w:hAnsi="宋体" w:eastAsia="宋体" w:cs="宋体"/>
                <w:b/>
                <w:bCs/>
                <w:color w:val="000000"/>
                <w:sz w:val="21"/>
                <w:szCs w:val="21"/>
                <w:highlight w:val="none"/>
              </w:rPr>
            </w:r>
            <w:r/>
          </w:p>
        </w:tc>
        <w:tc>
          <w:tcPr>
            <w:tcW w:w="6098" w:type="dxa"/>
            <w:vAlign w:val="center"/>
            <w:textDirection w:val="lrTb"/>
            <w:noWrap w:val="false"/>
          </w:tcPr>
          <w:p>
            <w:pPr>
              <w:pStyle w:val="953"/>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评审规则</w:t>
            </w:r>
            <w:r>
              <w:rPr>
                <w:rFonts w:hint="eastAsia" w:ascii="宋体" w:hAnsi="宋体" w:eastAsia="宋体" w:cs="宋体"/>
                <w:b/>
                <w:bCs/>
                <w:color w:val="000000"/>
                <w:sz w:val="21"/>
                <w:szCs w:val="21"/>
                <w:highlight w:val="none"/>
              </w:rPr>
            </w:r>
            <w:r/>
          </w:p>
        </w:tc>
        <w:tc>
          <w:tcPr>
            <w:tcW w:w="849" w:type="dxa"/>
            <w:vAlign w:val="center"/>
            <w:textDirection w:val="lrTb"/>
            <w:noWrap w:val="false"/>
          </w:tcPr>
          <w:p>
            <w:pPr>
              <w:pStyle w:val="953"/>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分值（分）</w:t>
            </w:r>
            <w:r>
              <w:rPr>
                <w:rFonts w:hint="eastAsia" w:ascii="宋体" w:hAnsi="宋体" w:eastAsia="宋体" w:cs="宋体"/>
                <w:b/>
                <w:bCs/>
                <w:color w:val="000000"/>
                <w:sz w:val="21"/>
                <w:szCs w:val="21"/>
                <w:highlight w:val="none"/>
              </w:rPr>
            </w:r>
            <w:r/>
          </w:p>
        </w:tc>
      </w:tr>
      <w:tr>
        <w:trPr>
          <w:trHeight w:val="2406"/>
        </w:trPr>
        <w:tc>
          <w:tcPr>
            <w:tcW w:w="804" w:type="dxa"/>
            <w:vAlign w:val="center"/>
            <w:textDirection w:val="lrTb"/>
            <w:noWrap w:val="false"/>
          </w:tcPr>
          <w:p>
            <w:pPr>
              <w:pStyle w:val="953"/>
              <w:ind w:left="0"/>
              <w:jc w:val="center"/>
              <w:widowControl w:val="off"/>
              <w:rPr>
                <w:rFonts w:hint="eastAsia" w:ascii="宋体" w:hAnsi="宋体" w:eastAsia="宋体" w:cs="宋体"/>
                <w:b/>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价格部分</w:t>
            </w:r>
            <w:r>
              <w:rPr>
                <w:rFonts w:hint="eastAsia" w:ascii="宋体" w:hAnsi="宋体" w:eastAsia="宋体" w:cs="宋体"/>
                <w:b/>
                <w:color w:val="000000"/>
                <w:sz w:val="21"/>
                <w:szCs w:val="21"/>
                <w:highlight w:val="none"/>
              </w:rPr>
            </w:r>
            <w:r/>
          </w:p>
          <w:p>
            <w:pPr>
              <w:pStyle w:val="953"/>
              <w:ind w:left="0"/>
              <w:jc w:val="center"/>
              <w:widowControl w:val="off"/>
              <w:rPr>
                <w:rFonts w:hint="eastAsia" w:ascii="宋体" w:hAnsi="宋体" w:eastAsia="宋体" w:cs="宋体"/>
                <w:b/>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（10分）</w:t>
            </w:r>
            <w:r>
              <w:rPr>
                <w:rFonts w:hint="eastAsia" w:ascii="宋体" w:hAnsi="宋体" w:eastAsia="宋体" w:cs="宋体"/>
                <w:b/>
                <w:color w:val="000000"/>
                <w:sz w:val="21"/>
                <w:szCs w:val="21"/>
                <w:highlight w:val="none"/>
              </w:rPr>
            </w:r>
            <w:r/>
          </w:p>
        </w:tc>
        <w:tc>
          <w:tcPr>
            <w:tcW w:w="1082" w:type="dxa"/>
            <w:vAlign w:val="center"/>
            <w:textDirection w:val="lrTb"/>
            <w:noWrap w:val="false"/>
          </w:tcPr>
          <w:p>
            <w:pPr>
              <w:pStyle w:val="953"/>
              <w:ind w:left="0"/>
              <w:jc w:val="center"/>
              <w:widowControl w:val="off"/>
              <w:rPr>
                <w:rFonts w:hint="eastAsia" w:ascii="宋体" w:hAnsi="宋体" w:eastAsia="宋体" w:cs="宋体"/>
                <w:bCs/>
                <w:color w:val="000000"/>
                <w:sz w:val="21"/>
                <w:szCs w:val="21"/>
                <w:highlight w:val="none"/>
              </w:rPr>
              <w:framePr w:vAnchor="margin" w:hAnchor="page" w:xAlign="center" w:y="1"/>
            </w:pPr>
            <w:r>
              <w:rPr>
                <w:rFonts w:hint="eastAsia" w:ascii="宋体" w:hAnsi="宋体" w:eastAsia="宋体" w:cs="宋体"/>
                <w:bCs/>
                <w:color w:val="000000"/>
                <w:sz w:val="21"/>
                <w:szCs w:val="21"/>
                <w:highlight w:val="none"/>
              </w:rPr>
              <w:t xml:space="preserve">响应报价</w:t>
            </w:r>
            <w:r>
              <w:rPr>
                <w:rFonts w:hint="eastAsia" w:ascii="宋体" w:hAnsi="宋体" w:eastAsia="宋体" w:cs="宋体"/>
                <w:bCs/>
                <w:color w:val="000000"/>
                <w:sz w:val="21"/>
                <w:szCs w:val="21"/>
                <w:highlight w:val="none"/>
              </w:rPr>
            </w:r>
            <w:r/>
          </w:p>
        </w:tc>
        <w:tc>
          <w:tcPr>
            <w:tcW w:w="6098" w:type="dxa"/>
            <w:vAlign w:val="center"/>
            <w:textDirection w:val="lrTb"/>
            <w:noWrap w:val="false"/>
          </w:tcPr>
          <w:p>
            <w:pPr>
              <w:pStyle w:val="953"/>
              <w:ind w:left="0"/>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bidi="ar"/>
              </w:rPr>
              <w:t xml:space="preserve">第一步：响应报价低于或等于财政预算价格（或最高限价）的，为有效响应报价。超财政预算（或最高限价）的响应报价为无效响应报价。</w:t>
            </w:r>
            <w:r>
              <w:rPr>
                <w:rFonts w:hint="eastAsia" w:ascii="宋体" w:hAnsi="宋体" w:eastAsia="宋体" w:cs="宋体"/>
                <w:color w:val="000000"/>
                <w:sz w:val="21"/>
                <w:szCs w:val="21"/>
                <w:highlight w:val="none"/>
                <w:lang w:bidi="ar"/>
              </w:rPr>
            </w:r>
            <w:r/>
          </w:p>
          <w:p>
            <w:pPr>
              <w:pStyle w:val="953"/>
              <w:ind w:left="0"/>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bidi="ar"/>
              </w:rPr>
              <w:t xml:space="preserve">第二步：在所有有效响应报价中满足</w:t>
            </w:r>
            <w:r>
              <w:rPr>
                <w:rFonts w:hint="eastAsia" w:ascii="宋体" w:hAnsi="宋体" w:eastAsia="宋体" w:cs="宋体"/>
                <w:sz w:val="21"/>
                <w:szCs w:val="21"/>
                <w:highlight w:val="none"/>
              </w:rPr>
              <w:t xml:space="preserve">采购</w:t>
            </w:r>
            <w:r>
              <w:rPr>
                <w:rFonts w:hint="eastAsia" w:ascii="宋体" w:hAnsi="宋体" w:eastAsia="宋体" w:cs="宋体"/>
                <w:color w:val="000000"/>
                <w:sz w:val="21"/>
                <w:szCs w:val="21"/>
                <w:highlight w:val="none"/>
                <w:lang w:bidi="ar"/>
              </w:rPr>
              <w:t xml:space="preserve">文件要求，且响应价格最低的响应报价为评标基准价，其他供应商的价格分按照下列公式计算（计算结果四舍五入保留两位小数）。</w:t>
            </w:r>
            <w:r>
              <w:rPr>
                <w:rFonts w:hint="eastAsia" w:ascii="宋体" w:hAnsi="宋体" w:eastAsia="宋体" w:cs="宋体"/>
                <w:color w:val="000000"/>
                <w:sz w:val="21"/>
                <w:szCs w:val="21"/>
                <w:highlight w:val="none"/>
                <w:lang w:bidi="ar"/>
              </w:rPr>
            </w:r>
            <w:r/>
          </w:p>
          <w:p>
            <w:pPr>
              <w:pStyle w:val="953"/>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响应报价得分＝（评标基准价/响应报价）×10％×100</w:t>
            </w:r>
            <w:r>
              <w:rPr>
                <w:rFonts w:hint="eastAsia" w:ascii="宋体" w:hAnsi="宋体" w:eastAsia="宋体" w:cs="宋体"/>
                <w:sz w:val="21"/>
                <w:szCs w:val="21"/>
                <w:highlight w:val="none"/>
              </w:rPr>
            </w:r>
            <w:r/>
          </w:p>
        </w:tc>
        <w:tc>
          <w:tcPr>
            <w:tcW w:w="849" w:type="dxa"/>
            <w:vAlign w:val="center"/>
            <w:textDirection w:val="lrTb"/>
            <w:noWrap w:val="false"/>
          </w:tcPr>
          <w:p>
            <w:pPr>
              <w:pStyle w:val="953"/>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10</w:t>
            </w:r>
            <w:r>
              <w:rPr>
                <w:rFonts w:hint="eastAsia" w:ascii="宋体" w:hAnsi="宋体" w:eastAsia="宋体" w:cs="宋体"/>
                <w:color w:val="000000"/>
                <w:sz w:val="21"/>
                <w:szCs w:val="21"/>
                <w:highlight w:val="none"/>
              </w:rPr>
            </w:r>
            <w:r/>
          </w:p>
        </w:tc>
      </w:tr>
      <w:tr>
        <w:trPr>
          <w:trHeight w:val="9822"/>
        </w:trPr>
        <w:tc>
          <w:tcPr>
            <w:tcW w:w="804" w:type="dxa"/>
            <w:vAlign w:val="center"/>
            <w:vMerge w:val="restart"/>
            <w:textDirection w:val="lrTb"/>
            <w:noWrap w:val="false"/>
          </w:tcPr>
          <w:p>
            <w:pPr>
              <w:pStyle w:val="953"/>
              <w:ind w:left="0"/>
              <w:jc w:val="center"/>
              <w:widowControl w:val="off"/>
              <w:rPr>
                <w:rFonts w:hint="eastAsia" w:ascii="宋体" w:hAnsi="宋体" w:eastAsia="宋体" w:cs="宋体"/>
                <w:b/>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t xml:space="preserve">技术及商务部分（90分）</w:t>
            </w:r>
            <w:r>
              <w:rPr>
                <w:rFonts w:hint="eastAsia" w:ascii="宋体" w:hAnsi="宋体" w:eastAsia="宋体" w:cs="宋体"/>
                <w:b/>
                <w:color w:val="000000"/>
                <w:sz w:val="21"/>
                <w:szCs w:val="21"/>
                <w:highlight w:val="none"/>
              </w:rPr>
            </w:r>
            <w:r/>
          </w:p>
        </w:tc>
        <w:tc>
          <w:tcPr>
            <w:tcW w:w="1082" w:type="dxa"/>
            <w:vAlign w:val="center"/>
            <w:textDirection w:val="lrTb"/>
            <w:noWrap w:val="false"/>
          </w:tcPr>
          <w:p>
            <w:pPr>
              <w:pStyle w:val="953"/>
              <w:ind w:left="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bCs/>
                <w:color w:val="000000"/>
                <w:sz w:val="21"/>
                <w:szCs w:val="21"/>
                <w:highlight w:val="none"/>
              </w:rPr>
              <w:t xml:space="preserve">项目总体分析</w:t>
            </w:r>
            <w:r>
              <w:rPr>
                <w:rFonts w:hint="eastAsia" w:ascii="宋体" w:hAnsi="宋体" w:eastAsia="宋体" w:cs="宋体"/>
                <w:color w:val="000000"/>
                <w:sz w:val="21"/>
                <w:szCs w:val="21"/>
                <w:highlight w:val="none"/>
              </w:rPr>
            </w:r>
            <w:r/>
          </w:p>
        </w:tc>
        <w:tc>
          <w:tcPr>
            <w:tcW w:w="6098" w:type="dxa"/>
            <w:vAlign w:val="center"/>
            <w:textDirection w:val="lrTb"/>
            <w:noWrap w:val="false"/>
          </w:tcPr>
          <w:p>
            <w:pPr>
              <w:pStyle w:val="953"/>
              <w:ind w:left="0"/>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sz w:val="21"/>
                <w:szCs w:val="21"/>
                <w:highlight w:val="none"/>
              </w:rPr>
              <w:t xml:space="preserve">供应商</w:t>
            </w:r>
            <w:r>
              <w:rPr>
                <w:rFonts w:hint="eastAsia" w:ascii="宋体" w:hAnsi="宋体" w:eastAsia="宋体" w:cs="宋体"/>
                <w:color w:val="000000"/>
                <w:sz w:val="21"/>
                <w:szCs w:val="21"/>
                <w:highlight w:val="none"/>
                <w:lang w:bidi="ar"/>
              </w:rPr>
              <w:t xml:space="preserve">需根据提供的</w:t>
            </w:r>
            <w:r>
              <w:rPr>
                <w:rFonts w:hint="eastAsia" w:ascii="宋体" w:hAnsi="宋体" w:eastAsia="宋体" w:cs="宋体"/>
                <w:b/>
                <w:bCs/>
                <w:color w:val="000000"/>
                <w:sz w:val="21"/>
                <w:szCs w:val="21"/>
                <w:highlight w:val="none"/>
                <w:lang w:bidi="ar"/>
              </w:rPr>
              <w:t xml:space="preserve">太仓市明德高级中学宿舍楼翻修工程</w:t>
            </w:r>
            <w:r>
              <w:rPr>
                <w:rFonts w:hint="eastAsia" w:ascii="宋体" w:hAnsi="宋体" w:eastAsia="宋体" w:cs="宋体"/>
                <w:color w:val="000000"/>
                <w:sz w:val="21"/>
                <w:szCs w:val="21"/>
                <w:highlight w:val="none"/>
                <w:lang w:bidi="ar"/>
              </w:rPr>
              <w:t xml:space="preserve">项目情况，对项目开展事前绩效评估的评估目的、评估思路、评估要点、评估方法等关键情况进行分析。</w:t>
            </w:r>
            <w:r>
              <w:rPr>
                <w:rFonts w:hint="eastAsia" w:ascii="宋体" w:hAnsi="宋体" w:eastAsia="宋体" w:cs="宋体"/>
                <w:color w:val="000000"/>
                <w:sz w:val="21"/>
                <w:szCs w:val="21"/>
                <w:highlight w:val="none"/>
                <w:lang w:bidi="ar"/>
              </w:rPr>
            </w:r>
            <w:r/>
          </w:p>
          <w:p>
            <w:pPr>
              <w:pStyle w:val="953"/>
              <w:ind w:left="0"/>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bidi="ar"/>
              </w:rPr>
              <w:t xml:space="preserve">（1）对项目的评估目的、评估应用的理解掌握情况进行评分。对本项目评估目的及应用的理解清晰、精准、到位的得7分；对本项目评估目的及应用的理解清晰全面但尚不够精准和到位的得5分；对本项目评估目的及应用的理解泛化、不够准确的得3分；对本项目评估目的或应用的理解内容有缺失或有偏颇、有错位的得1分；无评估目的及需求分析的不得分。（7分）</w:t>
            </w:r>
            <w:r>
              <w:rPr>
                <w:rFonts w:hint="eastAsia" w:ascii="宋体" w:hAnsi="宋体" w:eastAsia="宋体" w:cs="宋体"/>
                <w:color w:val="000000"/>
                <w:sz w:val="21"/>
                <w:szCs w:val="21"/>
                <w:highlight w:val="none"/>
                <w:lang w:bidi="ar"/>
              </w:rPr>
            </w:r>
            <w:r/>
          </w:p>
          <w:p>
            <w:pPr>
              <w:pStyle w:val="953"/>
              <w:ind w:left="0"/>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bidi="ar"/>
              </w:rPr>
              <w:t xml:space="preserve">（2）对项目的评估思路进行评分。评估思路陈述清晰、条理清楚、逻辑完整、可操作性强、贴合项目实际的得12分；评估思路陈述清晰、条理清楚但尚不够逻辑完整、与项目实际基本贴合的得8分；评估思路陈述泛化、逻辑性和可操作性一般的得4分；评估思路陈述内容有缺失或偏颇、不具有逻辑性和可操作性、与项目实际偏离较大的得1分；评估思路的陈述完全脱离项目实际或未作评估思路分析的不得分。（12分）</w:t>
            </w:r>
            <w:r>
              <w:rPr>
                <w:rFonts w:hint="eastAsia" w:ascii="宋体" w:hAnsi="宋体" w:eastAsia="宋体" w:cs="宋体"/>
                <w:color w:val="000000"/>
                <w:sz w:val="21"/>
                <w:szCs w:val="21"/>
                <w:highlight w:val="none"/>
                <w:lang w:bidi="ar"/>
              </w:rPr>
            </w:r>
            <w:r/>
          </w:p>
          <w:p>
            <w:pPr>
              <w:pStyle w:val="953"/>
              <w:ind w:left="0"/>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bidi="ar"/>
              </w:rPr>
              <w:t xml:space="preserve">（3）对项目的评估要点进行评分。结合项目情况，对评估关注要点的分析精准到位、理解全面深刻、逻辑清晰、贴合项目实际的得12分；对评估要点的分析理解清晰全面但尚不够精准和到位、逻辑较清晰、基本贴合项目实际的得8分；对评估要点的分析理解泛化、不够准确、不够全面、逻辑性一般的得4分；对评估要点的分析理解内容有缺失或有偏颇、有错位、与项目实际偏离较大的得1分；对评估要点的分析完全脱离项目实际或未作评估要点分析的不得分。（12分）</w:t>
            </w:r>
            <w:r>
              <w:rPr>
                <w:rFonts w:hint="eastAsia" w:ascii="宋体" w:hAnsi="宋体" w:eastAsia="宋体" w:cs="宋体"/>
                <w:color w:val="000000"/>
                <w:sz w:val="21"/>
                <w:szCs w:val="21"/>
                <w:highlight w:val="none"/>
                <w:lang w:bidi="ar"/>
              </w:rPr>
            </w:r>
            <w:r/>
          </w:p>
          <w:p>
            <w:pPr>
              <w:pStyle w:val="953"/>
              <w:ind w:left="0"/>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bidi="ar"/>
              </w:rPr>
              <w:t xml:space="preserve">（4）对采用的评估方法进行评分。结合项目情况，对评估方法的选取逻辑清晰、精准到位、贴合项目实际、适用性强的得7分；对评估方法的选取逻辑清晰但尚不够精准和到位、基本贴合项目实际的得5分；对评估方法的选取理解泛化、不够准确、适用性不强的得3分；对评估方法的选取理解有偏颇或有错位、与项目实际偏离较大的得1分；对评估方法的选取完全脱离项目实际或未作评估方法陈述的不得分。（7分）</w:t>
            </w:r>
            <w:r>
              <w:rPr>
                <w:rFonts w:hint="eastAsia" w:ascii="宋体" w:hAnsi="宋体" w:eastAsia="宋体" w:cs="宋体"/>
                <w:color w:val="000000"/>
                <w:sz w:val="21"/>
                <w:szCs w:val="21"/>
                <w:highlight w:val="none"/>
                <w:lang w:bidi="ar"/>
              </w:rPr>
            </w:r>
            <w:r/>
          </w:p>
        </w:tc>
        <w:tc>
          <w:tcPr>
            <w:tcW w:w="849" w:type="dxa"/>
            <w:vAlign w:val="center"/>
            <w:textDirection w:val="lrTb"/>
            <w:noWrap w:val="false"/>
          </w:tcPr>
          <w:p>
            <w:pPr>
              <w:pStyle w:val="953"/>
              <w:ind w:left="0"/>
              <w:jc w:val="center"/>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38</w:t>
            </w:r>
            <w:r>
              <w:rPr>
                <w:rFonts w:hint="eastAsia" w:ascii="宋体" w:hAnsi="宋体" w:eastAsia="宋体" w:cs="宋体"/>
                <w:sz w:val="21"/>
                <w:szCs w:val="21"/>
                <w:highlight w:val="none"/>
              </w:rPr>
            </w:r>
            <w:r/>
          </w:p>
        </w:tc>
      </w:tr>
      <w:tr>
        <w:trPr>
          <w:trHeight w:val="3844"/>
        </w:trPr>
        <w:tc>
          <w:tcPr>
            <w:tcW w:w="804" w:type="dxa"/>
            <w:vAlign w:val="center"/>
            <w:vMerge w:val="continue"/>
            <w:textDirection w:val="lrTb"/>
            <w:noWrap w:val="false"/>
          </w:tcPr>
          <w:p>
            <w:pPr>
              <w:pStyle w:val="953"/>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r>
            <w:r/>
          </w:p>
        </w:tc>
        <w:tc>
          <w:tcPr>
            <w:tcW w:w="1082" w:type="dxa"/>
            <w:vAlign w:val="center"/>
            <w:textDirection w:val="lrTb"/>
            <w:noWrap w:val="false"/>
          </w:tcPr>
          <w:p>
            <w:pPr>
              <w:pStyle w:val="953"/>
              <w:ind w:left="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bCs/>
                <w:color w:val="000000"/>
                <w:sz w:val="21"/>
                <w:szCs w:val="21"/>
                <w:highlight w:val="none"/>
              </w:rPr>
              <w:t xml:space="preserve">组织实施计划</w:t>
            </w:r>
            <w:r>
              <w:rPr>
                <w:rFonts w:hint="eastAsia" w:ascii="宋体" w:hAnsi="宋体" w:eastAsia="宋体" w:cs="宋体"/>
                <w:color w:val="000000"/>
                <w:sz w:val="21"/>
                <w:szCs w:val="21"/>
                <w:highlight w:val="none"/>
              </w:rPr>
            </w:r>
            <w:r/>
          </w:p>
        </w:tc>
        <w:tc>
          <w:tcPr>
            <w:tcW w:w="6098" w:type="dxa"/>
            <w:vAlign w:val="center"/>
            <w:textDirection w:val="lrTb"/>
            <w:noWrap w:val="false"/>
          </w:tcPr>
          <w:p>
            <w:pPr>
              <w:pStyle w:val="953"/>
              <w:ind w:left="0"/>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bidi="ar"/>
              </w:rPr>
              <w:t xml:space="preserve">事前绩效评估实施包括项目前期调研、评估方案制定、数据资料采集、问卷调查访谈、评估报告撰写、报告评审沟通等环节。</w:t>
            </w:r>
            <w:r>
              <w:rPr>
                <w:rFonts w:hint="eastAsia" w:ascii="宋体" w:hAnsi="宋体" w:eastAsia="宋体" w:cs="宋体"/>
                <w:sz w:val="21"/>
                <w:szCs w:val="21"/>
                <w:highlight w:val="none"/>
              </w:rPr>
              <w:t xml:space="preserve">供应商</w:t>
            </w:r>
            <w:r>
              <w:rPr>
                <w:rFonts w:hint="eastAsia" w:ascii="宋体" w:hAnsi="宋体" w:eastAsia="宋体" w:cs="宋体"/>
                <w:color w:val="000000"/>
                <w:sz w:val="21"/>
                <w:szCs w:val="21"/>
                <w:highlight w:val="none"/>
                <w:lang w:bidi="ar"/>
              </w:rPr>
              <w:t xml:space="preserve">需明确在事前绩效评估工作各环节的项目组成员的任务分工以及各环节时间节点安排。评分方法：</w:t>
            </w:r>
            <w:r>
              <w:rPr>
                <w:rFonts w:hint="eastAsia" w:ascii="宋体" w:hAnsi="宋体" w:eastAsia="宋体" w:cs="宋体"/>
                <w:color w:val="000000"/>
                <w:sz w:val="21"/>
                <w:szCs w:val="21"/>
                <w:highlight w:val="none"/>
                <w:lang w:bidi="ar"/>
              </w:rPr>
            </w:r>
            <w:r/>
          </w:p>
          <w:p>
            <w:pPr>
              <w:pStyle w:val="953"/>
              <w:ind w:left="0"/>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bidi="ar"/>
              </w:rPr>
              <w:t xml:space="preserve">项目组成员任务分工清晰完整、时间节点安排周密合理、可行性强、贴合项目实际的得7分；项目组成员任务分工清晰但尚不够完整、时间节点安排周密但尚不够合理、基本贴合项目实际的得5分；项目组成员任务分工不够清晰完整、时间节点安排不够周密合理、可行性不强的得3分；项目组成员任务分工和时间节点安排内容有缺失或有偏颇、与项目实际偏离较大的得1分；组织实施计划完全脱离项目实际或未作项目组成员任务分工、未作时间节点安排的不得分。（7分）</w:t>
            </w:r>
            <w:r>
              <w:rPr>
                <w:rFonts w:hint="eastAsia" w:ascii="宋体" w:hAnsi="宋体" w:eastAsia="宋体" w:cs="宋体"/>
                <w:color w:val="000000"/>
                <w:sz w:val="21"/>
                <w:szCs w:val="21"/>
                <w:highlight w:val="none"/>
                <w:lang w:bidi="ar"/>
              </w:rPr>
            </w:r>
            <w:r/>
          </w:p>
        </w:tc>
        <w:tc>
          <w:tcPr>
            <w:tcW w:w="849" w:type="dxa"/>
            <w:vAlign w:val="center"/>
            <w:textDirection w:val="lrTb"/>
            <w:noWrap w:val="false"/>
          </w:tcPr>
          <w:p>
            <w:pPr>
              <w:pStyle w:val="953"/>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r>
      <w:tr>
        <w:trPr>
          <w:trHeight w:val="4456"/>
        </w:trPr>
        <w:tc>
          <w:tcPr>
            <w:tcW w:w="804" w:type="dxa"/>
            <w:vAlign w:val="center"/>
            <w:vMerge w:val="continue"/>
            <w:textDirection w:val="lrTb"/>
            <w:noWrap w:val="false"/>
          </w:tcPr>
          <w:p>
            <w:pPr>
              <w:pStyle w:val="953"/>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r>
            <w:r/>
          </w:p>
        </w:tc>
        <w:tc>
          <w:tcPr>
            <w:tcW w:w="1082" w:type="dxa"/>
            <w:vAlign w:val="center"/>
            <w:textDirection w:val="lrTb"/>
            <w:noWrap w:val="false"/>
          </w:tcPr>
          <w:p>
            <w:pPr>
              <w:pStyle w:val="953"/>
              <w:ind w:left="0"/>
              <w:jc w:val="center"/>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bCs/>
                <w:color w:val="000000"/>
                <w:sz w:val="21"/>
                <w:szCs w:val="21"/>
                <w:highlight w:val="none"/>
              </w:rPr>
              <w:t xml:space="preserve">评估指标体系</w:t>
            </w:r>
            <w:r>
              <w:rPr>
                <w:rFonts w:hint="eastAsia" w:ascii="宋体" w:hAnsi="宋体" w:eastAsia="宋体" w:cs="宋体"/>
                <w:color w:val="000000"/>
                <w:sz w:val="21"/>
                <w:szCs w:val="21"/>
                <w:highlight w:val="none"/>
                <w:lang w:bidi="ar"/>
              </w:rPr>
            </w:r>
            <w:r/>
          </w:p>
        </w:tc>
        <w:tc>
          <w:tcPr>
            <w:tcW w:w="6098" w:type="dxa"/>
            <w:vAlign w:val="center"/>
            <w:textDirection w:val="lrTb"/>
            <w:noWrap w:val="false"/>
          </w:tcPr>
          <w:p>
            <w:pPr>
              <w:pStyle w:val="953"/>
              <w:ind w:left="0"/>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sz w:val="21"/>
                <w:szCs w:val="21"/>
                <w:highlight w:val="none"/>
              </w:rPr>
              <w:t xml:space="preserve">供应商</w:t>
            </w:r>
            <w:r>
              <w:rPr>
                <w:rFonts w:hint="eastAsia" w:ascii="宋体" w:hAnsi="宋体" w:eastAsia="宋体" w:cs="宋体"/>
                <w:color w:val="000000"/>
                <w:sz w:val="21"/>
                <w:szCs w:val="21"/>
                <w:highlight w:val="none"/>
                <w:lang w:bidi="ar"/>
              </w:rPr>
              <w:t xml:space="preserve">需根据提供的项目情况设计绩效评估指标体系，以表格形式展示。评审小组对指标体系设计思路、设计要点、科学性、合理性进行评分。评分方法：</w:t>
            </w:r>
            <w:r>
              <w:rPr>
                <w:rFonts w:hint="eastAsia" w:ascii="宋体" w:hAnsi="宋体" w:eastAsia="宋体" w:cs="宋体"/>
                <w:color w:val="000000"/>
                <w:sz w:val="21"/>
                <w:szCs w:val="21"/>
                <w:highlight w:val="none"/>
                <w:lang w:bidi="ar"/>
              </w:rPr>
            </w:r>
            <w:r/>
          </w:p>
          <w:p>
            <w:pPr>
              <w:pStyle w:val="953"/>
              <w:ind w:left="0"/>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bidi="ar"/>
              </w:rPr>
              <w:t xml:space="preserve">绩效评估指标体系贴合项目实际，设计思路和设计要点条理清楚、逻辑完整，设置的评估指</w:t>
            </w:r>
            <w:r>
              <w:rPr>
                <w:rFonts w:hint="eastAsia" w:ascii="宋体" w:hAnsi="宋体" w:eastAsia="宋体" w:cs="宋体"/>
                <w:color w:val="000000"/>
                <w:sz w:val="21"/>
                <w:szCs w:val="21"/>
                <w:highlight w:val="none"/>
                <w:lang w:bidi="ar"/>
              </w:rPr>
              <w:t xml:space="preserve">标清晰全面、精准到位的，得7分；绩效评估指标体系基本契合项目实际，设计思路和设计要点陈述清晰但尚不够逻辑完整，设置的评估指标清晰全面但尚不够精准到位的，得5分；对绩效评估指标体系的设计思路、设计要点以及评估指标设置的理解泛化、不够准确到位的，得3分；对绩效评估指标体系的设计思路、设计要点以及评估指标设置的理解内容有缺失或有偏颇、有错位的、与项目实际偏离较大的，得1分；绩效评估指标体系的设计思路、设计要点以及评估指标设置完全脱离项目实际或未提供绩效评估指标体系设计思路、设计要点、评估指标设置的不得分。（7分）</w:t>
            </w:r>
            <w:r>
              <w:rPr>
                <w:rFonts w:hint="eastAsia" w:ascii="宋体" w:hAnsi="宋体" w:eastAsia="宋体" w:cs="宋体"/>
                <w:color w:val="000000"/>
                <w:sz w:val="21"/>
                <w:szCs w:val="21"/>
                <w:highlight w:val="none"/>
                <w:lang w:bidi="ar"/>
              </w:rPr>
            </w:r>
            <w:r/>
          </w:p>
        </w:tc>
        <w:tc>
          <w:tcPr>
            <w:tcW w:w="849" w:type="dxa"/>
            <w:vAlign w:val="center"/>
            <w:textDirection w:val="lrTb"/>
            <w:noWrap w:val="false"/>
          </w:tcPr>
          <w:p>
            <w:pPr>
              <w:pStyle w:val="953"/>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r>
      <w:tr>
        <w:trPr>
          <w:trHeight w:val="2946"/>
        </w:trPr>
        <w:tc>
          <w:tcPr>
            <w:tcW w:w="804" w:type="dxa"/>
            <w:vAlign w:val="center"/>
            <w:vMerge w:val="continue"/>
            <w:textDirection w:val="lrTb"/>
            <w:noWrap w:val="false"/>
          </w:tcPr>
          <w:p>
            <w:pPr>
              <w:pStyle w:val="953"/>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r>
            <w:r/>
          </w:p>
        </w:tc>
        <w:tc>
          <w:tcPr>
            <w:tcW w:w="1082" w:type="dxa"/>
            <w:vAlign w:val="center"/>
            <w:textDirection w:val="lrTb"/>
            <w:noWrap w:val="false"/>
          </w:tcPr>
          <w:p>
            <w:pPr>
              <w:pStyle w:val="953"/>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bCs/>
                <w:color w:val="000000"/>
                <w:sz w:val="21"/>
                <w:szCs w:val="21"/>
                <w:highlight w:val="none"/>
              </w:rPr>
              <w:t xml:space="preserve">社会调查方案</w:t>
            </w:r>
            <w:r>
              <w:rPr>
                <w:rFonts w:hint="eastAsia" w:ascii="宋体" w:hAnsi="宋体" w:eastAsia="宋体" w:cs="宋体"/>
                <w:color w:val="000000"/>
                <w:sz w:val="21"/>
                <w:szCs w:val="21"/>
                <w:highlight w:val="none"/>
              </w:rPr>
            </w:r>
            <w:r/>
          </w:p>
        </w:tc>
        <w:tc>
          <w:tcPr>
            <w:tcW w:w="6098" w:type="dxa"/>
            <w:vAlign w:val="center"/>
            <w:textDirection w:val="lrTb"/>
            <w:noWrap w:val="false"/>
          </w:tcPr>
          <w:p>
            <w:pPr>
              <w:pStyle w:val="953"/>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供应商需根据提供的项目情况，结合事前绩效评估定位及需求，设计社会调查方案、访谈工作方案。评审小组根据社会调查方案科学性、合理性进行评分。</w:t>
            </w:r>
            <w:r>
              <w:rPr>
                <w:rFonts w:hint="eastAsia" w:ascii="宋体" w:hAnsi="宋体" w:eastAsia="宋体" w:cs="宋体"/>
                <w:bCs/>
                <w:color w:val="000000"/>
                <w:sz w:val="21"/>
                <w:szCs w:val="21"/>
                <w:highlight w:val="none"/>
              </w:rPr>
              <w:t xml:space="preserve">（7分）</w:t>
            </w:r>
            <w:r>
              <w:rPr>
                <w:rFonts w:hint="eastAsia" w:ascii="宋体" w:hAnsi="宋体" w:eastAsia="宋体" w:cs="宋体"/>
                <w:sz w:val="21"/>
                <w:szCs w:val="21"/>
                <w:highlight w:val="none"/>
              </w:rPr>
            </w:r>
            <w:r/>
          </w:p>
          <w:p>
            <w:pPr>
              <w:pStyle w:val="953"/>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结合项目情况，社会调查方案清晰、完整、可操作性强、贴合项目实际的得7分；社会调查方案清晰但尚不够完整和到位、基本贴合项目实际的得5分；社会调查方案理解泛化、不够清晰完整的得3分；社会调查方案</w:t>
            </w:r>
            <w:r>
              <w:rPr>
                <w:rFonts w:hint="eastAsia" w:ascii="宋体" w:hAnsi="宋体" w:eastAsia="宋体" w:cs="宋体"/>
                <w:color w:val="000000"/>
                <w:sz w:val="21"/>
                <w:szCs w:val="21"/>
                <w:highlight w:val="none"/>
                <w:lang w:bidi="ar"/>
              </w:rPr>
              <w:t xml:space="preserve">内容有缺失或有偏颇、有错位、与项目实际偏离较大</w:t>
            </w:r>
            <w:r>
              <w:rPr>
                <w:rFonts w:hint="eastAsia" w:ascii="宋体" w:hAnsi="宋体" w:eastAsia="宋体" w:cs="宋体"/>
                <w:sz w:val="21"/>
                <w:szCs w:val="21"/>
                <w:highlight w:val="none"/>
              </w:rPr>
              <w:t xml:space="preserve">的得1分；社会调查方案完全脱离项目实际或未提供社会调查方案的不得分。</w:t>
            </w:r>
            <w:r>
              <w:rPr>
                <w:rFonts w:hint="eastAsia" w:ascii="宋体" w:hAnsi="宋体" w:eastAsia="宋体" w:cs="宋体"/>
                <w:sz w:val="21"/>
                <w:szCs w:val="21"/>
                <w:highlight w:val="none"/>
              </w:rPr>
            </w:r>
            <w:r/>
          </w:p>
        </w:tc>
        <w:tc>
          <w:tcPr>
            <w:tcW w:w="849" w:type="dxa"/>
            <w:vAlign w:val="center"/>
            <w:textDirection w:val="lrTb"/>
            <w:noWrap w:val="false"/>
          </w:tcPr>
          <w:p>
            <w:pPr>
              <w:pStyle w:val="953"/>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r>
      <w:tr>
        <w:trPr>
          <w:trHeight w:val="2156"/>
        </w:trPr>
        <w:tc>
          <w:tcPr>
            <w:tcW w:w="804" w:type="dxa"/>
            <w:vAlign w:val="center"/>
            <w:vMerge w:val="continue"/>
            <w:textDirection w:val="lrTb"/>
            <w:noWrap w:val="false"/>
          </w:tcPr>
          <w:p>
            <w:pPr>
              <w:pStyle w:val="953"/>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r>
            <w:r/>
          </w:p>
        </w:tc>
        <w:tc>
          <w:tcPr>
            <w:tcW w:w="1082" w:type="dxa"/>
            <w:vAlign w:val="center"/>
            <w:textDirection w:val="lrTb"/>
            <w:noWrap w:val="false"/>
          </w:tcPr>
          <w:p>
            <w:pPr>
              <w:pStyle w:val="953"/>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拟投入项目评价工作组人员</w:t>
            </w:r>
            <w:r>
              <w:rPr>
                <w:rFonts w:hint="eastAsia" w:ascii="宋体" w:hAnsi="宋体" w:eastAsia="宋体" w:cs="宋体"/>
                <w:color w:val="000000"/>
                <w:sz w:val="21"/>
                <w:szCs w:val="21"/>
                <w:highlight w:val="none"/>
              </w:rPr>
            </w:r>
            <w:r/>
          </w:p>
        </w:tc>
        <w:tc>
          <w:tcPr>
            <w:tcW w:w="6098" w:type="dxa"/>
            <w:vAlign w:val="center"/>
            <w:textDirection w:val="lrTb"/>
            <w:noWrap w:val="false"/>
          </w:tcPr>
          <w:p>
            <w:pPr>
              <w:pStyle w:val="953"/>
              <w:ind w:left="0"/>
              <w:widowControl w:val="off"/>
              <w:rPr>
                <w:rFonts w:hint="eastAsia" w:ascii="宋体" w:hAnsi="宋体" w:eastAsia="宋体" w:cs="宋体"/>
                <w:sz w:val="21"/>
                <w:szCs w:val="21"/>
                <w:highlight w:val="none"/>
                <w:lang w:eastAsia="zh-CN"/>
              </w:rPr>
              <w:framePr w:vAnchor="margin" w:hAnchor="page" w:xAlign="center" w:y="1"/>
            </w:pPr>
            <w:r>
              <w:rPr>
                <w:rFonts w:hint="eastAsia" w:ascii="宋体" w:hAnsi="宋体" w:eastAsia="宋体" w:cs="宋体"/>
                <w:sz w:val="21"/>
                <w:szCs w:val="21"/>
                <w:highlight w:val="none"/>
              </w:rPr>
              <w:t xml:space="preserve">2023年1月1日起至今参加财政部门（或注册会计师协会）组织的绩效评价业务培训的，有1人次得1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分，最高</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65"/>
              <w:ind w:left="0" w:firstLine="0"/>
              <w:keepLines w:val="0"/>
              <w:keepNext w:val="0"/>
              <w:pageBreakBefore w:val="0"/>
              <w:spacing w:line="320" w:lineRule="exact"/>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b/>
                <w:sz w:val="21"/>
                <w:szCs w:val="21"/>
                <w:highlight w:val="none"/>
              </w:rPr>
              <w:t xml:space="preserve">注：响应文件中须提供身份证扫描件并加盖响应单位公章，参加财政部门组织的绩效评价业务培训，需提供财政部门盖章确认的证明材料，证明材料可提供复印件或扫描件并加盖响应单位公章。</w:t>
            </w:r>
            <w:r>
              <w:rPr>
                <w:rFonts w:hint="eastAsia" w:ascii="宋体" w:hAnsi="宋体" w:eastAsia="宋体" w:cs="宋体"/>
                <w:b/>
                <w:color w:val="000000"/>
                <w:sz w:val="21"/>
                <w:szCs w:val="21"/>
                <w:highlight w:val="none"/>
              </w:rPr>
              <w:t xml:space="preserve">未提供不得分。</w:t>
            </w:r>
            <w:r>
              <w:rPr>
                <w:rFonts w:hint="eastAsia" w:ascii="宋体" w:hAnsi="宋体" w:eastAsia="宋体" w:cs="宋体"/>
                <w:sz w:val="21"/>
                <w:szCs w:val="21"/>
                <w:highlight w:val="none"/>
              </w:rPr>
            </w:r>
            <w:r/>
          </w:p>
        </w:tc>
        <w:tc>
          <w:tcPr>
            <w:tcW w:w="849" w:type="dxa"/>
            <w:vAlign w:val="center"/>
            <w:textDirection w:val="lrTb"/>
            <w:noWrap w:val="false"/>
          </w:tcPr>
          <w:p>
            <w:pPr>
              <w:pStyle w:val="953"/>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r>
      <w:tr>
        <w:trPr>
          <w:trHeight w:val="1924"/>
        </w:trPr>
        <w:tc>
          <w:tcPr>
            <w:tcW w:w="804" w:type="dxa"/>
            <w:vAlign w:val="center"/>
            <w:vMerge w:val="continue"/>
            <w:textDirection w:val="lrTb"/>
            <w:noWrap w:val="false"/>
          </w:tcPr>
          <w:p>
            <w:pPr>
              <w:pStyle w:val="953"/>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r>
            <w:r/>
          </w:p>
        </w:tc>
        <w:tc>
          <w:tcPr>
            <w:tcW w:w="1082" w:type="dxa"/>
            <w:vAlign w:val="center"/>
            <w:textDirection w:val="lrTb"/>
            <w:noWrap w:val="false"/>
          </w:tcPr>
          <w:p>
            <w:pPr>
              <w:pStyle w:val="953"/>
              <w:ind w:left="0"/>
              <w:jc w:val="center"/>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rPr>
              <w:t xml:space="preserve">拟派的本项目服务人员</w:t>
            </w:r>
            <w:r>
              <w:rPr>
                <w:rFonts w:hint="eastAsia" w:ascii="宋体" w:hAnsi="宋体" w:eastAsia="宋体" w:cs="宋体"/>
                <w:sz w:val="21"/>
                <w:szCs w:val="21"/>
                <w:highlight w:val="none"/>
              </w:rPr>
            </w:r>
            <w:r/>
          </w:p>
        </w:tc>
        <w:tc>
          <w:tcPr>
            <w:tcW w:w="6098" w:type="dxa"/>
            <w:vAlign w:val="center"/>
            <w:textDirection w:val="lrTb"/>
            <w:noWrap w:val="false"/>
          </w:tcPr>
          <w:p>
            <w:pPr>
              <w:pStyle w:val="953"/>
              <w:ind w:left="0"/>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拟派的本项目服务人员中，每具备一名高级会计师或高级经济师得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分，每具备一名中级会计师或中级经济师得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分，本项最高得5分。</w:t>
            </w:r>
            <w:r>
              <w:rPr>
                <w:rFonts w:hint="eastAsia" w:ascii="宋体" w:hAnsi="宋体" w:eastAsia="宋体" w:cs="宋体"/>
                <w:color w:val="000000"/>
                <w:sz w:val="21"/>
                <w:szCs w:val="21"/>
                <w:highlight w:val="none"/>
              </w:rPr>
            </w:r>
            <w:r/>
          </w:p>
          <w:p>
            <w:pPr>
              <w:pStyle w:val="965"/>
              <w:ind w:left="0" w:firstLine="0"/>
              <w:keepLines w:val="0"/>
              <w:keepNext w:val="0"/>
              <w:pageBreakBefore w:val="0"/>
              <w:spacing w:line="320" w:lineRule="exact"/>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注：响应文件中须提供相关人员身份证扫描件、证书复印件并加盖响应单位公章，未提供不得分。</w:t>
            </w:r>
            <w:r>
              <w:rPr>
                <w:rFonts w:hint="eastAsia" w:ascii="宋体" w:hAnsi="宋体" w:eastAsia="宋体" w:cs="宋体"/>
                <w:sz w:val="21"/>
                <w:szCs w:val="21"/>
                <w:highlight w:val="none"/>
              </w:rPr>
            </w:r>
            <w:r/>
          </w:p>
        </w:tc>
        <w:tc>
          <w:tcPr>
            <w:tcW w:w="849" w:type="dxa"/>
            <w:vAlign w:val="center"/>
            <w:textDirection w:val="lrTb"/>
            <w:noWrap w:val="false"/>
          </w:tcPr>
          <w:p>
            <w:pPr>
              <w:pStyle w:val="953"/>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r>
      <w:tr>
        <w:trPr>
          <w:trHeight w:val="3582"/>
        </w:trPr>
        <w:tc>
          <w:tcPr>
            <w:tcW w:w="804" w:type="dxa"/>
            <w:vAlign w:val="center"/>
            <w:vMerge w:val="continue"/>
            <w:textDirection w:val="lrTb"/>
            <w:noWrap w:val="false"/>
          </w:tcPr>
          <w:p>
            <w:pPr>
              <w:pStyle w:val="953"/>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r>
            <w:r/>
          </w:p>
        </w:tc>
        <w:tc>
          <w:tcPr>
            <w:tcW w:w="1082" w:type="dxa"/>
            <w:vAlign w:val="center"/>
            <w:textDirection w:val="lrTb"/>
            <w:noWrap w:val="false"/>
          </w:tcPr>
          <w:p>
            <w:pPr>
              <w:pStyle w:val="953"/>
              <w:ind w:left="0"/>
              <w:jc w:val="center"/>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▲拟派出项目组成员（固定1人打★之人员）评价</w:t>
            </w:r>
            <w:r>
              <w:rPr>
                <w:rFonts w:hint="eastAsia" w:ascii="宋体" w:hAnsi="宋体" w:eastAsia="宋体" w:cs="宋体"/>
                <w:sz w:val="21"/>
                <w:szCs w:val="21"/>
                <w:highlight w:val="none"/>
              </w:rPr>
            </w:r>
            <w:r/>
          </w:p>
        </w:tc>
        <w:tc>
          <w:tcPr>
            <w:tcW w:w="6098" w:type="dxa"/>
            <w:vAlign w:val="center"/>
            <w:textDirection w:val="lrTb"/>
            <w:noWrap w:val="false"/>
          </w:tcPr>
          <w:p>
            <w:pPr>
              <w:pStyle w:val="953"/>
              <w:ind w:left="0"/>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1.拟派的项目组固定成员中具备与本项目领域相关的项目经验，有一人有1个项目经验的得1分，有一人有2个项目经验的得2分，有一人有3个及以上项目经验的得3分（参与同一项目的人员不重复计分），本项最高6分。</w:t>
            </w:r>
            <w:r>
              <w:rPr>
                <w:rFonts w:hint="eastAsia" w:ascii="宋体" w:hAnsi="宋体" w:eastAsia="宋体" w:cs="宋体"/>
                <w:sz w:val="21"/>
                <w:szCs w:val="21"/>
                <w:highlight w:val="none"/>
              </w:rPr>
            </w:r>
            <w:r/>
          </w:p>
          <w:p>
            <w:pPr>
              <w:pStyle w:val="953"/>
              <w:ind w:left="0"/>
              <w:rPr>
                <w:rFonts w:hint="eastAsia" w:ascii="宋体" w:hAnsi="宋体" w:eastAsia="宋体" w:cs="宋体"/>
                <w:b/>
                <w:sz w:val="21"/>
                <w:szCs w:val="21"/>
                <w:highlight w:val="none"/>
              </w:rPr>
              <w:framePr w:vAnchor="margin" w:hAnchor="page" w:xAlign="center" w:y="1"/>
            </w:pPr>
            <w:r>
              <w:rPr>
                <w:rFonts w:hint="eastAsia" w:ascii="宋体" w:hAnsi="宋体" w:eastAsia="宋体" w:cs="宋体"/>
                <w:b/>
                <w:sz w:val="21"/>
                <w:szCs w:val="21"/>
                <w:highlight w:val="none"/>
              </w:rPr>
              <w:t xml:space="preserve">注：</w:t>
            </w:r>
            <w:r>
              <w:rPr>
                <w:rFonts w:hint="eastAsia" w:ascii="宋体" w:hAnsi="宋体" w:eastAsia="宋体" w:cs="宋体"/>
                <w:b/>
                <w:color w:val="000000"/>
                <w:sz w:val="21"/>
                <w:szCs w:val="21"/>
                <w:highlight w:val="none"/>
              </w:rPr>
              <w:t xml:space="preserve">响应文件中须</w:t>
            </w:r>
            <w:r>
              <w:rPr>
                <w:rFonts w:hint="eastAsia" w:ascii="宋体" w:hAnsi="宋体" w:eastAsia="宋体" w:cs="宋体"/>
                <w:b/>
                <w:sz w:val="21"/>
                <w:szCs w:val="21"/>
                <w:highlight w:val="none"/>
              </w:rPr>
              <w:t xml:space="preserve">提供上述人员身份证扫描件、参与相关项目履约验收资料复印件（证明材料中能体现拟派人员的名称）并加盖响应单位公章，不提供或不满足不得分。</w:t>
            </w:r>
            <w:r>
              <w:rPr>
                <w:rFonts w:hint="eastAsia" w:ascii="宋体" w:hAnsi="宋体" w:eastAsia="宋体" w:cs="宋体"/>
                <w:b/>
                <w:sz w:val="21"/>
                <w:szCs w:val="21"/>
                <w:highlight w:val="none"/>
              </w:rPr>
            </w:r>
            <w:r/>
          </w:p>
          <w:p>
            <w:pPr>
              <w:pStyle w:val="953"/>
              <w:ind w:left="0"/>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2.拟派的项目组固定成员中在专业期刊有发表与本项目领域相关论文或成果的，每有一项得1分，此项最高得3分。</w:t>
            </w:r>
            <w:r>
              <w:rPr>
                <w:rFonts w:hint="eastAsia" w:ascii="宋体" w:hAnsi="宋体" w:eastAsia="宋体" w:cs="宋体"/>
                <w:sz w:val="21"/>
                <w:szCs w:val="21"/>
                <w:highlight w:val="none"/>
              </w:rPr>
            </w:r>
            <w:r/>
          </w:p>
          <w:p>
            <w:pPr>
              <w:pStyle w:val="953"/>
              <w:ind w:left="0"/>
              <w:rPr>
                <w:rFonts w:hint="eastAsia" w:ascii="宋体" w:hAnsi="宋体" w:eastAsia="宋体" w:cs="宋体"/>
                <w:sz w:val="21"/>
                <w:szCs w:val="21"/>
                <w:highlight w:val="none"/>
              </w:rPr>
              <w:framePr w:vAnchor="margin" w:hAnchor="page" w:xAlign="center" w:y="1"/>
            </w:pPr>
            <w:r>
              <w:rPr>
                <w:rFonts w:hint="eastAsia" w:ascii="宋体" w:hAnsi="宋体" w:eastAsia="宋体" w:cs="宋体"/>
                <w:b/>
                <w:sz w:val="21"/>
                <w:szCs w:val="21"/>
                <w:highlight w:val="none"/>
              </w:rPr>
              <w:t xml:space="preserve">注：</w:t>
            </w:r>
            <w:r>
              <w:rPr>
                <w:rFonts w:hint="eastAsia" w:ascii="宋体" w:hAnsi="宋体" w:eastAsia="宋体" w:cs="宋体"/>
                <w:b/>
                <w:color w:val="000000"/>
                <w:sz w:val="21"/>
                <w:szCs w:val="21"/>
                <w:highlight w:val="none"/>
              </w:rPr>
              <w:t xml:space="preserve">响应文件中须</w:t>
            </w:r>
            <w:r>
              <w:rPr>
                <w:rFonts w:hint="eastAsia" w:ascii="宋体" w:hAnsi="宋体" w:eastAsia="宋体" w:cs="宋体"/>
                <w:b/>
                <w:sz w:val="21"/>
                <w:szCs w:val="21"/>
                <w:highlight w:val="none"/>
              </w:rPr>
              <w:t xml:space="preserve">提供上述人员身份证扫描件、相关证明复印件并加盖响应单位公章，不提供或不满足不得分。</w:t>
            </w:r>
            <w:r>
              <w:rPr>
                <w:rFonts w:hint="eastAsia" w:ascii="宋体" w:hAnsi="宋体" w:eastAsia="宋体" w:cs="宋体"/>
                <w:sz w:val="21"/>
                <w:szCs w:val="21"/>
                <w:highlight w:val="none"/>
              </w:rPr>
            </w:r>
            <w:r/>
          </w:p>
        </w:tc>
        <w:tc>
          <w:tcPr>
            <w:tcW w:w="849" w:type="dxa"/>
            <w:vAlign w:val="center"/>
            <w:textDirection w:val="lrTb"/>
            <w:noWrap w:val="false"/>
          </w:tcPr>
          <w:p>
            <w:pPr>
              <w:pStyle w:val="953"/>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r>
      <w:tr>
        <w:trPr>
          <w:trHeight w:val="1420"/>
        </w:trPr>
        <w:tc>
          <w:tcPr>
            <w:tcW w:w="804" w:type="dxa"/>
            <w:vAlign w:val="center"/>
            <w:vMerge w:val="continue"/>
            <w:textDirection w:val="lrTb"/>
            <w:noWrap w:val="false"/>
          </w:tcPr>
          <w:p>
            <w:pPr>
              <w:pStyle w:val="953"/>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r>
            <w:r/>
          </w:p>
        </w:tc>
        <w:tc>
          <w:tcPr>
            <w:tcW w:w="1082" w:type="dxa"/>
            <w:vAlign w:val="center"/>
            <w:textDirection w:val="lrTb"/>
            <w:noWrap w:val="false"/>
          </w:tcPr>
          <w:p>
            <w:pPr>
              <w:pStyle w:val="953"/>
              <w:ind w:left="0"/>
              <w:jc w:val="center"/>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▲类似业绩</w:t>
            </w:r>
            <w:r>
              <w:rPr>
                <w:rFonts w:hint="eastAsia" w:ascii="宋体" w:hAnsi="宋体" w:eastAsia="宋体" w:cs="宋体"/>
                <w:sz w:val="21"/>
                <w:szCs w:val="21"/>
                <w:highlight w:val="none"/>
              </w:rPr>
            </w:r>
            <w:r/>
          </w:p>
        </w:tc>
        <w:tc>
          <w:tcPr>
            <w:tcW w:w="6098" w:type="dxa"/>
            <w:vAlign w:val="center"/>
            <w:textDirection w:val="lrTb"/>
            <w:noWrap w:val="false"/>
          </w:tcPr>
          <w:p>
            <w:pPr>
              <w:pStyle w:val="953"/>
              <w:ind w:left="0"/>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供应商自2023年1月1日起至今签订的类似项目业绩，每提供一份得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分。此项累计加分最高8分。</w:t>
            </w:r>
            <w:r>
              <w:rPr>
                <w:rFonts w:hint="eastAsia" w:ascii="宋体" w:hAnsi="宋体" w:eastAsia="宋体" w:cs="宋体"/>
                <w:sz w:val="21"/>
                <w:szCs w:val="21"/>
                <w:highlight w:val="none"/>
              </w:rPr>
            </w:r>
            <w:r/>
          </w:p>
          <w:p>
            <w:pPr>
              <w:pStyle w:val="953"/>
              <w:ind w:left="0"/>
              <w:rPr>
                <w:rFonts w:hint="eastAsia" w:ascii="宋体" w:hAnsi="宋体" w:eastAsia="宋体" w:cs="宋体"/>
                <w:b/>
                <w:sz w:val="21"/>
                <w:szCs w:val="21"/>
                <w:highlight w:val="none"/>
              </w:rPr>
              <w:framePr w:vAnchor="margin" w:hAnchor="page" w:xAlign="center" w:y="1"/>
            </w:pPr>
            <w:r>
              <w:rPr>
                <w:rFonts w:hint="eastAsia" w:ascii="宋体" w:hAnsi="宋体" w:eastAsia="宋体" w:cs="宋体"/>
                <w:b/>
                <w:sz w:val="21"/>
                <w:szCs w:val="21"/>
                <w:highlight w:val="none"/>
              </w:rPr>
              <w:t xml:space="preserve">注：响应文件中须提供合同复印件并加盖响应单位公章，不提供不得分。类似业绩日期认定：以签订合同日期为准。</w:t>
            </w:r>
            <w:r>
              <w:rPr>
                <w:rFonts w:hint="eastAsia" w:ascii="宋体" w:hAnsi="宋体" w:eastAsia="宋体" w:cs="宋体"/>
                <w:b/>
                <w:sz w:val="21"/>
                <w:szCs w:val="21"/>
                <w:highlight w:val="none"/>
              </w:rPr>
            </w:r>
            <w:r/>
          </w:p>
        </w:tc>
        <w:tc>
          <w:tcPr>
            <w:tcW w:w="849" w:type="dxa"/>
            <w:vAlign w:val="center"/>
            <w:textDirection w:val="lrTb"/>
            <w:noWrap w:val="false"/>
          </w:tcPr>
          <w:p>
            <w:pPr>
              <w:pStyle w:val="953"/>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r>
    </w:tbl>
    <w:p>
      <w:pPr>
        <w:pStyle w:val="953"/>
        <w:ind w:left="0" w:firstLine="422"/>
        <w:spacing w:line="360" w:lineRule="auto"/>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t xml:space="preserve">备注：表格中▲为客观分。</w:t>
      </w:r>
      <w:r>
        <w:rPr>
          <w:rFonts w:hint="eastAsia" w:ascii="宋体" w:hAnsi="宋体" w:eastAsia="宋体" w:cs="宋体"/>
          <w:b/>
          <w:sz w:val="21"/>
          <w:szCs w:val="21"/>
          <w:highlight w:val="none"/>
          <w:lang w:bidi="ar"/>
        </w:rPr>
      </w:r>
      <w:r/>
    </w:p>
    <w:p>
      <w:pPr>
        <w:pStyle w:val="953"/>
        <w:ind w:firstLine="48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953"/>
        <w:ind w:firstLine="480"/>
        <w:spacing w:line="360" w:lineRule="auto"/>
        <w:rPr>
          <w:rFonts w:hint="eastAsia" w:ascii="宋体" w:hAnsi="宋体" w:eastAsia="宋体" w:cs="宋体"/>
          <w:b/>
          <w:sz w:val="21"/>
          <w:szCs w:val="21"/>
          <w:highlight w:val="none"/>
        </w:rPr>
      </w:pPr>
      <w:r>
        <w:rPr>
          <w:rFonts w:hint="eastAsia" w:ascii="宋体" w:hAnsi="宋体" w:eastAsia="宋体" w:cs="宋体"/>
          <w:b/>
          <w:bCs/>
          <w:sz w:val="21"/>
          <w:szCs w:val="21"/>
          <w:highlight w:val="none"/>
        </w:rPr>
        <w:t xml:space="preserve">采购包4评分标准：</w:t>
      </w:r>
      <w:r>
        <w:rPr>
          <w:rFonts w:hint="eastAsia" w:ascii="宋体" w:hAnsi="宋体" w:eastAsia="宋体" w:cs="宋体"/>
          <w:b/>
          <w:sz w:val="21"/>
          <w:szCs w:val="21"/>
          <w:highlight w:val="none"/>
        </w:rPr>
      </w:r>
      <w:r/>
    </w:p>
    <w:tbl>
      <w:tblPr>
        <w:tblpPr w:horzAnchor="text" w:tblpXSpec="center" w:vertAnchor="text" w:tblpY="1" w:leftFromText="180" w:topFromText="0" w:rightFromText="180" w:bottomFromText="0"/>
        <w:tblW w:w="517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1069"/>
        <w:gridCol w:w="6123"/>
        <w:gridCol w:w="811"/>
      </w:tblGrid>
      <w:tr>
        <w:trPr>
          <w:trHeight w:val="113"/>
        </w:trPr>
        <w:tc>
          <w:tcPr>
            <w:tcW w:w="459" w:type="dxa"/>
            <w:vAlign w:val="center"/>
            <w:textDirection w:val="lrTb"/>
            <w:noWrap w:val="false"/>
          </w:tcPr>
          <w:p>
            <w:pPr>
              <w:pStyle w:val="953"/>
              <w:ind w:left="0"/>
              <w:jc w:val="center"/>
              <w:widowControl w:val="off"/>
              <w:rPr>
                <w:rFonts w:hint="eastAsia" w:ascii="宋体" w:hAnsi="宋体" w:eastAsia="宋体" w:cs="宋体"/>
                <w:b/>
                <w:bCs/>
                <w:sz w:val="21"/>
                <w:szCs w:val="21"/>
                <w:highlight w:val="none"/>
              </w:rPr>
              <w:framePr w:vAnchor="margin" w:hAnchor="page" w:xAlign="center" w:y="1"/>
            </w:pPr>
            <w:r>
              <w:rPr>
                <w:rFonts w:hint="eastAsia" w:ascii="宋体" w:hAnsi="宋体" w:eastAsia="宋体" w:cs="宋体"/>
                <w:b/>
                <w:sz w:val="21"/>
                <w:szCs w:val="21"/>
                <w:highlight w:val="none"/>
              </w:rPr>
              <w:t xml:space="preserve">评审类别</w:t>
            </w:r>
            <w:r>
              <w:rPr>
                <w:rFonts w:hint="eastAsia" w:ascii="宋体" w:hAnsi="宋体" w:eastAsia="宋体" w:cs="宋体"/>
                <w:b/>
                <w:bCs/>
                <w:sz w:val="21"/>
                <w:szCs w:val="21"/>
                <w:highlight w:val="none"/>
              </w:rPr>
            </w:r>
            <w:r/>
          </w:p>
        </w:tc>
        <w:tc>
          <w:tcPr>
            <w:tcW w:w="606" w:type="dxa"/>
            <w:vAlign w:val="center"/>
            <w:textDirection w:val="lrTb"/>
            <w:noWrap w:val="false"/>
          </w:tcPr>
          <w:p>
            <w:pPr>
              <w:pStyle w:val="953"/>
              <w:ind w:left="0"/>
              <w:jc w:val="center"/>
              <w:widowControl w:val="off"/>
              <w:rPr>
                <w:rFonts w:hint="eastAsia" w:ascii="宋体" w:hAnsi="宋体" w:eastAsia="宋体" w:cs="宋体"/>
                <w:b/>
                <w:bCs/>
                <w:sz w:val="21"/>
                <w:szCs w:val="21"/>
                <w:highlight w:val="none"/>
              </w:rPr>
              <w:framePr w:vAnchor="margin" w:hAnchor="page" w:xAlign="center" w:y="1"/>
            </w:pPr>
            <w:r>
              <w:rPr>
                <w:rFonts w:hint="eastAsia" w:ascii="宋体" w:hAnsi="宋体" w:eastAsia="宋体" w:cs="宋体"/>
                <w:b/>
                <w:sz w:val="21"/>
                <w:szCs w:val="21"/>
                <w:highlight w:val="none"/>
              </w:rPr>
              <w:t xml:space="preserve">评审项</w:t>
            </w:r>
            <w:r>
              <w:rPr>
                <w:rFonts w:hint="eastAsia" w:ascii="宋体" w:hAnsi="宋体" w:eastAsia="宋体" w:cs="宋体"/>
                <w:b/>
                <w:bCs/>
                <w:sz w:val="21"/>
                <w:szCs w:val="21"/>
                <w:highlight w:val="none"/>
              </w:rPr>
            </w:r>
            <w:r/>
          </w:p>
        </w:tc>
        <w:tc>
          <w:tcPr>
            <w:tcW w:w="3474" w:type="dxa"/>
            <w:vAlign w:val="center"/>
            <w:textDirection w:val="lrTb"/>
            <w:noWrap w:val="false"/>
          </w:tcPr>
          <w:p>
            <w:pPr>
              <w:pStyle w:val="953"/>
              <w:ind w:left="0"/>
              <w:jc w:val="center"/>
              <w:widowControl w:val="off"/>
              <w:rPr>
                <w:rFonts w:hint="eastAsia" w:ascii="宋体" w:hAnsi="宋体" w:eastAsia="宋体" w:cs="宋体"/>
                <w:b/>
                <w:bCs/>
                <w:sz w:val="21"/>
                <w:szCs w:val="21"/>
                <w:highlight w:val="none"/>
              </w:rPr>
              <w:framePr w:vAnchor="margin" w:hAnchor="page" w:xAlign="center" w:y="1"/>
            </w:pPr>
            <w:r>
              <w:rPr>
                <w:rFonts w:hint="eastAsia" w:ascii="宋体" w:hAnsi="宋体" w:eastAsia="宋体" w:cs="宋体"/>
                <w:b/>
                <w:sz w:val="21"/>
                <w:szCs w:val="21"/>
                <w:highlight w:val="none"/>
              </w:rPr>
              <w:t xml:space="preserve">评审规则</w:t>
            </w:r>
            <w:r>
              <w:rPr>
                <w:rFonts w:hint="eastAsia" w:ascii="宋体" w:hAnsi="宋体" w:eastAsia="宋体" w:cs="宋体"/>
                <w:b/>
                <w:bCs/>
                <w:sz w:val="21"/>
                <w:szCs w:val="21"/>
                <w:highlight w:val="none"/>
              </w:rPr>
            </w:r>
            <w:r/>
          </w:p>
        </w:tc>
        <w:tc>
          <w:tcPr>
            <w:tcW w:w="460" w:type="dxa"/>
            <w:vAlign w:val="center"/>
            <w:textDirection w:val="lrTb"/>
            <w:noWrap w:val="false"/>
          </w:tcPr>
          <w:p>
            <w:pPr>
              <w:pStyle w:val="953"/>
              <w:ind w:left="0"/>
              <w:jc w:val="center"/>
              <w:widowControl w:val="off"/>
              <w:rPr>
                <w:rFonts w:hint="eastAsia" w:ascii="宋体" w:hAnsi="宋体" w:eastAsia="宋体" w:cs="宋体"/>
                <w:b/>
                <w:bCs/>
                <w:sz w:val="21"/>
                <w:szCs w:val="21"/>
                <w:highlight w:val="none"/>
              </w:rPr>
              <w:framePr w:vAnchor="margin" w:hAnchor="page" w:xAlign="center" w:y="1"/>
            </w:pPr>
            <w:r>
              <w:rPr>
                <w:rFonts w:hint="eastAsia" w:ascii="宋体" w:hAnsi="宋体" w:eastAsia="宋体" w:cs="宋体"/>
                <w:b/>
                <w:sz w:val="21"/>
                <w:szCs w:val="21"/>
                <w:highlight w:val="none"/>
              </w:rPr>
              <w:t xml:space="preserve">分值（分）</w:t>
            </w:r>
            <w:r>
              <w:rPr>
                <w:rFonts w:hint="eastAsia" w:ascii="宋体" w:hAnsi="宋体" w:eastAsia="宋体" w:cs="宋体"/>
                <w:b/>
                <w:bCs/>
                <w:sz w:val="21"/>
                <w:szCs w:val="21"/>
                <w:highlight w:val="none"/>
              </w:rPr>
            </w:r>
            <w:r/>
          </w:p>
        </w:tc>
      </w:tr>
      <w:tr>
        <w:trPr>
          <w:trHeight w:val="2371"/>
        </w:trPr>
        <w:tc>
          <w:tcPr>
            <w:tcW w:w="459" w:type="dxa"/>
            <w:vAlign w:val="center"/>
            <w:textDirection w:val="lrTb"/>
            <w:noWrap w:val="false"/>
          </w:tcPr>
          <w:p>
            <w:pPr>
              <w:pStyle w:val="953"/>
              <w:ind w:left="0"/>
              <w:jc w:val="center"/>
              <w:widowControl w:val="off"/>
              <w:rPr>
                <w:rFonts w:hint="eastAsia" w:ascii="宋体" w:hAnsi="宋体" w:eastAsia="宋体" w:cs="宋体"/>
                <w:b/>
                <w:sz w:val="21"/>
                <w:szCs w:val="21"/>
                <w:highlight w:val="none"/>
              </w:rPr>
              <w:framePr w:vAnchor="margin" w:hAnchor="page" w:xAlign="center" w:y="1"/>
            </w:pPr>
            <w:r>
              <w:rPr>
                <w:rFonts w:hint="eastAsia" w:ascii="宋体" w:hAnsi="宋体" w:eastAsia="宋体" w:cs="宋体"/>
                <w:b/>
                <w:sz w:val="21"/>
                <w:szCs w:val="21"/>
                <w:highlight w:val="none"/>
              </w:rPr>
              <w:t xml:space="preserve">价格部分</w:t>
            </w:r>
            <w:r>
              <w:rPr>
                <w:rFonts w:hint="eastAsia" w:ascii="宋体" w:hAnsi="宋体" w:eastAsia="宋体" w:cs="宋体"/>
                <w:b/>
                <w:sz w:val="21"/>
                <w:szCs w:val="21"/>
                <w:highlight w:val="none"/>
              </w:rPr>
            </w:r>
            <w:r/>
          </w:p>
          <w:p>
            <w:pPr>
              <w:pStyle w:val="953"/>
              <w:ind w:left="0"/>
              <w:jc w:val="center"/>
              <w:widowControl w:val="off"/>
              <w:rPr>
                <w:rFonts w:hint="eastAsia" w:ascii="宋体" w:hAnsi="宋体" w:eastAsia="宋体" w:cs="宋体"/>
                <w:b/>
                <w:sz w:val="21"/>
                <w:szCs w:val="21"/>
                <w:highlight w:val="none"/>
              </w:rPr>
              <w:framePr w:vAnchor="margin" w:hAnchor="page" w:xAlign="center" w:y="1"/>
            </w:pPr>
            <w:r>
              <w:rPr>
                <w:rFonts w:hint="eastAsia" w:ascii="宋体" w:hAnsi="宋体" w:eastAsia="宋体" w:cs="宋体"/>
                <w:b/>
                <w:sz w:val="21"/>
                <w:szCs w:val="21"/>
                <w:highlight w:val="none"/>
              </w:rPr>
              <w:t xml:space="preserve">（10分）</w:t>
            </w:r>
            <w:r>
              <w:rPr>
                <w:rFonts w:hint="eastAsia" w:ascii="宋体" w:hAnsi="宋体" w:eastAsia="宋体" w:cs="宋体"/>
                <w:b/>
                <w:sz w:val="21"/>
                <w:szCs w:val="21"/>
                <w:highlight w:val="none"/>
              </w:rPr>
            </w:r>
            <w:r/>
          </w:p>
        </w:tc>
        <w:tc>
          <w:tcPr>
            <w:tcW w:w="606" w:type="dxa"/>
            <w:vAlign w:val="center"/>
            <w:textDirection w:val="lrTb"/>
            <w:noWrap w:val="false"/>
          </w:tcPr>
          <w:p>
            <w:pPr>
              <w:pStyle w:val="953"/>
              <w:ind w:left="0"/>
              <w:jc w:val="center"/>
              <w:widowControl w:val="off"/>
              <w:rPr>
                <w:rFonts w:hint="eastAsia" w:ascii="宋体" w:hAnsi="宋体" w:eastAsia="宋体" w:cs="宋体"/>
                <w:bCs/>
                <w:sz w:val="21"/>
                <w:szCs w:val="21"/>
                <w:highlight w:val="none"/>
              </w:rPr>
              <w:framePr w:vAnchor="margin" w:hAnchor="page" w:xAlign="center" w:y="1"/>
            </w:pPr>
            <w:r>
              <w:rPr>
                <w:rFonts w:hint="eastAsia" w:ascii="宋体" w:hAnsi="宋体" w:eastAsia="宋体" w:cs="宋体"/>
                <w:bCs/>
                <w:sz w:val="21"/>
                <w:szCs w:val="21"/>
                <w:highlight w:val="none"/>
              </w:rPr>
              <w:t xml:space="preserve">响应报价</w:t>
            </w:r>
            <w:r>
              <w:rPr>
                <w:rFonts w:hint="eastAsia" w:ascii="宋体" w:hAnsi="宋体" w:eastAsia="宋体" w:cs="宋体"/>
                <w:bCs/>
                <w:sz w:val="21"/>
                <w:szCs w:val="21"/>
                <w:highlight w:val="none"/>
              </w:rPr>
            </w:r>
            <w:r/>
          </w:p>
        </w:tc>
        <w:tc>
          <w:tcPr>
            <w:tcW w:w="3474" w:type="dxa"/>
            <w:vAlign w:val="center"/>
            <w:textDirection w:val="lrTb"/>
            <w:noWrap w:val="false"/>
          </w:tcPr>
          <w:p>
            <w:pPr>
              <w:pStyle w:val="953"/>
              <w:ind w:left="0"/>
              <w:widowControl w:val="off"/>
              <w:rPr>
                <w:rFonts w:hint="eastAsia" w:ascii="宋体" w:hAnsi="宋体" w:eastAsia="宋体" w:cs="宋体"/>
                <w:sz w:val="21"/>
                <w:szCs w:val="21"/>
                <w:highlight w:val="none"/>
                <w:lang w:bidi="ar"/>
              </w:rPr>
              <w:framePr w:vAnchor="margin" w:hAnchor="page" w:xAlign="center" w:y="1"/>
            </w:pPr>
            <w:r>
              <w:rPr>
                <w:rFonts w:hint="eastAsia" w:ascii="宋体" w:hAnsi="宋体" w:eastAsia="宋体" w:cs="宋体"/>
                <w:sz w:val="21"/>
                <w:szCs w:val="21"/>
                <w:highlight w:val="none"/>
                <w:lang w:bidi="ar"/>
              </w:rPr>
              <w:t xml:space="preserve">第一步：响应报价低于或等于财政预算价格（或最高限价）的，为有效响应报价。超财政预算（或最高限价）的响应报价为无效响应报价。</w:t>
            </w:r>
            <w:r>
              <w:rPr>
                <w:rFonts w:hint="eastAsia" w:ascii="宋体" w:hAnsi="宋体" w:eastAsia="宋体" w:cs="宋体"/>
                <w:sz w:val="21"/>
                <w:szCs w:val="21"/>
                <w:highlight w:val="none"/>
                <w:lang w:bidi="ar"/>
              </w:rPr>
            </w:r>
            <w:r/>
          </w:p>
          <w:p>
            <w:pPr>
              <w:pStyle w:val="953"/>
              <w:ind w:left="0"/>
              <w:widowControl w:val="off"/>
              <w:rPr>
                <w:rFonts w:hint="eastAsia" w:ascii="宋体" w:hAnsi="宋体" w:eastAsia="宋体" w:cs="宋体"/>
                <w:sz w:val="21"/>
                <w:szCs w:val="21"/>
                <w:highlight w:val="none"/>
                <w:lang w:bidi="ar"/>
              </w:rPr>
              <w:framePr w:vAnchor="margin" w:hAnchor="page" w:xAlign="center" w:y="1"/>
            </w:pPr>
            <w:r>
              <w:rPr>
                <w:rFonts w:hint="eastAsia" w:ascii="宋体" w:hAnsi="宋体" w:eastAsia="宋体" w:cs="宋体"/>
                <w:sz w:val="21"/>
                <w:szCs w:val="21"/>
                <w:highlight w:val="none"/>
                <w:lang w:bidi="ar"/>
              </w:rPr>
              <w:t xml:space="preserve">第二步：在所有有效响应报价中满足</w:t>
            </w:r>
            <w:r>
              <w:rPr>
                <w:rFonts w:hint="eastAsia" w:ascii="宋体" w:hAnsi="宋体" w:eastAsia="宋体" w:cs="宋体"/>
                <w:sz w:val="21"/>
                <w:szCs w:val="21"/>
                <w:highlight w:val="none"/>
              </w:rPr>
              <w:t xml:space="preserve">采购</w:t>
            </w:r>
            <w:r>
              <w:rPr>
                <w:rFonts w:hint="eastAsia" w:ascii="宋体" w:hAnsi="宋体" w:eastAsia="宋体" w:cs="宋体"/>
                <w:sz w:val="21"/>
                <w:szCs w:val="21"/>
                <w:highlight w:val="none"/>
                <w:lang w:bidi="ar"/>
              </w:rPr>
              <w:t xml:space="preserve">文件要求，且响应价格最低的响应报价为评标基准价，其他供应商的价格分按照下列公式计算（计算结果四舍五入保留两位小数）。</w:t>
            </w:r>
            <w:r>
              <w:rPr>
                <w:rFonts w:hint="eastAsia" w:ascii="宋体" w:hAnsi="宋体" w:eastAsia="宋体" w:cs="宋体"/>
                <w:sz w:val="21"/>
                <w:szCs w:val="21"/>
                <w:highlight w:val="none"/>
                <w:lang w:bidi="ar"/>
              </w:rPr>
            </w:r>
            <w:r/>
          </w:p>
          <w:p>
            <w:pPr>
              <w:pStyle w:val="953"/>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lang w:bidi="ar"/>
              </w:rPr>
              <w:t xml:space="preserve">响应报价得分＝（评标基准价/响应报价）×10％×100</w:t>
            </w:r>
            <w:r>
              <w:rPr>
                <w:rFonts w:hint="eastAsia" w:ascii="宋体" w:hAnsi="宋体" w:eastAsia="宋体" w:cs="宋体"/>
                <w:sz w:val="21"/>
                <w:szCs w:val="21"/>
                <w:highlight w:val="none"/>
              </w:rPr>
            </w:r>
            <w:r/>
          </w:p>
        </w:tc>
        <w:tc>
          <w:tcPr>
            <w:tcW w:w="460" w:type="dxa"/>
            <w:vAlign w:val="center"/>
            <w:textDirection w:val="lrTb"/>
            <w:noWrap w:val="false"/>
          </w:tcPr>
          <w:p>
            <w:pPr>
              <w:pStyle w:val="953"/>
              <w:ind w:left="0"/>
              <w:jc w:val="center"/>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lang w:bidi="ar"/>
              </w:rPr>
              <w:t xml:space="preserve">10</w:t>
            </w:r>
            <w:r>
              <w:rPr>
                <w:rFonts w:hint="eastAsia" w:ascii="宋体" w:hAnsi="宋体" w:eastAsia="宋体" w:cs="宋体"/>
                <w:sz w:val="21"/>
                <w:szCs w:val="21"/>
                <w:highlight w:val="none"/>
              </w:rPr>
            </w:r>
            <w:r/>
          </w:p>
        </w:tc>
      </w:tr>
      <w:tr>
        <w:trPr>
          <w:trHeight w:val="3184"/>
        </w:trPr>
        <w:tc>
          <w:tcPr>
            <w:tcW w:w="459" w:type="dxa"/>
            <w:vAlign w:val="center"/>
            <w:vMerge w:val="restart"/>
            <w:textDirection w:val="lrTb"/>
            <w:noWrap w:val="false"/>
          </w:tcPr>
          <w:p>
            <w:pPr>
              <w:pStyle w:val="953"/>
              <w:ind w:left="0"/>
              <w:jc w:val="center"/>
              <w:widowControl w:val="off"/>
              <w:rPr>
                <w:rFonts w:hint="eastAsia" w:ascii="宋体" w:hAnsi="宋体" w:eastAsia="宋体" w:cs="宋体"/>
                <w:b/>
                <w:sz w:val="21"/>
                <w:szCs w:val="21"/>
                <w:highlight w:val="none"/>
              </w:rPr>
              <w:framePr w:vAnchor="margin" w:hAnchor="page" w:xAlign="center" w:y="1"/>
            </w:pPr>
            <w:r>
              <w:rPr>
                <w:rFonts w:hint="eastAsia" w:ascii="宋体" w:hAnsi="宋体" w:eastAsia="宋体" w:cs="宋体"/>
                <w:b/>
                <w:bCs/>
                <w:sz w:val="21"/>
                <w:szCs w:val="21"/>
                <w:highlight w:val="none"/>
              </w:rPr>
              <w:t xml:space="preserve">技术及商务部分（90分）</w:t>
            </w:r>
            <w:r>
              <w:rPr>
                <w:rFonts w:hint="eastAsia" w:ascii="宋体" w:hAnsi="宋体" w:eastAsia="宋体" w:cs="宋体"/>
                <w:b/>
                <w:sz w:val="21"/>
                <w:szCs w:val="21"/>
                <w:highlight w:val="none"/>
              </w:rPr>
            </w:r>
            <w:r/>
          </w:p>
        </w:tc>
        <w:tc>
          <w:tcPr>
            <w:tcW w:w="606" w:type="dxa"/>
            <w:vAlign w:val="center"/>
            <w:textDirection w:val="lrTb"/>
            <w:noWrap w:val="false"/>
          </w:tcPr>
          <w:p>
            <w:pPr>
              <w:pStyle w:val="953"/>
              <w:ind w:left="0"/>
              <w:jc w:val="center"/>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整体实施方案</w:t>
            </w:r>
            <w:r>
              <w:rPr>
                <w:rFonts w:hint="eastAsia" w:ascii="宋体" w:hAnsi="宋体" w:eastAsia="宋体" w:cs="宋体"/>
                <w:sz w:val="21"/>
                <w:szCs w:val="21"/>
                <w:highlight w:val="none"/>
              </w:rPr>
            </w:r>
            <w:r/>
          </w:p>
        </w:tc>
        <w:tc>
          <w:tcPr>
            <w:tcW w:w="3474" w:type="dxa"/>
            <w:vAlign w:val="center"/>
            <w:textDirection w:val="lrTb"/>
            <w:noWrap w:val="false"/>
          </w:tcPr>
          <w:p>
            <w:pPr>
              <w:pStyle w:val="953"/>
              <w:ind w:left="0"/>
              <w:widowControl w:val="off"/>
              <w:rPr>
                <w:rFonts w:hint="eastAsia" w:ascii="宋体" w:hAnsi="宋体" w:eastAsia="宋体" w:cs="宋体"/>
                <w:sz w:val="21"/>
                <w:szCs w:val="21"/>
                <w:highlight w:val="none"/>
                <w:lang w:bidi="ar"/>
              </w:rPr>
              <w:framePr w:vAnchor="margin" w:hAnchor="page" w:xAlign="center" w:y="1"/>
            </w:pPr>
            <w:r>
              <w:rPr>
                <w:rFonts w:hint="eastAsia" w:ascii="宋体" w:hAnsi="宋体" w:eastAsia="宋体" w:cs="宋体"/>
                <w:sz w:val="21"/>
                <w:szCs w:val="21"/>
                <w:highlight w:val="none"/>
                <w:lang w:bidi="ar"/>
              </w:rPr>
              <w:t xml:space="preserve">供应商根据本项目特点，制定下列内容。</w:t>
            </w:r>
            <w:r>
              <w:rPr>
                <w:rFonts w:hint="eastAsia" w:ascii="宋体" w:hAnsi="宋体" w:eastAsia="宋体" w:cs="宋体"/>
                <w:sz w:val="21"/>
                <w:szCs w:val="21"/>
                <w:highlight w:val="none"/>
                <w:lang w:bidi="ar"/>
              </w:rPr>
            </w:r>
            <w:r/>
          </w:p>
          <w:p>
            <w:pPr>
              <w:pStyle w:val="953"/>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1.实施计划、流程、时间；</w:t>
            </w:r>
            <w:r>
              <w:rPr>
                <w:rFonts w:hint="eastAsia" w:ascii="宋体" w:hAnsi="宋体" w:eastAsia="宋体" w:cs="宋体"/>
                <w:sz w:val="21"/>
                <w:szCs w:val="21"/>
                <w:highlight w:val="none"/>
              </w:rPr>
            </w:r>
            <w:r/>
          </w:p>
          <w:p>
            <w:pPr>
              <w:pStyle w:val="953"/>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2.人员配备方案；</w:t>
            </w:r>
            <w:r>
              <w:rPr>
                <w:rFonts w:hint="eastAsia" w:ascii="宋体" w:hAnsi="宋体" w:eastAsia="宋体" w:cs="宋体"/>
                <w:sz w:val="21"/>
                <w:szCs w:val="21"/>
                <w:highlight w:val="none"/>
              </w:rPr>
            </w:r>
            <w:r/>
          </w:p>
          <w:p>
            <w:pPr>
              <w:pStyle w:val="953"/>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3.应对争议与投诉处理方案（包括但不限于应对被复核单位的争议与投诉处理）；</w:t>
            </w:r>
            <w:r>
              <w:rPr>
                <w:rFonts w:hint="eastAsia" w:ascii="宋体" w:hAnsi="宋体" w:eastAsia="宋体" w:cs="宋体"/>
                <w:sz w:val="21"/>
                <w:szCs w:val="21"/>
                <w:highlight w:val="none"/>
              </w:rPr>
            </w:r>
            <w:r/>
          </w:p>
          <w:p>
            <w:pPr>
              <w:pStyle w:val="953"/>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4.项目保密、质量控制与保障方案。</w:t>
            </w:r>
            <w:r>
              <w:rPr>
                <w:rFonts w:hint="eastAsia" w:ascii="宋体" w:hAnsi="宋体" w:eastAsia="宋体" w:cs="宋体"/>
                <w:sz w:val="21"/>
                <w:szCs w:val="21"/>
                <w:highlight w:val="none"/>
              </w:rPr>
            </w:r>
            <w:r/>
          </w:p>
          <w:p>
            <w:pPr>
              <w:pStyle w:val="953"/>
              <w:ind w:left="0"/>
              <w:widowControl w:val="off"/>
              <w:rPr>
                <w:rFonts w:hint="eastAsia" w:ascii="宋体" w:hAnsi="宋体" w:eastAsia="宋体" w:cs="宋体"/>
                <w:sz w:val="21"/>
                <w:szCs w:val="21"/>
                <w:highlight w:val="none"/>
                <w:lang w:bidi="ar"/>
              </w:rPr>
              <w:framePr w:vAnchor="margin" w:hAnchor="page" w:xAlign="center" w:y="1"/>
            </w:pPr>
            <w:r>
              <w:rPr>
                <w:rFonts w:hint="eastAsia" w:ascii="宋体" w:hAnsi="宋体" w:eastAsia="宋体" w:cs="宋体"/>
                <w:sz w:val="21"/>
                <w:szCs w:val="21"/>
                <w:highlight w:val="none"/>
                <w:lang w:bidi="ar"/>
              </w:rPr>
              <w:t xml:space="preserve">上述每项应逐条叙述，方案全面合理、可行性强、操作性强、贴合项目实际的得1分；方案基本合理、具有一定的可行性、具有一定的操作性、与项目实际基本贴合的得0.5分；每项叙述内容完全脱离采购需求或未作完整叙述的不得分。本项最高得4分</w:t>
            </w:r>
            <w:r>
              <w:rPr>
                <w:rFonts w:hint="eastAsia" w:ascii="宋体" w:hAnsi="宋体" w:eastAsia="宋体" w:cs="宋体"/>
                <w:sz w:val="21"/>
                <w:szCs w:val="21"/>
                <w:highlight w:val="none"/>
                <w:lang w:bidi="ar"/>
              </w:rPr>
            </w:r>
            <w:r/>
          </w:p>
        </w:tc>
        <w:tc>
          <w:tcPr>
            <w:tcW w:w="460" w:type="dxa"/>
            <w:vAlign w:val="center"/>
            <w:textDirection w:val="lrTb"/>
            <w:noWrap w:val="false"/>
          </w:tcPr>
          <w:p>
            <w:pPr>
              <w:pStyle w:val="953"/>
              <w:ind w:left="0"/>
              <w:jc w:val="center"/>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r>
      <w:tr>
        <w:trPr>
          <w:trHeight w:val="4769"/>
        </w:trPr>
        <w:tc>
          <w:tcPr>
            <w:tcW w:w="459" w:type="dxa"/>
            <w:vAlign w:val="center"/>
            <w:vMerge w:val="continue"/>
            <w:textDirection w:val="lrTb"/>
            <w:noWrap w:val="false"/>
          </w:tcPr>
          <w:p>
            <w:pPr>
              <w:pStyle w:val="953"/>
              <w:ind w:left="0"/>
              <w:jc w:val="center"/>
              <w:widowControl w:val="off"/>
              <w:rPr>
                <w:rFonts w:hint="eastAsia" w:ascii="宋体" w:hAnsi="宋体" w:eastAsia="宋体" w:cs="宋体"/>
                <w:b/>
                <w:bCs/>
                <w:sz w:val="21"/>
                <w:szCs w:val="21"/>
                <w:highlight w:val="none"/>
              </w:rPr>
              <w:framePr w:vAnchor="margin" w:hAnchor="page" w:xAlign="center" w:y="1"/>
            </w:pPr>
            <w:r>
              <w:rPr>
                <w:rFonts w:hint="eastAsia" w:ascii="宋体" w:hAnsi="宋体" w:eastAsia="宋体" w:cs="宋体"/>
                <w:b/>
                <w:bCs/>
                <w:sz w:val="21"/>
                <w:szCs w:val="21"/>
                <w:highlight w:val="none"/>
              </w:rPr>
            </w:r>
            <w:r/>
          </w:p>
        </w:tc>
        <w:tc>
          <w:tcPr>
            <w:tcW w:w="606" w:type="dxa"/>
            <w:vAlign w:val="center"/>
            <w:textDirection w:val="lrTb"/>
            <w:noWrap w:val="false"/>
          </w:tcPr>
          <w:p>
            <w:pPr>
              <w:pStyle w:val="953"/>
              <w:ind w:left="0"/>
              <w:jc w:val="center"/>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绩效评价复核项目工作方案</w:t>
            </w:r>
            <w:r>
              <w:rPr>
                <w:rFonts w:hint="eastAsia" w:ascii="宋体" w:hAnsi="宋体" w:eastAsia="宋体" w:cs="宋体"/>
                <w:sz w:val="21"/>
                <w:szCs w:val="21"/>
                <w:highlight w:val="none"/>
              </w:rPr>
            </w:r>
            <w:r/>
          </w:p>
        </w:tc>
        <w:tc>
          <w:tcPr>
            <w:tcW w:w="3474" w:type="dxa"/>
            <w:vAlign w:val="center"/>
            <w:textDirection w:val="lrTb"/>
            <w:noWrap w:val="false"/>
          </w:tcPr>
          <w:p>
            <w:pPr>
              <w:pStyle w:val="953"/>
              <w:ind w:left="0"/>
              <w:widowControl w:val="off"/>
              <w:rPr>
                <w:rFonts w:hint="eastAsia" w:ascii="宋体" w:hAnsi="宋体" w:eastAsia="宋体" w:cs="宋体"/>
                <w:sz w:val="21"/>
                <w:szCs w:val="21"/>
                <w:highlight w:val="none"/>
                <w:lang w:bidi="ar"/>
              </w:rPr>
              <w:framePr w:vAnchor="margin" w:hAnchor="page" w:xAlign="center" w:y="1"/>
            </w:pPr>
            <w:r>
              <w:rPr>
                <w:rFonts w:hint="eastAsia" w:ascii="宋体" w:hAnsi="宋体" w:eastAsia="宋体" w:cs="宋体"/>
                <w:sz w:val="21"/>
                <w:szCs w:val="21"/>
                <w:highlight w:val="none"/>
                <w:lang w:bidi="ar"/>
              </w:rPr>
              <w:t xml:space="preserve">供应商</w:t>
            </w:r>
            <w:r>
              <w:rPr>
                <w:rFonts w:hint="eastAsia" w:ascii="宋体" w:hAnsi="宋体" w:eastAsia="宋体" w:cs="宋体"/>
                <w:sz w:val="21"/>
                <w:szCs w:val="21"/>
                <w:highlight w:val="none"/>
              </w:rPr>
              <w:t xml:space="preserve">根据虚拟复核项目撰写绩效评价复核项目的工作方案，</w:t>
            </w:r>
            <w:r>
              <w:rPr>
                <w:rFonts w:hint="eastAsia" w:ascii="宋体" w:hAnsi="宋体" w:eastAsia="宋体" w:cs="宋体"/>
                <w:sz w:val="21"/>
                <w:szCs w:val="21"/>
                <w:highlight w:val="none"/>
                <w:lang w:bidi="ar"/>
              </w:rPr>
              <w:t xml:space="preserve">制定下列内容。</w:t>
            </w:r>
            <w:r>
              <w:rPr>
                <w:rFonts w:hint="eastAsia" w:ascii="宋体" w:hAnsi="宋体" w:eastAsia="宋体" w:cs="宋体"/>
                <w:sz w:val="21"/>
                <w:szCs w:val="21"/>
                <w:highlight w:val="none"/>
                <w:lang w:bidi="ar"/>
              </w:rPr>
            </w:r>
            <w:r/>
          </w:p>
          <w:p>
            <w:pPr>
              <w:pStyle w:val="953"/>
              <w:ind w:left="0" w:firstLine="29"/>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1.复核自评表应关注要点、应采取方法；</w:t>
            </w:r>
            <w:r>
              <w:rPr>
                <w:rFonts w:hint="eastAsia" w:ascii="宋体" w:hAnsi="宋体" w:eastAsia="宋体" w:cs="宋体"/>
                <w:sz w:val="21"/>
                <w:szCs w:val="21"/>
                <w:highlight w:val="none"/>
              </w:rPr>
            </w:r>
            <w:r/>
          </w:p>
          <w:p>
            <w:pPr>
              <w:pStyle w:val="953"/>
              <w:ind w:left="0" w:firstLine="29"/>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2.复核自评表评分支撑依据；</w:t>
            </w:r>
            <w:r>
              <w:rPr>
                <w:rFonts w:hint="eastAsia" w:ascii="宋体" w:hAnsi="宋体" w:eastAsia="宋体" w:cs="宋体"/>
                <w:sz w:val="21"/>
                <w:szCs w:val="21"/>
                <w:highlight w:val="none"/>
              </w:rPr>
            </w:r>
            <w:r/>
          </w:p>
          <w:p>
            <w:pPr>
              <w:pStyle w:val="953"/>
              <w:ind w:left="0" w:firstLine="29"/>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3.自评表指标质量评价及改进建议；</w:t>
            </w:r>
            <w:r>
              <w:rPr>
                <w:rFonts w:hint="eastAsia" w:ascii="宋体" w:hAnsi="宋体" w:eastAsia="宋体" w:cs="宋体"/>
                <w:sz w:val="21"/>
                <w:szCs w:val="21"/>
                <w:highlight w:val="none"/>
              </w:rPr>
            </w:r>
            <w:r/>
          </w:p>
          <w:p>
            <w:pPr>
              <w:pStyle w:val="953"/>
              <w:ind w:left="0" w:firstLine="29"/>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4.自评报告（文字部分）质量评价及改进建议；</w:t>
            </w:r>
            <w:r>
              <w:rPr>
                <w:rFonts w:hint="eastAsia" w:ascii="宋体" w:hAnsi="宋体" w:eastAsia="宋体" w:cs="宋体"/>
                <w:sz w:val="21"/>
                <w:szCs w:val="21"/>
                <w:highlight w:val="none"/>
              </w:rPr>
            </w:r>
            <w:r/>
          </w:p>
          <w:p>
            <w:pPr>
              <w:pStyle w:val="953"/>
              <w:ind w:left="0" w:firstLine="29"/>
              <w:widowControl w:val="off"/>
              <w:rPr>
                <w:rFonts w:hint="eastAsia" w:ascii="宋体" w:hAnsi="宋体" w:eastAsia="宋体" w:cs="宋体"/>
                <w:sz w:val="21"/>
                <w:szCs w:val="21"/>
                <w:highlight w:val="none"/>
                <w:lang w:eastAsia="zh-CN"/>
              </w:rPr>
              <w:framePr w:vAnchor="margin" w:hAnchor="page" w:xAlign="center" w:y="1"/>
            </w:pPr>
            <w:r>
              <w:rPr>
                <w:rFonts w:hint="eastAsia" w:ascii="宋体" w:hAnsi="宋体" w:eastAsia="宋体" w:cs="宋体"/>
                <w:sz w:val="21"/>
                <w:szCs w:val="21"/>
                <w:highlight w:val="none"/>
              </w:rPr>
              <w:t xml:space="preserve">5.对虚拟复核项目的绩效指标设置提出改进意见和建议</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53"/>
              <w:ind w:left="0" w:firstLine="29"/>
              <w:widowControl w:val="off"/>
              <w:rPr>
                <w:rFonts w:hint="eastAsia" w:ascii="宋体" w:hAnsi="宋体" w:eastAsia="宋体" w:cs="宋体"/>
                <w:sz w:val="21"/>
                <w:szCs w:val="21"/>
                <w:highlight w:val="none"/>
                <w:lang w:eastAsia="zh-CN"/>
              </w:rPr>
              <w:framePr w:vAnchor="margin" w:hAnchor="page" w:xAlign="center" w:y="1"/>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对虚拟复核项目的</w:t>
            </w:r>
            <w:r>
              <w:rPr>
                <w:rFonts w:hint="eastAsia" w:ascii="宋体" w:hAnsi="宋体" w:eastAsia="宋体" w:cs="宋体"/>
                <w:sz w:val="21"/>
                <w:szCs w:val="21"/>
                <w:highlight w:val="none"/>
                <w:lang w:val="en-US" w:eastAsia="zh-CN"/>
              </w:rPr>
              <w:t xml:space="preserve">自评报告格式和内容提</w:t>
            </w:r>
            <w:r>
              <w:rPr>
                <w:rFonts w:hint="eastAsia" w:ascii="宋体" w:hAnsi="宋体" w:eastAsia="宋体" w:cs="宋体"/>
                <w:sz w:val="21"/>
                <w:szCs w:val="21"/>
                <w:highlight w:val="none"/>
              </w:rPr>
              <w:t xml:space="preserve">出改进意见和建议</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53"/>
              <w:ind w:left="0"/>
              <w:widowControl w:val="off"/>
              <w:rPr>
                <w:rFonts w:hint="eastAsia" w:ascii="宋体" w:hAnsi="宋体" w:eastAsia="宋体" w:cs="宋体"/>
                <w:sz w:val="21"/>
                <w:szCs w:val="21"/>
                <w:highlight w:val="none"/>
                <w:lang w:bidi="ar"/>
              </w:rPr>
              <w:framePr w:vAnchor="margin" w:hAnchor="page" w:xAlign="center" w:y="1"/>
            </w:pPr>
            <w:r>
              <w:rPr>
                <w:rFonts w:hint="eastAsia" w:ascii="宋体" w:hAnsi="宋体" w:eastAsia="宋体" w:cs="宋体"/>
                <w:sz w:val="21"/>
                <w:szCs w:val="21"/>
                <w:highlight w:val="none"/>
                <w:lang w:bidi="ar"/>
              </w:rPr>
              <w:t xml:space="preserve">上述每项应逐条叙述，</w:t>
            </w:r>
            <w:r>
              <w:rPr>
                <w:rFonts w:hint="eastAsia" w:ascii="宋体" w:hAnsi="宋体" w:eastAsia="宋体" w:cs="宋体"/>
                <w:sz w:val="21"/>
                <w:szCs w:val="21"/>
                <w:highlight w:val="none"/>
                <w:lang w:bidi="ar"/>
              </w:rPr>
              <w:t xml:space="preserve">方案全面充分、科学严谨、符合政策法规和行业规范制度、可行性强、操作性强、贴合项目实际的得6分；方案较全面、基本合理、具备一定专业性、与政策法规基本匹配、具有一定的可行性、具有一定的操作性、与项目实际基本贴合的得4分；方案不够全面、合理性、专业性、可行性、操作性不够好、与项目实际偏离较大的得2分；每项叙述内容完全脱离采购需求或未作完整叙述的不得分。本项最高得36分。</w:t>
            </w:r>
            <w:r>
              <w:rPr>
                <w:rFonts w:hint="eastAsia" w:ascii="宋体" w:hAnsi="宋体" w:eastAsia="宋体" w:cs="宋体"/>
                <w:sz w:val="21"/>
                <w:szCs w:val="21"/>
                <w:highlight w:val="none"/>
                <w:lang w:bidi="ar"/>
              </w:rPr>
            </w:r>
            <w:r/>
          </w:p>
        </w:tc>
        <w:tc>
          <w:tcPr>
            <w:tcW w:w="460" w:type="dxa"/>
            <w:vAlign w:val="center"/>
            <w:textDirection w:val="lrTb"/>
            <w:noWrap w:val="false"/>
          </w:tcPr>
          <w:p>
            <w:pPr>
              <w:pStyle w:val="953"/>
              <w:ind w:left="0"/>
              <w:jc w:val="center"/>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36</w:t>
            </w:r>
            <w:r>
              <w:rPr>
                <w:rFonts w:hint="eastAsia" w:ascii="宋体" w:hAnsi="宋体" w:eastAsia="宋体" w:cs="宋体"/>
                <w:sz w:val="21"/>
                <w:szCs w:val="21"/>
                <w:highlight w:val="none"/>
              </w:rPr>
            </w:r>
            <w:r/>
          </w:p>
        </w:tc>
      </w:tr>
      <w:tr>
        <w:trPr>
          <w:trHeight w:val="4854"/>
        </w:trPr>
        <w:tc>
          <w:tcPr>
            <w:tcW w:w="459" w:type="dxa"/>
            <w:vAlign w:val="center"/>
            <w:vMerge w:val="continue"/>
            <w:textDirection w:val="lrTb"/>
            <w:noWrap w:val="false"/>
          </w:tcPr>
          <w:p>
            <w:pPr>
              <w:pStyle w:val="953"/>
              <w:ind w:left="0"/>
              <w:jc w:val="center"/>
              <w:widowControl w:val="off"/>
              <w:rPr>
                <w:rFonts w:hint="eastAsia" w:ascii="宋体" w:hAnsi="宋体" w:eastAsia="宋体" w:cs="宋体"/>
                <w:b/>
                <w:bCs/>
                <w:sz w:val="21"/>
                <w:szCs w:val="21"/>
                <w:highlight w:val="none"/>
              </w:rPr>
              <w:framePr w:vAnchor="margin" w:hAnchor="page" w:xAlign="center" w:y="1"/>
            </w:pPr>
            <w:r>
              <w:rPr>
                <w:rFonts w:hint="eastAsia" w:ascii="宋体" w:hAnsi="宋体" w:eastAsia="宋体" w:cs="宋体"/>
                <w:b/>
                <w:bCs/>
                <w:sz w:val="21"/>
                <w:szCs w:val="21"/>
                <w:highlight w:val="none"/>
              </w:rPr>
            </w:r>
            <w:r/>
          </w:p>
        </w:tc>
        <w:tc>
          <w:tcPr>
            <w:tcW w:w="606" w:type="dxa"/>
            <w:vAlign w:val="center"/>
            <w:textDirection w:val="lrTb"/>
            <w:noWrap w:val="false"/>
          </w:tcPr>
          <w:p>
            <w:pPr>
              <w:pStyle w:val="953"/>
              <w:ind w:left="0"/>
              <w:jc w:val="center"/>
              <w:rPr>
                <w:rFonts w:hint="eastAsia" w:ascii="宋体" w:hAnsi="宋体" w:eastAsia="宋体" w:cs="宋体"/>
                <w:sz w:val="21"/>
                <w:szCs w:val="21"/>
                <w:highlight w:val="none"/>
                <w:lang w:bidi="ar"/>
              </w:rPr>
              <w:framePr w:vAnchor="margin" w:hAnchor="page" w:xAlign="center" w:y="1"/>
            </w:pPr>
            <w:r>
              <w:rPr>
                <w:rFonts w:hint="eastAsia" w:ascii="宋体" w:hAnsi="宋体" w:eastAsia="宋体" w:cs="宋体"/>
                <w:sz w:val="21"/>
                <w:szCs w:val="21"/>
                <w:highlight w:val="none"/>
                <w:lang w:bidi="ar"/>
              </w:rPr>
              <w:t xml:space="preserve">工作重点、难点问题阐述和解决措施</w:t>
            </w:r>
            <w:r>
              <w:rPr>
                <w:rFonts w:hint="eastAsia" w:ascii="宋体" w:hAnsi="宋体" w:eastAsia="宋体" w:cs="宋体"/>
                <w:sz w:val="21"/>
                <w:szCs w:val="21"/>
                <w:highlight w:val="none"/>
                <w:lang w:bidi="ar"/>
              </w:rPr>
            </w:r>
            <w:r/>
          </w:p>
        </w:tc>
        <w:tc>
          <w:tcPr>
            <w:tcW w:w="3474" w:type="dxa"/>
            <w:vAlign w:val="center"/>
            <w:textDirection w:val="lrTb"/>
            <w:noWrap w:val="false"/>
          </w:tcPr>
          <w:p>
            <w:pPr>
              <w:pStyle w:val="953"/>
              <w:ind w:left="0"/>
              <w:widowControl w:val="off"/>
              <w:rPr>
                <w:rFonts w:hint="eastAsia" w:ascii="宋体" w:hAnsi="宋体" w:eastAsia="宋体" w:cs="宋体"/>
                <w:sz w:val="21"/>
                <w:szCs w:val="21"/>
                <w:highlight w:val="none"/>
                <w:lang w:bidi="ar"/>
              </w:rPr>
              <w:framePr w:vAnchor="margin" w:hAnchor="page" w:xAlign="center" w:y="1"/>
            </w:pPr>
            <w:r>
              <w:rPr>
                <w:rFonts w:hint="eastAsia" w:ascii="宋体" w:hAnsi="宋体" w:eastAsia="宋体" w:cs="宋体"/>
                <w:sz w:val="21"/>
                <w:szCs w:val="21"/>
                <w:highlight w:val="none"/>
                <w:lang w:bidi="ar"/>
              </w:rPr>
              <w:t xml:space="preserve">供应商针对当前</w:t>
            </w:r>
            <w:r>
              <w:rPr>
                <w:rFonts w:hint="eastAsia" w:ascii="宋体" w:hAnsi="宋体" w:eastAsia="宋体" w:cs="宋体"/>
                <w:sz w:val="21"/>
                <w:szCs w:val="21"/>
                <w:highlight w:val="none"/>
              </w:rPr>
              <w:t xml:space="preserve">绩效评价复核工作（包含对复核项目2026年绩效指标设置提出改进意见和建议）</w:t>
            </w:r>
            <w:r>
              <w:rPr>
                <w:rFonts w:hint="eastAsia" w:ascii="宋体" w:hAnsi="宋体" w:eastAsia="宋体" w:cs="宋体"/>
                <w:sz w:val="21"/>
                <w:szCs w:val="21"/>
                <w:highlight w:val="none"/>
                <w:lang w:bidi="ar"/>
              </w:rPr>
              <w:t xml:space="preserve">的重点、难点问题，制定下列内容。</w:t>
            </w:r>
            <w:r>
              <w:rPr>
                <w:rFonts w:hint="eastAsia" w:ascii="宋体" w:hAnsi="宋体" w:eastAsia="宋体" w:cs="宋体"/>
                <w:sz w:val="21"/>
                <w:szCs w:val="21"/>
                <w:highlight w:val="none"/>
                <w:lang w:bidi="ar"/>
              </w:rPr>
            </w:r>
            <w:r/>
          </w:p>
          <w:p>
            <w:pPr>
              <w:pStyle w:val="953"/>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1.绩效评价复核工作重点问题阐述；</w:t>
            </w:r>
            <w:r>
              <w:rPr>
                <w:rFonts w:hint="eastAsia" w:ascii="宋体" w:hAnsi="宋体" w:eastAsia="宋体" w:cs="宋体"/>
                <w:sz w:val="21"/>
                <w:szCs w:val="21"/>
                <w:highlight w:val="none"/>
              </w:rPr>
            </w:r>
            <w:r/>
          </w:p>
          <w:p>
            <w:pPr>
              <w:pStyle w:val="953"/>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2.绩效评价复核工作难点问题阐述；</w:t>
            </w:r>
            <w:r>
              <w:rPr>
                <w:rFonts w:hint="eastAsia" w:ascii="宋体" w:hAnsi="宋体" w:eastAsia="宋体" w:cs="宋体"/>
                <w:sz w:val="21"/>
                <w:szCs w:val="21"/>
                <w:highlight w:val="none"/>
              </w:rPr>
            </w:r>
            <w:r/>
          </w:p>
          <w:p>
            <w:pPr>
              <w:pStyle w:val="953"/>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3.针对绩效评价复核工作重难点问题的解决措施。</w:t>
            </w:r>
            <w:r>
              <w:rPr>
                <w:rFonts w:hint="eastAsia" w:ascii="宋体" w:hAnsi="宋体" w:eastAsia="宋体" w:cs="宋体"/>
                <w:sz w:val="21"/>
                <w:szCs w:val="21"/>
                <w:highlight w:val="none"/>
              </w:rPr>
            </w:r>
            <w:r/>
          </w:p>
          <w:p>
            <w:pPr>
              <w:pStyle w:val="953"/>
              <w:ind w:left="0"/>
              <w:widowControl w:val="off"/>
              <w:rPr>
                <w:rFonts w:hint="eastAsia" w:ascii="宋体" w:hAnsi="宋体" w:eastAsia="宋体" w:cs="宋体"/>
                <w:sz w:val="21"/>
                <w:szCs w:val="21"/>
                <w:highlight w:val="none"/>
                <w:lang w:bidi="ar"/>
              </w:rPr>
              <w:framePr w:vAnchor="margin" w:hAnchor="page" w:xAlign="center" w:y="1"/>
            </w:pPr>
            <w:r>
              <w:rPr>
                <w:rFonts w:hint="eastAsia" w:ascii="宋体" w:hAnsi="宋体" w:eastAsia="宋体" w:cs="宋体"/>
                <w:sz w:val="21"/>
                <w:szCs w:val="21"/>
                <w:highlight w:val="none"/>
                <w:lang w:bidi="ar"/>
              </w:rPr>
              <w:t xml:space="preserve">上述每项应逐条叙述，问题阐述深入透彻，能够准确定位关键难点，分析全面、有逻辑，解决措施具体可行，符合政策要求，具有较强可操作性和实效性，得7分；问题阐述较为深入，能识别主要难点，分析较全面 ，逻辑清晰，解决措施具有一定可行性，与政策要求基本匹配，具备一定操作性和效果，得5分；问题阐述不够深入，仅涉及部分现象，分析不充分，缺乏深入逻辑推理，解决措施针对性有限，可行性不高，实际操作难度较大，得2分；每项叙述内容完全脱离采购需求或未作完整叙述的不得分。本项最高得21分。</w:t>
            </w:r>
            <w:r>
              <w:rPr>
                <w:rFonts w:hint="eastAsia" w:ascii="宋体" w:hAnsi="宋体" w:eastAsia="宋体" w:cs="宋体"/>
                <w:sz w:val="21"/>
                <w:szCs w:val="21"/>
                <w:highlight w:val="none"/>
                <w:lang w:bidi="ar"/>
              </w:rPr>
            </w:r>
            <w:r/>
          </w:p>
        </w:tc>
        <w:tc>
          <w:tcPr>
            <w:tcW w:w="460" w:type="dxa"/>
            <w:vAlign w:val="center"/>
            <w:textDirection w:val="lrTb"/>
            <w:noWrap w:val="false"/>
          </w:tcPr>
          <w:p>
            <w:pPr>
              <w:pStyle w:val="953"/>
              <w:ind w:left="0"/>
              <w:jc w:val="center"/>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21</w:t>
            </w:r>
            <w:r>
              <w:rPr>
                <w:rFonts w:hint="eastAsia" w:ascii="宋体" w:hAnsi="宋体" w:eastAsia="宋体" w:cs="宋体"/>
                <w:sz w:val="21"/>
                <w:szCs w:val="21"/>
                <w:highlight w:val="none"/>
              </w:rPr>
            </w:r>
            <w:r/>
          </w:p>
        </w:tc>
      </w:tr>
      <w:tr>
        <w:trPr>
          <w:trHeight w:val="2572"/>
        </w:trPr>
        <w:tc>
          <w:tcPr>
            <w:tcW w:w="459" w:type="dxa"/>
            <w:vAlign w:val="center"/>
            <w:vMerge w:val="continue"/>
            <w:textDirection w:val="lrTb"/>
            <w:noWrap w:val="false"/>
          </w:tcPr>
          <w:p>
            <w:pPr>
              <w:pStyle w:val="953"/>
              <w:ind w:left="0"/>
              <w:jc w:val="center"/>
              <w:widowControl w:val="off"/>
              <w:rPr>
                <w:rFonts w:hint="eastAsia" w:ascii="宋体" w:hAnsi="宋体" w:eastAsia="宋体" w:cs="宋体"/>
                <w:b/>
                <w:bCs/>
                <w:sz w:val="21"/>
                <w:szCs w:val="21"/>
                <w:highlight w:val="none"/>
              </w:rPr>
              <w:framePr w:vAnchor="margin" w:hAnchor="page" w:xAlign="center" w:y="1"/>
            </w:pPr>
            <w:r>
              <w:rPr>
                <w:rFonts w:hint="eastAsia" w:ascii="宋体" w:hAnsi="宋体" w:eastAsia="宋体" w:cs="宋体"/>
                <w:b/>
                <w:bCs/>
                <w:sz w:val="21"/>
                <w:szCs w:val="21"/>
                <w:highlight w:val="none"/>
              </w:rPr>
            </w:r>
            <w:r/>
          </w:p>
        </w:tc>
        <w:tc>
          <w:tcPr>
            <w:tcW w:w="606" w:type="dxa"/>
            <w:vAlign w:val="center"/>
            <w:textDirection w:val="lrTb"/>
            <w:noWrap w:val="false"/>
          </w:tcPr>
          <w:p>
            <w:pPr>
              <w:pStyle w:val="953"/>
              <w:ind w:left="0"/>
              <w:jc w:val="center"/>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▲项目组主评人</w:t>
            </w:r>
            <w:r>
              <w:rPr>
                <w:rFonts w:hint="eastAsia" w:ascii="宋体" w:hAnsi="宋体" w:eastAsia="宋体" w:cs="宋体"/>
                <w:sz w:val="21"/>
                <w:szCs w:val="21"/>
                <w:highlight w:val="none"/>
              </w:rPr>
            </w:r>
            <w:r/>
          </w:p>
        </w:tc>
        <w:tc>
          <w:tcPr>
            <w:tcW w:w="3474" w:type="dxa"/>
            <w:vAlign w:val="center"/>
            <w:textDirection w:val="lrTb"/>
            <w:noWrap w:val="false"/>
          </w:tcPr>
          <w:p>
            <w:pPr>
              <w:pStyle w:val="953"/>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供应商项目组主评人具备：</w:t>
            </w:r>
            <w:r>
              <w:rPr>
                <w:rFonts w:hint="eastAsia" w:ascii="宋体" w:hAnsi="宋体" w:eastAsia="宋体" w:cs="宋体"/>
                <w:b/>
                <w:sz w:val="21"/>
                <w:szCs w:val="21"/>
                <w:highlight w:val="none"/>
              </w:rPr>
              <w:t xml:space="preserve">（中标后必须在本项目工作）</w:t>
            </w:r>
            <w:r>
              <w:rPr>
                <w:rFonts w:hint="eastAsia" w:ascii="宋体" w:hAnsi="宋体" w:eastAsia="宋体" w:cs="宋体"/>
                <w:sz w:val="21"/>
                <w:szCs w:val="21"/>
                <w:highlight w:val="none"/>
              </w:rPr>
            </w:r>
            <w:r/>
          </w:p>
          <w:p>
            <w:pPr>
              <w:pStyle w:val="953"/>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连续7年（含7年）以上绩效评价或复核工作经验得7分；连续5年（含5年）到</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年（不含7年）绩效评价或复核工作经验得5分；连续3年（含）到5年（不含5年）以上绩效评价或复核工作经验得3分；不满3年不得分。</w:t>
            </w:r>
            <w:r>
              <w:rPr>
                <w:rFonts w:hint="eastAsia" w:ascii="宋体" w:hAnsi="宋体" w:eastAsia="宋体" w:cs="宋体"/>
                <w:sz w:val="21"/>
                <w:szCs w:val="21"/>
                <w:highlight w:val="none"/>
              </w:rPr>
            </w:r>
            <w:r/>
          </w:p>
          <w:p>
            <w:pPr>
              <w:pStyle w:val="953"/>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b/>
                <w:bCs/>
                <w:sz w:val="21"/>
                <w:szCs w:val="21"/>
                <w:highlight w:val="none"/>
              </w:rPr>
              <w:t xml:space="preserve">注：响应文件中须提供</w:t>
            </w:r>
            <w:r>
              <w:rPr>
                <w:rFonts w:hint="eastAsia" w:ascii="宋体" w:hAnsi="宋体" w:eastAsia="宋体" w:cs="宋体"/>
                <w:b/>
                <w:sz w:val="21"/>
                <w:szCs w:val="21"/>
                <w:highlight w:val="none"/>
              </w:rPr>
              <w:t xml:space="preserve">身份证扫描件、工作经验</w:t>
            </w:r>
            <w:r>
              <w:rPr>
                <w:rFonts w:hint="eastAsia" w:ascii="宋体" w:hAnsi="宋体" w:eastAsia="宋体" w:cs="宋体"/>
                <w:b/>
                <w:bCs/>
                <w:sz w:val="21"/>
                <w:szCs w:val="21"/>
                <w:highlight w:val="none"/>
              </w:rPr>
              <w:t xml:space="preserve">证明材料的复印件、响应单位</w:t>
            </w:r>
            <w:r>
              <w:rPr>
                <w:rFonts w:hint="eastAsia" w:ascii="宋体" w:hAnsi="宋体" w:eastAsia="宋体" w:cs="宋体"/>
                <w:b/>
                <w:sz w:val="21"/>
                <w:szCs w:val="21"/>
                <w:highlight w:val="none"/>
              </w:rPr>
              <w:t xml:space="preserve">为其缴纳的最新一期社保证明资料</w:t>
            </w:r>
            <w:r>
              <w:rPr>
                <w:rFonts w:hint="eastAsia" w:ascii="宋体" w:hAnsi="宋体" w:eastAsia="宋体" w:cs="宋体"/>
                <w:b/>
                <w:bCs/>
                <w:sz w:val="21"/>
                <w:szCs w:val="21"/>
                <w:highlight w:val="none"/>
              </w:rPr>
              <w:t xml:space="preserve">并加盖响应单位公章，未提供不得分。</w:t>
            </w:r>
            <w:r>
              <w:rPr>
                <w:rFonts w:hint="eastAsia" w:ascii="宋体" w:hAnsi="宋体" w:eastAsia="宋体" w:cs="宋体"/>
                <w:sz w:val="21"/>
                <w:szCs w:val="21"/>
                <w:highlight w:val="none"/>
              </w:rPr>
            </w:r>
            <w:r/>
          </w:p>
        </w:tc>
        <w:tc>
          <w:tcPr>
            <w:tcW w:w="460" w:type="dxa"/>
            <w:vAlign w:val="center"/>
            <w:textDirection w:val="lrTb"/>
            <w:noWrap w:val="false"/>
          </w:tcPr>
          <w:p>
            <w:pPr>
              <w:pStyle w:val="953"/>
              <w:ind w:left="0"/>
              <w:jc w:val="center"/>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r>
      <w:tr>
        <w:trPr>
          <w:trHeight w:val="2564"/>
        </w:trPr>
        <w:tc>
          <w:tcPr>
            <w:tcW w:w="459" w:type="dxa"/>
            <w:vAlign w:val="center"/>
            <w:vMerge w:val="continue"/>
            <w:textDirection w:val="lrTb"/>
            <w:noWrap w:val="false"/>
          </w:tcPr>
          <w:p>
            <w:pPr>
              <w:pStyle w:val="953"/>
              <w:ind w:left="0"/>
              <w:jc w:val="center"/>
              <w:widowControl w:val="off"/>
              <w:rPr>
                <w:rFonts w:hint="eastAsia" w:ascii="宋体" w:hAnsi="宋体" w:eastAsia="宋体" w:cs="宋体"/>
                <w:b/>
                <w:bCs/>
                <w:sz w:val="21"/>
                <w:szCs w:val="21"/>
                <w:highlight w:val="none"/>
              </w:rPr>
              <w:framePr w:vAnchor="margin" w:hAnchor="page" w:xAlign="center" w:y="1"/>
            </w:pPr>
            <w:r>
              <w:rPr>
                <w:rFonts w:hint="eastAsia" w:ascii="宋体" w:hAnsi="宋体" w:eastAsia="宋体" w:cs="宋体"/>
                <w:b/>
                <w:bCs/>
                <w:sz w:val="21"/>
                <w:szCs w:val="21"/>
                <w:highlight w:val="none"/>
              </w:rPr>
            </w:r>
            <w:r/>
          </w:p>
        </w:tc>
        <w:tc>
          <w:tcPr>
            <w:tcW w:w="606" w:type="dxa"/>
            <w:vAlign w:val="center"/>
            <w:textDirection w:val="lrTb"/>
            <w:noWrap w:val="false"/>
          </w:tcPr>
          <w:p>
            <w:pPr>
              <w:pStyle w:val="953"/>
              <w:ind w:left="0"/>
              <w:jc w:val="center"/>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▲项目组人员（固定2人打★人员）</w:t>
            </w:r>
            <w:r>
              <w:rPr>
                <w:rFonts w:hint="eastAsia" w:ascii="宋体" w:hAnsi="宋体" w:eastAsia="宋体" w:cs="宋体"/>
                <w:sz w:val="21"/>
                <w:szCs w:val="21"/>
                <w:highlight w:val="none"/>
              </w:rPr>
            </w:r>
            <w:r/>
          </w:p>
        </w:tc>
        <w:tc>
          <w:tcPr>
            <w:tcW w:w="3474" w:type="dxa"/>
            <w:vAlign w:val="center"/>
            <w:textDirection w:val="lrTb"/>
            <w:noWrap w:val="false"/>
          </w:tcPr>
          <w:p>
            <w:pPr>
              <w:pStyle w:val="953"/>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供应商拟派出项目组人员（固定2人打★人员）具备：</w:t>
            </w:r>
            <w:r>
              <w:rPr>
                <w:rFonts w:hint="eastAsia" w:ascii="宋体" w:hAnsi="宋体" w:eastAsia="宋体" w:cs="宋体"/>
                <w:sz w:val="21"/>
                <w:szCs w:val="21"/>
                <w:highlight w:val="none"/>
              </w:rPr>
            </w:r>
            <w:r/>
          </w:p>
          <w:p>
            <w:pPr>
              <w:pStyle w:val="953"/>
              <w:ind w:left="0"/>
              <w:widowControl w:val="off"/>
              <w:rPr>
                <w:rFonts w:hint="eastAsia" w:ascii="宋体" w:hAnsi="宋体" w:eastAsia="宋体" w:cs="宋体"/>
                <w:b/>
                <w:bCs/>
                <w:sz w:val="21"/>
                <w:szCs w:val="21"/>
                <w:highlight w:val="none"/>
              </w:rPr>
              <w:framePr w:vAnchor="margin" w:hAnchor="page" w:xAlign="center" w:y="1"/>
            </w:pPr>
            <w:r>
              <w:rPr>
                <w:rFonts w:hint="eastAsia" w:ascii="宋体" w:hAnsi="宋体" w:eastAsia="宋体" w:cs="宋体"/>
                <w:sz w:val="21"/>
                <w:szCs w:val="21"/>
                <w:highlight w:val="none"/>
              </w:rPr>
              <w:t xml:space="preserve">连续5年（含）以上绩效评价或复核工作经验有一个得3分；连续3年（含）以上绩效评价或复核工作经验有一个得2分；连续2年（含）以上绩效评价或复核工作经验有一个得1分；不满2年不得分。此项最高6分。</w:t>
            </w:r>
            <w:r>
              <w:rPr>
                <w:rFonts w:hint="eastAsia" w:ascii="宋体" w:hAnsi="宋体" w:eastAsia="宋体" w:cs="宋体"/>
                <w:b/>
                <w:bCs/>
                <w:sz w:val="21"/>
                <w:szCs w:val="21"/>
                <w:highlight w:val="none"/>
              </w:rPr>
            </w:r>
            <w:r/>
          </w:p>
          <w:p>
            <w:pPr>
              <w:pStyle w:val="953"/>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b/>
                <w:bCs/>
                <w:sz w:val="21"/>
                <w:szCs w:val="21"/>
                <w:highlight w:val="none"/>
              </w:rPr>
              <w:t xml:space="preserve">注：响应文件中须提供</w:t>
            </w:r>
            <w:r>
              <w:rPr>
                <w:rFonts w:hint="eastAsia" w:ascii="宋体" w:hAnsi="宋体" w:eastAsia="宋体" w:cs="宋体"/>
                <w:b/>
                <w:sz w:val="21"/>
                <w:szCs w:val="21"/>
                <w:highlight w:val="none"/>
              </w:rPr>
              <w:t xml:space="preserve">身份证扫描件、工作经验</w:t>
            </w:r>
            <w:r>
              <w:rPr>
                <w:rFonts w:hint="eastAsia" w:ascii="宋体" w:hAnsi="宋体" w:eastAsia="宋体" w:cs="宋体"/>
                <w:b/>
                <w:bCs/>
                <w:sz w:val="21"/>
                <w:szCs w:val="21"/>
                <w:highlight w:val="none"/>
              </w:rPr>
              <w:t xml:space="preserve">证明材料的复印件、响应单位</w:t>
            </w:r>
            <w:r>
              <w:rPr>
                <w:rFonts w:hint="eastAsia" w:ascii="宋体" w:hAnsi="宋体" w:eastAsia="宋体" w:cs="宋体"/>
                <w:b/>
                <w:sz w:val="21"/>
                <w:szCs w:val="21"/>
                <w:highlight w:val="none"/>
              </w:rPr>
              <w:t xml:space="preserve">为其缴纳的最新一期社保证明资料</w:t>
            </w:r>
            <w:r>
              <w:rPr>
                <w:rFonts w:hint="eastAsia" w:ascii="宋体" w:hAnsi="宋体" w:eastAsia="宋体" w:cs="宋体"/>
                <w:b/>
                <w:bCs/>
                <w:sz w:val="21"/>
                <w:szCs w:val="21"/>
                <w:highlight w:val="none"/>
              </w:rPr>
              <w:t xml:space="preserve">并加盖响应单位公章，未提供不得分。</w:t>
            </w:r>
            <w:r>
              <w:rPr>
                <w:rFonts w:hint="eastAsia" w:ascii="宋体" w:hAnsi="宋体" w:eastAsia="宋体" w:cs="宋体"/>
                <w:sz w:val="21"/>
                <w:szCs w:val="21"/>
                <w:highlight w:val="none"/>
              </w:rPr>
            </w:r>
            <w:r/>
          </w:p>
        </w:tc>
        <w:tc>
          <w:tcPr>
            <w:tcW w:w="460" w:type="dxa"/>
            <w:vAlign w:val="center"/>
            <w:textDirection w:val="lrTb"/>
            <w:noWrap w:val="false"/>
          </w:tcPr>
          <w:p>
            <w:pPr>
              <w:pStyle w:val="953"/>
              <w:ind w:left="0"/>
              <w:jc w:val="center"/>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r>
      <w:tr>
        <w:trPr>
          <w:trHeight w:val="1939"/>
        </w:trPr>
        <w:tc>
          <w:tcPr>
            <w:tcW w:w="459" w:type="dxa"/>
            <w:vAlign w:val="center"/>
            <w:vMerge w:val="continue"/>
            <w:textDirection w:val="lrTb"/>
            <w:noWrap w:val="false"/>
          </w:tcPr>
          <w:p>
            <w:pPr>
              <w:pStyle w:val="953"/>
              <w:ind w:left="0"/>
              <w:jc w:val="center"/>
              <w:widowControl w:val="off"/>
              <w:rPr>
                <w:rFonts w:hint="eastAsia" w:ascii="宋体" w:hAnsi="宋体" w:eastAsia="宋体" w:cs="宋体"/>
                <w:b/>
                <w:bCs/>
                <w:sz w:val="21"/>
                <w:szCs w:val="21"/>
                <w:highlight w:val="none"/>
              </w:rPr>
              <w:framePr w:vAnchor="margin" w:hAnchor="page" w:xAlign="center" w:y="1"/>
            </w:pPr>
            <w:r>
              <w:rPr>
                <w:rFonts w:hint="eastAsia" w:ascii="宋体" w:hAnsi="宋体" w:eastAsia="宋体" w:cs="宋体"/>
                <w:b/>
                <w:bCs/>
                <w:sz w:val="21"/>
                <w:szCs w:val="21"/>
                <w:highlight w:val="none"/>
              </w:rPr>
            </w:r>
            <w:r/>
          </w:p>
        </w:tc>
        <w:tc>
          <w:tcPr>
            <w:tcW w:w="606" w:type="dxa"/>
            <w:vAlign w:val="center"/>
            <w:textDirection w:val="lrTb"/>
            <w:noWrap w:val="false"/>
          </w:tcPr>
          <w:p>
            <w:pPr>
              <w:pStyle w:val="953"/>
              <w:ind w:left="0"/>
              <w:jc w:val="center"/>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▲项目组人员</w:t>
            </w:r>
            <w:r>
              <w:rPr>
                <w:rFonts w:hint="eastAsia" w:ascii="宋体" w:hAnsi="宋体" w:eastAsia="宋体" w:cs="宋体"/>
                <w:sz w:val="21"/>
                <w:szCs w:val="21"/>
                <w:highlight w:val="none"/>
              </w:rPr>
            </w:r>
            <w:r/>
          </w:p>
        </w:tc>
        <w:tc>
          <w:tcPr>
            <w:tcW w:w="3474" w:type="dxa"/>
            <w:vAlign w:val="center"/>
            <w:textDirection w:val="lrTb"/>
            <w:noWrap w:val="false"/>
          </w:tcPr>
          <w:p>
            <w:pPr>
              <w:pStyle w:val="953"/>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供应商拟投入复核评价项目组人员具备：</w:t>
            </w:r>
            <w:r>
              <w:rPr>
                <w:rFonts w:hint="eastAsia" w:ascii="宋体" w:hAnsi="宋体" w:eastAsia="宋体" w:cs="宋体"/>
                <w:sz w:val="21"/>
                <w:szCs w:val="21"/>
                <w:highlight w:val="none"/>
              </w:rPr>
            </w:r>
            <w:r/>
          </w:p>
          <w:p>
            <w:pPr>
              <w:pStyle w:val="953"/>
              <w:ind w:left="0"/>
              <w:widowControl w:val="off"/>
              <w:rPr>
                <w:rFonts w:hint="eastAsia" w:ascii="宋体" w:hAnsi="宋体" w:eastAsia="宋体" w:cs="宋体"/>
                <w:bCs/>
                <w:sz w:val="21"/>
                <w:szCs w:val="21"/>
                <w:highlight w:val="none"/>
              </w:rPr>
              <w:framePr w:vAnchor="margin" w:hAnchor="page" w:xAlign="center" w:y="1"/>
            </w:pPr>
            <w:r>
              <w:rPr>
                <w:rFonts w:hint="eastAsia" w:ascii="宋体" w:hAnsi="宋体" w:eastAsia="宋体" w:cs="宋体"/>
                <w:bCs/>
                <w:sz w:val="21"/>
                <w:szCs w:val="21"/>
                <w:highlight w:val="none"/>
              </w:rPr>
              <w:t xml:space="preserve">2023年1月1日起至今参加财政部门（或注册会计师协会）组织的绩效评价业务培训的，有1人次得1.5分，最高</w:t>
            </w:r>
            <w:r>
              <w:rPr>
                <w:rFonts w:hint="eastAsia" w:ascii="宋体" w:hAnsi="宋体" w:eastAsia="宋体" w:cs="宋体"/>
                <w:bCs/>
                <w:sz w:val="21"/>
                <w:szCs w:val="21"/>
                <w:highlight w:val="none"/>
                <w:lang w:val="en-US" w:eastAsia="zh-CN"/>
              </w:rPr>
              <w:t xml:space="preserve">8</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rPr>
            </w:r>
            <w:r/>
          </w:p>
          <w:p>
            <w:pPr>
              <w:pStyle w:val="953"/>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b/>
                <w:bCs/>
                <w:sz w:val="21"/>
                <w:szCs w:val="21"/>
                <w:highlight w:val="none"/>
              </w:rPr>
              <w:t xml:space="preserve">注：响应文件中须提供以上相关人员</w:t>
            </w:r>
            <w:r>
              <w:rPr>
                <w:rFonts w:hint="eastAsia" w:ascii="宋体" w:hAnsi="宋体" w:eastAsia="宋体" w:cs="宋体"/>
                <w:b/>
                <w:sz w:val="21"/>
                <w:szCs w:val="21"/>
                <w:highlight w:val="none"/>
              </w:rPr>
              <w:t xml:space="preserve">身份证扫描件、</w:t>
            </w:r>
            <w:r>
              <w:rPr>
                <w:rFonts w:hint="eastAsia" w:ascii="宋体" w:hAnsi="宋体" w:eastAsia="宋体" w:cs="宋体"/>
                <w:b/>
                <w:bCs/>
                <w:sz w:val="21"/>
                <w:szCs w:val="21"/>
                <w:highlight w:val="none"/>
              </w:rPr>
              <w:t xml:space="preserve">培训证书复印件、响应单位</w:t>
            </w:r>
            <w:r>
              <w:rPr>
                <w:rFonts w:hint="eastAsia" w:ascii="宋体" w:hAnsi="宋体" w:eastAsia="宋体" w:cs="宋体"/>
                <w:b/>
                <w:sz w:val="21"/>
                <w:szCs w:val="21"/>
                <w:highlight w:val="none"/>
              </w:rPr>
              <w:t xml:space="preserve">为其缴纳的最新一期社保证明资料</w:t>
            </w:r>
            <w:r>
              <w:rPr>
                <w:rFonts w:hint="eastAsia" w:ascii="宋体" w:hAnsi="宋体" w:eastAsia="宋体" w:cs="宋体"/>
                <w:b/>
                <w:bCs/>
                <w:sz w:val="21"/>
                <w:szCs w:val="21"/>
                <w:highlight w:val="none"/>
              </w:rPr>
              <w:t xml:space="preserve">并加盖响应单位公章，未提供不得分。</w:t>
            </w:r>
            <w:r>
              <w:rPr>
                <w:rFonts w:hint="eastAsia" w:ascii="宋体" w:hAnsi="宋体" w:eastAsia="宋体" w:cs="宋体"/>
                <w:sz w:val="21"/>
                <w:szCs w:val="21"/>
                <w:highlight w:val="none"/>
              </w:rPr>
            </w:r>
            <w:r/>
          </w:p>
        </w:tc>
        <w:tc>
          <w:tcPr>
            <w:tcW w:w="460" w:type="dxa"/>
            <w:vAlign w:val="center"/>
            <w:textDirection w:val="lrTb"/>
            <w:noWrap w:val="false"/>
          </w:tcPr>
          <w:p>
            <w:pPr>
              <w:pStyle w:val="953"/>
              <w:ind w:left="0"/>
              <w:jc w:val="center"/>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r>
      <w:tr>
        <w:trPr>
          <w:trHeight w:val="1404"/>
        </w:trPr>
        <w:tc>
          <w:tcPr>
            <w:tcW w:w="459" w:type="dxa"/>
            <w:vAlign w:val="center"/>
            <w:vMerge w:val="continue"/>
            <w:textDirection w:val="lrTb"/>
            <w:noWrap w:val="false"/>
          </w:tcPr>
          <w:p>
            <w:pPr>
              <w:pStyle w:val="953"/>
              <w:ind w:left="0"/>
              <w:jc w:val="center"/>
              <w:widowControl w:val="off"/>
              <w:rPr>
                <w:rFonts w:hint="eastAsia" w:ascii="宋体" w:hAnsi="宋体" w:eastAsia="宋体" w:cs="宋体"/>
                <w:b/>
                <w:bCs/>
                <w:sz w:val="21"/>
                <w:szCs w:val="21"/>
                <w:highlight w:val="none"/>
              </w:rPr>
              <w:framePr w:vAnchor="margin" w:hAnchor="page" w:xAlign="center" w:y="1"/>
            </w:pPr>
            <w:r>
              <w:rPr>
                <w:rFonts w:hint="eastAsia" w:ascii="宋体" w:hAnsi="宋体" w:eastAsia="宋体" w:cs="宋体"/>
                <w:b/>
                <w:bCs/>
                <w:sz w:val="21"/>
                <w:szCs w:val="21"/>
                <w:highlight w:val="none"/>
              </w:rPr>
            </w:r>
            <w:r/>
          </w:p>
        </w:tc>
        <w:tc>
          <w:tcPr>
            <w:tcW w:w="606" w:type="dxa"/>
            <w:vAlign w:val="center"/>
            <w:textDirection w:val="lrTb"/>
            <w:noWrap w:val="false"/>
          </w:tcPr>
          <w:p>
            <w:pPr>
              <w:pStyle w:val="953"/>
              <w:ind w:left="0"/>
              <w:jc w:val="center"/>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b/>
                <w:bCs/>
                <w:sz w:val="21"/>
                <w:szCs w:val="21"/>
                <w:highlight w:val="none"/>
              </w:rPr>
              <w:t xml:space="preserve">▲</w:t>
            </w:r>
            <w:r>
              <w:rPr>
                <w:rFonts w:hint="eastAsia" w:ascii="宋体" w:hAnsi="宋体" w:eastAsia="宋体" w:cs="宋体"/>
                <w:sz w:val="21"/>
                <w:szCs w:val="21"/>
                <w:highlight w:val="none"/>
              </w:rPr>
              <w:t xml:space="preserve">类似业绩</w:t>
            </w:r>
            <w:r>
              <w:rPr>
                <w:rFonts w:hint="eastAsia" w:ascii="宋体" w:hAnsi="宋体" w:eastAsia="宋体" w:cs="宋体"/>
                <w:sz w:val="21"/>
                <w:szCs w:val="21"/>
                <w:highlight w:val="none"/>
              </w:rPr>
            </w:r>
            <w:r/>
          </w:p>
        </w:tc>
        <w:tc>
          <w:tcPr>
            <w:tcW w:w="3474" w:type="dxa"/>
            <w:vAlign w:val="center"/>
            <w:textDirection w:val="lrTb"/>
            <w:noWrap w:val="false"/>
          </w:tcPr>
          <w:p>
            <w:pPr>
              <w:pStyle w:val="953"/>
              <w:ind w:left="0"/>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供应商提供自2023年1月1日起至今承担（以合同签订时间为准）的类似项目业绩，每有一个得1分，本项目最高得8分。</w:t>
            </w:r>
            <w:r>
              <w:rPr>
                <w:rFonts w:hint="eastAsia" w:ascii="宋体" w:hAnsi="宋体" w:eastAsia="宋体" w:cs="宋体"/>
                <w:sz w:val="21"/>
                <w:szCs w:val="21"/>
                <w:highlight w:val="none"/>
              </w:rPr>
            </w:r>
            <w:r/>
          </w:p>
          <w:p>
            <w:pPr>
              <w:pStyle w:val="953"/>
              <w:ind w:left="0"/>
              <w:rPr>
                <w:rFonts w:hint="eastAsia" w:ascii="宋体" w:hAnsi="宋体" w:eastAsia="宋体" w:cs="宋体"/>
                <w:b/>
                <w:sz w:val="21"/>
                <w:szCs w:val="21"/>
                <w:highlight w:val="none"/>
              </w:rPr>
              <w:framePr w:vAnchor="margin" w:hAnchor="page" w:xAlign="center" w:y="1"/>
            </w:pPr>
            <w:r>
              <w:rPr>
                <w:rFonts w:hint="eastAsia" w:ascii="宋体" w:hAnsi="宋体" w:eastAsia="宋体" w:cs="宋体"/>
                <w:b/>
                <w:bCs/>
                <w:sz w:val="21"/>
                <w:szCs w:val="21"/>
                <w:highlight w:val="none"/>
              </w:rPr>
              <w:t xml:space="preserve">注：</w:t>
            </w:r>
            <w:r>
              <w:rPr>
                <w:rFonts w:hint="eastAsia" w:ascii="宋体" w:hAnsi="宋体" w:eastAsia="宋体" w:cs="宋体"/>
                <w:b/>
                <w:sz w:val="21"/>
                <w:szCs w:val="21"/>
                <w:highlight w:val="none"/>
              </w:rPr>
              <w:t xml:space="preserve">响应文件中须提供合同和与合同对应的任意一期发票扫描件</w:t>
            </w:r>
            <w:r>
              <w:rPr>
                <w:rFonts w:hint="eastAsia" w:ascii="宋体" w:hAnsi="宋体" w:eastAsia="宋体" w:cs="宋体"/>
                <w:b/>
                <w:bCs/>
                <w:sz w:val="21"/>
                <w:szCs w:val="21"/>
                <w:highlight w:val="none"/>
              </w:rPr>
              <w:t xml:space="preserve">/复印件</w:t>
            </w:r>
            <w:r>
              <w:rPr>
                <w:rFonts w:hint="eastAsia" w:ascii="宋体" w:hAnsi="宋体" w:eastAsia="宋体" w:cs="宋体"/>
                <w:b/>
                <w:sz w:val="21"/>
                <w:szCs w:val="21"/>
                <w:highlight w:val="none"/>
              </w:rPr>
              <w:t xml:space="preserve">并加盖响应单位公章，不提供不得分。</w:t>
            </w:r>
            <w:r>
              <w:rPr>
                <w:rFonts w:hint="eastAsia" w:ascii="宋体" w:hAnsi="宋体" w:eastAsia="宋体" w:cs="宋体"/>
                <w:b/>
                <w:sz w:val="21"/>
                <w:szCs w:val="21"/>
                <w:highlight w:val="none"/>
              </w:rPr>
            </w:r>
            <w:r/>
          </w:p>
        </w:tc>
        <w:tc>
          <w:tcPr>
            <w:tcW w:w="460" w:type="dxa"/>
            <w:vAlign w:val="center"/>
            <w:textDirection w:val="lrTb"/>
            <w:noWrap w:val="false"/>
          </w:tcPr>
          <w:p>
            <w:pPr>
              <w:pStyle w:val="953"/>
              <w:ind w:left="0"/>
              <w:jc w:val="center"/>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r>
    </w:tbl>
    <w:p>
      <w:pPr>
        <w:pStyle w:val="953"/>
        <w:ind w:left="0" w:firstLine="422"/>
        <w:spacing w:line="360" w:lineRule="auto"/>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t xml:space="preserve">备注：表格中▲为客观分。</w:t>
      </w:r>
      <w:r>
        <w:rPr>
          <w:rFonts w:hint="eastAsia" w:ascii="宋体" w:hAnsi="宋体" w:eastAsia="宋体" w:cs="宋体"/>
          <w:b/>
          <w:sz w:val="21"/>
          <w:szCs w:val="21"/>
          <w:highlight w:val="none"/>
          <w:lang w:bidi="ar"/>
        </w:rPr>
      </w:r>
      <w:r/>
    </w:p>
    <w:p>
      <w:pPr>
        <w:pStyle w:val="953"/>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953"/>
        <w:ind w:firstLine="480"/>
        <w:spacing w:line="360" w:lineRule="auto"/>
        <w:rPr>
          <w:rFonts w:hint="eastAsia" w:ascii="宋体" w:hAnsi="宋体" w:eastAsia="宋体" w:cs="宋体"/>
          <w:b/>
          <w:color w:val="0000ff"/>
          <w:sz w:val="21"/>
          <w:szCs w:val="21"/>
          <w:highlight w:val="none"/>
          <w:u w:val="single"/>
          <w:lang w:val="en-US" w:eastAsia="zh-CN"/>
        </w:rPr>
      </w:pPr>
      <w:r>
        <w:rPr>
          <w:rFonts w:hint="eastAsia" w:ascii="宋体" w:hAnsi="宋体" w:eastAsia="宋体" w:cs="宋体"/>
          <w:b/>
          <w:bCs/>
          <w:sz w:val="21"/>
          <w:szCs w:val="21"/>
          <w:highlight w:val="none"/>
        </w:rPr>
        <w:t xml:space="preserve">采购包5</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6、7</w:t>
      </w:r>
      <w:r>
        <w:rPr>
          <w:rFonts w:hint="eastAsia" w:ascii="宋体" w:hAnsi="宋体" w:eastAsia="宋体" w:cs="宋体"/>
          <w:b/>
          <w:bCs/>
          <w:sz w:val="21"/>
          <w:szCs w:val="21"/>
          <w:highlight w:val="none"/>
        </w:rPr>
        <w:t xml:space="preserve">评分标准：</w:t>
      </w:r>
      <w:r>
        <w:rPr>
          <w:rFonts w:hint="eastAsia" w:ascii="宋体" w:hAnsi="宋体" w:eastAsia="宋体" w:cs="宋体"/>
          <w:b/>
          <w:color w:val="0000ff"/>
          <w:sz w:val="21"/>
          <w:szCs w:val="21"/>
          <w:highlight w:val="none"/>
          <w:u w:val="single"/>
          <w:lang w:val="en-US" w:eastAsia="zh-CN"/>
        </w:rPr>
      </w:r>
      <w:r/>
    </w:p>
    <w:tbl>
      <w:tblPr>
        <w:tblpPr w:horzAnchor="text" w:tblpXSpec="center" w:vertAnchor="text" w:tblpY="1" w:leftFromText="180" w:topFromText="0" w:rightFromText="180" w:bottomFromText="0"/>
        <w:tblW w:w="517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082"/>
        <w:gridCol w:w="6103"/>
        <w:gridCol w:w="811"/>
      </w:tblGrid>
      <w:tr>
        <w:trPr>
          <w:trHeight w:val="113"/>
        </w:trPr>
        <w:tc>
          <w:tcPr>
            <w:tcW w:w="463" w:type="dxa"/>
            <w:vAlign w:val="center"/>
            <w:textDirection w:val="lrTb"/>
            <w:noWrap w:val="false"/>
          </w:tcPr>
          <w:p>
            <w:pPr>
              <w:pStyle w:val="953"/>
              <w:ind w:left="0"/>
              <w:jc w:val="center"/>
              <w:widowControl w:val="off"/>
              <w:rPr>
                <w:rFonts w:hint="eastAsia" w:ascii="宋体" w:hAnsi="宋体" w:eastAsia="宋体" w:cs="宋体"/>
                <w:b/>
                <w:bCs/>
                <w:sz w:val="21"/>
                <w:szCs w:val="21"/>
                <w:highlight w:val="none"/>
              </w:rPr>
              <w:framePr w:vAnchor="margin" w:hAnchor="page" w:xAlign="center" w:y="1"/>
            </w:pPr>
            <w:r>
              <w:rPr>
                <w:rFonts w:hint="eastAsia" w:ascii="宋体" w:hAnsi="宋体" w:eastAsia="宋体" w:cs="宋体"/>
                <w:b/>
                <w:sz w:val="21"/>
                <w:szCs w:val="21"/>
                <w:highlight w:val="none"/>
              </w:rPr>
              <w:t xml:space="preserve">评审类别</w:t>
            </w:r>
            <w:r>
              <w:rPr>
                <w:rFonts w:hint="eastAsia" w:ascii="宋体" w:hAnsi="宋体" w:eastAsia="宋体" w:cs="宋体"/>
                <w:b/>
                <w:bCs/>
                <w:sz w:val="21"/>
                <w:szCs w:val="21"/>
                <w:highlight w:val="none"/>
              </w:rPr>
            </w:r>
            <w:r/>
          </w:p>
        </w:tc>
        <w:tc>
          <w:tcPr>
            <w:tcW w:w="613" w:type="dxa"/>
            <w:vAlign w:val="center"/>
            <w:textDirection w:val="lrTb"/>
            <w:noWrap w:val="false"/>
          </w:tcPr>
          <w:p>
            <w:pPr>
              <w:pStyle w:val="953"/>
              <w:ind w:left="0"/>
              <w:jc w:val="center"/>
              <w:widowControl w:val="off"/>
              <w:rPr>
                <w:rFonts w:hint="eastAsia" w:ascii="宋体" w:hAnsi="宋体" w:eastAsia="宋体" w:cs="宋体"/>
                <w:b/>
                <w:bCs/>
                <w:sz w:val="21"/>
                <w:szCs w:val="21"/>
                <w:highlight w:val="none"/>
              </w:rPr>
              <w:framePr w:vAnchor="margin" w:hAnchor="page" w:xAlign="center" w:y="1"/>
            </w:pPr>
            <w:r>
              <w:rPr>
                <w:rFonts w:hint="eastAsia" w:ascii="宋体" w:hAnsi="宋体" w:eastAsia="宋体" w:cs="宋体"/>
                <w:b/>
                <w:sz w:val="21"/>
                <w:szCs w:val="21"/>
                <w:highlight w:val="none"/>
              </w:rPr>
              <w:t xml:space="preserve">评审项</w:t>
            </w:r>
            <w:r>
              <w:rPr>
                <w:rFonts w:hint="eastAsia" w:ascii="宋体" w:hAnsi="宋体" w:eastAsia="宋体" w:cs="宋体"/>
                <w:b/>
                <w:bCs/>
                <w:sz w:val="21"/>
                <w:szCs w:val="21"/>
                <w:highlight w:val="none"/>
              </w:rPr>
            </w:r>
            <w:r/>
          </w:p>
        </w:tc>
        <w:tc>
          <w:tcPr>
            <w:tcW w:w="3462" w:type="dxa"/>
            <w:vAlign w:val="center"/>
            <w:textDirection w:val="lrTb"/>
            <w:noWrap w:val="false"/>
          </w:tcPr>
          <w:p>
            <w:pPr>
              <w:pStyle w:val="953"/>
              <w:ind w:left="0"/>
              <w:jc w:val="center"/>
              <w:widowControl w:val="off"/>
              <w:rPr>
                <w:rFonts w:hint="eastAsia" w:ascii="宋体" w:hAnsi="宋体" w:eastAsia="宋体" w:cs="宋体"/>
                <w:b/>
                <w:bCs/>
                <w:sz w:val="21"/>
                <w:szCs w:val="21"/>
                <w:highlight w:val="none"/>
              </w:rPr>
              <w:framePr w:vAnchor="margin" w:hAnchor="page" w:xAlign="center" w:y="1"/>
            </w:pPr>
            <w:r>
              <w:rPr>
                <w:rFonts w:hint="eastAsia" w:ascii="宋体" w:hAnsi="宋体" w:eastAsia="宋体" w:cs="宋体"/>
                <w:b/>
                <w:sz w:val="21"/>
                <w:szCs w:val="21"/>
                <w:highlight w:val="none"/>
              </w:rPr>
              <w:t xml:space="preserve">评审规则</w:t>
            </w:r>
            <w:r>
              <w:rPr>
                <w:rFonts w:hint="eastAsia" w:ascii="宋体" w:hAnsi="宋体" w:eastAsia="宋体" w:cs="宋体"/>
                <w:b/>
                <w:bCs/>
                <w:sz w:val="21"/>
                <w:szCs w:val="21"/>
                <w:highlight w:val="none"/>
              </w:rPr>
            </w:r>
            <w:r/>
          </w:p>
        </w:tc>
        <w:tc>
          <w:tcPr>
            <w:tcW w:w="460" w:type="dxa"/>
            <w:vAlign w:val="center"/>
            <w:textDirection w:val="lrTb"/>
            <w:noWrap w:val="false"/>
          </w:tcPr>
          <w:p>
            <w:pPr>
              <w:pStyle w:val="953"/>
              <w:ind w:left="0"/>
              <w:jc w:val="center"/>
              <w:widowControl w:val="off"/>
              <w:rPr>
                <w:rFonts w:hint="eastAsia" w:ascii="宋体" w:hAnsi="宋体" w:eastAsia="宋体" w:cs="宋体"/>
                <w:b/>
                <w:bCs/>
                <w:sz w:val="21"/>
                <w:szCs w:val="21"/>
                <w:highlight w:val="none"/>
              </w:rPr>
              <w:framePr w:vAnchor="margin" w:hAnchor="page" w:xAlign="center" w:y="1"/>
            </w:pPr>
            <w:r>
              <w:rPr>
                <w:rFonts w:hint="eastAsia" w:ascii="宋体" w:hAnsi="宋体" w:eastAsia="宋体" w:cs="宋体"/>
                <w:b/>
                <w:sz w:val="21"/>
                <w:szCs w:val="21"/>
                <w:highlight w:val="none"/>
              </w:rPr>
              <w:t xml:space="preserve">分值（分）</w:t>
            </w:r>
            <w:r>
              <w:rPr>
                <w:rFonts w:hint="eastAsia" w:ascii="宋体" w:hAnsi="宋体" w:eastAsia="宋体" w:cs="宋体"/>
                <w:b/>
                <w:bCs/>
                <w:sz w:val="21"/>
                <w:szCs w:val="21"/>
                <w:highlight w:val="none"/>
              </w:rPr>
            </w:r>
            <w:r/>
          </w:p>
        </w:tc>
      </w:tr>
      <w:tr>
        <w:trPr>
          <w:trHeight w:val="1120"/>
        </w:trPr>
        <w:tc>
          <w:tcPr>
            <w:tcW w:w="463" w:type="dxa"/>
            <w:vAlign w:val="center"/>
            <w:textDirection w:val="lrTb"/>
            <w:noWrap w:val="false"/>
          </w:tcPr>
          <w:p>
            <w:pPr>
              <w:pStyle w:val="953"/>
              <w:ind w:left="0"/>
              <w:jc w:val="center"/>
              <w:widowControl w:val="off"/>
              <w:rPr>
                <w:rFonts w:hint="eastAsia" w:ascii="宋体" w:hAnsi="宋体" w:eastAsia="宋体" w:cs="宋体"/>
                <w:b/>
                <w:sz w:val="21"/>
                <w:szCs w:val="21"/>
                <w:highlight w:val="none"/>
              </w:rPr>
              <w:framePr w:vAnchor="margin" w:hAnchor="page" w:xAlign="center" w:y="1"/>
            </w:pPr>
            <w:r>
              <w:rPr>
                <w:rFonts w:hint="eastAsia" w:ascii="宋体" w:hAnsi="宋体" w:eastAsia="宋体" w:cs="宋体"/>
                <w:b/>
                <w:sz w:val="21"/>
                <w:szCs w:val="21"/>
                <w:highlight w:val="none"/>
              </w:rPr>
              <w:t xml:space="preserve">价格部分</w:t>
            </w:r>
            <w:r>
              <w:rPr>
                <w:rFonts w:hint="eastAsia" w:ascii="宋体" w:hAnsi="宋体" w:eastAsia="宋体" w:cs="宋体"/>
                <w:b/>
                <w:sz w:val="21"/>
                <w:szCs w:val="21"/>
                <w:highlight w:val="none"/>
              </w:rPr>
            </w:r>
            <w:r/>
          </w:p>
          <w:p>
            <w:pPr>
              <w:pStyle w:val="953"/>
              <w:ind w:left="0"/>
              <w:jc w:val="center"/>
              <w:widowControl w:val="off"/>
              <w:rPr>
                <w:rFonts w:hint="eastAsia" w:ascii="宋体" w:hAnsi="宋体" w:eastAsia="宋体" w:cs="宋体"/>
                <w:b/>
                <w:sz w:val="21"/>
                <w:szCs w:val="21"/>
                <w:highlight w:val="none"/>
              </w:rPr>
              <w:framePr w:vAnchor="margin" w:hAnchor="page" w:xAlign="center" w:y="1"/>
            </w:pP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en-US" w:eastAsia="zh-CN"/>
              </w:rPr>
              <w:t xml:space="preserve">2</w:t>
            </w:r>
            <w:r>
              <w:rPr>
                <w:rFonts w:hint="eastAsia" w:ascii="宋体" w:hAnsi="宋体" w:eastAsia="宋体" w:cs="宋体"/>
                <w:b/>
                <w:sz w:val="21"/>
                <w:szCs w:val="21"/>
                <w:highlight w:val="none"/>
              </w:rPr>
              <w:t xml:space="preserve">0分）</w:t>
            </w:r>
            <w:r>
              <w:rPr>
                <w:rFonts w:hint="eastAsia" w:ascii="宋体" w:hAnsi="宋体" w:eastAsia="宋体" w:cs="宋体"/>
                <w:b/>
                <w:sz w:val="21"/>
                <w:szCs w:val="21"/>
                <w:highlight w:val="none"/>
              </w:rPr>
            </w:r>
            <w:r/>
          </w:p>
        </w:tc>
        <w:tc>
          <w:tcPr>
            <w:tcW w:w="613" w:type="dxa"/>
            <w:vAlign w:val="center"/>
            <w:textDirection w:val="lrTb"/>
            <w:noWrap w:val="false"/>
          </w:tcPr>
          <w:p>
            <w:pPr>
              <w:pStyle w:val="953"/>
              <w:ind w:left="0"/>
              <w:jc w:val="center"/>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响应报价</w:t>
            </w:r>
            <w:r>
              <w:rPr>
                <w:rFonts w:hint="eastAsia" w:ascii="宋体" w:hAnsi="宋体" w:eastAsia="宋体" w:cs="宋体"/>
                <w:sz w:val="21"/>
                <w:szCs w:val="21"/>
                <w:highlight w:val="none"/>
              </w:rPr>
            </w:r>
            <w:r/>
          </w:p>
        </w:tc>
        <w:tc>
          <w:tcPr>
            <w:tcW w:w="3462" w:type="dxa"/>
            <w:vAlign w:val="center"/>
            <w:textDirection w:val="lrTb"/>
            <w:noWrap w:val="false"/>
          </w:tcPr>
          <w:p>
            <w:pPr>
              <w:pStyle w:val="953"/>
              <w:ind w:left="0"/>
              <w:widowControl w:val="off"/>
              <w:rPr>
                <w:rFonts w:hint="eastAsia" w:ascii="宋体" w:hAnsi="宋体" w:eastAsia="宋体" w:cs="宋体"/>
                <w:sz w:val="21"/>
                <w:szCs w:val="21"/>
                <w:highlight w:val="none"/>
                <w:lang w:bidi="ar"/>
              </w:rPr>
              <w:framePr w:vAnchor="margin" w:hAnchor="page" w:xAlign="center" w:y="1"/>
            </w:pPr>
            <w:r>
              <w:rPr>
                <w:rFonts w:hint="eastAsia" w:ascii="宋体" w:hAnsi="宋体" w:eastAsia="宋体" w:cs="宋体"/>
                <w:sz w:val="21"/>
                <w:szCs w:val="21"/>
                <w:highlight w:val="none"/>
                <w:lang w:bidi="ar"/>
              </w:rPr>
              <w:t xml:space="preserve">1、响应报价不超过采购预算价格的为有效报价。超出此范围的响应报价为无效报价。无效报价的响应文件不进行评审，也不得成交。</w:t>
            </w:r>
            <w:r>
              <w:rPr>
                <w:rFonts w:hint="eastAsia" w:ascii="宋体" w:hAnsi="宋体" w:eastAsia="宋体" w:cs="宋体"/>
                <w:sz w:val="21"/>
                <w:szCs w:val="21"/>
                <w:highlight w:val="none"/>
                <w:lang w:bidi="ar"/>
              </w:rPr>
            </w:r>
            <w:r/>
          </w:p>
          <w:p>
            <w:pPr>
              <w:pStyle w:val="953"/>
              <w:ind w:left="0"/>
              <w:widowControl w:val="off"/>
              <w:rPr>
                <w:rFonts w:hint="eastAsia" w:ascii="宋体" w:hAnsi="宋体" w:eastAsia="宋体" w:cs="宋体"/>
                <w:sz w:val="21"/>
                <w:szCs w:val="21"/>
                <w:highlight w:val="none"/>
                <w:lang w:bidi="ar"/>
              </w:rPr>
              <w:framePr w:vAnchor="margin" w:hAnchor="page" w:xAlign="center" w:y="1"/>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lang w:bidi="ar"/>
              </w:rPr>
              <w:tab/>
            </w:r>
            <w:r>
              <w:rPr>
                <w:rFonts w:hint="eastAsia" w:ascii="宋体" w:hAnsi="宋体" w:eastAsia="宋体" w:cs="宋体"/>
                <w:sz w:val="21"/>
                <w:szCs w:val="21"/>
                <w:highlight w:val="none"/>
                <w:lang w:bidi="ar"/>
              </w:rPr>
              <w:t xml:space="preserve">在所有有效响应最终报价中选择报价最低的确定为基准报价。</w:t>
            </w:r>
            <w:r>
              <w:rPr>
                <w:rFonts w:hint="eastAsia" w:ascii="宋体" w:hAnsi="宋体" w:eastAsia="宋体" w:cs="宋体"/>
                <w:sz w:val="21"/>
                <w:szCs w:val="21"/>
                <w:highlight w:val="none"/>
                <w:lang w:bidi="ar"/>
              </w:rPr>
            </w:r>
            <w:r/>
          </w:p>
          <w:p>
            <w:pPr>
              <w:pStyle w:val="953"/>
              <w:ind w:left="0"/>
              <w:widowControl w:val="off"/>
              <w:rPr>
                <w:rFonts w:hint="eastAsia" w:ascii="宋体" w:hAnsi="宋体" w:eastAsia="宋体" w:cs="宋体"/>
                <w:sz w:val="21"/>
                <w:szCs w:val="21"/>
                <w:highlight w:val="none"/>
                <w:lang w:bidi="ar"/>
              </w:rPr>
              <w:framePr w:vAnchor="margin" w:hAnchor="page" w:xAlign="center" w:y="1"/>
            </w:pPr>
            <w:r>
              <w:rPr>
                <w:rFonts w:hint="eastAsia" w:ascii="宋体" w:hAnsi="宋体" w:eastAsia="宋体" w:cs="宋体"/>
                <w:sz w:val="21"/>
                <w:szCs w:val="21"/>
                <w:highlight w:val="none"/>
                <w:lang w:bidi="ar"/>
              </w:rPr>
              <w:t xml:space="preserve">3、价格分采用低价优先法计算，即满足采购文件要求且最终价格最低的响应报价为评审基准价，其价格分为满分。其他响应人的价格分统一按照下列公式计算（计算结果四舍五入保留两位小数）：</w:t>
            </w:r>
            <w:r>
              <w:rPr>
                <w:rFonts w:hint="eastAsia" w:ascii="宋体" w:hAnsi="宋体" w:eastAsia="宋体" w:cs="宋体"/>
                <w:sz w:val="21"/>
                <w:szCs w:val="21"/>
                <w:highlight w:val="none"/>
                <w:lang w:bidi="ar"/>
              </w:rPr>
            </w:r>
            <w:r/>
          </w:p>
          <w:p>
            <w:pPr>
              <w:pStyle w:val="953"/>
              <w:ind w:left="0"/>
              <w:widowControl w:val="off"/>
              <w:rPr>
                <w:rFonts w:hint="eastAsia" w:ascii="宋体" w:hAnsi="宋体" w:eastAsia="宋体" w:cs="宋体"/>
                <w:sz w:val="21"/>
                <w:szCs w:val="21"/>
                <w:highlight w:val="none"/>
                <w:lang w:bidi="ar"/>
              </w:rPr>
              <w:framePr w:vAnchor="margin" w:hAnchor="page" w:xAlign="center" w:y="1"/>
            </w:pPr>
            <w:r>
              <w:rPr>
                <w:rFonts w:hint="eastAsia" w:ascii="宋体" w:hAnsi="宋体" w:eastAsia="宋体" w:cs="宋体"/>
                <w:sz w:val="21"/>
                <w:szCs w:val="21"/>
                <w:highlight w:val="none"/>
                <w:lang w:bidi="ar"/>
              </w:rPr>
              <w:t xml:space="preserve">响应报价得分=（评审基准价/最终报价）*价格权值*100（本次采购价格权值为</w:t>
            </w:r>
            <w:r>
              <w:rPr>
                <w:rFonts w:hint="eastAsia" w:ascii="宋体" w:hAnsi="宋体" w:eastAsia="宋体" w:cs="宋体"/>
                <w:sz w:val="21"/>
                <w:szCs w:val="21"/>
                <w:highlight w:val="none"/>
                <w:lang w:val="en-US" w:eastAsia="zh-CN" w:bidi="ar"/>
              </w:rPr>
              <w:t xml:space="preserve">20</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r>
            <w:r/>
          </w:p>
        </w:tc>
        <w:tc>
          <w:tcPr>
            <w:tcW w:w="460" w:type="dxa"/>
            <w:vAlign w:val="center"/>
            <w:textDirection w:val="lrTb"/>
            <w:noWrap w:val="false"/>
          </w:tcPr>
          <w:p>
            <w:pPr>
              <w:pStyle w:val="953"/>
              <w:ind w:left="0"/>
              <w:jc w:val="center"/>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bidi="ar"/>
              </w:rPr>
              <w:t xml:space="preserve">0</w:t>
            </w:r>
            <w:r>
              <w:rPr>
                <w:rFonts w:hint="eastAsia" w:ascii="宋体" w:hAnsi="宋体" w:eastAsia="宋体" w:cs="宋体"/>
                <w:sz w:val="21"/>
                <w:szCs w:val="21"/>
                <w:highlight w:val="none"/>
              </w:rPr>
            </w:r>
            <w:r/>
          </w:p>
        </w:tc>
      </w:tr>
      <w:tr>
        <w:trPr>
          <w:trHeight w:val="2136"/>
        </w:trPr>
        <w:tc>
          <w:tcPr>
            <w:tcW w:w="463" w:type="dxa"/>
            <w:vAlign w:val="center"/>
            <w:vMerge w:val="restart"/>
            <w:textDirection w:val="lrTb"/>
            <w:noWrap w:val="false"/>
          </w:tcPr>
          <w:p>
            <w:pPr>
              <w:pStyle w:val="953"/>
              <w:ind w:left="0"/>
              <w:jc w:val="center"/>
              <w:widowControl w:val="off"/>
              <w:rPr>
                <w:rFonts w:hint="eastAsia" w:ascii="宋体" w:hAnsi="宋体" w:eastAsia="宋体" w:cs="宋体"/>
                <w:b/>
                <w:sz w:val="21"/>
                <w:szCs w:val="21"/>
                <w:highlight w:val="none"/>
              </w:rPr>
              <w:framePr w:vAnchor="margin" w:hAnchor="page" w:xAlign="center" w:y="1"/>
            </w:pPr>
            <w:r>
              <w:rPr>
                <w:rFonts w:hint="eastAsia" w:ascii="宋体" w:hAnsi="宋体" w:eastAsia="宋体" w:cs="宋体"/>
                <w:b/>
                <w:sz w:val="21"/>
                <w:szCs w:val="21"/>
                <w:highlight w:val="none"/>
              </w:rPr>
              <w:t xml:space="preserve">商务部分（</w:t>
            </w:r>
            <w:r>
              <w:rPr>
                <w:rFonts w:hint="eastAsia" w:ascii="宋体" w:hAnsi="宋体" w:eastAsia="宋体" w:cs="宋体"/>
                <w:b/>
                <w:sz w:val="21"/>
                <w:szCs w:val="21"/>
                <w:highlight w:val="none"/>
                <w:lang w:val="en-US" w:eastAsia="zh-CN"/>
              </w:rPr>
              <w:t xml:space="preserve">58</w:t>
            </w:r>
            <w:r>
              <w:rPr>
                <w:rFonts w:hint="eastAsia" w:ascii="宋体" w:hAnsi="宋体" w:eastAsia="宋体" w:cs="宋体"/>
                <w:b/>
                <w:sz w:val="21"/>
                <w:szCs w:val="21"/>
                <w:highlight w:val="none"/>
              </w:rPr>
              <w:t xml:space="preserve">分）</w:t>
            </w:r>
            <w:r>
              <w:rPr>
                <w:rFonts w:hint="eastAsia" w:ascii="宋体" w:hAnsi="宋体" w:eastAsia="宋体" w:cs="宋体"/>
                <w:b/>
                <w:sz w:val="21"/>
                <w:szCs w:val="21"/>
                <w:highlight w:val="none"/>
              </w:rPr>
            </w:r>
            <w:r/>
          </w:p>
        </w:tc>
        <w:tc>
          <w:tcPr>
            <w:tcW w:w="613" w:type="dxa"/>
            <w:vAlign w:val="center"/>
            <w:textDirection w:val="lrTb"/>
            <w:noWrap w:val="false"/>
          </w:tcPr>
          <w:p>
            <w:pPr>
              <w:pStyle w:val="953"/>
              <w:ind w:left="0"/>
              <w:jc w:val="center"/>
              <w:rPr>
                <w:rFonts w:hint="eastAsia" w:ascii="宋体" w:hAnsi="宋体" w:eastAsia="宋体" w:cs="宋体"/>
                <w:sz w:val="21"/>
                <w:szCs w:val="21"/>
                <w:highlight w:val="none"/>
              </w:rPr>
              <w:framePr w:vAnchor="margin" w:hAnchor="page" w:xAlign="center" w:y="1"/>
            </w:pPr>
            <w:r>
              <w:rPr>
                <w:rFonts w:hint="eastAsia" w:ascii="宋体" w:hAnsi="宋体" w:eastAsia="宋体" w:cs="宋体"/>
                <w:b/>
                <w:bCs/>
                <w:sz w:val="21"/>
                <w:szCs w:val="21"/>
                <w:highlight w:val="none"/>
              </w:rPr>
              <w:t xml:space="preserve">▲</w:t>
            </w:r>
            <w:r>
              <w:rPr>
                <w:rFonts w:hint="eastAsia" w:ascii="宋体" w:hAnsi="宋体" w:eastAsia="宋体" w:cs="宋体"/>
                <w:sz w:val="21"/>
                <w:szCs w:val="21"/>
                <w:highlight w:val="none"/>
              </w:rPr>
              <w:t xml:space="preserve">业务能力</w:t>
            </w:r>
            <w:r>
              <w:rPr>
                <w:rFonts w:hint="eastAsia" w:ascii="宋体" w:hAnsi="宋体" w:eastAsia="宋体" w:cs="宋体"/>
                <w:sz w:val="21"/>
                <w:szCs w:val="21"/>
                <w:highlight w:val="none"/>
              </w:rPr>
            </w:r>
            <w:r/>
          </w:p>
        </w:tc>
        <w:tc>
          <w:tcPr>
            <w:tcW w:w="3462" w:type="dxa"/>
            <w:vAlign w:val="center"/>
            <w:textDirection w:val="lrTb"/>
            <w:noWrap w:val="false"/>
          </w:tcPr>
          <w:p>
            <w:pPr>
              <w:pStyle w:val="953"/>
              <w:ind w:left="0"/>
              <w:widowControl w:val="off"/>
              <w:rPr>
                <w:rFonts w:hint="eastAsia" w:ascii="宋体" w:hAnsi="宋体" w:eastAsia="宋体" w:cs="宋体"/>
                <w:sz w:val="21"/>
                <w:szCs w:val="21"/>
                <w:highlight w:val="none"/>
                <w:lang w:bidi="ar"/>
              </w:rPr>
              <w:framePr w:vAnchor="margin" w:hAnchor="page" w:xAlign="center" w:y="1"/>
            </w:pPr>
            <w:r>
              <w:rPr>
                <w:rFonts w:hint="eastAsia" w:ascii="宋体" w:hAnsi="宋体" w:eastAsia="宋体" w:cs="宋体"/>
                <w:sz w:val="21"/>
                <w:szCs w:val="21"/>
                <w:highlight w:val="none"/>
                <w:lang w:bidi="ar"/>
              </w:rPr>
              <w:t xml:space="preserve">响应供应商202</w:t>
            </w:r>
            <w:r>
              <w:rPr>
                <w:rFonts w:hint="eastAsia" w:ascii="宋体" w:hAnsi="宋体" w:eastAsia="宋体" w:cs="宋体"/>
                <w:sz w:val="21"/>
                <w:szCs w:val="21"/>
                <w:highlight w:val="none"/>
                <w:lang w:val="en-US" w:eastAsia="zh-CN" w:bidi="ar"/>
              </w:rPr>
              <w:t xml:space="preserve">5</w:t>
            </w:r>
            <w:r>
              <w:rPr>
                <w:rFonts w:hint="eastAsia" w:ascii="宋体" w:hAnsi="宋体" w:eastAsia="宋体" w:cs="宋体"/>
                <w:sz w:val="21"/>
                <w:szCs w:val="21"/>
                <w:highlight w:val="none"/>
                <w:lang w:bidi="ar"/>
              </w:rPr>
              <w:t xml:space="preserve">年度出具鉴证报告数量＞</w:t>
            </w:r>
            <w:r>
              <w:rPr>
                <w:rFonts w:hint="eastAsia" w:ascii="宋体" w:hAnsi="宋体" w:eastAsia="宋体" w:cs="宋体"/>
                <w:sz w:val="21"/>
                <w:szCs w:val="21"/>
                <w:highlight w:val="none"/>
                <w:lang w:val="en-US" w:eastAsia="zh-CN" w:bidi="ar"/>
              </w:rPr>
              <w:t xml:space="preserve">5</w:t>
            </w:r>
            <w:r>
              <w:rPr>
                <w:rFonts w:hint="eastAsia" w:ascii="宋体" w:hAnsi="宋体" w:eastAsia="宋体" w:cs="宋体"/>
                <w:sz w:val="21"/>
                <w:szCs w:val="21"/>
                <w:highlight w:val="none"/>
                <w:lang w:bidi="ar"/>
              </w:rPr>
              <w:t xml:space="preserve">00份，得</w:t>
            </w:r>
            <w:r>
              <w:rPr>
                <w:rFonts w:hint="eastAsia" w:ascii="宋体" w:hAnsi="宋体" w:eastAsia="宋体" w:cs="宋体"/>
                <w:sz w:val="21"/>
                <w:szCs w:val="21"/>
                <w:highlight w:val="none"/>
                <w:lang w:val="en-US" w:bidi="ar"/>
              </w:rPr>
              <w:t xml:space="preserve">10</w:t>
            </w:r>
            <w:r>
              <w:rPr>
                <w:rFonts w:hint="eastAsia" w:ascii="宋体" w:hAnsi="宋体" w:eastAsia="宋体" w:cs="宋体"/>
                <w:sz w:val="21"/>
                <w:szCs w:val="21"/>
                <w:highlight w:val="none"/>
                <w:lang w:bidi="ar"/>
              </w:rPr>
              <w:t xml:space="preserve">分；</w:t>
            </w:r>
            <w:r>
              <w:rPr>
                <w:rFonts w:hint="eastAsia" w:ascii="宋体" w:hAnsi="宋体" w:eastAsia="宋体" w:cs="宋体"/>
                <w:sz w:val="21"/>
                <w:szCs w:val="21"/>
                <w:highlight w:val="none"/>
                <w:lang w:bidi="ar"/>
              </w:rPr>
            </w:r>
            <w:r/>
          </w:p>
          <w:p>
            <w:pPr>
              <w:pStyle w:val="953"/>
              <w:ind w:left="0"/>
              <w:widowControl w:val="off"/>
              <w:rPr>
                <w:rFonts w:hint="eastAsia" w:ascii="宋体" w:hAnsi="宋体" w:eastAsia="宋体" w:cs="宋体"/>
                <w:sz w:val="21"/>
                <w:szCs w:val="21"/>
                <w:highlight w:val="none"/>
                <w:lang w:bidi="ar"/>
              </w:rPr>
              <w:framePr w:vAnchor="margin" w:hAnchor="page" w:xAlign="center" w:y="1"/>
            </w:pPr>
            <w:r>
              <w:rPr>
                <w:rFonts w:hint="eastAsia" w:ascii="宋体" w:hAnsi="宋体" w:eastAsia="宋体" w:cs="宋体"/>
                <w:sz w:val="21"/>
                <w:szCs w:val="21"/>
                <w:highlight w:val="none"/>
                <w:lang w:val="en-US" w:eastAsia="zh-CN" w:bidi="ar"/>
              </w:rPr>
              <w:t xml:space="preserve">3</w:t>
            </w:r>
            <w:r>
              <w:rPr>
                <w:rFonts w:hint="eastAsia" w:ascii="宋体" w:hAnsi="宋体" w:eastAsia="宋体" w:cs="宋体"/>
                <w:sz w:val="21"/>
                <w:szCs w:val="21"/>
                <w:highlight w:val="none"/>
                <w:lang w:bidi="ar"/>
              </w:rPr>
              <w:t xml:space="preserve">00份＜202</w:t>
            </w:r>
            <w:r>
              <w:rPr>
                <w:rFonts w:hint="eastAsia" w:ascii="宋体" w:hAnsi="宋体" w:eastAsia="宋体" w:cs="宋体"/>
                <w:sz w:val="21"/>
                <w:szCs w:val="21"/>
                <w:highlight w:val="none"/>
                <w:lang w:val="en-US" w:eastAsia="zh-CN" w:bidi="ar"/>
              </w:rPr>
              <w:t xml:space="preserve">5</w:t>
            </w:r>
            <w:r>
              <w:rPr>
                <w:rFonts w:hint="eastAsia" w:ascii="宋体" w:hAnsi="宋体" w:eastAsia="宋体" w:cs="宋体"/>
                <w:sz w:val="21"/>
                <w:szCs w:val="21"/>
                <w:highlight w:val="none"/>
                <w:lang w:bidi="ar"/>
              </w:rPr>
              <w:t xml:space="preserve">年度出具鉴证报告数量≤</w:t>
            </w:r>
            <w:r>
              <w:rPr>
                <w:rFonts w:hint="eastAsia" w:ascii="宋体" w:hAnsi="宋体" w:eastAsia="宋体" w:cs="宋体"/>
                <w:sz w:val="21"/>
                <w:szCs w:val="21"/>
                <w:highlight w:val="none"/>
                <w:lang w:val="en-US" w:eastAsia="zh-CN" w:bidi="ar"/>
              </w:rPr>
              <w:t xml:space="preserve">5</w:t>
            </w:r>
            <w:r>
              <w:rPr>
                <w:rFonts w:hint="eastAsia" w:ascii="宋体" w:hAnsi="宋体" w:eastAsia="宋体" w:cs="宋体"/>
                <w:sz w:val="21"/>
                <w:szCs w:val="21"/>
                <w:highlight w:val="none"/>
                <w:lang w:bidi="ar"/>
              </w:rPr>
              <w:t xml:space="preserve">00份，得</w:t>
            </w:r>
            <w:r>
              <w:rPr>
                <w:rFonts w:hint="eastAsia" w:ascii="宋体" w:hAnsi="宋体" w:eastAsia="宋体" w:cs="宋体"/>
                <w:sz w:val="21"/>
                <w:szCs w:val="21"/>
                <w:highlight w:val="none"/>
                <w:lang w:val="en-US" w:bidi="ar"/>
              </w:rPr>
              <w:t xml:space="preserve">8</w:t>
            </w:r>
            <w:r>
              <w:rPr>
                <w:rFonts w:hint="eastAsia" w:ascii="宋体" w:hAnsi="宋体" w:eastAsia="宋体" w:cs="宋体"/>
                <w:sz w:val="21"/>
                <w:szCs w:val="21"/>
                <w:highlight w:val="none"/>
                <w:lang w:bidi="ar"/>
              </w:rPr>
              <w:t xml:space="preserve">分；</w:t>
            </w:r>
            <w:r>
              <w:rPr>
                <w:rFonts w:hint="eastAsia" w:ascii="宋体" w:hAnsi="宋体" w:eastAsia="宋体" w:cs="宋体"/>
                <w:sz w:val="21"/>
                <w:szCs w:val="21"/>
                <w:highlight w:val="none"/>
                <w:lang w:bidi="ar"/>
              </w:rPr>
            </w:r>
            <w:r/>
          </w:p>
          <w:p>
            <w:pPr>
              <w:pStyle w:val="953"/>
              <w:ind w:left="0"/>
              <w:widowControl w:val="off"/>
              <w:rPr>
                <w:rFonts w:hint="eastAsia" w:ascii="宋体" w:hAnsi="宋体" w:eastAsia="宋体" w:cs="宋体"/>
                <w:sz w:val="21"/>
                <w:szCs w:val="21"/>
                <w:highlight w:val="none"/>
                <w:lang w:bidi="ar"/>
              </w:rPr>
              <w:framePr w:vAnchor="margin" w:hAnchor="page" w:xAlign="center" w:y="1"/>
            </w:pPr>
            <w:r>
              <w:rPr>
                <w:rFonts w:hint="eastAsia" w:ascii="宋体" w:hAnsi="宋体" w:eastAsia="宋体" w:cs="宋体"/>
                <w:sz w:val="21"/>
                <w:szCs w:val="21"/>
                <w:highlight w:val="none"/>
                <w:lang w:val="en-US" w:eastAsia="zh-CN" w:bidi="ar"/>
              </w:rPr>
              <w:t xml:space="preserve">1</w:t>
            </w:r>
            <w:r>
              <w:rPr>
                <w:rFonts w:hint="eastAsia" w:ascii="宋体" w:hAnsi="宋体" w:eastAsia="宋体" w:cs="宋体"/>
                <w:sz w:val="21"/>
                <w:szCs w:val="21"/>
                <w:highlight w:val="none"/>
                <w:lang w:bidi="ar"/>
              </w:rPr>
              <w:t xml:space="preserve">00份＜202</w:t>
            </w:r>
            <w:r>
              <w:rPr>
                <w:rFonts w:hint="eastAsia" w:ascii="宋体" w:hAnsi="宋体" w:eastAsia="宋体" w:cs="宋体"/>
                <w:sz w:val="21"/>
                <w:szCs w:val="21"/>
                <w:highlight w:val="none"/>
                <w:lang w:val="en-US" w:eastAsia="zh-CN" w:bidi="ar"/>
              </w:rPr>
              <w:t xml:space="preserve">5</w:t>
            </w:r>
            <w:r>
              <w:rPr>
                <w:rFonts w:hint="eastAsia" w:ascii="宋体" w:hAnsi="宋体" w:eastAsia="宋体" w:cs="宋体"/>
                <w:sz w:val="21"/>
                <w:szCs w:val="21"/>
                <w:highlight w:val="none"/>
                <w:lang w:bidi="ar"/>
              </w:rPr>
              <w:t xml:space="preserve">年度出具鉴证报告数量≤</w:t>
            </w:r>
            <w:r>
              <w:rPr>
                <w:rFonts w:hint="eastAsia" w:ascii="宋体" w:hAnsi="宋体" w:eastAsia="宋体" w:cs="宋体"/>
                <w:sz w:val="21"/>
                <w:szCs w:val="21"/>
                <w:highlight w:val="none"/>
                <w:lang w:val="en-US" w:eastAsia="zh-CN" w:bidi="ar"/>
              </w:rPr>
              <w:t xml:space="preserve">3</w:t>
            </w:r>
            <w:r>
              <w:rPr>
                <w:rFonts w:hint="eastAsia" w:ascii="宋体" w:hAnsi="宋体" w:eastAsia="宋体" w:cs="宋体"/>
                <w:sz w:val="21"/>
                <w:szCs w:val="21"/>
                <w:highlight w:val="none"/>
                <w:lang w:bidi="ar"/>
              </w:rPr>
              <w:t xml:space="preserve">00份，得5分；</w:t>
            </w:r>
            <w:r>
              <w:rPr>
                <w:rFonts w:hint="eastAsia" w:ascii="宋体" w:hAnsi="宋体" w:eastAsia="宋体" w:cs="宋体"/>
                <w:sz w:val="21"/>
                <w:szCs w:val="21"/>
                <w:highlight w:val="none"/>
                <w:lang w:bidi="ar"/>
              </w:rPr>
            </w:r>
            <w:r/>
          </w:p>
          <w:p>
            <w:pPr>
              <w:pStyle w:val="953"/>
              <w:ind w:left="0"/>
              <w:widowControl w:val="off"/>
              <w:rPr>
                <w:rFonts w:hint="eastAsia" w:ascii="宋体" w:hAnsi="宋体" w:eastAsia="宋体" w:cs="宋体"/>
                <w:sz w:val="21"/>
                <w:szCs w:val="21"/>
                <w:highlight w:val="none"/>
                <w:lang w:val="en-US" w:eastAsia="zh-CN" w:bidi="ar"/>
              </w:rPr>
              <w:framePr w:vAnchor="margin" w:hAnchor="page" w:xAlign="center" w:y="1"/>
            </w:pPr>
            <w:r>
              <w:rPr>
                <w:rFonts w:hint="eastAsia" w:ascii="宋体" w:hAnsi="宋体" w:eastAsia="宋体" w:cs="宋体"/>
                <w:sz w:val="21"/>
                <w:szCs w:val="21"/>
                <w:highlight w:val="none"/>
                <w:lang w:val="en-US" w:eastAsia="zh-CN" w:bidi="ar"/>
              </w:rPr>
              <w:t xml:space="preserve">2025年度出具鉴证报告数量≤100份，不得分。</w:t>
            </w:r>
            <w:r>
              <w:rPr>
                <w:rFonts w:hint="eastAsia" w:ascii="宋体" w:hAnsi="宋体" w:eastAsia="宋体" w:cs="宋体"/>
                <w:sz w:val="21"/>
                <w:szCs w:val="21"/>
                <w:highlight w:val="none"/>
                <w:lang w:val="en-US" w:eastAsia="zh-CN" w:bidi="ar"/>
              </w:rPr>
            </w:r>
            <w:r/>
          </w:p>
          <w:p>
            <w:pPr>
              <w:pStyle w:val="953"/>
              <w:ind w:left="0"/>
              <w:widowControl w:val="off"/>
              <w:rPr>
                <w:rFonts w:hint="eastAsia" w:ascii="宋体" w:hAnsi="宋体" w:eastAsia="宋体" w:cs="宋体"/>
                <w:sz w:val="21"/>
                <w:szCs w:val="21"/>
                <w:highlight w:val="none"/>
                <w:lang w:bidi="ar"/>
              </w:rPr>
              <w:framePr w:vAnchor="margin" w:hAnchor="page" w:xAlign="center" w:y="1"/>
            </w:pPr>
            <w:r>
              <w:rPr>
                <w:rFonts w:hint="eastAsia" w:ascii="宋体" w:hAnsi="宋体" w:eastAsia="宋体" w:cs="宋体"/>
                <w:sz w:val="21"/>
                <w:szCs w:val="21"/>
                <w:highlight w:val="none"/>
                <w:lang w:val="en-US" w:eastAsia="zh-CN" w:bidi="ar"/>
              </w:rPr>
              <w:t xml:space="preserve">(响应文件中须提供注册会计师行业统一监管平台数据截图或加盖省注协公章的扫描件)</w:t>
            </w:r>
            <w:r>
              <w:rPr>
                <w:rFonts w:hint="eastAsia" w:ascii="宋体" w:hAnsi="宋体" w:eastAsia="宋体" w:cs="宋体"/>
                <w:sz w:val="21"/>
                <w:szCs w:val="21"/>
                <w:highlight w:val="none"/>
                <w:lang w:bidi="ar"/>
              </w:rPr>
            </w:r>
            <w:r/>
          </w:p>
        </w:tc>
        <w:tc>
          <w:tcPr>
            <w:tcW w:w="460" w:type="dxa"/>
            <w:vAlign w:val="center"/>
            <w:textDirection w:val="lrTb"/>
            <w:noWrap w:val="false"/>
          </w:tcPr>
          <w:p>
            <w:pPr>
              <w:pStyle w:val="953"/>
              <w:jc w:val="center"/>
              <w:widowControl w:val="off"/>
              <w:rPr>
                <w:rFonts w:hint="eastAsia" w:ascii="宋体" w:hAnsi="宋体" w:eastAsia="宋体" w:cs="宋体"/>
                <w:sz w:val="21"/>
                <w:szCs w:val="21"/>
                <w:highlight w:val="none"/>
                <w:lang w:bidi="ar"/>
              </w:rPr>
              <w:framePr w:vAnchor="margin" w:hAnchor="page" w:xAlign="center" w:y="1"/>
            </w:pPr>
            <w:r>
              <w:rPr>
                <w:rFonts w:hint="eastAsia" w:ascii="宋体" w:hAnsi="宋体" w:eastAsia="宋体" w:cs="宋体"/>
                <w:sz w:val="21"/>
                <w:szCs w:val="21"/>
                <w:highlight w:val="none"/>
                <w:lang w:val="en-US"/>
              </w:rPr>
              <w:t xml:space="preserve">10</w:t>
            </w:r>
            <w:r>
              <w:rPr>
                <w:rFonts w:hint="eastAsia" w:ascii="宋体" w:hAnsi="宋体" w:eastAsia="宋体" w:cs="宋体"/>
                <w:sz w:val="21"/>
                <w:szCs w:val="21"/>
                <w:highlight w:val="none"/>
                <w:lang w:bidi="ar"/>
              </w:rPr>
            </w:r>
            <w:r/>
          </w:p>
        </w:tc>
      </w:tr>
      <w:tr>
        <w:trPr>
          <w:trHeight w:val="1349"/>
        </w:trPr>
        <w:tc>
          <w:tcPr>
            <w:tcW w:w="463" w:type="dxa"/>
            <w:vAlign w:val="center"/>
            <w:vMerge w:val="continue"/>
            <w:textDirection w:val="lrTb"/>
            <w:noWrap w:val="false"/>
          </w:tcPr>
          <w:p>
            <w:pPr>
              <w:pStyle w:val="953"/>
              <w:ind w:left="0"/>
              <w:jc w:val="center"/>
              <w:widowControl w:val="off"/>
              <w:rPr>
                <w:rFonts w:hint="eastAsia" w:ascii="宋体" w:hAnsi="宋体" w:eastAsia="宋体" w:cs="宋体"/>
                <w:b/>
                <w:sz w:val="21"/>
                <w:szCs w:val="21"/>
                <w:highlight w:val="none"/>
              </w:rPr>
              <w:framePr w:vAnchor="margin" w:hAnchor="page" w:xAlign="center" w:y="1"/>
            </w:pPr>
            <w:r>
              <w:rPr>
                <w:rFonts w:hint="eastAsia" w:ascii="宋体" w:hAnsi="宋体" w:eastAsia="宋体" w:cs="宋体"/>
                <w:b/>
                <w:sz w:val="21"/>
                <w:szCs w:val="21"/>
                <w:highlight w:val="none"/>
              </w:rPr>
            </w:r>
            <w:r/>
          </w:p>
        </w:tc>
        <w:tc>
          <w:tcPr>
            <w:tcW w:w="613" w:type="dxa"/>
            <w:vAlign w:val="center"/>
            <w:vMerge w:val="restart"/>
            <w:textDirection w:val="lrTb"/>
            <w:noWrap w:val="false"/>
          </w:tcPr>
          <w:p>
            <w:pPr>
              <w:pStyle w:val="953"/>
              <w:ind w:left="0"/>
              <w:jc w:val="center"/>
              <w:rPr>
                <w:rFonts w:hint="eastAsia" w:ascii="宋体" w:hAnsi="宋体" w:eastAsia="宋体" w:cs="宋体"/>
                <w:sz w:val="21"/>
                <w:szCs w:val="21"/>
                <w:highlight w:val="none"/>
              </w:rPr>
              <w:framePr w:vAnchor="margin" w:hAnchor="page" w:xAlign="center" w:y="1"/>
            </w:pPr>
            <w:r>
              <w:rPr>
                <w:rFonts w:hint="eastAsia" w:ascii="宋体" w:hAnsi="宋体" w:eastAsia="宋体" w:cs="宋体"/>
                <w:b/>
                <w:bCs/>
                <w:sz w:val="21"/>
                <w:szCs w:val="21"/>
                <w:highlight w:val="none"/>
              </w:rPr>
              <w:t xml:space="preserve">▲</w:t>
            </w:r>
            <w:r>
              <w:rPr>
                <w:rFonts w:hint="eastAsia" w:ascii="宋体" w:hAnsi="宋体" w:eastAsia="宋体" w:cs="宋体"/>
                <w:sz w:val="21"/>
                <w:szCs w:val="21"/>
                <w:highlight w:val="none"/>
              </w:rPr>
              <w:t xml:space="preserve">类似业绩</w:t>
            </w:r>
            <w:r>
              <w:rPr>
                <w:rFonts w:hint="eastAsia" w:ascii="宋体" w:hAnsi="宋体" w:eastAsia="宋体" w:cs="宋体"/>
                <w:sz w:val="21"/>
                <w:szCs w:val="21"/>
                <w:highlight w:val="none"/>
              </w:rPr>
            </w:r>
            <w:r/>
          </w:p>
        </w:tc>
        <w:tc>
          <w:tcPr>
            <w:tcW w:w="3462" w:type="dxa"/>
            <w:vAlign w:val="center"/>
            <w:textDirection w:val="lrTb"/>
            <w:noWrap w:val="false"/>
          </w:tcPr>
          <w:p>
            <w:pPr>
              <w:pStyle w:val="953"/>
              <w:ind w:left="0"/>
              <w:widowControl w:val="off"/>
              <w:rPr>
                <w:rFonts w:hint="eastAsia" w:ascii="宋体" w:hAnsi="宋体" w:eastAsia="宋体" w:cs="宋体"/>
                <w:sz w:val="21"/>
                <w:szCs w:val="21"/>
                <w:highlight w:val="none"/>
                <w:lang w:bidi="ar"/>
              </w:rPr>
              <w:framePr w:vAnchor="margin" w:hAnchor="page" w:xAlign="center" w:y="1"/>
            </w:pPr>
            <w:r>
              <w:rPr>
                <w:rFonts w:hint="eastAsia" w:ascii="宋体" w:hAnsi="宋体" w:eastAsia="宋体" w:cs="宋体"/>
                <w:sz w:val="21"/>
                <w:szCs w:val="21"/>
                <w:highlight w:val="none"/>
                <w:lang w:val="en-US" w:eastAsia="zh-CN" w:bidi="ar"/>
              </w:rPr>
              <w:t xml:space="preserve">响应供应商提供自2023年1月1日（以合同签订日期为准）以来承担的类似项目业绩（包括政府审计项目、监督协审项目、绩效评价项目），每提供1项业绩得1分，最高得15分。（须提供项目明细清单及对应项目的合同，未提供不得分）</w:t>
            </w:r>
            <w:r>
              <w:rPr>
                <w:rFonts w:hint="eastAsia" w:ascii="宋体" w:hAnsi="宋体" w:eastAsia="宋体" w:cs="宋体"/>
                <w:sz w:val="21"/>
                <w:szCs w:val="21"/>
                <w:highlight w:val="none"/>
                <w:lang w:bidi="ar"/>
              </w:rPr>
            </w:r>
            <w:r/>
          </w:p>
        </w:tc>
        <w:tc>
          <w:tcPr>
            <w:tcW w:w="460" w:type="dxa"/>
            <w:vAlign w:val="center"/>
            <w:textDirection w:val="lrTb"/>
            <w:noWrap w:val="false"/>
          </w:tcPr>
          <w:p>
            <w:pPr>
              <w:pStyle w:val="953"/>
              <w:jc w:val="center"/>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r>
            <w:r/>
          </w:p>
        </w:tc>
      </w:tr>
      <w:tr>
        <w:trPr>
          <w:trHeight w:val="1985"/>
        </w:trPr>
        <w:tc>
          <w:tcPr>
            <w:tcW w:w="463" w:type="dxa"/>
            <w:vAlign w:val="center"/>
            <w:vMerge w:val="continue"/>
            <w:textDirection w:val="lrTb"/>
            <w:noWrap w:val="false"/>
          </w:tcPr>
          <w:p>
            <w:pPr>
              <w:pStyle w:val="953"/>
              <w:ind w:left="0"/>
              <w:jc w:val="center"/>
              <w:widowControl w:val="off"/>
              <w:rPr>
                <w:rFonts w:hint="eastAsia" w:ascii="宋体" w:hAnsi="宋体" w:eastAsia="宋体" w:cs="宋体"/>
                <w:b/>
                <w:sz w:val="21"/>
                <w:szCs w:val="21"/>
                <w:highlight w:val="none"/>
              </w:rPr>
              <w:framePr w:vAnchor="margin" w:hAnchor="page" w:xAlign="center" w:y="1"/>
            </w:pPr>
            <w:r>
              <w:rPr>
                <w:rFonts w:hint="eastAsia" w:ascii="宋体" w:hAnsi="宋体" w:eastAsia="宋体" w:cs="宋体"/>
                <w:b/>
                <w:sz w:val="21"/>
                <w:szCs w:val="21"/>
                <w:highlight w:val="none"/>
              </w:rPr>
            </w:r>
            <w:r/>
          </w:p>
        </w:tc>
        <w:tc>
          <w:tcPr>
            <w:tcW w:w="613" w:type="dxa"/>
            <w:vAlign w:val="center"/>
            <w:vMerge w:val="continue"/>
            <w:textDirection w:val="lrTb"/>
            <w:noWrap w:val="false"/>
          </w:tcPr>
          <w:p>
            <w:pPr>
              <w:pStyle w:val="953"/>
              <w:ind w:left="0"/>
              <w:jc w:val="center"/>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r>
            <w:r/>
          </w:p>
        </w:tc>
        <w:tc>
          <w:tcPr>
            <w:tcW w:w="3462" w:type="dxa"/>
            <w:vAlign w:val="center"/>
            <w:textDirection w:val="lrTb"/>
            <w:noWrap w:val="false"/>
          </w:tcPr>
          <w:p>
            <w:pPr>
              <w:pStyle w:val="953"/>
              <w:ind w:left="0"/>
              <w:widowControl w:val="off"/>
              <w:rPr>
                <w:rFonts w:hint="eastAsia" w:ascii="宋体" w:hAnsi="宋体" w:eastAsia="宋体" w:cs="宋体"/>
                <w:sz w:val="21"/>
                <w:szCs w:val="21"/>
                <w:highlight w:val="none"/>
                <w:lang w:bidi="ar"/>
              </w:rPr>
              <w:framePr w:vAnchor="margin" w:hAnchor="page" w:xAlign="center" w:y="1"/>
            </w:pPr>
            <w:r>
              <w:rPr>
                <w:rFonts w:hint="eastAsia" w:ascii="宋体" w:hAnsi="宋体" w:eastAsia="宋体" w:cs="宋体"/>
                <w:sz w:val="21"/>
                <w:szCs w:val="21"/>
                <w:highlight w:val="none"/>
                <w:lang w:val="en-US" w:eastAsia="zh-CN" w:bidi="ar"/>
              </w:rPr>
              <w:t xml:space="preserve">响应供应商提供自2023年1月1日（以合同签订日期为准）以来承担的大数据审计项目或者人工智能赋能审计项目（包括运用于数据挖掘、数据分析、数据建模等领域，不包括法条检索、拍照识图等工具），每提供1项业绩得2分，最高得2分。（须提供项目名称、项目合同和对应项目的实施运用情况说明，未提供不得分）</w:t>
            </w:r>
            <w:r>
              <w:rPr>
                <w:rFonts w:hint="eastAsia" w:ascii="宋体" w:hAnsi="宋体" w:eastAsia="宋体" w:cs="宋体"/>
                <w:sz w:val="21"/>
                <w:szCs w:val="21"/>
                <w:highlight w:val="none"/>
                <w:lang w:bidi="ar"/>
              </w:rPr>
            </w:r>
            <w:r/>
          </w:p>
        </w:tc>
        <w:tc>
          <w:tcPr>
            <w:tcW w:w="460" w:type="dxa"/>
            <w:vAlign w:val="center"/>
            <w:textDirection w:val="lrTb"/>
            <w:noWrap w:val="false"/>
          </w:tcPr>
          <w:p>
            <w:pPr>
              <w:pStyle w:val="953"/>
              <w:jc w:val="center"/>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r>
            <w:r/>
          </w:p>
        </w:tc>
      </w:tr>
      <w:tr>
        <w:trPr>
          <w:trHeight w:val="1073"/>
        </w:trPr>
        <w:tc>
          <w:tcPr>
            <w:tcW w:w="463" w:type="dxa"/>
            <w:vAlign w:val="center"/>
            <w:vMerge w:val="continue"/>
            <w:textDirection w:val="lrTb"/>
            <w:noWrap w:val="false"/>
          </w:tcPr>
          <w:p>
            <w:pPr>
              <w:pStyle w:val="953"/>
              <w:ind w:left="0"/>
              <w:jc w:val="center"/>
              <w:widowControl w:val="off"/>
              <w:rPr>
                <w:rFonts w:hint="eastAsia" w:ascii="宋体" w:hAnsi="宋体" w:eastAsia="宋体" w:cs="宋体"/>
                <w:b/>
                <w:sz w:val="21"/>
                <w:szCs w:val="21"/>
                <w:highlight w:val="none"/>
              </w:rPr>
              <w:framePr w:vAnchor="margin" w:hAnchor="page" w:xAlign="center" w:y="1"/>
            </w:pPr>
            <w:r>
              <w:rPr>
                <w:rFonts w:hint="eastAsia" w:ascii="宋体" w:hAnsi="宋体" w:eastAsia="宋体" w:cs="宋体"/>
                <w:b/>
                <w:sz w:val="21"/>
                <w:szCs w:val="21"/>
                <w:highlight w:val="none"/>
              </w:rPr>
            </w:r>
            <w:r/>
          </w:p>
        </w:tc>
        <w:tc>
          <w:tcPr>
            <w:tcW w:w="613" w:type="dxa"/>
            <w:vAlign w:val="center"/>
            <w:vMerge w:val="restart"/>
            <w:textDirection w:val="lrTb"/>
            <w:noWrap w:val="false"/>
          </w:tcPr>
          <w:p>
            <w:pPr>
              <w:pStyle w:val="953"/>
              <w:ind w:left="0"/>
              <w:jc w:val="center"/>
              <w:rPr>
                <w:rFonts w:hint="eastAsia" w:ascii="宋体" w:hAnsi="宋体" w:eastAsia="宋体" w:cs="宋体"/>
                <w:sz w:val="21"/>
                <w:szCs w:val="21"/>
                <w:highlight w:val="none"/>
              </w:rPr>
              <w:framePr w:vAnchor="margin" w:hAnchor="page" w:xAlign="center" w:y="1"/>
            </w:pPr>
            <w:r>
              <w:rPr>
                <w:rFonts w:hint="eastAsia" w:ascii="宋体" w:hAnsi="宋体" w:eastAsia="宋体" w:cs="宋体"/>
                <w:b/>
                <w:bCs/>
                <w:sz w:val="21"/>
                <w:szCs w:val="21"/>
                <w:highlight w:val="none"/>
              </w:rPr>
              <w:t xml:space="preserve">▲</w:t>
            </w:r>
            <w:r>
              <w:rPr>
                <w:rFonts w:hint="eastAsia" w:ascii="宋体" w:hAnsi="宋体" w:eastAsia="宋体" w:cs="宋体"/>
                <w:sz w:val="21"/>
                <w:szCs w:val="21"/>
                <w:highlight w:val="none"/>
              </w:rPr>
              <w:t xml:space="preserve">专业技术人员</w:t>
            </w:r>
            <w:r>
              <w:rPr>
                <w:rFonts w:hint="eastAsia" w:ascii="宋体" w:hAnsi="宋体" w:eastAsia="宋体" w:cs="宋体"/>
                <w:sz w:val="21"/>
                <w:szCs w:val="21"/>
                <w:highlight w:val="none"/>
              </w:rPr>
            </w:r>
            <w:r/>
          </w:p>
        </w:tc>
        <w:tc>
          <w:tcPr>
            <w:tcW w:w="3462" w:type="dxa"/>
            <w:vAlign w:val="center"/>
            <w:textDirection w:val="lrTb"/>
            <w:noWrap w:val="false"/>
          </w:tcPr>
          <w:p>
            <w:pPr>
              <w:pStyle w:val="953"/>
              <w:ind w:left="0"/>
              <w:widowControl w:val="off"/>
              <w:rPr>
                <w:rFonts w:hint="eastAsia" w:ascii="宋体" w:hAnsi="宋体" w:eastAsia="宋体" w:cs="宋体"/>
                <w:sz w:val="21"/>
                <w:szCs w:val="21"/>
                <w:highlight w:val="none"/>
                <w:lang w:val="en-US" w:eastAsia="zh-CN" w:bidi="ar"/>
              </w:rPr>
              <w:framePr w:vAnchor="margin" w:hAnchor="page" w:xAlign="center" w:y="1"/>
            </w:pPr>
            <w:r>
              <w:rPr>
                <w:rFonts w:hint="eastAsia" w:ascii="宋体" w:hAnsi="宋体" w:eastAsia="宋体" w:cs="宋体"/>
                <w:sz w:val="21"/>
                <w:szCs w:val="21"/>
                <w:highlight w:val="none"/>
                <w:lang w:val="en-US" w:eastAsia="zh-CN" w:bidi="ar"/>
              </w:rPr>
              <w:t xml:space="preserve">拟投入本项目人员数量在8人及8人以上的得6分，6-7人的得3分，其余的不得分。</w:t>
            </w:r>
            <w:r>
              <w:rPr>
                <w:rFonts w:hint="eastAsia" w:ascii="宋体" w:hAnsi="宋体" w:eastAsia="宋体" w:cs="宋体"/>
                <w:sz w:val="21"/>
                <w:szCs w:val="21"/>
                <w:highlight w:val="none"/>
                <w:lang w:val="en-US" w:eastAsia="zh-CN" w:bidi="ar"/>
              </w:rPr>
            </w:r>
            <w:r/>
          </w:p>
          <w:p>
            <w:pPr>
              <w:pStyle w:val="953"/>
              <w:ind w:left="0"/>
              <w:widowControl w:val="off"/>
              <w:rPr>
                <w:rFonts w:hint="eastAsia" w:ascii="宋体" w:hAnsi="宋体" w:eastAsia="宋体" w:cs="宋体"/>
                <w:sz w:val="21"/>
                <w:szCs w:val="21"/>
                <w:highlight w:val="none"/>
                <w:lang w:bidi="ar"/>
              </w:rPr>
              <w:framePr w:vAnchor="margin" w:hAnchor="page" w:xAlign="center" w:y="1"/>
            </w:pPr>
            <w:r>
              <w:rPr>
                <w:rFonts w:hint="eastAsia" w:ascii="宋体" w:hAnsi="宋体" w:eastAsia="宋体" w:cs="宋体"/>
                <w:sz w:val="21"/>
                <w:szCs w:val="21"/>
                <w:highlight w:val="none"/>
                <w:lang w:val="en-US" w:eastAsia="zh-CN" w:bidi="ar"/>
              </w:rPr>
              <w:t xml:space="preserve">（须提供从业人员近三个月本单位缴纳的社保证明，否则不得分）</w:t>
            </w:r>
            <w:r>
              <w:rPr>
                <w:rFonts w:hint="eastAsia" w:ascii="宋体" w:hAnsi="宋体" w:eastAsia="宋体" w:cs="宋体"/>
                <w:sz w:val="21"/>
                <w:szCs w:val="21"/>
                <w:highlight w:val="none"/>
                <w:lang w:bidi="ar"/>
              </w:rPr>
            </w:r>
            <w:r/>
          </w:p>
        </w:tc>
        <w:tc>
          <w:tcPr>
            <w:tcW w:w="460" w:type="dxa"/>
            <w:vAlign w:val="center"/>
            <w:textDirection w:val="lrTb"/>
            <w:noWrap w:val="false"/>
          </w:tcPr>
          <w:p>
            <w:pPr>
              <w:pStyle w:val="953"/>
              <w:ind w:left="0"/>
              <w:jc w:val="center"/>
              <w:widowControl w:val="off"/>
              <w:rPr>
                <w:rFonts w:hint="eastAsia" w:ascii="宋体" w:hAnsi="宋体" w:eastAsia="宋体" w:cs="宋体"/>
                <w:sz w:val="21"/>
                <w:szCs w:val="21"/>
                <w:highlight w:val="none"/>
                <w:lang w:eastAsia="zh-CN"/>
              </w:rPr>
              <w:framePr w:vAnchor="margin" w:hAnchor="page" w:xAlign="center" w:y="1"/>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r>
            <w:r/>
          </w:p>
        </w:tc>
      </w:tr>
      <w:tr>
        <w:trPr>
          <w:trHeight w:val="1784"/>
        </w:trPr>
        <w:tc>
          <w:tcPr>
            <w:tcW w:w="463" w:type="dxa"/>
            <w:vAlign w:val="center"/>
            <w:vMerge w:val="continue"/>
            <w:textDirection w:val="lrTb"/>
            <w:noWrap w:val="false"/>
          </w:tcPr>
          <w:p>
            <w:pPr>
              <w:pStyle w:val="953"/>
              <w:ind w:left="0"/>
              <w:jc w:val="center"/>
              <w:widowControl w:val="off"/>
              <w:rPr>
                <w:rFonts w:hint="eastAsia" w:ascii="宋体" w:hAnsi="宋体" w:eastAsia="宋体" w:cs="宋体"/>
                <w:b/>
                <w:sz w:val="21"/>
                <w:szCs w:val="21"/>
                <w:highlight w:val="none"/>
              </w:rPr>
              <w:framePr w:vAnchor="margin" w:hAnchor="page" w:xAlign="center" w:y="1"/>
            </w:pPr>
            <w:r>
              <w:rPr>
                <w:rFonts w:hint="eastAsia" w:ascii="宋体" w:hAnsi="宋体" w:eastAsia="宋体" w:cs="宋体"/>
                <w:b/>
                <w:sz w:val="21"/>
                <w:szCs w:val="21"/>
                <w:highlight w:val="none"/>
              </w:rPr>
            </w:r>
            <w:r/>
          </w:p>
        </w:tc>
        <w:tc>
          <w:tcPr>
            <w:tcW w:w="613" w:type="dxa"/>
            <w:vAlign w:val="center"/>
            <w:vMerge w:val="continue"/>
            <w:textDirection w:val="lrTb"/>
            <w:noWrap w:val="false"/>
          </w:tcPr>
          <w:p>
            <w:pPr>
              <w:pStyle w:val="953"/>
              <w:ind w:left="0"/>
              <w:jc w:val="center"/>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r>
            <w:r/>
          </w:p>
        </w:tc>
        <w:tc>
          <w:tcPr>
            <w:tcW w:w="3462" w:type="dxa"/>
            <w:vAlign w:val="center"/>
            <w:textDirection w:val="lrTb"/>
            <w:noWrap w:val="false"/>
          </w:tcPr>
          <w:p>
            <w:pPr>
              <w:pStyle w:val="953"/>
              <w:ind w:left="0"/>
              <w:widowControl w:val="off"/>
              <w:rPr>
                <w:rFonts w:hint="eastAsia" w:ascii="宋体" w:hAnsi="宋体" w:eastAsia="宋体" w:cs="宋体"/>
                <w:sz w:val="21"/>
                <w:szCs w:val="21"/>
                <w:highlight w:val="none"/>
                <w:lang w:val="en-US" w:eastAsia="zh-CN" w:bidi="ar"/>
              </w:rPr>
              <w:framePr w:vAnchor="margin" w:hAnchor="page" w:xAlign="center" w:y="1"/>
            </w:pPr>
            <w:r>
              <w:rPr>
                <w:rFonts w:hint="eastAsia" w:ascii="宋体" w:hAnsi="宋体" w:eastAsia="宋体" w:cs="宋体"/>
                <w:sz w:val="21"/>
                <w:szCs w:val="21"/>
                <w:highlight w:val="none"/>
                <w:lang w:val="en-US" w:eastAsia="zh-CN" w:bidi="ar"/>
              </w:rPr>
              <w:t xml:space="preserve">拟投入本项目人员中注册会计师4人及以上的得6分，3人的得3分，2人的得1分。其余的不得分。（以上人员以最近年度注协部门的年检文件为准，其中包含转入、申请通过、补年检合格的情况）</w:t>
            </w:r>
            <w:r>
              <w:rPr>
                <w:rFonts w:hint="eastAsia" w:ascii="宋体" w:hAnsi="宋体" w:eastAsia="宋体" w:cs="宋体"/>
                <w:sz w:val="21"/>
                <w:szCs w:val="21"/>
                <w:highlight w:val="none"/>
                <w:lang w:val="en-US" w:eastAsia="zh-CN" w:bidi="ar"/>
              </w:rPr>
            </w:r>
            <w:r/>
          </w:p>
          <w:p>
            <w:pPr>
              <w:pStyle w:val="953"/>
              <w:ind w:left="0"/>
              <w:widowControl w:val="off"/>
              <w:rPr>
                <w:rFonts w:hint="eastAsia" w:ascii="宋体" w:hAnsi="宋体" w:eastAsia="宋体" w:cs="宋体"/>
                <w:sz w:val="21"/>
                <w:szCs w:val="21"/>
                <w:highlight w:val="none"/>
                <w:lang w:bidi="ar"/>
              </w:rPr>
              <w:framePr w:vAnchor="margin" w:hAnchor="page" w:xAlign="center" w:y="1"/>
            </w:pPr>
            <w:r>
              <w:rPr>
                <w:rFonts w:hint="eastAsia" w:ascii="宋体" w:hAnsi="宋体" w:eastAsia="宋体" w:cs="宋体"/>
                <w:sz w:val="21"/>
                <w:szCs w:val="21"/>
                <w:highlight w:val="none"/>
                <w:lang w:val="en-US" w:eastAsia="zh-CN" w:bidi="ar"/>
              </w:rPr>
              <w:t xml:space="preserve">（须提供相应证明材料及承诺书）</w:t>
            </w:r>
            <w:r>
              <w:rPr>
                <w:rFonts w:hint="eastAsia" w:ascii="宋体" w:hAnsi="宋体" w:eastAsia="宋体" w:cs="宋体"/>
                <w:sz w:val="21"/>
                <w:szCs w:val="21"/>
                <w:highlight w:val="none"/>
                <w:lang w:bidi="ar"/>
              </w:rPr>
            </w:r>
            <w:r/>
          </w:p>
        </w:tc>
        <w:tc>
          <w:tcPr>
            <w:tcW w:w="460" w:type="dxa"/>
            <w:vAlign w:val="center"/>
            <w:textDirection w:val="lrTb"/>
            <w:noWrap w:val="false"/>
          </w:tcPr>
          <w:p>
            <w:pPr>
              <w:pStyle w:val="953"/>
              <w:ind w:left="0"/>
              <w:jc w:val="center"/>
              <w:widowControl w:val="off"/>
              <w:rPr>
                <w:rFonts w:hint="eastAsia" w:ascii="宋体" w:hAnsi="宋体" w:eastAsia="宋体" w:cs="宋体"/>
                <w:sz w:val="21"/>
                <w:szCs w:val="21"/>
                <w:highlight w:val="none"/>
                <w:lang w:eastAsia="zh-CN"/>
              </w:rPr>
              <w:framePr w:vAnchor="margin" w:hAnchor="page" w:xAlign="center" w:y="1"/>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r>
            <w:r/>
          </w:p>
        </w:tc>
      </w:tr>
      <w:tr>
        <w:trPr>
          <w:trHeight w:val="1348"/>
        </w:trPr>
        <w:tc>
          <w:tcPr>
            <w:tcW w:w="463" w:type="dxa"/>
            <w:vAlign w:val="center"/>
            <w:vMerge w:val="continue"/>
            <w:textDirection w:val="lrTb"/>
            <w:noWrap w:val="false"/>
          </w:tcPr>
          <w:p>
            <w:pPr>
              <w:pStyle w:val="953"/>
              <w:ind w:left="0"/>
              <w:jc w:val="center"/>
              <w:widowControl w:val="off"/>
              <w:rPr>
                <w:rFonts w:hint="eastAsia" w:ascii="宋体" w:hAnsi="宋体" w:eastAsia="宋体" w:cs="宋体"/>
                <w:b/>
                <w:sz w:val="21"/>
                <w:szCs w:val="21"/>
                <w:highlight w:val="none"/>
              </w:rPr>
              <w:framePr w:vAnchor="margin" w:hAnchor="page" w:xAlign="center" w:y="1"/>
            </w:pPr>
            <w:r>
              <w:rPr>
                <w:rFonts w:hint="eastAsia" w:ascii="宋体" w:hAnsi="宋体" w:eastAsia="宋体" w:cs="宋体"/>
                <w:b/>
                <w:sz w:val="21"/>
                <w:szCs w:val="21"/>
                <w:highlight w:val="none"/>
              </w:rPr>
            </w:r>
            <w:r/>
          </w:p>
        </w:tc>
        <w:tc>
          <w:tcPr>
            <w:tcW w:w="613" w:type="dxa"/>
            <w:vAlign w:val="center"/>
            <w:vMerge w:val="continue"/>
            <w:textDirection w:val="lrTb"/>
            <w:noWrap w:val="false"/>
          </w:tcPr>
          <w:p>
            <w:pPr>
              <w:pStyle w:val="953"/>
              <w:ind w:left="0"/>
              <w:jc w:val="center"/>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r>
            <w:r/>
          </w:p>
        </w:tc>
        <w:tc>
          <w:tcPr>
            <w:tcW w:w="3462" w:type="dxa"/>
            <w:vAlign w:val="center"/>
            <w:textDirection w:val="lrTb"/>
            <w:noWrap w:val="false"/>
          </w:tcPr>
          <w:p>
            <w:pPr>
              <w:pStyle w:val="953"/>
              <w:ind w:left="0"/>
              <w:widowControl w:val="off"/>
              <w:rPr>
                <w:rFonts w:hint="eastAsia" w:ascii="宋体" w:hAnsi="宋体" w:eastAsia="宋体" w:cs="宋体"/>
                <w:sz w:val="21"/>
                <w:szCs w:val="21"/>
                <w:highlight w:val="none"/>
                <w:lang w:val="en-US" w:eastAsia="zh-CN" w:bidi="ar"/>
              </w:rPr>
              <w:framePr w:vAnchor="margin" w:hAnchor="page" w:xAlign="center" w:y="1"/>
            </w:pPr>
            <w:r>
              <w:rPr>
                <w:rFonts w:hint="eastAsia" w:ascii="宋体" w:hAnsi="宋体" w:eastAsia="宋体" w:cs="宋体"/>
                <w:sz w:val="21"/>
                <w:szCs w:val="21"/>
                <w:highlight w:val="none"/>
                <w:lang w:val="en-US" w:eastAsia="zh-CN" w:bidi="ar"/>
              </w:rPr>
              <w:t xml:space="preserve">拟投入本项目人员中注册会计师自2023年1月1日（以合同签订日期为准）起参与过协助政府财政或者审计部门开展政府审计项目、监督协审项目的，每有一人得1分，本项最高得4分。</w:t>
            </w:r>
            <w:r>
              <w:rPr>
                <w:rFonts w:hint="eastAsia" w:ascii="宋体" w:hAnsi="宋体" w:eastAsia="宋体" w:cs="宋体"/>
                <w:sz w:val="21"/>
                <w:szCs w:val="21"/>
                <w:highlight w:val="none"/>
                <w:lang w:val="en-US" w:eastAsia="zh-CN" w:bidi="ar"/>
              </w:rPr>
            </w:r>
            <w:r/>
          </w:p>
          <w:p>
            <w:pPr>
              <w:pStyle w:val="953"/>
              <w:ind w:left="0"/>
              <w:widowControl w:val="off"/>
              <w:rPr>
                <w:rFonts w:hint="eastAsia" w:ascii="宋体" w:hAnsi="宋体" w:eastAsia="宋体" w:cs="宋体"/>
                <w:sz w:val="21"/>
                <w:szCs w:val="21"/>
                <w:highlight w:val="none"/>
                <w:lang w:bidi="ar"/>
              </w:rPr>
              <w:framePr w:vAnchor="margin" w:hAnchor="page" w:xAlign="center" w:y="1"/>
            </w:pPr>
            <w:r>
              <w:rPr>
                <w:rFonts w:hint="eastAsia" w:ascii="宋体" w:hAnsi="宋体" w:eastAsia="宋体" w:cs="宋体"/>
                <w:sz w:val="21"/>
                <w:szCs w:val="21"/>
                <w:highlight w:val="none"/>
                <w:lang w:val="en-US" w:eastAsia="zh-CN" w:bidi="ar"/>
              </w:rPr>
              <w:t xml:space="preserve">（须提供相应证明材料）</w:t>
            </w:r>
            <w:r>
              <w:rPr>
                <w:rFonts w:hint="eastAsia" w:ascii="宋体" w:hAnsi="宋体" w:eastAsia="宋体" w:cs="宋体"/>
                <w:sz w:val="21"/>
                <w:szCs w:val="21"/>
                <w:highlight w:val="none"/>
                <w:lang w:bidi="ar"/>
              </w:rPr>
            </w:r>
            <w:r/>
          </w:p>
        </w:tc>
        <w:tc>
          <w:tcPr>
            <w:tcW w:w="460" w:type="dxa"/>
            <w:vAlign w:val="center"/>
            <w:textDirection w:val="lrTb"/>
            <w:noWrap w:val="false"/>
          </w:tcPr>
          <w:p>
            <w:pPr>
              <w:pStyle w:val="953"/>
              <w:ind w:left="0"/>
              <w:jc w:val="center"/>
              <w:widowControl w:val="off"/>
              <w:rPr>
                <w:rFonts w:hint="eastAsia" w:ascii="宋体" w:hAnsi="宋体" w:eastAsia="宋体" w:cs="宋体"/>
                <w:sz w:val="21"/>
                <w:szCs w:val="21"/>
                <w:highlight w:val="none"/>
                <w:lang w:eastAsia="zh-CN"/>
              </w:rPr>
              <w:framePr w:vAnchor="margin" w:hAnchor="page" w:xAlign="center" w:y="1"/>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r>
            <w:r/>
          </w:p>
        </w:tc>
      </w:tr>
      <w:tr>
        <w:trPr>
          <w:trHeight w:val="1324"/>
        </w:trPr>
        <w:tc>
          <w:tcPr>
            <w:tcW w:w="463" w:type="dxa"/>
            <w:vAlign w:val="center"/>
            <w:vMerge w:val="continue"/>
            <w:textDirection w:val="lrTb"/>
            <w:noWrap w:val="false"/>
          </w:tcPr>
          <w:p>
            <w:pPr>
              <w:pStyle w:val="953"/>
              <w:ind w:left="0"/>
              <w:jc w:val="center"/>
              <w:widowControl w:val="off"/>
              <w:rPr>
                <w:rFonts w:hint="eastAsia" w:ascii="宋体" w:hAnsi="宋体" w:eastAsia="宋体" w:cs="宋体"/>
                <w:b/>
                <w:sz w:val="21"/>
                <w:szCs w:val="21"/>
                <w:highlight w:val="none"/>
              </w:rPr>
              <w:framePr w:vAnchor="margin" w:hAnchor="page" w:xAlign="center" w:y="1"/>
            </w:pPr>
            <w:r>
              <w:rPr>
                <w:rFonts w:hint="eastAsia" w:ascii="宋体" w:hAnsi="宋体" w:eastAsia="宋体" w:cs="宋体"/>
                <w:b/>
                <w:sz w:val="21"/>
                <w:szCs w:val="21"/>
                <w:highlight w:val="none"/>
              </w:rPr>
            </w:r>
            <w:r/>
          </w:p>
        </w:tc>
        <w:tc>
          <w:tcPr>
            <w:tcW w:w="613" w:type="dxa"/>
            <w:vAlign w:val="center"/>
            <w:vMerge w:val="continue"/>
            <w:textDirection w:val="lrTb"/>
            <w:noWrap w:val="false"/>
          </w:tcPr>
          <w:p>
            <w:pPr>
              <w:pStyle w:val="953"/>
              <w:ind w:left="0"/>
              <w:jc w:val="center"/>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r>
            <w:r/>
          </w:p>
        </w:tc>
        <w:tc>
          <w:tcPr>
            <w:tcW w:w="3462" w:type="dxa"/>
            <w:vAlign w:val="center"/>
            <w:textDirection w:val="lrTb"/>
            <w:noWrap w:val="false"/>
          </w:tcPr>
          <w:p>
            <w:pPr>
              <w:pStyle w:val="953"/>
              <w:ind w:left="0"/>
              <w:widowControl w:val="off"/>
              <w:rPr>
                <w:rFonts w:hint="eastAsia" w:ascii="宋体" w:hAnsi="宋体" w:eastAsia="宋体" w:cs="宋体"/>
                <w:sz w:val="21"/>
                <w:szCs w:val="21"/>
                <w:highlight w:val="none"/>
                <w:lang w:val="en-US" w:eastAsia="zh-CN" w:bidi="ar"/>
              </w:rPr>
              <w:framePr w:vAnchor="margin" w:hAnchor="page" w:xAlign="center" w:y="1"/>
            </w:pPr>
            <w:r>
              <w:rPr>
                <w:rFonts w:hint="eastAsia" w:ascii="宋体" w:hAnsi="宋体" w:eastAsia="宋体" w:cs="宋体"/>
                <w:sz w:val="21"/>
                <w:szCs w:val="21"/>
                <w:highlight w:val="none"/>
                <w:lang w:val="en-US" w:eastAsia="zh-CN" w:bidi="ar"/>
              </w:rPr>
              <w:t xml:space="preserve">拟投入本项目人员中助理人员自2023年1月1日（以合同签订日期为准）起参与过协助政府财政或者审计部门开展政府审计项目、监督协审项目的，每有一人得0.5分，本项最高得2分。</w:t>
            </w:r>
            <w:r>
              <w:rPr>
                <w:rFonts w:hint="eastAsia" w:ascii="宋体" w:hAnsi="宋体" w:eastAsia="宋体" w:cs="宋体"/>
                <w:sz w:val="21"/>
                <w:szCs w:val="21"/>
                <w:highlight w:val="none"/>
                <w:lang w:val="en-US" w:eastAsia="zh-CN" w:bidi="ar"/>
              </w:rPr>
            </w:r>
            <w:r/>
          </w:p>
          <w:p>
            <w:pPr>
              <w:pStyle w:val="953"/>
              <w:ind w:left="0"/>
              <w:widowControl w:val="off"/>
              <w:rPr>
                <w:rFonts w:hint="eastAsia" w:ascii="宋体" w:hAnsi="宋体" w:eastAsia="宋体" w:cs="宋体"/>
                <w:sz w:val="21"/>
                <w:szCs w:val="21"/>
                <w:highlight w:val="none"/>
                <w:lang w:val="en-US" w:eastAsia="zh-CN" w:bidi="ar"/>
              </w:rPr>
              <w:framePr w:vAnchor="margin" w:hAnchor="page" w:xAlign="center" w:y="1"/>
            </w:pPr>
            <w:r>
              <w:rPr>
                <w:rFonts w:hint="eastAsia" w:ascii="宋体" w:hAnsi="宋体" w:eastAsia="宋体" w:cs="宋体"/>
                <w:sz w:val="21"/>
                <w:szCs w:val="21"/>
                <w:highlight w:val="none"/>
                <w:lang w:val="en-US" w:eastAsia="zh-CN" w:bidi="ar"/>
              </w:rPr>
              <w:t xml:space="preserve">（须提供相应证明材料）</w:t>
            </w:r>
            <w:r>
              <w:rPr>
                <w:rFonts w:hint="eastAsia" w:ascii="宋体" w:hAnsi="宋体" w:eastAsia="宋体" w:cs="宋体"/>
                <w:sz w:val="21"/>
                <w:szCs w:val="21"/>
                <w:highlight w:val="none"/>
                <w:lang w:val="en-US" w:eastAsia="zh-CN" w:bidi="ar"/>
              </w:rPr>
            </w:r>
            <w:r/>
          </w:p>
        </w:tc>
        <w:tc>
          <w:tcPr>
            <w:tcW w:w="460" w:type="dxa"/>
            <w:vAlign w:val="center"/>
            <w:textDirection w:val="lrTb"/>
            <w:noWrap w:val="false"/>
          </w:tcPr>
          <w:p>
            <w:pPr>
              <w:pStyle w:val="953"/>
              <w:ind w:left="0"/>
              <w:jc w:val="center"/>
              <w:widowControl w:val="off"/>
              <w:rPr>
                <w:rFonts w:hint="eastAsia" w:ascii="宋体" w:hAnsi="宋体" w:eastAsia="宋体" w:cs="宋体"/>
                <w:sz w:val="21"/>
                <w:szCs w:val="21"/>
                <w:highlight w:val="none"/>
                <w:lang w:val="en-US" w:eastAsia="zh-CN"/>
              </w:rPr>
              <w:framePr w:vAnchor="margin" w:hAnchor="page" w:xAlign="center" w:y="1"/>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r>
      <w:tr>
        <w:trPr>
          <w:trHeight w:val="1042"/>
        </w:trPr>
        <w:tc>
          <w:tcPr>
            <w:tcW w:w="463" w:type="dxa"/>
            <w:vAlign w:val="center"/>
            <w:vMerge w:val="continue"/>
            <w:textDirection w:val="lrTb"/>
            <w:noWrap w:val="false"/>
          </w:tcPr>
          <w:p>
            <w:pPr>
              <w:pStyle w:val="953"/>
              <w:ind w:left="0"/>
              <w:jc w:val="center"/>
              <w:widowControl w:val="off"/>
              <w:rPr>
                <w:rFonts w:hint="eastAsia" w:ascii="宋体" w:hAnsi="宋体" w:eastAsia="宋体" w:cs="宋体"/>
                <w:b/>
                <w:sz w:val="21"/>
                <w:szCs w:val="21"/>
                <w:highlight w:val="none"/>
              </w:rPr>
              <w:framePr w:vAnchor="margin" w:hAnchor="page" w:xAlign="center" w:y="1"/>
            </w:pPr>
            <w:r>
              <w:rPr>
                <w:rFonts w:hint="eastAsia" w:ascii="宋体" w:hAnsi="宋体" w:eastAsia="宋体" w:cs="宋体"/>
                <w:b/>
                <w:sz w:val="21"/>
                <w:szCs w:val="21"/>
                <w:highlight w:val="none"/>
              </w:rPr>
            </w:r>
            <w:r/>
          </w:p>
        </w:tc>
        <w:tc>
          <w:tcPr>
            <w:tcW w:w="613" w:type="dxa"/>
            <w:vAlign w:val="center"/>
            <w:vMerge w:val="restart"/>
            <w:textDirection w:val="lrTb"/>
            <w:noWrap w:val="false"/>
          </w:tcPr>
          <w:p>
            <w:pPr>
              <w:pStyle w:val="953"/>
              <w:ind w:left="0"/>
              <w:jc w:val="center"/>
              <w:rPr>
                <w:rFonts w:hint="eastAsia" w:ascii="宋体" w:hAnsi="宋体" w:eastAsia="宋体" w:cs="宋体"/>
                <w:sz w:val="21"/>
                <w:szCs w:val="21"/>
                <w:highlight w:val="none"/>
              </w:rPr>
              <w:framePr w:vAnchor="margin" w:hAnchor="page" w:xAlign="center" w:y="1"/>
            </w:pPr>
            <w:r>
              <w:rPr>
                <w:rFonts w:hint="eastAsia" w:ascii="宋体" w:hAnsi="宋体" w:eastAsia="宋体" w:cs="宋体"/>
                <w:b/>
                <w:bCs/>
                <w:sz w:val="21"/>
                <w:szCs w:val="21"/>
                <w:highlight w:val="none"/>
              </w:rPr>
              <w:t xml:space="preserve">▲</w:t>
            </w:r>
            <w:r>
              <w:rPr>
                <w:rFonts w:hint="eastAsia" w:ascii="宋体" w:hAnsi="宋体" w:eastAsia="宋体" w:cs="宋体"/>
                <w:sz w:val="21"/>
                <w:szCs w:val="21"/>
                <w:highlight w:val="none"/>
              </w:rPr>
              <w:t xml:space="preserve">响应程度</w:t>
            </w:r>
            <w:r>
              <w:rPr>
                <w:rFonts w:hint="eastAsia" w:ascii="宋体" w:hAnsi="宋体" w:eastAsia="宋体" w:cs="宋体"/>
                <w:sz w:val="21"/>
                <w:szCs w:val="21"/>
                <w:highlight w:val="none"/>
              </w:rPr>
            </w:r>
            <w:r/>
          </w:p>
        </w:tc>
        <w:tc>
          <w:tcPr>
            <w:tcW w:w="3462" w:type="dxa"/>
            <w:vAlign w:val="center"/>
            <w:textDirection w:val="lrTb"/>
            <w:noWrap w:val="false"/>
          </w:tcPr>
          <w:p>
            <w:pPr>
              <w:pStyle w:val="953"/>
              <w:ind w:left="0"/>
              <w:widowControl w:val="off"/>
              <w:rPr>
                <w:rFonts w:hint="eastAsia" w:ascii="宋体" w:hAnsi="宋体" w:eastAsia="宋体" w:cs="宋体"/>
                <w:sz w:val="21"/>
                <w:szCs w:val="21"/>
                <w:highlight w:val="none"/>
                <w:lang w:bidi="ar"/>
              </w:rPr>
              <w:framePr w:vAnchor="margin" w:hAnchor="page" w:xAlign="center" w:y="1"/>
            </w:pPr>
            <w:r>
              <w:rPr>
                <w:rFonts w:hint="eastAsia" w:ascii="宋体" w:hAnsi="宋体" w:eastAsia="宋体" w:cs="宋体"/>
                <w:sz w:val="21"/>
                <w:szCs w:val="21"/>
                <w:highlight w:val="none"/>
                <w:lang w:bidi="ar"/>
              </w:rPr>
              <w:t xml:space="preserve">根据响应人承诺从响应人或其分支、办事处、点地址到达采购人单位地点（太仓市行政服务中心）的响应到达时间进行评审，承诺</w:t>
            </w: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bidi="ar"/>
              </w:rPr>
              <w:t xml:space="preserve">小时以内能够到达的得</w:t>
            </w:r>
            <w:r>
              <w:rPr>
                <w:rFonts w:hint="eastAsia" w:ascii="宋体" w:hAnsi="宋体" w:eastAsia="宋体" w:cs="宋体"/>
                <w:sz w:val="21"/>
                <w:szCs w:val="21"/>
                <w:highlight w:val="none"/>
                <w:lang w:val="en-US" w:eastAsia="zh-CN" w:bidi="ar"/>
              </w:rPr>
              <w:t xml:space="preserve">5</w:t>
            </w:r>
            <w:r>
              <w:rPr>
                <w:rFonts w:hint="eastAsia" w:ascii="宋体" w:hAnsi="宋体" w:eastAsia="宋体" w:cs="宋体"/>
                <w:sz w:val="21"/>
                <w:szCs w:val="21"/>
                <w:highlight w:val="none"/>
                <w:lang w:bidi="ar"/>
              </w:rPr>
              <w:t xml:space="preserve">分，承诺</w:t>
            </w:r>
            <w:r>
              <w:rPr>
                <w:rFonts w:hint="eastAsia" w:ascii="宋体" w:hAnsi="宋体" w:eastAsia="宋体" w:cs="宋体"/>
                <w:sz w:val="21"/>
                <w:szCs w:val="21"/>
                <w:highlight w:val="none"/>
                <w:lang w:val="en-US" w:eastAsia="zh-CN" w:bidi="ar"/>
              </w:rPr>
              <w:t xml:space="preserve">3</w:t>
            </w:r>
            <w:r>
              <w:rPr>
                <w:rFonts w:hint="eastAsia" w:ascii="宋体" w:hAnsi="宋体" w:eastAsia="宋体" w:cs="宋体"/>
                <w:sz w:val="21"/>
                <w:szCs w:val="21"/>
                <w:highlight w:val="none"/>
                <w:lang w:bidi="ar"/>
              </w:rPr>
              <w:t xml:space="preserve">小时以内能够到达的得</w:t>
            </w:r>
            <w:r>
              <w:rPr>
                <w:rFonts w:hint="eastAsia" w:ascii="宋体" w:hAnsi="宋体" w:eastAsia="宋体" w:cs="宋体"/>
                <w:sz w:val="21"/>
                <w:szCs w:val="21"/>
                <w:highlight w:val="none"/>
                <w:lang w:val="en-US" w:bidi="ar"/>
              </w:rPr>
              <w:t xml:space="preserve">3</w:t>
            </w:r>
            <w:r>
              <w:rPr>
                <w:rFonts w:hint="eastAsia" w:ascii="宋体" w:hAnsi="宋体" w:eastAsia="宋体" w:cs="宋体"/>
                <w:sz w:val="21"/>
                <w:szCs w:val="21"/>
                <w:highlight w:val="none"/>
                <w:lang w:bidi="ar"/>
              </w:rPr>
              <w:t xml:space="preserve">分，承诺</w:t>
            </w:r>
            <w:r>
              <w:rPr>
                <w:rFonts w:hint="eastAsia" w:ascii="宋体" w:hAnsi="宋体" w:eastAsia="宋体" w:cs="宋体"/>
                <w:sz w:val="21"/>
                <w:szCs w:val="21"/>
                <w:highlight w:val="none"/>
                <w:lang w:val="en-US" w:eastAsia="zh-CN" w:bidi="ar"/>
              </w:rPr>
              <w:t xml:space="preserve">4</w:t>
            </w:r>
            <w:r>
              <w:rPr>
                <w:rFonts w:hint="eastAsia" w:ascii="宋体" w:hAnsi="宋体" w:eastAsia="宋体" w:cs="宋体"/>
                <w:sz w:val="21"/>
                <w:szCs w:val="21"/>
                <w:highlight w:val="none"/>
                <w:lang w:bidi="ar"/>
              </w:rPr>
              <w:t xml:space="preserve">小时以内能够到达的得</w:t>
            </w:r>
            <w:r>
              <w:rPr>
                <w:rFonts w:hint="eastAsia" w:ascii="宋体" w:hAnsi="宋体" w:eastAsia="宋体" w:cs="宋体"/>
                <w:sz w:val="21"/>
                <w:szCs w:val="21"/>
                <w:highlight w:val="none"/>
                <w:lang w:val="en-US" w:eastAsia="zh-CN" w:bidi="ar"/>
              </w:rPr>
              <w:t xml:space="preserve">1</w:t>
            </w:r>
            <w:r>
              <w:rPr>
                <w:rFonts w:hint="eastAsia" w:ascii="宋体" w:hAnsi="宋体" w:eastAsia="宋体" w:cs="宋体"/>
                <w:sz w:val="21"/>
                <w:szCs w:val="21"/>
                <w:highlight w:val="none"/>
                <w:lang w:bidi="ar"/>
              </w:rPr>
              <w:t xml:space="preserve">分。其他不得分。提供能在承诺时间到达的相应方案相关证明材料（包括响应人或售后服务机构的地址（营业执照或自有产权证明或租房协议等），出行方式、出发时间、到达时间等），不提供证明材料不得分。</w:t>
            </w:r>
            <w:r>
              <w:rPr>
                <w:rFonts w:hint="eastAsia" w:ascii="宋体" w:hAnsi="宋体" w:eastAsia="宋体" w:cs="宋体"/>
                <w:sz w:val="21"/>
                <w:szCs w:val="21"/>
                <w:highlight w:val="none"/>
                <w:lang w:bidi="ar"/>
              </w:rPr>
            </w:r>
            <w:r/>
          </w:p>
          <w:p>
            <w:pPr>
              <w:pStyle w:val="953"/>
              <w:ind w:left="0"/>
              <w:widowControl w:val="off"/>
              <w:rPr>
                <w:rFonts w:hint="eastAsia" w:ascii="宋体" w:hAnsi="宋体" w:eastAsia="宋体" w:cs="宋体"/>
                <w:sz w:val="21"/>
                <w:szCs w:val="21"/>
                <w:highlight w:val="none"/>
                <w:lang w:val="en-US" w:eastAsia="zh-CN" w:bidi="ar"/>
              </w:rPr>
              <w:framePr w:vAnchor="margin" w:hAnchor="page" w:xAlign="center" w:y="1"/>
            </w:pPr>
            <w:r>
              <w:rPr>
                <w:rFonts w:hint="eastAsia" w:ascii="宋体" w:hAnsi="宋体" w:eastAsia="宋体" w:cs="宋体"/>
                <w:sz w:val="21"/>
                <w:szCs w:val="21"/>
                <w:highlight w:val="none"/>
                <w:lang w:val="en-US" w:eastAsia="zh-CN" w:bidi="ar"/>
              </w:rPr>
              <w:t xml:space="preserve">（提供承诺书，响应文件中提供原件扫描件并加盖电子签章）</w:t>
            </w:r>
            <w:r>
              <w:rPr>
                <w:rFonts w:hint="eastAsia" w:ascii="宋体" w:hAnsi="宋体" w:eastAsia="宋体" w:cs="宋体"/>
                <w:sz w:val="21"/>
                <w:szCs w:val="21"/>
                <w:highlight w:val="none"/>
                <w:lang w:val="en-US" w:eastAsia="zh-CN" w:bidi="ar"/>
              </w:rPr>
            </w:r>
            <w:r/>
          </w:p>
        </w:tc>
        <w:tc>
          <w:tcPr>
            <w:tcW w:w="460" w:type="dxa"/>
            <w:vAlign w:val="center"/>
            <w:textDirection w:val="lrTb"/>
            <w:noWrap w:val="false"/>
          </w:tcPr>
          <w:p>
            <w:pPr>
              <w:pStyle w:val="953"/>
              <w:ind w:left="0"/>
              <w:jc w:val="center"/>
              <w:widowControl w:val="off"/>
              <w:rPr>
                <w:rFonts w:hint="eastAsia" w:ascii="宋体" w:hAnsi="宋体" w:eastAsia="宋体" w:cs="宋体"/>
                <w:sz w:val="21"/>
                <w:szCs w:val="21"/>
                <w:highlight w:val="none"/>
                <w:lang w:val="en-US" w:eastAsia="zh-CN"/>
              </w:rPr>
              <w:framePr w:vAnchor="margin" w:hAnchor="page" w:xAlign="center" w:y="1"/>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r>
            <w:r/>
          </w:p>
        </w:tc>
      </w:tr>
      <w:tr>
        <w:trPr>
          <w:trHeight w:val="1042"/>
        </w:trPr>
        <w:tc>
          <w:tcPr>
            <w:tcW w:w="463" w:type="dxa"/>
            <w:vAlign w:val="center"/>
            <w:vMerge w:val="continue"/>
            <w:textDirection w:val="lrTb"/>
            <w:noWrap w:val="false"/>
          </w:tcPr>
          <w:p>
            <w:pPr>
              <w:pStyle w:val="953"/>
              <w:ind w:left="0"/>
              <w:jc w:val="center"/>
              <w:widowControl w:val="off"/>
              <w:rPr>
                <w:rFonts w:hint="eastAsia" w:ascii="宋体" w:hAnsi="宋体" w:eastAsia="宋体" w:cs="宋体"/>
                <w:b/>
                <w:sz w:val="21"/>
                <w:szCs w:val="21"/>
                <w:highlight w:val="none"/>
              </w:rPr>
              <w:framePr w:vAnchor="margin" w:hAnchor="page" w:xAlign="center" w:y="1"/>
            </w:pPr>
            <w:r>
              <w:rPr>
                <w:rFonts w:hint="eastAsia" w:ascii="宋体" w:hAnsi="宋体" w:eastAsia="宋体" w:cs="宋体"/>
                <w:b/>
                <w:sz w:val="21"/>
                <w:szCs w:val="21"/>
                <w:highlight w:val="none"/>
              </w:rPr>
            </w:r>
            <w:r/>
          </w:p>
        </w:tc>
        <w:tc>
          <w:tcPr>
            <w:tcW w:w="613" w:type="dxa"/>
            <w:vAlign w:val="center"/>
            <w:vMerge w:val="continue"/>
            <w:textDirection w:val="lrTb"/>
            <w:noWrap w:val="false"/>
          </w:tcPr>
          <w:p>
            <w:pPr>
              <w:pStyle w:val="953"/>
              <w:ind w:left="0"/>
              <w:jc w:val="center"/>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r>
            <w:r/>
          </w:p>
        </w:tc>
        <w:tc>
          <w:tcPr>
            <w:tcW w:w="3462" w:type="dxa"/>
            <w:vAlign w:val="center"/>
            <w:textDirection w:val="lrTb"/>
            <w:noWrap w:val="false"/>
          </w:tcPr>
          <w:p>
            <w:pPr>
              <w:pStyle w:val="953"/>
              <w:ind w:left="0"/>
              <w:widowControl w:val="off"/>
              <w:rPr>
                <w:rFonts w:hint="eastAsia" w:ascii="宋体" w:hAnsi="宋体" w:eastAsia="宋体" w:cs="宋体"/>
                <w:sz w:val="21"/>
                <w:szCs w:val="21"/>
                <w:highlight w:val="none"/>
                <w:lang w:bidi="ar"/>
              </w:rPr>
              <w:framePr w:vAnchor="margin" w:hAnchor="page" w:xAlign="center" w:y="1"/>
            </w:pPr>
            <w:r>
              <w:rPr>
                <w:rFonts w:hint="eastAsia" w:ascii="宋体" w:hAnsi="宋体" w:eastAsia="宋体" w:cs="宋体"/>
                <w:sz w:val="21"/>
                <w:szCs w:val="21"/>
                <w:highlight w:val="none"/>
                <w:lang w:bidi="ar"/>
              </w:rPr>
              <w:t xml:space="preserve">提供服务情况：事务所应当保证能够提供每个工作日8小时电话咨询业务</w:t>
            </w:r>
            <w:r>
              <w:rPr>
                <w:rFonts w:hint="eastAsia" w:ascii="宋体" w:hAnsi="宋体" w:eastAsia="宋体" w:cs="宋体"/>
                <w:sz w:val="21"/>
                <w:szCs w:val="21"/>
                <w:highlight w:val="none"/>
                <w:lang w:eastAsia="zh-CN" w:bidi="ar"/>
              </w:rPr>
              <w:t xml:space="preserve">（上午</w:t>
            </w:r>
            <w:r>
              <w:rPr>
                <w:rFonts w:hint="eastAsia" w:ascii="宋体" w:hAnsi="宋体" w:eastAsia="宋体" w:cs="宋体"/>
                <w:sz w:val="21"/>
                <w:szCs w:val="21"/>
                <w:highlight w:val="none"/>
                <w:lang w:val="en-US" w:eastAsia="zh-CN" w:bidi="ar"/>
              </w:rPr>
              <w:t xml:space="preserve">9:00-下午5:00</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的得</w:t>
            </w: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bidi="ar"/>
              </w:rPr>
              <w:t xml:space="preserve">分。</w:t>
            </w:r>
            <w:r>
              <w:rPr>
                <w:rFonts w:hint="eastAsia" w:ascii="宋体" w:hAnsi="宋体" w:eastAsia="宋体" w:cs="宋体"/>
                <w:sz w:val="21"/>
                <w:szCs w:val="21"/>
                <w:highlight w:val="none"/>
                <w:lang w:bidi="ar"/>
              </w:rPr>
            </w:r>
            <w:r/>
          </w:p>
          <w:p>
            <w:pPr>
              <w:pStyle w:val="953"/>
              <w:ind w:left="0"/>
              <w:widowControl w:val="off"/>
              <w:rPr>
                <w:rFonts w:hint="eastAsia" w:ascii="宋体" w:hAnsi="宋体" w:eastAsia="宋体" w:cs="宋体"/>
                <w:sz w:val="21"/>
                <w:szCs w:val="21"/>
                <w:highlight w:val="none"/>
                <w:lang w:val="en-US" w:eastAsia="zh-CN" w:bidi="ar"/>
              </w:rPr>
              <w:framePr w:vAnchor="margin" w:hAnchor="page" w:xAlign="center" w:y="1"/>
            </w:pPr>
            <w:r>
              <w:rPr>
                <w:rFonts w:hint="eastAsia" w:ascii="宋体" w:hAnsi="宋体" w:eastAsia="宋体" w:cs="宋体"/>
                <w:sz w:val="21"/>
                <w:szCs w:val="21"/>
                <w:highlight w:val="none"/>
                <w:lang w:bidi="ar"/>
              </w:rPr>
              <w:t xml:space="preserve">（提供承诺书，响应文件中提供原件扫描件并加盖电子签章）</w:t>
            </w:r>
            <w:r>
              <w:rPr>
                <w:rFonts w:hint="eastAsia" w:ascii="宋体" w:hAnsi="宋体" w:eastAsia="宋体" w:cs="宋体"/>
                <w:sz w:val="21"/>
                <w:szCs w:val="21"/>
                <w:highlight w:val="none"/>
                <w:lang w:val="en-US" w:eastAsia="zh-CN" w:bidi="ar"/>
              </w:rPr>
            </w:r>
            <w:r/>
          </w:p>
        </w:tc>
        <w:tc>
          <w:tcPr>
            <w:tcW w:w="460" w:type="dxa"/>
            <w:vAlign w:val="center"/>
            <w:textDirection w:val="lrTb"/>
            <w:noWrap w:val="false"/>
          </w:tcPr>
          <w:p>
            <w:pPr>
              <w:pStyle w:val="953"/>
              <w:ind w:left="0"/>
              <w:jc w:val="center"/>
              <w:widowControl w:val="off"/>
              <w:rPr>
                <w:rFonts w:hint="eastAsia" w:ascii="宋体" w:hAnsi="宋体" w:eastAsia="宋体" w:cs="宋体"/>
                <w:sz w:val="21"/>
                <w:szCs w:val="21"/>
                <w:highlight w:val="none"/>
                <w:lang w:val="en-US" w:eastAsia="zh-CN"/>
              </w:rPr>
              <w:framePr w:vAnchor="margin" w:hAnchor="page" w:xAlign="center" w:y="1"/>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r>
      <w:tr>
        <w:trPr>
          <w:trHeight w:val="2297"/>
        </w:trPr>
        <w:tc>
          <w:tcPr>
            <w:tcW w:w="463" w:type="dxa"/>
            <w:vAlign w:val="center"/>
            <w:vMerge w:val="continue"/>
            <w:textDirection w:val="lrTb"/>
            <w:noWrap w:val="false"/>
          </w:tcPr>
          <w:p>
            <w:pPr>
              <w:pStyle w:val="953"/>
              <w:ind w:left="0"/>
              <w:jc w:val="center"/>
              <w:widowControl w:val="off"/>
              <w:rPr>
                <w:rFonts w:hint="eastAsia" w:ascii="宋体" w:hAnsi="宋体" w:eastAsia="宋体" w:cs="宋体"/>
                <w:b/>
                <w:sz w:val="21"/>
                <w:szCs w:val="21"/>
                <w:highlight w:val="none"/>
              </w:rPr>
              <w:framePr w:vAnchor="margin" w:hAnchor="page" w:xAlign="center" w:y="1"/>
            </w:pPr>
            <w:r>
              <w:rPr>
                <w:rFonts w:hint="eastAsia" w:ascii="宋体" w:hAnsi="宋体" w:eastAsia="宋体" w:cs="宋体"/>
                <w:b/>
                <w:sz w:val="21"/>
                <w:szCs w:val="21"/>
                <w:highlight w:val="none"/>
              </w:rPr>
            </w:r>
            <w:r/>
          </w:p>
        </w:tc>
        <w:tc>
          <w:tcPr>
            <w:tcW w:w="613" w:type="dxa"/>
            <w:vAlign w:val="center"/>
            <w:vMerge w:val="continue"/>
            <w:textDirection w:val="lrTb"/>
            <w:noWrap w:val="false"/>
          </w:tcPr>
          <w:p>
            <w:pPr>
              <w:pStyle w:val="953"/>
              <w:ind w:left="0"/>
              <w:jc w:val="center"/>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r>
            <w:r/>
          </w:p>
        </w:tc>
        <w:tc>
          <w:tcPr>
            <w:tcW w:w="3462" w:type="dxa"/>
            <w:vAlign w:val="center"/>
            <w:textDirection w:val="lrTb"/>
            <w:noWrap w:val="false"/>
          </w:tcPr>
          <w:p>
            <w:pPr>
              <w:pStyle w:val="953"/>
              <w:ind w:left="0"/>
              <w:widowControl w:val="off"/>
              <w:rPr>
                <w:rFonts w:hint="eastAsia" w:ascii="宋体" w:hAnsi="宋体" w:eastAsia="宋体" w:cs="宋体"/>
                <w:sz w:val="21"/>
                <w:szCs w:val="21"/>
                <w:highlight w:val="none"/>
                <w:lang w:val="en-US" w:eastAsia="zh-CN" w:bidi="ar"/>
              </w:rPr>
              <w:framePr w:vAnchor="margin" w:hAnchor="page" w:xAlign="center" w:y="1"/>
            </w:pPr>
            <w:r>
              <w:rPr>
                <w:rFonts w:hint="eastAsia" w:ascii="宋体" w:hAnsi="宋体" w:eastAsia="宋体" w:cs="宋体"/>
                <w:sz w:val="21"/>
                <w:szCs w:val="21"/>
                <w:highlight w:val="none"/>
                <w:lang w:val="en-US" w:eastAsia="zh-CN" w:bidi="ar"/>
              </w:rPr>
              <w:t xml:space="preserve">独立性承诺（2分）：（1）承诺2025年度未承接或开展所投项目包中被审计单位同一预算项目的鉴证业务或非鉴证业务。（2）承诺供应商在审计业务期间，新承接所投项目包中被审计单位鉴证业务或非鉴证业务，应先向采购人报告，并经采购人确认，在不影响独立性原则的情况下，再承接被审计单位的鉴证业务或非鉴证业务。承诺每有一项1分。</w:t>
            </w:r>
            <w:r>
              <w:rPr>
                <w:rFonts w:hint="eastAsia" w:ascii="宋体" w:hAnsi="宋体" w:eastAsia="宋体" w:cs="宋体"/>
                <w:sz w:val="21"/>
                <w:szCs w:val="21"/>
                <w:highlight w:val="none"/>
                <w:lang w:val="en-US" w:eastAsia="zh-CN" w:bidi="ar"/>
              </w:rPr>
            </w:r>
            <w:r/>
          </w:p>
          <w:p>
            <w:pPr>
              <w:pStyle w:val="953"/>
              <w:ind w:left="0"/>
              <w:widowControl w:val="off"/>
              <w:rPr>
                <w:rFonts w:hint="eastAsia" w:ascii="宋体" w:hAnsi="宋体" w:eastAsia="宋体" w:cs="宋体"/>
                <w:sz w:val="21"/>
                <w:szCs w:val="21"/>
                <w:highlight w:val="none"/>
                <w:lang w:val="en-US" w:eastAsia="zh-CN" w:bidi="ar"/>
              </w:rPr>
              <w:framePr w:vAnchor="margin" w:hAnchor="page" w:xAlign="center" w:y="1"/>
            </w:pPr>
            <w:r>
              <w:rPr>
                <w:rFonts w:hint="eastAsia" w:ascii="宋体" w:hAnsi="宋体" w:eastAsia="宋体" w:cs="宋体"/>
                <w:sz w:val="21"/>
                <w:szCs w:val="21"/>
                <w:highlight w:val="none"/>
                <w:lang w:bidi="ar"/>
              </w:rPr>
              <w:t xml:space="preserve">（提供承诺书，响应文件中提供原件扫描件并加盖电子签章）</w:t>
            </w:r>
            <w:r>
              <w:rPr>
                <w:rFonts w:hint="eastAsia" w:ascii="宋体" w:hAnsi="宋体" w:eastAsia="宋体" w:cs="宋体"/>
                <w:sz w:val="21"/>
                <w:szCs w:val="21"/>
                <w:highlight w:val="none"/>
                <w:lang w:val="en-US" w:eastAsia="zh-CN" w:bidi="ar"/>
              </w:rPr>
            </w:r>
            <w:r/>
          </w:p>
        </w:tc>
        <w:tc>
          <w:tcPr>
            <w:tcW w:w="460" w:type="dxa"/>
            <w:vAlign w:val="center"/>
            <w:textDirection w:val="lrTb"/>
            <w:noWrap w:val="false"/>
          </w:tcPr>
          <w:p>
            <w:pPr>
              <w:pStyle w:val="953"/>
              <w:ind w:left="0"/>
              <w:jc w:val="center"/>
              <w:widowControl w:val="off"/>
              <w:rPr>
                <w:rFonts w:hint="eastAsia" w:ascii="宋体" w:hAnsi="宋体" w:eastAsia="宋体" w:cs="宋体"/>
                <w:sz w:val="21"/>
                <w:szCs w:val="21"/>
                <w:highlight w:val="none"/>
                <w:lang w:val="en-US" w:eastAsia="zh-CN"/>
              </w:rPr>
              <w:framePr w:vAnchor="margin" w:hAnchor="page" w:xAlign="center" w:y="1"/>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r>
      <w:tr>
        <w:trPr>
          <w:trHeight w:val="1686"/>
        </w:trPr>
        <w:tc>
          <w:tcPr>
            <w:tcW w:w="463" w:type="dxa"/>
            <w:vAlign w:val="center"/>
            <w:vMerge w:val="continue"/>
            <w:textDirection w:val="lrTb"/>
            <w:noWrap w:val="false"/>
          </w:tcPr>
          <w:p>
            <w:pPr>
              <w:pStyle w:val="953"/>
              <w:ind w:left="0"/>
              <w:jc w:val="center"/>
              <w:widowControl w:val="off"/>
              <w:rPr>
                <w:rFonts w:hint="eastAsia" w:ascii="宋体" w:hAnsi="宋体" w:eastAsia="宋体" w:cs="宋体"/>
                <w:b/>
                <w:sz w:val="21"/>
                <w:szCs w:val="21"/>
                <w:highlight w:val="none"/>
              </w:rPr>
              <w:framePr w:vAnchor="margin" w:hAnchor="page" w:xAlign="center" w:y="1"/>
            </w:pPr>
            <w:r>
              <w:rPr>
                <w:rFonts w:hint="eastAsia" w:ascii="宋体" w:hAnsi="宋体" w:eastAsia="宋体" w:cs="宋体"/>
                <w:b/>
                <w:sz w:val="21"/>
                <w:szCs w:val="21"/>
                <w:highlight w:val="none"/>
              </w:rPr>
            </w:r>
            <w:r/>
          </w:p>
        </w:tc>
        <w:tc>
          <w:tcPr>
            <w:tcW w:w="613" w:type="dxa"/>
            <w:vAlign w:val="center"/>
            <w:vMerge w:val="continue"/>
            <w:textDirection w:val="lrTb"/>
            <w:noWrap w:val="false"/>
          </w:tcPr>
          <w:p>
            <w:pPr>
              <w:pStyle w:val="953"/>
              <w:ind w:left="0"/>
              <w:jc w:val="center"/>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r>
            <w:r/>
          </w:p>
        </w:tc>
        <w:tc>
          <w:tcPr>
            <w:tcW w:w="3462" w:type="dxa"/>
            <w:vAlign w:val="center"/>
            <w:textDirection w:val="lrTb"/>
            <w:noWrap w:val="false"/>
          </w:tcPr>
          <w:p>
            <w:pPr>
              <w:pStyle w:val="953"/>
              <w:ind w:left="0"/>
              <w:widowControl w:val="off"/>
              <w:rPr>
                <w:rFonts w:hint="eastAsia" w:ascii="宋体" w:hAnsi="宋体" w:eastAsia="宋体" w:cs="宋体"/>
                <w:sz w:val="21"/>
                <w:szCs w:val="21"/>
                <w:highlight w:val="none"/>
                <w:lang w:bidi="ar"/>
              </w:rPr>
              <w:framePr w:vAnchor="margin" w:hAnchor="page" w:xAlign="center" w:y="1"/>
            </w:pPr>
            <w:r>
              <w:rPr>
                <w:rFonts w:hint="eastAsia" w:ascii="宋体" w:hAnsi="宋体" w:eastAsia="宋体" w:cs="宋体"/>
                <w:sz w:val="21"/>
                <w:szCs w:val="21"/>
                <w:highlight w:val="none"/>
                <w:lang w:bidi="ar"/>
              </w:rPr>
              <w:t xml:space="preserve">事务所其他承诺情况（</w:t>
            </w:r>
            <w:r>
              <w:rPr>
                <w:rFonts w:hint="eastAsia" w:ascii="宋体" w:hAnsi="宋体" w:eastAsia="宋体" w:cs="宋体"/>
                <w:sz w:val="21"/>
                <w:szCs w:val="21"/>
                <w:highlight w:val="none"/>
                <w:lang w:val="en-US" w:eastAsia="zh-CN" w:bidi="ar"/>
              </w:rPr>
              <w:t xml:space="preserve">4</w:t>
            </w:r>
            <w:r>
              <w:rPr>
                <w:rFonts w:hint="eastAsia" w:ascii="宋体" w:hAnsi="宋体" w:eastAsia="宋体" w:cs="宋体"/>
                <w:sz w:val="21"/>
                <w:szCs w:val="21"/>
                <w:highlight w:val="none"/>
                <w:lang w:bidi="ar"/>
              </w:rPr>
              <w:t xml:space="preserve">分）：（1）承诺完全理解并接受对成交人的各项须知、规约要求和责任义务；（2）承诺接到项目3日内进场工作；（3）承诺无条件接受采购人的考核</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4</w:t>
            </w:r>
            <w:r>
              <w:rPr>
                <w:rFonts w:hint="eastAsia" w:ascii="宋体" w:hAnsi="宋体" w:eastAsia="宋体" w:cs="宋体"/>
                <w:sz w:val="21"/>
                <w:szCs w:val="21"/>
                <w:highlight w:val="none"/>
                <w:lang w:eastAsia="zh-CN" w:bidi="ar"/>
              </w:rPr>
              <w:t xml:space="preserve">）承诺无条件接受采购人的保密要求。</w:t>
            </w:r>
            <w:r>
              <w:rPr>
                <w:rFonts w:hint="eastAsia" w:ascii="宋体" w:hAnsi="宋体" w:eastAsia="宋体" w:cs="宋体"/>
                <w:sz w:val="21"/>
                <w:szCs w:val="21"/>
                <w:highlight w:val="none"/>
                <w:lang w:bidi="ar"/>
              </w:rPr>
              <w:t xml:space="preserve">无承诺或承诺不全的不得分。</w:t>
            </w:r>
            <w:r>
              <w:rPr>
                <w:rFonts w:hint="eastAsia" w:ascii="宋体" w:hAnsi="宋体" w:eastAsia="宋体" w:cs="宋体"/>
                <w:sz w:val="21"/>
                <w:szCs w:val="21"/>
                <w:highlight w:val="none"/>
                <w:lang w:bidi="ar"/>
              </w:rPr>
            </w:r>
            <w:r/>
          </w:p>
          <w:p>
            <w:pPr>
              <w:pStyle w:val="953"/>
              <w:ind w:left="0"/>
              <w:widowControl w:val="off"/>
              <w:rPr>
                <w:rFonts w:hint="eastAsia" w:ascii="宋体" w:hAnsi="宋体" w:eastAsia="宋体" w:cs="宋体"/>
                <w:sz w:val="21"/>
                <w:szCs w:val="21"/>
                <w:highlight w:val="none"/>
                <w:lang w:val="en-US" w:eastAsia="zh-CN" w:bidi="ar"/>
              </w:rPr>
              <w:framePr w:vAnchor="margin" w:hAnchor="page" w:xAlign="center" w:y="1"/>
            </w:pPr>
            <w:r>
              <w:rPr>
                <w:rFonts w:hint="eastAsia" w:ascii="宋体" w:hAnsi="宋体" w:eastAsia="宋体" w:cs="宋体"/>
                <w:sz w:val="21"/>
                <w:szCs w:val="21"/>
                <w:highlight w:val="none"/>
                <w:lang w:bidi="ar"/>
              </w:rPr>
              <w:t xml:space="preserve">（提供承诺书，响应文件中提供原件扫描件并加盖电子签章）</w:t>
            </w:r>
            <w:r>
              <w:rPr>
                <w:rFonts w:hint="eastAsia" w:ascii="宋体" w:hAnsi="宋体" w:eastAsia="宋体" w:cs="宋体"/>
                <w:sz w:val="21"/>
                <w:szCs w:val="21"/>
                <w:highlight w:val="none"/>
                <w:lang w:val="en-US" w:eastAsia="zh-CN" w:bidi="ar"/>
              </w:rPr>
            </w:r>
            <w:r/>
          </w:p>
        </w:tc>
        <w:tc>
          <w:tcPr>
            <w:tcW w:w="460" w:type="dxa"/>
            <w:vAlign w:val="center"/>
            <w:textDirection w:val="lrTb"/>
            <w:noWrap w:val="false"/>
          </w:tcPr>
          <w:p>
            <w:pPr>
              <w:pStyle w:val="953"/>
              <w:ind w:left="0"/>
              <w:jc w:val="center"/>
              <w:widowControl w:val="off"/>
              <w:rPr>
                <w:rFonts w:hint="eastAsia" w:ascii="宋体" w:hAnsi="宋体" w:eastAsia="宋体" w:cs="宋体"/>
                <w:sz w:val="21"/>
                <w:szCs w:val="21"/>
                <w:highlight w:val="none"/>
                <w:lang w:val="en-US" w:eastAsia="zh-CN"/>
              </w:rPr>
              <w:framePr w:vAnchor="margin" w:hAnchor="page" w:xAlign="center" w:y="1"/>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r>
            <w:r/>
          </w:p>
        </w:tc>
      </w:tr>
      <w:tr>
        <w:trPr>
          <w:trHeight w:val="3232"/>
        </w:trPr>
        <w:tc>
          <w:tcPr>
            <w:tcW w:w="463" w:type="dxa"/>
            <w:vAlign w:val="center"/>
            <w:vMerge w:val="restart"/>
            <w:textDirection w:val="lrTb"/>
            <w:noWrap w:val="false"/>
          </w:tcPr>
          <w:p>
            <w:pPr>
              <w:pStyle w:val="953"/>
              <w:ind w:left="0"/>
              <w:jc w:val="center"/>
              <w:widowControl w:val="off"/>
              <w:rPr>
                <w:rFonts w:hint="eastAsia" w:ascii="宋体" w:hAnsi="宋体" w:eastAsia="宋体" w:cs="宋体"/>
                <w:b/>
                <w:sz w:val="21"/>
                <w:szCs w:val="21"/>
                <w:highlight w:val="none"/>
              </w:rPr>
              <w:framePr w:vAnchor="margin" w:hAnchor="page" w:xAlign="center" w:y="1"/>
            </w:pPr>
            <w:r>
              <w:rPr>
                <w:rFonts w:hint="eastAsia" w:ascii="宋体" w:hAnsi="宋体" w:eastAsia="宋体" w:cs="宋体"/>
                <w:b/>
                <w:sz w:val="21"/>
                <w:szCs w:val="21"/>
                <w:highlight w:val="none"/>
              </w:rPr>
              <w:t xml:space="preserve">技术部分（</w:t>
            </w:r>
            <w:r>
              <w:rPr>
                <w:rFonts w:hint="eastAsia" w:ascii="宋体" w:hAnsi="宋体" w:eastAsia="宋体" w:cs="宋体"/>
                <w:b/>
                <w:sz w:val="21"/>
                <w:szCs w:val="21"/>
                <w:highlight w:val="none"/>
                <w:lang w:val="en-US" w:eastAsia="zh-CN"/>
              </w:rPr>
              <w:t xml:space="preserve">22</w:t>
            </w:r>
            <w:r>
              <w:rPr>
                <w:rFonts w:hint="eastAsia" w:ascii="宋体" w:hAnsi="宋体" w:eastAsia="宋体" w:cs="宋体"/>
                <w:b/>
                <w:sz w:val="21"/>
                <w:szCs w:val="21"/>
                <w:highlight w:val="none"/>
              </w:rPr>
              <w:t xml:space="preserve">分）</w:t>
            </w:r>
            <w:r>
              <w:rPr>
                <w:rFonts w:hint="eastAsia" w:ascii="宋体" w:hAnsi="宋体" w:eastAsia="宋体" w:cs="宋体"/>
                <w:b/>
                <w:sz w:val="21"/>
                <w:szCs w:val="21"/>
                <w:highlight w:val="none"/>
              </w:rPr>
            </w:r>
            <w:r/>
          </w:p>
        </w:tc>
        <w:tc>
          <w:tcPr>
            <w:tcW w:w="613" w:type="dxa"/>
            <w:vAlign w:val="center"/>
            <w:vMerge w:val="restart"/>
            <w:textDirection w:val="lrTb"/>
            <w:noWrap w:val="false"/>
          </w:tcPr>
          <w:p>
            <w:pPr>
              <w:pStyle w:val="953"/>
              <w:ind w:left="0"/>
              <w:jc w:val="center"/>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工作方案</w:t>
            </w:r>
            <w:r>
              <w:rPr>
                <w:rFonts w:hint="eastAsia" w:ascii="宋体" w:hAnsi="宋体" w:eastAsia="宋体" w:cs="宋体"/>
                <w:sz w:val="21"/>
                <w:szCs w:val="21"/>
                <w:highlight w:val="none"/>
              </w:rPr>
            </w:r>
            <w:r/>
          </w:p>
        </w:tc>
        <w:tc>
          <w:tcPr>
            <w:tcW w:w="3462" w:type="dxa"/>
            <w:vAlign w:val="center"/>
            <w:textDirection w:val="lrTb"/>
            <w:noWrap w:val="false"/>
          </w:tcPr>
          <w:p>
            <w:pPr>
              <w:pStyle w:val="953"/>
              <w:ind w:left="0"/>
              <w:widowControl w:val="off"/>
              <w:rPr>
                <w:rFonts w:hint="eastAsia" w:ascii="宋体" w:hAnsi="宋体" w:eastAsia="宋体" w:cs="宋体"/>
                <w:sz w:val="21"/>
                <w:szCs w:val="21"/>
                <w:highlight w:val="none"/>
                <w:lang w:bidi="ar"/>
              </w:rPr>
              <w:framePr w:vAnchor="margin" w:hAnchor="page" w:xAlign="center" w:y="1"/>
            </w:pPr>
            <w:r>
              <w:rPr>
                <w:rFonts w:hint="eastAsia" w:ascii="宋体" w:hAnsi="宋体" w:eastAsia="宋体" w:cs="宋体"/>
                <w:sz w:val="21"/>
                <w:szCs w:val="21"/>
                <w:highlight w:val="none"/>
                <w:lang w:bidi="ar"/>
              </w:rPr>
              <w:t xml:space="preserve">供应商需根据采购需求，</w:t>
            </w:r>
            <w:r>
              <w:rPr>
                <w:rFonts w:hint="eastAsia" w:ascii="宋体" w:hAnsi="宋体" w:eastAsia="宋体" w:cs="宋体"/>
                <w:sz w:val="21"/>
                <w:szCs w:val="21"/>
                <w:highlight w:val="none"/>
                <w:lang w:eastAsia="zh-CN" w:bidi="ar"/>
              </w:rPr>
              <w:t xml:space="preserve">编制</w:t>
            </w:r>
            <w:r>
              <w:rPr>
                <w:rFonts w:hint="eastAsia" w:ascii="宋体" w:hAnsi="宋体" w:eastAsia="宋体" w:cs="宋体"/>
                <w:sz w:val="21"/>
                <w:szCs w:val="21"/>
                <w:highlight w:val="none"/>
                <w:lang w:bidi="ar"/>
              </w:rPr>
              <w:t xml:space="preserve">完整的审计工作方案</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方案</w:t>
            </w:r>
            <w:r>
              <w:rPr>
                <w:rFonts w:hint="eastAsia" w:ascii="宋体" w:hAnsi="宋体" w:eastAsia="宋体" w:cs="宋体"/>
                <w:sz w:val="21"/>
                <w:szCs w:val="21"/>
                <w:highlight w:val="none"/>
                <w:lang w:bidi="ar"/>
              </w:rPr>
              <w:t xml:space="preserve">应当包括以下内容：1、</w:t>
            </w:r>
            <w:r>
              <w:rPr>
                <w:rFonts w:hint="eastAsia" w:ascii="宋体" w:hAnsi="宋体" w:eastAsia="宋体" w:cs="宋体"/>
                <w:sz w:val="21"/>
                <w:szCs w:val="21"/>
                <w:highlight w:val="none"/>
                <w:lang w:eastAsia="zh-CN" w:bidi="ar"/>
              </w:rPr>
              <w:t xml:space="preserve">总体工作</w:t>
            </w:r>
            <w:r>
              <w:rPr>
                <w:rFonts w:hint="eastAsia" w:ascii="宋体" w:hAnsi="宋体" w:eastAsia="宋体" w:cs="宋体"/>
                <w:sz w:val="21"/>
                <w:szCs w:val="21"/>
                <w:highlight w:val="none"/>
                <w:lang w:bidi="ar"/>
              </w:rPr>
              <w:t xml:space="preserve">思路；2、</w:t>
            </w:r>
            <w:r>
              <w:rPr>
                <w:rFonts w:hint="eastAsia" w:ascii="宋体" w:hAnsi="宋体" w:eastAsia="宋体" w:cs="宋体"/>
                <w:sz w:val="21"/>
                <w:szCs w:val="21"/>
                <w:highlight w:val="none"/>
                <w:lang w:eastAsia="zh-CN" w:bidi="ar"/>
              </w:rPr>
              <w:t xml:space="preserve">工作</w:t>
            </w:r>
            <w:r>
              <w:rPr>
                <w:rFonts w:hint="eastAsia" w:ascii="宋体" w:hAnsi="宋体" w:eastAsia="宋体" w:cs="宋体"/>
                <w:sz w:val="21"/>
                <w:szCs w:val="21"/>
                <w:highlight w:val="none"/>
                <w:lang w:bidi="ar"/>
              </w:rPr>
              <w:t xml:space="preserve">目标及任务；3、</w:t>
            </w:r>
            <w:r>
              <w:rPr>
                <w:rFonts w:hint="eastAsia" w:ascii="宋体" w:hAnsi="宋体" w:eastAsia="宋体" w:cs="宋体"/>
                <w:sz w:val="21"/>
                <w:szCs w:val="21"/>
                <w:highlight w:val="none"/>
                <w:lang w:eastAsia="zh-CN" w:bidi="ar"/>
              </w:rPr>
              <w:t xml:space="preserve">工作</w:t>
            </w:r>
            <w:r>
              <w:rPr>
                <w:rFonts w:hint="eastAsia" w:ascii="宋体" w:hAnsi="宋体" w:eastAsia="宋体" w:cs="宋体"/>
                <w:sz w:val="21"/>
                <w:szCs w:val="21"/>
                <w:highlight w:val="none"/>
                <w:lang w:bidi="ar"/>
              </w:rPr>
              <w:t xml:space="preserve">策略及具体措施</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4</w:t>
            </w:r>
            <w:r>
              <w:rPr>
                <w:rFonts w:hint="eastAsia" w:ascii="宋体" w:hAnsi="宋体" w:eastAsia="宋体" w:cs="宋体"/>
                <w:sz w:val="21"/>
                <w:szCs w:val="21"/>
                <w:highlight w:val="none"/>
                <w:lang w:bidi="ar"/>
              </w:rPr>
              <w:t xml:space="preserve">、审计程序和审计方法；</w:t>
            </w:r>
            <w:r>
              <w:rPr>
                <w:rFonts w:hint="eastAsia" w:ascii="宋体" w:hAnsi="宋体" w:eastAsia="宋体" w:cs="宋体"/>
                <w:sz w:val="21"/>
                <w:szCs w:val="21"/>
                <w:highlight w:val="none"/>
                <w:lang w:val="en-US" w:eastAsia="zh-CN" w:bidi="ar"/>
              </w:rPr>
              <w:t xml:space="preserve">5</w:t>
            </w:r>
            <w:r>
              <w:rPr>
                <w:rFonts w:hint="eastAsia" w:ascii="宋体" w:hAnsi="宋体" w:eastAsia="宋体" w:cs="宋体"/>
                <w:sz w:val="21"/>
                <w:szCs w:val="21"/>
                <w:highlight w:val="none"/>
                <w:lang w:bidi="ar"/>
              </w:rPr>
              <w:t xml:space="preserve">、日常审计项目工作计划（总分</w:t>
            </w:r>
            <w:r>
              <w:rPr>
                <w:rFonts w:hint="eastAsia" w:ascii="宋体" w:hAnsi="宋体" w:eastAsia="宋体" w:cs="宋体"/>
                <w:sz w:val="21"/>
                <w:szCs w:val="21"/>
                <w:highlight w:val="none"/>
                <w:lang w:val="en-US" w:eastAsia="zh-CN" w:bidi="ar"/>
              </w:rPr>
              <w:t xml:space="preserve">10</w:t>
            </w:r>
            <w:r>
              <w:rPr>
                <w:rFonts w:hint="eastAsia" w:ascii="宋体" w:hAnsi="宋体" w:eastAsia="宋体" w:cs="宋体"/>
                <w:sz w:val="21"/>
                <w:szCs w:val="21"/>
                <w:highlight w:val="none"/>
                <w:lang w:bidi="ar"/>
              </w:rPr>
              <w:t xml:space="preserve">分，每项</w:t>
            </w: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bidi="ar"/>
              </w:rPr>
              <w:t xml:space="preserve">分）</w:t>
            </w:r>
            <w:r>
              <w:rPr>
                <w:rFonts w:hint="eastAsia" w:ascii="宋体" w:hAnsi="宋体" w:eastAsia="宋体" w:cs="宋体"/>
                <w:sz w:val="21"/>
                <w:szCs w:val="21"/>
                <w:highlight w:val="none"/>
                <w:lang w:bidi="ar"/>
              </w:rPr>
            </w:r>
            <w:r/>
          </w:p>
          <w:p>
            <w:pPr>
              <w:pStyle w:val="953"/>
              <w:ind w:left="0"/>
              <w:widowControl w:val="off"/>
              <w:rPr>
                <w:rFonts w:hint="eastAsia" w:ascii="宋体" w:hAnsi="宋体" w:eastAsia="宋体" w:cs="宋体"/>
                <w:sz w:val="21"/>
                <w:szCs w:val="21"/>
                <w:highlight w:val="none"/>
                <w:lang w:bidi="ar"/>
              </w:rPr>
              <w:framePr w:vAnchor="margin" w:hAnchor="page" w:xAlign="center" w:y="1"/>
            </w:pPr>
            <w:r>
              <w:rPr>
                <w:rFonts w:hint="eastAsia" w:ascii="宋体" w:hAnsi="宋体" w:eastAsia="宋体" w:cs="宋体"/>
                <w:sz w:val="21"/>
                <w:szCs w:val="21"/>
                <w:highlight w:val="none"/>
                <w:lang w:eastAsia="zh-CN" w:bidi="ar"/>
              </w:rPr>
              <w:t xml:space="preserve">总体工作</w:t>
            </w:r>
            <w:r>
              <w:rPr>
                <w:rFonts w:hint="eastAsia" w:ascii="宋体" w:hAnsi="宋体" w:eastAsia="宋体" w:cs="宋体"/>
                <w:sz w:val="21"/>
                <w:szCs w:val="21"/>
                <w:highlight w:val="none"/>
                <w:lang w:bidi="ar"/>
              </w:rPr>
              <w:t xml:space="preserve">思路清晰、</w:t>
            </w:r>
            <w:r>
              <w:rPr>
                <w:rFonts w:hint="eastAsia" w:ascii="宋体" w:hAnsi="宋体" w:eastAsia="宋体" w:cs="宋体"/>
                <w:sz w:val="21"/>
                <w:szCs w:val="21"/>
                <w:highlight w:val="none"/>
                <w:lang w:eastAsia="zh-CN" w:bidi="ar"/>
              </w:rPr>
              <w:t xml:space="preserve">工作</w:t>
            </w:r>
            <w:r>
              <w:rPr>
                <w:rFonts w:hint="eastAsia" w:ascii="宋体" w:hAnsi="宋体" w:eastAsia="宋体" w:cs="宋体"/>
                <w:sz w:val="21"/>
                <w:szCs w:val="21"/>
                <w:highlight w:val="none"/>
                <w:lang w:bidi="ar"/>
              </w:rPr>
              <w:t xml:space="preserve">目标及任务明确、</w:t>
            </w:r>
            <w:r>
              <w:rPr>
                <w:rFonts w:hint="eastAsia" w:ascii="宋体" w:hAnsi="宋体" w:eastAsia="宋体" w:cs="宋体"/>
                <w:sz w:val="21"/>
                <w:szCs w:val="21"/>
                <w:highlight w:val="none"/>
                <w:lang w:eastAsia="zh-CN" w:bidi="ar"/>
              </w:rPr>
              <w:t xml:space="preserve">工作</w:t>
            </w:r>
            <w:r>
              <w:rPr>
                <w:rFonts w:hint="eastAsia" w:ascii="宋体" w:hAnsi="宋体" w:eastAsia="宋体" w:cs="宋体"/>
                <w:sz w:val="21"/>
                <w:szCs w:val="21"/>
                <w:highlight w:val="none"/>
                <w:lang w:bidi="ar"/>
              </w:rPr>
              <w:t xml:space="preserve">策略及具体措施</w:t>
            </w:r>
            <w:r>
              <w:rPr>
                <w:rFonts w:hint="eastAsia" w:ascii="宋体" w:hAnsi="宋体" w:eastAsia="宋体" w:cs="宋体"/>
                <w:sz w:val="21"/>
                <w:szCs w:val="21"/>
                <w:highlight w:val="none"/>
                <w:lang w:eastAsia="zh-CN" w:bidi="ar"/>
              </w:rPr>
              <w:t xml:space="preserve">要点清晰合理、审计程序和方法科学合理，日常审计计划的</w:t>
            </w:r>
            <w:r>
              <w:rPr>
                <w:rFonts w:hint="eastAsia" w:ascii="宋体" w:hAnsi="宋体" w:eastAsia="宋体" w:cs="宋体"/>
                <w:sz w:val="21"/>
                <w:szCs w:val="21"/>
                <w:highlight w:val="none"/>
                <w:lang w:bidi="ar"/>
              </w:rPr>
              <w:t xml:space="preserve">项目组成员任务分工及时间节点安排合理</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每有一项得</w:t>
            </w:r>
            <w:r>
              <w:rPr>
                <w:rFonts w:hint="eastAsia" w:ascii="宋体" w:hAnsi="宋体" w:eastAsia="宋体" w:cs="宋体"/>
                <w:sz w:val="21"/>
                <w:szCs w:val="21"/>
                <w:highlight w:val="none"/>
                <w:lang w:val="en-US" w:eastAsia="zh-CN" w:bidi="ar"/>
              </w:rPr>
              <w:t xml:space="preserve">2分；</w:t>
            </w:r>
            <w:r>
              <w:rPr>
                <w:rFonts w:hint="eastAsia" w:ascii="宋体" w:hAnsi="宋体" w:eastAsia="宋体" w:cs="宋体"/>
                <w:sz w:val="21"/>
                <w:szCs w:val="21"/>
                <w:highlight w:val="none"/>
                <w:lang w:bidi="ar"/>
              </w:rPr>
              <w:t xml:space="preserve">内容过于笼统没有针对性的，每有一项得</w:t>
            </w:r>
            <w:r>
              <w:rPr>
                <w:rFonts w:hint="eastAsia" w:ascii="宋体" w:hAnsi="宋体" w:eastAsia="宋体" w:cs="宋体"/>
                <w:sz w:val="21"/>
                <w:szCs w:val="21"/>
                <w:highlight w:val="none"/>
                <w:lang w:val="en-US" w:eastAsia="zh-CN" w:bidi="ar"/>
              </w:rPr>
              <w:t xml:space="preserve">1</w:t>
            </w:r>
            <w:r>
              <w:rPr>
                <w:rFonts w:hint="eastAsia" w:ascii="宋体" w:hAnsi="宋体" w:eastAsia="宋体" w:cs="宋体"/>
                <w:sz w:val="21"/>
                <w:szCs w:val="21"/>
                <w:highlight w:val="none"/>
                <w:lang w:bidi="ar"/>
              </w:rPr>
              <w:t xml:space="preserve">分；缺少内容，或内容明显错误，或内容非专门针对本项目，或内容不能满足本项目实际需求的，不得分。</w:t>
            </w:r>
            <w:r>
              <w:rPr>
                <w:rFonts w:hint="eastAsia" w:ascii="宋体" w:hAnsi="宋体" w:eastAsia="宋体" w:cs="宋体"/>
                <w:sz w:val="21"/>
                <w:szCs w:val="21"/>
                <w:highlight w:val="none"/>
                <w:lang w:bidi="ar"/>
              </w:rPr>
            </w:r>
            <w:r/>
          </w:p>
        </w:tc>
        <w:tc>
          <w:tcPr>
            <w:tcW w:w="460" w:type="dxa"/>
            <w:vAlign w:val="center"/>
            <w:textDirection w:val="lrTb"/>
            <w:noWrap w:val="false"/>
          </w:tcPr>
          <w:p>
            <w:pPr>
              <w:pStyle w:val="953"/>
              <w:ind w:left="0"/>
              <w:jc w:val="center"/>
              <w:widowControl w:val="off"/>
              <w:rPr>
                <w:rFonts w:hint="eastAsia" w:ascii="宋体" w:hAnsi="宋体" w:eastAsia="宋体" w:cs="宋体"/>
                <w:sz w:val="21"/>
                <w:szCs w:val="21"/>
                <w:highlight w:val="none"/>
                <w:lang w:val="en-US" w:eastAsia="zh-CN"/>
              </w:rPr>
              <w:framePr w:vAnchor="margin" w:hAnchor="page" w:xAlign="center" w:y="1"/>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lang w:val="en-US" w:eastAsia="zh-CN"/>
              </w:rPr>
            </w:r>
            <w:r/>
          </w:p>
        </w:tc>
      </w:tr>
      <w:tr>
        <w:trPr>
          <w:trHeight w:val="2145"/>
        </w:trPr>
        <w:tc>
          <w:tcPr>
            <w:tcW w:w="463" w:type="dxa"/>
            <w:vAlign w:val="center"/>
            <w:vMerge w:val="continue"/>
            <w:textDirection w:val="lrTb"/>
            <w:noWrap w:val="false"/>
          </w:tcPr>
          <w:p>
            <w:pPr>
              <w:pStyle w:val="953"/>
              <w:ind w:left="0"/>
              <w:jc w:val="center"/>
              <w:widowControl w:val="off"/>
              <w:rPr>
                <w:rFonts w:hint="eastAsia" w:ascii="宋体" w:hAnsi="宋体" w:eastAsia="宋体" w:cs="宋体"/>
                <w:b/>
                <w:bCs/>
                <w:sz w:val="21"/>
                <w:szCs w:val="21"/>
                <w:highlight w:val="none"/>
              </w:rPr>
              <w:framePr w:vAnchor="margin" w:hAnchor="page" w:xAlign="center" w:y="1"/>
            </w:pPr>
            <w:r>
              <w:rPr>
                <w:rFonts w:hint="eastAsia" w:ascii="宋体" w:hAnsi="宋体" w:eastAsia="宋体" w:cs="宋体"/>
                <w:b/>
                <w:bCs/>
                <w:sz w:val="21"/>
                <w:szCs w:val="21"/>
                <w:highlight w:val="none"/>
              </w:rPr>
            </w:r>
            <w:r/>
          </w:p>
        </w:tc>
        <w:tc>
          <w:tcPr>
            <w:tcW w:w="613" w:type="dxa"/>
            <w:vAlign w:val="center"/>
            <w:vMerge w:val="continue"/>
            <w:textDirection w:val="lrTb"/>
            <w:noWrap w:val="false"/>
          </w:tcPr>
          <w:p>
            <w:pPr>
              <w:pStyle w:val="953"/>
              <w:ind w:left="0"/>
              <w:jc w:val="center"/>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r>
            <w:r/>
          </w:p>
        </w:tc>
        <w:tc>
          <w:tcPr>
            <w:tcW w:w="3462" w:type="dxa"/>
            <w:vAlign w:val="center"/>
            <w:textDirection w:val="lrTb"/>
            <w:noWrap w:val="false"/>
          </w:tcPr>
          <w:p>
            <w:pPr>
              <w:pStyle w:val="953"/>
              <w:ind w:left="0"/>
              <w:widowControl w:val="off"/>
              <w:rPr>
                <w:rFonts w:hint="eastAsia" w:ascii="宋体" w:hAnsi="宋体" w:eastAsia="宋体" w:cs="宋体"/>
                <w:sz w:val="21"/>
                <w:szCs w:val="21"/>
                <w:highlight w:val="none"/>
                <w:lang w:eastAsia="zh-CN" w:bidi="ar"/>
              </w:rPr>
              <w:framePr w:vAnchor="margin" w:hAnchor="page" w:xAlign="center" w:y="1"/>
            </w:pPr>
            <w:r>
              <w:rPr>
                <w:rFonts w:hint="eastAsia" w:ascii="宋体" w:hAnsi="宋体" w:eastAsia="宋体" w:cs="宋体"/>
                <w:sz w:val="21"/>
                <w:szCs w:val="21"/>
                <w:highlight w:val="none"/>
                <w:lang w:eastAsia="zh-CN" w:bidi="ar"/>
              </w:rPr>
              <w:t xml:space="preserve">人工智能赋能财会监督检查的应用方案，任选一个方向（如城市管理、民生保障、基建项目等）编制应用场景、工作目标、工作策略及具体举措（总分</w:t>
            </w:r>
            <w:r>
              <w:rPr>
                <w:rFonts w:hint="eastAsia" w:ascii="宋体" w:hAnsi="宋体" w:eastAsia="宋体" w:cs="宋体"/>
                <w:sz w:val="21"/>
                <w:szCs w:val="21"/>
                <w:highlight w:val="none"/>
                <w:lang w:val="en-US" w:eastAsia="zh-CN" w:bidi="ar"/>
              </w:rPr>
              <w:t xml:space="preserve">3分，每项1分</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953"/>
              <w:ind w:left="0"/>
              <w:widowControl w:val="off"/>
              <w:rPr>
                <w:rFonts w:hint="eastAsia" w:ascii="宋体" w:hAnsi="宋体" w:eastAsia="宋体" w:cs="宋体"/>
                <w:sz w:val="21"/>
                <w:szCs w:val="21"/>
                <w:highlight w:val="none"/>
                <w:lang w:bidi="ar"/>
              </w:rPr>
              <w:framePr w:vAnchor="margin" w:hAnchor="page" w:xAlign="center" w:y="1"/>
            </w:pPr>
            <w:r>
              <w:rPr>
                <w:rFonts w:hint="eastAsia" w:ascii="宋体" w:hAnsi="宋体" w:eastAsia="宋体" w:cs="宋体"/>
                <w:sz w:val="21"/>
                <w:szCs w:val="21"/>
                <w:highlight w:val="none"/>
                <w:lang w:eastAsia="zh-CN" w:bidi="ar"/>
              </w:rPr>
              <w:t xml:space="preserve">应用场景、工作目标、工作策略及具体举措内容详细且有针对性的，每有一项得</w:t>
            </w:r>
            <w:r>
              <w:rPr>
                <w:rFonts w:hint="eastAsia" w:ascii="宋体" w:hAnsi="宋体" w:eastAsia="宋体" w:cs="宋体"/>
                <w:sz w:val="21"/>
                <w:szCs w:val="21"/>
                <w:highlight w:val="none"/>
                <w:lang w:val="en-US" w:eastAsia="zh-CN" w:bidi="ar"/>
              </w:rPr>
              <w:t xml:space="preserve">1分；缺少具体内容，</w:t>
            </w:r>
            <w:r>
              <w:rPr>
                <w:rFonts w:hint="eastAsia" w:ascii="宋体" w:hAnsi="宋体" w:eastAsia="宋体" w:cs="宋体"/>
                <w:sz w:val="21"/>
                <w:szCs w:val="21"/>
                <w:highlight w:val="none"/>
                <w:lang w:eastAsia="zh-CN" w:bidi="ar"/>
              </w:rPr>
              <w:t xml:space="preserve">或内容明显错误，或内容非专门针对本项目，或内容不能满足本项目实际需求的，不得分。</w:t>
            </w:r>
            <w:r>
              <w:rPr>
                <w:rFonts w:hint="eastAsia" w:ascii="宋体" w:hAnsi="宋体" w:eastAsia="宋体" w:cs="宋体"/>
                <w:sz w:val="21"/>
                <w:szCs w:val="21"/>
                <w:highlight w:val="none"/>
                <w:lang w:bidi="ar"/>
              </w:rPr>
            </w:r>
            <w:r/>
          </w:p>
        </w:tc>
        <w:tc>
          <w:tcPr>
            <w:tcW w:w="460" w:type="dxa"/>
            <w:vAlign w:val="center"/>
            <w:textDirection w:val="lrTb"/>
            <w:noWrap w:val="false"/>
          </w:tcPr>
          <w:p>
            <w:pPr>
              <w:pStyle w:val="953"/>
              <w:ind w:left="0"/>
              <w:jc w:val="center"/>
              <w:widowControl w:val="off"/>
              <w:rPr>
                <w:rFonts w:hint="eastAsia" w:ascii="宋体" w:hAnsi="宋体" w:eastAsia="宋体" w:cs="宋体"/>
                <w:sz w:val="21"/>
                <w:szCs w:val="21"/>
                <w:highlight w:val="none"/>
                <w:lang w:val="en-US" w:eastAsia="zh-CN"/>
              </w:rPr>
              <w:framePr w:vAnchor="margin" w:hAnchor="page" w:xAlign="center" w:y="1"/>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r>
            <w:r/>
          </w:p>
        </w:tc>
      </w:tr>
      <w:tr>
        <w:trPr>
          <w:trHeight w:val="811"/>
        </w:trPr>
        <w:tc>
          <w:tcPr>
            <w:tcW w:w="463" w:type="dxa"/>
            <w:vAlign w:val="center"/>
            <w:vMerge w:val="continue"/>
            <w:textDirection w:val="lrTb"/>
            <w:noWrap w:val="false"/>
          </w:tcPr>
          <w:p>
            <w:pPr>
              <w:pStyle w:val="953"/>
              <w:ind w:left="0"/>
              <w:jc w:val="center"/>
              <w:widowControl w:val="off"/>
              <w:rPr>
                <w:rFonts w:hint="eastAsia" w:ascii="宋体" w:hAnsi="宋体" w:eastAsia="宋体" w:cs="宋体"/>
                <w:b/>
                <w:bCs/>
                <w:sz w:val="21"/>
                <w:szCs w:val="21"/>
                <w:highlight w:val="none"/>
              </w:rPr>
              <w:framePr w:vAnchor="margin" w:hAnchor="page" w:xAlign="center" w:y="1"/>
            </w:pPr>
            <w:r>
              <w:rPr>
                <w:rFonts w:hint="eastAsia" w:ascii="宋体" w:hAnsi="宋体" w:eastAsia="宋体" w:cs="宋体"/>
                <w:b/>
                <w:bCs/>
                <w:sz w:val="21"/>
                <w:szCs w:val="21"/>
                <w:highlight w:val="none"/>
              </w:rPr>
            </w:r>
            <w:r/>
          </w:p>
        </w:tc>
        <w:tc>
          <w:tcPr>
            <w:tcW w:w="613" w:type="dxa"/>
            <w:vAlign w:val="center"/>
            <w:textDirection w:val="lrTb"/>
            <w:noWrap w:val="false"/>
          </w:tcPr>
          <w:p>
            <w:pPr>
              <w:pStyle w:val="953"/>
              <w:ind w:left="0"/>
              <w:jc w:val="center"/>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lang w:eastAsia="zh-CN"/>
              </w:rPr>
              <w:t xml:space="preserve">质量控制</w:t>
            </w:r>
            <w:r>
              <w:rPr>
                <w:rFonts w:hint="eastAsia" w:ascii="宋体" w:hAnsi="宋体" w:eastAsia="宋体" w:cs="宋体"/>
                <w:sz w:val="21"/>
                <w:szCs w:val="21"/>
                <w:highlight w:val="none"/>
              </w:rPr>
            </w:r>
            <w:r/>
          </w:p>
        </w:tc>
        <w:tc>
          <w:tcPr>
            <w:tcW w:w="3462" w:type="dxa"/>
            <w:vAlign w:val="center"/>
            <w:textDirection w:val="lrTb"/>
            <w:noWrap w:val="false"/>
          </w:tcPr>
          <w:p>
            <w:pPr>
              <w:pStyle w:val="953"/>
              <w:ind w:left="0"/>
              <w:widowControl w:val="off"/>
              <w:rPr>
                <w:rFonts w:hint="eastAsia" w:ascii="宋体" w:hAnsi="宋体" w:eastAsia="宋体" w:cs="宋体"/>
                <w:sz w:val="21"/>
                <w:szCs w:val="21"/>
                <w:highlight w:val="none"/>
                <w:lang w:val="en-US" w:eastAsia="zh-CN" w:bidi="ar"/>
              </w:rPr>
              <w:framePr w:vAnchor="margin" w:hAnchor="page" w:xAlign="center" w:y="1"/>
            </w:pPr>
            <w:r>
              <w:rPr>
                <w:rFonts w:hint="eastAsia" w:ascii="宋体" w:hAnsi="宋体" w:eastAsia="宋体" w:cs="宋体"/>
                <w:sz w:val="21"/>
                <w:szCs w:val="21"/>
                <w:highlight w:val="none"/>
                <w:lang w:val="en-US" w:eastAsia="zh-CN" w:bidi="ar"/>
              </w:rPr>
              <w:t xml:space="preserve">质量控制情况（6分）：（1）具备设置实施质量控制的机构或专门指定的人员；（2）具备按照审计质量控制准则的要求制定专门的质量控制制度。（总分6分，每项3分）</w:t>
            </w:r>
            <w:r>
              <w:rPr>
                <w:rFonts w:hint="eastAsia" w:ascii="宋体" w:hAnsi="宋体" w:eastAsia="宋体" w:cs="宋体"/>
                <w:sz w:val="21"/>
                <w:szCs w:val="21"/>
                <w:highlight w:val="none"/>
                <w:lang w:val="en-US" w:eastAsia="zh-CN" w:bidi="ar"/>
              </w:rPr>
            </w:r>
            <w:r/>
          </w:p>
          <w:p>
            <w:pPr>
              <w:pStyle w:val="953"/>
              <w:ind w:left="0"/>
              <w:widowControl w:val="off"/>
              <w:rPr>
                <w:rFonts w:hint="eastAsia" w:ascii="宋体" w:hAnsi="宋体" w:eastAsia="宋体" w:cs="宋体"/>
                <w:sz w:val="21"/>
                <w:szCs w:val="21"/>
                <w:highlight w:val="none"/>
                <w:lang w:bidi="ar"/>
              </w:rPr>
              <w:framePr w:vAnchor="margin" w:hAnchor="page" w:xAlign="center" w:y="1"/>
            </w:pPr>
            <w:r>
              <w:rPr>
                <w:rFonts w:hint="eastAsia" w:ascii="宋体" w:hAnsi="宋体" w:eastAsia="宋体" w:cs="宋体"/>
                <w:sz w:val="21"/>
                <w:szCs w:val="21"/>
                <w:highlight w:val="none"/>
                <w:lang w:val="en-US" w:eastAsia="zh-CN" w:bidi="ar"/>
              </w:rPr>
              <w:t xml:space="preserve">质量控制机构或专门人员设置完整明确、质量控制制度全面详细，有针对性，每有一项得3分。质量控制机构或专门人员设置不明确，质量控制制度不全面，缺少复核政策和程序、监控政策和程序等，每有一项得1分；缺少具体内容，或内容明显错误，或内容非专门针对本项目，或内容不能满足本项目实际需求的，不得分。</w:t>
            </w:r>
            <w:r>
              <w:rPr>
                <w:rFonts w:hint="eastAsia" w:ascii="宋体" w:hAnsi="宋体" w:eastAsia="宋体" w:cs="宋体"/>
                <w:sz w:val="21"/>
                <w:szCs w:val="21"/>
                <w:highlight w:val="none"/>
                <w:lang w:bidi="ar"/>
              </w:rPr>
            </w:r>
            <w:r/>
          </w:p>
        </w:tc>
        <w:tc>
          <w:tcPr>
            <w:tcW w:w="460" w:type="dxa"/>
            <w:vAlign w:val="center"/>
            <w:textDirection w:val="lrTb"/>
            <w:noWrap w:val="false"/>
          </w:tcPr>
          <w:p>
            <w:pPr>
              <w:pStyle w:val="953"/>
              <w:ind w:left="0"/>
              <w:jc w:val="center"/>
              <w:widowControl w:val="off"/>
              <w:rPr>
                <w:rFonts w:hint="eastAsia" w:ascii="宋体" w:hAnsi="宋体" w:eastAsia="宋体" w:cs="宋体"/>
                <w:sz w:val="21"/>
                <w:szCs w:val="21"/>
                <w:highlight w:val="none"/>
                <w:lang w:val="en-US" w:eastAsia="zh-CN"/>
              </w:rPr>
              <w:framePr w:vAnchor="margin" w:hAnchor="page" w:xAlign="center" w:y="1"/>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r>
            <w:r/>
          </w:p>
        </w:tc>
      </w:tr>
      <w:tr>
        <w:trPr>
          <w:trHeight w:val="2093"/>
        </w:trPr>
        <w:tc>
          <w:tcPr>
            <w:tcW w:w="463" w:type="dxa"/>
            <w:vAlign w:val="center"/>
            <w:vMerge w:val="continue"/>
            <w:textDirection w:val="lrTb"/>
            <w:noWrap w:val="false"/>
          </w:tcPr>
          <w:p>
            <w:pPr>
              <w:pStyle w:val="953"/>
              <w:ind w:left="0"/>
              <w:jc w:val="center"/>
              <w:widowControl w:val="off"/>
              <w:rPr>
                <w:rFonts w:hint="eastAsia" w:ascii="宋体" w:hAnsi="宋体" w:eastAsia="宋体" w:cs="宋体"/>
                <w:b/>
                <w:bCs/>
                <w:sz w:val="21"/>
                <w:szCs w:val="21"/>
                <w:highlight w:val="none"/>
              </w:rPr>
              <w:framePr w:vAnchor="margin" w:hAnchor="page" w:xAlign="center" w:y="1"/>
            </w:pPr>
            <w:r>
              <w:rPr>
                <w:rFonts w:hint="eastAsia" w:ascii="宋体" w:hAnsi="宋体" w:eastAsia="宋体" w:cs="宋体"/>
                <w:b/>
                <w:bCs/>
                <w:sz w:val="21"/>
                <w:szCs w:val="21"/>
                <w:highlight w:val="none"/>
              </w:rPr>
            </w:r>
            <w:r/>
          </w:p>
        </w:tc>
        <w:tc>
          <w:tcPr>
            <w:tcW w:w="613" w:type="dxa"/>
            <w:vAlign w:val="center"/>
            <w:textDirection w:val="lrTb"/>
            <w:noWrap w:val="false"/>
          </w:tcPr>
          <w:p>
            <w:pPr>
              <w:pStyle w:val="953"/>
              <w:ind w:left="0"/>
              <w:jc w:val="center"/>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lang w:eastAsia="zh-CN"/>
              </w:rPr>
              <w:t xml:space="preserve">应急保障</w:t>
            </w:r>
            <w:r>
              <w:rPr>
                <w:rFonts w:hint="eastAsia" w:ascii="宋体" w:hAnsi="宋体" w:eastAsia="宋体" w:cs="宋体"/>
                <w:sz w:val="21"/>
                <w:szCs w:val="21"/>
                <w:highlight w:val="none"/>
              </w:rPr>
            </w:r>
            <w:r/>
          </w:p>
        </w:tc>
        <w:tc>
          <w:tcPr>
            <w:tcW w:w="3462" w:type="dxa"/>
            <w:vAlign w:val="center"/>
            <w:textDirection w:val="lrTb"/>
            <w:noWrap w:val="false"/>
          </w:tcPr>
          <w:p>
            <w:pPr>
              <w:pStyle w:val="953"/>
              <w:ind w:left="0"/>
              <w:widowControl w:val="off"/>
              <w:rPr>
                <w:rFonts w:hint="eastAsia" w:ascii="宋体" w:hAnsi="宋体" w:eastAsia="宋体" w:cs="宋体"/>
                <w:sz w:val="21"/>
                <w:szCs w:val="21"/>
                <w:highlight w:val="none"/>
                <w:lang w:bidi="ar"/>
              </w:rPr>
              <w:framePr w:vAnchor="margin" w:hAnchor="page" w:xAlign="center" w:y="1"/>
            </w:pPr>
            <w:r>
              <w:rPr>
                <w:rFonts w:hint="eastAsia" w:ascii="宋体" w:hAnsi="宋体" w:eastAsia="宋体" w:cs="宋体"/>
                <w:sz w:val="21"/>
                <w:szCs w:val="21"/>
                <w:highlight w:val="none"/>
                <w:lang w:val="en-US" w:eastAsia="zh-CN" w:bidi="ar"/>
              </w:rPr>
              <w:t xml:space="preserve">供应商需根据采购需求，编制可行的应急保障及响应方案（3分）：（1）如发生省内异地审计情形；（2）如项目组负责人变动情形；（3）如多个项目同时进场情形。方案内容有详细的预案并有详细的明确保障和服务响应方案，每有一项得1分；缺少具体内容，或内容明显错误，或内容非专门针对本项目，或内容不能满足本项目实际需求的，不得分。</w:t>
            </w:r>
            <w:r>
              <w:rPr>
                <w:rFonts w:hint="eastAsia" w:ascii="宋体" w:hAnsi="宋体" w:eastAsia="宋体" w:cs="宋体"/>
                <w:sz w:val="21"/>
                <w:szCs w:val="21"/>
                <w:highlight w:val="none"/>
                <w:lang w:bidi="ar"/>
              </w:rPr>
            </w:r>
            <w:r/>
          </w:p>
        </w:tc>
        <w:tc>
          <w:tcPr>
            <w:tcW w:w="460" w:type="dxa"/>
            <w:vAlign w:val="center"/>
            <w:textDirection w:val="lrTb"/>
            <w:noWrap w:val="false"/>
          </w:tcPr>
          <w:p>
            <w:pPr>
              <w:pStyle w:val="953"/>
              <w:ind w:left="0"/>
              <w:jc w:val="center"/>
              <w:widowControl w:val="off"/>
              <w:rPr>
                <w:rFonts w:hint="eastAsia" w:ascii="宋体" w:hAnsi="宋体" w:eastAsia="宋体" w:cs="宋体"/>
                <w:sz w:val="21"/>
                <w:szCs w:val="21"/>
                <w:highlight w:val="none"/>
                <w:lang w:val="en-US" w:eastAsia="zh-CN"/>
              </w:rPr>
              <w:framePr w:vAnchor="margin" w:hAnchor="page" w:xAlign="center" w:y="1"/>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r>
            <w:r/>
          </w:p>
        </w:tc>
      </w:tr>
    </w:tbl>
    <w:p>
      <w:pPr>
        <w:pStyle w:val="953"/>
        <w:ind w:left="0" w:firstLine="422"/>
        <w:spacing w:line="360" w:lineRule="auto"/>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t xml:space="preserve">备注：表格中▲为客观分。</w:t>
      </w:r>
      <w:r>
        <w:rPr>
          <w:rFonts w:hint="eastAsia" w:ascii="宋体" w:hAnsi="宋体" w:eastAsia="宋体" w:cs="宋体"/>
          <w:b/>
          <w:sz w:val="21"/>
          <w:szCs w:val="21"/>
          <w:highlight w:val="none"/>
          <w:lang w:bidi="ar"/>
        </w:rPr>
      </w:r>
      <w:r/>
    </w:p>
    <w:p>
      <w:pPr>
        <w:pStyle w:val="953"/>
        <w:ind w:firstLine="480"/>
        <w:jc w:val="left"/>
        <w:spacing w:line="400" w:lineRule="exact"/>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953"/>
        <w:ind w:firstLine="48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说明</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rPr>
      </w:r>
      <w:r/>
    </w:p>
    <w:p>
      <w:pPr>
        <w:pStyle w:val="953"/>
        <w:ind w:firstLine="48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1.针对评分标准中评分的每一条，响应人均应提供相关资料并作出相应说明供评委评判，不提供相关资料的视为不具备该项得分的条件。</w:t>
      </w:r>
      <w:r>
        <w:rPr>
          <w:rFonts w:hint="eastAsia" w:ascii="宋体" w:hAnsi="宋体" w:eastAsia="宋体" w:cs="宋体"/>
          <w:bCs/>
          <w:sz w:val="21"/>
          <w:szCs w:val="21"/>
          <w:highlight w:val="none"/>
        </w:rPr>
      </w:r>
      <w:r/>
    </w:p>
    <w:p>
      <w:pPr>
        <w:pStyle w:val="953"/>
        <w:ind w:firstLine="48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2.响应文件中如出现前后不一致时，评委有权请响应人澄清说明，澄清说明事项涉及评分时，评委有权酌情扣分。</w:t>
      </w:r>
      <w:r>
        <w:rPr>
          <w:rFonts w:hint="eastAsia" w:ascii="宋体" w:hAnsi="宋体" w:eastAsia="宋体" w:cs="宋体"/>
          <w:bCs/>
          <w:sz w:val="21"/>
          <w:szCs w:val="21"/>
          <w:highlight w:val="none"/>
        </w:rPr>
      </w:r>
      <w:r/>
    </w:p>
    <w:p>
      <w:pPr>
        <w:pStyle w:val="953"/>
        <w:ind w:firstLine="48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响应人必须保证全部响应资料的真实性，如有虚假或对采购文件所要求说明的情况故意隐瞒或虚报，视为不实质性响应采购文件，为无效响应，已成交的将取消成交资格，按“提供虚假材料谋取成交”相关处理办。</w:t>
      </w:r>
      <w:r>
        <w:rPr>
          <w:rFonts w:hint="eastAsia" w:ascii="宋体" w:hAnsi="宋体" w:eastAsia="宋体" w:cs="宋体"/>
          <w:bCs/>
          <w:sz w:val="21"/>
          <w:szCs w:val="21"/>
          <w:highlight w:val="none"/>
        </w:rPr>
      </w:r>
      <w:r/>
    </w:p>
    <w:p>
      <w:pPr>
        <w:pStyle w:val="953"/>
        <w:jc w:val="center"/>
        <w:spacing w:line="360" w:lineRule="auto"/>
        <w:rPr>
          <w:rFonts w:ascii="宋体" w:hAnsi="宋体" w:eastAsia="宋体" w:cs="宋体"/>
          <w:sz w:val="24"/>
          <w:szCs w:val="22"/>
          <w:highlight w:val="none"/>
        </w:rPr>
      </w:pPr>
      <w:r>
        <w:rPr>
          <w:rFonts w:ascii="宋体" w:hAnsi="宋体" w:eastAsia="宋体" w:cs="宋体"/>
          <w:sz w:val="24"/>
          <w:szCs w:val="22"/>
          <w:highlight w:val="none"/>
        </w:rPr>
      </w:r>
      <w:r/>
    </w:p>
    <w:sectPr>
      <w:headerReference w:type="default" r:id="rId10"/>
      <w:headerReference w:type="even" r:id="rId11"/>
      <w:footerReference w:type="default" r:id="rId14"/>
      <w:footerReference w:type="even" r:id="rId15"/>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仿宋">
    <w:panose1 w:val="02010609060101010101"/>
  </w:font>
  <w:font w:name="Calibri">
    <w:panose1 w:val="020F0502020204030204"/>
  </w:font>
  <w:font w:name="Courier New">
    <w:panose1 w:val="02070309020205020404"/>
  </w:font>
  <w:font w:name="楷体_GB2312">
    <w:panose1 w:val="02010609060101010101"/>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left"/>
      <w:widowControl w:val="off"/>
      <w:tabs>
        <w:tab w:val="center" w:pos="4153" w:leader="none"/>
        <w:tab w:val="right" w:pos="8306" w:leader="none"/>
      </w:tabs>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53"/>
                            <w:jc w:val="left"/>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fldChar w:fldCharType="begin"/>
                          </w:r>
                          <w:r>
                            <w:rPr>
                              <w:rFonts w:ascii="Calibri" w:hAnsi="Calibri" w:eastAsia="宋体" w:cs="Times New Roman"/>
                              <w:sz w:val="18"/>
                              <w:szCs w:val="18"/>
                              <w:lang w:val="en-US" w:eastAsia="zh-CN" w:bidi="ar-SA"/>
                            </w:rPr>
                            <w:instrText xml:space="preserve"> PAGE  \* MERGEFORMAT </w:instrText>
                          </w:r>
                          <w:r>
                            <w:rPr>
                              <w:rFonts w:ascii="Calibri" w:hAnsi="Calibri" w:eastAsia="宋体" w:cs="Times New Roman"/>
                              <w:sz w:val="18"/>
                              <w:szCs w:val="18"/>
                              <w:lang w:val="en-US" w:eastAsia="zh-CN" w:bidi="ar-SA"/>
                            </w:rPr>
                            <w:fldChar w:fldCharType="separate"/>
                          </w:r>
                          <w:r>
                            <w:rPr>
                              <w:rFonts w:ascii="Calibri" w:hAnsi="Calibri" w:eastAsia="宋体" w:cs="Times New Roman"/>
                              <w:sz w:val="18"/>
                              <w:szCs w:val="18"/>
                              <w:lang w:val="en-US" w:eastAsia="zh-CN" w:bidi="ar-SA"/>
                            </w:rPr>
                            <w:t xml:space="preserve">52</w:t>
                          </w:r>
                          <w:r>
                            <w:rPr>
                              <w:rFonts w:ascii="Calibri" w:hAnsi="Calibri" w:eastAsia="宋体" w:cs="Times New Roman"/>
                              <w:sz w:val="18"/>
                              <w:szCs w:val="18"/>
                              <w:lang w:val="en-US" w:eastAsia="zh-CN" w:bidi="ar-SA"/>
                            </w:rPr>
                            <w:fldChar w:fldCharType="end"/>
                          </w:r>
                          <w:r>
                            <w:rPr>
                              <w:rFonts w:ascii="Calibri" w:hAnsi="Calibri" w:eastAsia="宋体" w:cs="Times New Roman"/>
                              <w:sz w:val="18"/>
                              <w:szCs w:val="18"/>
                              <w:lang w:val="en-US" w:eastAsia="zh-CN" w:bidi="ar-SA"/>
                            </w:rPr>
                          </w:r>
                          <w:r/>
                        </w:p>
                        <w:p>
                          <w:pPr>
                            <w:pStyle w:val="95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3"/>
                      <w:jc w:val="left"/>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fldChar w:fldCharType="begin"/>
                    </w:r>
                    <w:r>
                      <w:rPr>
                        <w:rFonts w:ascii="Calibri" w:hAnsi="Calibri" w:eastAsia="宋体" w:cs="Times New Roman"/>
                        <w:sz w:val="18"/>
                        <w:szCs w:val="18"/>
                        <w:lang w:val="en-US" w:eastAsia="zh-CN" w:bidi="ar-SA"/>
                      </w:rPr>
                      <w:instrText xml:space="preserve"> PAGE  \* MERGEFORMAT </w:instrText>
                    </w:r>
                    <w:r>
                      <w:rPr>
                        <w:rFonts w:ascii="Calibri" w:hAnsi="Calibri" w:eastAsia="宋体" w:cs="Times New Roman"/>
                        <w:sz w:val="18"/>
                        <w:szCs w:val="18"/>
                        <w:lang w:val="en-US" w:eastAsia="zh-CN" w:bidi="ar-SA"/>
                      </w:rPr>
                      <w:fldChar w:fldCharType="separate"/>
                    </w:r>
                    <w:r>
                      <w:rPr>
                        <w:rFonts w:ascii="Calibri" w:hAnsi="Calibri" w:eastAsia="宋体" w:cs="Times New Roman"/>
                        <w:sz w:val="18"/>
                        <w:szCs w:val="18"/>
                        <w:lang w:val="en-US" w:eastAsia="zh-CN" w:bidi="ar-SA"/>
                      </w:rPr>
                      <w:t xml:space="preserve">52</w:t>
                    </w:r>
                    <w:r>
                      <w:rPr>
                        <w:rFonts w:ascii="Calibri" w:hAnsi="Calibri" w:eastAsia="宋体" w:cs="Times New Roman"/>
                        <w:sz w:val="18"/>
                        <w:szCs w:val="18"/>
                        <w:lang w:val="en-US" w:eastAsia="zh-CN" w:bidi="ar-SA"/>
                      </w:rPr>
                      <w:fldChar w:fldCharType="end"/>
                    </w:r>
                    <w:r>
                      <w:rPr>
                        <w:rFonts w:ascii="Calibri" w:hAnsi="Calibri" w:eastAsia="宋体" w:cs="Times New Roman"/>
                        <w:sz w:val="18"/>
                        <w:szCs w:val="18"/>
                        <w:lang w:val="en-US" w:eastAsia="zh-CN" w:bidi="ar-SA"/>
                      </w:rPr>
                    </w:r>
                    <w:r/>
                  </w:p>
                  <w:p>
                    <w:pPr>
                      <w:pStyle w:val="953"/>
                    </w:pPr>
                    <w:r/>
                    <w:r/>
                  </w:p>
                </w:txbxContent>
              </v:textbox>
            </v:shape>
          </w:pict>
        </mc:Fallback>
      </mc:AlternateContent>
    </w:r>
    <w:r>
      <w:rPr>
        <w:rFonts w:ascii="Calibri" w:hAnsi="Calibri"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p>
  <w:p>
    <w:pPr>
      <w:pStyle w:val="1009"/>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tabs>
        <w:tab w:val="center" w:pos="4153" w:leader="none"/>
        <w:tab w:val="right" w:pos="8306" w:leader="none"/>
      </w:tabs>
      <w:rPr>
        <w:rStyle w:val="1043"/>
      </w:rPr>
      <w:framePr w:wrap="around" w:vAnchor="text" w:hAnchor="margin" w:xAlign="center" w:y="1"/>
    </w:pPr>
    <w:r>
      <w:fldChar w:fldCharType="begin"/>
    </w:r>
    <w:r>
      <w:rPr>
        <w:rStyle w:val="1043"/>
      </w:rPr>
      <w:instrText xml:space="preserve">PAGE  </w:instrText>
    </w:r>
    <w:r>
      <w:fldChar w:fldCharType="end"/>
    </w:r>
    <w:r>
      <w:rPr>
        <w:rStyle w:val="1043"/>
      </w:rPr>
    </w:r>
    <w:r/>
  </w:p>
  <w:p>
    <w:pPr>
      <w:pStyle w:val="100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018"/>
        <w:spacing w:before="156" w:after="156"/>
        <w:tabs>
          <w:tab w:val="left" w:pos="1134" w:leader="none"/>
        </w:tabs>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widowControl w:val="off"/>
      <w:tabs>
        <w:tab w:val="center" w:pos="4153" w:leader="none"/>
        <w:tab w:val="right" w:pos="8306" w:leader="none"/>
      </w:tabs>
      <w:rPr>
        <w:rFonts w:ascii="宋体" w:hAnsi="宋体" w:eastAsia="宋体" w:cs="Times New Roman"/>
        <w:color w:val="808080"/>
        <w:spacing w:val="6"/>
        <w:sz w:val="21"/>
        <w:szCs w:val="18"/>
        <w:lang w:val="en-US" w:eastAsia="zh-CN" w:bidi="ar-SA"/>
      </w:rPr>
      <w:pBdr>
        <w:bottom w:val="none" w:color="000000" w:sz="0" w:space="1"/>
      </w:pBdr>
    </w:pPr>
    <w:r>
      <w:rPr>
        <w:rFonts w:hint="eastAsia" w:ascii="宋体" w:hAnsi="宋体" w:eastAsia="宋体" w:cs="Times New Roman"/>
        <w:bCs/>
        <w:color w:val="808080"/>
        <w:spacing w:val="6"/>
        <w:sz w:val="18"/>
        <w:szCs w:val="18"/>
        <w:lang w:val="en-US" w:eastAsia="zh-CN" w:bidi="ar-SA"/>
      </w:rPr>
      <w:footnoteRef/>
      <w:t xml:space="preserve">                                     </w:t>
    </w:r>
    <w:r>
      <w:rPr>
        <w:rFonts w:ascii="宋体" w:hAnsi="宋体" w:eastAsia="宋体" w:cs="Times New Roman"/>
        <w:color w:val="808080"/>
        <w:spacing w:val="6"/>
        <w:sz w:val="21"/>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right="360"/>
      <w:jc w:val="both"/>
      <w:tabs>
        <w:tab w:val="center" w:pos="4153" w:leader="none"/>
        <w:tab w:val="right" w:pos="8306" w:leader="none"/>
      </w:tabs>
      <w:rPr>
        <w:rFonts w:hint="eastAsia"/>
      </w:rPr>
      <w:pBdr>
        <w:bottom w:val="none" w:color="000000" w:sz="0" w:space="0"/>
      </w:pBd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tabs>
        <w:tab w:val="center" w:pos="4153" w:leader="none"/>
        <w:tab w:val="right" w:pos="8306" w:leader="none"/>
      </w:tabs>
      <w:rPr>
        <w:rStyle w:val="1043"/>
      </w:rPr>
      <w:framePr w:wrap="around" w:vAnchor="text" w:hAnchor="margin" w:xAlign="right" w:y="1"/>
    </w:pPr>
    <w:r>
      <w:fldChar w:fldCharType="begin"/>
    </w:r>
    <w:r>
      <w:rPr>
        <w:rStyle w:val="1043"/>
      </w:rPr>
      <w:instrText xml:space="preserve">PAGE  </w:instrText>
    </w:r>
    <w:r>
      <w:fldChar w:fldCharType="end"/>
    </w:r>
    <w:r>
      <w:rPr>
        <w:rStyle w:val="1043"/>
      </w:rPr>
    </w:r>
    <w:r/>
  </w:p>
  <w:p>
    <w:pPr>
      <w:pStyle w:val="1012"/>
      <w:ind w:right="36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82"/>
      <w:isLgl w:val="false"/>
      <w:suff w:val="tab"/>
      <w:lvlText w:val=""/>
      <w:lvlJc w:val="left"/>
      <w:pPr>
        <w:pStyle w:val="953"/>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53"/>
        <w:ind w:left="0" w:firstLine="0"/>
      </w:pPr>
      <w:rPr>
        <w:rFonts w:ascii="Times New Roman" w:hAnsi="Times New Roman"/>
        <w:b/>
        <w:i w:val="0"/>
        <w:sz w:val="21"/>
      </w:rPr>
    </w:lvl>
    <w:lvl w:ilvl="1">
      <w:start w:val="1"/>
      <w:numFmt w:val="decimal"/>
      <w:isLgl w:val="false"/>
      <w:suff w:val="nothing"/>
      <w:lvlText w:val="%1%2　"/>
      <w:lvlJc w:val="left"/>
      <w:pPr>
        <w:pStyle w:val="953"/>
        <w:ind w:left="360" w:firstLine="0"/>
      </w:pPr>
      <w:rPr>
        <w:rFonts w:hint="eastAsia" w:ascii="黑体" w:hAnsi="Times New Roman" w:eastAsia="黑体"/>
        <w:b w:val="0"/>
        <w:i w:val="0"/>
        <w:sz w:val="21"/>
      </w:rPr>
    </w:lvl>
    <w:lvl w:ilvl="2">
      <w:start w:val="1"/>
      <w:numFmt w:val="decimal"/>
      <w:isLgl w:val="false"/>
      <w:suff w:val="nothing"/>
      <w:lvlText w:val="%1%2.%3　"/>
      <w:lvlJc w:val="left"/>
      <w:pPr>
        <w:pStyle w:val="953"/>
        <w:ind w:left="0" w:firstLine="0"/>
      </w:pPr>
      <w:rPr>
        <w:rFonts w:hint="eastAsia" w:ascii="黑体" w:hAnsi="Times New Roman" w:eastAsia="黑体"/>
        <w:b w:val="0"/>
        <w:i w:val="0"/>
        <w:sz w:val="21"/>
      </w:rPr>
    </w:lvl>
    <w:lvl w:ilvl="3">
      <w:start w:val="1"/>
      <w:numFmt w:val="decimal"/>
      <w:pStyle w:val="993"/>
      <w:isLgl w:val="false"/>
      <w:suff w:val="nothing"/>
      <w:lvlText w:val="%1%2.%3.%4　"/>
      <w:lvlJc w:val="left"/>
      <w:pPr>
        <w:pStyle w:val="953"/>
        <w:ind w:left="540" w:firstLine="0"/>
      </w:pPr>
      <w:rPr>
        <w:rFonts w:hint="eastAsia" w:ascii="黑体" w:hAnsi="Times New Roman" w:eastAsia="黑体"/>
        <w:b w:val="0"/>
        <w:i w:val="0"/>
        <w:sz w:val="21"/>
      </w:rPr>
    </w:lvl>
    <w:lvl w:ilvl="4">
      <w:start w:val="1"/>
      <w:numFmt w:val="decimal"/>
      <w:pStyle w:val="992"/>
      <w:isLgl w:val="false"/>
      <w:suff w:val="nothing"/>
      <w:lvlText w:val="%1%2.%3.%4.%5　"/>
      <w:lvlJc w:val="left"/>
      <w:pPr>
        <w:pStyle w:val="953"/>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953"/>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953"/>
        <w:ind w:left="0" w:firstLine="0"/>
      </w:pPr>
      <w:rPr>
        <w:rFonts w:hint="eastAsia" w:ascii="黑体" w:hAnsi="Times New Roman" w:eastAsia="黑体"/>
        <w:b w:val="0"/>
        <w:i w:val="0"/>
        <w:sz w:val="21"/>
      </w:rPr>
    </w:lvl>
    <w:lvl w:ilvl="7">
      <w:start w:val="1"/>
      <w:numFmt w:val="decimal"/>
      <w:isLgl w:val="false"/>
      <w:suff w:val="tab"/>
      <w:lvlText w:val="%1.%2.%3.%4.%5.%6.%7.%8"/>
      <w:lvlJc w:val="left"/>
      <w:pPr>
        <w:pStyle w:val="953"/>
        <w:ind w:left="3969" w:hanging="1418"/>
        <w:tabs>
          <w:tab w:val="num" w:pos="4351" w:leader="none"/>
        </w:tabs>
      </w:pPr>
      <w:rPr>
        <w:rFonts w:hint="eastAsia"/>
      </w:rPr>
    </w:lvl>
    <w:lvl w:ilvl="8">
      <w:start w:val="1"/>
      <w:numFmt w:val="decimal"/>
      <w:isLgl w:val="false"/>
      <w:suff w:val="tab"/>
      <w:lvlText w:val="%1.%2.%3.%4.%5.%6.%7.%8.%9"/>
      <w:lvlJc w:val="left"/>
      <w:pPr>
        <w:pStyle w:val="953"/>
        <w:ind w:left="4677" w:hanging="1700"/>
        <w:tabs>
          <w:tab w:val="num" w:pos="4777" w:leader="none"/>
        </w:tabs>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name w:val="Heading 1"/>
    <w:basedOn w:val="953"/>
    <w:next w:val="953"/>
    <w:link w:val="778"/>
    <w:uiPriority w:val="9"/>
    <w:qFormat/>
    <w:pPr>
      <w:keepLines/>
      <w:keepNext/>
      <w:spacing w:before="480" w:after="200"/>
      <w:outlineLvl w:val="0"/>
    </w:pPr>
    <w:rPr>
      <w:rFonts w:ascii="Arial" w:hAnsi="Arial" w:eastAsia="Arial" w:cs="Arial"/>
      <w:sz w:val="40"/>
      <w:szCs w:val="40"/>
    </w:rPr>
  </w:style>
  <w:style w:type="character" w:styleId="778">
    <w:name w:val="Heading 1 Char"/>
    <w:link w:val="777"/>
    <w:uiPriority w:val="9"/>
    <w:rPr>
      <w:rFonts w:ascii="Arial" w:hAnsi="Arial" w:eastAsia="Arial" w:cs="Arial"/>
      <w:sz w:val="40"/>
      <w:szCs w:val="40"/>
    </w:rPr>
  </w:style>
  <w:style w:type="paragraph" w:styleId="779">
    <w:name w:val="Heading 2"/>
    <w:basedOn w:val="953"/>
    <w:next w:val="953"/>
    <w:link w:val="780"/>
    <w:uiPriority w:val="9"/>
    <w:unhideWhenUsed/>
    <w:qFormat/>
    <w:pPr>
      <w:keepLines/>
      <w:keepNext/>
      <w:spacing w:before="360" w:after="200"/>
      <w:outlineLvl w:val="1"/>
    </w:pPr>
    <w:rPr>
      <w:rFonts w:ascii="Arial" w:hAnsi="Arial" w:eastAsia="Arial" w:cs="Arial"/>
      <w:sz w:val="34"/>
    </w:rPr>
  </w:style>
  <w:style w:type="character" w:styleId="780">
    <w:name w:val="Heading 2 Char"/>
    <w:link w:val="779"/>
    <w:uiPriority w:val="9"/>
    <w:rPr>
      <w:rFonts w:ascii="Arial" w:hAnsi="Arial" w:eastAsia="Arial" w:cs="Arial"/>
      <w:sz w:val="34"/>
    </w:rPr>
  </w:style>
  <w:style w:type="paragraph" w:styleId="781">
    <w:name w:val="Heading 3"/>
    <w:basedOn w:val="953"/>
    <w:next w:val="953"/>
    <w:link w:val="782"/>
    <w:uiPriority w:val="9"/>
    <w:unhideWhenUsed/>
    <w:qFormat/>
    <w:pPr>
      <w:keepLines/>
      <w:keepNext/>
      <w:spacing w:before="320" w:after="200"/>
      <w:outlineLvl w:val="2"/>
    </w:pPr>
    <w:rPr>
      <w:rFonts w:ascii="Arial" w:hAnsi="Arial" w:eastAsia="Arial" w:cs="Arial"/>
      <w:sz w:val="30"/>
      <w:szCs w:val="30"/>
    </w:rPr>
  </w:style>
  <w:style w:type="character" w:styleId="782">
    <w:name w:val="Heading 3 Char"/>
    <w:link w:val="781"/>
    <w:uiPriority w:val="9"/>
    <w:rPr>
      <w:rFonts w:ascii="Arial" w:hAnsi="Arial" w:eastAsia="Arial" w:cs="Arial"/>
      <w:sz w:val="30"/>
      <w:szCs w:val="30"/>
    </w:rPr>
  </w:style>
  <w:style w:type="paragraph" w:styleId="783">
    <w:name w:val="Heading 4"/>
    <w:basedOn w:val="953"/>
    <w:next w:val="953"/>
    <w:link w:val="784"/>
    <w:uiPriority w:val="9"/>
    <w:unhideWhenUsed/>
    <w:qFormat/>
    <w:pPr>
      <w:keepLines/>
      <w:keepNext/>
      <w:spacing w:before="320" w:after="200"/>
      <w:outlineLvl w:val="3"/>
    </w:pPr>
    <w:rPr>
      <w:rFonts w:ascii="Arial" w:hAnsi="Arial" w:eastAsia="Arial" w:cs="Arial"/>
      <w:b/>
      <w:bCs/>
      <w:sz w:val="26"/>
      <w:szCs w:val="26"/>
    </w:rPr>
  </w:style>
  <w:style w:type="character" w:styleId="784">
    <w:name w:val="Heading 4 Char"/>
    <w:link w:val="783"/>
    <w:uiPriority w:val="9"/>
    <w:rPr>
      <w:rFonts w:ascii="Arial" w:hAnsi="Arial" w:eastAsia="Arial" w:cs="Arial"/>
      <w:b/>
      <w:bCs/>
      <w:sz w:val="26"/>
      <w:szCs w:val="26"/>
    </w:rPr>
  </w:style>
  <w:style w:type="paragraph" w:styleId="785">
    <w:name w:val="Heading 5"/>
    <w:basedOn w:val="953"/>
    <w:next w:val="953"/>
    <w:link w:val="786"/>
    <w:uiPriority w:val="9"/>
    <w:unhideWhenUsed/>
    <w:qFormat/>
    <w:pPr>
      <w:keepLines/>
      <w:keepNext/>
      <w:spacing w:before="320" w:after="200"/>
      <w:outlineLvl w:val="4"/>
    </w:pPr>
    <w:rPr>
      <w:rFonts w:ascii="Arial" w:hAnsi="Arial" w:eastAsia="Arial" w:cs="Arial"/>
      <w:b/>
      <w:bCs/>
      <w:sz w:val="24"/>
      <w:szCs w:val="24"/>
    </w:rPr>
  </w:style>
  <w:style w:type="character" w:styleId="786">
    <w:name w:val="Heading 5 Char"/>
    <w:link w:val="785"/>
    <w:uiPriority w:val="9"/>
    <w:rPr>
      <w:rFonts w:ascii="Arial" w:hAnsi="Arial" w:eastAsia="Arial" w:cs="Arial"/>
      <w:b/>
      <w:bCs/>
      <w:sz w:val="24"/>
      <w:szCs w:val="24"/>
    </w:rPr>
  </w:style>
  <w:style w:type="paragraph" w:styleId="787">
    <w:name w:val="Heading 6"/>
    <w:basedOn w:val="953"/>
    <w:next w:val="953"/>
    <w:link w:val="788"/>
    <w:uiPriority w:val="9"/>
    <w:unhideWhenUsed/>
    <w:qFormat/>
    <w:pPr>
      <w:keepLines/>
      <w:keepNext/>
      <w:spacing w:before="320" w:after="200"/>
      <w:outlineLvl w:val="5"/>
    </w:pPr>
    <w:rPr>
      <w:rFonts w:ascii="Arial" w:hAnsi="Arial" w:eastAsia="Arial" w:cs="Arial"/>
      <w:b/>
      <w:bCs/>
      <w:sz w:val="22"/>
      <w:szCs w:val="22"/>
    </w:rPr>
  </w:style>
  <w:style w:type="character" w:styleId="788">
    <w:name w:val="Heading 6 Char"/>
    <w:link w:val="787"/>
    <w:uiPriority w:val="9"/>
    <w:rPr>
      <w:rFonts w:ascii="Arial" w:hAnsi="Arial" w:eastAsia="Arial" w:cs="Arial"/>
      <w:b/>
      <w:bCs/>
      <w:sz w:val="22"/>
      <w:szCs w:val="22"/>
    </w:rPr>
  </w:style>
  <w:style w:type="paragraph" w:styleId="789">
    <w:name w:val="Heading 7"/>
    <w:basedOn w:val="953"/>
    <w:next w:val="953"/>
    <w:link w:val="790"/>
    <w:uiPriority w:val="9"/>
    <w:unhideWhenUsed/>
    <w:qFormat/>
    <w:pPr>
      <w:keepLines/>
      <w:keepNext/>
      <w:spacing w:before="320" w:after="200"/>
      <w:outlineLvl w:val="6"/>
    </w:pPr>
    <w:rPr>
      <w:rFonts w:ascii="Arial" w:hAnsi="Arial" w:eastAsia="Arial" w:cs="Arial"/>
      <w:b/>
      <w:bCs/>
      <w:i/>
      <w:iCs/>
      <w:sz w:val="22"/>
      <w:szCs w:val="22"/>
    </w:rPr>
  </w:style>
  <w:style w:type="character" w:styleId="790">
    <w:name w:val="Heading 7 Char"/>
    <w:link w:val="789"/>
    <w:uiPriority w:val="9"/>
    <w:rPr>
      <w:rFonts w:ascii="Arial" w:hAnsi="Arial" w:eastAsia="Arial" w:cs="Arial"/>
      <w:b/>
      <w:bCs/>
      <w:i/>
      <w:iCs/>
      <w:sz w:val="22"/>
      <w:szCs w:val="22"/>
    </w:rPr>
  </w:style>
  <w:style w:type="paragraph" w:styleId="791">
    <w:name w:val="Heading 8"/>
    <w:basedOn w:val="953"/>
    <w:next w:val="953"/>
    <w:link w:val="792"/>
    <w:uiPriority w:val="9"/>
    <w:unhideWhenUsed/>
    <w:qFormat/>
    <w:pPr>
      <w:keepLines/>
      <w:keepNext/>
      <w:spacing w:before="320" w:after="200"/>
      <w:outlineLvl w:val="7"/>
    </w:pPr>
    <w:rPr>
      <w:rFonts w:ascii="Arial" w:hAnsi="Arial" w:eastAsia="Arial" w:cs="Arial"/>
      <w:i/>
      <w:iCs/>
      <w:sz w:val="22"/>
      <w:szCs w:val="22"/>
    </w:rPr>
  </w:style>
  <w:style w:type="character" w:styleId="792">
    <w:name w:val="Heading 8 Char"/>
    <w:link w:val="791"/>
    <w:uiPriority w:val="9"/>
    <w:rPr>
      <w:rFonts w:ascii="Arial" w:hAnsi="Arial" w:eastAsia="Arial" w:cs="Arial"/>
      <w:i/>
      <w:iCs/>
      <w:sz w:val="22"/>
      <w:szCs w:val="22"/>
    </w:rPr>
  </w:style>
  <w:style w:type="paragraph" w:styleId="793">
    <w:name w:val="Heading 9"/>
    <w:basedOn w:val="953"/>
    <w:next w:val="953"/>
    <w:link w:val="794"/>
    <w:uiPriority w:val="9"/>
    <w:unhideWhenUsed/>
    <w:qFormat/>
    <w:pPr>
      <w:keepLines/>
      <w:keepNext/>
      <w:spacing w:before="320" w:after="200"/>
      <w:outlineLvl w:val="8"/>
    </w:pPr>
    <w:rPr>
      <w:rFonts w:ascii="Arial" w:hAnsi="Arial" w:eastAsia="Arial" w:cs="Arial"/>
      <w:i/>
      <w:iCs/>
      <w:sz w:val="21"/>
      <w:szCs w:val="21"/>
    </w:rPr>
  </w:style>
  <w:style w:type="character" w:styleId="794">
    <w:name w:val="Heading 9 Char"/>
    <w:link w:val="793"/>
    <w:uiPriority w:val="9"/>
    <w:rPr>
      <w:rFonts w:ascii="Arial" w:hAnsi="Arial" w:eastAsia="Arial" w:cs="Arial"/>
      <w:i/>
      <w:iCs/>
      <w:sz w:val="21"/>
      <w:szCs w:val="21"/>
    </w:rPr>
  </w:style>
  <w:style w:type="paragraph" w:styleId="795">
    <w:name w:val="Title"/>
    <w:basedOn w:val="953"/>
    <w:next w:val="953"/>
    <w:link w:val="796"/>
    <w:uiPriority w:val="10"/>
    <w:qFormat/>
    <w:pPr>
      <w:contextualSpacing/>
      <w:spacing w:before="300" w:after="200"/>
    </w:pPr>
    <w:rPr>
      <w:sz w:val="48"/>
      <w:szCs w:val="48"/>
    </w:rPr>
  </w:style>
  <w:style w:type="character" w:styleId="796">
    <w:name w:val="Title Char"/>
    <w:link w:val="795"/>
    <w:uiPriority w:val="10"/>
    <w:rPr>
      <w:sz w:val="48"/>
      <w:szCs w:val="48"/>
    </w:rPr>
  </w:style>
  <w:style w:type="paragraph" w:styleId="797">
    <w:name w:val="Subtitle"/>
    <w:basedOn w:val="953"/>
    <w:next w:val="953"/>
    <w:link w:val="798"/>
    <w:uiPriority w:val="11"/>
    <w:qFormat/>
    <w:pPr>
      <w:spacing w:before="200" w:after="200"/>
    </w:pPr>
    <w:rPr>
      <w:sz w:val="24"/>
      <w:szCs w:val="24"/>
    </w:rPr>
  </w:style>
  <w:style w:type="character" w:styleId="798">
    <w:name w:val="Subtitle Char"/>
    <w:link w:val="797"/>
    <w:uiPriority w:val="11"/>
    <w:rPr>
      <w:sz w:val="24"/>
      <w:szCs w:val="24"/>
    </w:rPr>
  </w:style>
  <w:style w:type="paragraph" w:styleId="799">
    <w:name w:val="Quote"/>
    <w:basedOn w:val="953"/>
    <w:next w:val="953"/>
    <w:link w:val="800"/>
    <w:uiPriority w:val="29"/>
    <w:qFormat/>
    <w:pPr>
      <w:ind w:left="720" w:right="720"/>
    </w:pPr>
    <w:rPr>
      <w:i/>
    </w:rPr>
  </w:style>
  <w:style w:type="character" w:styleId="800">
    <w:name w:val="Quote Char"/>
    <w:link w:val="799"/>
    <w:uiPriority w:val="29"/>
    <w:rPr>
      <w:i/>
    </w:rPr>
  </w:style>
  <w:style w:type="paragraph" w:styleId="801">
    <w:name w:val="Intense Quote"/>
    <w:basedOn w:val="953"/>
    <w:next w:val="953"/>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paragraph" w:styleId="803">
    <w:name w:val="Header"/>
    <w:basedOn w:val="953"/>
    <w:link w:val="804"/>
    <w:uiPriority w:val="99"/>
    <w:unhideWhenUsed/>
    <w:pPr>
      <w:spacing w:after="0" w:line="240" w:lineRule="auto"/>
      <w:tabs>
        <w:tab w:val="center" w:pos="7143" w:leader="none"/>
        <w:tab w:val="right" w:pos="14287" w:leader="none"/>
      </w:tabs>
    </w:pPr>
  </w:style>
  <w:style w:type="character" w:styleId="804">
    <w:name w:val="Header Char"/>
    <w:link w:val="803"/>
    <w:uiPriority w:val="99"/>
  </w:style>
  <w:style w:type="paragraph" w:styleId="805">
    <w:name w:val="Footer"/>
    <w:basedOn w:val="953"/>
    <w:link w:val="808"/>
    <w:uiPriority w:val="99"/>
    <w:unhideWhenUsed/>
    <w:pPr>
      <w:spacing w:after="0" w:line="240" w:lineRule="auto"/>
      <w:tabs>
        <w:tab w:val="center" w:pos="7143" w:leader="none"/>
        <w:tab w:val="right" w:pos="14287" w:leader="none"/>
      </w:tabs>
    </w:pPr>
  </w:style>
  <w:style w:type="character" w:styleId="806">
    <w:name w:val="Footer Char"/>
    <w:link w:val="805"/>
    <w:uiPriority w:val="99"/>
  </w:style>
  <w:style w:type="paragraph" w:styleId="807">
    <w:name w:val="Caption"/>
    <w:basedOn w:val="953"/>
    <w:next w:val="953"/>
    <w:uiPriority w:val="35"/>
    <w:semiHidden/>
    <w:unhideWhenUsed/>
    <w:qFormat/>
    <w:pPr>
      <w:spacing w:line="276" w:lineRule="auto"/>
    </w:pPr>
    <w:rPr>
      <w:b/>
      <w:bCs/>
      <w:color w:val="4f81bd" w:themeColor="accent1"/>
      <w:sz w:val="18"/>
      <w:szCs w:val="18"/>
    </w:rPr>
  </w:style>
  <w:style w:type="character" w:styleId="808">
    <w:name w:val="Caption Char"/>
    <w:basedOn w:val="807"/>
    <w:link w:val="805"/>
    <w:uiPriority w:val="99"/>
  </w:style>
  <w:style w:type="table" w:styleId="8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5">
    <w:name w:val="Hyperlink"/>
    <w:uiPriority w:val="99"/>
    <w:unhideWhenUsed/>
    <w:rPr>
      <w:color w:val="0000ff" w:themeColor="hyperlink"/>
      <w:u w:val="single"/>
    </w:rPr>
  </w:style>
  <w:style w:type="paragraph" w:styleId="936">
    <w:name w:val="footnote text"/>
    <w:basedOn w:val="953"/>
    <w:link w:val="937"/>
    <w:uiPriority w:val="99"/>
    <w:semiHidden/>
    <w:unhideWhenUsed/>
    <w:pPr>
      <w:spacing w:after="40" w:line="240" w:lineRule="auto"/>
    </w:pPr>
    <w:rPr>
      <w:sz w:val="18"/>
    </w:rPr>
  </w:style>
  <w:style w:type="character" w:styleId="937">
    <w:name w:val="Footnote Text Char"/>
    <w:link w:val="936"/>
    <w:uiPriority w:val="99"/>
    <w:rPr>
      <w:sz w:val="18"/>
    </w:rPr>
  </w:style>
  <w:style w:type="character" w:styleId="938">
    <w:name w:val="footnote reference"/>
    <w:uiPriority w:val="99"/>
    <w:unhideWhenUsed/>
    <w:rPr>
      <w:vertAlign w:val="superscript"/>
    </w:rPr>
  </w:style>
  <w:style w:type="paragraph" w:styleId="939">
    <w:name w:val="endnote text"/>
    <w:basedOn w:val="953"/>
    <w:link w:val="940"/>
    <w:uiPriority w:val="99"/>
    <w:semiHidden/>
    <w:unhideWhenUsed/>
    <w:pPr>
      <w:spacing w:after="0" w:line="240" w:lineRule="auto"/>
    </w:pPr>
    <w:rPr>
      <w:sz w:val="20"/>
    </w:rPr>
  </w:style>
  <w:style w:type="character" w:styleId="940">
    <w:name w:val="Endnote Text Char"/>
    <w:link w:val="939"/>
    <w:uiPriority w:val="99"/>
    <w:rPr>
      <w:sz w:val="20"/>
    </w:rPr>
  </w:style>
  <w:style w:type="character" w:styleId="941">
    <w:name w:val="endnote reference"/>
    <w:uiPriority w:val="99"/>
    <w:semiHidden/>
    <w:unhideWhenUsed/>
    <w:rPr>
      <w:vertAlign w:val="superscript"/>
    </w:rPr>
  </w:style>
  <w:style w:type="paragraph" w:styleId="942">
    <w:name w:val="toc 1"/>
    <w:basedOn w:val="953"/>
    <w:next w:val="953"/>
    <w:uiPriority w:val="39"/>
    <w:unhideWhenUsed/>
    <w:pPr>
      <w:ind w:left="0" w:right="0" w:firstLine="0"/>
      <w:spacing w:after="57"/>
    </w:pPr>
  </w:style>
  <w:style w:type="paragraph" w:styleId="943">
    <w:name w:val="toc 2"/>
    <w:basedOn w:val="953"/>
    <w:next w:val="953"/>
    <w:uiPriority w:val="39"/>
    <w:unhideWhenUsed/>
    <w:pPr>
      <w:ind w:left="283" w:right="0" w:firstLine="0"/>
      <w:spacing w:after="57"/>
    </w:pPr>
  </w:style>
  <w:style w:type="paragraph" w:styleId="944">
    <w:name w:val="toc 3"/>
    <w:basedOn w:val="953"/>
    <w:next w:val="953"/>
    <w:uiPriority w:val="39"/>
    <w:unhideWhenUsed/>
    <w:pPr>
      <w:ind w:left="567" w:right="0" w:firstLine="0"/>
      <w:spacing w:after="57"/>
    </w:pPr>
  </w:style>
  <w:style w:type="paragraph" w:styleId="945">
    <w:name w:val="toc 4"/>
    <w:basedOn w:val="953"/>
    <w:next w:val="953"/>
    <w:uiPriority w:val="39"/>
    <w:unhideWhenUsed/>
    <w:pPr>
      <w:ind w:left="850" w:right="0" w:firstLine="0"/>
      <w:spacing w:after="57"/>
    </w:pPr>
  </w:style>
  <w:style w:type="paragraph" w:styleId="946">
    <w:name w:val="toc 5"/>
    <w:basedOn w:val="953"/>
    <w:next w:val="953"/>
    <w:uiPriority w:val="39"/>
    <w:unhideWhenUsed/>
    <w:pPr>
      <w:ind w:left="1134" w:right="0" w:firstLine="0"/>
      <w:spacing w:after="57"/>
    </w:pPr>
  </w:style>
  <w:style w:type="paragraph" w:styleId="947">
    <w:name w:val="toc 6"/>
    <w:basedOn w:val="953"/>
    <w:next w:val="953"/>
    <w:uiPriority w:val="39"/>
    <w:unhideWhenUsed/>
    <w:pPr>
      <w:ind w:left="1417" w:right="0" w:firstLine="0"/>
      <w:spacing w:after="57"/>
    </w:pPr>
  </w:style>
  <w:style w:type="paragraph" w:styleId="948">
    <w:name w:val="toc 7"/>
    <w:basedOn w:val="953"/>
    <w:next w:val="953"/>
    <w:uiPriority w:val="39"/>
    <w:unhideWhenUsed/>
    <w:pPr>
      <w:ind w:left="1701" w:right="0" w:firstLine="0"/>
      <w:spacing w:after="57"/>
    </w:pPr>
  </w:style>
  <w:style w:type="paragraph" w:styleId="949">
    <w:name w:val="toc 8"/>
    <w:basedOn w:val="953"/>
    <w:next w:val="953"/>
    <w:uiPriority w:val="39"/>
    <w:unhideWhenUsed/>
    <w:pPr>
      <w:ind w:left="1984" w:right="0" w:firstLine="0"/>
      <w:spacing w:after="57"/>
    </w:pPr>
  </w:style>
  <w:style w:type="paragraph" w:styleId="950">
    <w:name w:val="toc 9"/>
    <w:basedOn w:val="953"/>
    <w:next w:val="953"/>
    <w:uiPriority w:val="39"/>
    <w:unhideWhenUsed/>
    <w:pPr>
      <w:ind w:left="2268" w:right="0" w:firstLine="0"/>
      <w:spacing w:after="57"/>
    </w:pPr>
  </w:style>
  <w:style w:type="paragraph" w:styleId="951">
    <w:name w:val="TOC Heading"/>
    <w:uiPriority w:val="39"/>
    <w:unhideWhenUsed/>
  </w:style>
  <w:style w:type="paragraph" w:styleId="952">
    <w:name w:val="table of figures"/>
    <w:basedOn w:val="953"/>
    <w:next w:val="953"/>
    <w:uiPriority w:val="99"/>
    <w:unhideWhenUsed/>
    <w:pPr>
      <w:spacing w:after="0" w:afterAutospacing="0"/>
    </w:pPr>
  </w:style>
  <w:style w:type="paragraph" w:styleId="953" w:default="1">
    <w:name w:val="Normal"/>
    <w:next w:val="965"/>
    <w:link w:val="953"/>
    <w:qFormat/>
    <w:pPr>
      <w:jc w:val="both"/>
      <w:widowControl w:val="off"/>
    </w:pPr>
    <w:rPr>
      <w:sz w:val="21"/>
      <w:lang w:val="en-US" w:eastAsia="zh-CN" w:bidi="ar-SA"/>
    </w:rPr>
  </w:style>
  <w:style w:type="paragraph" w:styleId="954">
    <w:name w:val="标题 1"/>
    <w:basedOn w:val="953"/>
    <w:next w:val="953"/>
    <w:link w:val="953"/>
    <w:qFormat/>
    <w:pPr>
      <w:jc w:val="center"/>
      <w:keepLines/>
      <w:keepNext/>
      <w:tabs>
        <w:tab w:val="left" w:pos="1134" w:leader="none"/>
      </w:tabs>
      <w:outlineLvl w:val="0"/>
    </w:pPr>
    <w:rPr>
      <w:rFonts w:ascii="宋体" w:hAnsi="宋体"/>
      <w:b/>
    </w:rPr>
  </w:style>
  <w:style w:type="paragraph" w:styleId="955">
    <w:name w:val="标题 2"/>
    <w:basedOn w:val="953"/>
    <w:next w:val="953"/>
    <w:link w:val="967"/>
    <w:qFormat/>
    <w:pPr>
      <w:keepLines/>
      <w:keepNext/>
      <w:spacing w:before="260" w:after="260" w:line="413" w:lineRule="auto"/>
      <w:outlineLvl w:val="1"/>
    </w:pPr>
    <w:rPr>
      <w:rFonts w:ascii="Arial" w:hAnsi="Arial" w:eastAsia="黑体"/>
      <w:b/>
      <w:sz w:val="32"/>
    </w:rPr>
  </w:style>
  <w:style w:type="paragraph" w:styleId="956">
    <w:name w:val="标题 3"/>
    <w:basedOn w:val="953"/>
    <w:next w:val="969"/>
    <w:link w:val="968"/>
    <w:qFormat/>
    <w:pPr>
      <w:ind w:left="420" w:hanging="420"/>
      <w:keepLines/>
      <w:keepNext/>
      <w:spacing w:before="120" w:after="120" w:line="360" w:lineRule="auto"/>
      <w:tabs>
        <w:tab w:val="left" w:pos="567" w:leader="none"/>
        <w:tab w:val="left" w:pos="1080" w:leader="none"/>
      </w:tabs>
      <w:outlineLvl w:val="2"/>
    </w:pPr>
    <w:rPr>
      <w:rFonts w:ascii="宋体" w:hAnsi="宋体"/>
      <w:b/>
      <w:sz w:val="24"/>
    </w:rPr>
  </w:style>
  <w:style w:type="paragraph" w:styleId="957">
    <w:name w:val="标题 4"/>
    <w:basedOn w:val="953"/>
    <w:next w:val="969"/>
    <w:link w:val="970"/>
    <w:qFormat/>
    <w:pPr>
      <w:keepLines/>
      <w:keepNext/>
      <w:spacing w:before="120" w:after="120" w:line="360" w:lineRule="auto"/>
      <w:outlineLvl w:val="3"/>
    </w:pPr>
    <w:rPr>
      <w:rFonts w:ascii="宋体" w:hAnsi="宋体"/>
      <w:b/>
      <w:sz w:val="24"/>
    </w:rPr>
  </w:style>
  <w:style w:type="paragraph" w:styleId="958">
    <w:name w:val="标题 5"/>
    <w:basedOn w:val="953"/>
    <w:next w:val="953"/>
    <w:link w:val="971"/>
    <w:qFormat/>
    <w:pPr>
      <w:keepLines/>
      <w:keepNext/>
      <w:spacing w:before="280" w:after="290" w:line="376" w:lineRule="atLeast"/>
      <w:outlineLvl w:val="4"/>
    </w:pPr>
    <w:rPr>
      <w:b/>
      <w:sz w:val="28"/>
    </w:rPr>
  </w:style>
  <w:style w:type="paragraph" w:styleId="959">
    <w:name w:val="标题 6"/>
    <w:basedOn w:val="953"/>
    <w:next w:val="953"/>
    <w:link w:val="972"/>
    <w:qFormat/>
    <w:pPr>
      <w:keepLines/>
      <w:keepNext/>
      <w:spacing w:before="240" w:after="64" w:line="320" w:lineRule="atLeast"/>
      <w:outlineLvl w:val="5"/>
    </w:pPr>
    <w:rPr>
      <w:rFonts w:ascii="Arial" w:hAnsi="Arial" w:eastAsia="黑体"/>
      <w:b/>
      <w:sz w:val="24"/>
    </w:rPr>
  </w:style>
  <w:style w:type="paragraph" w:styleId="960">
    <w:name w:val="标题 7"/>
    <w:basedOn w:val="953"/>
    <w:next w:val="953"/>
    <w:link w:val="973"/>
    <w:qFormat/>
    <w:pPr>
      <w:keepLines/>
      <w:keepNext/>
      <w:spacing w:before="240" w:after="64" w:line="320" w:lineRule="atLeast"/>
      <w:outlineLvl w:val="6"/>
    </w:pPr>
    <w:rPr>
      <w:b/>
      <w:sz w:val="24"/>
    </w:rPr>
  </w:style>
  <w:style w:type="paragraph" w:styleId="961">
    <w:name w:val="标题 8"/>
    <w:basedOn w:val="953"/>
    <w:next w:val="953"/>
    <w:link w:val="974"/>
    <w:qFormat/>
    <w:pPr>
      <w:keepLines/>
      <w:keepNext/>
      <w:spacing w:before="240" w:after="64" w:line="320" w:lineRule="atLeast"/>
      <w:outlineLvl w:val="7"/>
    </w:pPr>
    <w:rPr>
      <w:rFonts w:ascii="Arial" w:hAnsi="Arial" w:eastAsia="黑体"/>
      <w:sz w:val="24"/>
    </w:rPr>
  </w:style>
  <w:style w:type="paragraph" w:styleId="962">
    <w:name w:val="标题 9"/>
    <w:basedOn w:val="953"/>
    <w:next w:val="953"/>
    <w:link w:val="975"/>
    <w:qFormat/>
    <w:pPr>
      <w:keepLines/>
      <w:keepNext/>
      <w:spacing w:before="240" w:after="64" w:line="320" w:lineRule="atLeast"/>
      <w:outlineLvl w:val="8"/>
    </w:pPr>
    <w:rPr>
      <w:rFonts w:ascii="Arial" w:hAnsi="Arial" w:eastAsia="黑体"/>
    </w:rPr>
  </w:style>
  <w:style w:type="character" w:styleId="963">
    <w:name w:val="默认段落字体"/>
    <w:next w:val="963"/>
    <w:link w:val="953"/>
    <w:semiHidden/>
  </w:style>
  <w:style w:type="table" w:styleId="964">
    <w:name w:val="普通表格"/>
    <w:next w:val="964"/>
    <w:link w:val="953"/>
    <w:semiHidden/>
    <w:tblPr/>
  </w:style>
  <w:style w:type="paragraph" w:styleId="965">
    <w:name w:val="正文文本缩进"/>
    <w:basedOn w:val="953"/>
    <w:next w:val="953"/>
    <w:link w:val="966"/>
    <w:pPr>
      <w:ind w:left="570"/>
      <w:spacing w:line="520" w:lineRule="atLeast"/>
    </w:pPr>
    <w:rPr>
      <w:rFonts w:ascii="方正仿宋简体" w:hAnsi="创艺简仿宋" w:eastAsia="方正仿宋简体"/>
      <w:sz w:val="24"/>
    </w:rPr>
  </w:style>
  <w:style w:type="character" w:styleId="966">
    <w:name w:val="正文文本缩进 Char"/>
    <w:next w:val="966"/>
    <w:link w:val="965"/>
    <w:rPr>
      <w:rFonts w:ascii="方正仿宋简体" w:hAnsi="创艺简仿宋" w:eastAsia="方正仿宋简体"/>
      <w:sz w:val="24"/>
      <w:lang w:val="en-US" w:eastAsia="zh-CN" w:bidi="ar-SA"/>
    </w:rPr>
  </w:style>
  <w:style w:type="character" w:styleId="967">
    <w:name w:val="标题 2 Char"/>
    <w:next w:val="967"/>
    <w:link w:val="955"/>
    <w:rPr>
      <w:rFonts w:ascii="Arial" w:hAnsi="Arial" w:eastAsia="黑体"/>
      <w:b/>
      <w:sz w:val="32"/>
      <w:lang w:val="en-US" w:eastAsia="zh-CN" w:bidi="ar-SA"/>
    </w:rPr>
  </w:style>
  <w:style w:type="character" w:styleId="968">
    <w:name w:val="标题 3 Char"/>
    <w:next w:val="968"/>
    <w:link w:val="956"/>
    <w:rPr>
      <w:rFonts w:ascii="宋体" w:hAnsi="宋体" w:eastAsia="宋体"/>
      <w:b/>
      <w:sz w:val="24"/>
      <w:lang w:val="en-US" w:eastAsia="zh-CN" w:bidi="ar-SA"/>
    </w:rPr>
  </w:style>
  <w:style w:type="paragraph" w:styleId="969">
    <w:name w:val="正文文本 Char Char"/>
    <w:basedOn w:val="953"/>
    <w:next w:val="969"/>
    <w:link w:val="953"/>
    <w:pPr>
      <w:jc w:val="center"/>
    </w:pPr>
  </w:style>
  <w:style w:type="character" w:styleId="970">
    <w:name w:val="标题 4 Char"/>
    <w:next w:val="970"/>
    <w:link w:val="957"/>
    <w:rPr>
      <w:rFonts w:ascii="宋体" w:hAnsi="宋体" w:eastAsia="宋体"/>
      <w:b/>
      <w:sz w:val="24"/>
      <w:lang w:val="en-US" w:eastAsia="zh-CN" w:bidi="ar-SA"/>
    </w:rPr>
  </w:style>
  <w:style w:type="character" w:styleId="971">
    <w:name w:val="标题 5 Char"/>
    <w:next w:val="971"/>
    <w:link w:val="958"/>
    <w:rPr>
      <w:rFonts w:eastAsia="宋体"/>
      <w:b/>
      <w:sz w:val="28"/>
      <w:lang w:val="en-US" w:eastAsia="zh-CN" w:bidi="ar-SA"/>
    </w:rPr>
  </w:style>
  <w:style w:type="character" w:styleId="972">
    <w:name w:val="标题 6 Char"/>
    <w:next w:val="972"/>
    <w:link w:val="959"/>
    <w:rPr>
      <w:rFonts w:ascii="Arial" w:hAnsi="Arial" w:eastAsia="黑体"/>
      <w:b/>
      <w:sz w:val="24"/>
      <w:lang w:val="en-US" w:eastAsia="zh-CN" w:bidi="ar-SA"/>
    </w:rPr>
  </w:style>
  <w:style w:type="character" w:styleId="973">
    <w:name w:val="标题 7 Char"/>
    <w:next w:val="973"/>
    <w:link w:val="960"/>
    <w:rPr>
      <w:rFonts w:eastAsia="宋体"/>
      <w:b/>
      <w:sz w:val="24"/>
      <w:lang w:val="en-US" w:eastAsia="zh-CN" w:bidi="ar-SA"/>
    </w:rPr>
  </w:style>
  <w:style w:type="character" w:styleId="974">
    <w:name w:val="标题 8 Char"/>
    <w:next w:val="974"/>
    <w:link w:val="961"/>
    <w:rPr>
      <w:rFonts w:ascii="Arial" w:hAnsi="Arial" w:eastAsia="黑体"/>
      <w:sz w:val="24"/>
      <w:lang w:val="en-US" w:eastAsia="zh-CN" w:bidi="ar-SA"/>
    </w:rPr>
  </w:style>
  <w:style w:type="character" w:styleId="975">
    <w:name w:val="标题 9 Char"/>
    <w:next w:val="975"/>
    <w:link w:val="962"/>
    <w:rPr>
      <w:rFonts w:ascii="Arial" w:hAnsi="Arial" w:eastAsia="黑体"/>
      <w:sz w:val="21"/>
      <w:lang w:val="en-US" w:eastAsia="zh-CN" w:bidi="ar-SA"/>
    </w:rPr>
  </w:style>
  <w:style w:type="paragraph" w:styleId="976">
    <w:name w:val="目录 7"/>
    <w:basedOn w:val="953"/>
    <w:next w:val="953"/>
    <w:link w:val="953"/>
    <w:pPr>
      <w:ind w:left="2520"/>
    </w:pPr>
    <w:rPr>
      <w:rFonts w:eastAsia="楷体_GB2312"/>
      <w:sz w:val="26"/>
    </w:rPr>
  </w:style>
  <w:style w:type="paragraph" w:styleId="977">
    <w:name w:val="索引 8"/>
    <w:basedOn w:val="953"/>
    <w:next w:val="953"/>
    <w:link w:val="953"/>
    <w:pPr>
      <w:ind w:left="2940"/>
    </w:pPr>
    <w:rPr>
      <w:rFonts w:eastAsia="楷体_GB2312"/>
      <w:sz w:val="26"/>
    </w:rPr>
  </w:style>
  <w:style w:type="paragraph" w:styleId="978">
    <w:name w:val="列表编号"/>
    <w:basedOn w:val="953"/>
    <w:next w:val="978"/>
    <w:link w:val="953"/>
    <w:pPr>
      <w:ind w:left="1125" w:hanging="555"/>
      <w:tabs>
        <w:tab w:val="left" w:pos="1125" w:leader="none"/>
      </w:tabs>
    </w:pPr>
    <w:rPr>
      <w:szCs w:val="24"/>
    </w:rPr>
  </w:style>
  <w:style w:type="paragraph" w:styleId="979">
    <w:name w:val="正文缩进"/>
    <w:basedOn w:val="953"/>
    <w:next w:val="953"/>
    <w:link w:val="980"/>
    <w:qFormat/>
    <w:pPr>
      <w:ind w:firstLine="420"/>
    </w:pPr>
  </w:style>
  <w:style w:type="character" w:styleId="980">
    <w:name w:val="正文缩进 Char"/>
    <w:next w:val="980"/>
    <w:link w:val="979"/>
    <w:qFormat/>
    <w:rPr>
      <w:rFonts w:eastAsia="宋体"/>
      <w:sz w:val="21"/>
      <w:lang w:val="en-US" w:eastAsia="zh-CN" w:bidi="ar-SA"/>
    </w:rPr>
  </w:style>
  <w:style w:type="paragraph" w:styleId="981">
    <w:name w:val="索引 5"/>
    <w:basedOn w:val="953"/>
    <w:next w:val="953"/>
    <w:link w:val="953"/>
    <w:pPr>
      <w:ind w:left="1680"/>
    </w:pPr>
    <w:rPr>
      <w:rFonts w:eastAsia="楷体_GB2312"/>
      <w:sz w:val="26"/>
    </w:rPr>
  </w:style>
  <w:style w:type="paragraph" w:styleId="982">
    <w:name w:val="列表项目符号"/>
    <w:basedOn w:val="954"/>
    <w:next w:val="953"/>
    <w:link w:val="953"/>
    <w:pPr>
      <w:numPr>
        <w:ilvl w:val="0"/>
        <w:numId w:val="1"/>
      </w:numPr>
      <w:tabs>
        <w:tab w:val="left" w:pos="360" w:leader="none"/>
      </w:tabs>
    </w:pPr>
  </w:style>
  <w:style w:type="paragraph" w:styleId="983">
    <w:name w:val="文档结构图"/>
    <w:basedOn w:val="953"/>
    <w:next w:val="983"/>
    <w:link w:val="984"/>
    <w:pPr>
      <w:shd w:val="clear" w:color="auto" w:fill="000080"/>
    </w:pPr>
  </w:style>
  <w:style w:type="character" w:styleId="984">
    <w:name w:val="文档结构图 Char"/>
    <w:next w:val="984"/>
    <w:link w:val="983"/>
    <w:rPr>
      <w:rFonts w:eastAsia="宋体"/>
      <w:sz w:val="21"/>
      <w:lang w:val="en-US" w:eastAsia="zh-CN" w:bidi="ar-SA"/>
    </w:rPr>
  </w:style>
  <w:style w:type="paragraph" w:styleId="985">
    <w:name w:val="批注文字"/>
    <w:basedOn w:val="953"/>
    <w:next w:val="985"/>
    <w:link w:val="986"/>
    <w:semiHidden/>
    <w:pPr>
      <w:jc w:val="left"/>
    </w:pPr>
  </w:style>
  <w:style w:type="character" w:styleId="986">
    <w:name w:val="批注文字 Char"/>
    <w:next w:val="986"/>
    <w:link w:val="985"/>
    <w:rPr>
      <w:rFonts w:eastAsia="宋体"/>
      <w:sz w:val="21"/>
      <w:lang w:val="en-US" w:eastAsia="zh-CN" w:bidi="ar-SA"/>
    </w:rPr>
  </w:style>
  <w:style w:type="paragraph" w:styleId="987">
    <w:name w:val="索引 6"/>
    <w:basedOn w:val="953"/>
    <w:next w:val="953"/>
    <w:link w:val="953"/>
    <w:pPr>
      <w:ind w:left="2100"/>
    </w:pPr>
    <w:rPr>
      <w:rFonts w:eastAsia="楷体_GB2312"/>
      <w:sz w:val="26"/>
    </w:rPr>
  </w:style>
  <w:style w:type="paragraph" w:styleId="988">
    <w:name w:val="正文文本 3"/>
    <w:basedOn w:val="953"/>
    <w:next w:val="988"/>
    <w:link w:val="989"/>
    <w:pPr>
      <w:spacing w:after="120"/>
    </w:pPr>
    <w:rPr>
      <w:sz w:val="16"/>
    </w:rPr>
  </w:style>
  <w:style w:type="character" w:styleId="989">
    <w:name w:val="正文文本 3 Char"/>
    <w:next w:val="989"/>
    <w:link w:val="988"/>
    <w:rPr>
      <w:rFonts w:eastAsia="宋体"/>
      <w:sz w:val="16"/>
      <w:lang w:val="en-US" w:eastAsia="zh-CN" w:bidi="ar-SA"/>
    </w:rPr>
  </w:style>
  <w:style w:type="paragraph" w:styleId="990">
    <w:name w:val="正文文本"/>
    <w:basedOn w:val="953"/>
    <w:next w:val="992"/>
    <w:link w:val="991"/>
    <w:pPr>
      <w:spacing w:after="120"/>
    </w:pPr>
  </w:style>
  <w:style w:type="character" w:styleId="991">
    <w:name w:val="正文文本 Char1"/>
    <w:next w:val="991"/>
    <w:link w:val="990"/>
    <w:rPr>
      <w:rFonts w:eastAsia="宋体"/>
      <w:sz w:val="21"/>
      <w:lang w:val="en-US" w:eastAsia="zh-CN" w:bidi="ar-SA"/>
    </w:rPr>
  </w:style>
  <w:style w:type="paragraph" w:styleId="992">
    <w:name w:val="一级条标题"/>
    <w:basedOn w:val="993"/>
    <w:next w:val="994"/>
    <w:link w:val="953"/>
    <w:qFormat/>
    <w:pPr>
      <w:numPr>
        <w:ilvl w:val="4"/>
        <w:numId w:val="2"/>
      </w:numPr>
      <w:spacing w:before="0" w:after="0"/>
      <w:outlineLvl w:val="2"/>
    </w:pPr>
  </w:style>
  <w:style w:type="paragraph" w:styleId="993">
    <w:name w:val="章标题"/>
    <w:next w:val="953"/>
    <w:link w:val="953"/>
    <w:qFormat/>
    <w:pPr>
      <w:numPr>
        <w:ilvl w:val="3"/>
        <w:numId w:val="2"/>
      </w:numPr>
      <w:ind w:left="360"/>
      <w:spacing w:before="50" w:after="50"/>
      <w:outlineLvl w:val="1"/>
    </w:pPr>
    <w:rPr>
      <w:rFonts w:ascii="黑体" w:eastAsia="黑体"/>
      <w:sz w:val="24"/>
      <w:lang w:val="en-US" w:eastAsia="zh-CN" w:bidi="ar-SA"/>
    </w:rPr>
  </w:style>
  <w:style w:type="paragraph" w:styleId="994">
    <w:name w:val="段"/>
    <w:next w:val="953"/>
    <w:link w:val="953"/>
    <w:qFormat/>
    <w:pPr>
      <w:ind w:firstLine="200"/>
      <w:jc w:val="both"/>
    </w:pPr>
    <w:rPr>
      <w:rFonts w:ascii="宋体"/>
      <w:lang w:val="en-US" w:eastAsia="zh-CN" w:bidi="ar-SA"/>
    </w:rPr>
  </w:style>
  <w:style w:type="paragraph" w:styleId="995">
    <w:name w:val="文本块"/>
    <w:basedOn w:val="954"/>
    <w:next w:val="953"/>
    <w:link w:val="953"/>
    <w:pPr>
      <w:ind w:left="630" w:right="-609" w:firstLine="420"/>
      <w:spacing w:line="360" w:lineRule="auto"/>
      <w:tabs>
        <w:tab w:val="left" w:pos="1134" w:leader="none"/>
      </w:tabs>
    </w:pPr>
    <w:rPr>
      <w:rFonts w:hint="eastAsia" w:ascii="仿宋_GB2312" w:eastAsia="仿宋_GB2312"/>
    </w:rPr>
  </w:style>
  <w:style w:type="paragraph" w:styleId="996">
    <w:name w:val="索引 4"/>
    <w:basedOn w:val="953"/>
    <w:next w:val="953"/>
    <w:link w:val="953"/>
    <w:pPr>
      <w:ind w:left="1260"/>
    </w:pPr>
    <w:rPr>
      <w:rFonts w:eastAsia="楷体_GB2312"/>
      <w:sz w:val="26"/>
    </w:rPr>
  </w:style>
  <w:style w:type="paragraph" w:styleId="997">
    <w:name w:val="目录 5"/>
    <w:basedOn w:val="953"/>
    <w:next w:val="953"/>
    <w:link w:val="953"/>
    <w:pPr>
      <w:ind w:left="1680"/>
    </w:pPr>
    <w:rPr>
      <w:rFonts w:eastAsia="楷体_GB2312"/>
      <w:sz w:val="26"/>
    </w:rPr>
  </w:style>
  <w:style w:type="paragraph" w:styleId="998">
    <w:name w:val="目录 3"/>
    <w:basedOn w:val="953"/>
    <w:next w:val="953"/>
    <w:link w:val="953"/>
    <w:pPr>
      <w:ind w:left="840"/>
    </w:pPr>
    <w:rPr>
      <w:rFonts w:eastAsia="楷体_GB2312"/>
      <w:sz w:val="26"/>
    </w:rPr>
  </w:style>
  <w:style w:type="paragraph" w:styleId="999">
    <w:name w:val="纯文本"/>
    <w:basedOn w:val="953"/>
    <w:next w:val="999"/>
    <w:link w:val="1000"/>
    <w:rPr>
      <w:rFonts w:ascii="宋体" w:hAnsi="Courier New" w:eastAsia="楷体_GB2312"/>
      <w:sz w:val="28"/>
    </w:rPr>
  </w:style>
  <w:style w:type="character" w:styleId="1000">
    <w:name w:val="纯文本 Char"/>
    <w:next w:val="1000"/>
    <w:link w:val="999"/>
    <w:rPr>
      <w:rFonts w:ascii="宋体" w:hAnsi="Courier New" w:eastAsia="楷体_GB2312"/>
      <w:sz w:val="28"/>
      <w:lang w:val="en-US" w:eastAsia="zh-CN" w:bidi="ar-SA"/>
    </w:rPr>
  </w:style>
  <w:style w:type="paragraph" w:styleId="1001">
    <w:name w:val="目录 8"/>
    <w:basedOn w:val="953"/>
    <w:next w:val="953"/>
    <w:link w:val="953"/>
    <w:pPr>
      <w:ind w:left="2940"/>
    </w:pPr>
    <w:rPr>
      <w:rFonts w:eastAsia="楷体_GB2312"/>
      <w:sz w:val="26"/>
    </w:rPr>
  </w:style>
  <w:style w:type="paragraph" w:styleId="1002">
    <w:name w:val="索引 3"/>
    <w:basedOn w:val="953"/>
    <w:next w:val="953"/>
    <w:link w:val="953"/>
    <w:pPr>
      <w:ind w:left="840"/>
    </w:pPr>
    <w:rPr>
      <w:rFonts w:eastAsia="楷体_GB2312"/>
      <w:sz w:val="26"/>
    </w:rPr>
  </w:style>
  <w:style w:type="paragraph" w:styleId="1003">
    <w:name w:val="日期"/>
    <w:basedOn w:val="953"/>
    <w:next w:val="953"/>
    <w:link w:val="1004"/>
    <w:rPr>
      <w:rFonts w:ascii="黑体"/>
      <w:position w:val="6"/>
    </w:rPr>
  </w:style>
  <w:style w:type="character" w:styleId="1004">
    <w:name w:val="日期 Char"/>
    <w:next w:val="1004"/>
    <w:link w:val="1003"/>
    <w:rPr>
      <w:rFonts w:ascii="黑体" w:eastAsia="宋体"/>
      <w:position w:val="6"/>
      <w:sz w:val="21"/>
      <w:lang w:val="en-US" w:eastAsia="zh-CN" w:bidi="ar-SA"/>
    </w:rPr>
  </w:style>
  <w:style w:type="paragraph" w:styleId="1005">
    <w:name w:val="正文文本缩进 2"/>
    <w:basedOn w:val="953"/>
    <w:next w:val="1005"/>
    <w:link w:val="1006"/>
    <w:pPr>
      <w:ind w:firstLine="570"/>
      <w:spacing w:line="520" w:lineRule="atLeast"/>
    </w:pPr>
    <w:rPr>
      <w:rFonts w:ascii="方正仿宋简体" w:hAnsi="创艺简仿宋" w:eastAsia="方正仿宋简体"/>
      <w:sz w:val="24"/>
    </w:rPr>
  </w:style>
  <w:style w:type="character" w:styleId="1006">
    <w:name w:val="正文文本缩进 2 Char"/>
    <w:next w:val="1006"/>
    <w:link w:val="1005"/>
    <w:rPr>
      <w:rFonts w:ascii="方正仿宋简体" w:hAnsi="创艺简仿宋" w:eastAsia="方正仿宋简体"/>
      <w:sz w:val="24"/>
      <w:lang w:val="en-US" w:eastAsia="zh-CN" w:bidi="ar-SA"/>
    </w:rPr>
  </w:style>
  <w:style w:type="paragraph" w:styleId="1007">
    <w:name w:val="批注框文本"/>
    <w:basedOn w:val="953"/>
    <w:next w:val="1007"/>
    <w:link w:val="1008"/>
    <w:uiPriority w:val="99"/>
    <w:qFormat/>
    <w:rPr>
      <w:sz w:val="18"/>
    </w:rPr>
  </w:style>
  <w:style w:type="character" w:styleId="1008">
    <w:name w:val="批注框文本 Char"/>
    <w:next w:val="1008"/>
    <w:link w:val="1007"/>
    <w:uiPriority w:val="99"/>
    <w:rPr>
      <w:sz w:val="18"/>
      <w:lang w:bidi="ar-SA"/>
    </w:rPr>
  </w:style>
  <w:style w:type="paragraph" w:styleId="1009">
    <w:name w:val="页脚"/>
    <w:basedOn w:val="953"/>
    <w:next w:val="1009"/>
    <w:link w:val="1010"/>
    <w:uiPriority w:val="99"/>
    <w:pPr>
      <w:jc w:val="left"/>
      <w:tabs>
        <w:tab w:val="center" w:pos="4153" w:leader="none"/>
        <w:tab w:val="right" w:pos="8306" w:leader="none"/>
      </w:tabs>
    </w:pPr>
    <w:rPr>
      <w:sz w:val="18"/>
    </w:rPr>
  </w:style>
  <w:style w:type="character" w:styleId="1010">
    <w:name w:val="页脚 Char"/>
    <w:next w:val="1010"/>
    <w:link w:val="1009"/>
    <w:uiPriority w:val="99"/>
    <w:rPr>
      <w:rFonts w:eastAsia="宋体"/>
      <w:sz w:val="18"/>
      <w:lang w:val="en-US" w:eastAsia="zh-CN" w:bidi="ar-SA"/>
    </w:rPr>
  </w:style>
  <w:style w:type="paragraph" w:styleId="1011">
    <w:name w:val="寄信人地址"/>
    <w:basedOn w:val="953"/>
    <w:next w:val="1011"/>
    <w:link w:val="953"/>
    <w:qFormat/>
    <w:rPr>
      <w:rFonts w:ascii="Arial" w:hAnsi="Arial"/>
    </w:rPr>
  </w:style>
  <w:style w:type="paragraph" w:styleId="1012">
    <w:name w:val="页眉"/>
    <w:basedOn w:val="953"/>
    <w:next w:val="1012"/>
    <w:link w:val="1013"/>
    <w:pPr>
      <w:jc w:val="center"/>
      <w:tabs>
        <w:tab w:val="center" w:pos="4153" w:leader="none"/>
        <w:tab w:val="right" w:pos="8306" w:leader="none"/>
      </w:tabs>
      <w:pBdr>
        <w:bottom w:val="single" w:color="000000" w:sz="6" w:space="1"/>
      </w:pBdr>
    </w:pPr>
    <w:rPr>
      <w:sz w:val="18"/>
    </w:rPr>
  </w:style>
  <w:style w:type="character" w:styleId="1013">
    <w:name w:val="页眉 Char"/>
    <w:next w:val="1013"/>
    <w:link w:val="1012"/>
    <w:rPr>
      <w:rFonts w:eastAsia="宋体"/>
      <w:sz w:val="18"/>
      <w:lang w:val="en-US" w:eastAsia="zh-CN" w:bidi="ar-SA"/>
    </w:rPr>
  </w:style>
  <w:style w:type="paragraph" w:styleId="1014">
    <w:name w:val="目录 1"/>
    <w:basedOn w:val="954"/>
    <w:next w:val="953"/>
    <w:link w:val="953"/>
    <w:pPr>
      <w:ind w:left="480"/>
      <w:jc w:val="left"/>
      <w:spacing w:line="360" w:lineRule="auto"/>
      <w:tabs>
        <w:tab w:val="right" w:pos="9022" w:leader="dot"/>
      </w:tabs>
    </w:pPr>
    <w:rPr>
      <w:rFonts w:eastAsia="楷体_GB2312"/>
      <w:b w:val="0"/>
      <w:sz w:val="32"/>
      <w:szCs w:val="32"/>
    </w:rPr>
  </w:style>
  <w:style w:type="paragraph" w:styleId="1015">
    <w:name w:val="目录 4"/>
    <w:basedOn w:val="953"/>
    <w:next w:val="953"/>
    <w:link w:val="953"/>
    <w:pPr>
      <w:ind w:left="1260"/>
    </w:pPr>
    <w:rPr>
      <w:rFonts w:eastAsia="楷体_GB2312"/>
      <w:sz w:val="26"/>
    </w:rPr>
  </w:style>
  <w:style w:type="paragraph" w:styleId="1016">
    <w:name w:val="索引标题"/>
    <w:basedOn w:val="953"/>
    <w:next w:val="1017"/>
    <w:link w:val="953"/>
    <w:rPr>
      <w:rFonts w:eastAsia="楷体_GB2312"/>
      <w:sz w:val="26"/>
    </w:rPr>
  </w:style>
  <w:style w:type="paragraph" w:styleId="1017">
    <w:name w:val="索引 1"/>
    <w:basedOn w:val="953"/>
    <w:next w:val="953"/>
    <w:link w:val="953"/>
    <w:rPr>
      <w:rFonts w:eastAsia="楷体_GB2312"/>
      <w:sz w:val="26"/>
    </w:rPr>
  </w:style>
  <w:style w:type="paragraph" w:styleId="1018">
    <w:name w:val="脚注文本"/>
    <w:basedOn w:val="954"/>
    <w:next w:val="995"/>
    <w:link w:val="1019"/>
    <w:pPr>
      <w:jc w:val="left"/>
      <w:tabs>
        <w:tab w:val="left" w:pos="1134" w:leader="none"/>
      </w:tabs>
    </w:pPr>
    <w:rPr>
      <w:rFonts w:eastAsia="楷体_GB2312"/>
      <w:sz w:val="18"/>
    </w:rPr>
  </w:style>
  <w:style w:type="character" w:styleId="1019">
    <w:name w:val="脚注文本 Char"/>
    <w:next w:val="1019"/>
    <w:link w:val="1018"/>
    <w:rPr>
      <w:rFonts w:eastAsia="楷体_GB2312"/>
      <w:sz w:val="18"/>
    </w:rPr>
  </w:style>
  <w:style w:type="paragraph" w:styleId="1020">
    <w:name w:val="目录 6"/>
    <w:basedOn w:val="953"/>
    <w:next w:val="953"/>
    <w:link w:val="953"/>
    <w:pPr>
      <w:ind w:left="2100"/>
    </w:pPr>
    <w:rPr>
      <w:rFonts w:eastAsia="楷体_GB2312"/>
      <w:sz w:val="26"/>
    </w:rPr>
  </w:style>
  <w:style w:type="paragraph" w:styleId="1021">
    <w:name w:val="正文文本缩进 3"/>
    <w:basedOn w:val="953"/>
    <w:next w:val="1021"/>
    <w:link w:val="1022"/>
    <w:pPr>
      <w:ind w:left="420"/>
      <w:spacing w:after="120"/>
    </w:pPr>
    <w:rPr>
      <w:sz w:val="16"/>
    </w:rPr>
  </w:style>
  <w:style w:type="character" w:styleId="1022">
    <w:name w:val="正文文本缩进 3 Char"/>
    <w:next w:val="1022"/>
    <w:link w:val="1021"/>
    <w:rPr>
      <w:sz w:val="16"/>
      <w:lang w:bidi="ar-SA"/>
    </w:rPr>
  </w:style>
  <w:style w:type="paragraph" w:styleId="1023">
    <w:name w:val="索引 7"/>
    <w:basedOn w:val="953"/>
    <w:next w:val="953"/>
    <w:link w:val="953"/>
    <w:pPr>
      <w:ind w:left="2520"/>
    </w:pPr>
    <w:rPr>
      <w:rFonts w:eastAsia="楷体_GB2312"/>
      <w:sz w:val="26"/>
    </w:rPr>
  </w:style>
  <w:style w:type="paragraph" w:styleId="1024">
    <w:name w:val="索引 9"/>
    <w:basedOn w:val="953"/>
    <w:next w:val="953"/>
    <w:link w:val="953"/>
    <w:pPr>
      <w:ind w:left="3360"/>
    </w:pPr>
    <w:rPr>
      <w:rFonts w:eastAsia="楷体_GB2312"/>
      <w:sz w:val="26"/>
    </w:rPr>
  </w:style>
  <w:style w:type="paragraph" w:styleId="1025">
    <w:name w:val="图表目录"/>
    <w:basedOn w:val="953"/>
    <w:next w:val="953"/>
    <w:link w:val="953"/>
    <w:pPr>
      <w:ind w:left="420" w:hanging="420"/>
      <w:jc w:val="left"/>
    </w:pPr>
    <w:rPr>
      <w:rFonts w:eastAsia="楷体_GB2312"/>
      <w:smallCaps/>
      <w:sz w:val="24"/>
    </w:rPr>
  </w:style>
  <w:style w:type="paragraph" w:styleId="1026">
    <w:name w:val="目录 2"/>
    <w:basedOn w:val="954"/>
    <w:next w:val="953"/>
    <w:link w:val="953"/>
    <w:pPr>
      <w:ind w:left="420"/>
      <w:tabs>
        <w:tab w:val="left" w:pos="1134" w:leader="none"/>
      </w:tabs>
    </w:pPr>
    <w:rPr>
      <w:rFonts w:eastAsia="楷体_GB2312"/>
      <w:sz w:val="26"/>
    </w:rPr>
  </w:style>
  <w:style w:type="paragraph" w:styleId="1027">
    <w:name w:val="目录 9"/>
    <w:basedOn w:val="953"/>
    <w:next w:val="953"/>
    <w:link w:val="953"/>
    <w:pPr>
      <w:ind w:left="3360"/>
    </w:pPr>
    <w:rPr>
      <w:rFonts w:eastAsia="楷体_GB2312"/>
      <w:sz w:val="26"/>
    </w:rPr>
  </w:style>
  <w:style w:type="paragraph" w:styleId="1028">
    <w:name w:val="正文文本 2"/>
    <w:basedOn w:val="954"/>
    <w:next w:val="982"/>
    <w:link w:val="1029"/>
    <w:pPr>
      <w:spacing w:after="120" w:line="480" w:lineRule="auto"/>
      <w:tabs>
        <w:tab w:val="left" w:pos="1134" w:leader="none"/>
      </w:tabs>
    </w:pPr>
    <w:rPr>
      <w:rFonts w:eastAsia="楷体_GB2312"/>
      <w:sz w:val="26"/>
    </w:rPr>
  </w:style>
  <w:style w:type="character" w:styleId="1029">
    <w:name w:val="正文文本 2 Char"/>
    <w:next w:val="1029"/>
    <w:link w:val="1028"/>
    <w:rPr>
      <w:rFonts w:eastAsia="楷体_GB2312"/>
      <w:sz w:val="26"/>
    </w:rPr>
  </w:style>
  <w:style w:type="paragraph" w:styleId="1030">
    <w:name w:val="HTML 预设格式"/>
    <w:basedOn w:val="953"/>
    <w:next w:val="1030"/>
    <w:link w:val="103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31">
    <w:name w:val="HTML 预设格式 Char"/>
    <w:next w:val="1031"/>
    <w:link w:val="1030"/>
    <w:rPr>
      <w:rFonts w:ascii="黑体" w:hAnsi="Courier New" w:eastAsia="黑体"/>
      <w:lang w:val="en-US" w:eastAsia="zh-CN" w:bidi="ar-SA"/>
    </w:rPr>
  </w:style>
  <w:style w:type="paragraph" w:styleId="1032">
    <w:name w:val="普通(网站)"/>
    <w:basedOn w:val="953"/>
    <w:next w:val="1032"/>
    <w:link w:val="953"/>
    <w:pPr>
      <w:jc w:val="left"/>
      <w:spacing w:before="100" w:beforeAutospacing="1" w:after="100" w:afterAutospacing="1"/>
      <w:widowControl/>
    </w:pPr>
    <w:rPr>
      <w:rFonts w:ascii="宋体" w:hAnsi="宋体" w:cs="宋体"/>
      <w:sz w:val="24"/>
      <w:szCs w:val="24"/>
    </w:rPr>
  </w:style>
  <w:style w:type="paragraph" w:styleId="1033">
    <w:name w:val="索引 2"/>
    <w:basedOn w:val="953"/>
    <w:next w:val="953"/>
    <w:link w:val="953"/>
    <w:pPr>
      <w:ind w:left="420"/>
    </w:pPr>
    <w:rPr>
      <w:rFonts w:eastAsia="楷体_GB2312"/>
      <w:sz w:val="26"/>
    </w:rPr>
  </w:style>
  <w:style w:type="paragraph" w:styleId="1034">
    <w:name w:val="标题"/>
    <w:basedOn w:val="953"/>
    <w:next w:val="1034"/>
    <w:link w:val="1035"/>
    <w:qFormat/>
    <w:pPr>
      <w:jc w:val="center"/>
      <w:spacing w:before="240" w:after="60"/>
      <w:outlineLvl w:val="0"/>
    </w:pPr>
    <w:rPr>
      <w:rFonts w:ascii="Arial" w:hAnsi="Arial"/>
      <w:b/>
      <w:sz w:val="32"/>
    </w:rPr>
  </w:style>
  <w:style w:type="character" w:styleId="1035">
    <w:name w:val="标题 Char"/>
    <w:next w:val="1035"/>
    <w:link w:val="1034"/>
    <w:rPr>
      <w:rFonts w:ascii="Arial" w:hAnsi="Arial" w:eastAsia="宋体"/>
      <w:b/>
      <w:sz w:val="32"/>
      <w:lang w:val="en-US" w:eastAsia="zh-CN" w:bidi="ar-SA"/>
    </w:rPr>
  </w:style>
  <w:style w:type="paragraph" w:styleId="1036">
    <w:name w:val="批注主题"/>
    <w:basedOn w:val="985"/>
    <w:next w:val="985"/>
    <w:link w:val="1037"/>
    <w:rPr>
      <w:b/>
      <w:lang w:eastAsia="en-US"/>
    </w:rPr>
  </w:style>
  <w:style w:type="character" w:styleId="1037">
    <w:name w:val="批注主题 Char"/>
    <w:next w:val="1037"/>
    <w:link w:val="1036"/>
    <w:rPr>
      <w:b/>
      <w:sz w:val="21"/>
      <w:lang w:eastAsia="en-US" w:bidi="ar-SA"/>
    </w:rPr>
  </w:style>
  <w:style w:type="paragraph" w:styleId="1038">
    <w:name w:val="正文首行缩进"/>
    <w:basedOn w:val="990"/>
    <w:next w:val="1040"/>
    <w:link w:val="1039"/>
    <w:pPr>
      <w:ind w:firstLine="420"/>
      <w:jc w:val="both"/>
      <w:spacing w:after="120"/>
    </w:pPr>
    <w:rPr>
      <w:rFonts w:hint="eastAsia" w:ascii="楷体_GB2312" w:eastAsia="楷体_GB2312"/>
      <w:sz w:val="28"/>
    </w:rPr>
  </w:style>
  <w:style w:type="character" w:styleId="1039">
    <w:name w:val="正文首行缩进 Char"/>
    <w:next w:val="1039"/>
    <w:link w:val="1038"/>
    <w:rPr>
      <w:rFonts w:hint="eastAsia" w:ascii="楷体_GB2312" w:eastAsia="楷体_GB2312"/>
      <w:sz w:val="28"/>
      <w:lang w:val="en-US" w:eastAsia="zh-CN" w:bidi="ar-SA"/>
    </w:rPr>
  </w:style>
  <w:style w:type="paragraph" w:styleId="1040">
    <w:name w:val="正文首行缩进 2"/>
    <w:basedOn w:val="965"/>
    <w:next w:val="1040"/>
    <w:link w:val="953"/>
    <w:qFormat/>
    <w:pPr>
      <w:ind w:left="420" w:firstLine="420"/>
      <w:spacing w:after="120" w:line="240" w:lineRule="auto"/>
    </w:pPr>
    <w:rPr>
      <w:rFonts w:ascii="Times New Roman" w:hAnsi="Times New Roman" w:eastAsia="宋体"/>
      <w:sz w:val="21"/>
    </w:rPr>
  </w:style>
  <w:style w:type="table" w:styleId="1041">
    <w:name w:val="网格型"/>
    <w:basedOn w:val="964"/>
    <w:next w:val="1041"/>
    <w:link w:val="953"/>
    <w:uiPriority w:val="59"/>
    <w:rPr>
      <w:rFonts w:ascii="Calibri" w:hAnsi="Calibri" w:eastAsia="宋体" w:cs="Times New Roman"/>
      <w:sz w:val="21"/>
      <w:szCs w:val="22"/>
    </w:rPr>
    <w:tblPr/>
  </w:style>
  <w:style w:type="character" w:styleId="1042">
    <w:name w:val="要点"/>
    <w:next w:val="1042"/>
    <w:link w:val="953"/>
    <w:qFormat/>
    <w:rPr>
      <w:b/>
    </w:rPr>
  </w:style>
  <w:style w:type="character" w:styleId="1043">
    <w:name w:val="页码"/>
    <w:next w:val="1043"/>
    <w:link w:val="953"/>
  </w:style>
  <w:style w:type="character" w:styleId="1044">
    <w:name w:val="已访问的超链接"/>
    <w:next w:val="1044"/>
    <w:link w:val="953"/>
    <w:rPr>
      <w:color w:val="800080"/>
      <w:u w:val="single"/>
    </w:rPr>
  </w:style>
  <w:style w:type="character" w:styleId="1045">
    <w:name w:val="超链接"/>
    <w:next w:val="1045"/>
    <w:link w:val="953"/>
    <w:uiPriority w:val="99"/>
    <w:rPr>
      <w:color w:val="0000ff"/>
      <w:u w:val="single"/>
    </w:rPr>
  </w:style>
  <w:style w:type="character" w:styleId="1046">
    <w:name w:val="批注引用"/>
    <w:next w:val="1046"/>
    <w:link w:val="953"/>
    <w:rPr>
      <w:sz w:val="21"/>
      <w:szCs w:val="21"/>
    </w:rPr>
  </w:style>
  <w:style w:type="character" w:styleId="1047">
    <w:name w:val="脚注引用"/>
    <w:next w:val="1047"/>
    <w:link w:val="953"/>
    <w:rPr>
      <w:vertAlign w:val="superscript"/>
    </w:rPr>
  </w:style>
  <w:style w:type="character" w:styleId="1048">
    <w:name w:val="ca-221"/>
    <w:next w:val="1048"/>
    <w:link w:val="953"/>
    <w:rPr>
      <w:rFonts w:hint="eastAsia" w:ascii="宋体" w:hAnsi="宋体" w:eastAsia="宋体"/>
      <w:color w:val="ff0000"/>
      <w:sz w:val="24"/>
      <w:szCs w:val="24"/>
    </w:rPr>
  </w:style>
  <w:style w:type="character" w:styleId="1049">
    <w:name w:val="Figure Description Char Char"/>
    <w:next w:val="1049"/>
    <w:link w:val="1050"/>
    <w:rPr>
      <w:rFonts w:ascii="Arial" w:hAnsi="Arial" w:eastAsia="黑体"/>
      <w:sz w:val="18"/>
      <w:lang w:val="en-US" w:eastAsia="zh-CN" w:bidi="ar-SA"/>
    </w:rPr>
  </w:style>
  <w:style w:type="paragraph" w:styleId="1050">
    <w:name w:val="Figure Description"/>
    <w:next w:val="953"/>
    <w:link w:val="1049"/>
    <w:pPr>
      <w:ind w:left="1701"/>
      <w:jc w:val="center"/>
      <w:spacing w:before="80" w:after="320"/>
    </w:pPr>
    <w:rPr>
      <w:rFonts w:ascii="Arial" w:hAnsi="Arial" w:eastAsia="黑体"/>
      <w:sz w:val="18"/>
      <w:lang w:val="en-US" w:eastAsia="zh-CN" w:bidi="ar-SA"/>
    </w:rPr>
  </w:style>
  <w:style w:type="character" w:styleId="1051">
    <w:name w:val="正文格式 Char Char"/>
    <w:next w:val="1051"/>
    <w:link w:val="1052"/>
    <w:rPr>
      <w:sz w:val="24"/>
      <w:lang w:bidi="ar-SA"/>
    </w:rPr>
  </w:style>
  <w:style w:type="paragraph" w:styleId="1052">
    <w:name w:val="正文格式"/>
    <w:basedOn w:val="953"/>
    <w:next w:val="1052"/>
    <w:link w:val="1051"/>
    <w:pPr>
      <w:ind w:firstLine="482"/>
      <w:spacing w:line="440" w:lineRule="exact"/>
      <w:widowControl/>
    </w:pPr>
    <w:rPr>
      <w:sz w:val="24"/>
    </w:rPr>
  </w:style>
  <w:style w:type="character" w:styleId="1053">
    <w:name w:val="样式 标题 1tzy1h1Heading 0H1Heading 01H11(A-1)(Alt+1)(Alt+1... Char Char"/>
    <w:next w:val="1053"/>
    <w:link w:val="1054"/>
    <w:rPr>
      <w:rFonts w:ascii="宋体" w:hAnsi="宋体" w:eastAsia="宋体"/>
      <w:b/>
      <w:sz w:val="32"/>
      <w:lang w:val="en-US" w:eastAsia="zh-CN" w:bidi="ar-SA"/>
    </w:rPr>
  </w:style>
  <w:style w:type="paragraph" w:styleId="1054">
    <w:name w:val="样式 标题 1tzy1h1Heading 0H1Heading 01H11(A-1)(Alt+1)(Alt+1..."/>
    <w:basedOn w:val="954"/>
    <w:next w:val="1054"/>
    <w:link w:val="1053"/>
    <w:pPr>
      <w:ind w:left="852" w:hanging="567"/>
      <w:spacing w:line="360" w:lineRule="auto"/>
      <w:tabs>
        <w:tab w:val="left" w:pos="512" w:leader="none"/>
      </w:tabs>
    </w:pPr>
    <w:rPr>
      <w:sz w:val="32"/>
    </w:rPr>
  </w:style>
  <w:style w:type="character" w:styleId="1055">
    <w:name w:val="样式 正文缩进 + 首行缩进:  2 字符 Char Char"/>
    <w:next w:val="1055"/>
    <w:link w:val="1056"/>
    <w:rPr>
      <w:sz w:val="24"/>
      <w:lang w:bidi="ar-SA"/>
    </w:rPr>
  </w:style>
  <w:style w:type="paragraph" w:styleId="1056">
    <w:name w:val="样式 正文缩进 + 首行缩进:  2 字符"/>
    <w:basedOn w:val="979"/>
    <w:next w:val="1056"/>
    <w:link w:val="1055"/>
    <w:pPr>
      <w:ind w:firstLine="200"/>
      <w:jc w:val="left"/>
      <w:spacing w:line="360" w:lineRule="auto"/>
    </w:pPr>
    <w:rPr>
      <w:sz w:val="24"/>
    </w:rPr>
  </w:style>
  <w:style w:type="character" w:styleId="1057">
    <w:name w:val="Table Description Char Char Char"/>
    <w:next w:val="1057"/>
    <w:link w:val="1058"/>
    <w:rPr>
      <w:rFonts w:ascii="Arial" w:hAnsi="Arial" w:eastAsia="黑体"/>
      <w:sz w:val="18"/>
      <w:lang w:val="en-US" w:eastAsia="zh-CN" w:bidi="ar-SA"/>
    </w:rPr>
  </w:style>
  <w:style w:type="paragraph" w:styleId="1058">
    <w:name w:val="Table Description Char"/>
    <w:next w:val="953"/>
    <w:link w:val="1057"/>
    <w:pPr>
      <w:ind w:left="1701"/>
      <w:jc w:val="center"/>
      <w:keepNext/>
      <w:spacing w:before="160" w:after="80"/>
    </w:pPr>
    <w:rPr>
      <w:rFonts w:ascii="Arial" w:hAnsi="Arial" w:eastAsia="黑体"/>
      <w:sz w:val="18"/>
      <w:lang w:val="en-US" w:eastAsia="zh-CN" w:bidi="ar-SA"/>
    </w:rPr>
  </w:style>
  <w:style w:type="character" w:styleId="1059">
    <w:name w:val="小表格内容 Char Char"/>
    <w:next w:val="1059"/>
    <w:link w:val="1060"/>
    <w:rPr>
      <w:rFonts w:ascii="Arial" w:hAnsi="Arial" w:eastAsia="仿宋_GB2312"/>
      <w:sz w:val="21"/>
      <w:lang w:val="en-US" w:eastAsia="zh-CN" w:bidi="ar-SA"/>
    </w:rPr>
  </w:style>
  <w:style w:type="paragraph" w:styleId="1060">
    <w:name w:val="小表格内容"/>
    <w:next w:val="1060"/>
    <w:link w:val="1059"/>
    <w:pPr>
      <w:spacing w:line="0" w:lineRule="atLeast"/>
    </w:pPr>
    <w:rPr>
      <w:rFonts w:ascii="Arial" w:hAnsi="Arial" w:eastAsia="仿宋_GB2312"/>
      <w:sz w:val="21"/>
      <w:lang w:val="en-US" w:eastAsia="zh-CN" w:bidi="ar-SA"/>
    </w:rPr>
  </w:style>
  <w:style w:type="character" w:styleId="1061">
    <w:name w:val=" Char Char"/>
    <w:next w:val="1061"/>
    <w:link w:val="1062"/>
    <w:rPr>
      <w:rFonts w:ascii="Verdana" w:hAnsi="Verdana" w:eastAsia="仿宋_GB2312"/>
      <w:sz w:val="24"/>
      <w:lang w:eastAsia="en-US"/>
    </w:rPr>
  </w:style>
  <w:style w:type="paragraph" w:styleId="1062">
    <w:name w:val=" Char"/>
    <w:basedOn w:val="953"/>
    <w:next w:val="1062"/>
    <w:link w:val="1061"/>
    <w:pPr>
      <w:jc w:val="left"/>
      <w:spacing w:after="160" w:line="240" w:lineRule="exact"/>
      <w:widowControl/>
    </w:pPr>
    <w:rPr>
      <w:rFonts w:ascii="Verdana" w:hAnsi="Verdana" w:eastAsia="仿宋_GB2312"/>
      <w:sz w:val="24"/>
      <w:lang w:eastAsia="en-US"/>
    </w:rPr>
  </w:style>
  <w:style w:type="character" w:styleId="1063">
    <w:name w:val="No Spacing Char Char"/>
    <w:next w:val="1063"/>
    <w:link w:val="1064"/>
    <w:rPr>
      <w:rFonts w:ascii="Calibri" w:hAnsi="Calibri" w:eastAsia="Times New Roman"/>
      <w:sz w:val="22"/>
      <w:lang w:val="en-US" w:eastAsia="en-US" w:bidi="ar-SA"/>
    </w:rPr>
  </w:style>
  <w:style w:type="paragraph" w:styleId="1064">
    <w:name w:val="No Spacing"/>
    <w:next w:val="1064"/>
    <w:link w:val="1063"/>
    <w:rPr>
      <w:rFonts w:ascii="Calibri" w:hAnsi="Calibri" w:eastAsia="Times New Roman"/>
      <w:sz w:val="22"/>
      <w:lang w:val="en-US" w:eastAsia="en-US" w:bidi="ar-SA"/>
    </w:rPr>
  </w:style>
  <w:style w:type="character" w:styleId="1065">
    <w:name w:val="正文文本 Char,NICMAN Body Text Char,Body Text(ch) Char"/>
    <w:next w:val="1065"/>
    <w:link w:val="953"/>
    <w:rPr>
      <w:rFonts w:hint="eastAsia" w:ascii="楷体_GB2312" w:eastAsia="楷体_GB2312"/>
      <w:sz w:val="28"/>
      <w:lang w:val="en-US" w:eastAsia="zh-CN"/>
    </w:rPr>
  </w:style>
  <w:style w:type="paragraph" w:styleId="1066">
    <w:name w:val="xl61"/>
    <w:basedOn w:val="953"/>
    <w:next w:val="1066"/>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67">
    <w:name w:val="xl53"/>
    <w:basedOn w:val="953"/>
    <w:next w:val="1067"/>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8">
    <w:name w:val="xl58"/>
    <w:basedOn w:val="953"/>
    <w:next w:val="1068"/>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9">
    <w:name w:val="xl50"/>
    <w:basedOn w:val="953"/>
    <w:next w:val="1069"/>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70">
    <w:name w:val="xl52"/>
    <w:basedOn w:val="953"/>
    <w:next w:val="1070"/>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1">
    <w:name w:val="小四 段落 宋体 Char Char Char Char Char Char Char"/>
    <w:basedOn w:val="978"/>
    <w:next w:val="1071"/>
    <w:link w:val="953"/>
    <w:semiHidden/>
    <w:pPr>
      <w:ind w:left="0" w:right="-33" w:firstLine="545"/>
      <w:jc w:val="left"/>
      <w:spacing w:line="360" w:lineRule="auto"/>
      <w:tabs>
        <w:tab w:val="clear" w:pos="1125" w:leader="none"/>
      </w:tabs>
    </w:pPr>
    <w:rPr>
      <w:sz w:val="24"/>
    </w:rPr>
  </w:style>
  <w:style w:type="paragraph" w:styleId="1072">
    <w:name w:val=" Char Char Char"/>
    <w:basedOn w:val="953"/>
    <w:next w:val="1072"/>
    <w:link w:val="953"/>
    <w:rPr>
      <w:rFonts w:ascii="Tahoma" w:hAnsi="Tahoma"/>
      <w:sz w:val="24"/>
    </w:rPr>
  </w:style>
  <w:style w:type="paragraph" w:styleId="1073">
    <w:name w:val="xl47"/>
    <w:basedOn w:val="953"/>
    <w:next w:val="1073"/>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74">
    <w:name w:val="小四 段落 宋体 Char Char Char Char Char Char"/>
    <w:basedOn w:val="1071"/>
    <w:next w:val="1074"/>
    <w:link w:val="953"/>
    <w:pPr>
      <w:ind w:firstLine="480"/>
    </w:pPr>
    <w:rPr>
      <w:rFonts w:ascii="宋体" w:hAnsi="宋体"/>
    </w:rPr>
  </w:style>
  <w:style w:type="paragraph" w:styleId="1075">
    <w:name w:val="font6"/>
    <w:basedOn w:val="953"/>
    <w:next w:val="1075"/>
    <w:link w:val="953"/>
    <w:pPr>
      <w:jc w:val="left"/>
      <w:spacing w:before="100" w:beforeAutospacing="1" w:after="100" w:afterAutospacing="1"/>
      <w:widowControl/>
    </w:pPr>
    <w:rPr>
      <w:rFonts w:hint="eastAsia" w:ascii="宋体" w:hAnsi="宋体" w:cs="Arial Unicode MS"/>
      <w:b/>
      <w:bCs/>
      <w:sz w:val="18"/>
      <w:szCs w:val="18"/>
    </w:rPr>
  </w:style>
  <w:style w:type="paragraph" w:styleId="1076">
    <w:name w:val="xl57"/>
    <w:basedOn w:val="953"/>
    <w:next w:val="1076"/>
    <w:link w:val="95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7">
    <w:name w:val="xl45"/>
    <w:basedOn w:val="953"/>
    <w:next w:val="1077"/>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8">
    <w:name w:val="xl64"/>
    <w:basedOn w:val="953"/>
    <w:next w:val="1078"/>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79">
    <w:name w:val="xl54"/>
    <w:basedOn w:val="953"/>
    <w:next w:val="1079"/>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0">
    <w:name w:val="小四 段落 宋体 Char"/>
    <w:basedOn w:val="978"/>
    <w:next w:val="1080"/>
    <w:link w:val="953"/>
    <w:pPr>
      <w:ind w:left="0" w:right="-33" w:firstLine="480"/>
      <w:jc w:val="left"/>
      <w:spacing w:line="360" w:lineRule="auto"/>
      <w:tabs>
        <w:tab w:val="clear" w:pos="1125" w:leader="none"/>
      </w:tabs>
    </w:pPr>
    <w:rPr>
      <w:sz w:val="24"/>
    </w:rPr>
  </w:style>
  <w:style w:type="paragraph" w:styleId="1081">
    <w:name w:val="xl51"/>
    <w:basedOn w:val="953"/>
    <w:next w:val="1081"/>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82">
    <w:name w:val="p0"/>
    <w:basedOn w:val="953"/>
    <w:next w:val="1082"/>
    <w:link w:val="953"/>
    <w:pPr>
      <w:widowControl/>
    </w:pPr>
    <w:rPr>
      <w:rFonts w:ascii="Calibri" w:hAnsi="Calibri" w:cs="宋体"/>
      <w:szCs w:val="21"/>
    </w:rPr>
  </w:style>
  <w:style w:type="paragraph" w:styleId="1083">
    <w:name w:val="xl24"/>
    <w:basedOn w:val="953"/>
    <w:next w:val="1083"/>
    <w:link w:val="953"/>
    <w:pPr>
      <w:jc w:val="center"/>
      <w:spacing w:before="100" w:beforeAutospacing="1" w:after="100" w:afterAutospacing="1"/>
      <w:widowControl/>
    </w:pPr>
    <w:rPr>
      <w:rFonts w:hint="eastAsia" w:ascii="宋体" w:hAnsi="宋体"/>
      <w:sz w:val="24"/>
      <w:szCs w:val="24"/>
    </w:rPr>
  </w:style>
  <w:style w:type="paragraph" w:styleId="1084">
    <w:name w:val="正文缩进 Char Char"/>
    <w:basedOn w:val="953"/>
    <w:next w:val="1084"/>
    <w:link w:val="953"/>
    <w:pPr>
      <w:ind w:firstLine="420"/>
    </w:pPr>
  </w:style>
  <w:style w:type="paragraph" w:styleId="1085">
    <w:name w:val="Plain Text"/>
    <w:basedOn w:val="953"/>
    <w:next w:val="1085"/>
    <w:link w:val="1086"/>
    <w:qFormat/>
    <w:rPr>
      <w:rFonts w:ascii="宋体" w:hAnsi="Courier New" w:eastAsia="楷体_GB2312"/>
      <w:sz w:val="26"/>
    </w:rPr>
  </w:style>
  <w:style w:type="character" w:styleId="1086">
    <w:name w:val="Plain Text Char"/>
    <w:next w:val="1086"/>
    <w:link w:val="1085"/>
    <w:qFormat/>
    <w:rPr>
      <w:rFonts w:ascii="宋体" w:hAnsi="Courier New" w:eastAsia="楷体_GB2312"/>
      <w:sz w:val="26"/>
    </w:rPr>
  </w:style>
  <w:style w:type="paragraph" w:styleId="1087">
    <w:name w:val="xl46"/>
    <w:basedOn w:val="953"/>
    <w:next w:val="1087"/>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8">
    <w:name w:val="font5"/>
    <w:basedOn w:val="953"/>
    <w:next w:val="1088"/>
    <w:link w:val="953"/>
    <w:pPr>
      <w:jc w:val="left"/>
      <w:spacing w:before="100" w:beforeAutospacing="1" w:after="100" w:afterAutospacing="1"/>
      <w:widowControl/>
    </w:pPr>
    <w:rPr>
      <w:rFonts w:hint="eastAsia" w:ascii="宋体" w:hAnsi="宋体"/>
      <w:sz w:val="18"/>
      <w:szCs w:val="18"/>
    </w:rPr>
  </w:style>
  <w:style w:type="paragraph" w:styleId="1089">
    <w:name w:val="xl48"/>
    <w:basedOn w:val="953"/>
    <w:next w:val="1089"/>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90">
    <w:name w:val="xl49"/>
    <w:basedOn w:val="953"/>
    <w:next w:val="1090"/>
    <w:link w:val="953"/>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91">
    <w:name w:val="xl55"/>
    <w:basedOn w:val="953"/>
    <w:next w:val="1091"/>
    <w:link w:val="95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2">
    <w:name w:val="xl56"/>
    <w:basedOn w:val="953"/>
    <w:next w:val="1092"/>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3">
    <w:name w:val="xl59"/>
    <w:basedOn w:val="953"/>
    <w:next w:val="1093"/>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4">
    <w:name w:val="font7"/>
    <w:basedOn w:val="953"/>
    <w:next w:val="1094"/>
    <w:link w:val="953"/>
    <w:qFormat/>
    <w:pPr>
      <w:jc w:val="left"/>
      <w:spacing w:before="100" w:beforeAutospacing="1" w:after="100" w:afterAutospacing="1"/>
      <w:widowControl/>
    </w:pPr>
    <w:rPr>
      <w:sz w:val="20"/>
    </w:rPr>
  </w:style>
  <w:style w:type="paragraph" w:styleId="1095">
    <w:name w:val="xl60"/>
    <w:basedOn w:val="953"/>
    <w:next w:val="1095"/>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6">
    <w:name w:val="xl62"/>
    <w:basedOn w:val="953"/>
    <w:next w:val="1096"/>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97">
    <w:name w:val="中等深浅网格 1 - 强调文字颜色 21"/>
    <w:basedOn w:val="953"/>
    <w:next w:val="1097"/>
    <w:link w:val="953"/>
    <w:uiPriority w:val="34"/>
    <w:qFormat/>
    <w:pPr>
      <w:ind w:firstLine="420"/>
    </w:pPr>
    <w:rPr>
      <w:rFonts w:ascii="Calibri" w:hAnsi="Calibri"/>
      <w:szCs w:val="22"/>
    </w:rPr>
  </w:style>
  <w:style w:type="paragraph" w:styleId="1098">
    <w:name w:val="xl63"/>
    <w:basedOn w:val="953"/>
    <w:next w:val="1098"/>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99">
    <w:name w:val="xl65"/>
    <w:basedOn w:val="953"/>
    <w:next w:val="1099"/>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0">
    <w:name w:val="xl66"/>
    <w:basedOn w:val="953"/>
    <w:next w:val="1100"/>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1">
    <w:name w:val="Char"/>
    <w:basedOn w:val="953"/>
    <w:next w:val="1101"/>
    <w:link w:val="953"/>
    <w:rPr>
      <w:rFonts w:ascii="Tahoma" w:hAnsi="Tahoma"/>
      <w:sz w:val="24"/>
    </w:rPr>
  </w:style>
  <w:style w:type="paragraph" w:styleId="1102">
    <w:name w:val="List Paragraph"/>
    <w:basedOn w:val="953"/>
    <w:next w:val="1103"/>
    <w:link w:val="953"/>
    <w:pPr>
      <w:ind w:firstLine="420"/>
    </w:pPr>
    <w:rPr>
      <w:rFonts w:ascii="Calibri" w:hAnsi="Calibri"/>
      <w:szCs w:val="22"/>
    </w:rPr>
  </w:style>
  <w:style w:type="paragraph" w:styleId="1103">
    <w:name w:val="xl91"/>
    <w:basedOn w:val="954"/>
    <w:next w:val="1104"/>
    <w:link w:val="953"/>
    <w:qFormat/>
    <w:pPr>
      <w:ind w:left="0" w:firstLine="3584"/>
      <w:spacing w:before="280" w:after="280" w:line="240" w:lineRule="auto"/>
      <w:tabs>
        <w:tab w:val="left" w:pos="1134" w:leader="none"/>
      </w:tabs>
    </w:pPr>
  </w:style>
  <w:style w:type="paragraph" w:styleId="1104">
    <w:name w:val="xl76"/>
    <w:basedOn w:val="954"/>
    <w:next w:val="1028"/>
    <w:link w:val="953"/>
    <w:qFormat/>
    <w:pPr>
      <w:ind w:left="0" w:firstLine="3584"/>
      <w:jc w:val="center"/>
      <w:spacing w:before="280" w:after="280" w:line="240" w:lineRule="auto"/>
      <w:tabs>
        <w:tab w:val="left" w:pos="1134" w:leader="none"/>
      </w:tabs>
    </w:pPr>
  </w:style>
  <w:style w:type="paragraph" w:styleId="1105">
    <w:name w:val="纯文本1"/>
    <w:basedOn w:val="953"/>
    <w:next w:val="1105"/>
    <w:link w:val="953"/>
    <w:qFormat/>
    <w:rPr>
      <w:rFonts w:ascii="宋体" w:hAnsi="Courier New" w:eastAsia="楷体_GB2312"/>
      <w:sz w:val="28"/>
    </w:rPr>
  </w:style>
  <w:style w:type="paragraph" w:styleId="1106">
    <w:name w:val="Default"/>
    <w:next w:val="1106"/>
    <w:link w:val="953"/>
    <w:pPr>
      <w:widowControl w:val="off"/>
    </w:pPr>
    <w:rPr>
      <w:rFonts w:ascii="仿宋" w:eastAsia="仿宋" w:cs="仿宋"/>
      <w:color w:val="000000"/>
      <w:sz w:val="24"/>
      <w:szCs w:val="24"/>
      <w:lang w:val="en-US" w:eastAsia="zh-CN" w:bidi="ar-SA"/>
    </w:rPr>
  </w:style>
  <w:style w:type="paragraph" w:styleId="1107">
    <w:name w:val="一级目录"/>
    <w:next w:val="953"/>
    <w:link w:val="953"/>
    <w:pPr>
      <w:jc w:val="center"/>
      <w:outlineLvl w:val="0"/>
    </w:pPr>
    <w:rPr>
      <w:rFonts w:ascii="黑体" w:eastAsia="黑体"/>
      <w:b/>
      <w:sz w:val="44"/>
      <w:szCs w:val="44"/>
      <w:lang w:val="en-US" w:eastAsia="zh-CN" w:bidi="ar-SA"/>
    </w:rPr>
  </w:style>
  <w:style w:type="character" w:styleId="1108">
    <w:name w:val="纯文本 Char1"/>
    <w:next w:val="1108"/>
    <w:link w:val="953"/>
    <w:rPr>
      <w:rFonts w:ascii="宋体" w:hAnsi="Courier New" w:eastAsia="楷体_GB2312"/>
      <w:sz w:val="26"/>
      <w:lang w:val="en-US" w:eastAsia="zh-CN" w:bidi="ar-SA"/>
    </w:rPr>
  </w:style>
  <w:style w:type="character" w:styleId="1109">
    <w:name w:val="正文缩进 Char1"/>
    <w:next w:val="1109"/>
    <w:link w:val="953"/>
    <w:rPr>
      <w:rFonts w:eastAsia="楷体_GB2312"/>
      <w:sz w:val="24"/>
      <w:lang w:val="en-US" w:eastAsia="zh-CN" w:bidi="ar-SA"/>
    </w:rPr>
  </w:style>
  <w:style w:type="paragraph" w:styleId="1110">
    <w:name w:val="首行缩进"/>
    <w:basedOn w:val="953"/>
    <w:next w:val="1110"/>
    <w:link w:val="953"/>
    <w:qFormat/>
    <w:pPr>
      <w:ind w:firstLine="480"/>
    </w:pPr>
    <w:rPr>
      <w:szCs w:val="20"/>
      <w:lang w:val="zh-CN"/>
    </w:rPr>
  </w:style>
  <w:style w:type="paragraph" w:styleId="1111">
    <w:name w:val="纯文本3"/>
    <w:basedOn w:val="953"/>
    <w:next w:val="1111"/>
    <w:link w:val="953"/>
    <w:qFormat/>
    <w:rPr>
      <w:rFonts w:ascii="宋体" w:hAnsi="Courier New"/>
    </w:rPr>
  </w:style>
  <w:style w:type="paragraph" w:styleId="1112">
    <w:name w:val="pf0"/>
    <w:basedOn w:val="953"/>
    <w:next w:val="1112"/>
    <w:link w:val="953"/>
    <w:qFormat/>
    <w:pPr>
      <w:spacing w:before="100" w:beforeAutospacing="1" w:after="100" w:afterAutospacing="1"/>
    </w:pPr>
    <w:rPr>
      <w:rFonts w:ascii="宋体" w:hAnsi="宋体" w:cs="宋体"/>
      <w:sz w:val="24"/>
    </w:rPr>
  </w:style>
  <w:style w:type="paragraph" w:styleId="1113">
    <w:name w:val="WPSOffice手动目录 1"/>
    <w:next w:val="1113"/>
    <w:link w:val="953"/>
    <w:rPr>
      <w:sz w:val="20"/>
      <w:szCs w:val="20"/>
    </w:rPr>
  </w:style>
  <w:style w:type="character" w:styleId="1114" w:default="1">
    <w:name w:val="Default Paragraph Font"/>
    <w:uiPriority w:val="1"/>
    <w:semiHidden/>
    <w:unhideWhenUsed/>
  </w:style>
  <w:style w:type="numbering" w:styleId="1115" w:default="1">
    <w:name w:val="No List"/>
    <w:uiPriority w:val="99"/>
    <w:semiHidden/>
    <w:unhideWhenUsed/>
  </w:style>
  <w:style w:type="table" w:styleId="11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第四章 </dc:title>
  <dc:creator>us</dc:creator>
  <cp:lastModifiedBy>罗来山1</cp:lastModifiedBy>
  <cp:revision>18</cp:revision>
  <dcterms:created xsi:type="dcterms:W3CDTF">2022-04-01T05:21:00Z</dcterms:created>
  <dcterms:modified xsi:type="dcterms:W3CDTF">2026-04-16T07:24:26Z</dcterms:modified>
</cp:coreProperties>
</file>