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5C6CB">
      <w:pPr>
        <w:jc w:val="center"/>
        <w:rPr>
          <w:rFonts w:ascii="仿宋_GB2312" w:eastAsia="仿宋_GB2312"/>
          <w:b/>
          <w:bCs/>
          <w:sz w:val="36"/>
          <w:szCs w:val="36"/>
        </w:rPr>
      </w:pPr>
      <w:r>
        <w:rPr>
          <w:rFonts w:hint="eastAsia" w:ascii="仿宋_GB2312" w:hAnsi="仿宋_GB2312" w:eastAsia="仿宋_GB2312" w:cs="仿宋_GB2312"/>
          <w:b/>
          <w:bCs/>
          <w:color w:val="000000"/>
          <w:sz w:val="36"/>
          <w:szCs w:val="36"/>
          <w:lang w:val="zh-CN"/>
        </w:rPr>
        <w:t>镇江市妇幼保健院医学影像中心（明鉴楼）装饰工程项目</w:t>
      </w:r>
      <w:r>
        <w:rPr>
          <w:rFonts w:hint="eastAsia" w:ascii="仿宋_GB2312" w:eastAsia="仿宋_GB2312"/>
          <w:b/>
          <w:bCs/>
          <w:sz w:val="36"/>
          <w:szCs w:val="36"/>
        </w:rPr>
        <w:t>工程量清单编制说明</w:t>
      </w:r>
    </w:p>
    <w:p w14:paraId="1EADD7B0">
      <w:pPr>
        <w:spacing w:line="440" w:lineRule="exact"/>
        <w:rPr>
          <w:rFonts w:ascii="仿宋" w:hAnsi="仿宋" w:eastAsia="仿宋"/>
          <w:b/>
          <w:color w:val="000000"/>
          <w:sz w:val="28"/>
          <w:szCs w:val="28"/>
        </w:rPr>
      </w:pPr>
      <w:r>
        <w:rPr>
          <w:rFonts w:hint="eastAsia" w:ascii="仿宋" w:hAnsi="仿宋" w:eastAsia="仿宋"/>
          <w:b/>
          <w:color w:val="000000"/>
          <w:sz w:val="28"/>
          <w:szCs w:val="28"/>
        </w:rPr>
        <w:t>一、工程概况</w:t>
      </w:r>
    </w:p>
    <w:p w14:paraId="5BF54C2A">
      <w:pPr>
        <w:spacing w:line="440" w:lineRule="exact"/>
        <w:ind w:firstLine="480" w:firstLineChars="200"/>
        <w:rPr>
          <w:rFonts w:ascii="仿宋" w:hAnsi="仿宋" w:eastAsia="仿宋"/>
          <w:color w:val="000000"/>
          <w:sz w:val="24"/>
          <w:szCs w:val="24"/>
        </w:rPr>
      </w:pPr>
      <w:r>
        <w:rPr>
          <w:rFonts w:hint="eastAsia" w:ascii="仿宋_GB2312" w:hAnsi="仿宋_GB2312" w:eastAsia="仿宋_GB2312" w:cs="仿宋_GB2312"/>
          <w:color w:val="000000"/>
          <w:sz w:val="24"/>
          <w:szCs w:val="24"/>
          <w:lang w:val="zh-CN"/>
        </w:rPr>
        <w:t>镇江市妇幼保健院医学影像中心（明鉴楼）装饰工程项目</w:t>
      </w:r>
      <w:r>
        <w:rPr>
          <w:rFonts w:hint="eastAsia" w:ascii="仿宋" w:hAnsi="仿宋" w:eastAsia="仿宋"/>
          <w:color w:val="000000"/>
          <w:sz w:val="24"/>
          <w:szCs w:val="24"/>
        </w:rPr>
        <w:t>。</w:t>
      </w:r>
    </w:p>
    <w:p w14:paraId="66D2B8C7">
      <w:pPr>
        <w:spacing w:line="440" w:lineRule="exact"/>
        <w:rPr>
          <w:rFonts w:ascii="仿宋" w:hAnsi="仿宋" w:eastAsia="仿宋"/>
          <w:b/>
          <w:color w:val="000000"/>
          <w:sz w:val="28"/>
          <w:szCs w:val="28"/>
        </w:rPr>
      </w:pPr>
      <w:r>
        <w:rPr>
          <w:rFonts w:hint="eastAsia" w:ascii="仿宋" w:hAnsi="仿宋" w:eastAsia="仿宋"/>
          <w:b/>
          <w:color w:val="000000"/>
          <w:sz w:val="28"/>
          <w:szCs w:val="28"/>
        </w:rPr>
        <w:t>二、工程量清单编制依据</w:t>
      </w:r>
    </w:p>
    <w:p w14:paraId="0C360B19">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1、《建设工程工程量清单计价规范》（GB50500—2013）、《江苏省建筑与装饰工程计价定额》（2014版）、《江苏省</w:t>
      </w:r>
      <w:r>
        <w:rPr>
          <w:rFonts w:hint="eastAsia" w:ascii="仿宋" w:hAnsi="仿宋" w:eastAsia="仿宋"/>
          <w:color w:val="000000"/>
          <w:sz w:val="24"/>
          <w:szCs w:val="24"/>
        </w:rPr>
        <w:t>安装</w:t>
      </w:r>
      <w:r>
        <w:rPr>
          <w:rFonts w:ascii="仿宋" w:hAnsi="仿宋" w:eastAsia="仿宋"/>
          <w:color w:val="000000"/>
          <w:sz w:val="24"/>
          <w:szCs w:val="24"/>
        </w:rPr>
        <w:t>工程计价定额》（2014版）、《江苏省</w:t>
      </w:r>
      <w:r>
        <w:rPr>
          <w:rFonts w:hint="eastAsia" w:ascii="仿宋" w:hAnsi="仿宋" w:eastAsia="仿宋"/>
          <w:color w:val="000000"/>
          <w:sz w:val="24"/>
          <w:szCs w:val="24"/>
        </w:rPr>
        <w:t>市政</w:t>
      </w:r>
      <w:r>
        <w:rPr>
          <w:rFonts w:ascii="仿宋" w:hAnsi="仿宋" w:eastAsia="仿宋"/>
          <w:color w:val="000000"/>
          <w:sz w:val="24"/>
          <w:szCs w:val="24"/>
        </w:rPr>
        <w:t>工程计价</w:t>
      </w:r>
      <w:r>
        <w:rPr>
          <w:rFonts w:hint="eastAsia" w:ascii="仿宋" w:hAnsi="仿宋" w:eastAsia="仿宋"/>
          <w:color w:val="000000"/>
          <w:sz w:val="24"/>
          <w:szCs w:val="24"/>
        </w:rPr>
        <w:t>定额</w:t>
      </w:r>
      <w:r>
        <w:rPr>
          <w:rFonts w:ascii="仿宋" w:hAnsi="仿宋" w:eastAsia="仿宋"/>
          <w:color w:val="000000"/>
          <w:sz w:val="24"/>
          <w:szCs w:val="24"/>
        </w:rPr>
        <w:t>》（20</w:t>
      </w:r>
      <w:r>
        <w:rPr>
          <w:rFonts w:hint="eastAsia" w:ascii="仿宋" w:hAnsi="仿宋" w:eastAsia="仿宋"/>
          <w:color w:val="000000"/>
          <w:sz w:val="24"/>
          <w:szCs w:val="24"/>
        </w:rPr>
        <w:t>14</w:t>
      </w:r>
      <w:r>
        <w:rPr>
          <w:rFonts w:ascii="仿宋" w:hAnsi="仿宋" w:eastAsia="仿宋"/>
          <w:color w:val="000000"/>
          <w:sz w:val="24"/>
          <w:szCs w:val="24"/>
        </w:rPr>
        <w:t>版）、2014年《江苏省建设工程费用定额》。</w:t>
      </w:r>
    </w:p>
    <w:p w14:paraId="654D831F">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甲方提供的设计图纸及相关图集、工程量清单。</w:t>
      </w:r>
    </w:p>
    <w:p w14:paraId="0CEF0076">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3、截止202</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年</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月江苏省及镇江市相关计价文件；人工工资执行苏建函价〔2025〕</w:t>
      </w:r>
      <w:r>
        <w:rPr>
          <w:rFonts w:hint="eastAsia" w:ascii="仿宋" w:hAnsi="仿宋" w:eastAsia="仿宋"/>
          <w:color w:val="000000"/>
          <w:sz w:val="24"/>
          <w:szCs w:val="24"/>
          <w:lang w:val="en-US" w:eastAsia="zh-CN"/>
        </w:rPr>
        <w:t>273</w:t>
      </w:r>
      <w:r>
        <w:rPr>
          <w:rFonts w:hint="eastAsia" w:ascii="仿宋" w:hAnsi="仿宋" w:eastAsia="仿宋"/>
          <w:color w:val="000000"/>
          <w:sz w:val="24"/>
          <w:szCs w:val="24"/>
        </w:rPr>
        <w:t>号文，税金执行苏建函价〔</w:t>
      </w:r>
      <w:r>
        <w:rPr>
          <w:rFonts w:ascii="仿宋" w:hAnsi="仿宋" w:eastAsia="仿宋"/>
          <w:color w:val="000000"/>
          <w:sz w:val="24"/>
          <w:szCs w:val="24"/>
        </w:rPr>
        <w:t>2019</w:t>
      </w:r>
      <w:r>
        <w:rPr>
          <w:rFonts w:hint="eastAsia" w:ascii="仿宋" w:hAnsi="仿宋" w:eastAsia="仿宋"/>
          <w:color w:val="000000"/>
          <w:sz w:val="24"/>
          <w:szCs w:val="24"/>
        </w:rPr>
        <w:t>〕</w:t>
      </w:r>
      <w:r>
        <w:rPr>
          <w:rFonts w:ascii="仿宋" w:hAnsi="仿宋" w:eastAsia="仿宋"/>
          <w:color w:val="000000"/>
          <w:sz w:val="24"/>
          <w:szCs w:val="24"/>
        </w:rPr>
        <w:t>178</w:t>
      </w:r>
      <w:r>
        <w:rPr>
          <w:rFonts w:hint="eastAsia" w:ascii="仿宋" w:hAnsi="仿宋" w:eastAsia="仿宋"/>
          <w:color w:val="000000"/>
          <w:sz w:val="24"/>
          <w:szCs w:val="24"/>
        </w:rPr>
        <w:t>号</w:t>
      </w:r>
      <w:r>
        <w:rPr>
          <w:rFonts w:ascii="仿宋" w:hAnsi="仿宋" w:eastAsia="仿宋"/>
          <w:color w:val="000000"/>
          <w:sz w:val="24"/>
          <w:szCs w:val="24"/>
        </w:rPr>
        <w:t>文。</w:t>
      </w:r>
    </w:p>
    <w:p w14:paraId="2734164F">
      <w:pPr>
        <w:spacing w:line="440" w:lineRule="exact"/>
        <w:rPr>
          <w:rFonts w:ascii="仿宋" w:hAnsi="仿宋" w:eastAsia="仿宋"/>
          <w:b/>
          <w:color w:val="000000"/>
          <w:sz w:val="28"/>
          <w:szCs w:val="28"/>
        </w:rPr>
      </w:pPr>
      <w:r>
        <w:rPr>
          <w:rFonts w:hint="eastAsia" w:ascii="仿宋" w:hAnsi="仿宋" w:eastAsia="仿宋"/>
          <w:b/>
          <w:color w:val="000000"/>
          <w:sz w:val="28"/>
          <w:szCs w:val="28"/>
        </w:rPr>
        <w:t>三、工程类别、安全文明施工费及规费</w:t>
      </w:r>
    </w:p>
    <w:p w14:paraId="452C124C">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1、工程类别及取费标准按规定计取。 </w:t>
      </w:r>
    </w:p>
    <w:p w14:paraId="3BE197E5">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安全文明施工措施费和工程按质论价费按2014年费用定额及江苏省住房和城乡建设厅公告[2018]第24号文件标准执行。除现场安全文明施工措施费、各项规费、综合税金按镇江市规定费率计取外，其余由各投标单位自主报价。</w:t>
      </w:r>
    </w:p>
    <w:p w14:paraId="33FB15D9">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3、扬尘污染防治增加费按〔2018〕第24号规定计取；</w:t>
      </w:r>
    </w:p>
    <w:p w14:paraId="19B4AC78">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4、环境保护税根据镇建价〔2019〕第14号文发包价中不再计列；</w:t>
      </w:r>
    </w:p>
    <w:p w14:paraId="7B9A949D">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5、本工程不可竞争费费率如下表（</w:t>
      </w:r>
      <w:r>
        <w:rPr>
          <w:rFonts w:ascii="仿宋" w:hAnsi="仿宋" w:eastAsia="仿宋"/>
          <w:color w:val="000000"/>
          <w:sz w:val="24"/>
          <w:szCs w:val="24"/>
        </w:rPr>
        <w:t>%）：</w:t>
      </w:r>
    </w:p>
    <w:tbl>
      <w:tblPr>
        <w:tblStyle w:val="4"/>
        <w:tblW w:w="8559" w:type="dxa"/>
        <w:jc w:val="center"/>
        <w:tblLayout w:type="fixed"/>
        <w:tblCellMar>
          <w:top w:w="0" w:type="dxa"/>
          <w:left w:w="0" w:type="dxa"/>
          <w:bottom w:w="0" w:type="dxa"/>
          <w:right w:w="0" w:type="dxa"/>
        </w:tblCellMar>
      </w:tblPr>
      <w:tblGrid>
        <w:gridCol w:w="2679"/>
        <w:gridCol w:w="709"/>
        <w:gridCol w:w="708"/>
        <w:gridCol w:w="709"/>
        <w:gridCol w:w="709"/>
        <w:gridCol w:w="709"/>
        <w:gridCol w:w="1134"/>
        <w:gridCol w:w="1202"/>
      </w:tblGrid>
      <w:tr w14:paraId="0C6436E6">
        <w:tblPrEx>
          <w:tblCellMar>
            <w:top w:w="0" w:type="dxa"/>
            <w:left w:w="0" w:type="dxa"/>
            <w:bottom w:w="0" w:type="dxa"/>
            <w:right w:w="0" w:type="dxa"/>
          </w:tblCellMar>
        </w:tblPrEx>
        <w:trPr>
          <w:cantSplit/>
          <w:trHeight w:val="438" w:hRule="atLeast"/>
          <w:jc w:val="center"/>
        </w:trPr>
        <w:tc>
          <w:tcPr>
            <w:tcW w:w="2679"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1AA4F540">
            <w:pPr>
              <w:adjustRightInd w:val="0"/>
              <w:snapToGrid w:val="0"/>
              <w:jc w:val="center"/>
              <w:rPr>
                <w:rFonts w:ascii="仿宋" w:hAnsi="仿宋" w:eastAsia="仿宋"/>
                <w:szCs w:val="21"/>
              </w:rPr>
            </w:pPr>
            <w:r>
              <w:rPr>
                <w:rFonts w:hint="eastAsia" w:ascii="仿宋" w:hAnsi="仿宋" w:eastAsia="仿宋"/>
              </w:rPr>
              <w:t>工程</w:t>
            </w:r>
          </w:p>
          <w:p w14:paraId="4B40A571">
            <w:pPr>
              <w:adjustRightInd w:val="0"/>
              <w:snapToGrid w:val="0"/>
              <w:jc w:val="center"/>
              <w:rPr>
                <w:rFonts w:ascii="仿宋" w:hAnsi="仿宋" w:eastAsia="仿宋"/>
                <w:szCs w:val="21"/>
              </w:rPr>
            </w:pPr>
            <w:r>
              <w:rPr>
                <w:rFonts w:hint="eastAsia" w:ascii="仿宋" w:hAnsi="仿宋" w:eastAsia="仿宋"/>
              </w:rPr>
              <w:t>项目</w:t>
            </w:r>
          </w:p>
        </w:tc>
        <w:tc>
          <w:tcPr>
            <w:tcW w:w="709" w:type="dxa"/>
            <w:vMerge w:val="restart"/>
            <w:tcBorders>
              <w:top w:val="single" w:color="auto" w:sz="4" w:space="0"/>
              <w:left w:val="nil"/>
              <w:bottom w:val="nil"/>
              <w:right w:val="single" w:color="auto" w:sz="4" w:space="0"/>
            </w:tcBorders>
            <w:vAlign w:val="center"/>
          </w:tcPr>
          <w:p w14:paraId="6AC27C2C">
            <w:pPr>
              <w:adjustRightInd w:val="0"/>
              <w:snapToGrid w:val="0"/>
              <w:jc w:val="center"/>
              <w:rPr>
                <w:rFonts w:ascii="仿宋" w:hAnsi="仿宋" w:eastAsia="仿宋"/>
                <w:szCs w:val="21"/>
              </w:rPr>
            </w:pPr>
            <w:r>
              <w:rPr>
                <w:rFonts w:hint="eastAsia" w:ascii="仿宋" w:hAnsi="仿宋" w:eastAsia="仿宋"/>
              </w:rPr>
              <w:t>社会保障率</w:t>
            </w:r>
          </w:p>
        </w:tc>
        <w:tc>
          <w:tcPr>
            <w:tcW w:w="708" w:type="dxa"/>
            <w:vMerge w:val="restart"/>
            <w:tcBorders>
              <w:top w:val="single" w:color="auto" w:sz="4" w:space="0"/>
              <w:left w:val="nil"/>
              <w:bottom w:val="nil"/>
              <w:right w:val="single" w:color="auto" w:sz="4" w:space="0"/>
            </w:tcBorders>
            <w:vAlign w:val="center"/>
          </w:tcPr>
          <w:p w14:paraId="0E3B42E8">
            <w:pPr>
              <w:adjustRightInd w:val="0"/>
              <w:snapToGrid w:val="0"/>
              <w:jc w:val="center"/>
              <w:rPr>
                <w:rFonts w:ascii="仿宋" w:hAnsi="仿宋" w:eastAsia="仿宋"/>
                <w:szCs w:val="21"/>
              </w:rPr>
            </w:pPr>
            <w:r>
              <w:rPr>
                <w:rFonts w:hint="eastAsia" w:ascii="仿宋" w:hAnsi="仿宋" w:eastAsia="仿宋"/>
              </w:rPr>
              <w:t>公积金</w:t>
            </w:r>
          </w:p>
          <w:p w14:paraId="15702CAE">
            <w:pPr>
              <w:adjustRightInd w:val="0"/>
              <w:snapToGrid w:val="0"/>
              <w:jc w:val="center"/>
              <w:rPr>
                <w:rFonts w:ascii="仿宋" w:hAnsi="仿宋" w:eastAsia="仿宋"/>
                <w:szCs w:val="21"/>
              </w:rPr>
            </w:pPr>
            <w:r>
              <w:rPr>
                <w:rFonts w:hint="eastAsia" w:ascii="仿宋" w:hAnsi="仿宋" w:eastAsia="仿宋"/>
              </w:rPr>
              <w:t>费率</w:t>
            </w:r>
          </w:p>
        </w:tc>
        <w:tc>
          <w:tcPr>
            <w:tcW w:w="709" w:type="dxa"/>
            <w:vMerge w:val="restart"/>
            <w:tcBorders>
              <w:top w:val="single" w:color="auto" w:sz="4" w:space="0"/>
              <w:left w:val="nil"/>
              <w:bottom w:val="nil"/>
              <w:right w:val="single" w:color="auto" w:sz="4" w:space="0"/>
            </w:tcBorders>
            <w:vAlign w:val="center"/>
          </w:tcPr>
          <w:p w14:paraId="17201BB3">
            <w:pPr>
              <w:adjustRightInd w:val="0"/>
              <w:snapToGrid w:val="0"/>
              <w:jc w:val="center"/>
              <w:rPr>
                <w:rFonts w:ascii="仿宋" w:hAnsi="仿宋" w:eastAsia="仿宋"/>
                <w:szCs w:val="21"/>
              </w:rPr>
            </w:pPr>
            <w:r>
              <w:rPr>
                <w:rFonts w:hint="eastAsia" w:ascii="仿宋" w:hAnsi="仿宋" w:eastAsia="仿宋"/>
              </w:rPr>
              <w:t>综合税金率</w:t>
            </w:r>
          </w:p>
        </w:tc>
        <w:tc>
          <w:tcPr>
            <w:tcW w:w="709" w:type="dxa"/>
            <w:vMerge w:val="restart"/>
            <w:tcBorders>
              <w:top w:val="single" w:color="auto" w:sz="4" w:space="0"/>
              <w:left w:val="nil"/>
              <w:bottom w:val="nil"/>
              <w:right w:val="single" w:color="auto" w:sz="4" w:space="0"/>
            </w:tcBorders>
            <w:vAlign w:val="center"/>
          </w:tcPr>
          <w:p w14:paraId="37B71C52">
            <w:pPr>
              <w:adjustRightInd w:val="0"/>
              <w:snapToGrid w:val="0"/>
              <w:jc w:val="center"/>
              <w:rPr>
                <w:rFonts w:ascii="仿宋" w:hAnsi="仿宋" w:eastAsia="仿宋"/>
                <w:szCs w:val="21"/>
              </w:rPr>
            </w:pPr>
            <w:r>
              <w:rPr>
                <w:rFonts w:hint="eastAsia" w:ascii="仿宋" w:hAnsi="仿宋" w:eastAsia="仿宋"/>
              </w:rPr>
              <w:t>工程按质论价费</w:t>
            </w:r>
          </w:p>
        </w:tc>
        <w:tc>
          <w:tcPr>
            <w:tcW w:w="3045" w:type="dxa"/>
            <w:gridSpan w:val="3"/>
            <w:tcBorders>
              <w:top w:val="single" w:color="auto" w:sz="4" w:space="0"/>
              <w:left w:val="nil"/>
              <w:bottom w:val="nil"/>
              <w:right w:val="single" w:color="auto" w:sz="4" w:space="0"/>
            </w:tcBorders>
            <w:vAlign w:val="center"/>
          </w:tcPr>
          <w:p w14:paraId="7E6C54DD">
            <w:pPr>
              <w:adjustRightInd w:val="0"/>
              <w:snapToGrid w:val="0"/>
              <w:jc w:val="center"/>
              <w:rPr>
                <w:rFonts w:ascii="仿宋" w:hAnsi="仿宋" w:eastAsia="仿宋"/>
                <w:szCs w:val="21"/>
              </w:rPr>
            </w:pPr>
            <w:r>
              <w:rPr>
                <w:rFonts w:hint="eastAsia" w:ascii="仿宋" w:hAnsi="仿宋" w:eastAsia="仿宋"/>
              </w:rPr>
              <w:t>现场安全文明施工</w:t>
            </w:r>
          </w:p>
          <w:p w14:paraId="032C2D9D">
            <w:pPr>
              <w:adjustRightInd w:val="0"/>
              <w:snapToGrid w:val="0"/>
              <w:jc w:val="center"/>
              <w:rPr>
                <w:rFonts w:ascii="仿宋" w:hAnsi="仿宋" w:eastAsia="仿宋"/>
                <w:szCs w:val="21"/>
              </w:rPr>
            </w:pPr>
            <w:r>
              <w:rPr>
                <w:rFonts w:hint="eastAsia" w:ascii="仿宋" w:hAnsi="仿宋" w:eastAsia="仿宋"/>
              </w:rPr>
              <w:t>措施费率(%)</w:t>
            </w:r>
          </w:p>
        </w:tc>
      </w:tr>
      <w:tr w14:paraId="78330438">
        <w:tblPrEx>
          <w:tblCellMar>
            <w:top w:w="0" w:type="dxa"/>
            <w:left w:w="0" w:type="dxa"/>
            <w:bottom w:w="0" w:type="dxa"/>
            <w:right w:w="0" w:type="dxa"/>
          </w:tblCellMar>
        </w:tblPrEx>
        <w:trPr>
          <w:cantSplit/>
          <w:trHeight w:val="447" w:hRule="atLeast"/>
          <w:jc w:val="center"/>
        </w:trPr>
        <w:tc>
          <w:tcPr>
            <w:tcW w:w="2679" w:type="dxa"/>
            <w:vMerge w:val="continue"/>
            <w:tcBorders>
              <w:top w:val="single" w:color="auto" w:sz="4" w:space="0"/>
              <w:left w:val="single" w:color="auto" w:sz="4" w:space="0"/>
              <w:bottom w:val="nil"/>
              <w:right w:val="single" w:color="auto" w:sz="4" w:space="0"/>
            </w:tcBorders>
            <w:vAlign w:val="center"/>
          </w:tcPr>
          <w:p w14:paraId="2ED15703">
            <w:pPr>
              <w:widowControl/>
              <w:adjustRightInd w:val="0"/>
              <w:snapToGrid w:val="0"/>
              <w:jc w:val="left"/>
              <w:rPr>
                <w:rFonts w:ascii="仿宋" w:hAnsi="仿宋" w:eastAsia="仿宋"/>
                <w:szCs w:val="21"/>
              </w:rPr>
            </w:pPr>
          </w:p>
        </w:tc>
        <w:tc>
          <w:tcPr>
            <w:tcW w:w="709" w:type="dxa"/>
            <w:vMerge w:val="continue"/>
            <w:tcBorders>
              <w:top w:val="single" w:color="auto" w:sz="4" w:space="0"/>
              <w:left w:val="nil"/>
              <w:bottom w:val="nil"/>
              <w:right w:val="single" w:color="auto" w:sz="4" w:space="0"/>
            </w:tcBorders>
            <w:vAlign w:val="center"/>
          </w:tcPr>
          <w:p w14:paraId="59EA1B94">
            <w:pPr>
              <w:widowControl/>
              <w:adjustRightInd w:val="0"/>
              <w:snapToGrid w:val="0"/>
              <w:jc w:val="left"/>
              <w:rPr>
                <w:rFonts w:ascii="仿宋" w:hAnsi="仿宋" w:eastAsia="仿宋"/>
                <w:szCs w:val="21"/>
              </w:rPr>
            </w:pPr>
          </w:p>
        </w:tc>
        <w:tc>
          <w:tcPr>
            <w:tcW w:w="708" w:type="dxa"/>
            <w:vMerge w:val="continue"/>
            <w:tcBorders>
              <w:top w:val="single" w:color="auto" w:sz="4" w:space="0"/>
              <w:left w:val="nil"/>
              <w:bottom w:val="nil"/>
              <w:right w:val="single" w:color="auto" w:sz="4" w:space="0"/>
            </w:tcBorders>
            <w:vAlign w:val="center"/>
          </w:tcPr>
          <w:p w14:paraId="54C2C55E">
            <w:pPr>
              <w:widowControl/>
              <w:adjustRightInd w:val="0"/>
              <w:snapToGrid w:val="0"/>
              <w:jc w:val="left"/>
              <w:rPr>
                <w:rFonts w:ascii="仿宋" w:hAnsi="仿宋" w:eastAsia="仿宋"/>
                <w:szCs w:val="21"/>
              </w:rPr>
            </w:pPr>
          </w:p>
        </w:tc>
        <w:tc>
          <w:tcPr>
            <w:tcW w:w="709" w:type="dxa"/>
            <w:vMerge w:val="continue"/>
            <w:tcBorders>
              <w:top w:val="single" w:color="auto" w:sz="4" w:space="0"/>
              <w:left w:val="nil"/>
              <w:bottom w:val="nil"/>
              <w:right w:val="single" w:color="auto" w:sz="4" w:space="0"/>
            </w:tcBorders>
            <w:vAlign w:val="center"/>
          </w:tcPr>
          <w:p w14:paraId="23B8FEEF">
            <w:pPr>
              <w:widowControl/>
              <w:adjustRightInd w:val="0"/>
              <w:snapToGrid w:val="0"/>
              <w:jc w:val="left"/>
              <w:rPr>
                <w:rFonts w:ascii="仿宋" w:hAnsi="仿宋" w:eastAsia="仿宋"/>
                <w:szCs w:val="21"/>
              </w:rPr>
            </w:pPr>
          </w:p>
        </w:tc>
        <w:tc>
          <w:tcPr>
            <w:tcW w:w="709" w:type="dxa"/>
            <w:vMerge w:val="continue"/>
            <w:tcBorders>
              <w:top w:val="single" w:color="auto" w:sz="4" w:space="0"/>
              <w:left w:val="nil"/>
              <w:bottom w:val="nil"/>
              <w:right w:val="single" w:color="auto" w:sz="4" w:space="0"/>
            </w:tcBorders>
            <w:vAlign w:val="center"/>
          </w:tcPr>
          <w:p w14:paraId="102A0CC0">
            <w:pPr>
              <w:widowControl/>
              <w:adjustRightInd w:val="0"/>
              <w:snapToGrid w:val="0"/>
              <w:jc w:val="left"/>
              <w:rPr>
                <w:rFonts w:ascii="仿宋" w:hAnsi="仿宋" w:eastAsia="仿宋"/>
                <w:szCs w:val="21"/>
              </w:rPr>
            </w:pPr>
          </w:p>
        </w:tc>
        <w:tc>
          <w:tcPr>
            <w:tcW w:w="709" w:type="dxa"/>
            <w:tcBorders>
              <w:top w:val="single" w:color="auto" w:sz="4" w:space="0"/>
              <w:left w:val="nil"/>
              <w:bottom w:val="single" w:color="auto" w:sz="4" w:space="0"/>
              <w:right w:val="single" w:color="auto" w:sz="4" w:space="0"/>
            </w:tcBorders>
            <w:vAlign w:val="center"/>
          </w:tcPr>
          <w:p w14:paraId="3DD94F39">
            <w:pPr>
              <w:adjustRightInd w:val="0"/>
              <w:snapToGrid w:val="0"/>
              <w:jc w:val="center"/>
              <w:rPr>
                <w:rFonts w:ascii="仿宋" w:hAnsi="仿宋" w:eastAsia="仿宋"/>
                <w:szCs w:val="21"/>
              </w:rPr>
            </w:pPr>
            <w:r>
              <w:rPr>
                <w:rFonts w:hint="eastAsia" w:ascii="仿宋" w:hAnsi="仿宋" w:eastAsia="仿宋"/>
              </w:rPr>
              <w:t>基本费率</w:t>
            </w:r>
          </w:p>
        </w:tc>
        <w:tc>
          <w:tcPr>
            <w:tcW w:w="1134" w:type="dxa"/>
            <w:tcBorders>
              <w:top w:val="single" w:color="auto" w:sz="4" w:space="0"/>
              <w:left w:val="nil"/>
              <w:bottom w:val="single" w:color="auto" w:sz="4" w:space="0"/>
              <w:right w:val="single" w:color="auto" w:sz="4" w:space="0"/>
            </w:tcBorders>
            <w:vAlign w:val="center"/>
          </w:tcPr>
          <w:p w14:paraId="43518E9A">
            <w:pPr>
              <w:adjustRightInd w:val="0"/>
              <w:snapToGrid w:val="0"/>
              <w:jc w:val="center"/>
              <w:rPr>
                <w:rFonts w:ascii="仿宋" w:hAnsi="仿宋" w:eastAsia="仿宋"/>
                <w:szCs w:val="21"/>
              </w:rPr>
            </w:pPr>
            <w:r>
              <w:rPr>
                <w:rFonts w:hint="eastAsia" w:ascii="仿宋" w:hAnsi="仿宋" w:eastAsia="仿宋"/>
              </w:rPr>
              <w:t>省级标化工地增加费率</w:t>
            </w:r>
          </w:p>
        </w:tc>
        <w:tc>
          <w:tcPr>
            <w:tcW w:w="1202" w:type="dxa"/>
            <w:tcBorders>
              <w:top w:val="single" w:color="auto" w:sz="4" w:space="0"/>
              <w:left w:val="nil"/>
              <w:bottom w:val="single" w:color="auto" w:sz="4" w:space="0"/>
              <w:right w:val="single" w:color="auto" w:sz="4" w:space="0"/>
            </w:tcBorders>
            <w:vAlign w:val="center"/>
          </w:tcPr>
          <w:p w14:paraId="72E4C45F">
            <w:pPr>
              <w:adjustRightInd w:val="0"/>
              <w:snapToGrid w:val="0"/>
              <w:jc w:val="center"/>
              <w:rPr>
                <w:rFonts w:ascii="仿宋" w:hAnsi="仿宋" w:eastAsia="仿宋"/>
                <w:szCs w:val="21"/>
              </w:rPr>
            </w:pPr>
            <w:r>
              <w:rPr>
                <w:rFonts w:hint="eastAsia" w:ascii="仿宋" w:hAnsi="仿宋" w:eastAsia="仿宋"/>
              </w:rPr>
              <w:t>扬尘污染防治增加费率</w:t>
            </w:r>
          </w:p>
        </w:tc>
      </w:tr>
      <w:tr w14:paraId="69D7A594">
        <w:tblPrEx>
          <w:tblCellMar>
            <w:top w:w="0" w:type="dxa"/>
            <w:left w:w="0" w:type="dxa"/>
            <w:bottom w:w="0" w:type="dxa"/>
            <w:right w:w="0" w:type="dxa"/>
          </w:tblCellMar>
        </w:tblPrEx>
        <w:trPr>
          <w:trHeight w:val="427" w:hRule="atLeast"/>
          <w:jc w:val="center"/>
        </w:trPr>
        <w:tc>
          <w:tcPr>
            <w:tcW w:w="2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330CAB">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单独装饰工程</w:t>
            </w:r>
          </w:p>
        </w:tc>
        <w:tc>
          <w:tcPr>
            <w:tcW w:w="709" w:type="dxa"/>
            <w:tcBorders>
              <w:top w:val="single" w:color="auto" w:sz="4" w:space="0"/>
              <w:left w:val="nil"/>
              <w:bottom w:val="single" w:color="auto" w:sz="4" w:space="0"/>
              <w:right w:val="single" w:color="auto" w:sz="4" w:space="0"/>
            </w:tcBorders>
            <w:vAlign w:val="center"/>
          </w:tcPr>
          <w:p w14:paraId="55666032">
            <w:pPr>
              <w:adjustRightInd w:val="0"/>
              <w:snapToGrid w:val="0"/>
              <w:jc w:val="center"/>
              <w:rPr>
                <w:rFonts w:hint="default" w:ascii="仿宋" w:hAnsi="仿宋" w:eastAsia="仿宋"/>
                <w:lang w:val="en-US" w:eastAsia="zh-CN"/>
              </w:rPr>
            </w:pPr>
            <w:r>
              <w:rPr>
                <w:rFonts w:hint="eastAsia" w:ascii="仿宋" w:hAnsi="仿宋" w:eastAsia="仿宋"/>
                <w:lang w:val="en-US" w:eastAsia="zh-CN"/>
              </w:rPr>
              <w:t>2.4</w:t>
            </w:r>
          </w:p>
        </w:tc>
        <w:tc>
          <w:tcPr>
            <w:tcW w:w="708" w:type="dxa"/>
            <w:tcBorders>
              <w:top w:val="single" w:color="auto" w:sz="4" w:space="0"/>
              <w:left w:val="nil"/>
              <w:bottom w:val="single" w:color="auto" w:sz="4" w:space="0"/>
              <w:right w:val="single" w:color="auto" w:sz="4" w:space="0"/>
            </w:tcBorders>
            <w:vAlign w:val="center"/>
          </w:tcPr>
          <w:p w14:paraId="06256939">
            <w:pPr>
              <w:adjustRightInd w:val="0"/>
              <w:snapToGrid w:val="0"/>
              <w:jc w:val="center"/>
              <w:rPr>
                <w:rFonts w:hint="default" w:ascii="仿宋" w:hAnsi="仿宋" w:eastAsia="仿宋"/>
                <w:lang w:val="en-US" w:eastAsia="zh-CN"/>
              </w:rPr>
            </w:pPr>
            <w:r>
              <w:rPr>
                <w:rFonts w:hint="eastAsia" w:ascii="仿宋" w:hAnsi="仿宋" w:eastAsia="仿宋"/>
                <w:lang w:val="en-US" w:eastAsia="zh-CN"/>
              </w:rPr>
              <w:t>0.42</w:t>
            </w:r>
          </w:p>
        </w:tc>
        <w:tc>
          <w:tcPr>
            <w:tcW w:w="709" w:type="dxa"/>
            <w:tcBorders>
              <w:top w:val="single" w:color="auto" w:sz="4" w:space="0"/>
              <w:left w:val="nil"/>
              <w:bottom w:val="single" w:color="auto" w:sz="4" w:space="0"/>
              <w:right w:val="single" w:color="auto" w:sz="4" w:space="0"/>
            </w:tcBorders>
            <w:vAlign w:val="center"/>
          </w:tcPr>
          <w:p w14:paraId="536AD18D">
            <w:pPr>
              <w:adjustRightInd w:val="0"/>
              <w:snapToGrid w:val="0"/>
              <w:jc w:val="center"/>
              <w:rPr>
                <w:rFonts w:hint="eastAsia" w:ascii="仿宋" w:hAnsi="仿宋" w:eastAsia="仿宋"/>
                <w:lang w:val="en-US" w:eastAsia="zh-CN"/>
              </w:rPr>
            </w:pPr>
            <w:r>
              <w:rPr>
                <w:rFonts w:hint="eastAsia" w:ascii="仿宋" w:hAnsi="仿宋" w:eastAsia="仿宋"/>
                <w:lang w:val="en-US" w:eastAsia="zh-CN"/>
              </w:rPr>
              <w:t>9</w:t>
            </w:r>
          </w:p>
        </w:tc>
        <w:tc>
          <w:tcPr>
            <w:tcW w:w="709" w:type="dxa"/>
            <w:tcBorders>
              <w:top w:val="single" w:color="auto" w:sz="4" w:space="0"/>
              <w:left w:val="nil"/>
              <w:bottom w:val="single" w:color="auto" w:sz="4" w:space="0"/>
              <w:right w:val="single" w:color="auto" w:sz="4" w:space="0"/>
            </w:tcBorders>
            <w:vAlign w:val="center"/>
          </w:tcPr>
          <w:p w14:paraId="0B966D07">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709" w:type="dxa"/>
            <w:tcBorders>
              <w:top w:val="single" w:color="auto" w:sz="4" w:space="0"/>
              <w:left w:val="nil"/>
              <w:bottom w:val="single" w:color="auto" w:sz="4" w:space="0"/>
              <w:right w:val="single" w:color="auto" w:sz="4" w:space="0"/>
            </w:tcBorders>
            <w:vAlign w:val="center"/>
          </w:tcPr>
          <w:p w14:paraId="0A275982">
            <w:pPr>
              <w:adjustRightInd w:val="0"/>
              <w:snapToGrid w:val="0"/>
              <w:jc w:val="center"/>
              <w:rPr>
                <w:rFonts w:hint="default" w:ascii="仿宋" w:hAnsi="仿宋" w:eastAsia="仿宋"/>
                <w:lang w:val="en-US" w:eastAsia="zh-CN"/>
              </w:rPr>
            </w:pPr>
            <w:r>
              <w:rPr>
                <w:rFonts w:hint="eastAsia" w:ascii="仿宋" w:hAnsi="仿宋" w:eastAsia="仿宋"/>
                <w:lang w:val="en-US" w:eastAsia="zh-CN"/>
              </w:rPr>
              <w:t>1.7</w:t>
            </w:r>
          </w:p>
        </w:tc>
        <w:tc>
          <w:tcPr>
            <w:tcW w:w="1134" w:type="dxa"/>
            <w:tcBorders>
              <w:top w:val="single" w:color="auto" w:sz="4" w:space="0"/>
              <w:left w:val="nil"/>
              <w:bottom w:val="single" w:color="auto" w:sz="4" w:space="0"/>
              <w:right w:val="single" w:color="auto" w:sz="4" w:space="0"/>
            </w:tcBorders>
            <w:vAlign w:val="center"/>
          </w:tcPr>
          <w:p w14:paraId="53B62102">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1202" w:type="dxa"/>
            <w:tcBorders>
              <w:top w:val="single" w:color="auto" w:sz="4" w:space="0"/>
              <w:left w:val="nil"/>
              <w:bottom w:val="single" w:color="auto" w:sz="4" w:space="0"/>
              <w:right w:val="single" w:color="auto" w:sz="4" w:space="0"/>
            </w:tcBorders>
            <w:vAlign w:val="center"/>
          </w:tcPr>
          <w:p w14:paraId="06ABCDB9">
            <w:pPr>
              <w:adjustRightInd w:val="0"/>
              <w:snapToGrid w:val="0"/>
              <w:jc w:val="center"/>
              <w:rPr>
                <w:rFonts w:hint="default" w:ascii="仿宋" w:hAnsi="仿宋" w:eastAsia="仿宋"/>
                <w:lang w:val="en-US" w:eastAsia="zh-CN"/>
              </w:rPr>
            </w:pPr>
            <w:r>
              <w:rPr>
                <w:rFonts w:hint="eastAsia" w:ascii="仿宋" w:hAnsi="仿宋" w:eastAsia="仿宋"/>
                <w:lang w:val="en-US" w:eastAsia="zh-CN"/>
              </w:rPr>
              <w:t>0.22</w:t>
            </w:r>
          </w:p>
        </w:tc>
      </w:tr>
      <w:tr w14:paraId="72782A00">
        <w:tblPrEx>
          <w:tblCellMar>
            <w:top w:w="0" w:type="dxa"/>
            <w:left w:w="0" w:type="dxa"/>
            <w:bottom w:w="0" w:type="dxa"/>
            <w:right w:w="0" w:type="dxa"/>
          </w:tblCellMar>
        </w:tblPrEx>
        <w:trPr>
          <w:trHeight w:val="427" w:hRule="atLeast"/>
          <w:jc w:val="center"/>
        </w:trPr>
        <w:tc>
          <w:tcPr>
            <w:tcW w:w="2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55FCEF">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安装工程</w:t>
            </w:r>
          </w:p>
        </w:tc>
        <w:tc>
          <w:tcPr>
            <w:tcW w:w="709" w:type="dxa"/>
            <w:tcBorders>
              <w:top w:val="single" w:color="auto" w:sz="4" w:space="0"/>
              <w:left w:val="nil"/>
              <w:bottom w:val="single" w:color="auto" w:sz="4" w:space="0"/>
              <w:right w:val="single" w:color="auto" w:sz="4" w:space="0"/>
            </w:tcBorders>
            <w:vAlign w:val="center"/>
          </w:tcPr>
          <w:p w14:paraId="12385DBF">
            <w:pPr>
              <w:adjustRightInd w:val="0"/>
              <w:snapToGrid w:val="0"/>
              <w:jc w:val="center"/>
              <w:rPr>
                <w:rFonts w:ascii="仿宋" w:hAnsi="仿宋" w:eastAsia="仿宋"/>
              </w:rPr>
            </w:pPr>
            <w:r>
              <w:rPr>
                <w:rFonts w:hint="eastAsia" w:ascii="仿宋" w:hAnsi="仿宋" w:eastAsia="仿宋"/>
              </w:rPr>
              <w:t>2.4</w:t>
            </w:r>
          </w:p>
        </w:tc>
        <w:tc>
          <w:tcPr>
            <w:tcW w:w="708" w:type="dxa"/>
            <w:tcBorders>
              <w:top w:val="single" w:color="auto" w:sz="4" w:space="0"/>
              <w:left w:val="nil"/>
              <w:bottom w:val="single" w:color="auto" w:sz="4" w:space="0"/>
              <w:right w:val="single" w:color="auto" w:sz="4" w:space="0"/>
            </w:tcBorders>
            <w:vAlign w:val="center"/>
          </w:tcPr>
          <w:p w14:paraId="4E689B6D">
            <w:pPr>
              <w:adjustRightInd w:val="0"/>
              <w:snapToGrid w:val="0"/>
              <w:jc w:val="center"/>
              <w:rPr>
                <w:rFonts w:ascii="仿宋" w:hAnsi="仿宋" w:eastAsia="仿宋"/>
              </w:rPr>
            </w:pPr>
            <w:r>
              <w:rPr>
                <w:rFonts w:hint="eastAsia" w:ascii="仿宋" w:hAnsi="仿宋" w:eastAsia="仿宋"/>
              </w:rPr>
              <w:t>0.42</w:t>
            </w:r>
          </w:p>
        </w:tc>
        <w:tc>
          <w:tcPr>
            <w:tcW w:w="709" w:type="dxa"/>
            <w:tcBorders>
              <w:top w:val="single" w:color="auto" w:sz="4" w:space="0"/>
              <w:left w:val="nil"/>
              <w:bottom w:val="single" w:color="auto" w:sz="4" w:space="0"/>
              <w:right w:val="single" w:color="auto" w:sz="4" w:space="0"/>
            </w:tcBorders>
            <w:vAlign w:val="center"/>
          </w:tcPr>
          <w:p w14:paraId="2B711DCF">
            <w:pPr>
              <w:adjustRightInd w:val="0"/>
              <w:snapToGrid w:val="0"/>
              <w:jc w:val="center"/>
              <w:rPr>
                <w:rFonts w:ascii="仿宋" w:hAnsi="仿宋" w:eastAsia="仿宋"/>
              </w:rPr>
            </w:pPr>
            <w:r>
              <w:rPr>
                <w:rFonts w:hint="eastAsia" w:ascii="仿宋" w:hAnsi="仿宋" w:eastAsia="仿宋"/>
              </w:rPr>
              <w:t>9</w:t>
            </w:r>
          </w:p>
        </w:tc>
        <w:tc>
          <w:tcPr>
            <w:tcW w:w="709" w:type="dxa"/>
            <w:tcBorders>
              <w:top w:val="single" w:color="auto" w:sz="4" w:space="0"/>
              <w:left w:val="nil"/>
              <w:bottom w:val="single" w:color="auto" w:sz="4" w:space="0"/>
              <w:right w:val="single" w:color="auto" w:sz="4" w:space="0"/>
            </w:tcBorders>
            <w:vAlign w:val="center"/>
          </w:tcPr>
          <w:p w14:paraId="356EB929">
            <w:pPr>
              <w:adjustRightInd w:val="0"/>
              <w:snapToGrid w:val="0"/>
              <w:jc w:val="center"/>
              <w:rPr>
                <w:rFonts w:ascii="仿宋" w:hAnsi="仿宋" w:eastAsia="仿宋"/>
              </w:rPr>
            </w:pPr>
            <w:r>
              <w:rPr>
                <w:rFonts w:hint="eastAsia" w:ascii="仿宋" w:hAnsi="仿宋" w:eastAsia="仿宋"/>
              </w:rPr>
              <w:t>/</w:t>
            </w:r>
          </w:p>
        </w:tc>
        <w:tc>
          <w:tcPr>
            <w:tcW w:w="709" w:type="dxa"/>
            <w:tcBorders>
              <w:top w:val="single" w:color="auto" w:sz="4" w:space="0"/>
              <w:left w:val="nil"/>
              <w:bottom w:val="single" w:color="auto" w:sz="4" w:space="0"/>
              <w:right w:val="single" w:color="auto" w:sz="4" w:space="0"/>
            </w:tcBorders>
            <w:vAlign w:val="center"/>
          </w:tcPr>
          <w:p w14:paraId="15001E0A">
            <w:pPr>
              <w:adjustRightInd w:val="0"/>
              <w:snapToGrid w:val="0"/>
              <w:jc w:val="center"/>
              <w:rPr>
                <w:rFonts w:ascii="仿宋" w:hAnsi="仿宋" w:eastAsia="仿宋"/>
              </w:rPr>
            </w:pPr>
            <w:r>
              <w:rPr>
                <w:rFonts w:hint="eastAsia" w:ascii="仿宋" w:hAnsi="仿宋" w:eastAsia="仿宋"/>
              </w:rPr>
              <w:t>1.5</w:t>
            </w:r>
          </w:p>
        </w:tc>
        <w:tc>
          <w:tcPr>
            <w:tcW w:w="1134" w:type="dxa"/>
            <w:tcBorders>
              <w:top w:val="single" w:color="auto" w:sz="4" w:space="0"/>
              <w:left w:val="nil"/>
              <w:bottom w:val="single" w:color="auto" w:sz="4" w:space="0"/>
              <w:right w:val="single" w:color="auto" w:sz="4" w:space="0"/>
            </w:tcBorders>
            <w:vAlign w:val="center"/>
          </w:tcPr>
          <w:p w14:paraId="2623AF9E">
            <w:pPr>
              <w:adjustRightInd w:val="0"/>
              <w:snapToGrid w:val="0"/>
              <w:jc w:val="center"/>
              <w:rPr>
                <w:rFonts w:ascii="仿宋" w:hAnsi="仿宋" w:eastAsia="仿宋"/>
              </w:rPr>
            </w:pPr>
            <w:r>
              <w:rPr>
                <w:rFonts w:hint="eastAsia" w:ascii="仿宋" w:hAnsi="仿宋" w:eastAsia="仿宋"/>
              </w:rPr>
              <w:t>/</w:t>
            </w:r>
          </w:p>
        </w:tc>
        <w:tc>
          <w:tcPr>
            <w:tcW w:w="1202" w:type="dxa"/>
            <w:tcBorders>
              <w:top w:val="single" w:color="auto" w:sz="4" w:space="0"/>
              <w:left w:val="nil"/>
              <w:bottom w:val="single" w:color="auto" w:sz="4" w:space="0"/>
              <w:right w:val="single" w:color="auto" w:sz="4" w:space="0"/>
            </w:tcBorders>
            <w:vAlign w:val="center"/>
          </w:tcPr>
          <w:p w14:paraId="4B29FB81">
            <w:pPr>
              <w:adjustRightInd w:val="0"/>
              <w:snapToGrid w:val="0"/>
              <w:jc w:val="center"/>
              <w:rPr>
                <w:rFonts w:ascii="仿宋" w:hAnsi="仿宋" w:eastAsia="仿宋"/>
              </w:rPr>
            </w:pPr>
            <w:r>
              <w:rPr>
                <w:rFonts w:hint="eastAsia" w:ascii="仿宋" w:hAnsi="仿宋" w:eastAsia="仿宋"/>
              </w:rPr>
              <w:t>0.21</w:t>
            </w:r>
          </w:p>
        </w:tc>
      </w:tr>
      <w:tr w14:paraId="6F3C80DE">
        <w:tblPrEx>
          <w:tblCellMar>
            <w:top w:w="0" w:type="dxa"/>
            <w:left w:w="0" w:type="dxa"/>
            <w:bottom w:w="0" w:type="dxa"/>
            <w:right w:w="0" w:type="dxa"/>
          </w:tblCellMar>
        </w:tblPrEx>
        <w:trPr>
          <w:trHeight w:val="427" w:hRule="atLeast"/>
          <w:jc w:val="center"/>
        </w:trPr>
        <w:tc>
          <w:tcPr>
            <w:tcW w:w="2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F9F731">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土建</w:t>
            </w:r>
          </w:p>
        </w:tc>
        <w:tc>
          <w:tcPr>
            <w:tcW w:w="709" w:type="dxa"/>
            <w:tcBorders>
              <w:top w:val="single" w:color="auto" w:sz="4" w:space="0"/>
              <w:left w:val="nil"/>
              <w:bottom w:val="single" w:color="auto" w:sz="4" w:space="0"/>
              <w:right w:val="single" w:color="auto" w:sz="4" w:space="0"/>
            </w:tcBorders>
            <w:vAlign w:val="center"/>
          </w:tcPr>
          <w:p w14:paraId="080459E5">
            <w:pPr>
              <w:adjustRightInd w:val="0"/>
              <w:snapToGrid w:val="0"/>
              <w:jc w:val="center"/>
              <w:rPr>
                <w:rFonts w:hint="default" w:ascii="仿宋" w:hAnsi="仿宋" w:eastAsia="仿宋"/>
                <w:lang w:val="en-US" w:eastAsia="zh-CN"/>
              </w:rPr>
            </w:pPr>
            <w:r>
              <w:rPr>
                <w:rFonts w:hint="eastAsia" w:ascii="仿宋" w:hAnsi="仿宋" w:eastAsia="仿宋"/>
                <w:lang w:val="en-US" w:eastAsia="zh-CN"/>
              </w:rPr>
              <w:t>3.2</w:t>
            </w:r>
          </w:p>
        </w:tc>
        <w:tc>
          <w:tcPr>
            <w:tcW w:w="708" w:type="dxa"/>
            <w:tcBorders>
              <w:top w:val="single" w:color="auto" w:sz="4" w:space="0"/>
              <w:left w:val="nil"/>
              <w:bottom w:val="single" w:color="auto" w:sz="4" w:space="0"/>
              <w:right w:val="single" w:color="auto" w:sz="4" w:space="0"/>
            </w:tcBorders>
            <w:vAlign w:val="center"/>
          </w:tcPr>
          <w:p w14:paraId="68A27F6A">
            <w:pPr>
              <w:adjustRightInd w:val="0"/>
              <w:snapToGrid w:val="0"/>
              <w:jc w:val="center"/>
              <w:rPr>
                <w:rFonts w:hint="default" w:ascii="仿宋" w:hAnsi="仿宋" w:eastAsia="仿宋"/>
                <w:lang w:val="en-US" w:eastAsia="zh-CN"/>
              </w:rPr>
            </w:pPr>
            <w:r>
              <w:rPr>
                <w:rFonts w:hint="eastAsia" w:ascii="仿宋" w:hAnsi="仿宋" w:eastAsia="仿宋"/>
                <w:lang w:val="en-US" w:eastAsia="zh-CN"/>
              </w:rPr>
              <w:t>0.53</w:t>
            </w:r>
          </w:p>
        </w:tc>
        <w:tc>
          <w:tcPr>
            <w:tcW w:w="709" w:type="dxa"/>
            <w:tcBorders>
              <w:top w:val="single" w:color="auto" w:sz="4" w:space="0"/>
              <w:left w:val="nil"/>
              <w:bottom w:val="single" w:color="auto" w:sz="4" w:space="0"/>
              <w:right w:val="single" w:color="auto" w:sz="4" w:space="0"/>
            </w:tcBorders>
            <w:vAlign w:val="center"/>
          </w:tcPr>
          <w:p w14:paraId="7BCA0E57">
            <w:pPr>
              <w:adjustRightInd w:val="0"/>
              <w:snapToGrid w:val="0"/>
              <w:jc w:val="center"/>
              <w:rPr>
                <w:rFonts w:hint="eastAsia" w:ascii="仿宋" w:hAnsi="仿宋" w:eastAsia="仿宋"/>
                <w:lang w:val="en-US" w:eastAsia="zh-CN"/>
              </w:rPr>
            </w:pPr>
            <w:r>
              <w:rPr>
                <w:rFonts w:hint="eastAsia" w:ascii="仿宋" w:hAnsi="仿宋" w:eastAsia="仿宋"/>
                <w:lang w:val="en-US" w:eastAsia="zh-CN"/>
              </w:rPr>
              <w:t>9</w:t>
            </w:r>
          </w:p>
        </w:tc>
        <w:tc>
          <w:tcPr>
            <w:tcW w:w="709" w:type="dxa"/>
            <w:tcBorders>
              <w:top w:val="single" w:color="auto" w:sz="4" w:space="0"/>
              <w:left w:val="nil"/>
              <w:bottom w:val="single" w:color="auto" w:sz="4" w:space="0"/>
              <w:right w:val="single" w:color="auto" w:sz="4" w:space="0"/>
            </w:tcBorders>
            <w:vAlign w:val="center"/>
          </w:tcPr>
          <w:p w14:paraId="3B8FCAFA">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709" w:type="dxa"/>
            <w:tcBorders>
              <w:top w:val="single" w:color="auto" w:sz="4" w:space="0"/>
              <w:left w:val="nil"/>
              <w:bottom w:val="single" w:color="auto" w:sz="4" w:space="0"/>
              <w:right w:val="single" w:color="auto" w:sz="4" w:space="0"/>
            </w:tcBorders>
            <w:vAlign w:val="center"/>
          </w:tcPr>
          <w:p w14:paraId="4AA9FF3A">
            <w:pPr>
              <w:adjustRightInd w:val="0"/>
              <w:snapToGrid w:val="0"/>
              <w:jc w:val="center"/>
              <w:rPr>
                <w:rFonts w:hint="default" w:ascii="仿宋" w:hAnsi="仿宋" w:eastAsia="仿宋"/>
                <w:lang w:val="en-US" w:eastAsia="zh-CN"/>
              </w:rPr>
            </w:pPr>
            <w:r>
              <w:rPr>
                <w:rFonts w:hint="eastAsia" w:ascii="仿宋" w:hAnsi="仿宋" w:eastAsia="仿宋"/>
                <w:lang w:val="en-US" w:eastAsia="zh-CN"/>
              </w:rPr>
              <w:t>3.1</w:t>
            </w:r>
          </w:p>
        </w:tc>
        <w:tc>
          <w:tcPr>
            <w:tcW w:w="1134" w:type="dxa"/>
            <w:tcBorders>
              <w:top w:val="single" w:color="auto" w:sz="4" w:space="0"/>
              <w:left w:val="nil"/>
              <w:bottom w:val="single" w:color="auto" w:sz="4" w:space="0"/>
              <w:right w:val="single" w:color="auto" w:sz="4" w:space="0"/>
            </w:tcBorders>
            <w:vAlign w:val="center"/>
          </w:tcPr>
          <w:p w14:paraId="313E616E">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1202" w:type="dxa"/>
            <w:tcBorders>
              <w:top w:val="single" w:color="auto" w:sz="4" w:space="0"/>
              <w:left w:val="nil"/>
              <w:bottom w:val="single" w:color="auto" w:sz="4" w:space="0"/>
              <w:right w:val="single" w:color="auto" w:sz="4" w:space="0"/>
            </w:tcBorders>
            <w:vAlign w:val="center"/>
          </w:tcPr>
          <w:p w14:paraId="498CCC14">
            <w:pPr>
              <w:adjustRightInd w:val="0"/>
              <w:snapToGrid w:val="0"/>
              <w:jc w:val="center"/>
              <w:rPr>
                <w:rFonts w:hint="default" w:ascii="仿宋" w:hAnsi="仿宋" w:eastAsia="仿宋"/>
                <w:lang w:val="en-US" w:eastAsia="zh-CN"/>
              </w:rPr>
            </w:pPr>
            <w:r>
              <w:rPr>
                <w:rFonts w:hint="eastAsia" w:ascii="仿宋" w:hAnsi="仿宋" w:eastAsia="仿宋"/>
                <w:lang w:val="en-US" w:eastAsia="zh-CN"/>
              </w:rPr>
              <w:t>0.31</w:t>
            </w:r>
          </w:p>
        </w:tc>
      </w:tr>
      <w:tr w14:paraId="1B358F84">
        <w:tblPrEx>
          <w:tblCellMar>
            <w:top w:w="0" w:type="dxa"/>
            <w:left w:w="0" w:type="dxa"/>
            <w:bottom w:w="0" w:type="dxa"/>
            <w:right w:w="0" w:type="dxa"/>
          </w:tblCellMar>
        </w:tblPrEx>
        <w:trPr>
          <w:trHeight w:val="427" w:hRule="atLeast"/>
          <w:jc w:val="center"/>
        </w:trPr>
        <w:tc>
          <w:tcPr>
            <w:tcW w:w="2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7BFA76">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加固</w:t>
            </w:r>
          </w:p>
        </w:tc>
        <w:tc>
          <w:tcPr>
            <w:tcW w:w="709" w:type="dxa"/>
            <w:tcBorders>
              <w:top w:val="single" w:color="auto" w:sz="4" w:space="0"/>
              <w:left w:val="nil"/>
              <w:bottom w:val="single" w:color="auto" w:sz="4" w:space="0"/>
              <w:right w:val="single" w:color="auto" w:sz="4" w:space="0"/>
            </w:tcBorders>
            <w:vAlign w:val="center"/>
          </w:tcPr>
          <w:p w14:paraId="68F4CF5A">
            <w:pPr>
              <w:adjustRightInd w:val="0"/>
              <w:snapToGrid w:val="0"/>
              <w:jc w:val="center"/>
              <w:rPr>
                <w:rFonts w:hint="default" w:ascii="仿宋" w:hAnsi="仿宋" w:eastAsia="仿宋"/>
                <w:lang w:val="en-US" w:eastAsia="zh-CN"/>
              </w:rPr>
            </w:pPr>
            <w:r>
              <w:rPr>
                <w:rFonts w:hint="eastAsia" w:ascii="仿宋" w:hAnsi="仿宋" w:eastAsia="仿宋"/>
                <w:lang w:val="en-US" w:eastAsia="zh-CN"/>
              </w:rPr>
              <w:t>3.4</w:t>
            </w:r>
          </w:p>
        </w:tc>
        <w:tc>
          <w:tcPr>
            <w:tcW w:w="708" w:type="dxa"/>
            <w:tcBorders>
              <w:top w:val="single" w:color="auto" w:sz="4" w:space="0"/>
              <w:left w:val="nil"/>
              <w:bottom w:val="single" w:color="auto" w:sz="4" w:space="0"/>
              <w:right w:val="single" w:color="auto" w:sz="4" w:space="0"/>
            </w:tcBorders>
            <w:vAlign w:val="center"/>
          </w:tcPr>
          <w:p w14:paraId="4A3E8AB1">
            <w:pPr>
              <w:adjustRightInd w:val="0"/>
              <w:snapToGrid w:val="0"/>
              <w:jc w:val="center"/>
              <w:rPr>
                <w:rFonts w:hint="default" w:ascii="仿宋" w:hAnsi="仿宋" w:eastAsia="仿宋"/>
                <w:lang w:val="en-US" w:eastAsia="zh-CN"/>
              </w:rPr>
            </w:pPr>
            <w:r>
              <w:rPr>
                <w:rFonts w:hint="eastAsia" w:ascii="仿宋" w:hAnsi="仿宋" w:eastAsia="仿宋"/>
                <w:lang w:val="en-US" w:eastAsia="zh-CN"/>
              </w:rPr>
              <w:t>0.61</w:t>
            </w:r>
          </w:p>
        </w:tc>
        <w:tc>
          <w:tcPr>
            <w:tcW w:w="709" w:type="dxa"/>
            <w:tcBorders>
              <w:top w:val="single" w:color="auto" w:sz="4" w:space="0"/>
              <w:left w:val="nil"/>
              <w:bottom w:val="single" w:color="auto" w:sz="4" w:space="0"/>
              <w:right w:val="single" w:color="auto" w:sz="4" w:space="0"/>
            </w:tcBorders>
            <w:vAlign w:val="center"/>
          </w:tcPr>
          <w:p w14:paraId="1C973FAC">
            <w:pPr>
              <w:adjustRightInd w:val="0"/>
              <w:snapToGrid w:val="0"/>
              <w:jc w:val="center"/>
              <w:rPr>
                <w:rFonts w:hint="eastAsia" w:ascii="仿宋" w:hAnsi="仿宋" w:eastAsia="仿宋"/>
                <w:lang w:val="en-US" w:eastAsia="zh-CN"/>
              </w:rPr>
            </w:pPr>
            <w:r>
              <w:rPr>
                <w:rFonts w:hint="eastAsia" w:ascii="仿宋" w:hAnsi="仿宋" w:eastAsia="仿宋"/>
                <w:lang w:val="en-US" w:eastAsia="zh-CN"/>
              </w:rPr>
              <w:t>9</w:t>
            </w:r>
          </w:p>
        </w:tc>
        <w:tc>
          <w:tcPr>
            <w:tcW w:w="709" w:type="dxa"/>
            <w:tcBorders>
              <w:top w:val="single" w:color="auto" w:sz="4" w:space="0"/>
              <w:left w:val="nil"/>
              <w:bottom w:val="single" w:color="auto" w:sz="4" w:space="0"/>
              <w:right w:val="single" w:color="auto" w:sz="4" w:space="0"/>
            </w:tcBorders>
            <w:vAlign w:val="center"/>
          </w:tcPr>
          <w:p w14:paraId="098DB19E">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709" w:type="dxa"/>
            <w:tcBorders>
              <w:top w:val="single" w:color="auto" w:sz="4" w:space="0"/>
              <w:left w:val="nil"/>
              <w:bottom w:val="single" w:color="auto" w:sz="4" w:space="0"/>
              <w:right w:val="single" w:color="auto" w:sz="4" w:space="0"/>
            </w:tcBorders>
            <w:vAlign w:val="center"/>
          </w:tcPr>
          <w:p w14:paraId="28B44D5D">
            <w:pPr>
              <w:adjustRightInd w:val="0"/>
              <w:snapToGrid w:val="0"/>
              <w:jc w:val="center"/>
              <w:rPr>
                <w:rFonts w:hint="default" w:ascii="仿宋" w:hAnsi="仿宋" w:eastAsia="仿宋"/>
                <w:lang w:val="en-US" w:eastAsia="zh-CN"/>
              </w:rPr>
            </w:pPr>
            <w:r>
              <w:rPr>
                <w:rFonts w:hint="eastAsia" w:ascii="仿宋" w:hAnsi="仿宋" w:eastAsia="仿宋"/>
                <w:lang w:val="en-US" w:eastAsia="zh-CN"/>
              </w:rPr>
              <w:t>1.5</w:t>
            </w:r>
          </w:p>
        </w:tc>
        <w:tc>
          <w:tcPr>
            <w:tcW w:w="1134" w:type="dxa"/>
            <w:tcBorders>
              <w:top w:val="single" w:color="auto" w:sz="4" w:space="0"/>
              <w:left w:val="nil"/>
              <w:bottom w:val="single" w:color="auto" w:sz="4" w:space="0"/>
              <w:right w:val="single" w:color="auto" w:sz="4" w:space="0"/>
            </w:tcBorders>
            <w:vAlign w:val="center"/>
          </w:tcPr>
          <w:p w14:paraId="5C249F8E">
            <w:pPr>
              <w:adjustRightInd w:val="0"/>
              <w:snapToGrid w:val="0"/>
              <w:jc w:val="center"/>
              <w:rPr>
                <w:rFonts w:hint="eastAsia" w:ascii="仿宋" w:hAnsi="仿宋" w:eastAsia="仿宋"/>
                <w:lang w:val="en-US" w:eastAsia="zh-CN"/>
              </w:rPr>
            </w:pPr>
            <w:r>
              <w:rPr>
                <w:rFonts w:hint="eastAsia" w:ascii="仿宋" w:hAnsi="仿宋" w:eastAsia="仿宋"/>
                <w:lang w:val="en-US" w:eastAsia="zh-CN"/>
              </w:rPr>
              <w:t>/</w:t>
            </w:r>
          </w:p>
        </w:tc>
        <w:tc>
          <w:tcPr>
            <w:tcW w:w="1202" w:type="dxa"/>
            <w:tcBorders>
              <w:top w:val="single" w:color="auto" w:sz="4" w:space="0"/>
              <w:left w:val="nil"/>
              <w:bottom w:val="single" w:color="auto" w:sz="4" w:space="0"/>
              <w:right w:val="single" w:color="auto" w:sz="4" w:space="0"/>
            </w:tcBorders>
            <w:vAlign w:val="center"/>
          </w:tcPr>
          <w:p w14:paraId="344EBDD0">
            <w:pPr>
              <w:adjustRightInd w:val="0"/>
              <w:snapToGrid w:val="0"/>
              <w:jc w:val="center"/>
              <w:rPr>
                <w:rFonts w:hint="default" w:ascii="仿宋" w:hAnsi="仿宋" w:eastAsia="仿宋"/>
                <w:lang w:val="en-US" w:eastAsia="zh-CN"/>
              </w:rPr>
            </w:pPr>
            <w:r>
              <w:rPr>
                <w:rFonts w:hint="eastAsia" w:ascii="仿宋" w:hAnsi="仿宋" w:eastAsia="仿宋"/>
                <w:lang w:val="en-US" w:eastAsia="zh-CN"/>
              </w:rPr>
              <w:t>0.21</w:t>
            </w:r>
          </w:p>
        </w:tc>
      </w:tr>
    </w:tbl>
    <w:p w14:paraId="1562CF8B">
      <w:pPr>
        <w:spacing w:line="440" w:lineRule="exact"/>
        <w:ind w:firstLine="480" w:firstLineChars="200"/>
        <w:rPr>
          <w:rFonts w:ascii="仿宋" w:hAnsi="仿宋" w:eastAsia="仿宋"/>
          <w:color w:val="000000"/>
          <w:sz w:val="24"/>
          <w:szCs w:val="24"/>
        </w:rPr>
      </w:pPr>
      <w:r>
        <w:rPr>
          <w:rFonts w:hint="eastAsia" w:ascii="仿宋" w:hAnsi="仿宋" w:eastAsia="仿宋"/>
          <w:sz w:val="24"/>
          <w:szCs w:val="24"/>
        </w:rPr>
        <w:t>6、</w:t>
      </w:r>
      <w:r>
        <w:rPr>
          <w:rFonts w:hint="eastAsia" w:ascii="仿宋" w:hAnsi="仿宋" w:eastAsia="仿宋"/>
          <w:color w:val="000000"/>
          <w:sz w:val="24"/>
          <w:szCs w:val="24"/>
        </w:rPr>
        <w:t>夜间施工费、冬雨季施工费、临时设施费等区间措施项目费用按中值取定。</w:t>
      </w:r>
    </w:p>
    <w:p w14:paraId="4695AF00">
      <w:pPr>
        <w:spacing w:line="440" w:lineRule="exact"/>
        <w:rPr>
          <w:rFonts w:ascii="仿宋" w:hAnsi="仿宋" w:eastAsia="仿宋"/>
          <w:b/>
          <w:color w:val="000000"/>
          <w:sz w:val="28"/>
          <w:szCs w:val="28"/>
        </w:rPr>
      </w:pPr>
      <w:r>
        <w:rPr>
          <w:rFonts w:hint="eastAsia" w:ascii="仿宋" w:hAnsi="仿宋" w:eastAsia="仿宋"/>
          <w:b/>
          <w:color w:val="000000"/>
          <w:sz w:val="28"/>
          <w:szCs w:val="28"/>
        </w:rPr>
        <w:t>四、工程质量要求</w:t>
      </w:r>
    </w:p>
    <w:p w14:paraId="315DEDA4">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具体详见招标文件。</w:t>
      </w:r>
      <w:r>
        <w:rPr>
          <w:rFonts w:hint="eastAsia" w:ascii="仿宋" w:hAnsi="仿宋" w:eastAsia="仿宋"/>
          <w:color w:val="000000"/>
          <w:sz w:val="24"/>
          <w:szCs w:val="24"/>
        </w:rPr>
        <w:tab/>
      </w:r>
    </w:p>
    <w:p w14:paraId="0B3A92DD">
      <w:pPr>
        <w:spacing w:line="440" w:lineRule="exact"/>
        <w:rPr>
          <w:rFonts w:ascii="仿宋" w:hAnsi="仿宋" w:eastAsia="仿宋"/>
          <w:b/>
          <w:color w:val="000000"/>
          <w:sz w:val="28"/>
          <w:szCs w:val="28"/>
        </w:rPr>
      </w:pPr>
      <w:r>
        <w:rPr>
          <w:rFonts w:hint="eastAsia" w:ascii="仿宋" w:hAnsi="仿宋" w:eastAsia="仿宋"/>
          <w:b/>
          <w:color w:val="000000"/>
          <w:sz w:val="28"/>
          <w:szCs w:val="28"/>
        </w:rPr>
        <w:t>五、材料价格取定</w:t>
      </w:r>
    </w:p>
    <w:p w14:paraId="4E9F6939">
      <w:pPr>
        <w:spacing w:line="44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材料价格采用信息价，</w:t>
      </w:r>
      <w:r>
        <w:rPr>
          <w:rFonts w:hint="eastAsia" w:ascii="仿宋" w:hAnsi="仿宋" w:eastAsia="仿宋"/>
          <w:color w:val="000000"/>
          <w:sz w:val="24"/>
          <w:szCs w:val="24"/>
          <w:lang w:val="en-US" w:eastAsia="zh-CN"/>
        </w:rPr>
        <w:t>并</w:t>
      </w:r>
      <w:r>
        <w:rPr>
          <w:rFonts w:hint="eastAsia" w:ascii="仿宋" w:hAnsi="仿宋" w:eastAsia="仿宋"/>
          <w:color w:val="000000"/>
          <w:sz w:val="24"/>
          <w:szCs w:val="24"/>
        </w:rPr>
        <w:t>结合市场行情询价确定计取。</w:t>
      </w:r>
    </w:p>
    <w:p w14:paraId="1F6CB0E0">
      <w:pPr>
        <w:spacing w:line="440" w:lineRule="exact"/>
        <w:rPr>
          <w:rFonts w:ascii="仿宋" w:hAnsi="仿宋" w:eastAsia="仿宋"/>
          <w:b/>
          <w:color w:val="000000"/>
          <w:sz w:val="28"/>
          <w:szCs w:val="28"/>
        </w:rPr>
      </w:pPr>
      <w:r>
        <w:rPr>
          <w:rFonts w:hint="eastAsia" w:ascii="仿宋" w:hAnsi="仿宋" w:eastAsia="仿宋"/>
          <w:b/>
          <w:color w:val="000000"/>
          <w:sz w:val="28"/>
          <w:szCs w:val="28"/>
        </w:rPr>
        <w:t>六、措施项目费</w:t>
      </w:r>
    </w:p>
    <w:p w14:paraId="25FA6890">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1、各投标单位应结合工程实际、工期、设计要求和投标单位的施工组织设计、施工方案等综合考虑一切可见和不可见因素，相关的费用均视为已含在措施费用或报价中，竣工结算时不再调整和增加任何费用。</w:t>
      </w:r>
    </w:p>
    <w:p w14:paraId="77B4D2F4">
      <w:pPr>
        <w:spacing w:line="440" w:lineRule="exact"/>
        <w:ind w:firstLine="480" w:firstLineChars="200"/>
        <w:rPr>
          <w:rFonts w:ascii="仿宋" w:hAnsi="仿宋" w:eastAsia="仿宋"/>
          <w:color w:val="000000"/>
          <w:sz w:val="24"/>
          <w:szCs w:val="24"/>
        </w:rPr>
      </w:pPr>
      <w:r>
        <w:rPr>
          <w:rFonts w:ascii="仿宋" w:hAnsi="仿宋" w:eastAsia="仿宋"/>
          <w:color w:val="000000"/>
          <w:sz w:val="24"/>
          <w:szCs w:val="24"/>
        </w:rPr>
        <w:t>2、除措施项目清单中所列项目外，投标人根据施工组织设计需要，可自行调整、报价。</w:t>
      </w:r>
    </w:p>
    <w:p w14:paraId="2674C8B5">
      <w:pPr>
        <w:spacing w:line="440" w:lineRule="exact"/>
        <w:rPr>
          <w:rFonts w:ascii="仿宋" w:hAnsi="仿宋" w:eastAsia="仿宋"/>
          <w:b/>
          <w:color w:val="000000"/>
          <w:sz w:val="28"/>
          <w:szCs w:val="28"/>
        </w:rPr>
      </w:pPr>
      <w:r>
        <w:rPr>
          <w:rFonts w:hint="eastAsia" w:ascii="仿宋" w:hAnsi="仿宋" w:eastAsia="仿宋"/>
          <w:b/>
          <w:color w:val="000000"/>
          <w:sz w:val="28"/>
          <w:szCs w:val="28"/>
        </w:rPr>
        <w:t>七、其他项目费</w:t>
      </w:r>
    </w:p>
    <w:p w14:paraId="39980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预留金：明鉴楼装饰部分15万元，明鉴楼安装部分10万元，影像楼解危2.0万元。</w:t>
      </w:r>
    </w:p>
    <w:p w14:paraId="7064C871">
      <w:pPr>
        <w:spacing w:line="440" w:lineRule="exact"/>
        <w:rPr>
          <w:rFonts w:ascii="仿宋" w:hAnsi="仿宋" w:eastAsia="仿宋"/>
          <w:b/>
          <w:color w:val="000000"/>
          <w:sz w:val="28"/>
          <w:szCs w:val="28"/>
        </w:rPr>
      </w:pPr>
      <w:r>
        <w:rPr>
          <w:rFonts w:hint="eastAsia" w:ascii="仿宋" w:hAnsi="仿宋" w:eastAsia="仿宋"/>
          <w:b/>
          <w:color w:val="000000"/>
          <w:sz w:val="28"/>
          <w:szCs w:val="28"/>
        </w:rPr>
        <w:t>八、其他</w:t>
      </w:r>
    </w:p>
    <w:p w14:paraId="27C343B1">
      <w:pPr>
        <w:spacing w:line="440" w:lineRule="exact"/>
        <w:ind w:firstLine="708" w:firstLineChars="29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1、火灾自动报警系统中，到消控室的各控制电缆由于工程量不明确，故均未计算进标；相关手井也未计算进标。</w:t>
      </w:r>
    </w:p>
    <w:p w14:paraId="4B5C9934">
      <w:pPr>
        <w:spacing w:line="440" w:lineRule="exact"/>
        <w:ind w:firstLine="708" w:firstLineChars="29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2、消火栓系统中，接院区室内消火栓管网计算到图示位置。</w:t>
      </w:r>
    </w:p>
    <w:p w14:paraId="2AFD657C">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工程量清单中含各项技术要求、工作内容、节点做法、成品保护等。</w:t>
      </w:r>
    </w:p>
    <w:p w14:paraId="78AB52A6">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本项目施工图与工程量清单互为补充、互为说明，工程量清单中工作内容仅为基本工作内容，详细的工作内容应以施工图及相应的技术要求、规范、图集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现场情况及招标人要求</w:t>
      </w:r>
      <w:r>
        <w:rPr>
          <w:rFonts w:hint="eastAsia" w:ascii="仿宋_GB2312" w:hAnsi="仿宋_GB2312" w:eastAsia="仿宋_GB2312" w:cs="仿宋_GB2312"/>
          <w:sz w:val="24"/>
        </w:rPr>
        <w:t>为准。施工图中未能明示的施工内容而工程量清单中有的施工内容以工程量清单中施工内容为准。工程量清单中未列的项目而施工图中有明示的或必然隐含的内容视为此部分费用已分摊在其它项目中。</w:t>
      </w:r>
    </w:p>
    <w:p w14:paraId="772CAE2E">
      <w:pPr>
        <w:numPr>
          <w:ilvl w:val="0"/>
          <w:numId w:val="0"/>
        </w:numPr>
        <w:tabs>
          <w:tab w:val="left" w:pos="426"/>
        </w:tabs>
        <w:spacing w:line="360" w:lineRule="auto"/>
        <w:ind w:leftChars="200" w:firstLine="240" w:firstLineChars="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5、本工程设备及主材根据推荐品牌范围及装修主材物料表按常规一般市场常用系列考虑编制。</w:t>
      </w:r>
    </w:p>
    <w:p w14:paraId="1D176BC3">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招标工程量清单中按“项、套、间”列的工程量清单项目，结算不再增加费用。</w:t>
      </w:r>
    </w:p>
    <w:p w14:paraId="49A3FBE9">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7、拆除工程按“项”包干，结算不调整。包含本项目墙地面、吊顶、洁具、灯具、管线等所有图纸及现场显示应拆除的内容，残值回收、垃圾清理归堆、垃圾清理外运及垃圾处置费等。</w:t>
      </w:r>
    </w:p>
    <w:p w14:paraId="372BFADC">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装饰工程内钢骨架在饰面阴阳角处及与其他饰面交界处根据现场实际需增加骨架、竖向骨架顶地固定等均已包含在对应清单中，钢骨架焊点处防锈漆等均已含在相应的综合单价中，不再另行计价。</w:t>
      </w:r>
    </w:p>
    <w:p w14:paraId="2089ECE1">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所有嵌条、收边条等线条不因实际规格尺寸与图纸或清单不符调整；所有窗帘盒、灯槽、回光灯槽综合单价不因实际宽度与图纸或清单不符调整；所有</w:t>
      </w:r>
      <w:r>
        <w:rPr>
          <w:rFonts w:hint="eastAsia" w:ascii="仿宋_GB2312" w:hAnsi="仿宋_GB2312" w:eastAsia="仿宋_GB2312" w:cs="仿宋_GB2312"/>
          <w:sz w:val="24"/>
          <w:highlight w:val="none"/>
          <w:lang w:val="en-US" w:eastAsia="zh-CN"/>
        </w:rPr>
        <w:t>空调风口开洞</w:t>
      </w:r>
      <w:r>
        <w:rPr>
          <w:rFonts w:hint="eastAsia" w:ascii="仿宋_GB2312" w:hAnsi="仿宋_GB2312" w:eastAsia="仿宋_GB2312" w:cs="仿宋_GB2312"/>
          <w:sz w:val="24"/>
          <w:highlight w:val="none"/>
        </w:rPr>
        <w:t>综合单价不因实际风口大小与图纸或清单不符调整。</w:t>
      </w:r>
      <w:r>
        <w:rPr>
          <w:rFonts w:hint="eastAsia" w:ascii="仿宋_GB2312" w:hAnsi="仿宋_GB2312" w:eastAsia="仿宋_GB2312" w:cs="仿宋_GB2312"/>
          <w:sz w:val="24"/>
        </w:rPr>
        <w:t>材料的排版深化等包含在相应投标价中。</w:t>
      </w:r>
    </w:p>
    <w:p w14:paraId="1CCAAB8A">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装饰面的打胶等细节施工工艺包含在相应投标价中。</w:t>
      </w:r>
    </w:p>
    <w:p w14:paraId="0943A4B4">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凡设计图纸上各类木饰面、纸面石膏板面及其他饰面板上的工艺缝、拼缝、留槽、拼角等工艺所需费用含在相应的综合单价中，不再另行计价。</w:t>
      </w:r>
    </w:p>
    <w:p w14:paraId="57E095F8">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块料面层纵向阴阳角拼角处加工、磨边倒角、拉槽、背筋处理、打磨结晶、六面防护、背胶、防滑槽等所需费用含在相应的综合单价中，不再另行计价。</w:t>
      </w:r>
    </w:p>
    <w:p w14:paraId="12B89F47">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w:t>
      </w:r>
      <w:r>
        <w:rPr>
          <w:rFonts w:hint="eastAsia" w:ascii="仿宋_GB2312" w:hAnsi="仿宋_GB2312" w:eastAsia="仿宋_GB2312" w:cs="仿宋_GB2312"/>
          <w:sz w:val="24"/>
        </w:rPr>
        <w:t>金属板材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装饰线、压条等主材价格中应考虑板材开槽、折板、刨边等费用，清单特征不另描述。</w:t>
      </w:r>
    </w:p>
    <w:p w14:paraId="261C6499">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14、</w:t>
      </w:r>
      <w:r>
        <w:rPr>
          <w:rFonts w:hint="eastAsia" w:ascii="仿宋_GB2312" w:hAnsi="仿宋_GB2312" w:eastAsia="仿宋_GB2312" w:cs="仿宋_GB2312"/>
          <w:sz w:val="24"/>
        </w:rPr>
        <w:t>板材、木支座的防潮、防蛀、防火处理等费用综合考虑在相应材料价</w:t>
      </w:r>
      <w:r>
        <w:rPr>
          <w:rFonts w:hint="eastAsia" w:ascii="仿宋_GB2312" w:hAnsi="仿宋_GB2312" w:eastAsia="仿宋_GB2312" w:cs="仿宋_GB2312"/>
          <w:sz w:val="24"/>
          <w:lang w:val="en-US" w:eastAsia="zh-CN"/>
        </w:rPr>
        <w:t>或综合单价</w:t>
      </w:r>
      <w:r>
        <w:rPr>
          <w:rFonts w:hint="eastAsia" w:ascii="仿宋_GB2312" w:hAnsi="仿宋_GB2312" w:eastAsia="仿宋_GB2312" w:cs="仿宋_GB2312"/>
          <w:sz w:val="24"/>
        </w:rPr>
        <w:t>中，不再另行计价。</w:t>
      </w:r>
    </w:p>
    <w:p w14:paraId="46EFADA0">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15、铝合金</w:t>
      </w:r>
      <w:r>
        <w:rPr>
          <w:rFonts w:hint="eastAsia" w:ascii="仿宋_GB2312" w:hAnsi="仿宋_GB2312" w:eastAsia="仿宋_GB2312" w:cs="仿宋_GB2312"/>
          <w:sz w:val="24"/>
        </w:rPr>
        <w:t>吊顶的工程量</w:t>
      </w:r>
      <w:r>
        <w:rPr>
          <w:rFonts w:hint="eastAsia" w:ascii="仿宋_GB2312" w:hAnsi="仿宋_GB2312" w:eastAsia="仿宋_GB2312" w:cs="仿宋_GB2312"/>
          <w:sz w:val="24"/>
          <w:lang w:val="en-US" w:eastAsia="zh-CN"/>
        </w:rPr>
        <w:t>应</w:t>
      </w:r>
      <w:r>
        <w:rPr>
          <w:rFonts w:hint="eastAsia" w:ascii="仿宋_GB2312" w:hAnsi="仿宋_GB2312" w:eastAsia="仿宋_GB2312" w:cs="仿宋_GB2312"/>
          <w:sz w:val="24"/>
        </w:rPr>
        <w:t>扣除灯孔、风口面积，灯孔、风口孔部位的龙骨及吊筋考虑在综合单价中。</w:t>
      </w:r>
    </w:p>
    <w:p w14:paraId="5F8A2865">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16、</w:t>
      </w:r>
      <w:r>
        <w:rPr>
          <w:rFonts w:hint="eastAsia" w:ascii="仿宋_GB2312" w:hAnsi="仿宋_GB2312" w:eastAsia="仿宋_GB2312" w:cs="仿宋_GB2312"/>
          <w:sz w:val="24"/>
        </w:rPr>
        <w:t>所有的地面的找平层、结合层、粘接层厚度清单综合考虑，结算不调整。</w:t>
      </w:r>
    </w:p>
    <w:p w14:paraId="17975FE4">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17、</w:t>
      </w:r>
      <w:r>
        <w:rPr>
          <w:rFonts w:hint="eastAsia" w:ascii="仿宋_GB2312" w:hAnsi="仿宋_GB2312" w:eastAsia="仿宋_GB2312" w:cs="仿宋_GB2312"/>
          <w:sz w:val="24"/>
        </w:rPr>
        <w:t>木饰面、木质门、门套、门套线均含面层油漆。</w:t>
      </w:r>
    </w:p>
    <w:p w14:paraId="2AA353C3">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18、</w:t>
      </w:r>
      <w:r>
        <w:rPr>
          <w:rFonts w:hint="eastAsia" w:ascii="仿宋_GB2312" w:hAnsi="仿宋_GB2312" w:eastAsia="仿宋_GB2312" w:cs="仿宋_GB2312"/>
          <w:sz w:val="24"/>
        </w:rPr>
        <w:t>清单中所有木质门套均包含门套线。</w:t>
      </w:r>
    </w:p>
    <w:p w14:paraId="28B5573F">
      <w:pPr>
        <w:widowControl/>
        <w:numPr>
          <w:ilvl w:val="0"/>
          <w:numId w:val="0"/>
        </w:numPr>
        <w:tabs>
          <w:tab w:val="left" w:pos="426"/>
        </w:tabs>
        <w:spacing w:line="360" w:lineRule="auto"/>
        <w:ind w:firstLine="720" w:firstLineChars="3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w:t>
      </w:r>
      <w:r>
        <w:rPr>
          <w:rFonts w:hint="eastAsia" w:ascii="仿宋_GB2312" w:hAnsi="仿宋_GB2312" w:eastAsia="仿宋_GB2312" w:cs="仿宋_GB2312"/>
          <w:sz w:val="24"/>
        </w:rPr>
        <w:t>本项目所有不锈钢均为304不锈钢。</w:t>
      </w:r>
    </w:p>
    <w:p w14:paraId="3E224784">
      <w:pPr>
        <w:spacing w:line="440" w:lineRule="exact"/>
        <w:ind w:firstLine="708" w:firstLineChars="295"/>
        <w:rPr>
          <w:rFonts w:hint="eastAsia" w:ascii="仿宋_GB2312" w:hAnsi="仿宋_GB2312" w:eastAsia="仿宋_GB2312" w:cs="仿宋_GB2312"/>
          <w:color w:val="000000"/>
          <w:sz w:val="24"/>
        </w:rPr>
      </w:pPr>
    </w:p>
    <w:p w14:paraId="437CB148">
      <w:pPr>
        <w:spacing w:line="440" w:lineRule="exact"/>
        <w:ind w:firstLine="708" w:firstLineChars="295"/>
        <w:rPr>
          <w:rFonts w:hint="eastAsia" w:ascii="仿宋" w:hAnsi="仿宋" w:eastAsia="仿宋"/>
          <w:color w:val="000000"/>
          <w:sz w:val="24"/>
        </w:rPr>
      </w:pPr>
    </w:p>
    <w:p w14:paraId="6B62B291">
      <w:pPr>
        <w:spacing w:line="440" w:lineRule="exact"/>
        <w:ind w:firstLine="480" w:firstLineChars="200"/>
        <w:jc w:val="right"/>
        <w:rPr>
          <w:rFonts w:ascii="仿宋" w:hAnsi="仿宋" w:eastAsia="仿宋"/>
          <w:color w:val="000000"/>
          <w:sz w:val="24"/>
          <w:szCs w:val="24"/>
        </w:rPr>
      </w:pPr>
    </w:p>
    <w:p w14:paraId="49B4641C">
      <w:pPr>
        <w:spacing w:line="440" w:lineRule="exact"/>
        <w:ind w:firstLine="480" w:firstLineChars="200"/>
        <w:jc w:val="right"/>
        <w:rPr>
          <w:rFonts w:ascii="仿宋" w:hAnsi="仿宋" w:eastAsia="仿宋"/>
          <w:color w:val="000000"/>
          <w:sz w:val="24"/>
          <w:szCs w:val="24"/>
        </w:rPr>
      </w:pPr>
      <w:r>
        <w:rPr>
          <w:rFonts w:ascii="仿宋" w:hAnsi="仿宋" w:eastAsia="仿宋"/>
          <w:color w:val="000000"/>
          <w:sz w:val="24"/>
          <w:szCs w:val="24"/>
        </w:rPr>
        <w:t>202</w:t>
      </w:r>
      <w:r>
        <w:rPr>
          <w:rFonts w:hint="eastAsia" w:ascii="仿宋" w:hAnsi="仿宋" w:eastAsia="仿宋"/>
          <w:color w:val="000000"/>
          <w:sz w:val="24"/>
          <w:szCs w:val="24"/>
          <w:lang w:val="en-US" w:eastAsia="zh-CN"/>
        </w:rPr>
        <w:t>6</w:t>
      </w:r>
      <w:r>
        <w:rPr>
          <w:rFonts w:ascii="仿宋" w:hAnsi="仿宋" w:eastAsia="仿宋"/>
          <w:color w:val="000000"/>
          <w:sz w:val="24"/>
          <w:szCs w:val="24"/>
        </w:rPr>
        <w:t>年</w:t>
      </w:r>
      <w:r>
        <w:rPr>
          <w:rFonts w:hint="eastAsia" w:ascii="仿宋" w:hAnsi="仿宋" w:eastAsia="仿宋"/>
          <w:color w:val="000000"/>
          <w:sz w:val="24"/>
          <w:szCs w:val="24"/>
          <w:lang w:val="en-US" w:eastAsia="zh-CN"/>
        </w:rPr>
        <w:t>03</w:t>
      </w:r>
      <w:r>
        <w:rPr>
          <w:rFonts w:ascii="仿宋" w:hAnsi="仿宋" w:eastAsia="仿宋"/>
          <w:color w:val="000000"/>
          <w:sz w:val="24"/>
          <w:szCs w:val="24"/>
        </w:rPr>
        <w:t>月</w:t>
      </w:r>
      <w:r>
        <w:rPr>
          <w:rFonts w:hint="eastAsia" w:ascii="仿宋" w:hAnsi="仿宋" w:eastAsia="仿宋"/>
          <w:color w:val="000000"/>
          <w:sz w:val="24"/>
          <w:szCs w:val="24"/>
          <w:lang w:val="en-US" w:eastAsia="zh-CN"/>
        </w:rPr>
        <w:t>02</w:t>
      </w:r>
      <w:bookmarkStart w:id="0" w:name="_GoBack"/>
      <w:bookmarkEnd w:id="0"/>
      <w:r>
        <w:rPr>
          <w:rFonts w:ascii="仿宋" w:hAnsi="仿宋" w:eastAsia="仿宋"/>
          <w:color w:val="000000"/>
          <w:sz w:val="24"/>
          <w:szCs w:val="24"/>
        </w:rPr>
        <w:t>日</w:t>
      </w:r>
    </w:p>
    <w:sectPr>
      <w:pgSz w:w="11906" w:h="16838"/>
      <w:pgMar w:top="1135"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7EEC"/>
    <w:rsid w:val="00041B4C"/>
    <w:rsid w:val="00044B48"/>
    <w:rsid w:val="00061AD0"/>
    <w:rsid w:val="00062165"/>
    <w:rsid w:val="000667FC"/>
    <w:rsid w:val="000733D9"/>
    <w:rsid w:val="00096F68"/>
    <w:rsid w:val="000D2ECB"/>
    <w:rsid w:val="000E1AE7"/>
    <w:rsid w:val="000E4BA1"/>
    <w:rsid w:val="000E6B34"/>
    <w:rsid w:val="00125573"/>
    <w:rsid w:val="00141BFC"/>
    <w:rsid w:val="00156E4E"/>
    <w:rsid w:val="001604A9"/>
    <w:rsid w:val="00160E50"/>
    <w:rsid w:val="0016201A"/>
    <w:rsid w:val="00170DCF"/>
    <w:rsid w:val="00172772"/>
    <w:rsid w:val="00184487"/>
    <w:rsid w:val="00194693"/>
    <w:rsid w:val="001C47DA"/>
    <w:rsid w:val="001E07C7"/>
    <w:rsid w:val="0020468D"/>
    <w:rsid w:val="00205602"/>
    <w:rsid w:val="00232F6C"/>
    <w:rsid w:val="00235900"/>
    <w:rsid w:val="00237670"/>
    <w:rsid w:val="002377D6"/>
    <w:rsid w:val="0027087B"/>
    <w:rsid w:val="00275680"/>
    <w:rsid w:val="0029067E"/>
    <w:rsid w:val="002A5404"/>
    <w:rsid w:val="002C2DAD"/>
    <w:rsid w:val="002C3F65"/>
    <w:rsid w:val="002D5BB2"/>
    <w:rsid w:val="002E31DF"/>
    <w:rsid w:val="002F37E8"/>
    <w:rsid w:val="002F7A87"/>
    <w:rsid w:val="003014DB"/>
    <w:rsid w:val="00312054"/>
    <w:rsid w:val="00313575"/>
    <w:rsid w:val="00321578"/>
    <w:rsid w:val="003217BD"/>
    <w:rsid w:val="00354C6F"/>
    <w:rsid w:val="00363EBE"/>
    <w:rsid w:val="00371F20"/>
    <w:rsid w:val="00380B60"/>
    <w:rsid w:val="0039072E"/>
    <w:rsid w:val="003A2D6F"/>
    <w:rsid w:val="003D043D"/>
    <w:rsid w:val="003E502D"/>
    <w:rsid w:val="003F78CE"/>
    <w:rsid w:val="00406D8E"/>
    <w:rsid w:val="004132D2"/>
    <w:rsid w:val="00417741"/>
    <w:rsid w:val="0042346F"/>
    <w:rsid w:val="00426C07"/>
    <w:rsid w:val="004379A6"/>
    <w:rsid w:val="00460CA3"/>
    <w:rsid w:val="00483D45"/>
    <w:rsid w:val="004D5611"/>
    <w:rsid w:val="004F1E6E"/>
    <w:rsid w:val="004F52E7"/>
    <w:rsid w:val="0052745D"/>
    <w:rsid w:val="00531C05"/>
    <w:rsid w:val="0055289D"/>
    <w:rsid w:val="005563DD"/>
    <w:rsid w:val="005609AC"/>
    <w:rsid w:val="00583A37"/>
    <w:rsid w:val="005C3AD0"/>
    <w:rsid w:val="005E67DE"/>
    <w:rsid w:val="005F44B5"/>
    <w:rsid w:val="006057F4"/>
    <w:rsid w:val="00613473"/>
    <w:rsid w:val="00621C23"/>
    <w:rsid w:val="00645278"/>
    <w:rsid w:val="006458D4"/>
    <w:rsid w:val="00645F9A"/>
    <w:rsid w:val="00651560"/>
    <w:rsid w:val="00671C77"/>
    <w:rsid w:val="00691B54"/>
    <w:rsid w:val="006A0C3F"/>
    <w:rsid w:val="006A1E84"/>
    <w:rsid w:val="006C1B16"/>
    <w:rsid w:val="006C7901"/>
    <w:rsid w:val="006D2920"/>
    <w:rsid w:val="006F4587"/>
    <w:rsid w:val="007261FE"/>
    <w:rsid w:val="00736F99"/>
    <w:rsid w:val="0074466A"/>
    <w:rsid w:val="00744D31"/>
    <w:rsid w:val="00744E4A"/>
    <w:rsid w:val="00744EA1"/>
    <w:rsid w:val="007816FD"/>
    <w:rsid w:val="007869F4"/>
    <w:rsid w:val="0078723F"/>
    <w:rsid w:val="00792014"/>
    <w:rsid w:val="007944B8"/>
    <w:rsid w:val="007A1178"/>
    <w:rsid w:val="007C019A"/>
    <w:rsid w:val="007C485E"/>
    <w:rsid w:val="00812E55"/>
    <w:rsid w:val="00825222"/>
    <w:rsid w:val="008531F0"/>
    <w:rsid w:val="008750E4"/>
    <w:rsid w:val="008A7C57"/>
    <w:rsid w:val="008C3018"/>
    <w:rsid w:val="008C63C2"/>
    <w:rsid w:val="0090279D"/>
    <w:rsid w:val="00902AB1"/>
    <w:rsid w:val="009134B7"/>
    <w:rsid w:val="009220C8"/>
    <w:rsid w:val="00924C49"/>
    <w:rsid w:val="00935B15"/>
    <w:rsid w:val="009634D4"/>
    <w:rsid w:val="00975347"/>
    <w:rsid w:val="00990E22"/>
    <w:rsid w:val="009A1276"/>
    <w:rsid w:val="009B4810"/>
    <w:rsid w:val="009C201B"/>
    <w:rsid w:val="009C750D"/>
    <w:rsid w:val="009D55A1"/>
    <w:rsid w:val="009E301E"/>
    <w:rsid w:val="00A017D8"/>
    <w:rsid w:val="00A108D3"/>
    <w:rsid w:val="00A3027E"/>
    <w:rsid w:val="00A3429C"/>
    <w:rsid w:val="00A80356"/>
    <w:rsid w:val="00A97A83"/>
    <w:rsid w:val="00AE39AF"/>
    <w:rsid w:val="00B0421D"/>
    <w:rsid w:val="00B14DC6"/>
    <w:rsid w:val="00B437C1"/>
    <w:rsid w:val="00B61A3A"/>
    <w:rsid w:val="00B66874"/>
    <w:rsid w:val="00B71088"/>
    <w:rsid w:val="00B81F0D"/>
    <w:rsid w:val="00BB45D3"/>
    <w:rsid w:val="00BD7EEC"/>
    <w:rsid w:val="00BF21CF"/>
    <w:rsid w:val="00BF34E0"/>
    <w:rsid w:val="00BF461C"/>
    <w:rsid w:val="00C40883"/>
    <w:rsid w:val="00C473DF"/>
    <w:rsid w:val="00C54A49"/>
    <w:rsid w:val="00CA11BA"/>
    <w:rsid w:val="00CC4172"/>
    <w:rsid w:val="00CC46E8"/>
    <w:rsid w:val="00CD3C8A"/>
    <w:rsid w:val="00CE4583"/>
    <w:rsid w:val="00CE586A"/>
    <w:rsid w:val="00CE7064"/>
    <w:rsid w:val="00D43D70"/>
    <w:rsid w:val="00D53586"/>
    <w:rsid w:val="00D712E7"/>
    <w:rsid w:val="00D95C6A"/>
    <w:rsid w:val="00D96BF5"/>
    <w:rsid w:val="00DA4D7B"/>
    <w:rsid w:val="00DB1DFB"/>
    <w:rsid w:val="00DC0789"/>
    <w:rsid w:val="00DD06F9"/>
    <w:rsid w:val="00DE6E7B"/>
    <w:rsid w:val="00DF0009"/>
    <w:rsid w:val="00E40FFD"/>
    <w:rsid w:val="00E4515E"/>
    <w:rsid w:val="00EA0ACA"/>
    <w:rsid w:val="00EB66CC"/>
    <w:rsid w:val="00EC65F9"/>
    <w:rsid w:val="00ED7608"/>
    <w:rsid w:val="00EF077A"/>
    <w:rsid w:val="00EF71D4"/>
    <w:rsid w:val="00EF727B"/>
    <w:rsid w:val="00F0368D"/>
    <w:rsid w:val="00F264FB"/>
    <w:rsid w:val="00F33484"/>
    <w:rsid w:val="00F362E3"/>
    <w:rsid w:val="00F36325"/>
    <w:rsid w:val="00F579C6"/>
    <w:rsid w:val="00F60E16"/>
    <w:rsid w:val="00F8011A"/>
    <w:rsid w:val="00FB3720"/>
    <w:rsid w:val="00FD5A05"/>
    <w:rsid w:val="00FE5E54"/>
    <w:rsid w:val="2F5A7DDB"/>
    <w:rsid w:val="33AD2BD0"/>
    <w:rsid w:val="3F7D556A"/>
    <w:rsid w:val="463F48C7"/>
    <w:rsid w:val="46D249B8"/>
    <w:rsid w:val="55D02C8E"/>
    <w:rsid w:val="66C92A7F"/>
    <w:rsid w:val="76102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1897</Words>
  <Characters>2013</Characters>
  <Lines>7</Lines>
  <Paragraphs>1</Paragraphs>
  <TotalTime>64</TotalTime>
  <ScaleCrop>false</ScaleCrop>
  <LinksUpToDate>false</LinksUpToDate>
  <CharactersWithSpaces>2015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2023-11-06T07:18:00Z</dcterms:created>
  <dc:creator>施红丽</dc:creator>
  <cp:lastModifiedBy>WPS_1600223186</cp:lastModifiedBy>
  <cp:lastPrinted>2024-01-25T08:20:00Z</cp:lastPrinted>
  <dcterms:modified xsi:type="dcterms:W3CDTF">2026-03-02T08:40:46Z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eyJoZGlkIjoiZjgzYzU3M2FkYzQ3ZTkzN2Q3MDBhODA0YTdhMTdkNjkiLCJ1c2VySWQiOiIxMTA1MjM3NTI0In0=</vt:lpwstr>
  </property>
  <property fmtid="{D5CDD505-2E9C-101B-9397-08002B2CF9AE}" pid="3" name="KSOProductBuildVer">
    <vt:lpwstr>2052-12.1.0.24657</vt:lpwstr>
  </property>
  <property fmtid="{D5CDD505-2E9C-101B-9397-08002B2CF9AE}" pid="4" name="ICV">
    <vt:lpwstr>AF850C392CF24D16AB2EE0F8F0C4ED6B_12</vt:lpwstr>
  </property>
</Properties>
</file>