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jc w:val="center"/>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t xml:space="preserve">竞争性磋商文件</w:t>
      </w:r>
      <w:r>
        <w:rPr>
          <w:rFonts w:hint="eastAsia" w:ascii="Arial" w:hAnsi="Arial" w:eastAsia="黑体"/>
          <w:b/>
          <w:bCs/>
          <w:sz w:val="84"/>
          <w:szCs w:val="24"/>
          <w:highlight w:val="none"/>
        </w:rPr>
      </w:r>
      <w:r/>
    </w:p>
    <w:p>
      <w:pPr>
        <w:pStyle w:val="971"/>
        <w:rPr>
          <w:rFonts w:hint="eastAsia"/>
          <w:highlight w:val="none"/>
        </w:rPr>
      </w:pPr>
      <w:r>
        <w:rPr>
          <w:rFonts w:hint="eastAsia"/>
          <w:highlight w:val="none"/>
        </w:rPr>
      </w:r>
      <w:r/>
    </w:p>
    <w:p>
      <w:pPr>
        <w:pStyle w:val="940"/>
        <w:ind w:firstLine="1285"/>
        <w:spacing w:before="120" w:after="120"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项目名称：</w:t>
      </w:r>
      <w:r>
        <w:rPr>
          <w:rFonts w:hint="eastAsia" w:ascii="宋体" w:hAnsi="宋体" w:cs="宋体"/>
          <w:b/>
          <w:bCs/>
          <w:sz w:val="32"/>
          <w:szCs w:val="32"/>
          <w:highlight w:val="none"/>
          <w:lang w:eastAsia="zh-CN"/>
        </w:rPr>
        <w:t xml:space="preserve">扬州市国土空间总体规划（2021-2035年）动态维护方案</w:t>
      </w:r>
      <w:r>
        <w:rPr>
          <w:rFonts w:hint="eastAsia" w:ascii="宋体" w:hAnsi="宋体" w:eastAsia="宋体" w:cs="宋体"/>
          <w:b/>
          <w:bCs/>
          <w:sz w:val="32"/>
          <w:szCs w:val="32"/>
          <w:highlight w:val="none"/>
          <w:lang w:eastAsia="zh-CN"/>
        </w:rPr>
      </w:r>
      <w:r/>
    </w:p>
    <w:p>
      <w:pPr>
        <w:pStyle w:val="940"/>
        <w:ind w:firstLine="1285"/>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t xml:space="preserve">项目编号：</w:t>
      </w:r>
      <w:r>
        <w:rPr>
          <w:rFonts w:hint="eastAsia" w:ascii="宋体" w:hAnsi="宋体" w:cs="宋体"/>
          <w:b/>
          <w:bCs/>
          <w:sz w:val="32"/>
          <w:szCs w:val="24"/>
          <w:highlight w:val="none"/>
          <w:lang w:eastAsia="zh-CN"/>
        </w:rPr>
        <w:t xml:space="preserve">JSZC-321000-SSZX-C2026-0005</w:t>
      </w:r>
      <w:r>
        <w:rPr>
          <w:rFonts w:hint="eastAsia" w:ascii="宋体" w:hAnsi="宋体" w:cs="宋体"/>
          <w:b/>
          <w:bCs/>
          <w:sz w:val="32"/>
          <w:szCs w:val="24"/>
          <w:highlight w:val="none"/>
        </w:rPr>
        <w:t xml:space="preserve">号 </w:t>
      </w:r>
      <w:r>
        <w:rPr>
          <w:rFonts w:hint="eastAsia" w:ascii="宋体" w:hAnsi="宋体" w:cs="宋体"/>
          <w:b/>
          <w:bCs/>
          <w:sz w:val="32"/>
          <w:szCs w:val="24"/>
          <w:highlight w:val="none"/>
        </w:rPr>
      </w:r>
      <w:r/>
    </w:p>
    <w:p>
      <w:pPr>
        <w:pStyle w:val="940"/>
        <w:jc w:val="center"/>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r>
      <w:r/>
    </w:p>
    <w:p>
      <w:pPr>
        <w:pStyle w:val="940"/>
        <w:jc w:val="left"/>
        <w:spacing w:line="360" w:lineRule="auto"/>
        <w:rPr>
          <w:rFonts w:hint="eastAsia" w:ascii="宋体" w:hAnsi="宋体"/>
          <w:sz w:val="24"/>
          <w:szCs w:val="24"/>
          <w:highlight w:val="none"/>
        </w:rPr>
      </w:pPr>
      <w:r>
        <w:rPr>
          <w:rFonts w:ascii="宋体" w:hAnsi="宋体"/>
          <w:sz w:val="36"/>
          <w:highlight w:val="none"/>
          <w:lang w:val="zh-CN"/>
        </w:rPr>
        <mc:AlternateContent>
          <mc:Choice Requires="wpg">
            <w:drawing>
              <wp:inline xmlns:wp="http://schemas.openxmlformats.org/drawingml/2006/wordprocessingDrawing" distT="0" distB="0" distL="0" distR="0">
                <wp:extent cx="5177092" cy="369062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177092"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7.6pt;height:290.6pt;mso-wrap-distance-left:0.0pt;mso-wrap-distance-top:0.0pt;mso-wrap-distance-right:0.0pt;mso-wrap-distance-bottom:0.0pt;" stroked="f">
                <v:path textboxrect="0,0,0,0"/>
                <v:imagedata r:id="rId14" o:title=""/>
              </v:shape>
            </w:pict>
          </mc:Fallback>
        </mc:AlternateContent>
      </w:r>
      <w:r>
        <w:rPr>
          <w:rFonts w:hint="eastAsia" w:ascii="宋体" w:hAnsi="宋体"/>
          <w:sz w:val="24"/>
          <w:szCs w:val="24"/>
          <w:highlight w:val="none"/>
        </w:rPr>
      </w:r>
      <w:r/>
    </w:p>
    <w:p>
      <w:pPr>
        <w:pStyle w:val="940"/>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40"/>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40"/>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江苏苏中兴工程造价咨询有限公司</w:t>
      </w:r>
      <w:r>
        <w:rPr>
          <w:rFonts w:hint="eastAsia" w:ascii="Arial" w:hAnsi="Arial"/>
          <w:b/>
          <w:bCs/>
          <w:sz w:val="32"/>
          <w:szCs w:val="24"/>
          <w:highlight w:val="none"/>
        </w:rPr>
      </w:r>
      <w:r/>
    </w:p>
    <w:p>
      <w:pPr>
        <w:pStyle w:val="940"/>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2026年</w:t>
      </w:r>
      <w:r>
        <w:rPr>
          <w:rFonts w:hint="eastAsia" w:ascii="Arial" w:hAnsi="Arial"/>
          <w:b/>
          <w:bCs/>
          <w:sz w:val="32"/>
          <w:szCs w:val="24"/>
          <w:highlight w:val="none"/>
          <w:lang w:val="en-US" w:eastAsia="zh-CN"/>
        </w:rPr>
        <w:t xml:space="preserve">4</w:t>
      </w:r>
      <w:r>
        <w:rPr>
          <w:rFonts w:hint="eastAsia" w:ascii="Arial" w:hAnsi="Arial"/>
          <w:b/>
          <w:bCs/>
          <w:sz w:val="32"/>
          <w:szCs w:val="24"/>
          <w:highlight w:val="none"/>
        </w:rPr>
        <w:t xml:space="preserve">月</w:t>
      </w:r>
      <w:r>
        <w:rPr>
          <w:rFonts w:hint="eastAsia" w:ascii="Arial" w:hAnsi="Arial"/>
          <w:b/>
          <w:bCs/>
          <w:sz w:val="32"/>
          <w:szCs w:val="24"/>
          <w:highlight w:val="none"/>
          <w:lang w:val="en-US" w:eastAsia="zh-CN"/>
        </w:rPr>
        <w:t xml:space="preserve">3</w:t>
      </w:r>
      <w:r>
        <w:rPr>
          <w:rFonts w:hint="eastAsia" w:ascii="Arial" w:hAnsi="Arial"/>
          <w:b/>
          <w:bCs/>
          <w:sz w:val="32"/>
          <w:szCs w:val="24"/>
          <w:highlight w:val="none"/>
        </w:rPr>
        <w:t xml:space="preserve">日</w:t>
      </w:r>
      <w:r>
        <w:rPr>
          <w:rFonts w:hint="eastAsia" w:ascii="Arial" w:hAnsi="Arial"/>
          <w:b/>
          <w:bCs/>
          <w:sz w:val="32"/>
          <w:szCs w:val="24"/>
          <w:highlight w:val="none"/>
        </w:rPr>
      </w:r>
      <w:r/>
    </w:p>
    <w:p>
      <w:pPr>
        <w:pStyle w:val="940"/>
        <w:jc w:val="center"/>
        <w:spacing w:line="480" w:lineRule="auto"/>
        <w:rPr>
          <w:rFonts w:hint="eastAsia" w:ascii="黑体" w:hAnsi="Arial" w:eastAsia="黑体"/>
          <w:b/>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黑体" w:hAnsi="Arial" w:eastAsia="黑体"/>
          <w:b/>
          <w:sz w:val="44"/>
          <w:szCs w:val="21"/>
          <w:highlight w:val="none"/>
        </w:rPr>
      </w:r>
      <w:r/>
    </w:p>
    <w:p>
      <w:pPr>
        <w:pStyle w:val="940"/>
        <w:jc w:val="center"/>
        <w:spacing w:line="480" w:lineRule="auto"/>
        <w:rPr>
          <w:rFonts w:hint="eastAsia" w:ascii="黑体" w:hAnsi="Arial" w:eastAsia="黑体"/>
          <w:b/>
          <w:sz w:val="44"/>
          <w:szCs w:val="21"/>
          <w:highlight w:val="none"/>
        </w:rPr>
      </w:pPr>
      <w:r>
        <w:rPr>
          <w:rFonts w:hint="eastAsia" w:ascii="黑体" w:hAnsi="Arial" w:eastAsia="黑体"/>
          <w:b/>
          <w:sz w:val="44"/>
          <w:szCs w:val="21"/>
          <w:highlight w:val="none"/>
        </w:rPr>
        <w:t xml:space="preserve">总  目  录</w:t>
      </w:r>
      <w:r>
        <w:rPr>
          <w:rFonts w:hint="eastAsia" w:ascii="黑体" w:hAnsi="Arial" w:eastAsia="黑体"/>
          <w:b/>
          <w:sz w:val="44"/>
          <w:szCs w:val="21"/>
          <w:highlight w:val="none"/>
        </w:rPr>
      </w:r>
      <w:r/>
    </w:p>
    <w:p>
      <w:pPr>
        <w:pStyle w:val="940"/>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992"/>
        <w:spacing w:line="500" w:lineRule="exact"/>
        <w:tabs>
          <w:tab w:val="right" w:pos="8953" w:leader="dot"/>
        </w:tabs>
        <w:rPr>
          <w:sz w:val="28"/>
          <w:szCs w:val="28"/>
          <w:highlight w:val="none"/>
        </w:rPr>
      </w:pPr>
      <w:r>
        <w:rPr>
          <w:rFonts w:hint="eastAsia" w:ascii="Times New Roman" w:hAnsi="Times New Roman"/>
          <w:szCs w:val="21"/>
          <w:highlight w:val="none"/>
        </w:rPr>
        <w:fldChar w:fldCharType="begin"/>
      </w:r>
      <w:r>
        <w:rPr>
          <w:rFonts w:hint="eastAsia" w:ascii="Times New Roman" w:hAnsi="Times New Roman"/>
          <w:szCs w:val="21"/>
          <w:highlight w:val="none"/>
        </w:rPr>
        <w:instrText xml:space="preserve">TOC \o "1-1" \h \u </w:instrText>
      </w:r>
      <w:r>
        <w:rPr>
          <w:rFonts w:hint="eastAsia" w:ascii="Times New Roman" w:hAnsi="Times New Roman"/>
          <w:szCs w:val="21"/>
          <w:highlight w:val="none"/>
        </w:rPr>
        <w:fldChar w:fldCharType="separate"/>
      </w:r>
      <w:r>
        <w:rPr>
          <w:rFonts w:hint="eastAsia" w:ascii="Times New Roman" w:hAnsi="Times New Roman"/>
          <w:sz w:val="28"/>
          <w:szCs w:val="28"/>
          <w:highlight w:val="none"/>
        </w:rPr>
        <w:fldChar w:fldCharType="begin"/>
      </w:r>
      <w:r>
        <w:rPr>
          <w:rFonts w:hint="eastAsia" w:ascii="Times New Roman" w:hAnsi="Times New Roman"/>
          <w:sz w:val="28"/>
          <w:szCs w:val="28"/>
          <w:highlight w:val="none"/>
        </w:rPr>
        <w:instrText xml:space="preserve"> HYPERLINK \l _Toc17529 </w:instrText>
      </w:r>
      <w:r>
        <w:rPr>
          <w:rFonts w:hint="eastAsia" w:ascii="Times New Roman" w:hAnsi="Times New Roman"/>
          <w:sz w:val="28"/>
          <w:szCs w:val="28"/>
          <w:highlight w:val="none"/>
        </w:rPr>
        <w:fldChar w:fldCharType="separate"/>
      </w:r>
      <w:r>
        <w:rPr>
          <w:rFonts w:hint="eastAsia" w:ascii="黑体" w:hAnsi="Times New Roman" w:eastAsia="黑体"/>
          <w:sz w:val="28"/>
          <w:szCs w:val="28"/>
          <w:highlight w:val="none"/>
        </w:rPr>
        <w:t xml:space="preserve">第一章  磋商</w:t>
      </w:r>
      <w:r>
        <w:rPr>
          <w:rFonts w:hint="eastAsia" w:ascii="黑体" w:hAnsi="Times New Roman" w:eastAsia="黑体"/>
          <w:sz w:val="28"/>
          <w:szCs w:val="28"/>
          <w:highlight w:val="none"/>
          <w:lang w:val="en-US" w:eastAsia="zh-CN"/>
        </w:rPr>
        <w:t xml:space="preserve">公告</w:t>
      </w:r>
      <w:r>
        <w:rPr>
          <w:sz w:val="28"/>
          <w:szCs w:val="28"/>
          <w:highlight w:val="none"/>
        </w:rPr>
        <w:tab/>
      </w:r>
      <w:r>
        <w:rPr>
          <w:sz w:val="28"/>
          <w:szCs w:val="28"/>
          <w:highlight w:val="none"/>
        </w:rPr>
        <w:fldChar w:fldCharType="begin"/>
      </w:r>
      <w:r>
        <w:rPr>
          <w:sz w:val="28"/>
          <w:szCs w:val="28"/>
          <w:highlight w:val="none"/>
        </w:rPr>
        <w:instrText xml:space="preserve"> PAGEREF _Toc17529 \h </w:instrText>
      </w:r>
      <w:r>
        <w:rPr>
          <w:sz w:val="28"/>
          <w:szCs w:val="28"/>
          <w:highlight w:val="none"/>
        </w:rPr>
        <w:fldChar w:fldCharType="separate"/>
      </w:r>
      <w:r>
        <w:rPr>
          <w:sz w:val="28"/>
          <w:szCs w:val="28"/>
          <w:highlight w:val="none"/>
        </w:rPr>
        <w:t xml:space="preserve">2</w:t>
      </w:r>
      <w:r>
        <w:rPr>
          <w:sz w:val="28"/>
          <w:szCs w:val="28"/>
          <w:highlight w:val="none"/>
        </w:rPr>
        <w:fldChar w:fldCharType="end"/>
      </w:r>
      <w:r>
        <w:rPr>
          <w:rFonts w:hint="eastAsia" w:ascii="Times New Roman" w:hAnsi="Times New Roman"/>
          <w:sz w:val="28"/>
          <w:szCs w:val="28"/>
          <w:highlight w:val="none"/>
        </w:rPr>
        <w:fldChar w:fldCharType="end"/>
      </w:r>
      <w:r>
        <w:rPr>
          <w:sz w:val="28"/>
          <w:szCs w:val="28"/>
          <w:highlight w:val="none"/>
        </w:rPr>
      </w:r>
      <w:r/>
    </w:p>
    <w:p>
      <w:pPr>
        <w:pStyle w:val="992"/>
        <w:spacing w:line="500" w:lineRule="exact"/>
        <w:tabs>
          <w:tab w:val="right" w:pos="8953" w:leader="dot"/>
        </w:tabs>
        <w:rPr>
          <w:sz w:val="28"/>
          <w:szCs w:val="28"/>
          <w:highlight w:val="none"/>
        </w:rPr>
      </w:pPr>
      <w:r>
        <w:rPr>
          <w:rFonts w:hint="eastAsia" w:ascii="Times New Roman" w:hAnsi="Times New Roman"/>
          <w:sz w:val="28"/>
          <w:szCs w:val="28"/>
          <w:highlight w:val="none"/>
        </w:rPr>
        <w:fldChar w:fldCharType="begin"/>
      </w:r>
      <w:r>
        <w:rPr>
          <w:rFonts w:hint="eastAsia" w:ascii="Times New Roman" w:hAnsi="Times New Roman"/>
          <w:sz w:val="28"/>
          <w:szCs w:val="28"/>
          <w:highlight w:val="none"/>
        </w:rPr>
        <w:instrText xml:space="preserve"> HYPERLINK \l _Toc20960 </w:instrText>
      </w:r>
      <w:r>
        <w:rPr>
          <w:rFonts w:hint="eastAsia" w:ascii="Times New Roman" w:hAnsi="Times New Roman"/>
          <w:sz w:val="28"/>
          <w:szCs w:val="28"/>
          <w:highlight w:val="none"/>
        </w:rPr>
        <w:fldChar w:fldCharType="separate"/>
      </w:r>
      <w:r>
        <w:rPr>
          <w:rFonts w:hint="eastAsia" w:ascii="黑体" w:hAnsi="Arial" w:eastAsia="黑体" w:cs="Arial"/>
          <w:bCs/>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_Toc20960 \h </w:instrText>
      </w:r>
      <w:r>
        <w:rPr>
          <w:sz w:val="28"/>
          <w:szCs w:val="28"/>
          <w:highlight w:val="none"/>
        </w:rPr>
        <w:fldChar w:fldCharType="separate"/>
      </w:r>
      <w:r>
        <w:rPr>
          <w:sz w:val="28"/>
          <w:szCs w:val="28"/>
          <w:highlight w:val="none"/>
        </w:rPr>
        <w:t xml:space="preserve">7</w:t>
      </w:r>
      <w:r>
        <w:rPr>
          <w:sz w:val="28"/>
          <w:szCs w:val="28"/>
          <w:highlight w:val="none"/>
        </w:rPr>
        <w:fldChar w:fldCharType="end"/>
      </w:r>
      <w:r>
        <w:rPr>
          <w:rFonts w:hint="eastAsia" w:ascii="Times New Roman" w:hAnsi="Times New Roman"/>
          <w:sz w:val="28"/>
          <w:szCs w:val="28"/>
          <w:highlight w:val="none"/>
        </w:rPr>
        <w:fldChar w:fldCharType="end"/>
      </w:r>
      <w:r>
        <w:rPr>
          <w:sz w:val="28"/>
          <w:szCs w:val="28"/>
          <w:highlight w:val="none"/>
        </w:rPr>
      </w:r>
      <w:r/>
    </w:p>
    <w:p>
      <w:pPr>
        <w:pStyle w:val="992"/>
        <w:spacing w:line="500" w:lineRule="exact"/>
        <w:tabs>
          <w:tab w:val="right" w:pos="8953" w:leader="dot"/>
        </w:tabs>
        <w:rPr>
          <w:sz w:val="28"/>
          <w:szCs w:val="28"/>
          <w:highlight w:val="none"/>
        </w:rPr>
      </w:pPr>
      <w:r>
        <w:rPr>
          <w:rFonts w:hint="eastAsia" w:ascii="Times New Roman" w:hAnsi="Times New Roman"/>
          <w:sz w:val="28"/>
          <w:szCs w:val="28"/>
          <w:highlight w:val="none"/>
        </w:rPr>
        <w:fldChar w:fldCharType="begin"/>
      </w:r>
      <w:r>
        <w:rPr>
          <w:rFonts w:hint="eastAsia" w:ascii="Times New Roman" w:hAnsi="Times New Roman"/>
          <w:sz w:val="28"/>
          <w:szCs w:val="28"/>
          <w:highlight w:val="none"/>
        </w:rPr>
        <w:instrText xml:space="preserve"> HYPERLINK \l _Toc10761 </w:instrText>
      </w:r>
      <w:r>
        <w:rPr>
          <w:rFonts w:hint="eastAsia" w:ascii="Times New Roman" w:hAnsi="Times New Roman"/>
          <w:sz w:val="28"/>
          <w:szCs w:val="28"/>
          <w:highlight w:val="none"/>
        </w:rPr>
        <w:fldChar w:fldCharType="separate"/>
      </w:r>
      <w:r>
        <w:rPr>
          <w:rFonts w:hint="eastAsia" w:ascii="黑体" w:hAnsi="Times New Roman" w:eastAsia="黑体"/>
          <w:bCs/>
          <w:sz w:val="28"/>
          <w:szCs w:val="28"/>
          <w:highlight w:val="none"/>
        </w:rPr>
        <w:t xml:space="preserve">第三章  合同文本</w:t>
      </w:r>
      <w:r>
        <w:rPr>
          <w:sz w:val="28"/>
          <w:szCs w:val="28"/>
          <w:highlight w:val="none"/>
        </w:rPr>
        <w:tab/>
      </w:r>
      <w:r>
        <w:rPr>
          <w:sz w:val="28"/>
          <w:szCs w:val="28"/>
          <w:highlight w:val="none"/>
        </w:rPr>
        <w:fldChar w:fldCharType="begin"/>
      </w:r>
      <w:r>
        <w:rPr>
          <w:sz w:val="28"/>
          <w:szCs w:val="28"/>
          <w:highlight w:val="none"/>
        </w:rPr>
        <w:instrText xml:space="preserve"> PAGEREF _Toc10761 \h </w:instrText>
      </w:r>
      <w:r>
        <w:rPr>
          <w:sz w:val="28"/>
          <w:szCs w:val="28"/>
          <w:highlight w:val="none"/>
        </w:rPr>
        <w:fldChar w:fldCharType="separate"/>
      </w:r>
      <w:r>
        <w:rPr>
          <w:sz w:val="28"/>
          <w:szCs w:val="28"/>
          <w:highlight w:val="none"/>
        </w:rPr>
        <w:t xml:space="preserve">17</w:t>
      </w:r>
      <w:r>
        <w:rPr>
          <w:sz w:val="28"/>
          <w:szCs w:val="28"/>
          <w:highlight w:val="none"/>
        </w:rPr>
        <w:fldChar w:fldCharType="end"/>
      </w:r>
      <w:r>
        <w:rPr>
          <w:rFonts w:hint="eastAsia" w:ascii="Times New Roman" w:hAnsi="Times New Roman"/>
          <w:sz w:val="28"/>
          <w:szCs w:val="28"/>
          <w:highlight w:val="none"/>
        </w:rPr>
        <w:fldChar w:fldCharType="end"/>
      </w:r>
      <w:r>
        <w:rPr>
          <w:sz w:val="28"/>
          <w:szCs w:val="28"/>
          <w:highlight w:val="none"/>
        </w:rPr>
      </w:r>
      <w:r/>
    </w:p>
    <w:p>
      <w:pPr>
        <w:pStyle w:val="992"/>
        <w:spacing w:line="500" w:lineRule="exact"/>
        <w:tabs>
          <w:tab w:val="right" w:pos="8953" w:leader="dot"/>
        </w:tabs>
        <w:rPr>
          <w:sz w:val="28"/>
          <w:szCs w:val="28"/>
          <w:highlight w:val="none"/>
        </w:rPr>
      </w:pPr>
      <w:r>
        <w:rPr>
          <w:rFonts w:hint="eastAsia" w:ascii="Times New Roman" w:hAnsi="Times New Roman"/>
          <w:sz w:val="28"/>
          <w:szCs w:val="28"/>
          <w:highlight w:val="none"/>
        </w:rPr>
        <w:fldChar w:fldCharType="begin"/>
      </w:r>
      <w:r>
        <w:rPr>
          <w:rFonts w:hint="eastAsia" w:ascii="Times New Roman" w:hAnsi="Times New Roman"/>
          <w:sz w:val="28"/>
          <w:szCs w:val="28"/>
          <w:highlight w:val="none"/>
        </w:rPr>
        <w:instrText xml:space="preserve"> HYPERLINK \l _Toc4259 </w:instrText>
      </w:r>
      <w:r>
        <w:rPr>
          <w:rFonts w:hint="eastAsia" w:ascii="Times New Roman" w:hAnsi="Times New Roman"/>
          <w:sz w:val="28"/>
          <w:szCs w:val="28"/>
          <w:highlight w:val="none"/>
        </w:rPr>
        <w:fldChar w:fldCharType="separate"/>
      </w:r>
      <w:r>
        <w:rPr>
          <w:rFonts w:hint="eastAsia" w:ascii="黑体" w:hAnsi="Courier New" w:eastAsia="黑体" w:cs="Courier New"/>
          <w:bCs/>
          <w:sz w:val="28"/>
          <w:szCs w:val="28"/>
          <w:highlight w:val="none"/>
        </w:rPr>
        <w:t xml:space="preserve">第四章 采购需求</w:t>
      </w:r>
      <w:r>
        <w:rPr>
          <w:sz w:val="28"/>
          <w:szCs w:val="28"/>
          <w:highlight w:val="none"/>
        </w:rPr>
        <w:tab/>
      </w:r>
      <w:r>
        <w:rPr>
          <w:sz w:val="28"/>
          <w:szCs w:val="28"/>
          <w:highlight w:val="none"/>
        </w:rPr>
        <w:fldChar w:fldCharType="begin"/>
      </w:r>
      <w:r>
        <w:rPr>
          <w:sz w:val="28"/>
          <w:szCs w:val="28"/>
          <w:highlight w:val="none"/>
        </w:rPr>
        <w:instrText xml:space="preserve"> PAGEREF _Toc4259 \h </w:instrText>
      </w:r>
      <w:r>
        <w:rPr>
          <w:sz w:val="28"/>
          <w:szCs w:val="28"/>
          <w:highlight w:val="none"/>
        </w:rPr>
        <w:fldChar w:fldCharType="separate"/>
      </w:r>
      <w:r>
        <w:rPr>
          <w:sz w:val="28"/>
          <w:szCs w:val="28"/>
          <w:highlight w:val="none"/>
        </w:rPr>
        <w:t xml:space="preserve">21</w:t>
      </w:r>
      <w:r>
        <w:rPr>
          <w:sz w:val="28"/>
          <w:szCs w:val="28"/>
          <w:highlight w:val="none"/>
        </w:rPr>
        <w:fldChar w:fldCharType="end"/>
      </w:r>
      <w:r>
        <w:rPr>
          <w:rFonts w:hint="eastAsia" w:ascii="Times New Roman" w:hAnsi="Times New Roman"/>
          <w:sz w:val="28"/>
          <w:szCs w:val="28"/>
          <w:highlight w:val="none"/>
        </w:rPr>
        <w:fldChar w:fldCharType="end"/>
      </w:r>
      <w:r>
        <w:rPr>
          <w:sz w:val="28"/>
          <w:szCs w:val="28"/>
          <w:highlight w:val="none"/>
        </w:rPr>
      </w:r>
      <w:r/>
    </w:p>
    <w:p>
      <w:pPr>
        <w:pStyle w:val="992"/>
        <w:spacing w:line="500" w:lineRule="exact"/>
        <w:tabs>
          <w:tab w:val="right" w:pos="8953" w:leader="dot"/>
        </w:tabs>
        <w:rPr>
          <w:sz w:val="28"/>
          <w:szCs w:val="28"/>
          <w:highlight w:val="none"/>
          <w:lang w:val="en-US" w:eastAsia="zh-CN"/>
        </w:rPr>
      </w:pPr>
      <w:r>
        <w:rPr>
          <w:rFonts w:hint="eastAsia" w:ascii="Times New Roman" w:hAnsi="Times New Roman"/>
          <w:sz w:val="28"/>
          <w:szCs w:val="28"/>
          <w:highlight w:val="none"/>
        </w:rPr>
        <w:fldChar w:fldCharType="begin"/>
      </w:r>
      <w:r>
        <w:rPr>
          <w:rFonts w:hint="eastAsia" w:ascii="Times New Roman" w:hAnsi="Times New Roman"/>
          <w:sz w:val="28"/>
          <w:szCs w:val="28"/>
          <w:highlight w:val="none"/>
        </w:rPr>
        <w:instrText xml:space="preserve"> HYPERLINK \l _Toc32518 </w:instrText>
      </w:r>
      <w:r>
        <w:rPr>
          <w:rFonts w:hint="eastAsia" w:ascii="Times New Roman" w:hAnsi="Times New Roman"/>
          <w:sz w:val="28"/>
          <w:szCs w:val="28"/>
          <w:highlight w:val="none"/>
        </w:rPr>
        <w:fldChar w:fldCharType="separate"/>
      </w:r>
      <w:r>
        <w:rPr>
          <w:rFonts w:hint="eastAsia" w:ascii="黑体" w:hAnsi="Times New Roman" w:eastAsia="黑体"/>
          <w:bCs/>
          <w:sz w:val="28"/>
          <w:szCs w:val="28"/>
          <w:highlight w:val="none"/>
        </w:rPr>
        <w:t xml:space="preserve">第五章  评审方法与评审标准</w:t>
      </w:r>
      <w:r>
        <w:rPr>
          <w:sz w:val="28"/>
          <w:szCs w:val="28"/>
          <w:highlight w:val="none"/>
        </w:rPr>
        <w:tab/>
      </w:r>
      <w:r>
        <w:rPr>
          <w:rFonts w:hint="eastAsia" w:ascii="Times New Roman" w:hAnsi="Times New Roman"/>
          <w:sz w:val="28"/>
          <w:szCs w:val="28"/>
          <w:highlight w:val="none"/>
        </w:rPr>
        <w:fldChar w:fldCharType="end"/>
      </w:r>
      <w:r>
        <w:rPr>
          <w:rFonts w:hint="eastAsia"/>
          <w:sz w:val="28"/>
          <w:szCs w:val="28"/>
          <w:highlight w:val="none"/>
          <w:lang w:val="en-US" w:eastAsia="zh-CN"/>
        </w:rPr>
        <w:t xml:space="preserve">25</w:t>
      </w:r>
      <w:r>
        <w:rPr>
          <w:sz w:val="28"/>
          <w:szCs w:val="28"/>
          <w:highlight w:val="none"/>
          <w:lang w:val="en-US" w:eastAsia="zh-CN"/>
        </w:rPr>
      </w:r>
      <w:r/>
    </w:p>
    <w:p>
      <w:pPr>
        <w:pStyle w:val="992"/>
        <w:spacing w:line="500" w:lineRule="exact"/>
        <w:tabs>
          <w:tab w:val="right" w:pos="8953" w:leader="dot"/>
        </w:tabs>
        <w:rPr>
          <w:rFonts w:hint="eastAsia" w:eastAsia="宋体"/>
          <w:highlight w:val="none"/>
          <w:lang w:val="en-US" w:eastAsia="zh-CN"/>
        </w:rPr>
      </w:pPr>
      <w:r>
        <w:rPr>
          <w:rFonts w:hint="eastAsia" w:ascii="Times New Roman" w:hAnsi="Times New Roman"/>
          <w:sz w:val="28"/>
          <w:szCs w:val="28"/>
          <w:highlight w:val="none"/>
        </w:rPr>
        <w:fldChar w:fldCharType="begin"/>
      </w:r>
      <w:r>
        <w:rPr>
          <w:rFonts w:hint="eastAsia" w:ascii="Times New Roman" w:hAnsi="Times New Roman"/>
          <w:sz w:val="28"/>
          <w:szCs w:val="28"/>
          <w:highlight w:val="none"/>
        </w:rPr>
        <w:instrText xml:space="preserve"> HYPERLINK \l _Toc16121 </w:instrText>
      </w:r>
      <w:r>
        <w:rPr>
          <w:rFonts w:hint="eastAsia" w:ascii="Times New Roman" w:hAnsi="Times New Roman"/>
          <w:sz w:val="28"/>
          <w:szCs w:val="28"/>
          <w:highlight w:val="none"/>
        </w:rPr>
        <w:fldChar w:fldCharType="separate"/>
      </w:r>
      <w:r>
        <w:rPr>
          <w:rFonts w:hint="eastAsia" w:ascii="黑体" w:hAnsi="Times New Roman" w:eastAsia="黑体"/>
          <w:bCs/>
          <w:sz w:val="28"/>
          <w:szCs w:val="28"/>
          <w:highlight w:val="none"/>
        </w:rPr>
        <w:t xml:space="preserve">第六章  响应文件格式</w:t>
      </w:r>
      <w:r>
        <w:rPr>
          <w:sz w:val="28"/>
          <w:szCs w:val="28"/>
          <w:highlight w:val="none"/>
        </w:rPr>
        <w:tab/>
      </w:r>
      <w:r>
        <w:rPr>
          <w:rFonts w:hint="eastAsia"/>
          <w:sz w:val="28"/>
          <w:szCs w:val="28"/>
          <w:highlight w:val="none"/>
          <w:lang w:val="en-US" w:eastAsia="zh-CN"/>
        </w:rPr>
        <w:t xml:space="preserve">3</w:t>
      </w:r>
      <w:r>
        <w:rPr>
          <w:rFonts w:hint="eastAsia" w:ascii="Times New Roman" w:hAnsi="Times New Roman"/>
          <w:sz w:val="28"/>
          <w:szCs w:val="28"/>
          <w:highlight w:val="none"/>
        </w:rPr>
        <w:fldChar w:fldCharType="end"/>
      </w:r>
      <w:r>
        <w:rPr>
          <w:rFonts w:hint="eastAsia" w:ascii="Times New Roman" w:hAnsi="Times New Roman"/>
          <w:sz w:val="28"/>
          <w:szCs w:val="28"/>
          <w:highlight w:val="none"/>
          <w:lang w:val="en-US" w:eastAsia="zh-CN"/>
        </w:rPr>
        <w:t xml:space="preserve">0</w:t>
      </w:r>
      <w:r>
        <w:rPr>
          <w:rFonts w:hint="eastAsia" w:eastAsia="宋体"/>
          <w:highlight w:val="none"/>
          <w:lang w:val="en-US" w:eastAsia="zh-CN"/>
        </w:rPr>
      </w:r>
      <w:r/>
    </w:p>
    <w:p>
      <w:pPr>
        <w:pStyle w:val="940"/>
        <w:rPr>
          <w:rFonts w:hint="eastAsia"/>
          <w:szCs w:val="21"/>
          <w:highlight w:val="none"/>
        </w:rPr>
      </w:pPr>
      <w:r>
        <w:rPr>
          <w:rFonts w:hint="eastAsia"/>
          <w:szCs w:val="21"/>
          <w:highlight w:val="none"/>
        </w:rPr>
        <w:fldChar w:fldCharType="end"/>
      </w: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71"/>
        <w:rPr>
          <w:rFonts w:hint="eastAsia"/>
          <w:highlight w:val="none"/>
        </w:rPr>
      </w:pPr>
      <w:r>
        <w:rPr>
          <w:rFonts w:hint="eastAsia"/>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rPr>
          <w:rFonts w:hint="eastAsia"/>
          <w:szCs w:val="21"/>
          <w:highlight w:val="none"/>
        </w:rPr>
      </w:pPr>
      <w:r>
        <w:rPr>
          <w:rFonts w:hint="eastAsia"/>
          <w:szCs w:val="21"/>
          <w:highlight w:val="none"/>
        </w:rPr>
      </w:r>
      <w:r/>
    </w:p>
    <w:p>
      <w:pPr>
        <w:pStyle w:val="940"/>
        <w:jc w:val="center"/>
        <w:keepNext/>
        <w:rPr>
          <w:rFonts w:hint="eastAsia" w:ascii="黑体" w:eastAsia="黑体"/>
          <w:bCs/>
          <w:sz w:val="44"/>
          <w:szCs w:val="44"/>
          <w:highlight w:val="none"/>
        </w:rPr>
        <w:outlineLvl w:val="0"/>
      </w:pPr>
      <w:r/>
      <w:bookmarkStart w:id="6" w:name="_Toc17529"/>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磋商公告</w:t>
      </w:r>
      <w:bookmarkEnd w:id="6"/>
      <w:r>
        <w:rPr>
          <w:rFonts w:hint="eastAsia" w:ascii="黑体" w:eastAsia="黑体"/>
          <w:bCs/>
          <w:sz w:val="44"/>
          <w:szCs w:val="44"/>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受</w:t>
      </w:r>
      <w:r>
        <w:rPr>
          <w:rFonts w:hint="eastAsia" w:ascii="宋体" w:hAnsi="宋体" w:cs="宋体"/>
          <w:szCs w:val="21"/>
          <w:highlight w:val="none"/>
          <w:lang w:eastAsia="zh-CN"/>
        </w:rPr>
        <w:t xml:space="preserve">扬州市自然资源和规划局</w:t>
      </w:r>
      <w:r>
        <w:rPr>
          <w:rFonts w:hint="eastAsia" w:ascii="宋体" w:hAnsi="宋体" w:cs="宋体"/>
          <w:szCs w:val="21"/>
          <w:highlight w:val="none"/>
        </w:rPr>
        <w:t xml:space="preserve">的委托，江苏苏中兴工程造价咨询有限公司就</w:t>
      </w:r>
      <w:r>
        <w:rPr>
          <w:rFonts w:hint="eastAsia" w:ascii="宋体" w:hAnsi="宋体" w:cs="宋体"/>
          <w:szCs w:val="21"/>
          <w:highlight w:val="none"/>
          <w:lang w:eastAsia="zh-CN"/>
        </w:rPr>
        <w:t xml:space="preserve">扬州市国土空间总体规划（2021-2035年）动态维护方案</w:t>
      </w:r>
      <w:r>
        <w:rPr>
          <w:rFonts w:hint="eastAsia" w:ascii="宋体" w:hAnsi="宋体" w:cs="宋体"/>
          <w:szCs w:val="21"/>
          <w:highlight w:val="none"/>
        </w:rPr>
        <w:t xml:space="preserve">(</w:t>
      </w:r>
      <w:r>
        <w:rPr>
          <w:rFonts w:hint="eastAsia" w:ascii="宋体" w:hAnsi="宋体" w:cs="宋体"/>
          <w:szCs w:val="21"/>
          <w:highlight w:val="none"/>
          <w:lang w:eastAsia="zh-CN"/>
        </w:rPr>
        <w:t xml:space="preserve">JSZC-321000-SSZX-C2026-0005</w:t>
      </w:r>
      <w:r>
        <w:rPr>
          <w:rFonts w:hint="eastAsia" w:ascii="宋体" w:hAnsi="宋体" w:cs="宋体"/>
          <w:szCs w:val="21"/>
          <w:highlight w:val="none"/>
        </w:rPr>
        <w:t xml:space="preserve">号)进行竞争性磋商采购，欢迎符合条件的供应商参加磋商。</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扬州市国土空间总体规划（2021-2035年）动态维护方案</w:t>
      </w:r>
      <w:r>
        <w:rPr>
          <w:rFonts w:hint="eastAsia" w:ascii="宋体" w:hAnsi="宋体" w:cs="宋体"/>
          <w:szCs w:val="21"/>
          <w:highlight w:val="none"/>
        </w:rPr>
        <w:t xml:space="preserve">竞争性磋商项目的潜在供应商可在</w:t>
      </w:r>
      <w:r>
        <w:rPr>
          <w:rFonts w:hint="eastAsia" w:ascii="宋体" w:hAnsi="宋体" w:cs="宋体"/>
          <w:szCs w:val="21"/>
          <w:highlight w:val="none"/>
          <w:u w:val="single"/>
        </w:rPr>
        <w:t xml:space="preserve">“扬州市政府采购网”、“江苏政府采购网”、“中国政府采购网”自行免费下载</w:t>
      </w:r>
      <w:r>
        <w:rPr>
          <w:rFonts w:hint="eastAsia" w:ascii="宋体" w:hAnsi="宋体" w:cs="宋体"/>
          <w:szCs w:val="21"/>
          <w:highlight w:val="none"/>
        </w:rPr>
        <w:t xml:space="preserve">磋商文件，并于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5</w:t>
      </w:r>
      <w:r>
        <w:rPr>
          <w:rFonts w:hint="eastAsia" w:ascii="宋体" w:hAnsi="宋体" w:cs="宋体"/>
          <w:bCs/>
          <w:szCs w:val="21"/>
          <w:highlight w:val="none"/>
          <w:u w:val="single"/>
        </w:rPr>
        <w:t xml:space="preserve">日9点30分（</w:t>
      </w:r>
      <w:r>
        <w:rPr>
          <w:rFonts w:hint="eastAsia" w:ascii="宋体" w:hAnsi="宋体" w:cs="宋体"/>
          <w:bCs/>
          <w:szCs w:val="21"/>
          <w:highlight w:val="none"/>
        </w:rPr>
        <w:t xml:space="preserve">北京时间）前递交响应文件</w:t>
      </w:r>
      <w:r>
        <w:rPr>
          <w:rFonts w:hint="eastAsia" w:ascii="宋体" w:hAnsi="宋体" w:cs="宋体"/>
          <w:szCs w:val="21"/>
          <w:highlight w:val="none"/>
        </w:rPr>
        <w:t xml:space="preserve">。</w:t>
      </w:r>
      <w:r>
        <w:rPr>
          <w:rFonts w:hint="eastAsia" w:ascii="宋体" w:hAnsi="宋体" w:cs="宋体"/>
          <w:szCs w:val="21"/>
          <w:highlight w:val="none"/>
        </w:rPr>
      </w:r>
      <w:r/>
    </w:p>
    <w:p>
      <w:pPr>
        <w:pStyle w:val="940"/>
        <w:ind w:firstLine="422"/>
        <w:keepLines/>
        <w:keepNext/>
        <w:spacing w:before="145" w:after="145" w:line="420" w:lineRule="exact"/>
        <w:rPr>
          <w:rFonts w:hint="eastAsia" w:ascii="宋体" w:hAnsi="宋体" w:cs="宋体"/>
          <w:b/>
          <w:bCs/>
          <w:szCs w:val="21"/>
          <w:highlight w:val="none"/>
        </w:rPr>
      </w:pPr>
      <w:r/>
      <w:bookmarkStart w:id="7" w:name="_Toc35393621"/>
      <w:r/>
      <w:bookmarkStart w:id="8" w:name="_Toc28359079"/>
      <w:r/>
      <w:bookmarkStart w:id="9" w:name="_Toc35393790"/>
      <w:r/>
      <w:bookmarkStart w:id="10" w:name="_Toc28359002"/>
      <w:r/>
      <w:bookmarkStart w:id="11" w:name="_Toc38985263"/>
      <w:r/>
      <w:bookmarkStart w:id="12" w:name="_Hlk24379207"/>
      <w:r>
        <w:rPr>
          <w:rFonts w:hint="eastAsia" w:ascii="宋体" w:hAnsi="宋体" w:cs="宋体"/>
          <w:b/>
          <w:bCs/>
          <w:szCs w:val="21"/>
          <w:highlight w:val="none"/>
        </w:rPr>
        <w:t xml:space="preserve">一、项目基本情况</w:t>
      </w:r>
      <w:bookmarkEnd w:id="7"/>
      <w:r/>
      <w:bookmarkEnd w:id="8"/>
      <w:r/>
      <w:bookmarkEnd w:id="9"/>
      <w:r/>
      <w:bookmarkEnd w:id="10"/>
      <w:r/>
      <w:bookmarkEnd w:id="11"/>
      <w:r>
        <w:rPr>
          <w:rFonts w:hint="eastAsia" w:ascii="宋体" w:hAnsi="宋体" w:cs="宋体"/>
          <w:b/>
          <w:bCs/>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JSZC-321000-SSZX-C2026-0005</w:t>
      </w:r>
      <w:r>
        <w:rPr>
          <w:rFonts w:hint="eastAsia" w:ascii="宋体" w:hAnsi="宋体" w:cs="宋体"/>
          <w:szCs w:val="21"/>
          <w:highlight w:val="none"/>
        </w:rPr>
        <w:t xml:space="preserve">号 </w:t>
      </w:r>
      <w:r>
        <w:rPr>
          <w:rFonts w:hint="eastAsia" w:ascii="宋体" w:hAnsi="宋体" w:cs="宋体"/>
          <w:szCs w:val="21"/>
          <w:highlight w:val="none"/>
        </w:rPr>
      </w:r>
      <w:r/>
    </w:p>
    <w:p>
      <w:pPr>
        <w:pStyle w:val="940"/>
        <w:ind w:firstLine="420"/>
        <w:spacing w:line="42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lang w:eastAsia="zh-CN"/>
        </w:rPr>
        <w:t xml:space="preserve">扬州市国土空间总体规划（2021-2035年）动态维护方案</w:t>
      </w:r>
      <w:r>
        <w:rPr>
          <w:rFonts w:hint="eastAsia" w:ascii="宋体" w:hAnsi="宋体" w:eastAsia="宋体" w:cs="宋体"/>
          <w:szCs w:val="21"/>
          <w:highlight w:val="none"/>
          <w:lang w:eastAsia="zh-CN"/>
        </w:rPr>
      </w:r>
      <w:r/>
    </w:p>
    <w:p>
      <w:pPr>
        <w:pStyle w:val="940"/>
        <w:ind w:firstLine="420"/>
        <w:spacing w:line="420" w:lineRule="exact"/>
        <w:rPr>
          <w:rFonts w:hint="eastAsia" w:ascii="宋体" w:hAnsi="宋体" w:cs="宋体"/>
          <w:szCs w:val="21"/>
          <w:highlight w:val="none"/>
        </w:rPr>
      </w:pPr>
      <w:r/>
      <w:bookmarkEnd w:id="12"/>
      <w:r>
        <w:rPr>
          <w:rFonts w:hint="eastAsia" w:ascii="宋体" w:hAnsi="宋体" w:cs="宋体"/>
          <w:szCs w:val="21"/>
          <w:highlight w:val="none"/>
        </w:rPr>
        <w:t xml:space="preserve">3.预算金额：100万元</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4.本项目设定最高限价，最高限价为100万元，最后报价超过最高限价的为无效报价，按照无效响应处理。</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u w:val="single"/>
        </w:rPr>
      </w:pPr>
      <w:r>
        <w:rPr>
          <w:rFonts w:hint="eastAsia" w:ascii="宋体" w:hAnsi="宋体" w:cs="宋体"/>
          <w:szCs w:val="21"/>
          <w:highlight w:val="none"/>
        </w:rPr>
        <w:t xml:space="preserve">5.采购需求：见磋商文件第四章</w:t>
      </w:r>
      <w:r>
        <w:rPr>
          <w:rFonts w:hint="eastAsia" w:ascii="宋体" w:hAnsi="宋体" w:cs="宋体"/>
          <w:szCs w:val="21"/>
          <w:highlight w:val="none"/>
          <w:u w:val="single"/>
        </w:rPr>
      </w:r>
      <w:r/>
    </w:p>
    <w:p>
      <w:pPr>
        <w:pStyle w:val="940"/>
        <w:ind w:firstLine="420"/>
        <w:spacing w:line="420" w:lineRule="exact"/>
        <w:rPr>
          <w:rFonts w:ascii="宋体" w:hAnsi="宋体" w:cs="宋体"/>
          <w:szCs w:val="21"/>
          <w:highlight w:val="none"/>
        </w:rPr>
      </w:pPr>
      <w:r>
        <w:rPr>
          <w:rFonts w:hint="eastAsia" w:ascii="宋体" w:hAnsi="宋体" w:cs="宋体"/>
          <w:szCs w:val="21"/>
          <w:highlight w:val="none"/>
        </w:rPr>
        <w:t xml:space="preserve">6.</w:t>
      </w:r>
      <w:bookmarkStart w:id="13" w:name="_Toc28359003"/>
      <w:r/>
      <w:bookmarkStart w:id="14" w:name="_Toc35393791"/>
      <w:r/>
      <w:bookmarkStart w:id="15" w:name="_Toc38985264"/>
      <w:r/>
      <w:bookmarkStart w:id="16" w:name="_Toc35393622"/>
      <w:r/>
      <w:bookmarkStart w:id="17" w:name="_Toc28359080"/>
      <w:r>
        <w:rPr>
          <w:rFonts w:hint="eastAsia" w:ascii="宋体" w:hAnsi="宋体" w:cs="宋体"/>
          <w:szCs w:val="21"/>
          <w:highlight w:val="none"/>
        </w:rPr>
        <w:t xml:space="preserve">合同履行期限：本项目规划编制时间约为90个日历日</w:t>
      </w:r>
      <w:r>
        <w:rPr>
          <w:rFonts w:ascii="宋体" w:hAnsi="宋体" w:cs="宋体"/>
          <w:szCs w:val="21"/>
          <w:highlight w:val="none"/>
        </w:rPr>
      </w:r>
      <w:r/>
    </w:p>
    <w:p>
      <w:pPr>
        <w:pStyle w:val="940"/>
        <w:ind w:firstLine="422"/>
        <w:spacing w:line="420" w:lineRule="exact"/>
        <w:rPr>
          <w:rFonts w:hint="eastAsia" w:ascii="宋体" w:hAnsi="宋体" w:cs="宋体"/>
          <w:b/>
          <w:szCs w:val="21"/>
          <w:highlight w:val="none"/>
        </w:rPr>
      </w:pPr>
      <w:r>
        <w:rPr>
          <w:rFonts w:hint="eastAsia" w:ascii="宋体" w:hAnsi="宋体" w:cs="宋体"/>
          <w:b/>
          <w:szCs w:val="21"/>
          <w:highlight w:val="none"/>
        </w:rPr>
        <w:t xml:space="preserve">二、申请人的资格要求：</w:t>
      </w:r>
      <w:bookmarkEnd w:id="13"/>
      <w:r/>
      <w:bookmarkEnd w:id="14"/>
      <w:r/>
      <w:bookmarkEnd w:id="15"/>
      <w:r/>
      <w:bookmarkEnd w:id="16"/>
      <w:r/>
      <w:bookmarkEnd w:id="17"/>
      <w:r>
        <w:rPr>
          <w:rFonts w:hint="eastAsia" w:ascii="宋体" w:hAnsi="宋体" w:cs="宋体"/>
          <w:b/>
          <w:szCs w:val="21"/>
          <w:highlight w:val="none"/>
        </w:rPr>
      </w:r>
      <w:r/>
    </w:p>
    <w:p>
      <w:pPr>
        <w:pStyle w:val="940"/>
        <w:ind w:firstLine="420"/>
        <w:spacing w:line="420" w:lineRule="exact"/>
        <w:rPr>
          <w:rFonts w:hint="eastAsia" w:ascii="宋体" w:hAnsi="宋体" w:cs="宋体"/>
          <w:szCs w:val="21"/>
          <w:highlight w:val="none"/>
        </w:rPr>
      </w:pPr>
      <w:r/>
      <w:bookmarkStart w:id="18" w:name="_Toc35393623"/>
      <w:r/>
      <w:bookmarkStart w:id="19" w:name="_Toc35393792"/>
      <w:r/>
      <w:bookmarkStart w:id="20" w:name="_Toc28359081"/>
      <w:r/>
      <w:bookmarkStart w:id="21" w:name="_Toc28359004"/>
      <w:r/>
      <w:bookmarkStart w:id="22" w:name="_Toc38985265"/>
      <w:r>
        <w:rPr>
          <w:rFonts w:hint="eastAsia" w:ascii="宋体" w:hAnsi="宋体" w:cs="宋体"/>
          <w:szCs w:val="21"/>
          <w:highlight w:val="none"/>
        </w:rPr>
        <w:t xml:space="preserve">（一）通用资格要求</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1.满足《中华人民共和国政府采购法》第二十二条规定，并提供下列材料：</w:t>
      </w:r>
      <w:r>
        <w:rPr>
          <w:rFonts w:hint="eastAsia" w:ascii="宋体" w:hAnsi="宋体" w:cs="宋体"/>
          <w:szCs w:val="21"/>
          <w:highlight w:val="none"/>
        </w:rPr>
      </w:r>
      <w:r/>
    </w:p>
    <w:p>
      <w:pPr>
        <w:pStyle w:val="940"/>
        <w:ind w:firstLine="420"/>
        <w:spacing w:line="42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1.1法人或者其他组织的营业执照等证明文件，自然人的身份证明（身份证为正、反面）；</w:t>
      </w:r>
      <w:r>
        <w:rPr>
          <w:rFonts w:hint="eastAsia" w:ascii="宋体" w:hAnsi="宋体" w:cs="宋体"/>
          <w:i/>
          <w:iCs/>
          <w:szCs w:val="21"/>
          <w:highlight w:val="none"/>
          <w:u w:val="single"/>
        </w:rPr>
      </w:r>
      <w:r/>
    </w:p>
    <w:p>
      <w:pPr>
        <w:pStyle w:val="940"/>
        <w:ind w:firstLine="420"/>
        <w:spacing w:line="42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1.2 上一年度的财务报告情况（成立不满一年无需提供）；</w:t>
      </w:r>
      <w:r>
        <w:rPr>
          <w:rFonts w:hint="eastAsia" w:ascii="宋体" w:hAnsi="宋体" w:cs="宋体"/>
          <w:i/>
          <w:iCs/>
          <w:szCs w:val="21"/>
          <w:highlight w:val="none"/>
          <w:u w:val="single"/>
        </w:rPr>
      </w:r>
      <w:r/>
    </w:p>
    <w:p>
      <w:pPr>
        <w:pStyle w:val="940"/>
        <w:ind w:firstLine="420"/>
        <w:spacing w:line="42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1.3 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iCs/>
          <w:szCs w:val="21"/>
          <w:highlight w:val="none"/>
          <w:u w:val="single"/>
        </w:rPr>
      </w:r>
      <w:r/>
    </w:p>
    <w:p>
      <w:pPr>
        <w:pStyle w:val="940"/>
        <w:ind w:firstLine="420"/>
        <w:spacing w:line="42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1.4 具备履行合同所必需的设备和专业技术能力的书面声明；</w:t>
      </w:r>
      <w:r>
        <w:rPr>
          <w:rFonts w:hint="eastAsia" w:ascii="宋体" w:hAnsi="宋体" w:cs="宋体"/>
          <w:i/>
          <w:iCs/>
          <w:szCs w:val="21"/>
          <w:highlight w:val="none"/>
          <w:u w:val="single"/>
        </w:rPr>
      </w:r>
      <w:r/>
    </w:p>
    <w:p>
      <w:pPr>
        <w:pStyle w:val="940"/>
        <w:ind w:firstLine="420"/>
        <w:spacing w:line="42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1.5 参加政府采购活动前3年内在经营活动中没有重大违法记录的书面声明；</w:t>
      </w:r>
      <w:r>
        <w:rPr>
          <w:rFonts w:hint="eastAsia" w:ascii="宋体" w:hAnsi="宋体" w:cs="宋体"/>
          <w:i/>
          <w:iCs/>
          <w:szCs w:val="21"/>
          <w:highlight w:val="none"/>
          <w:u w:val="single"/>
        </w:rPr>
      </w:r>
      <w:r/>
    </w:p>
    <w:p>
      <w:pPr>
        <w:pStyle w:val="940"/>
        <w:ind w:firstLine="420"/>
        <w:spacing w:line="42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1.6 供应商信用承诺函；</w:t>
      </w:r>
      <w:r>
        <w:rPr>
          <w:rFonts w:hint="eastAsia" w:ascii="宋体" w:hAnsi="宋体" w:cs="宋体"/>
          <w:i/>
          <w:iCs/>
          <w:szCs w:val="21"/>
          <w:highlight w:val="none"/>
          <w:u w:val="single"/>
        </w:rPr>
      </w:r>
      <w:r/>
    </w:p>
    <w:p>
      <w:pPr>
        <w:pStyle w:val="940"/>
        <w:ind w:firstLine="420"/>
        <w:spacing w:line="42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1.7磋商响应函；</w:t>
      </w:r>
      <w:r>
        <w:rPr>
          <w:rFonts w:hint="eastAsia" w:ascii="宋体" w:hAnsi="宋体" w:cs="宋体"/>
          <w:i/>
          <w:iCs/>
          <w:szCs w:val="21"/>
          <w:highlight w:val="none"/>
          <w:u w:val="single"/>
        </w:rPr>
      </w:r>
      <w:r/>
    </w:p>
    <w:p>
      <w:pPr>
        <w:pStyle w:val="940"/>
        <w:ind w:firstLine="420"/>
        <w:spacing w:line="42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1.8若法定代表人参加磋商的，须提供本人身份证复印件(原件扫描上传)；若授权代表参加的，须提供《法人授权书》原件和授权代表身份证（原件扫描上传）</w:t>
      </w:r>
      <w:r>
        <w:rPr>
          <w:rFonts w:hint="eastAsia" w:ascii="宋体" w:hAnsi="宋体" w:cs="宋体"/>
          <w:i/>
          <w:iCs/>
          <w:szCs w:val="21"/>
          <w:highlight w:val="none"/>
          <w:u w:val="singl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i/>
          <w:iCs/>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szCs w:val="21"/>
          <w:highlight w:val="none"/>
        </w:rPr>
      </w:r>
      <w:r/>
    </w:p>
    <w:p>
      <w:pPr>
        <w:pStyle w:val="940"/>
        <w:ind w:firstLine="420"/>
        <w:spacing w:line="420" w:lineRule="exact"/>
        <w:rPr>
          <w:rFonts w:hint="eastAsia" w:ascii="宋体" w:hAnsi="宋体" w:cs="宋体"/>
          <w:i/>
          <w:iCs/>
          <w:szCs w:val="21"/>
          <w:highlight w:val="none"/>
          <w:u w:val="single"/>
        </w:rPr>
      </w:pPr>
      <w:r>
        <w:rPr>
          <w:rFonts w:hint="eastAsia" w:ascii="宋体" w:hAnsi="宋体" w:cs="宋体"/>
          <w:szCs w:val="21"/>
          <w:highlight w:val="none"/>
        </w:rPr>
        <w:t xml:space="preserve">3.落实政府采购政策需满足的资格要求：</w:t>
      </w:r>
      <w:r>
        <w:rPr>
          <w:rFonts w:hint="eastAsia" w:ascii="宋体" w:hAnsi="宋体" w:cs="宋体"/>
          <w:i/>
          <w:iCs/>
          <w:szCs w:val="21"/>
          <w:highlight w:val="none"/>
          <w:u w:val="single"/>
        </w:rPr>
        <w:t xml:space="preserve">根据《政府采购促进中小企业发展管理办法》（财库〔2020〕46号）规定，本项目对小型和微型企业、残疾人福利单位、监狱和戒毒企业提供的货物、服务给予20%的价格扣除。</w:t>
      </w:r>
      <w:r>
        <w:rPr>
          <w:rFonts w:hint="eastAsia" w:ascii="宋体" w:hAnsi="宋体" w:cs="宋体"/>
          <w:i/>
          <w:iCs/>
          <w:szCs w:val="21"/>
          <w:highlight w:val="none"/>
          <w:u w:val="single"/>
        </w:rPr>
      </w:r>
      <w:r/>
    </w:p>
    <w:p>
      <w:pPr>
        <w:pStyle w:val="940"/>
        <w:ind w:firstLine="420"/>
        <w:spacing w:line="420" w:lineRule="exact"/>
        <w:rPr>
          <w:rFonts w:ascii="宋体" w:hAnsi="宋体" w:cs="宋体"/>
          <w:szCs w:val="21"/>
          <w:highlight w:val="none"/>
        </w:rPr>
      </w:pPr>
      <w:r>
        <w:rPr>
          <w:rFonts w:hint="eastAsia" w:ascii="宋体" w:hAnsi="宋体" w:cs="宋体"/>
          <w:i/>
          <w:iCs/>
          <w:szCs w:val="21"/>
          <w:highlight w:val="none"/>
          <w:u w:val="single"/>
        </w:rPr>
        <w:t xml:space="preserve">注：本项目（中小企业划分标准参照《关于印发中小企业划型标准规定的通知》（工信部联企[2011]300号）中（十六）条：其他未列明行业</w:t>
      </w:r>
      <w:r>
        <w:rPr>
          <w:rFonts w:ascii="宋体" w:hAnsi="宋体" w:cs="宋体"/>
          <w:szCs w:val="21"/>
          <w:highlight w:val="none"/>
        </w:rPr>
      </w:r>
      <w:r/>
    </w:p>
    <w:p>
      <w:pPr>
        <w:pStyle w:val="940"/>
        <w:numPr>
          <w:ilvl w:val="0"/>
          <w:numId w:val="0"/>
        </w:numPr>
        <w:ind w:firstLine="420"/>
        <w:spacing w:line="420" w:lineRule="exact"/>
        <w:rPr>
          <w:rFonts w:hint="eastAsia" w:ascii="宋体" w:hAnsi="宋体" w:cs="宋体"/>
          <w:szCs w:val="21"/>
          <w:highlight w:val="none"/>
          <w:lang w:eastAsia="zh-CN"/>
        </w:rPr>
      </w:pPr>
      <w:r>
        <w:rPr>
          <w:rFonts w:hint="eastAsia" w:ascii="宋体" w:hAnsi="宋体" w:cs="宋体"/>
          <w:sz w:val="21"/>
          <w:szCs w:val="21"/>
          <w:highlight w:val="none"/>
          <w:lang w:val="en-US" w:eastAsia="zh-CN" w:bidi="ar-SA"/>
        </w:rPr>
        <w:t xml:space="preserve">4.</w:t>
      </w:r>
      <w:r>
        <w:rPr>
          <w:rFonts w:hint="eastAsia" w:ascii="宋体" w:hAnsi="宋体" w:cs="宋体"/>
          <w:szCs w:val="21"/>
          <w:highlight w:val="none"/>
        </w:rPr>
        <w:t xml:space="preserve">本项目</w:t>
      </w:r>
      <w:r>
        <w:rPr>
          <w:rFonts w:hint="eastAsia" w:ascii="宋体" w:hAnsi="宋体" w:cs="宋体"/>
          <w:szCs w:val="21"/>
          <w:highlight w:val="none"/>
          <w:u w:val="single"/>
        </w:rPr>
        <w:t xml:space="preserve">接受</w:t>
      </w:r>
      <w:r>
        <w:rPr>
          <w:rFonts w:hint="eastAsia" w:ascii="宋体" w:hAnsi="宋体" w:cs="宋体"/>
          <w:szCs w:val="21"/>
          <w:highlight w:val="none"/>
        </w:rPr>
        <w:t xml:space="preserve">联合体参与磋商</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r>
      <w:r/>
    </w:p>
    <w:p>
      <w:pPr>
        <w:pStyle w:val="940"/>
        <w:numPr>
          <w:ilvl w:val="0"/>
          <w:numId w:val="0"/>
        </w:numPr>
        <w:ind w:firstLine="420"/>
        <w:spacing w:line="420" w:lineRule="exact"/>
        <w:rPr>
          <w:rFonts w:hint="eastAsia" w:ascii="宋体" w:hAnsi="宋体" w:cs="宋体"/>
          <w:szCs w:val="21"/>
          <w:highlight w:val="none"/>
          <w:lang w:eastAsia="zh-CN"/>
        </w:rPr>
      </w:pPr>
      <w:r>
        <w:rPr>
          <w:rFonts w:hint="eastAsia" w:ascii="宋体" w:hAnsi="宋体" w:cs="宋体"/>
          <w:szCs w:val="21"/>
          <w:highlight w:val="none"/>
          <w:lang w:eastAsia="zh-CN"/>
        </w:rPr>
        <w:t xml:space="preserve">（1）如联合体</w:t>
      </w:r>
      <w:r>
        <w:rPr>
          <w:rFonts w:hint="eastAsia" w:ascii="宋体" w:hAnsi="宋体" w:cs="宋体"/>
          <w:szCs w:val="21"/>
          <w:highlight w:val="none"/>
          <w:lang w:val="en-US" w:eastAsia="zh-CN"/>
        </w:rPr>
        <w:t xml:space="preserve">响应</w:t>
      </w:r>
      <w:r>
        <w:rPr>
          <w:rFonts w:hint="eastAsia" w:ascii="宋体" w:hAnsi="宋体" w:cs="宋体"/>
          <w:szCs w:val="21"/>
          <w:highlight w:val="none"/>
          <w:lang w:eastAsia="zh-CN"/>
        </w:rPr>
        <w:t xml:space="preserve">，需在</w:t>
      </w:r>
      <w:r>
        <w:rPr>
          <w:rFonts w:hint="eastAsia" w:ascii="宋体" w:hAnsi="宋体" w:cs="宋体"/>
          <w:szCs w:val="21"/>
          <w:highlight w:val="none"/>
          <w:lang w:val="en-US" w:eastAsia="zh-CN"/>
        </w:rPr>
        <w:t xml:space="preserve">响应</w:t>
      </w:r>
      <w:r>
        <w:rPr>
          <w:rFonts w:hint="eastAsia" w:ascii="宋体" w:hAnsi="宋体" w:cs="宋体"/>
          <w:szCs w:val="21"/>
          <w:highlight w:val="none"/>
          <w:lang w:eastAsia="zh-CN"/>
        </w:rPr>
        <w:t xml:space="preserve">文件内提供联合体协议，并明确本项目</w:t>
      </w:r>
      <w:r>
        <w:rPr>
          <w:rFonts w:hint="eastAsia" w:ascii="宋体" w:hAnsi="宋体" w:cs="宋体"/>
          <w:szCs w:val="21"/>
          <w:highlight w:val="none"/>
          <w:lang w:val="en-US" w:eastAsia="zh-CN"/>
        </w:rPr>
        <w:t xml:space="preserve">响应</w:t>
      </w:r>
      <w:r>
        <w:rPr>
          <w:rFonts w:hint="eastAsia" w:ascii="宋体" w:hAnsi="宋体" w:cs="宋体"/>
          <w:szCs w:val="21"/>
          <w:highlight w:val="none"/>
          <w:lang w:eastAsia="zh-CN"/>
        </w:rPr>
        <w:t xml:space="preserve">的牵头单位，以及联合体牵头单位和各方权利义务。一个单位只能参与组成一个</w:t>
      </w:r>
      <w:r>
        <w:rPr>
          <w:rFonts w:hint="eastAsia" w:ascii="宋体" w:hAnsi="宋体" w:cs="宋体"/>
          <w:szCs w:val="21"/>
          <w:highlight w:val="none"/>
          <w:lang w:val="en-US" w:eastAsia="zh-CN"/>
        </w:rPr>
        <w:t xml:space="preserve">响应</w:t>
      </w:r>
      <w:r>
        <w:rPr>
          <w:rFonts w:hint="eastAsia" w:ascii="宋体" w:hAnsi="宋体" w:cs="宋体"/>
          <w:szCs w:val="21"/>
          <w:highlight w:val="none"/>
          <w:lang w:eastAsia="zh-CN"/>
        </w:rPr>
        <w:t xml:space="preserve">联合体，且不得再独立参加投标</w:t>
      </w:r>
      <w:r>
        <w:rPr>
          <w:rFonts w:hint="eastAsia" w:ascii="宋体" w:hAnsi="宋体" w:cs="宋体"/>
          <w:szCs w:val="21"/>
          <w:highlight w:val="none"/>
          <w:lang w:val="en-US" w:eastAsia="zh-CN"/>
        </w:rPr>
        <w:t xml:space="preserve">响应</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r>
      <w:r/>
    </w:p>
    <w:p>
      <w:pPr>
        <w:pStyle w:val="940"/>
        <w:ind w:firstLine="420"/>
        <w:spacing w:line="420" w:lineRule="exact"/>
        <w:rPr>
          <w:rFonts w:hint="eastAsia" w:ascii="宋体" w:hAnsi="宋体" w:cs="宋体"/>
          <w:szCs w:val="21"/>
          <w:highlight w:val="none"/>
          <w:lang w:eastAsia="zh-CN"/>
        </w:rPr>
      </w:pPr>
      <w:r>
        <w:rPr>
          <w:rFonts w:hint="eastAsia" w:ascii="宋体" w:hAnsi="宋体" w:cs="宋体"/>
          <w:szCs w:val="21"/>
          <w:highlight w:val="none"/>
          <w:lang w:eastAsia="zh-CN"/>
        </w:rPr>
        <w:t xml:space="preserve">（2）由同一专业的单位组成的联合体，按照资质等级较低的确定资质等级。</w:t>
      </w:r>
      <w:r>
        <w:rPr>
          <w:rFonts w:hint="eastAsia" w:ascii="宋体" w:hAnsi="宋体" w:cs="宋体"/>
          <w:szCs w:val="21"/>
          <w:highlight w:val="none"/>
          <w:lang w:eastAsia="zh-CN"/>
        </w:rPr>
      </w:r>
      <w:r/>
    </w:p>
    <w:p>
      <w:pPr>
        <w:pStyle w:val="940"/>
        <w:ind w:firstLine="420"/>
        <w:spacing w:line="420" w:lineRule="exact"/>
        <w:rPr>
          <w:rFonts w:ascii="宋体" w:hAnsi="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资格审查部分联合体各方单位均须盖章后再上传系统。</w:t>
      </w:r>
      <w:r>
        <w:rPr>
          <w:rFonts w:ascii="宋体" w:hAnsi="宋体" w:cs="宋体"/>
          <w:szCs w:val="21"/>
          <w:highlight w:val="none"/>
          <w:lang w:val="en-US" w:eastAsia="zh-CN"/>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5.本项目</w:t>
      </w:r>
      <w:r>
        <w:rPr>
          <w:rFonts w:hint="eastAsia" w:ascii="宋体" w:hAnsi="宋体" w:cs="宋体"/>
          <w:szCs w:val="21"/>
          <w:highlight w:val="none"/>
          <w:u w:val="single"/>
        </w:rPr>
        <w:t xml:space="preserve">不接受</w:t>
      </w:r>
      <w:r>
        <w:rPr>
          <w:rFonts w:hint="eastAsia" w:ascii="宋体" w:hAnsi="宋体" w:cs="宋体"/>
          <w:szCs w:val="21"/>
          <w:highlight w:val="none"/>
        </w:rPr>
        <w:t xml:space="preserve">进口产品参与磋商</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（二）本项目的特定资格要求：</w:t>
      </w:r>
      <w:r>
        <w:rPr>
          <w:rFonts w:hint="eastAsia" w:ascii="宋体" w:hAnsi="宋体" w:cs="宋体"/>
          <w:i/>
          <w:iCs/>
          <w:szCs w:val="21"/>
          <w:highlight w:val="none"/>
          <w:u w:val="single"/>
        </w:rPr>
        <w:t xml:space="preserve">供应商具有有效的城乡规划（国土空间规划）编制甲级资质（原件扫描加盖供应商电子公章上传，若以联合体参与本项目，联合体成员单位均须满足此资质要求)</w:t>
      </w:r>
      <w:r>
        <w:rPr>
          <w:rFonts w:hint="eastAsia" w:ascii="宋体" w:hAnsi="宋体" w:cs="宋体"/>
          <w:szCs w:val="21"/>
          <w:highlight w:val="none"/>
        </w:rPr>
      </w:r>
      <w:r/>
    </w:p>
    <w:p>
      <w:pPr>
        <w:pStyle w:val="940"/>
        <w:ind w:firstLine="422"/>
        <w:keepLines/>
        <w:keepNext/>
        <w:spacing w:before="145" w:after="145" w:line="420" w:lineRule="exact"/>
        <w:rPr>
          <w:rFonts w:hint="eastAsia" w:ascii="宋体" w:hAnsi="宋体" w:cs="宋体"/>
          <w:b/>
          <w:bCs/>
          <w:szCs w:val="21"/>
          <w:highlight w:val="none"/>
        </w:rPr>
      </w:pPr>
      <w:r>
        <w:rPr>
          <w:rFonts w:hint="eastAsia" w:ascii="宋体" w:hAnsi="宋体" w:cs="宋体"/>
          <w:b/>
          <w:bCs/>
          <w:szCs w:val="21"/>
          <w:highlight w:val="none"/>
        </w:rPr>
        <w:t xml:space="preserve">三、获取</w:t>
      </w:r>
      <w:bookmarkEnd w:id="18"/>
      <w:r/>
      <w:bookmarkEnd w:id="19"/>
      <w:r/>
      <w:bookmarkEnd w:id="20"/>
      <w:r/>
      <w:bookmarkEnd w:id="21"/>
      <w:r/>
      <w:bookmarkEnd w:id="22"/>
      <w:r>
        <w:rPr>
          <w:rFonts w:hint="eastAsia" w:ascii="宋体" w:hAnsi="宋体" w:cs="宋体"/>
          <w:b/>
          <w:bCs/>
          <w:szCs w:val="21"/>
          <w:highlight w:val="none"/>
        </w:rPr>
        <w:t xml:space="preserve">磋商文件</w:t>
      </w:r>
      <w:r>
        <w:rPr>
          <w:rFonts w:hint="eastAsia" w:ascii="宋体" w:hAnsi="宋体" w:cs="宋体"/>
          <w:b/>
          <w:bCs/>
          <w:szCs w:val="21"/>
          <w:highlight w:val="none"/>
        </w:rPr>
      </w:r>
      <w:r/>
    </w:p>
    <w:p>
      <w:pPr>
        <w:pStyle w:val="940"/>
        <w:ind w:firstLine="420"/>
        <w:spacing w:line="420" w:lineRule="exact"/>
        <w:rPr>
          <w:rFonts w:hint="eastAsia" w:ascii="宋体" w:hAnsi="宋体" w:cs="宋体"/>
          <w:b/>
          <w:szCs w:val="21"/>
          <w:highlight w:val="none"/>
        </w:rPr>
      </w:pPr>
      <w:r/>
      <w:bookmarkStart w:id="23" w:name="_Toc28359082"/>
      <w:r/>
      <w:bookmarkStart w:id="24" w:name="_Toc28359005"/>
      <w:r/>
      <w:bookmarkStart w:id="25" w:name="_Toc35393793"/>
      <w:r/>
      <w:bookmarkStart w:id="26" w:name="_Toc35393624"/>
      <w:r/>
      <w:bookmarkStart w:id="27" w:name="_Toc38985266"/>
      <w:r>
        <w:rPr>
          <w:rFonts w:hint="eastAsia" w:ascii="宋体" w:hAnsi="宋体" w:cs="宋体"/>
          <w:szCs w:val="21"/>
          <w:highlight w:val="none"/>
        </w:rPr>
        <w:t xml:space="preserve">1.时间：自磋商文件公告发布之日起5个工作日 </w:t>
      </w:r>
      <w:r>
        <w:rPr>
          <w:rFonts w:hint="eastAsia" w:ascii="宋体" w:hAnsi="宋体" w:cs="宋体"/>
          <w:b/>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2.方式：在“扬州市政府采购网”、“江苏政府采购网”、“中国政府采购网”自行免费下载磋商文件。</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3.潜在供应商访问政府采购管理交易系统（苏采云）的网络地址和方法：</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（3）“CA数字证书”的办理材料以及供应商操作手册详见：</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http://zfcg.yangzhou.gov.cn/zfcg/xzzx/202309/4d7de1f7865f4a2894fc22bc452f94d8.shtml。</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（4）潜在供应商访问“苏采云”系统的网络地址和方法：“苏采云”系统的网址：http://jszfcg.jsczt.cn/。</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（6）招标代理机构（采购代理机构）将数据电文形式的采购文件加载至“苏采云”系统，供潜在供应商下载或者查阅。     </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（7）苏采云系统使用谷歌浏览器参与不见面开标。</w:t>
      </w:r>
      <w:r>
        <w:rPr>
          <w:rFonts w:hint="eastAsia" w:ascii="宋体" w:hAnsi="宋体" w:cs="宋体"/>
          <w:szCs w:val="21"/>
          <w:highlight w:val="none"/>
        </w:rPr>
      </w:r>
      <w:r/>
    </w:p>
    <w:p>
      <w:pPr>
        <w:pStyle w:val="940"/>
        <w:ind w:firstLine="422"/>
        <w:keepLines/>
        <w:keepNext/>
        <w:spacing w:before="145" w:after="145" w:line="420" w:lineRule="exact"/>
        <w:rPr>
          <w:rFonts w:hint="eastAsia" w:ascii="宋体" w:hAnsi="宋体" w:cs="宋体"/>
          <w:b/>
          <w:bCs/>
          <w:szCs w:val="21"/>
          <w:highlight w:val="none"/>
        </w:rPr>
      </w:pPr>
      <w:r>
        <w:rPr>
          <w:rFonts w:hint="eastAsia" w:ascii="宋体" w:hAnsi="宋体" w:cs="宋体"/>
          <w:b/>
          <w:bCs/>
          <w:szCs w:val="21"/>
          <w:highlight w:val="none"/>
        </w:rPr>
        <w:t xml:space="preserve">四、提交</w:t>
      </w:r>
      <w:bookmarkEnd w:id="23"/>
      <w:r/>
      <w:bookmarkEnd w:id="24"/>
      <w:r>
        <w:rPr>
          <w:rFonts w:hint="eastAsia" w:ascii="宋体" w:hAnsi="宋体" w:cs="宋体"/>
          <w:b/>
          <w:bCs/>
          <w:szCs w:val="21"/>
          <w:highlight w:val="none"/>
        </w:rPr>
        <w:t xml:space="preserve">响应文件截止时间</w:t>
      </w:r>
      <w:bookmarkEnd w:id="25"/>
      <w:r/>
      <w:bookmarkEnd w:id="26"/>
      <w:r/>
      <w:bookmarkEnd w:id="27"/>
      <w:r>
        <w:rPr>
          <w:rFonts w:hint="eastAsia" w:ascii="宋体" w:hAnsi="宋体" w:cs="宋体"/>
          <w:b/>
          <w:bCs/>
          <w:szCs w:val="21"/>
          <w:highlight w:val="none"/>
        </w:rPr>
        <w:t xml:space="preserve">、地点</w:t>
      </w:r>
      <w:r>
        <w:rPr>
          <w:rFonts w:hint="eastAsia" w:ascii="宋体" w:hAnsi="宋体" w:cs="宋体"/>
          <w:b/>
          <w:bCs/>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1.截止时间：</w:t>
      </w:r>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15</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日9点30分</w:t>
      </w:r>
      <w:r>
        <w:rPr>
          <w:rFonts w:hint="eastAsia" w:ascii="宋体" w:hAnsi="宋体" w:cs="宋体"/>
          <w:bCs/>
          <w:szCs w:val="21"/>
          <w:highlight w:val="none"/>
        </w:rPr>
        <w:t xml:space="preserve">（北京时间）</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u w:val="single"/>
        </w:rPr>
      </w:pPr>
      <w:r>
        <w:rPr>
          <w:rFonts w:hint="eastAsia" w:ascii="宋体" w:hAnsi="宋体" w:cs="宋体"/>
          <w:szCs w:val="21"/>
          <w:highlight w:val="none"/>
        </w:rPr>
        <w:t xml:space="preserve">2.地点：</w:t>
      </w:r>
      <w:r>
        <w:rPr>
          <w:rFonts w:hint="eastAsia" w:ascii="宋体" w:hAnsi="宋体" w:cs="宋体"/>
          <w:szCs w:val="21"/>
          <w:highlight w:val="none"/>
          <w:u w:val="single"/>
        </w:rPr>
        <w:t xml:space="preserve">“苏采云”政府采购交易系统网上开标大</w:t>
      </w:r>
      <w:r>
        <w:rPr>
          <w:rFonts w:hint="eastAsia" w:ascii="宋体" w:hAnsi="宋体" w:cs="宋体"/>
          <w:szCs w:val="21"/>
          <w:highlight w:val="none"/>
        </w:rPr>
        <w:t xml:space="preserve">厅</w:t>
      </w:r>
      <w:r>
        <w:rPr>
          <w:rFonts w:hint="eastAsia" w:ascii="宋体" w:hAnsi="宋体" w:cs="宋体"/>
          <w:szCs w:val="21"/>
          <w:highlight w:val="none"/>
          <w:u w:val="single"/>
        </w:rPr>
      </w:r>
      <w:r/>
    </w:p>
    <w:p>
      <w:pPr>
        <w:pStyle w:val="940"/>
        <w:ind w:firstLine="422"/>
        <w:keepLines/>
        <w:keepNext/>
        <w:spacing w:before="145" w:after="145" w:line="420" w:lineRule="exact"/>
        <w:rPr>
          <w:rFonts w:hint="eastAsia" w:ascii="宋体" w:hAnsi="宋体" w:cs="宋体"/>
          <w:b/>
          <w:bCs/>
          <w:szCs w:val="21"/>
          <w:highlight w:val="none"/>
        </w:rPr>
      </w:pPr>
      <w:r/>
      <w:bookmarkStart w:id="28" w:name="_Toc28359007"/>
      <w:r/>
      <w:bookmarkStart w:id="29" w:name="_Toc38985267"/>
      <w:r/>
      <w:bookmarkStart w:id="30" w:name="_Toc35393625"/>
      <w:r/>
      <w:bookmarkStart w:id="31" w:name="_Toc28359084"/>
      <w:r/>
      <w:bookmarkStart w:id="32" w:name="_Toc35393794"/>
      <w:r>
        <w:rPr>
          <w:rFonts w:hint="eastAsia" w:ascii="宋体" w:hAnsi="宋体" w:cs="宋体"/>
          <w:b/>
          <w:bCs/>
          <w:szCs w:val="21"/>
          <w:highlight w:val="none"/>
        </w:rPr>
        <w:t xml:space="preserve">五、公告期限</w:t>
      </w:r>
      <w:bookmarkEnd w:id="28"/>
      <w:r/>
      <w:bookmarkEnd w:id="29"/>
      <w:r/>
      <w:bookmarkEnd w:id="30"/>
      <w:r/>
      <w:bookmarkEnd w:id="31"/>
      <w:r/>
      <w:bookmarkEnd w:id="32"/>
      <w:r>
        <w:rPr>
          <w:rFonts w:hint="eastAsia" w:ascii="宋体" w:hAnsi="宋体" w:cs="宋体"/>
          <w:b/>
          <w:bCs/>
          <w:szCs w:val="21"/>
          <w:highlight w:val="none"/>
        </w:rPr>
      </w:r>
      <w:r/>
    </w:p>
    <w:p>
      <w:pPr>
        <w:pStyle w:val="940"/>
        <w:ind w:firstLine="420"/>
        <w:spacing w:line="420" w:lineRule="exact"/>
        <w:rPr>
          <w:rFonts w:hint="eastAsia" w:ascii="宋体" w:hAnsi="宋体" w:cs="宋体"/>
          <w:szCs w:val="21"/>
          <w:highlight w:val="none"/>
        </w:rPr>
      </w:pPr>
      <w:r/>
      <w:bookmarkStart w:id="33" w:name="_Toc35393626"/>
      <w:r/>
      <w:bookmarkStart w:id="34" w:name="_Toc38985268"/>
      <w:r/>
      <w:bookmarkStart w:id="35" w:name="_Toc35393795"/>
      <w:r>
        <w:rPr>
          <w:rFonts w:hint="eastAsia" w:ascii="宋体" w:hAnsi="宋体" w:cs="宋体"/>
          <w:szCs w:val="21"/>
          <w:highlight w:val="none"/>
        </w:rPr>
        <w:t xml:space="preserve">磋商公告及磋商文件公告期限为自本公告发布之日起3个工作日。</w:t>
      </w:r>
      <w:r>
        <w:rPr>
          <w:rFonts w:hint="eastAsia" w:ascii="宋体" w:hAnsi="宋体" w:cs="宋体"/>
          <w:szCs w:val="21"/>
          <w:highlight w:val="none"/>
        </w:rPr>
      </w:r>
      <w:r/>
    </w:p>
    <w:p>
      <w:pPr>
        <w:pStyle w:val="940"/>
        <w:ind w:firstLine="422"/>
        <w:keepLines/>
        <w:keepNext/>
        <w:spacing w:before="145" w:after="145" w:line="420" w:lineRule="exact"/>
        <w:rPr>
          <w:rFonts w:hint="eastAsia" w:ascii="宋体" w:hAnsi="宋体" w:cs="宋体"/>
          <w:b/>
          <w:bCs/>
          <w:szCs w:val="21"/>
          <w:highlight w:val="none"/>
        </w:rPr>
      </w:pPr>
      <w:r>
        <w:rPr>
          <w:rFonts w:hint="eastAsia" w:ascii="宋体" w:hAnsi="宋体" w:cs="宋体"/>
          <w:b/>
          <w:bCs/>
          <w:szCs w:val="21"/>
          <w:highlight w:val="none"/>
        </w:rPr>
        <w:t xml:space="preserve">六、其他补充事宜</w:t>
      </w:r>
      <w:bookmarkEnd w:id="33"/>
      <w:r/>
      <w:bookmarkEnd w:id="34"/>
      <w:r/>
      <w:bookmarkEnd w:id="35"/>
      <w:r>
        <w:rPr>
          <w:rFonts w:hint="eastAsia" w:ascii="宋体" w:hAnsi="宋体" w:cs="宋体"/>
          <w:b/>
          <w:bCs/>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6.2.供应商如确定参加磋商，可自行下载采购文件及有关资料，按照《操作手册》进行注册，领取CA和办理电子签章，并按《操作手册》要求制作、上传电子响应文件，技术支持联系方式：13813140731。</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6.4.潜在供应商对采购文件项目需求部分的询问、质疑请向采购人提出，由采购人负责答复。</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6.5.本次磋商不收取磋商保证金。</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6.6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6.7拒绝下述供应商参加本次采购活动：</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（1）供应商单位负责人为同一人或者存在直接控股、管理关系的不同供应商，不得参加同一合同项下的政府采购活动。</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（2）凡为采购项目提供整体设计、规范编制或者项目管理、监理、检测等服务的供应商，不得再参加该项目的其他采购活动。</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6.8.有关本次采购的事项若存在变动或修改，敬请及时关注“扬州市政府采购网”、”江苏政府采购网”、“中国政府采购网”发布的信息。</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6.9</w:t>
      </w:r>
      <w:r>
        <w:rPr>
          <w:rFonts w:hint="eastAsia" w:ascii="宋体" w:hAnsi="宋体" w:cs="宋体"/>
          <w:i/>
          <w:iCs/>
          <w:szCs w:val="21"/>
          <w:highlight w:val="none"/>
          <w:u w:val="single"/>
        </w:rPr>
        <w:t xml:space="preserve">本磋商文件中斜体下划线部分为实质性响应条款，为必须遵守的条件，如不满足将作无效响应文件处理。</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6.10 如在开标时间发生系统崩溃等不可预见的情况，造成开评标活动无法正常进行的，将延迟开评标，具体开评标时间另行通知。</w:t>
      </w:r>
      <w:r>
        <w:rPr>
          <w:rFonts w:hint="eastAsia" w:ascii="宋体" w:hAnsi="宋体" w:cs="宋体"/>
          <w:szCs w:val="21"/>
          <w:highlight w:val="none"/>
        </w:rPr>
      </w:r>
      <w:r/>
    </w:p>
    <w:p>
      <w:pPr>
        <w:pStyle w:val="940"/>
        <w:ind w:firstLine="422"/>
        <w:keepLines/>
        <w:keepNext/>
        <w:spacing w:before="145" w:after="145" w:line="420" w:lineRule="exact"/>
        <w:rPr>
          <w:rFonts w:hint="eastAsia" w:ascii="宋体" w:hAnsi="宋体" w:cs="宋体"/>
          <w:b/>
          <w:bCs/>
          <w:szCs w:val="21"/>
          <w:highlight w:val="none"/>
        </w:rPr>
      </w:pPr>
      <w:r/>
      <w:bookmarkStart w:id="36" w:name="_Toc28359008"/>
      <w:r/>
      <w:bookmarkStart w:id="37" w:name="_Toc35393627"/>
      <w:r/>
      <w:bookmarkStart w:id="38" w:name="_Toc35393796"/>
      <w:r/>
      <w:bookmarkStart w:id="39" w:name="_Toc38985269"/>
      <w:r/>
      <w:bookmarkStart w:id="40" w:name="_Toc28359085"/>
      <w:r>
        <w:rPr>
          <w:rFonts w:hint="eastAsia" w:ascii="宋体" w:hAnsi="宋体" w:cs="宋体"/>
          <w:b/>
          <w:bCs/>
          <w:szCs w:val="21"/>
          <w:highlight w:val="none"/>
        </w:rPr>
        <w:t xml:space="preserve">七、本次磋商联系方式</w:t>
      </w:r>
      <w:bookmarkEnd w:id="36"/>
      <w:r/>
      <w:bookmarkEnd w:id="37"/>
      <w:r/>
      <w:bookmarkEnd w:id="38"/>
      <w:r/>
      <w:bookmarkEnd w:id="39"/>
      <w:r/>
      <w:bookmarkEnd w:id="40"/>
      <w:r>
        <w:rPr>
          <w:rFonts w:hint="eastAsia" w:ascii="宋体" w:hAnsi="宋体" w:cs="宋体"/>
          <w:b/>
          <w:bCs/>
          <w:szCs w:val="21"/>
          <w:highlight w:val="none"/>
        </w:rPr>
      </w:r>
      <w:r/>
    </w:p>
    <w:p>
      <w:pPr>
        <w:pStyle w:val="979"/>
        <w:ind w:firstLine="420"/>
        <w:spacing w:line="420" w:lineRule="exact"/>
        <w:rPr>
          <w:rFonts w:hint="eastAsia" w:hAnsi="宋体" w:cs="宋体"/>
          <w:sz w:val="21"/>
          <w:highlight w:val="none"/>
        </w:rPr>
      </w:pPr>
      <w:r/>
      <w:bookmarkStart w:id="41" w:name="_Toc28359010"/>
      <w:r/>
      <w:bookmarkStart w:id="42" w:name="_Toc28359087"/>
      <w:r>
        <w:rPr>
          <w:rFonts w:hint="eastAsia" w:hAnsi="宋体" w:cs="宋体"/>
          <w:sz w:val="21"/>
          <w:highlight w:val="none"/>
        </w:rPr>
        <w:t xml:space="preserve">1.采购人信息</w:t>
      </w:r>
      <w:r>
        <w:rPr>
          <w:rFonts w:hint="eastAsia" w:hAnsi="宋体" w:cs="宋体"/>
          <w:sz w:val="21"/>
          <w:highlight w:val="none"/>
        </w:rPr>
      </w:r>
      <w:r/>
    </w:p>
    <w:p>
      <w:pPr>
        <w:pStyle w:val="940"/>
        <w:ind w:firstLine="420"/>
        <w:jc w:val="left"/>
        <w:spacing w:line="420" w:lineRule="exact"/>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名 称：</w:t>
      </w:r>
      <w:r>
        <w:rPr>
          <w:rFonts w:hint="eastAsia" w:ascii="宋体" w:hAnsi="宋体" w:cs="宋体"/>
          <w:szCs w:val="21"/>
          <w:highlight w:val="none"/>
          <w:u w:val="single"/>
          <w:lang w:eastAsia="zh-CN"/>
        </w:rPr>
        <w:t xml:space="preserve">扬州市自然资源和规划局</w:t>
      </w:r>
      <w:r>
        <w:rPr>
          <w:rFonts w:hint="eastAsia" w:ascii="宋体" w:hAnsi="宋体" w:eastAsia="宋体" w:cs="宋体"/>
          <w:szCs w:val="21"/>
          <w:highlight w:val="none"/>
          <w:u w:val="single"/>
          <w:lang w:eastAsia="zh-CN"/>
        </w:rPr>
      </w:r>
      <w:r/>
    </w:p>
    <w:p>
      <w:pPr>
        <w:pStyle w:val="940"/>
        <w:ind w:firstLine="420"/>
        <w:jc w:val="left"/>
        <w:spacing w:line="420" w:lineRule="exact"/>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地 址：</w:t>
      </w:r>
      <w:r>
        <w:rPr>
          <w:rFonts w:hint="eastAsia" w:ascii="宋体" w:hAnsi="宋体" w:cs="宋体"/>
          <w:szCs w:val="21"/>
          <w:highlight w:val="none"/>
          <w:u w:val="single"/>
          <w:lang w:eastAsia="zh-CN"/>
        </w:rPr>
        <w:t xml:space="preserve">扬州市文昌中路565号</w:t>
      </w:r>
      <w:r>
        <w:rPr>
          <w:rFonts w:hint="eastAsia" w:ascii="宋体" w:hAnsi="宋体" w:eastAsia="宋体" w:cs="宋体"/>
          <w:szCs w:val="21"/>
          <w:highlight w:val="none"/>
          <w:u w:val="single"/>
          <w:lang w:eastAsia="zh-CN"/>
        </w:rPr>
      </w:r>
      <w:r/>
    </w:p>
    <w:p>
      <w:pPr>
        <w:pStyle w:val="940"/>
        <w:ind w:firstLine="420"/>
        <w:jc w:val="left"/>
        <w:spacing w:line="420" w:lineRule="exact"/>
        <w:rPr>
          <w:rFonts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cs="宋体"/>
          <w:szCs w:val="21"/>
          <w:highlight w:val="none"/>
          <w:u w:val="single"/>
          <w:lang w:val="en-US" w:eastAsia="zh-CN"/>
        </w:rPr>
        <w:t xml:space="preserve">胡玥</w:t>
      </w:r>
      <w:r>
        <w:rPr>
          <w:rFonts w:ascii="宋体" w:hAnsi="宋体" w:eastAsia="宋体" w:cs="宋体"/>
          <w:szCs w:val="21"/>
          <w:highlight w:val="none"/>
          <w:lang w:val="en-US" w:eastAsia="zh-CN"/>
        </w:rPr>
      </w:r>
      <w:r/>
    </w:p>
    <w:p>
      <w:pPr>
        <w:pStyle w:val="940"/>
        <w:ind w:firstLine="420"/>
        <w:jc w:val="left"/>
        <w:spacing w:line="420" w:lineRule="exact"/>
        <w:rPr>
          <w:rFonts w:ascii="宋体" w:hAnsi="宋体" w:eastAsia="宋体" w:cs="宋体"/>
          <w:szCs w:val="21"/>
          <w:highlight w:val="non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u w:val="single"/>
          <w:lang w:val="en-US" w:eastAsia="zh-CN"/>
        </w:rPr>
        <w:t xml:space="preserve">0514-87340303</w:t>
      </w:r>
      <w:r>
        <w:rPr>
          <w:rFonts w:ascii="宋体" w:hAnsi="宋体" w:eastAsia="宋体" w:cs="宋体"/>
          <w:szCs w:val="21"/>
          <w:highlight w:val="none"/>
          <w:lang w:val="en-US" w:eastAsia="zh-CN"/>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979"/>
        <w:ind w:firstLine="420"/>
        <w:spacing w:line="420" w:lineRule="exact"/>
        <w:rPr>
          <w:rFonts w:hint="eastAsia" w:hAnsi="宋体" w:cs="宋体"/>
          <w:sz w:val="21"/>
          <w:highlight w:val="none"/>
          <w:u w:val="single"/>
        </w:rPr>
      </w:pPr>
      <w:r>
        <w:rPr>
          <w:rFonts w:hint="eastAsia" w:hAnsi="宋体" w:cs="宋体"/>
          <w:sz w:val="21"/>
          <w:highlight w:val="none"/>
        </w:rPr>
        <w:t xml:space="preserve">名    称：</w:t>
      </w:r>
      <w:r>
        <w:rPr>
          <w:rFonts w:hint="eastAsia" w:hAnsi="宋体" w:cs="宋体"/>
          <w:sz w:val="21"/>
          <w:highlight w:val="none"/>
          <w:u w:val="single"/>
        </w:rPr>
        <w:t xml:space="preserve">江苏苏中兴工程造价咨询有限公司</w:t>
      </w:r>
      <w:r>
        <w:rPr>
          <w:rFonts w:hint="eastAsia" w:hAnsi="宋体" w:cs="宋体"/>
          <w:sz w:val="21"/>
          <w:highlight w:val="none"/>
          <w:u w:val="single"/>
        </w:rPr>
      </w:r>
      <w:r/>
    </w:p>
    <w:p>
      <w:pPr>
        <w:pStyle w:val="979"/>
        <w:ind w:firstLine="420"/>
        <w:spacing w:line="420" w:lineRule="exact"/>
        <w:rPr>
          <w:rFonts w:hint="eastAsia" w:hAnsi="宋体" w:cs="宋体"/>
          <w:sz w:val="21"/>
          <w:highlight w:val="none"/>
        </w:rPr>
      </w:pPr>
      <w:r>
        <w:rPr>
          <w:rFonts w:hint="eastAsia" w:hAnsi="宋体" w:cs="宋体"/>
          <w:sz w:val="21"/>
          <w:highlight w:val="none"/>
        </w:rPr>
        <w:t xml:space="preserve">地　　址：</w:t>
      </w:r>
      <w:r>
        <w:rPr>
          <w:rFonts w:hint="eastAsia" w:hAnsi="宋体" w:cs="宋体"/>
          <w:sz w:val="21"/>
          <w:highlight w:val="none"/>
          <w:u w:val="single"/>
        </w:rPr>
        <w:t xml:space="preserve">扬州市文昌中路20号文昌国际大厦5楼</w:t>
      </w:r>
      <w:r>
        <w:rPr>
          <w:rFonts w:hint="eastAsia" w:hAnsi="宋体" w:cs="宋体"/>
          <w:sz w:val="21"/>
          <w:highlight w:val="none"/>
        </w:rPr>
      </w:r>
      <w:r/>
    </w:p>
    <w:p>
      <w:pPr>
        <w:pStyle w:val="979"/>
        <w:ind w:firstLine="420"/>
        <w:spacing w:line="420" w:lineRule="exact"/>
        <w:rPr>
          <w:rFonts w:hint="eastAsia" w:hAnsi="宋体" w:cs="宋体"/>
          <w:sz w:val="21"/>
          <w:highlight w:val="none"/>
        </w:rPr>
      </w:pPr>
      <w:r>
        <w:rPr>
          <w:rFonts w:hint="eastAsia" w:hAnsi="宋体" w:cs="宋体"/>
          <w:sz w:val="21"/>
          <w:highlight w:val="none"/>
        </w:rPr>
        <w:t xml:space="preserve">联系人：</w:t>
      </w:r>
      <w:r>
        <w:rPr>
          <w:rFonts w:hint="eastAsia" w:hAnsi="宋体" w:cs="宋体"/>
          <w:sz w:val="21"/>
          <w:highlight w:val="none"/>
          <w:u w:val="single"/>
        </w:rPr>
        <w:t xml:space="preserve">刘洋</w:t>
      </w:r>
      <w:r>
        <w:rPr>
          <w:rFonts w:hint="eastAsia" w:hAnsi="宋体" w:cs="宋体"/>
          <w:sz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u w:val="single"/>
        </w:rPr>
        <w:t xml:space="preserve">0514-85165770、15152732066</w:t>
      </w:r>
      <w:r>
        <w:rPr>
          <w:rFonts w:hint="eastAsia" w:ascii="宋体" w:hAnsi="宋体" w:cs="宋体"/>
          <w:szCs w:val="21"/>
          <w:highlight w:val="none"/>
        </w:rPr>
      </w:r>
      <w:r/>
    </w:p>
    <w:p>
      <w:pPr>
        <w:pStyle w:val="940"/>
        <w:ind w:firstLine="422"/>
        <w:keepLines/>
        <w:keepNext/>
        <w:spacing w:before="145" w:after="145" w:line="420" w:lineRule="exact"/>
        <w:rPr>
          <w:rFonts w:hint="eastAsia" w:ascii="宋体" w:hAnsi="宋体" w:cs="宋体"/>
          <w:b/>
          <w:bCs/>
          <w:szCs w:val="21"/>
          <w:highlight w:val="none"/>
        </w:rPr>
      </w:pPr>
      <w:r/>
      <w:bookmarkEnd w:id="41"/>
      <w:r/>
      <w:bookmarkEnd w:id="42"/>
      <w:r>
        <w:rPr>
          <w:rFonts w:hint="eastAsia" w:ascii="宋体" w:hAnsi="宋体" w:cs="宋体"/>
          <w:b/>
          <w:bCs/>
          <w:szCs w:val="21"/>
          <w:highlight w:val="none"/>
        </w:rPr>
        <w:t xml:space="preserve">八、其他</w:t>
      </w:r>
      <w:r>
        <w:rPr>
          <w:rFonts w:hint="eastAsia" w:ascii="宋体" w:hAnsi="宋体" w:cs="宋体"/>
          <w:b/>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szCs w:val="21"/>
          <w:highlight w:val="none"/>
        </w:rPr>
        <w:t xml:space="preserve">1.</w:t>
      </w:r>
      <w:r>
        <w:rPr>
          <w:rFonts w:hint="eastAsia" w:ascii="宋体" w:hAnsi="宋体" w:cs="宋体"/>
          <w:bCs/>
          <w:szCs w:val="21"/>
          <w:highlight w:val="none"/>
        </w:rPr>
        <w:t xml:space="preserve"> 根据省财政厅《关于更换全省政府采购交易系统C A数字证书和电子签章的通知》（苏财购〔2023〕101号），</w:t>
      </w:r>
      <w:r>
        <w:rPr>
          <w:rFonts w:hint="eastAsia" w:ascii="宋体" w:hAnsi="宋体" w:cs="宋体"/>
          <w:szCs w:val="21"/>
          <w:highlight w:val="none"/>
        </w:rPr>
        <w:t xml:space="preserve">“苏采云”政府采购交易系统（以下简称苏采云系统）</w:t>
      </w:r>
      <w:r>
        <w:rPr>
          <w:rFonts w:hint="eastAsia" w:ascii="宋体" w:hAnsi="宋体" w:cs="宋体"/>
          <w:bCs/>
          <w:szCs w:val="21"/>
          <w:highlight w:val="none"/>
        </w:rPr>
        <w:t xml:space="preserve">的CA数字证书、电子签章已更换为江苏省电子政务证书认证中心C A和方正国际软件（北京）有限公司电子签章。如果供应商通过</w:t>
      </w:r>
      <w:r>
        <w:rPr>
          <w:rFonts w:hint="eastAsia" w:ascii="宋体" w:hAnsi="宋体" w:cs="宋体"/>
          <w:szCs w:val="21"/>
          <w:highlight w:val="none"/>
        </w:rPr>
        <w:t xml:space="preserve">苏采云系统</w:t>
      </w:r>
      <w:r>
        <w:rPr>
          <w:rFonts w:hint="eastAsia" w:ascii="宋体" w:hAnsi="宋体" w:cs="宋体"/>
          <w:bCs/>
          <w:szCs w:val="21"/>
          <w:highlight w:val="none"/>
        </w:rPr>
        <w:t xml:space="preserve">参与政府采购项目，需要更换CA数字证书和电子签章。具体办理指南和操作手册见链接：</w:t>
      </w:r>
      <w:r>
        <w:rPr>
          <w:rFonts w:hint="eastAsia" w:ascii="宋体" w:hAnsi="宋体" w:cs="宋体"/>
          <w:bCs/>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http://zfcg.yangzhou.gov.cn/zfcg/xzzx/202309/4d7de1f7865f4a2894fc22bc452f94d8.shtml，请按《操作手册》要求制作、上传电子响应文件。</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领取CA和办理电子签章（请至扬州市文昌东路9号广陵新城市民中心1号楼5楼办理，具体联系方式：18952716110）。</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2、为提升政府采购供应商的融资可得性，解决中小企业融资难问题，中国人民银行、</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市财政局、市公共资源代理机构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3、落实好政府采购履约资金扶持政策：成交供应商可凭政府采购合同办理融资贷款，详情请见江苏政府采购网“政采贷”专栏。</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4、严格执行政府采购关于支持</w:t>
      </w:r>
      <w:r>
        <w:rPr>
          <w:rFonts w:hint="eastAsia" w:ascii="宋体" w:hAnsi="宋体" w:cs="宋体"/>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5、供应商对于投标产品的包装应按照“财办库〔2020〕123号《关于印发《商品包装政府采购需求标准（试行）》、《快递包装政府采购需求标准（试行）》的通知》”执行。</w:t>
      </w:r>
      <w:r>
        <w:rPr>
          <w:rFonts w:hint="eastAsia" w:ascii="宋体" w:hAnsi="宋体" w:cs="宋体"/>
          <w:szCs w:val="21"/>
          <w:highlight w:val="none"/>
        </w:rPr>
      </w:r>
      <w:r/>
    </w:p>
    <w:p>
      <w:pPr>
        <w:pStyle w:val="940"/>
        <w:ind w:right="840"/>
        <w:rPr>
          <w:rFonts w:hint="eastAsia" w:ascii="宋体" w:hAnsi="宋体" w:cs="宋体"/>
          <w:szCs w:val="21"/>
          <w:highlight w:val="none"/>
        </w:rPr>
      </w:pPr>
      <w:r>
        <w:rPr>
          <w:rFonts w:hint="eastAsia" w:ascii="宋体" w:hAnsi="宋体" w:cs="宋体"/>
          <w:szCs w:val="21"/>
          <w:highlight w:val="none"/>
        </w:rPr>
      </w:r>
      <w:r/>
    </w:p>
    <w:p>
      <w:pPr>
        <w:pStyle w:val="940"/>
        <w:ind w:right="840"/>
        <w:rPr>
          <w:rFonts w:hint="eastAsia" w:ascii="宋体" w:hAnsi="宋体" w:cs="宋体"/>
          <w:szCs w:val="21"/>
          <w:highlight w:val="none"/>
        </w:rPr>
      </w:pPr>
      <w:r>
        <w:rPr>
          <w:rFonts w:hint="eastAsia" w:ascii="宋体" w:hAnsi="宋体" w:cs="宋体"/>
          <w:szCs w:val="21"/>
          <w:highlight w:val="none"/>
        </w:rPr>
      </w:r>
      <w:r/>
    </w:p>
    <w:p>
      <w:pPr>
        <w:pStyle w:val="9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71"/>
        <w:rPr>
          <w:rFonts w:ascii="宋体" w:hAnsi="宋体" w:eastAsia="宋体" w:cs="宋体"/>
          <w:sz w:val="21"/>
          <w:szCs w:val="21"/>
          <w:highlight w:val="none"/>
        </w:rPr>
      </w:pPr>
      <w:r>
        <w:rPr>
          <w:rFonts w:ascii="宋体" w:hAnsi="宋体" w:eastAsia="宋体" w:cs="宋体"/>
          <w:sz w:val="21"/>
          <w:szCs w:val="21"/>
          <w:highlight w:val="none"/>
        </w:rPr>
      </w:r>
      <w:r/>
    </w:p>
    <w:p>
      <w:pPr>
        <w:pStyle w:val="940"/>
        <w:jc w:val="center"/>
        <w:rPr>
          <w:rFonts w:hint="eastAsia" w:ascii="黑体" w:hAnsi="Arial" w:eastAsia="黑体" w:cs="Arial"/>
          <w:sz w:val="44"/>
          <w:szCs w:val="44"/>
          <w:highlight w:val="none"/>
        </w:rPr>
      </w:pPr>
      <w:r>
        <w:rPr>
          <w:highlight w:val="none"/>
        </w:rPr>
        <w:br w:type="page" w:clear="all"/>
      </w:r>
      <w:bookmarkStart w:id="43" w:name="_Toc120614211"/>
      <w:r/>
      <w:bookmarkStart w:id="44" w:name="_Toc20960"/>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3"/>
      <w:r>
        <w:rPr>
          <w:rFonts w:hint="eastAsia" w:ascii="黑体" w:hAnsi="Arial" w:eastAsia="黑体" w:cs="Arial"/>
          <w:b/>
          <w:bCs/>
          <w:sz w:val="44"/>
          <w:szCs w:val="44"/>
          <w:highlight w:val="none"/>
        </w:rPr>
        <w:t xml:space="preserve">供应商须知</w:t>
      </w:r>
      <w:bookmarkEnd w:id="44"/>
      <w:r>
        <w:rPr>
          <w:rFonts w:hint="eastAsia" w:ascii="黑体" w:hAnsi="Arial" w:eastAsia="黑体" w:cs="Arial"/>
          <w:sz w:val="44"/>
          <w:szCs w:val="44"/>
          <w:highlight w:val="none"/>
        </w:rPr>
      </w:r>
      <w:r/>
    </w:p>
    <w:p>
      <w:pPr>
        <w:pStyle w:val="940"/>
        <w:ind w:firstLine="422"/>
        <w:keepLines/>
        <w:keepNext/>
        <w:spacing w:before="145" w:after="145" w:line="420" w:lineRule="exact"/>
        <w:rPr>
          <w:rFonts w:hint="eastAsia" w:ascii="宋体" w:hAnsi="宋体" w:cs="宋体"/>
          <w:b/>
          <w:bCs/>
          <w:szCs w:val="21"/>
          <w:highlight w:val="none"/>
        </w:rPr>
        <w:outlineLvl w:val="2"/>
      </w:pPr>
      <w:r/>
      <w:bookmarkStart w:id="45" w:name="_Toc120614214"/>
      <w:r/>
      <w:bookmarkStart w:id="46" w:name="_Toc20823275"/>
      <w:r/>
      <w:bookmarkStart w:id="47" w:name="_Toc16938519"/>
      <w:r/>
      <w:bookmarkStart w:id="48" w:name="_Toc513029203"/>
      <w:r>
        <w:rPr>
          <w:rFonts w:hint="eastAsia" w:ascii="宋体" w:hAnsi="宋体" w:cs="宋体"/>
          <w:b/>
          <w:bCs/>
          <w:szCs w:val="21"/>
          <w:highlight w:val="none"/>
        </w:rPr>
        <w:t xml:space="preserve">一、总则</w:t>
      </w:r>
      <w:bookmarkEnd w:id="45"/>
      <w:r/>
      <w:bookmarkEnd w:id="46"/>
      <w:r/>
      <w:bookmarkEnd w:id="47"/>
      <w:r/>
      <w:bookmarkEnd w:id="48"/>
      <w:r>
        <w:rPr>
          <w:rFonts w:hint="eastAsia" w:ascii="宋体" w:hAnsi="宋体" w:cs="宋体"/>
          <w:b/>
          <w:bCs/>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49" w:name="_Hlt16619475"/>
      <w:r/>
      <w:bookmarkEnd w:id="49"/>
      <w:r/>
      <w:bookmarkStart w:id="50" w:name="_Toc458694821"/>
      <w:r/>
      <w:bookmarkStart w:id="51" w:name="_Toc16938520"/>
      <w:r/>
      <w:bookmarkStart w:id="52" w:name="_Toc20823276"/>
      <w:r/>
      <w:bookmarkStart w:id="53" w:name="_Toc513029204"/>
      <w:r>
        <w:rPr>
          <w:rFonts w:hint="eastAsia" w:ascii="宋体" w:hAnsi="宋体" w:cs="宋体"/>
          <w:szCs w:val="21"/>
          <w:highlight w:val="none"/>
        </w:rPr>
        <w:t xml:space="preserve">1</w:t>
      </w:r>
      <w:bookmarkEnd w:id="50"/>
      <w:r>
        <w:rPr>
          <w:rFonts w:hint="eastAsia" w:ascii="宋体" w:hAnsi="宋体" w:cs="宋体"/>
          <w:szCs w:val="21"/>
          <w:highlight w:val="none"/>
        </w:rPr>
        <w:t xml:space="preserve">、采购方式</w:t>
      </w:r>
      <w:bookmarkEnd w:id="51"/>
      <w:r/>
      <w:bookmarkEnd w:id="52"/>
      <w:r/>
      <w:bookmarkEnd w:id="53"/>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1.1 本次政府采购活动采取竞争性磋商(以下简称磋商)方式，本磋商文件仅适用于磋商公告中所述项目。</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54" w:name="_Toc16938521"/>
      <w:r/>
      <w:bookmarkStart w:id="55" w:name="_Toc20823277"/>
      <w:r/>
      <w:bookmarkStart w:id="56" w:name="_Toc513029205"/>
      <w:r>
        <w:rPr>
          <w:rFonts w:hint="eastAsia" w:ascii="宋体" w:hAnsi="宋体" w:cs="宋体"/>
          <w:szCs w:val="21"/>
          <w:highlight w:val="none"/>
        </w:rPr>
        <w:t xml:space="preserve">2、合格的</w:t>
      </w:r>
      <w:bookmarkEnd w:id="54"/>
      <w:r/>
      <w:bookmarkEnd w:id="55"/>
      <w:r/>
      <w:bookmarkEnd w:id="56"/>
      <w:r>
        <w:rPr>
          <w:rFonts w:hint="eastAsia" w:ascii="宋体" w:hAnsi="宋体" w:cs="宋体"/>
          <w:szCs w:val="21"/>
          <w:highlight w:val="none"/>
        </w:rPr>
        <w:t xml:space="preserve">供应商</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2.1满足磋商公告中供应商资格要求的规定。</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2.2 满足本磋商文件实质性要求和条件的规定。</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57" w:name="_Toc16938522"/>
      <w:r/>
      <w:bookmarkStart w:id="58" w:name="_Toc20823278"/>
      <w:r/>
      <w:bookmarkStart w:id="59" w:name="_Toc513029206"/>
      <w:r>
        <w:rPr>
          <w:rFonts w:hint="eastAsia" w:ascii="宋体" w:hAnsi="宋体" w:cs="宋体"/>
          <w:szCs w:val="21"/>
          <w:highlight w:val="none"/>
        </w:rPr>
        <w:t xml:space="preserve">3、适用法律</w:t>
      </w:r>
      <w:bookmarkEnd w:id="57"/>
      <w:r/>
      <w:bookmarkEnd w:id="58"/>
      <w:r/>
      <w:bookmarkEnd w:id="59"/>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3.1 本次磋商及由此产生的合同受中华人民共和国有关的法律法规制约和保护。</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60" w:name="_Toc462564067"/>
      <w:r/>
      <w:bookmarkStart w:id="61" w:name="_Toc20823279"/>
      <w:r/>
      <w:bookmarkStart w:id="62" w:name="_Toc16938523"/>
      <w:r/>
      <w:bookmarkStart w:id="63" w:name="_Toc513029207"/>
      <w:r>
        <w:rPr>
          <w:rFonts w:hint="eastAsia" w:ascii="宋体" w:hAnsi="宋体" w:cs="宋体"/>
          <w:szCs w:val="21"/>
          <w:highlight w:val="none"/>
        </w:rPr>
        <w:t xml:space="preserve">4、磋商费用</w:t>
      </w:r>
      <w:bookmarkEnd w:id="60"/>
      <w:r/>
      <w:bookmarkEnd w:id="61"/>
      <w:r/>
      <w:bookmarkEnd w:id="62"/>
      <w:r/>
      <w:bookmarkEnd w:id="63"/>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4.1</w:t>
      </w:r>
      <w:r>
        <w:rPr>
          <w:rFonts w:hint="eastAsia" w:ascii="宋体" w:hAnsi="宋体" w:cs="宋体"/>
          <w:szCs w:val="21"/>
          <w:highlight w:val="none"/>
        </w:rPr>
        <w:t xml:space="preserve">供应商应自行承担所有与参加本次磋商有关的费用，无论磋商过程中的做法和结果如何，江苏苏中兴工程造价咨询有限公司（以下简称代理机构）在任何情况下均无义务和责任承担这些费用。</w:t>
      </w:r>
      <w:r>
        <w:rPr>
          <w:rFonts w:hint="eastAsia" w:ascii="宋体" w:hAnsi="宋体" w:cs="宋体"/>
          <w:szCs w:val="21"/>
          <w:highlight w:val="none"/>
        </w:rPr>
      </w:r>
      <w:r/>
    </w:p>
    <w:p>
      <w:pPr>
        <w:pStyle w:val="940"/>
        <w:ind w:firstLine="420"/>
        <w:spacing w:line="420" w:lineRule="exact"/>
        <w:rPr>
          <w:rFonts w:ascii="宋体" w:hAnsi="宋体" w:cs="宋体"/>
          <w:szCs w:val="21"/>
          <w:highlight w:val="none"/>
        </w:rPr>
      </w:pPr>
      <w:r/>
      <w:bookmarkStart w:id="64" w:name="_Hlk115095815"/>
      <w:r>
        <w:rPr>
          <w:rFonts w:hint="eastAsia" w:ascii="宋体" w:hAnsi="宋体" w:cs="宋体"/>
          <w:szCs w:val="21"/>
          <w:highlight w:val="none"/>
        </w:rPr>
        <w:t xml:space="preserve">4.2本次采购由成交单位在领取成交通知书前按照国家计委印发的《招标代理服务收费管理暂行办法》(计价格【2002】1980号文)服务类的标准9折一次性支付给招标代理机构代理服务费，单个项目不足2000元按2000元计取。</w:t>
      </w:r>
      <w:r>
        <w:rPr>
          <w:rFonts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）代理服务费以人民币支付； </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）代理服务费一次性以电汇、转账等非现金形式支付； </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）招标代理服务费不在响应报价中单列，包含在投标总价中，由成交单位支付给代理机构。 </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代理服务费户名：江苏苏中兴工程造价咨询有限公司</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开户行：江苏银行扬州甘泉支行</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行  号：313312000111</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账  号：7560020109030383</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4.3专家评审费按扬财购【2020】40号文《关于进一步规范扬州市政府采购专家评审费标准的通知》执行。</w:t>
      </w:r>
      <w:r>
        <w:rPr>
          <w:rFonts w:hint="eastAsia" w:ascii="宋体" w:hAnsi="宋体" w:cs="宋体"/>
          <w:szCs w:val="21"/>
          <w:highlight w:val="none"/>
        </w:rPr>
      </w:r>
      <w:r/>
    </w:p>
    <w:p>
      <w:pPr>
        <w:pStyle w:val="940"/>
        <w:ind w:firstLine="422"/>
        <w:keepLines/>
        <w:keepNext/>
        <w:spacing w:line="420" w:lineRule="exact"/>
        <w:rPr>
          <w:rFonts w:hint="eastAsia" w:ascii="宋体" w:hAnsi="宋体" w:cs="宋体"/>
          <w:szCs w:val="21"/>
          <w:highlight w:val="none"/>
        </w:rPr>
        <w:outlineLvl w:val="3"/>
      </w:pPr>
      <w:r/>
      <w:bookmarkEnd w:id="64"/>
      <w:r>
        <w:rPr>
          <w:rFonts w:hint="eastAsia" w:ascii="宋体" w:hAnsi="宋体" w:cs="宋体"/>
          <w:b/>
          <w:bCs/>
          <w:szCs w:val="21"/>
          <w:highlight w:val="none"/>
        </w:rPr>
        <w:t xml:space="preserve">5、</w:t>
      </w:r>
      <w:r>
        <w:rPr>
          <w:rFonts w:hint="eastAsia" w:ascii="宋体" w:hAnsi="宋体" w:cs="宋体"/>
          <w:szCs w:val="21"/>
          <w:highlight w:val="none"/>
        </w:rPr>
        <w:t xml:space="preserve">磋商文件的约束力</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5.1</w:t>
      </w:r>
      <w:r>
        <w:rPr>
          <w:rFonts w:hint="eastAsia" w:ascii="宋体" w:hAnsi="宋体" w:cs="宋体"/>
          <w:szCs w:val="21"/>
          <w:highlight w:val="none"/>
        </w:rPr>
        <w:t xml:space="preserve">供应商一旦参加本项目采购活动，即被认为接受了本磋商文件的规定和约束。</w:t>
      </w:r>
      <w:r>
        <w:rPr>
          <w:rFonts w:hint="eastAsia" w:ascii="宋体" w:hAnsi="宋体" w:cs="宋体"/>
          <w:szCs w:val="21"/>
          <w:highlight w:val="none"/>
        </w:rPr>
      </w:r>
      <w:r/>
    </w:p>
    <w:p>
      <w:pPr>
        <w:pStyle w:val="940"/>
        <w:ind w:firstLine="422"/>
        <w:keepLines/>
        <w:keepNext/>
        <w:spacing w:before="145" w:after="145" w:line="420" w:lineRule="exact"/>
        <w:rPr>
          <w:rFonts w:hint="eastAsia" w:ascii="宋体" w:hAnsi="宋体" w:cs="宋体"/>
          <w:b/>
          <w:bCs/>
          <w:szCs w:val="21"/>
          <w:highlight w:val="none"/>
        </w:rPr>
        <w:outlineLvl w:val="2"/>
      </w:pPr>
      <w:r/>
      <w:bookmarkStart w:id="65" w:name="_Toc120614215"/>
      <w:r/>
      <w:bookmarkStart w:id="66" w:name="_Toc513029209"/>
      <w:r/>
      <w:bookmarkStart w:id="67" w:name="_Toc20823281"/>
      <w:r/>
      <w:bookmarkStart w:id="68" w:name="_Toc16938525"/>
      <w:r>
        <w:rPr>
          <w:rFonts w:hint="eastAsia" w:ascii="宋体" w:hAnsi="宋体" w:cs="宋体"/>
          <w:b/>
          <w:bCs/>
          <w:szCs w:val="21"/>
          <w:highlight w:val="none"/>
        </w:rPr>
        <w:t xml:space="preserve">二、</w:t>
      </w:r>
      <w:bookmarkEnd w:id="65"/>
      <w:r/>
      <w:bookmarkEnd w:id="66"/>
      <w:r/>
      <w:bookmarkEnd w:id="67"/>
      <w:r/>
      <w:bookmarkEnd w:id="68"/>
      <w:r>
        <w:rPr>
          <w:rFonts w:hint="eastAsia" w:ascii="宋体" w:hAnsi="宋体" w:cs="宋体"/>
          <w:b/>
          <w:bCs/>
          <w:szCs w:val="21"/>
          <w:highlight w:val="none"/>
        </w:rPr>
        <w:t xml:space="preserve">磋商文件</w:t>
      </w:r>
      <w:r>
        <w:rPr>
          <w:rFonts w:hint="eastAsia" w:ascii="宋体" w:hAnsi="宋体" w:cs="宋体"/>
          <w:b/>
          <w:bCs/>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69" w:name="_Toc16938526"/>
      <w:r/>
      <w:bookmarkStart w:id="70" w:name="_Toc513029210"/>
      <w:r/>
      <w:bookmarkStart w:id="71" w:name="_Toc20823282"/>
      <w:r>
        <w:rPr>
          <w:rFonts w:hint="eastAsia" w:ascii="宋体" w:hAnsi="宋体" w:cs="宋体"/>
          <w:szCs w:val="21"/>
          <w:highlight w:val="none"/>
        </w:rPr>
        <w:t xml:space="preserve">6、磋商文件构成</w:t>
      </w:r>
      <w:bookmarkEnd w:id="69"/>
      <w:r/>
      <w:bookmarkEnd w:id="70"/>
      <w:r/>
      <w:bookmarkEnd w:id="71"/>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6.1</w:t>
      </w:r>
      <w:r>
        <w:rPr>
          <w:rFonts w:hint="eastAsia" w:ascii="宋体" w:hAnsi="宋体" w:cs="宋体"/>
          <w:szCs w:val="21"/>
          <w:highlight w:val="none"/>
        </w:rPr>
        <w:t xml:space="preserve">磋商文件由以下部分组成：</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（1）磋商邀请</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（2）供应商须知</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（3）合同文本</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（4）采购需求</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（5）评审方法与评审标准</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（6）响应文件格式</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请仔细检查磋商文件是否齐全，如有缺漏请立即与代理机构联系解决。</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6.2</w:t>
      </w:r>
      <w:r>
        <w:rPr>
          <w:rFonts w:hint="eastAsia" w:ascii="宋体" w:hAnsi="宋体" w:cs="宋体"/>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72" w:name="_Toc20823283"/>
      <w:r/>
      <w:bookmarkStart w:id="73" w:name="_Toc16938527"/>
      <w:r/>
      <w:bookmarkStart w:id="74" w:name="_Toc513029211"/>
      <w:r/>
      <w:bookmarkStart w:id="75" w:name="_Toc462564070"/>
      <w:r>
        <w:rPr>
          <w:rFonts w:hint="eastAsia" w:ascii="宋体" w:hAnsi="宋体" w:cs="宋体"/>
          <w:szCs w:val="21"/>
          <w:highlight w:val="none"/>
        </w:rPr>
        <w:t xml:space="preserve">7、磋商文件的澄清</w:t>
      </w:r>
      <w:bookmarkEnd w:id="72"/>
      <w:r/>
      <w:bookmarkEnd w:id="73"/>
      <w:r/>
      <w:bookmarkEnd w:id="74"/>
      <w:r/>
      <w:bookmarkEnd w:id="75"/>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7.1</w:t>
      </w:r>
      <w:r>
        <w:rPr>
          <w:rFonts w:hint="eastAsia" w:ascii="宋体" w:hAnsi="宋体" w:cs="宋体"/>
          <w:szCs w:val="21"/>
          <w:highlight w:val="none"/>
        </w:rPr>
        <w:t xml:space="preserve">任何要求对磋商文件进行澄清的供应商，应在磋商截止期5日前按磋商公告中的通讯地址，以书面形式通知代理机构。</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76" w:name="_Toc20823284"/>
      <w:r/>
      <w:bookmarkStart w:id="77" w:name="_Toc16938528"/>
      <w:r/>
      <w:bookmarkStart w:id="78" w:name="_Toc462564071"/>
      <w:r/>
      <w:bookmarkStart w:id="79" w:name="_Toc513029212"/>
      <w:r>
        <w:rPr>
          <w:rFonts w:hint="eastAsia" w:ascii="宋体" w:hAnsi="宋体" w:cs="宋体"/>
          <w:szCs w:val="21"/>
          <w:highlight w:val="none"/>
        </w:rPr>
        <w:t xml:space="preserve">8、磋商文件的澄清和修改</w:t>
      </w:r>
      <w:bookmarkEnd w:id="76"/>
      <w:r/>
      <w:bookmarkEnd w:id="77"/>
      <w:r/>
      <w:bookmarkEnd w:id="78"/>
      <w:r/>
      <w:bookmarkEnd w:id="79"/>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8.1</w:t>
      </w:r>
      <w:r>
        <w:rPr>
          <w:rFonts w:hint="eastAsia" w:ascii="宋体" w:hAnsi="宋体" w:cs="宋体"/>
          <w:szCs w:val="21"/>
          <w:highlight w:val="none"/>
        </w:rPr>
        <w:t xml:space="preserve">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政府采购网”、”江苏政府采购网”、“中国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8.2代理机构可以视采购项目的具体情况，组织供应商进行现场考察或召开磋商前答疑会，但不单独或分别组织只有一个供应商参加的现场考察和答疑会。</w:t>
      </w:r>
      <w:r>
        <w:rPr>
          <w:rFonts w:hint="eastAsia" w:ascii="宋体" w:hAnsi="宋体" w:cs="宋体"/>
          <w:szCs w:val="21"/>
          <w:highlight w:val="none"/>
        </w:rPr>
      </w:r>
      <w:r/>
    </w:p>
    <w:p>
      <w:pPr>
        <w:pStyle w:val="940"/>
        <w:ind w:firstLine="422"/>
        <w:keepLines/>
        <w:keepNext/>
        <w:spacing w:before="145" w:after="145" w:line="420" w:lineRule="exact"/>
        <w:rPr>
          <w:rFonts w:hint="eastAsia" w:ascii="宋体" w:hAnsi="宋体" w:cs="宋体"/>
          <w:b/>
          <w:bCs/>
          <w:szCs w:val="21"/>
          <w:highlight w:val="none"/>
        </w:rPr>
        <w:outlineLvl w:val="2"/>
      </w:pPr>
      <w:r/>
      <w:bookmarkStart w:id="80" w:name="_Toc120614216"/>
      <w:r/>
      <w:bookmarkStart w:id="81" w:name="_Toc20823285"/>
      <w:r/>
      <w:bookmarkStart w:id="82" w:name="_Toc513029213"/>
      <w:r/>
      <w:bookmarkStart w:id="83" w:name="_Toc462564072"/>
      <w:r/>
      <w:bookmarkStart w:id="84" w:name="_Toc16938529"/>
      <w:r>
        <w:rPr>
          <w:rFonts w:hint="eastAsia" w:ascii="宋体" w:hAnsi="宋体" w:cs="宋体"/>
          <w:b/>
          <w:bCs/>
          <w:szCs w:val="21"/>
          <w:highlight w:val="none"/>
        </w:rPr>
        <w:t xml:space="preserve">三、响应文件的编制</w:t>
      </w:r>
      <w:bookmarkEnd w:id="80"/>
      <w:r/>
      <w:bookmarkEnd w:id="81"/>
      <w:r/>
      <w:bookmarkEnd w:id="82"/>
      <w:r/>
      <w:bookmarkEnd w:id="83"/>
      <w:r/>
      <w:bookmarkEnd w:id="84"/>
      <w:r>
        <w:rPr>
          <w:rFonts w:hint="eastAsia" w:ascii="宋体" w:hAnsi="宋体" w:cs="宋体"/>
          <w:b/>
          <w:bCs/>
          <w:szCs w:val="21"/>
          <w:highlight w:val="none"/>
        </w:rPr>
      </w:r>
      <w:r/>
    </w:p>
    <w:p>
      <w:pPr>
        <w:pStyle w:val="940"/>
        <w:ind w:firstLine="420"/>
        <w:keepLines/>
        <w:keepNext/>
        <w:spacing w:line="420" w:lineRule="exact"/>
        <w:rPr>
          <w:rFonts w:hint="eastAsia" w:ascii="宋体" w:hAnsi="宋体" w:cs="宋体"/>
          <w:b/>
          <w:szCs w:val="21"/>
          <w:highlight w:val="none"/>
        </w:rPr>
        <w:outlineLvl w:val="3"/>
      </w:pPr>
      <w:r/>
      <w:bookmarkStart w:id="85" w:name="_Toc20823286"/>
      <w:r/>
      <w:bookmarkStart w:id="86" w:name="_Toc16938530"/>
      <w:r/>
      <w:bookmarkStart w:id="87" w:name="_Toc462564073"/>
      <w:r/>
      <w:bookmarkStart w:id="88" w:name="_Toc513029214"/>
      <w:r>
        <w:rPr>
          <w:rFonts w:hint="eastAsia" w:ascii="宋体" w:hAnsi="宋体" w:cs="宋体"/>
          <w:szCs w:val="21"/>
          <w:highlight w:val="none"/>
        </w:rPr>
        <w:t xml:space="preserve">9、响应文件的语言及度量衡单位</w:t>
      </w:r>
      <w:bookmarkEnd w:id="85"/>
      <w:r/>
      <w:bookmarkEnd w:id="86"/>
      <w:r/>
      <w:bookmarkEnd w:id="87"/>
      <w:r/>
      <w:bookmarkEnd w:id="88"/>
      <w:r>
        <w:rPr>
          <w:rFonts w:hint="eastAsia" w:ascii="宋体" w:hAnsi="宋体" w:cs="宋体"/>
          <w:b/>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9.1</w:t>
      </w:r>
      <w:r>
        <w:rPr>
          <w:rFonts w:hint="eastAsia" w:ascii="宋体" w:hAnsi="宋体" w:cs="宋体"/>
          <w:szCs w:val="21"/>
          <w:highlight w:val="none"/>
        </w:rPr>
        <w:t xml:space="preserve">供应商提交的响应文件以及供应商与代理机构就有关磋商的所有来往通知、函件和文件均应使用</w:t>
      </w:r>
      <w:r>
        <w:rPr>
          <w:rFonts w:hint="eastAsia" w:ascii="宋体" w:hAnsi="宋体" w:cs="宋体"/>
          <w:b/>
          <w:bCs/>
          <w:szCs w:val="21"/>
          <w:highlight w:val="none"/>
        </w:rPr>
        <w:t xml:space="preserve">简体中文</w:t>
      </w:r>
      <w:r>
        <w:rPr>
          <w:rFonts w:hint="eastAsia" w:ascii="宋体" w:hAnsi="宋体" w:cs="宋体"/>
          <w:szCs w:val="21"/>
          <w:highlight w:val="none"/>
        </w:rPr>
        <w:t xml:space="preserve">。</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9.2</w:t>
      </w:r>
      <w:r>
        <w:rPr>
          <w:rFonts w:hint="eastAsia" w:ascii="宋体" w:hAnsi="宋体" w:cs="宋体"/>
          <w:szCs w:val="21"/>
          <w:highlight w:val="none"/>
        </w:rPr>
        <w:t xml:space="preserve"> 除技术性能另有规定外，响应文件所使用的度量衡单位，均须采用国家法定计量单位。</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89" w:name="_Toc513029215"/>
      <w:r/>
      <w:bookmarkStart w:id="90" w:name="_Toc16938531"/>
      <w:r/>
      <w:bookmarkStart w:id="91" w:name="_Toc20823287"/>
      <w:r/>
      <w:bookmarkStart w:id="92" w:name="_Toc462564074"/>
      <w:r>
        <w:rPr>
          <w:rFonts w:hint="eastAsia" w:ascii="宋体" w:hAnsi="宋体" w:cs="宋体"/>
          <w:szCs w:val="21"/>
          <w:highlight w:val="none"/>
        </w:rPr>
        <w:t xml:space="preserve">10、响应文件构成</w:t>
      </w:r>
      <w:bookmarkEnd w:id="89"/>
      <w:r/>
      <w:bookmarkEnd w:id="90"/>
      <w:r/>
      <w:bookmarkEnd w:id="91"/>
      <w:r/>
      <w:bookmarkEnd w:id="92"/>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10.1</w:t>
      </w:r>
      <w:r>
        <w:rPr>
          <w:rFonts w:hint="eastAsia" w:ascii="宋体" w:hAnsi="宋体" w:cs="宋体"/>
          <w:szCs w:val="21"/>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10.2 如标书制作工具中格式和内容与“扬州市政府采购网”、”江苏政府采购网”发布的磋商文件不一致，请以“扬州市政府采购网”、”江苏政府采购网”发布的磋商文件为准。</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93" w:name="_Hlt26668975"/>
      <w:r/>
      <w:bookmarkEnd w:id="93"/>
      <w:r/>
      <w:bookmarkStart w:id="94" w:name="_Hlt26670360"/>
      <w:r/>
      <w:bookmarkEnd w:id="94"/>
      <w:r/>
      <w:bookmarkStart w:id="95" w:name="_Hlt26954838"/>
      <w:r/>
      <w:bookmarkEnd w:id="95"/>
      <w:r/>
      <w:bookmarkStart w:id="96" w:name="_Toc513029219"/>
      <w:r/>
      <w:bookmarkStart w:id="97" w:name="_Toc49090509"/>
      <w:r/>
      <w:bookmarkStart w:id="98" w:name="_Toc14577357"/>
      <w:r/>
      <w:bookmarkStart w:id="99" w:name="_Toc14577354"/>
      <w:r/>
      <w:bookmarkStart w:id="100" w:name="_Toc49090507"/>
      <w:r/>
      <w:bookmarkStart w:id="101" w:name="_Toc513029216"/>
      <w:r/>
      <w:bookmarkStart w:id="102" w:name="_Toc49090508"/>
      <w:r/>
      <w:bookmarkStart w:id="103" w:name="_Toc14577355"/>
      <w:r>
        <w:rPr>
          <w:rFonts w:hint="eastAsia" w:ascii="宋体" w:hAnsi="宋体" w:cs="宋体"/>
          <w:szCs w:val="21"/>
          <w:highlight w:val="none"/>
        </w:rPr>
        <w:t xml:space="preserve">11、证明磋商响应标的符合磋商文件规定的文件</w:t>
      </w:r>
      <w:bookmarkEnd w:id="96"/>
      <w:r/>
      <w:bookmarkEnd w:id="97"/>
      <w:r/>
      <w:bookmarkEnd w:id="98"/>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bookmarkEnd w:id="99"/>
      <w:r/>
      <w:bookmarkEnd w:id="100"/>
      <w:r/>
      <w:bookmarkEnd w:id="101"/>
      <w:r>
        <w:rPr>
          <w:rFonts w:hint="eastAsia" w:ascii="宋体" w:hAnsi="宋体" w:cs="宋体"/>
          <w:szCs w:val="21"/>
          <w:highlight w:val="none"/>
        </w:rPr>
        <w:t xml:space="preserve">11.1供应商应按照磋商文件要求提交证明文件，证明其及磋商响应标的符合磋商文件规定。</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11.2磋商文件对证明文件无明确形式要求的，证明文件可以以文字资料、图纸和数据等形式提交。</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End w:id="102"/>
      <w:r/>
      <w:bookmarkEnd w:id="103"/>
      <w:r>
        <w:rPr>
          <w:rFonts w:hint="eastAsia" w:ascii="宋体" w:hAnsi="宋体" w:cs="宋体"/>
          <w:szCs w:val="21"/>
          <w:highlight w:val="none"/>
        </w:rPr>
        <w:t xml:space="preserve">12、分项报价表</w:t>
      </w:r>
      <w:r>
        <w:rPr>
          <w:rFonts w:hint="eastAsia" w:ascii="宋体" w:hAnsi="宋体" w:cs="宋体"/>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12.1</w:t>
      </w:r>
      <w:r>
        <w:rPr>
          <w:rFonts w:hint="eastAsia" w:ascii="宋体" w:hAnsi="宋体" w:cs="宋体"/>
          <w:szCs w:val="21"/>
          <w:highlight w:val="none"/>
        </w:rPr>
        <w:t xml:space="preserve">供应商应按照磋商文件规定格式填报分项报价表。</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szCs w:val="21"/>
          <w:highlight w:val="none"/>
        </w:rPr>
        <w:t xml:space="preserve">12.2</w:t>
      </w:r>
      <w:r>
        <w:rPr>
          <w:rFonts w:hint="eastAsia" w:ascii="宋体" w:hAnsi="宋体" w:cs="宋体"/>
          <w:bCs/>
          <w:szCs w:val="21"/>
          <w:highlight w:val="none"/>
        </w:rPr>
        <w:t xml:space="preserve">磋商货币。响应文件中的单价和总价无特殊规定的采用人民币报价，以元为单位标注。</w:t>
      </w:r>
      <w:r>
        <w:rPr>
          <w:rFonts w:hint="eastAsia" w:ascii="宋体" w:hAnsi="宋体" w:cs="宋体"/>
          <w:szCs w:val="21"/>
          <w:highlight w:val="none"/>
        </w:rPr>
        <w:t xml:space="preserve">磋商文件中另有规定的按规定执行。</w:t>
      </w:r>
      <w:r>
        <w:rPr>
          <w:rFonts w:hint="eastAsia" w:ascii="宋体" w:hAnsi="宋体" w:cs="宋体"/>
          <w:bCs/>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104" w:name="_Hlt26954731"/>
      <w:r/>
      <w:bookmarkEnd w:id="104"/>
      <w:r/>
      <w:bookmarkStart w:id="105" w:name="_Hlt26670486"/>
      <w:r/>
      <w:bookmarkEnd w:id="105"/>
      <w:r/>
      <w:bookmarkStart w:id="106" w:name="_Hlt26670482"/>
      <w:r/>
      <w:bookmarkEnd w:id="106"/>
      <w:r/>
      <w:bookmarkStart w:id="107" w:name="_Hlt26954848"/>
      <w:r/>
      <w:bookmarkEnd w:id="107"/>
      <w:r/>
      <w:bookmarkStart w:id="108" w:name="_Hlt26954846"/>
      <w:r/>
      <w:bookmarkEnd w:id="108"/>
      <w:r>
        <w:rPr>
          <w:rFonts w:hint="eastAsia" w:ascii="宋体" w:hAnsi="宋体" w:cs="宋体"/>
          <w:szCs w:val="21"/>
          <w:highlight w:val="none"/>
        </w:rPr>
        <w:t xml:space="preserve">13、技术要求响应及偏离表、商务要求响应及偏离表</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lang w:val="zh-CN"/>
        </w:rPr>
      </w:pPr>
      <w:r>
        <w:rPr>
          <w:rFonts w:hint="eastAsia" w:ascii="宋体" w:hAnsi="宋体" w:cs="宋体"/>
          <w:bCs/>
          <w:szCs w:val="21"/>
          <w:highlight w:val="none"/>
          <w:lang w:val="zh-CN"/>
        </w:rPr>
        <w:t xml:space="preserve">13.1</w:t>
      </w:r>
      <w:r>
        <w:rPr>
          <w:rFonts w:hint="eastAsia" w:ascii="宋体" w:hAnsi="宋体" w:cs="宋体"/>
          <w:szCs w:val="21"/>
          <w:highlight w:val="none"/>
          <w:lang w:val="zh-CN"/>
        </w:rPr>
        <w:t xml:space="preserve">供应商需对磋商文件中的技术要求与商务要求逐项作出响应或偏离，并说明原因。</w:t>
      </w:r>
      <w:r>
        <w:rPr>
          <w:rFonts w:hint="eastAsia" w:ascii="宋体" w:hAnsi="宋体" w:cs="宋体"/>
          <w:szCs w:val="21"/>
          <w:highlight w:val="none"/>
          <w:lang w:val="zh-CN"/>
        </w:rPr>
      </w:r>
      <w:r/>
    </w:p>
    <w:p>
      <w:pPr>
        <w:pStyle w:val="940"/>
        <w:ind w:firstLine="420"/>
        <w:spacing w:line="420" w:lineRule="exact"/>
        <w:rPr>
          <w:rFonts w:hint="eastAsia" w:ascii="宋体" w:hAnsi="宋体" w:cs="宋体"/>
          <w:szCs w:val="21"/>
          <w:highlight w:val="none"/>
          <w:lang w:val="zh-CN"/>
        </w:rPr>
      </w:pPr>
      <w:r>
        <w:rPr>
          <w:rFonts w:hint="eastAsia" w:ascii="宋体" w:hAnsi="宋体" w:cs="宋体"/>
          <w:szCs w:val="21"/>
          <w:highlight w:val="none"/>
          <w:lang w:val="zh-CN"/>
        </w:rPr>
        <w:t xml:space="preserve">13.2供应商可在响应文件中提供认为需要的其他技术文件或说明。</w:t>
      </w:r>
      <w:r>
        <w:rPr>
          <w:rFonts w:hint="eastAsia" w:ascii="宋体" w:hAnsi="宋体" w:cs="宋体"/>
          <w:szCs w:val="21"/>
          <w:highlight w:val="none"/>
          <w:lang w:val="zh-CN"/>
        </w:rPr>
      </w:r>
      <w:r/>
    </w:p>
    <w:p>
      <w:pPr>
        <w:pStyle w:val="940"/>
        <w:ind w:firstLine="420"/>
        <w:keepLines/>
        <w:keepNext/>
        <w:spacing w:line="420" w:lineRule="exact"/>
        <w:rPr>
          <w:rFonts w:hint="eastAsia" w:ascii="宋体" w:hAnsi="宋体" w:cs="宋体"/>
          <w:szCs w:val="21"/>
          <w:highlight w:val="none"/>
        </w:rPr>
        <w:outlineLvl w:val="3"/>
      </w:pPr>
      <w:r>
        <w:rPr>
          <w:rFonts w:hint="eastAsia" w:ascii="宋体" w:hAnsi="宋体" w:cs="宋体"/>
          <w:szCs w:val="21"/>
          <w:highlight w:val="none"/>
        </w:rPr>
        <w:t xml:space="preserve">14、服务承诺、培训计划、人员安排及其他</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14.1</w:t>
      </w:r>
      <w:r>
        <w:rPr>
          <w:rFonts w:hint="eastAsia" w:ascii="宋体" w:hAnsi="宋体" w:cs="宋体"/>
          <w:szCs w:val="21"/>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14.2供应商需根据磋商文件要求提供培训计划。</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14.3供应商需根据磋商文件要求提供</w:t>
      </w:r>
      <w:r>
        <w:rPr>
          <w:rFonts w:hint="eastAsia" w:ascii="宋体" w:hAnsi="宋体" w:cs="宋体"/>
          <w:szCs w:val="21"/>
          <w:highlight w:val="none"/>
          <w:lang w:val="zh-CN"/>
        </w:rPr>
        <w:t xml:space="preserve">磋商响应标的的主要组成部分、功能设计、实现思路及关键技术等。</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109" w:name="_Toc49090510"/>
      <w:r/>
      <w:bookmarkStart w:id="110" w:name="_Toc14577359"/>
      <w:r>
        <w:rPr>
          <w:rFonts w:hint="eastAsia" w:ascii="宋体" w:hAnsi="宋体" w:cs="宋体"/>
          <w:szCs w:val="21"/>
          <w:highlight w:val="none"/>
        </w:rPr>
        <w:t xml:space="preserve">15、磋商响应函</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15.1</w:t>
      </w:r>
      <w:r>
        <w:rPr>
          <w:rFonts w:hint="eastAsia" w:ascii="宋体" w:hAnsi="宋体" w:cs="宋体"/>
          <w:szCs w:val="21"/>
          <w:highlight w:val="none"/>
        </w:rPr>
        <w:t xml:space="preserve">供应商应按照磋商文件中提供的格式完整、正确填写磋商响应函。</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End w:id="109"/>
      <w:r/>
      <w:bookmarkEnd w:id="110"/>
      <w:r/>
      <w:bookmarkStart w:id="111" w:name="_Toc49090511"/>
      <w:r/>
      <w:bookmarkStart w:id="112" w:name="_Toc14577360"/>
      <w:r>
        <w:rPr>
          <w:rFonts w:hint="eastAsia" w:ascii="宋体" w:hAnsi="宋体" w:cs="宋体"/>
          <w:szCs w:val="21"/>
          <w:highlight w:val="none"/>
        </w:rPr>
        <w:t xml:space="preserve">16、磋商有效期</w:t>
      </w:r>
      <w:bookmarkEnd w:id="111"/>
      <w:r/>
      <w:bookmarkEnd w:id="112"/>
      <w:r>
        <w:rPr>
          <w:rFonts w:hint="eastAsia" w:ascii="宋体" w:hAnsi="宋体" w:cs="宋体"/>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16.1磋商有效期为代理机构规定的提交响应文件截止之日后</w:t>
      </w:r>
      <w:r>
        <w:rPr>
          <w:rFonts w:hint="eastAsia" w:ascii="宋体" w:hAnsi="宋体" w:cs="宋体"/>
          <w:b/>
          <w:szCs w:val="21"/>
          <w:highlight w:val="none"/>
          <w:u w:val="single"/>
        </w:rPr>
        <w:t xml:space="preserve">六十（60）天</w:t>
      </w:r>
      <w:r>
        <w:rPr>
          <w:rFonts w:hint="eastAsia" w:ascii="宋体" w:hAnsi="宋体" w:cs="宋体"/>
          <w:bCs/>
          <w:szCs w:val="21"/>
          <w:highlight w:val="none"/>
        </w:rPr>
        <w:t xml:space="preserve">。磋商有效期比规定短的将被视为非实质性响应磋商文件而予以拒绝。</w:t>
      </w:r>
      <w:r>
        <w:rPr>
          <w:rFonts w:hint="eastAsia" w:ascii="宋体" w:hAnsi="宋体" w:cs="宋体"/>
          <w:bCs/>
          <w:szCs w:val="21"/>
          <w:highlight w:val="none"/>
        </w:rPr>
      </w:r>
      <w:r/>
    </w:p>
    <w:p>
      <w:pPr>
        <w:pStyle w:val="940"/>
        <w:ind w:firstLine="420"/>
        <w:keepLines/>
        <w:keepNext/>
        <w:spacing w:line="420" w:lineRule="exact"/>
        <w:rPr>
          <w:rFonts w:hint="eastAsia" w:ascii="宋体" w:hAnsi="宋体" w:cs="宋体"/>
          <w:szCs w:val="21"/>
          <w:highlight w:val="none"/>
        </w:rPr>
        <w:outlineLvl w:val="3"/>
      </w:pPr>
      <w:r>
        <w:rPr>
          <w:rFonts w:hint="eastAsia" w:ascii="宋体" w:hAnsi="宋体" w:cs="宋体"/>
          <w:szCs w:val="21"/>
          <w:highlight w:val="none"/>
        </w:rPr>
        <w:t xml:space="preserve">17、磋商有效期的延长</w:t>
      </w:r>
      <w:r>
        <w:rPr>
          <w:rFonts w:hint="eastAsia" w:ascii="宋体" w:hAnsi="宋体" w:cs="宋体"/>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szCs w:val="21"/>
          <w:highlight w:val="none"/>
        </w:rPr>
        <w:t xml:space="preserve">受磋商有效期约束的所有权利与义务均延长至新的有效期</w:t>
      </w:r>
      <w:r>
        <w:rPr>
          <w:rFonts w:hint="eastAsia" w:ascii="宋体" w:hAnsi="宋体" w:cs="宋体"/>
          <w:bCs/>
          <w:szCs w:val="21"/>
          <w:highlight w:val="none"/>
        </w:rPr>
        <w:t xml:space="preserve">。</w:t>
      </w:r>
      <w:r>
        <w:rPr>
          <w:rFonts w:hint="eastAsia" w:ascii="宋体" w:hAnsi="宋体" w:cs="宋体"/>
          <w:bCs/>
          <w:szCs w:val="21"/>
          <w:highlight w:val="none"/>
        </w:rPr>
      </w:r>
      <w:r/>
    </w:p>
    <w:p>
      <w:pPr>
        <w:pStyle w:val="940"/>
        <w:ind w:firstLine="422"/>
        <w:keepLines/>
        <w:keepNext/>
        <w:spacing w:before="145" w:after="145" w:line="420" w:lineRule="exact"/>
        <w:rPr>
          <w:rFonts w:hint="eastAsia" w:ascii="宋体" w:hAnsi="宋体" w:cs="宋体"/>
          <w:b/>
          <w:bCs/>
          <w:szCs w:val="21"/>
          <w:highlight w:val="none"/>
        </w:rPr>
        <w:outlineLvl w:val="2"/>
      </w:pPr>
      <w:r/>
      <w:bookmarkStart w:id="113" w:name="_Hlt26954852"/>
      <w:r/>
      <w:bookmarkEnd w:id="113"/>
      <w:r/>
      <w:bookmarkStart w:id="114" w:name="_Hlt26954739"/>
      <w:r/>
      <w:bookmarkEnd w:id="114"/>
      <w:r/>
      <w:bookmarkStart w:id="115" w:name="_Toc513029224"/>
      <w:r/>
      <w:bookmarkStart w:id="116" w:name="_Toc16938540"/>
      <w:r/>
      <w:bookmarkStart w:id="117" w:name="_Toc20823296"/>
      <w:r/>
      <w:bookmarkStart w:id="118" w:name="_Toc120614217"/>
      <w:r>
        <w:rPr>
          <w:rFonts w:hint="eastAsia" w:ascii="宋体" w:hAnsi="宋体" w:cs="宋体"/>
          <w:b/>
          <w:bCs/>
          <w:szCs w:val="21"/>
          <w:highlight w:val="none"/>
        </w:rPr>
        <w:t xml:space="preserve">四、响应文件的递交</w:t>
      </w:r>
      <w:bookmarkEnd w:id="115"/>
      <w:r/>
      <w:bookmarkEnd w:id="116"/>
      <w:r/>
      <w:bookmarkEnd w:id="117"/>
      <w:r/>
      <w:bookmarkEnd w:id="118"/>
      <w:r>
        <w:rPr>
          <w:rFonts w:hint="eastAsia" w:ascii="宋体" w:hAnsi="宋体" w:cs="宋体"/>
          <w:b/>
          <w:bCs/>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119" w:name="_Toc20823297"/>
      <w:r/>
      <w:bookmarkStart w:id="120" w:name="_Toc513029225"/>
      <w:r/>
      <w:bookmarkStart w:id="121" w:name="_Toc462564084"/>
      <w:r/>
      <w:bookmarkStart w:id="122" w:name="_Toc16938541"/>
      <w:r>
        <w:rPr>
          <w:rFonts w:hint="eastAsia" w:ascii="宋体" w:hAnsi="宋体" w:cs="宋体"/>
          <w:szCs w:val="21"/>
          <w:highlight w:val="none"/>
        </w:rPr>
        <w:t xml:space="preserve">18、电子磋商</w:t>
      </w:r>
      <w:bookmarkEnd w:id="119"/>
      <w:r/>
      <w:bookmarkEnd w:id="120"/>
      <w:r/>
      <w:bookmarkEnd w:id="121"/>
      <w:r/>
      <w:bookmarkEnd w:id="122"/>
      <w:r>
        <w:rPr>
          <w:rFonts w:hint="eastAsia" w:ascii="宋体" w:hAnsi="宋体" w:cs="宋体"/>
          <w:szCs w:val="21"/>
          <w:highlight w:val="none"/>
        </w:rPr>
        <w:t xml:space="preserve">响应文件的递交</w:t>
      </w:r>
      <w:r>
        <w:rPr>
          <w:rFonts w:hint="eastAsia" w:ascii="宋体" w:hAnsi="宋体" w:cs="宋体"/>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18.1供应商应当按照《操作手册》规定，在提交响应文件截止时间前制作并上传电子响应文件。</w:t>
      </w:r>
      <w:bookmarkStart w:id="123" w:name="_Toc20823298"/>
      <w:r/>
      <w:bookmarkStart w:id="124" w:name="_Toc513029226"/>
      <w:r/>
      <w:bookmarkStart w:id="125" w:name="_Toc16938542"/>
      <w:r>
        <w:rPr>
          <w:rFonts w:hint="eastAsia" w:ascii="宋体" w:hAnsi="宋体" w:cs="宋体"/>
          <w:bCs/>
          <w:szCs w:val="21"/>
          <w:highlight w:val="none"/>
        </w:rPr>
      </w:r>
      <w:r/>
    </w:p>
    <w:p>
      <w:pPr>
        <w:pStyle w:val="940"/>
        <w:ind w:firstLine="420"/>
        <w:keepLines/>
        <w:keepNext/>
        <w:spacing w:before="280" w:after="290" w:line="420" w:lineRule="exact"/>
        <w:rPr>
          <w:rFonts w:hint="eastAsia" w:ascii="宋体" w:hAnsi="宋体" w:cs="宋体"/>
          <w:bCs/>
          <w:szCs w:val="21"/>
          <w:highlight w:val="none"/>
        </w:rPr>
        <w:outlineLvl w:val="3"/>
      </w:pPr>
      <w:r>
        <w:rPr>
          <w:rFonts w:hint="eastAsia" w:ascii="宋体" w:hAnsi="宋体" w:cs="宋体"/>
          <w:bCs/>
          <w:szCs w:val="21"/>
          <w:highlight w:val="none"/>
        </w:rPr>
        <w:t xml:space="preserve">19、提交响应文件截止时间</w:t>
      </w:r>
      <w:bookmarkEnd w:id="123"/>
      <w:r/>
      <w:bookmarkEnd w:id="124"/>
      <w:r/>
      <w:bookmarkEnd w:id="125"/>
      <w:r>
        <w:rPr>
          <w:rFonts w:hint="eastAsia" w:ascii="宋体" w:hAnsi="宋体" w:cs="宋体"/>
          <w:bCs/>
          <w:szCs w:val="21"/>
          <w:highlight w:val="none"/>
        </w:rPr>
      </w:r>
      <w:r/>
    </w:p>
    <w:p>
      <w:pPr>
        <w:pStyle w:val="940"/>
        <w:ind w:firstLine="420"/>
        <w:spacing w:line="420" w:lineRule="exact"/>
        <w:rPr>
          <w:rFonts w:hint="eastAsia" w:ascii="宋体" w:hAnsi="宋体" w:cs="宋体"/>
          <w:bCs/>
          <w:i/>
          <w:szCs w:val="21"/>
          <w:highlight w:val="none"/>
          <w:u w:val="single"/>
        </w:rPr>
      </w:pPr>
      <w:r>
        <w:rPr>
          <w:rFonts w:hint="eastAsia" w:ascii="宋体" w:hAnsi="宋体" w:cs="宋体"/>
          <w:i/>
          <w:szCs w:val="21"/>
          <w:highlight w:val="none"/>
          <w:u w:val="single"/>
        </w:rPr>
        <w:t xml:space="preserve">19.1</w:t>
      </w:r>
      <w:r>
        <w:rPr>
          <w:rFonts w:hint="eastAsia" w:ascii="宋体" w:hAnsi="宋体" w:cs="宋体"/>
          <w:bCs/>
          <w:i/>
          <w:szCs w:val="21"/>
          <w:highlight w:val="none"/>
          <w:u w:val="single"/>
        </w:rPr>
        <w:t xml:space="preserve">供应商上传电子响应文件的时间不得迟于磋商公告中规定的提交响应文件截止时间。</w:t>
      </w:r>
      <w:r>
        <w:rPr>
          <w:rFonts w:hint="eastAsia" w:ascii="宋体" w:hAnsi="宋体" w:cs="宋体"/>
          <w:bCs/>
          <w:i/>
          <w:szCs w:val="21"/>
          <w:highlight w:val="none"/>
          <w:u w:val="singl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szCs w:val="21"/>
          <w:highlight w:val="none"/>
        </w:rPr>
        <w:t xml:space="preserve">19.2</w:t>
      </w:r>
      <w:r>
        <w:rPr>
          <w:rFonts w:hint="eastAsia" w:ascii="宋体" w:hAnsi="宋体" w:cs="宋体"/>
          <w:bCs/>
          <w:szCs w:val="21"/>
          <w:highlight w:val="none"/>
        </w:rPr>
        <w:t xml:space="preserve"> 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126" w:name="_Toc513029227"/>
      <w:r/>
      <w:bookmarkStart w:id="127" w:name="_Toc16938543"/>
      <w:r/>
      <w:bookmarkStart w:id="128" w:name="_Toc20823299"/>
      <w:r>
        <w:rPr>
          <w:rFonts w:hint="eastAsia" w:ascii="宋体" w:hAnsi="宋体" w:cs="宋体"/>
          <w:szCs w:val="21"/>
          <w:highlight w:val="none"/>
        </w:rPr>
        <w:t xml:space="preserve">20、响应文件</w:t>
      </w:r>
      <w:bookmarkEnd w:id="126"/>
      <w:r/>
      <w:bookmarkEnd w:id="127"/>
      <w:r/>
      <w:bookmarkEnd w:id="128"/>
      <w:r>
        <w:rPr>
          <w:rFonts w:hint="eastAsia" w:ascii="宋体" w:hAnsi="宋体" w:cs="宋体"/>
          <w:szCs w:val="21"/>
          <w:highlight w:val="none"/>
        </w:rPr>
        <w:t xml:space="preserve">的拒收</w:t>
      </w:r>
      <w:r>
        <w:rPr>
          <w:rFonts w:hint="eastAsia" w:ascii="宋体" w:hAnsi="宋体" w:cs="宋体"/>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20.1 代理机构拒绝接收在其规定的提交响应文件截止时间后上传的任何电子响应文件。</w:t>
      </w:r>
      <w:r>
        <w:rPr>
          <w:rFonts w:hint="eastAsia" w:ascii="宋体" w:hAnsi="宋体" w:cs="宋体"/>
          <w:bCs/>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129" w:name="_Toc20823300"/>
      <w:r/>
      <w:bookmarkStart w:id="130" w:name="_Toc513029228"/>
      <w:r/>
      <w:bookmarkStart w:id="131" w:name="_Toc16938544"/>
      <w:r>
        <w:rPr>
          <w:rFonts w:hint="eastAsia" w:ascii="宋体" w:hAnsi="宋体" w:cs="宋体"/>
          <w:szCs w:val="21"/>
          <w:highlight w:val="none"/>
        </w:rPr>
        <w:t xml:space="preserve">21、响应文件的撤回和修改</w:t>
      </w:r>
      <w:bookmarkEnd w:id="129"/>
      <w:r/>
      <w:bookmarkEnd w:id="130"/>
      <w:r/>
      <w:bookmarkEnd w:id="131"/>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21.1响应文件的撤回</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21.1.1 电子响应文件的撤回</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供应商可在</w:t>
      </w:r>
      <w:r>
        <w:rPr>
          <w:rFonts w:hint="eastAsia" w:ascii="宋体" w:hAnsi="宋体" w:cs="宋体"/>
          <w:bCs/>
          <w:szCs w:val="21"/>
          <w:highlight w:val="none"/>
        </w:rPr>
        <w:t xml:space="preserve">提交响应文件</w:t>
      </w:r>
      <w:r>
        <w:rPr>
          <w:rFonts w:hint="eastAsia" w:ascii="宋体" w:hAnsi="宋体" w:cs="宋体"/>
          <w:szCs w:val="21"/>
          <w:highlight w:val="none"/>
        </w:rPr>
        <w:t xml:space="preserve">截止时间前，撤回其电子响应文件，具体操作方法见《操作手册》。</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21.1.2供应商撤回电子响应文件，则认为其不再参与本项目磋商活动。</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21.2响应文件的修改</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供应商可在</w:t>
      </w:r>
      <w:r>
        <w:rPr>
          <w:rFonts w:hint="eastAsia" w:ascii="宋体" w:hAnsi="宋体" w:cs="宋体"/>
          <w:bCs/>
          <w:szCs w:val="21"/>
          <w:highlight w:val="none"/>
        </w:rPr>
        <w:t xml:space="preserve">提交响应文件</w:t>
      </w:r>
      <w:r>
        <w:rPr>
          <w:rFonts w:hint="eastAsia" w:ascii="宋体" w:hAnsi="宋体" w:cs="宋体"/>
          <w:szCs w:val="21"/>
          <w:highlight w:val="none"/>
        </w:rPr>
        <w:t xml:space="preserve">截止时间前，对其电子响应文件进行修改，具体操作方法见《操作手册》。</w:t>
      </w:r>
      <w:r>
        <w:rPr>
          <w:rFonts w:hint="eastAsia" w:ascii="宋体" w:hAnsi="宋体" w:cs="宋体"/>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szCs w:val="21"/>
          <w:highlight w:val="none"/>
        </w:rPr>
        <w:t xml:space="preserve">21.3</w:t>
      </w:r>
      <w:r>
        <w:rPr>
          <w:rFonts w:hint="eastAsia" w:ascii="宋体" w:hAnsi="宋体" w:cs="宋体"/>
          <w:bCs/>
          <w:szCs w:val="21"/>
          <w:highlight w:val="none"/>
        </w:rPr>
        <w:t xml:space="preserve"> 在提交响应文件截止时间之后，供应商不得对其电子响应文件作任何修改。</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szCs w:val="21"/>
          <w:highlight w:val="none"/>
        </w:rPr>
        <w:t xml:space="preserve">21.4</w:t>
      </w:r>
      <w:r>
        <w:rPr>
          <w:rFonts w:hint="eastAsia" w:ascii="宋体" w:hAnsi="宋体" w:cs="宋体"/>
          <w:bCs/>
          <w:szCs w:val="21"/>
          <w:highlight w:val="none"/>
        </w:rPr>
        <w:t xml:space="preserve"> 在提交响应文件截止时间至磋商文件中规定的磋商有效期满之间的这段时间内，供应商不得撤回其响应文件。</w:t>
      </w:r>
      <w:r>
        <w:rPr>
          <w:rFonts w:hint="eastAsia" w:ascii="宋体" w:hAnsi="宋体" w:cs="宋体"/>
          <w:bCs/>
          <w:szCs w:val="21"/>
          <w:highlight w:val="none"/>
        </w:rPr>
      </w:r>
      <w:r/>
    </w:p>
    <w:p>
      <w:pPr>
        <w:pStyle w:val="940"/>
        <w:ind w:firstLine="422"/>
        <w:keepLines/>
        <w:keepNext/>
        <w:spacing w:before="145" w:after="145" w:line="420" w:lineRule="exact"/>
        <w:rPr>
          <w:rFonts w:hint="eastAsia" w:ascii="宋体" w:hAnsi="宋体" w:cs="宋体"/>
          <w:b/>
          <w:bCs/>
          <w:szCs w:val="21"/>
          <w:highlight w:val="none"/>
        </w:rPr>
        <w:outlineLvl w:val="2"/>
      </w:pPr>
      <w:r/>
      <w:bookmarkStart w:id="132" w:name="_Toc20823301"/>
      <w:r/>
      <w:bookmarkStart w:id="133" w:name="_Toc16938545"/>
      <w:r/>
      <w:bookmarkStart w:id="134" w:name="_Toc513029229"/>
      <w:r/>
      <w:bookmarkStart w:id="135" w:name="_Toc120614218"/>
      <w:r>
        <w:rPr>
          <w:rFonts w:hint="eastAsia" w:ascii="宋体" w:hAnsi="宋体" w:cs="宋体"/>
          <w:b/>
          <w:bCs/>
          <w:szCs w:val="21"/>
          <w:highlight w:val="none"/>
        </w:rPr>
        <w:t xml:space="preserve">五、响应文件的解密与评审</w:t>
      </w:r>
      <w:bookmarkEnd w:id="132"/>
      <w:r/>
      <w:bookmarkEnd w:id="133"/>
      <w:r/>
      <w:bookmarkEnd w:id="134"/>
      <w:r/>
      <w:bookmarkEnd w:id="135"/>
      <w:r>
        <w:rPr>
          <w:rFonts w:hint="eastAsia" w:ascii="宋体" w:hAnsi="宋体" w:cs="宋体"/>
          <w:b/>
          <w:bCs/>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136" w:name="_Toc513029230"/>
      <w:r/>
      <w:bookmarkStart w:id="137" w:name="_Toc16938546"/>
      <w:r/>
      <w:bookmarkStart w:id="138" w:name="_Toc20823302"/>
      <w:r>
        <w:rPr>
          <w:rFonts w:hint="eastAsia" w:ascii="宋体" w:hAnsi="宋体" w:cs="宋体"/>
          <w:szCs w:val="21"/>
          <w:highlight w:val="none"/>
        </w:rPr>
        <w:t xml:space="preserve">22、</w:t>
      </w:r>
      <w:bookmarkEnd w:id="136"/>
      <w:r/>
      <w:bookmarkEnd w:id="137"/>
      <w:r/>
      <w:bookmarkEnd w:id="138"/>
      <w:r>
        <w:rPr>
          <w:rFonts w:hint="eastAsia" w:ascii="宋体" w:hAnsi="宋体" w:cs="宋体"/>
          <w:szCs w:val="21"/>
          <w:highlight w:val="none"/>
        </w:rPr>
        <w:t xml:space="preserve">响应文件解密</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22.1供应商应当按照《操作手册》规定，在苏采云系统规定的时间内对磋商响应文件进行解密。</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139" w:name="_Toc16938547"/>
      <w:r/>
      <w:bookmarkStart w:id="140" w:name="_Toc513029231"/>
      <w:r/>
      <w:bookmarkStart w:id="141" w:name="_Toc20823303"/>
      <w:r>
        <w:rPr>
          <w:rFonts w:hint="eastAsia" w:ascii="宋体" w:hAnsi="宋体" w:cs="宋体"/>
          <w:szCs w:val="21"/>
          <w:highlight w:val="none"/>
        </w:rPr>
        <w:t xml:space="preserve">23、磋商小组</w:t>
      </w:r>
      <w:r>
        <w:rPr>
          <w:rFonts w:hint="eastAsia" w:ascii="宋体" w:hAnsi="宋体" w:cs="宋体"/>
          <w:szCs w:val="21"/>
          <w:highlight w:val="none"/>
        </w:rPr>
      </w:r>
      <w:r/>
    </w:p>
    <w:p>
      <w:pPr>
        <w:pStyle w:val="940"/>
        <w:ind w:firstLine="420"/>
        <w:spacing w:line="420" w:lineRule="exact"/>
        <w:rPr>
          <w:rFonts w:hint="eastAsia" w:ascii="宋体" w:hAnsi="宋体" w:cs="宋体"/>
          <w:b/>
          <w:szCs w:val="21"/>
          <w:highlight w:val="none"/>
        </w:rPr>
      </w:pPr>
      <w:r>
        <w:rPr>
          <w:rFonts w:hint="eastAsia" w:ascii="宋体" w:hAnsi="宋体" w:cs="宋体"/>
          <w:szCs w:val="21"/>
          <w:highlight w:val="none"/>
        </w:rPr>
        <w:t xml:space="preserve">23.1代理机构将组织磋商小组对响应文件进行评审。磋商小组由采购人代表和有关技术、经济等方面的专家组成，且人员构成符合政府采购有关规定。</w:t>
      </w:r>
      <w:r>
        <w:rPr>
          <w:rFonts w:hint="eastAsia" w:ascii="宋体" w:hAnsi="宋体" w:cs="宋体"/>
          <w:b/>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23.2磋商小组独立工作，负责评审所有响应文件并确定成交候选人。</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rPr>
          <w:rFonts w:hint="eastAsia" w:ascii="宋体" w:hAnsi="宋体" w:cs="宋体"/>
          <w:szCs w:val="21"/>
          <w:highlight w:val="none"/>
        </w:rPr>
        <w:t xml:space="preserve">24、评审过程的保密与公正</w:t>
      </w:r>
      <w:r>
        <w:rPr>
          <w:rFonts w:hint="eastAsia" w:ascii="宋体" w:hAnsi="宋体" w:cs="宋体"/>
          <w:szCs w:val="21"/>
          <w:highlight w:val="none"/>
        </w:rPr>
      </w:r>
      <w:r/>
    </w:p>
    <w:p>
      <w:pPr>
        <w:pStyle w:val="940"/>
        <w:ind w:firstLine="420"/>
        <w:spacing w:line="420" w:lineRule="exact"/>
        <w:rPr>
          <w:rFonts w:hint="eastAsia" w:ascii="宋体" w:hAnsi="宋体" w:cs="宋体"/>
          <w:bCs/>
          <w:szCs w:val="21"/>
          <w:highlight w:val="none"/>
        </w:rPr>
      </w:pPr>
      <w:r/>
      <w:bookmarkEnd w:id="139"/>
      <w:r/>
      <w:bookmarkEnd w:id="140"/>
      <w:r/>
      <w:bookmarkEnd w:id="141"/>
      <w:r>
        <w:rPr>
          <w:rFonts w:hint="eastAsia" w:ascii="宋体" w:hAnsi="宋体" w:cs="宋体"/>
          <w:szCs w:val="21"/>
          <w:highlight w:val="none"/>
        </w:rPr>
        <w:t xml:space="preserve">24.1</w:t>
      </w:r>
      <w:r>
        <w:rPr>
          <w:rFonts w:hint="eastAsia" w:ascii="宋体" w:hAnsi="宋体" w:cs="宋体"/>
          <w:bCs/>
          <w:szCs w:val="21"/>
          <w:highlight w:val="none"/>
        </w:rPr>
        <w:t xml:space="preserve">磋商小组、采购人和代理机构工作人员、相关监督人员等与评审工作有关的人员，对评审情况以及在评审过程中获悉的国家秘密、商业秘密负有保密责任。</w:t>
      </w:r>
      <w:r>
        <w:rPr>
          <w:rFonts w:hint="eastAsia" w:ascii="宋体" w:hAnsi="宋体" w:cs="宋体"/>
          <w:bCs/>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24.2在评审过程中，供应商不得以任何行为影响磋商评审过程，否则其响应文件将被作为无效响应文件。</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24.3在项目评审期间，代理机构将设专门人员与供应商联系。</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24.4 代理机构和磋商小组不向未成交的供应商解释未成交原因，也不公布评审过程中的相关细节。</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142" w:name="_Toc513029232"/>
      <w:r/>
      <w:bookmarkStart w:id="143" w:name="_Toc20823304"/>
      <w:r/>
      <w:bookmarkStart w:id="144" w:name="_Toc16938548"/>
      <w:r>
        <w:rPr>
          <w:rFonts w:hint="eastAsia" w:ascii="宋体" w:hAnsi="宋体" w:cs="宋体"/>
          <w:szCs w:val="21"/>
          <w:highlight w:val="none"/>
        </w:rPr>
        <w:t xml:space="preserve">25、评审过程中的的澄清</w:t>
      </w:r>
      <w:bookmarkEnd w:id="142"/>
      <w:r/>
      <w:bookmarkEnd w:id="143"/>
      <w:r/>
      <w:bookmarkEnd w:id="144"/>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磋商小组并非对每个供应商都作澄清要求。</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25.3 接到磋商小组澄清、说明和更正要求的供应商如未按规定做出澄清、说明和 更正，其风险由供应商自行承担。</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bookmarkStart w:id="145" w:name="_Toc16938549"/>
      <w:r/>
      <w:bookmarkStart w:id="146" w:name="_Toc513029233"/>
      <w:r/>
      <w:bookmarkStart w:id="147" w:name="_Toc20823305"/>
      <w:r>
        <w:rPr>
          <w:rFonts w:hint="eastAsia" w:ascii="宋体" w:hAnsi="宋体" w:cs="宋体"/>
          <w:szCs w:val="21"/>
          <w:highlight w:val="none"/>
        </w:rPr>
        <w:t xml:space="preserve">26、对响应文件的审</w:t>
      </w:r>
      <w:bookmarkEnd w:id="145"/>
      <w:r/>
      <w:bookmarkEnd w:id="146"/>
      <w:r/>
      <w:bookmarkEnd w:id="147"/>
      <w:r>
        <w:rPr>
          <w:rFonts w:hint="eastAsia" w:ascii="宋体" w:hAnsi="宋体" w:cs="宋体"/>
          <w:szCs w:val="21"/>
          <w:highlight w:val="none"/>
        </w:rPr>
        <w:t xml:space="preserve">查</w:t>
      </w:r>
      <w:r>
        <w:rPr>
          <w:rFonts w:hint="eastAsia" w:ascii="宋体" w:hAnsi="宋体" w:cs="宋体"/>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szCs w:val="21"/>
          <w:highlight w:val="none"/>
        </w:rPr>
        <w:t xml:space="preserve">26.1</w:t>
      </w:r>
      <w:r>
        <w:rPr>
          <w:rFonts w:hint="eastAsia" w:ascii="宋体" w:hAnsi="宋体" w:cs="宋体"/>
          <w:bCs/>
          <w:szCs w:val="21"/>
          <w:highlight w:val="none"/>
        </w:rPr>
        <w:t xml:space="preserve">响应文件审查分为资格审查和符合性审查。</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磋商小组在进行资格审查的同时，将在“信用中国”网站（www.creditchina.gov.cn）和</w:t>
      </w:r>
      <w:r>
        <w:rPr>
          <w:rFonts w:hint="eastAsia" w:ascii="宋体" w:hAnsi="宋体" w:cs="宋体"/>
          <w:szCs w:val="21"/>
          <w:highlight w:val="none"/>
        </w:rPr>
        <w:t xml:space="preserve"> “中国政府采购网”（http://www.ccgp.gov.cn）</w:t>
      </w:r>
      <w:r>
        <w:rPr>
          <w:rFonts w:hint="eastAsia" w:ascii="宋体" w:hAnsi="宋体" w:cs="宋体"/>
          <w:bCs/>
          <w:szCs w:val="21"/>
          <w:highlight w:val="none"/>
        </w:rPr>
        <w:t xml:space="preserve">查询供应商的信用记录，以确定供应商是否具备磋商资格,查询结果留存并归档。</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26.1.3 未通过资格审查或符合性审查的供应商，磋商小组将在</w:t>
      </w:r>
      <w:r>
        <w:rPr>
          <w:rFonts w:hint="eastAsia" w:ascii="宋体" w:hAnsi="宋体" w:cs="宋体"/>
          <w:szCs w:val="21"/>
          <w:highlight w:val="none"/>
        </w:rPr>
        <w:t xml:space="preserve">苏采云系统</w:t>
      </w:r>
      <w:r>
        <w:rPr>
          <w:rFonts w:hint="eastAsia" w:ascii="宋体" w:hAnsi="宋体" w:cs="宋体"/>
          <w:bCs/>
          <w:szCs w:val="21"/>
          <w:highlight w:val="none"/>
        </w:rPr>
        <w:t xml:space="preserve">中告知未通过资格审查或符合性审查的原因，评审结束后，磋商小组将不再告知未通过资格审查或符合性审查的原因。</w:t>
      </w:r>
      <w:r>
        <w:rPr>
          <w:rFonts w:hint="eastAsia" w:ascii="宋体" w:hAnsi="宋体" w:cs="宋体"/>
          <w:bCs/>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26.3未实质性响应磋商文件的情形</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26.3.1供应商在</w:t>
      </w:r>
      <w:r>
        <w:rPr>
          <w:rFonts w:hint="eastAsia" w:ascii="宋体" w:hAnsi="宋体" w:cs="宋体"/>
          <w:szCs w:val="21"/>
          <w:highlight w:val="none"/>
        </w:rPr>
        <w:t xml:space="preserve">苏采云系统</w:t>
      </w:r>
      <w:r>
        <w:rPr>
          <w:rFonts w:hint="eastAsia" w:ascii="宋体" w:hAnsi="宋体" w:cs="宋体"/>
          <w:bCs/>
          <w:szCs w:val="21"/>
          <w:highlight w:val="none"/>
        </w:rPr>
        <w:t xml:space="preserve">规定的时间内未成功解密电子响应文件的。</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26.3.2供应商未按照磋商文件要求上传电子响应文件的。</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26.3.3同一供应商提交两个（含两个）以上不同的响应文件或者最后报价的。</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26.3.4供应商不具备磋商文件中规定资格要求的。</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26.3.5供应商的最后报价超过了采购预算。</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26.3.6不符合磋商文件中规定的实质性要求和条件的</w:t>
      </w:r>
      <w:r>
        <w:rPr>
          <w:rFonts w:hint="eastAsia" w:ascii="宋体" w:hAnsi="宋体" w:cs="宋体"/>
          <w:bCs/>
          <w:i/>
          <w:szCs w:val="21"/>
          <w:highlight w:val="none"/>
          <w:u w:val="single"/>
        </w:rPr>
        <w:t xml:space="preserve">（本磋商文件中斜体且有下划线部分为实质性要求和条件）。</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26.3.7供应商被 “信用中国”网站（www.creditchina.gov.cn）列入失信被执行人或重大税收违法案件当事人名单，</w:t>
      </w:r>
      <w:r>
        <w:rPr>
          <w:rFonts w:hint="eastAsia" w:ascii="宋体" w:hAnsi="宋体" w:cs="宋体"/>
          <w:szCs w:val="21"/>
          <w:highlight w:val="none"/>
        </w:rPr>
        <w:t xml:space="preserve">被“中国政府采购网”（http://www.ccgp.gov.cn）列入政府采购严重失信行为记录名单</w:t>
      </w:r>
      <w:r>
        <w:rPr>
          <w:rFonts w:hint="eastAsia" w:ascii="宋体" w:hAnsi="宋体" w:cs="宋体"/>
          <w:bCs/>
          <w:szCs w:val="21"/>
          <w:highlight w:val="none"/>
        </w:rPr>
        <w:t xml:space="preserve">。或查询“信用中国”网站后发现供应商存在其他不符合《中华人民共和国政府采购法》第二十二条规定条件的信用记录。</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26.3.8  响应文件含有采购人不能接受的附加条件的。</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26.3.10响应文件未按照磋商文件要求加盖CA电子公章的。</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26.4未实质性响应磋商文件的响应文件按无效响应处理。</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szCs w:val="21"/>
          <w:highlight w:val="none"/>
        </w:rPr>
        <w:t xml:space="preserve">26.5</w:t>
      </w:r>
      <w:r>
        <w:rPr>
          <w:rFonts w:hint="eastAsia" w:ascii="宋体" w:hAnsi="宋体" w:cs="宋体"/>
          <w:bCs/>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szCs w:val="21"/>
          <w:highlight w:val="none"/>
        </w:rPr>
      </w:r>
      <w:r/>
    </w:p>
    <w:p>
      <w:pPr>
        <w:pStyle w:val="940"/>
        <w:ind w:firstLine="420"/>
        <w:spacing w:line="420" w:lineRule="exact"/>
        <w:rPr>
          <w:rFonts w:hint="eastAsia" w:ascii="宋体" w:hAnsi="宋体" w:cs="宋体"/>
          <w:szCs w:val="21"/>
          <w:highlight w:val="none"/>
        </w:rPr>
      </w:pPr>
      <w:r/>
      <w:bookmarkStart w:id="148" w:name="_Toc20823306"/>
      <w:r/>
      <w:bookmarkStart w:id="149" w:name="_Toc16938550"/>
      <w:r/>
      <w:bookmarkStart w:id="150" w:name="_Toc513029234"/>
      <w:r>
        <w:rPr>
          <w:rFonts w:hint="eastAsia" w:ascii="宋体" w:hAnsi="宋体" w:cs="宋体"/>
          <w:szCs w:val="21"/>
          <w:highlight w:val="none"/>
        </w:rPr>
        <w:t xml:space="preserve">26.6供应商在项目评审全过程中应保持通讯畅通，并安排专人与代理机构及磋商小组联系。</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szCs w:val="21"/>
          <w:highlight w:val="none"/>
        </w:rPr>
        <w:outlineLvl w:val="3"/>
      </w:pPr>
      <w:r>
        <w:rPr>
          <w:rFonts w:hint="eastAsia" w:ascii="宋体" w:hAnsi="宋体" w:cs="宋体"/>
          <w:szCs w:val="21"/>
          <w:highlight w:val="none"/>
        </w:rPr>
        <w:t xml:space="preserve">27、</w:t>
      </w:r>
      <w:bookmarkEnd w:id="148"/>
      <w:r/>
      <w:bookmarkEnd w:id="149"/>
      <w:r/>
      <w:bookmarkEnd w:id="150"/>
      <w:r>
        <w:rPr>
          <w:rFonts w:hint="eastAsia" w:ascii="宋体" w:hAnsi="宋体" w:cs="宋体"/>
          <w:szCs w:val="21"/>
          <w:highlight w:val="none"/>
        </w:rPr>
        <w:t xml:space="preserve">磋商程序及评审方法和评审标准</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27.1磋商程序</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27.2 评审方法和评审标准</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27.2.2评审标准</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见本磋商文件第五章规定。</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27.3采购活动终止的情况</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出现下列情形之一的，本次竞争性磋商采购活动将被终止：</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27.3.1因情况变化，不再符合规定的竞争性磋商采购方式适用情形的。</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27.3.2出现影响采购公正的违法、违规行为的。</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s="宋体"/>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27.3.4因重大变故，采购任务取消的。</w:t>
      </w:r>
      <w:r>
        <w:rPr>
          <w:rFonts w:hint="eastAsia" w:ascii="宋体" w:hAnsi="宋体" w:cs="宋体"/>
          <w:szCs w:val="21"/>
          <w:highlight w:val="none"/>
        </w:rPr>
      </w:r>
      <w:r/>
    </w:p>
    <w:p>
      <w:pPr>
        <w:pStyle w:val="940"/>
        <w:ind w:firstLine="422"/>
        <w:keepLines/>
        <w:keepNext/>
        <w:spacing w:before="145" w:after="145" w:line="420" w:lineRule="exact"/>
        <w:rPr>
          <w:rFonts w:hint="eastAsia" w:ascii="宋体" w:hAnsi="宋体" w:cs="宋体"/>
          <w:b/>
          <w:bCs/>
          <w:szCs w:val="21"/>
          <w:highlight w:val="none"/>
        </w:rPr>
        <w:outlineLvl w:val="2"/>
      </w:pPr>
      <w:r/>
      <w:bookmarkStart w:id="151" w:name="_Toc20823307"/>
      <w:r/>
      <w:bookmarkStart w:id="152" w:name="_Toc120614219"/>
      <w:r/>
      <w:bookmarkStart w:id="153" w:name="_Toc16938551"/>
      <w:r/>
      <w:bookmarkStart w:id="154" w:name="_Toc513029235"/>
      <w:r>
        <w:rPr>
          <w:rFonts w:hint="eastAsia" w:ascii="宋体" w:hAnsi="宋体" w:cs="宋体"/>
          <w:b/>
          <w:bCs/>
          <w:szCs w:val="21"/>
          <w:highlight w:val="none"/>
        </w:rPr>
        <w:t xml:space="preserve">六、</w:t>
      </w:r>
      <w:bookmarkEnd w:id="151"/>
      <w:r/>
      <w:bookmarkEnd w:id="152"/>
      <w:r/>
      <w:bookmarkEnd w:id="153"/>
      <w:r/>
      <w:bookmarkEnd w:id="154"/>
      <w:r>
        <w:rPr>
          <w:rFonts w:hint="eastAsia" w:ascii="宋体" w:hAnsi="宋体" w:cs="宋体"/>
          <w:b/>
          <w:bCs/>
          <w:szCs w:val="21"/>
          <w:highlight w:val="none"/>
        </w:rPr>
        <w:t xml:space="preserve">成交</w:t>
      </w:r>
      <w:r>
        <w:rPr>
          <w:rFonts w:hint="eastAsia" w:ascii="宋体" w:hAnsi="宋体" w:cs="宋体"/>
          <w:b/>
          <w:bCs/>
          <w:szCs w:val="21"/>
          <w:highlight w:val="none"/>
        </w:rPr>
      </w:r>
      <w:r/>
    </w:p>
    <w:p>
      <w:pPr>
        <w:pStyle w:val="940"/>
        <w:ind w:firstLine="420"/>
        <w:keepLines/>
        <w:keepNext/>
        <w:spacing w:line="420" w:lineRule="exact"/>
        <w:rPr>
          <w:rFonts w:hint="eastAsia" w:ascii="宋体" w:hAnsi="宋体" w:cs="宋体"/>
          <w:bCs/>
          <w:szCs w:val="21"/>
          <w:highlight w:val="none"/>
        </w:rPr>
        <w:outlineLvl w:val="3"/>
      </w:pPr>
      <w:r/>
      <w:bookmarkStart w:id="155" w:name="_Toc513029238"/>
      <w:r/>
      <w:bookmarkStart w:id="156" w:name="_Toc16938554"/>
      <w:r/>
      <w:bookmarkStart w:id="157" w:name="_Toc20823310"/>
      <w:r>
        <w:rPr>
          <w:rFonts w:hint="eastAsia" w:ascii="宋体" w:hAnsi="宋体" w:cs="宋体"/>
          <w:bCs/>
          <w:szCs w:val="21"/>
          <w:highlight w:val="none"/>
        </w:rPr>
        <w:t xml:space="preserve">28、</w:t>
      </w:r>
      <w:bookmarkEnd w:id="155"/>
      <w:r>
        <w:rPr>
          <w:rFonts w:hint="eastAsia" w:ascii="宋体" w:hAnsi="宋体" w:cs="宋体"/>
          <w:bCs/>
          <w:szCs w:val="21"/>
          <w:highlight w:val="none"/>
        </w:rPr>
        <w:t xml:space="preserve">确定</w:t>
      </w:r>
      <w:bookmarkEnd w:id="156"/>
      <w:r/>
      <w:bookmarkEnd w:id="157"/>
      <w:r>
        <w:rPr>
          <w:rFonts w:hint="eastAsia" w:ascii="宋体" w:hAnsi="宋体" w:cs="宋体"/>
          <w:bCs/>
          <w:szCs w:val="21"/>
          <w:highlight w:val="none"/>
        </w:rPr>
        <w:t xml:space="preserve">成交单位</w:t>
      </w:r>
      <w:r>
        <w:rPr>
          <w:rFonts w:hint="eastAsia" w:ascii="宋体" w:hAnsi="宋体" w:cs="宋体"/>
          <w:bCs/>
          <w:szCs w:val="21"/>
          <w:highlight w:val="none"/>
        </w:rPr>
      </w:r>
      <w:r/>
    </w:p>
    <w:p>
      <w:pPr>
        <w:pStyle w:val="940"/>
        <w:ind w:firstLine="420"/>
        <w:spacing w:after="145" w:line="420" w:lineRule="exact"/>
        <w:tabs>
          <w:tab w:val="left" w:pos="900" w:leader="none"/>
        </w:tabs>
        <w:rPr>
          <w:rFonts w:hint="eastAsia" w:ascii="宋体" w:hAnsi="宋体" w:cs="宋体"/>
          <w:szCs w:val="21"/>
          <w:highlight w:val="none"/>
        </w:rPr>
      </w:pPr>
      <w:r>
        <w:rPr>
          <w:rFonts w:hint="eastAsia" w:ascii="宋体" w:hAnsi="宋体" w:cs="宋体"/>
          <w:bCs/>
          <w:szCs w:val="21"/>
          <w:highlight w:val="none"/>
        </w:rPr>
        <w:t xml:space="preserve">28.1</w:t>
      </w:r>
      <w:r>
        <w:rPr>
          <w:rFonts w:hint="eastAsia" w:ascii="宋体" w:hAnsi="宋体" w:cs="宋体"/>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28.2采购人从评审报告提出的成交候选供应商中，按照排序由高到低的原则确定成交供应商。采购人确定成交供应商后，代理机构将在“扬州市政府采购网”、”江苏省政府采购网”、“中国政府采购网”发布成交结果公告，公告期限为1个工作日。</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28.3若有充分证据证明，成交供应商出现下列情况之一的，一经查实，将被取消成交资格：</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28.3.1提供虚假材料谋取成交的。</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28.3.2与评审专家、采购人、其他供应商或者代理机构工作人员恶意串通的。</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28.3.3向评审专家、采购人或代理机构工作人员行贿或者提供其他不正当利益的。</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28.3.4恶意竞争，最后报价明显低于其自身合理成本且又无法提供证明的。</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28.3.5不满足本磋商文件规定的实质性要求，但在评审过程中又未被磋商小组发现的。</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28.3.6成交后无正当理由拒不与采购人签订政府采购合同或者未按照磋商文件确定的事项签订政府采购合同的。</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28.3.7将政府采购合同转包的。</w:t>
      </w:r>
      <w:r>
        <w:rPr>
          <w:rFonts w:hint="eastAsia" w:ascii="宋体" w:hAnsi="宋体" w:cs="宋体"/>
          <w:bCs/>
          <w:szCs w:val="21"/>
          <w:highlight w:val="none"/>
        </w:rPr>
      </w:r>
      <w:r/>
    </w:p>
    <w:p>
      <w:pPr>
        <w:pStyle w:val="940"/>
        <w:ind w:firstLine="420"/>
        <w:keepLines/>
        <w:keepNext/>
        <w:spacing w:line="420" w:lineRule="exact"/>
        <w:rPr>
          <w:rFonts w:hint="eastAsia" w:ascii="宋体" w:hAnsi="宋体" w:cs="宋体"/>
          <w:bCs/>
          <w:szCs w:val="21"/>
          <w:highlight w:val="none"/>
        </w:rPr>
        <w:outlineLvl w:val="3"/>
      </w:pPr>
      <w:r/>
      <w:bookmarkStart w:id="158" w:name="_Toc200451960"/>
      <w:r>
        <w:rPr>
          <w:rFonts w:hint="eastAsia" w:ascii="宋体" w:hAnsi="宋体" w:cs="宋体"/>
          <w:bCs/>
          <w:szCs w:val="21"/>
          <w:highlight w:val="none"/>
        </w:rPr>
        <w:t xml:space="preserve">29、质疑处理</w:t>
      </w:r>
      <w:bookmarkEnd w:id="158"/>
      <w:r>
        <w:rPr>
          <w:rFonts w:hint="eastAsia" w:ascii="宋体" w:hAnsi="宋体" w:cs="宋体"/>
          <w:bCs/>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29.2.1</w:t>
      </w:r>
      <w:r>
        <w:rPr>
          <w:rFonts w:hint="eastAsia" w:ascii="宋体" w:hAnsi="宋体" w:cs="宋体"/>
          <w:szCs w:val="21"/>
          <w:highlight w:val="none"/>
        </w:rPr>
        <w:t xml:space="preserve">对可以质疑的采购文件提出质疑的，为收到采购文件之日或者采购文件公告期限届满之日。</w:t>
      </w:r>
      <w:r>
        <w:rPr>
          <w:rFonts w:hint="eastAsia" w:ascii="宋体" w:hAnsi="宋体" w:cs="宋体"/>
          <w:szCs w:val="21"/>
          <w:highlight w:val="none"/>
        </w:rPr>
        <w:br w:type="textWrapping" w:clear="all"/>
      </w:r>
      <w:r>
        <w:rPr>
          <w:rFonts w:hint="eastAsia" w:ascii="宋体" w:hAnsi="宋体" w:cs="宋体"/>
          <w:szCs w:val="21"/>
          <w:highlight w:val="none"/>
        </w:rPr>
        <w:t xml:space="preserve">　　</w:t>
      </w:r>
      <w:r>
        <w:rPr>
          <w:rFonts w:hint="eastAsia" w:ascii="宋体" w:hAnsi="宋体" w:cs="宋体"/>
          <w:szCs w:val="21"/>
          <w:highlight w:val="none"/>
        </w:rPr>
        <w:t xml:space="preserve">29.2.2</w:t>
      </w:r>
      <w:r>
        <w:rPr>
          <w:rFonts w:hint="eastAsia" w:ascii="宋体" w:hAnsi="宋体" w:cs="宋体"/>
          <w:szCs w:val="21"/>
          <w:highlight w:val="none"/>
        </w:rPr>
        <w:t xml:space="preserve">对采购过程提出质疑的，为各采购程序环节结束之日。</w:t>
      </w:r>
      <w:r>
        <w:rPr>
          <w:rFonts w:hint="eastAsia" w:ascii="宋体" w:hAnsi="宋体" w:cs="宋体"/>
          <w:szCs w:val="21"/>
          <w:highlight w:val="none"/>
        </w:rPr>
        <w:br w:type="textWrapping" w:clear="all"/>
      </w:r>
      <w:r>
        <w:rPr>
          <w:rFonts w:hint="eastAsia" w:ascii="宋体" w:hAnsi="宋体" w:cs="宋体"/>
          <w:szCs w:val="21"/>
          <w:highlight w:val="none"/>
        </w:rPr>
        <w:t xml:space="preserve">　　</w:t>
      </w:r>
      <w:r>
        <w:rPr>
          <w:rFonts w:hint="eastAsia" w:ascii="宋体" w:hAnsi="宋体" w:cs="宋体"/>
          <w:szCs w:val="21"/>
          <w:highlight w:val="none"/>
        </w:rPr>
        <w:t xml:space="preserve">29.2.3</w:t>
      </w:r>
      <w:r>
        <w:rPr>
          <w:rFonts w:hint="eastAsia" w:ascii="宋体" w:hAnsi="宋体" w:cs="宋体"/>
          <w:szCs w:val="21"/>
          <w:highlight w:val="none"/>
        </w:rPr>
        <w:t xml:space="preserve">对成交结果提出质疑的，为成交结果公告期限届满之日。</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s="宋体"/>
          <w:szCs w:val="21"/>
          <w:highlight w:val="none"/>
        </w:rPr>
      </w:r>
      <w:r/>
    </w:p>
    <w:p>
      <w:pPr>
        <w:pStyle w:val="940"/>
        <w:ind w:firstLine="420"/>
        <w:spacing w:line="420" w:lineRule="exact"/>
        <w:rPr>
          <w:rFonts w:hint="eastAsia" w:ascii="宋体" w:hAnsi="宋体" w:cs="宋体"/>
          <w:b/>
          <w:szCs w:val="21"/>
          <w:highlight w:val="none"/>
        </w:rPr>
      </w:pPr>
      <w:r>
        <w:rPr>
          <w:rFonts w:hint="eastAsia" w:ascii="宋体" w:hAnsi="宋体" w:cs="宋体"/>
          <w:szCs w:val="21"/>
          <w:highlight w:val="none"/>
        </w:rPr>
        <w:t xml:space="preserve">29.4 供应商（含潜在供应商）对与本项目有关的所有询问、质疑均请向采购人提出，由采购人负责答复。</w:t>
      </w:r>
      <w:r>
        <w:rPr>
          <w:rFonts w:hint="eastAsia" w:ascii="宋体" w:hAnsi="宋体" w:cs="宋体"/>
          <w:b/>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采购人及代理机构只接收以纸质原件形式送达的质疑,建议供应商尽量通过邮寄方式提交质疑（采购人和代理机构不接受未填写快递运单的快件）。</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采购人质疑接收人及联系方式见本磋商文件第一章。</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29.5 以下情形的质疑不予受理</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29.5.1 内容不符合《政府采购质疑和投诉办法》第十二条规定的质疑。</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29.5.2 超出政府采购法定期限的质疑。</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29.5.3 以传真、电子邮件等方式递交的非原件形式的质疑。</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29.5.4未参加磋商活动的供应商或在磋商活动中自身权益未受到损害的供应商所提出的质疑。</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29.5.5供应商组成联合体参加磋商，联合体中任何一方或多方未按要求签字、盖章、加盖公章的质疑。</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bCs/>
          <w:szCs w:val="21"/>
          <w:highlight w:val="none"/>
        </w:rPr>
        <w:outlineLvl w:val="3"/>
      </w:pPr>
      <w:r>
        <w:rPr>
          <w:rFonts w:hint="eastAsia" w:ascii="宋体" w:hAnsi="宋体" w:cs="宋体"/>
          <w:bCs/>
          <w:szCs w:val="21"/>
          <w:highlight w:val="none"/>
        </w:rPr>
        <w:t xml:space="preserve">30、成交通知书</w:t>
      </w:r>
      <w:r>
        <w:rPr>
          <w:rFonts w:hint="eastAsia" w:ascii="宋体" w:hAnsi="宋体" w:cs="宋体"/>
          <w:bCs/>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Cs w:val="21"/>
          <w:highlight w:val="none"/>
        </w:rPr>
      </w:r>
      <w:r/>
    </w:p>
    <w:p>
      <w:pPr>
        <w:pStyle w:val="940"/>
        <w:ind w:firstLine="422"/>
        <w:keepLines/>
        <w:keepNext/>
        <w:spacing w:before="145" w:after="145" w:line="420" w:lineRule="exact"/>
        <w:rPr>
          <w:rFonts w:hint="eastAsia" w:ascii="宋体" w:hAnsi="宋体" w:cs="宋体"/>
          <w:b/>
          <w:bCs/>
          <w:szCs w:val="21"/>
          <w:highlight w:val="none"/>
        </w:rPr>
        <w:outlineLvl w:val="2"/>
      </w:pPr>
      <w:r/>
      <w:bookmarkStart w:id="159" w:name="_Toc120614220"/>
      <w:r/>
      <w:bookmarkStart w:id="160" w:name="_Toc20823308"/>
      <w:r/>
      <w:bookmarkStart w:id="161" w:name="_Toc16938552"/>
      <w:r/>
      <w:bookmarkStart w:id="162" w:name="_Toc513029236"/>
      <w:r>
        <w:rPr>
          <w:rFonts w:hint="eastAsia" w:ascii="宋体" w:hAnsi="宋体" w:cs="宋体"/>
          <w:b/>
          <w:bCs/>
          <w:szCs w:val="21"/>
          <w:highlight w:val="none"/>
        </w:rPr>
        <w:t xml:space="preserve">七、授予合同</w:t>
      </w:r>
      <w:bookmarkEnd w:id="159"/>
      <w:r>
        <w:rPr>
          <w:rFonts w:hint="eastAsia" w:ascii="宋体" w:hAnsi="宋体" w:cs="宋体"/>
          <w:b/>
          <w:bCs/>
          <w:szCs w:val="21"/>
          <w:highlight w:val="none"/>
        </w:rPr>
      </w:r>
      <w:r/>
    </w:p>
    <w:p>
      <w:pPr>
        <w:pStyle w:val="940"/>
        <w:ind w:firstLine="420"/>
        <w:keepLines/>
        <w:keepNext/>
        <w:spacing w:line="420" w:lineRule="exact"/>
        <w:rPr>
          <w:rFonts w:hint="eastAsia" w:ascii="宋体" w:hAnsi="宋体" w:cs="宋体"/>
          <w:bCs/>
          <w:szCs w:val="21"/>
          <w:highlight w:val="none"/>
        </w:rPr>
        <w:outlineLvl w:val="3"/>
      </w:pPr>
      <w:r/>
      <w:bookmarkEnd w:id="160"/>
      <w:r/>
      <w:bookmarkEnd w:id="161"/>
      <w:r/>
      <w:bookmarkEnd w:id="162"/>
      <w:r/>
      <w:bookmarkStart w:id="163" w:name="_Toc513029237"/>
      <w:r/>
      <w:bookmarkStart w:id="164" w:name="_Toc20823309"/>
      <w:r/>
      <w:bookmarkStart w:id="165" w:name="_Toc16938553"/>
      <w:r>
        <w:rPr>
          <w:rFonts w:hint="eastAsia" w:ascii="宋体" w:hAnsi="宋体" w:cs="宋体"/>
          <w:bCs/>
          <w:szCs w:val="21"/>
          <w:highlight w:val="none"/>
        </w:rPr>
        <w:t xml:space="preserve">31. 签订合同</w:t>
      </w:r>
      <w:r>
        <w:rPr>
          <w:rFonts w:hint="eastAsia" w:ascii="宋体" w:hAnsi="宋体" w:cs="宋体"/>
          <w:bCs/>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bCs/>
          <w:szCs w:val="21"/>
          <w:highlight w:val="none"/>
        </w:rPr>
        <w:t xml:space="preserve">31</w:t>
      </w:r>
      <w:r>
        <w:rPr>
          <w:rFonts w:hint="eastAsia" w:ascii="宋体" w:hAnsi="宋体" w:cs="宋体"/>
          <w:szCs w:val="21"/>
          <w:highlight w:val="none"/>
        </w:rPr>
        <w:t xml:space="preserve">.l成交供应商应当在成交通知书发出之日起三十日内，按照磋商文件确定的事项与采购人签订政府采购合同。成交供应商不得更改采购人确定的合同条款和内容，本磋商文件后附的“合同文本”条款，采购人有权根据需要作出变更和修改。若成交供应商未能按上述规定签约，视为放弃，采购人有权取消该成交决定，由此给采购人造成损失的，成交供应商还应承担赔偿责任。在此情况下，采购人将按国家有关规定另选成交供应商。对未能成交的供应商，采购人无任何义务和责任对其未能成交的原因作出说明和解释，供应商不得提出任何异议。</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31.2磋商文件、成交供应商的响应文件及磋商过程中有关澄清、承诺文件均应作为合同附件。</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31.3 签订合同后，</w:t>
      </w:r>
      <w:r>
        <w:rPr>
          <w:rFonts w:hint="eastAsia" w:ascii="宋体" w:hAnsi="宋体" w:cs="宋体"/>
          <w:i/>
          <w:szCs w:val="21"/>
          <w:highlight w:val="none"/>
          <w:u w:val="single"/>
        </w:rPr>
        <w:t xml:space="preserve">成交供应商不得将合同标的进行转包</w:t>
      </w:r>
      <w:r>
        <w:rPr>
          <w:rFonts w:hint="eastAsia" w:ascii="宋体" w:hAnsi="宋体" w:cs="宋体"/>
          <w:szCs w:val="21"/>
          <w:highlight w:val="none"/>
        </w:rPr>
        <w:t xml:space="preserve">。未经采购人书面同意，成交供应商也不得采用分包形式履行合同,否则采购人有权终止合同。转包或分包造成采购人损失的，成交供应商应承担相应赔偿责任。</w:t>
      </w:r>
      <w:r>
        <w:rPr>
          <w:rFonts w:hint="eastAsia" w:ascii="宋体" w:hAnsi="宋体" w:cs="宋体"/>
          <w:szCs w:val="21"/>
          <w:highlight w:val="none"/>
        </w:rPr>
      </w:r>
      <w:r/>
    </w:p>
    <w:p>
      <w:pPr>
        <w:pStyle w:val="940"/>
        <w:ind w:firstLine="420"/>
        <w:keepLines/>
        <w:keepNext/>
        <w:spacing w:line="420" w:lineRule="exact"/>
        <w:rPr>
          <w:rFonts w:hint="eastAsia" w:ascii="宋体" w:hAnsi="宋体" w:cs="宋体"/>
          <w:bCs/>
          <w:szCs w:val="21"/>
          <w:highlight w:val="none"/>
        </w:rPr>
        <w:outlineLvl w:val="3"/>
      </w:pPr>
      <w:r/>
      <w:bookmarkEnd w:id="163"/>
      <w:r/>
      <w:bookmarkEnd w:id="164"/>
      <w:r/>
      <w:bookmarkEnd w:id="165"/>
      <w:r/>
      <w:bookmarkStart w:id="166" w:name="_Toc479757207"/>
      <w:r/>
      <w:bookmarkStart w:id="167" w:name="_Toc16938558"/>
      <w:r/>
      <w:bookmarkStart w:id="168" w:name="_Toc20823314"/>
      <w:r/>
      <w:bookmarkStart w:id="169" w:name="_Toc120614221"/>
      <w:r/>
      <w:bookmarkStart w:id="170" w:name="_Toc513029242"/>
      <w:r>
        <w:rPr>
          <w:rFonts w:hint="eastAsia" w:ascii="宋体" w:hAnsi="宋体" w:cs="宋体"/>
          <w:bCs/>
          <w:szCs w:val="21"/>
          <w:highlight w:val="none"/>
        </w:rPr>
        <w:t xml:space="preserve">32、政府采购履约资金扶持政策</w:t>
      </w:r>
      <w:r>
        <w:rPr>
          <w:rFonts w:hint="eastAsia" w:ascii="宋体" w:hAnsi="宋体" w:cs="宋体"/>
          <w:bCs/>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t xml:space="preserve">成交供应商可凭政府采购合同办理融资贷款，详情请见江苏政府采购网“政采贷”专栏。</w:t>
      </w:r>
      <w:r>
        <w:rPr>
          <w:rFonts w:hint="eastAsia" w:ascii="宋体" w:hAnsi="宋体" w:cs="宋体"/>
          <w:bCs/>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r>
      <w:r/>
    </w:p>
    <w:p>
      <w:pPr>
        <w:pStyle w:val="940"/>
        <w:spacing w:line="500" w:lineRule="exact"/>
        <w:rPr>
          <w:rFonts w:ascii="宋体" w:hAnsi="宋体"/>
          <w:bCs/>
          <w:sz w:val="24"/>
          <w:szCs w:val="24"/>
          <w:highlight w:val="none"/>
        </w:rPr>
      </w:pPr>
      <w:r>
        <w:rPr>
          <w:rFonts w:ascii="宋体" w:hAnsi="宋体"/>
          <w:bCs/>
          <w:sz w:val="24"/>
          <w:szCs w:val="24"/>
          <w:highlight w:val="none"/>
        </w:rPr>
      </w:r>
      <w:r/>
    </w:p>
    <w:p>
      <w:pPr>
        <w:pStyle w:val="940"/>
        <w:spacing w:line="500" w:lineRule="exact"/>
        <w:rPr>
          <w:rFonts w:ascii="宋体" w:hAnsi="宋体"/>
          <w:bCs/>
          <w:sz w:val="24"/>
          <w:szCs w:val="24"/>
          <w:highlight w:val="none"/>
        </w:rPr>
      </w:pPr>
      <w:r>
        <w:rPr>
          <w:rFonts w:ascii="宋体" w:hAnsi="宋体"/>
          <w:bCs/>
          <w:sz w:val="24"/>
          <w:szCs w:val="24"/>
          <w:highlight w:val="none"/>
        </w:rPr>
      </w:r>
      <w:r/>
    </w:p>
    <w:p>
      <w:pPr>
        <w:pStyle w:val="940"/>
        <w:spacing w:line="500" w:lineRule="exact"/>
        <w:rPr>
          <w:rFonts w:ascii="宋体" w:hAnsi="宋体"/>
          <w:bCs/>
          <w:sz w:val="24"/>
          <w:szCs w:val="24"/>
          <w:highlight w:val="none"/>
        </w:rPr>
      </w:pPr>
      <w:r>
        <w:rPr>
          <w:rFonts w:ascii="宋体" w:hAnsi="宋体"/>
          <w:bCs/>
          <w:sz w:val="24"/>
          <w:szCs w:val="24"/>
          <w:highlight w:val="none"/>
        </w:rPr>
      </w:r>
      <w:r/>
    </w:p>
    <w:p>
      <w:pPr>
        <w:pStyle w:val="940"/>
        <w:spacing w:line="500" w:lineRule="exact"/>
        <w:rPr>
          <w:rFonts w:ascii="宋体" w:hAnsi="宋体"/>
          <w:bCs/>
          <w:sz w:val="24"/>
          <w:szCs w:val="24"/>
          <w:highlight w:val="none"/>
        </w:rPr>
      </w:pPr>
      <w:r>
        <w:rPr>
          <w:rFonts w:ascii="宋体" w:hAnsi="宋体"/>
          <w:bCs/>
          <w:sz w:val="24"/>
          <w:szCs w:val="24"/>
          <w:highlight w:val="none"/>
        </w:rPr>
      </w:r>
      <w:r/>
    </w:p>
    <w:p>
      <w:pPr>
        <w:pStyle w:val="940"/>
        <w:spacing w:line="500" w:lineRule="exact"/>
        <w:rPr>
          <w:rFonts w:ascii="宋体" w:hAnsi="宋体"/>
          <w:bCs/>
          <w:sz w:val="24"/>
          <w:szCs w:val="24"/>
          <w:highlight w:val="none"/>
        </w:rPr>
      </w:pPr>
      <w:r>
        <w:rPr>
          <w:rFonts w:ascii="宋体" w:hAnsi="宋体"/>
          <w:bCs/>
          <w:sz w:val="24"/>
          <w:szCs w:val="24"/>
          <w:highlight w:val="none"/>
        </w:rPr>
      </w:r>
      <w:r/>
    </w:p>
    <w:p>
      <w:pPr>
        <w:pStyle w:val="940"/>
        <w:spacing w:line="500" w:lineRule="exact"/>
        <w:rPr>
          <w:rFonts w:ascii="宋体" w:hAnsi="宋体"/>
          <w:bCs/>
          <w:sz w:val="24"/>
          <w:szCs w:val="24"/>
          <w:highlight w:val="none"/>
        </w:rPr>
      </w:pPr>
      <w:r>
        <w:rPr>
          <w:rFonts w:ascii="宋体" w:hAnsi="宋体"/>
          <w:bCs/>
          <w:sz w:val="24"/>
          <w:szCs w:val="24"/>
          <w:highlight w:val="none"/>
        </w:rPr>
      </w:r>
      <w:r/>
    </w:p>
    <w:p>
      <w:pPr>
        <w:pStyle w:val="940"/>
        <w:ind w:firstLine="2640"/>
        <w:keepNext/>
        <w:rPr>
          <w:rFonts w:hint="eastAsia" w:ascii="黑体" w:eastAsia="黑体"/>
          <w:bCs/>
          <w:sz w:val="44"/>
          <w:szCs w:val="28"/>
          <w:highlight w:val="none"/>
        </w:rPr>
        <w:outlineLvl w:val="0"/>
      </w:pPr>
      <w:r/>
      <w:bookmarkStart w:id="171" w:name="_Toc10761"/>
      <w:r>
        <w:rPr>
          <w:rFonts w:hint="eastAsia" w:ascii="黑体" w:eastAsia="黑体"/>
          <w:bCs/>
          <w:sz w:val="44"/>
          <w:szCs w:val="28"/>
          <w:highlight w:val="none"/>
        </w:rPr>
        <w:t xml:space="preserve">第三章  合同</w:t>
      </w:r>
      <w:bookmarkEnd w:id="166"/>
      <w:r/>
      <w:bookmarkEnd w:id="167"/>
      <w:r/>
      <w:bookmarkEnd w:id="168"/>
      <w:r/>
      <w:bookmarkEnd w:id="169"/>
      <w:r/>
      <w:bookmarkEnd w:id="170"/>
      <w:r>
        <w:rPr>
          <w:rFonts w:hint="eastAsia" w:ascii="黑体" w:eastAsia="黑体"/>
          <w:bCs/>
          <w:sz w:val="44"/>
          <w:szCs w:val="28"/>
          <w:highlight w:val="none"/>
        </w:rPr>
        <w:t xml:space="preserve">文本</w:t>
      </w:r>
      <w:bookmarkEnd w:id="171"/>
      <w:r>
        <w:rPr>
          <w:rFonts w:hint="eastAsia" w:ascii="黑体" w:eastAsia="黑体"/>
          <w:bCs/>
          <w:sz w:val="44"/>
          <w:szCs w:val="28"/>
          <w:highlight w:val="none"/>
        </w:rPr>
      </w:r>
      <w:r/>
    </w:p>
    <w:p>
      <w:pPr>
        <w:pStyle w:val="940"/>
        <w:ind w:firstLine="480"/>
        <w:spacing w:line="420" w:lineRule="exact"/>
        <w:rPr>
          <w:rFonts w:hint="eastAsia" w:ascii="宋体" w:hAnsi="宋体"/>
          <w:bCs/>
          <w:sz w:val="24"/>
          <w:szCs w:val="21"/>
          <w:highlight w:val="none"/>
        </w:rPr>
      </w:pPr>
      <w:r/>
      <w:bookmarkStart w:id="172" w:name="_Toc513029243"/>
      <w:r/>
      <w:bookmarkStart w:id="173" w:name="_Toc16938559"/>
      <w:r/>
      <w:bookmarkStart w:id="174" w:name="_Toc20823315"/>
      <w:r>
        <w:rPr>
          <w:rFonts w:hint="eastAsia" w:ascii="宋体" w:hAnsi="宋体"/>
          <w:bCs/>
          <w:sz w:val="24"/>
          <w:szCs w:val="21"/>
          <w:highlight w:val="none"/>
        </w:rPr>
        <w:t xml:space="preserve">以下为成交后签定本项目合同的通用条款，成交供应商不得提出实质性的修改。</w:t>
      </w:r>
      <w:r>
        <w:rPr>
          <w:rFonts w:hint="eastAsia" w:ascii="宋体" w:hAnsi="宋体"/>
          <w:bCs/>
          <w:sz w:val="24"/>
          <w:szCs w:val="21"/>
          <w:highlight w:val="none"/>
        </w:rPr>
      </w:r>
      <w:r/>
    </w:p>
    <w:p>
      <w:pPr>
        <w:pStyle w:val="940"/>
        <w:ind w:firstLine="422"/>
        <w:jc w:val="center"/>
        <w:spacing w:before="145" w:after="145" w:line="400" w:lineRule="exact"/>
        <w:rPr>
          <w:rFonts w:hint="eastAsia" w:ascii="宋体" w:hAnsi="宋体" w:cs="宋体"/>
          <w:b/>
          <w:szCs w:val="21"/>
          <w:highlight w:val="none"/>
        </w:rPr>
      </w:pPr>
      <w:r>
        <w:rPr>
          <w:rFonts w:hint="eastAsia" w:ascii="宋体" w:hAnsi="宋体" w:cs="宋体"/>
          <w:b/>
          <w:szCs w:val="21"/>
          <w:highlight w:val="none"/>
        </w:rPr>
        <w:t xml:space="preserve">江苏省政府采购合同（服务）</w:t>
      </w:r>
      <w:r>
        <w:rPr>
          <w:rFonts w:hint="eastAsia" w:ascii="宋体" w:hAnsi="宋体" w:cs="宋体"/>
          <w:b/>
          <w:szCs w:val="21"/>
          <w:highlight w:val="none"/>
        </w:rPr>
      </w:r>
      <w:r/>
    </w:p>
    <w:p>
      <w:pPr>
        <w:pStyle w:val="940"/>
        <w:ind w:firstLine="422"/>
        <w:jc w:val="center"/>
        <w:spacing w:before="145" w:after="145" w:line="400" w:lineRule="exact"/>
        <w:rPr>
          <w:rFonts w:hint="eastAsia" w:ascii="宋体" w:hAnsi="宋体" w:cs="宋体"/>
          <w:b/>
          <w:bCs/>
          <w:szCs w:val="21"/>
          <w:highlight w:val="none"/>
        </w:rPr>
      </w:pPr>
      <w:r>
        <w:rPr>
          <w:rFonts w:hint="eastAsia" w:ascii="宋体" w:hAnsi="宋体" w:cs="宋体"/>
          <w:b/>
          <w:szCs w:val="21"/>
          <w:highlight w:val="none"/>
        </w:rPr>
        <w:t xml:space="preserve">（合同编号）</w:t>
      </w:r>
      <w:r>
        <w:rPr>
          <w:rFonts w:hint="eastAsia" w:ascii="宋体" w:hAnsi="宋体" w:cs="宋体"/>
          <w:b/>
          <w:bCs/>
          <w:szCs w:val="21"/>
          <w:highlight w:val="none"/>
        </w:rPr>
      </w:r>
      <w:r/>
    </w:p>
    <w:p>
      <w:pPr>
        <w:pStyle w:val="940"/>
        <w:ind w:firstLine="420"/>
        <w:spacing w:before="120" w:after="120" w:line="40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扬州市国土空间总体规划（2021-2035年）动态维护方案</w:t>
      </w:r>
      <w:r>
        <w:rPr>
          <w:rFonts w:hint="eastAsia" w:ascii="宋体" w:hAnsi="宋体" w:eastAsia="宋体" w:cs="宋体"/>
          <w:szCs w:val="21"/>
          <w:highlight w:val="none"/>
          <w:lang w:eastAsia="zh-CN"/>
        </w:rPr>
      </w:r>
      <w:r/>
    </w:p>
    <w:p>
      <w:pPr>
        <w:pStyle w:val="940"/>
        <w:ind w:firstLine="420"/>
        <w:spacing w:before="120" w:after="120" w:line="400" w:lineRule="exact"/>
        <w:rPr>
          <w:rFonts w:hint="eastAsia" w:ascii="宋体" w:hAnsi="宋体" w:cs="宋体"/>
          <w:szCs w:val="21"/>
          <w:highlight w:val="none"/>
          <w:u w:val="single"/>
        </w:rPr>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JSZC-321000-SSZX-C2026-0005</w:t>
      </w:r>
      <w:r>
        <w:rPr>
          <w:rFonts w:hint="eastAsia" w:ascii="宋体" w:hAnsi="宋体" w:cs="宋体"/>
          <w:szCs w:val="21"/>
          <w:highlight w:val="none"/>
        </w:rPr>
        <w:t xml:space="preserve">号 </w:t>
      </w:r>
      <w:r>
        <w:rPr>
          <w:rFonts w:hint="eastAsia" w:ascii="宋体" w:hAnsi="宋体" w:cs="宋体"/>
          <w:szCs w:val="21"/>
          <w:highlight w:val="none"/>
          <w:u w:val="singl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甲方：（买方）_________</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乙方：（卖方）_________</w:t>
      </w:r>
      <w:r>
        <w:rPr>
          <w:rFonts w:hint="eastAsia" w:ascii="宋体" w:hAnsi="宋体" w:cs="宋体"/>
          <w:szCs w:val="21"/>
          <w:highlight w:val="none"/>
        </w:rPr>
      </w:r>
      <w:r/>
    </w:p>
    <w:p>
      <w:pPr>
        <w:pStyle w:val="940"/>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   </w:t>
      </w:r>
      <w:r>
        <w:rPr>
          <w:rFonts w:hint="eastAsia" w:ascii="宋体" w:hAnsi="宋体" w:cs="宋体"/>
          <w:szCs w:val="21"/>
          <w:highlight w:val="none"/>
        </w:rPr>
        <w:t xml:space="preserve">甲、乙双方根据江苏苏中兴工程造价咨询有限公司</w:t>
      </w:r>
      <w:r>
        <w:rPr>
          <w:rFonts w:hint="eastAsia" w:ascii="宋体" w:hAnsi="宋体" w:cs="宋体"/>
          <w:szCs w:val="21"/>
          <w:highlight w:val="none"/>
          <w:u w:val="single"/>
          <w:lang w:eastAsia="zh-CN"/>
        </w:rPr>
        <w:t xml:space="preserve">扬州市国土空间总体规划（2021-2035年）动态维护方案</w:t>
      </w:r>
      <w:r>
        <w:rPr>
          <w:rFonts w:hint="eastAsia" w:ascii="宋体" w:hAnsi="宋体" w:cs="宋体"/>
          <w:szCs w:val="21"/>
          <w:highlight w:val="none"/>
        </w:rPr>
        <w:t xml:space="preserve">竞争性磋商的结果，签署本合同。</w:t>
      </w:r>
      <w:r>
        <w:rPr>
          <w:rFonts w:hint="eastAsia" w:ascii="宋体" w:hAnsi="宋体" w:cs="宋体"/>
          <w:b/>
          <w:szCs w:val="21"/>
          <w:highlight w:val="none"/>
        </w:rPr>
      </w:r>
      <w:r/>
    </w:p>
    <w:p>
      <w:pPr>
        <w:pStyle w:val="940"/>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一、合同内容</w:t>
      </w:r>
      <w:r>
        <w:rPr>
          <w:rFonts w:hint="eastAsia" w:ascii="宋体" w:hAnsi="宋体" w:cs="宋体"/>
          <w:b/>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1.1 标的名称：</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1.2 标的质量：</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1.3 标的数量（规模）：</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1.4 履行时间（期限）：</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1.5 履行地点：</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1.6 履行方式：</w:t>
      </w:r>
      <w:r>
        <w:rPr>
          <w:rFonts w:hint="eastAsia" w:ascii="宋体" w:hAnsi="宋体" w:cs="宋体"/>
          <w:szCs w:val="21"/>
          <w:highlight w:val="none"/>
        </w:rPr>
      </w:r>
      <w:r/>
    </w:p>
    <w:p>
      <w:pPr>
        <w:pStyle w:val="940"/>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二、合同金额</w:t>
      </w:r>
      <w:r>
        <w:rPr>
          <w:rFonts w:hint="eastAsia" w:ascii="宋体" w:hAnsi="宋体" w:cs="宋体"/>
          <w:b/>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2.1本合同金额为（大写）：____________________________________圆（_______________元）人民币或其他币种。</w:t>
      </w:r>
      <w:r>
        <w:rPr>
          <w:rFonts w:hint="eastAsia" w:ascii="宋体" w:hAnsi="宋体" w:cs="宋体"/>
          <w:szCs w:val="21"/>
          <w:highlight w:val="none"/>
        </w:rPr>
      </w:r>
      <w:r/>
    </w:p>
    <w:p>
      <w:pPr>
        <w:pStyle w:val="940"/>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三、技术资料</w:t>
      </w:r>
      <w:r>
        <w:rPr>
          <w:rFonts w:hint="eastAsia" w:ascii="宋体" w:hAnsi="宋体" w:cs="宋体"/>
          <w:b/>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3.1乙方应按磋商文件规定的时间向甲方提供与合同标的有关的技术资料。</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Cs w:val="21"/>
          <w:highlight w:val="none"/>
        </w:rPr>
      </w:r>
      <w:r/>
    </w:p>
    <w:p>
      <w:pPr>
        <w:pStyle w:val="940"/>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四、知识产权</w:t>
      </w:r>
      <w:r>
        <w:rPr>
          <w:rFonts w:hint="eastAsia" w:ascii="宋体" w:hAnsi="宋体" w:cs="宋体"/>
          <w:b/>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4.2 乙方在提供本合同所约定的服务前，已拥有的知识产权归乙方所有；</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乙方利用甲方提供的技术资料和工作条件，所完成的服务成果的所有权利(包括知识产权)归甲方所有；</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甲方利用乙方前款所述的服务成果，所完成的新的技术成果，归甲方所有。</w:t>
      </w:r>
      <w:r>
        <w:rPr>
          <w:rFonts w:hint="eastAsia" w:ascii="宋体" w:hAnsi="宋体" w:cs="宋体"/>
          <w:szCs w:val="21"/>
          <w:highlight w:val="none"/>
        </w:rPr>
      </w:r>
      <w:r/>
    </w:p>
    <w:p>
      <w:pPr>
        <w:pStyle w:val="940"/>
        <w:ind w:firstLine="422"/>
        <w:spacing w:before="120" w:after="120" w:line="400" w:lineRule="exact"/>
        <w:rPr>
          <w:rFonts w:hint="eastAsia" w:ascii="宋体" w:hAnsi="宋体" w:cs="宋体"/>
          <w:szCs w:val="21"/>
          <w:highlight w:val="none"/>
          <w:u w:val="single"/>
        </w:rPr>
      </w:pPr>
      <w:r>
        <w:rPr>
          <w:rFonts w:hint="eastAsia" w:ascii="宋体" w:hAnsi="宋体" w:cs="宋体"/>
          <w:b/>
          <w:szCs w:val="21"/>
          <w:highlight w:val="none"/>
        </w:rPr>
        <w:t xml:space="preserve">五、产权担保</w:t>
      </w:r>
      <w:r>
        <w:rPr>
          <w:rFonts w:hint="eastAsia" w:ascii="宋体" w:hAnsi="宋体" w:cs="宋体"/>
          <w:szCs w:val="21"/>
          <w:highlight w:val="none"/>
          <w:u w:val="single"/>
        </w:rPr>
      </w:r>
      <w:r/>
    </w:p>
    <w:p>
      <w:pPr>
        <w:pStyle w:val="940"/>
        <w:ind w:firstLine="420"/>
        <w:spacing w:before="120" w:after="120" w:line="400" w:lineRule="exact"/>
        <w:rPr>
          <w:rFonts w:hint="eastAsia" w:ascii="宋体" w:hAnsi="宋体" w:cs="宋体"/>
          <w:szCs w:val="21"/>
          <w:highlight w:val="none"/>
          <w:u w:val="single"/>
        </w:rPr>
      </w:pPr>
      <w:r>
        <w:rPr>
          <w:rFonts w:hint="eastAsia" w:ascii="宋体" w:hAnsi="宋体" w:cs="宋体"/>
          <w:szCs w:val="21"/>
          <w:highlight w:val="none"/>
        </w:rPr>
        <w:t xml:space="preserve">5.1 乙方保证所交付的合同标的的所有权完全属于乙方且无任何抵押、查封等产权瑕疵。</w:t>
      </w:r>
      <w:r>
        <w:rPr>
          <w:rFonts w:hint="eastAsia" w:ascii="宋体" w:hAnsi="宋体" w:cs="宋体"/>
          <w:szCs w:val="21"/>
          <w:highlight w:val="none"/>
          <w:u w:val="single"/>
        </w:rPr>
      </w:r>
      <w:r/>
    </w:p>
    <w:p>
      <w:pPr>
        <w:pStyle w:val="940"/>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六、履约保证金</w:t>
      </w:r>
      <w:r>
        <w:rPr>
          <w:rFonts w:hint="eastAsia" w:ascii="宋体" w:hAnsi="宋体" w:cs="宋体"/>
          <w:b/>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6.1 乙方交纳人民币</w:t>
      </w:r>
      <w:r>
        <w:rPr>
          <w:rFonts w:hint="eastAsia" w:ascii="宋体" w:hAnsi="宋体" w:cs="宋体"/>
          <w:szCs w:val="21"/>
          <w:highlight w:val="none"/>
          <w:u w:val="single"/>
        </w:rPr>
        <w:t xml:space="preserve">零</w:t>
      </w:r>
      <w:r>
        <w:rPr>
          <w:rFonts w:hint="eastAsia" w:ascii="宋体" w:hAnsi="宋体" w:cs="宋体"/>
          <w:szCs w:val="21"/>
          <w:highlight w:val="none"/>
        </w:rPr>
        <w:t xml:space="preserve">元作为本合同的履约保证金。（不得超过合同金额的10%）</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6.2合同履行结束后，甲方应及时退还交纳的履约保证金。</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6.2.1履约保证金退还方式：无</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6.2.2履约保证金退还时间：无</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6.2.3履约保证金退还条件：无</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6.2.4履约保证金不予退还的情形：无</w:t>
      </w:r>
      <w:r>
        <w:rPr>
          <w:rFonts w:hint="eastAsia" w:ascii="宋体" w:hAnsi="宋体" w:cs="宋体"/>
          <w:szCs w:val="21"/>
          <w:highlight w:val="none"/>
        </w:rPr>
      </w:r>
      <w:r/>
    </w:p>
    <w:p>
      <w:pPr>
        <w:pStyle w:val="940"/>
        <w:ind w:firstLine="422"/>
        <w:spacing w:before="145" w:after="145" w:line="400" w:lineRule="exact"/>
        <w:rPr>
          <w:rFonts w:hint="eastAsia" w:ascii="宋体" w:hAnsi="宋体" w:cs="宋体"/>
          <w:b/>
          <w:szCs w:val="21"/>
          <w:highlight w:val="none"/>
        </w:rPr>
      </w:pPr>
      <w:r>
        <w:rPr>
          <w:rFonts w:hint="eastAsia" w:ascii="宋体" w:hAnsi="宋体" w:cs="宋体"/>
          <w:b/>
          <w:szCs w:val="21"/>
          <w:highlight w:val="none"/>
        </w:rPr>
        <w:t xml:space="preserve">七、合同转包或分包</w:t>
      </w:r>
      <w:r>
        <w:rPr>
          <w:rFonts w:hint="eastAsia" w:ascii="宋体" w:hAnsi="宋体" w:cs="宋体"/>
          <w:b/>
          <w:szCs w:val="21"/>
          <w:highlight w:val="none"/>
        </w:rPr>
      </w:r>
      <w:r/>
    </w:p>
    <w:p>
      <w:pPr>
        <w:pStyle w:val="940"/>
        <w:ind w:firstLine="420"/>
        <w:spacing w:before="145" w:after="145" w:line="400" w:lineRule="exact"/>
        <w:rPr>
          <w:rFonts w:hint="eastAsia" w:ascii="宋体" w:hAnsi="宋体" w:cs="宋体"/>
          <w:szCs w:val="21"/>
          <w:highlight w:val="none"/>
        </w:rPr>
      </w:pPr>
      <w:r>
        <w:rPr>
          <w:rFonts w:hint="eastAsia" w:ascii="宋体" w:hAnsi="宋体" w:cs="宋体"/>
          <w:szCs w:val="21"/>
          <w:highlight w:val="none"/>
        </w:rPr>
        <w:t xml:space="preserve">7.1乙方不得将合同标的转包给他人履行。</w:t>
      </w:r>
      <w:r>
        <w:rPr>
          <w:rFonts w:hint="eastAsia" w:ascii="宋体" w:hAnsi="宋体" w:cs="宋体"/>
          <w:szCs w:val="21"/>
          <w:highlight w:val="none"/>
        </w:rPr>
      </w:r>
      <w:r/>
    </w:p>
    <w:p>
      <w:pPr>
        <w:pStyle w:val="940"/>
        <w:ind w:firstLine="420"/>
        <w:spacing w:before="145" w:after="145" w:line="400" w:lineRule="exact"/>
        <w:rPr>
          <w:rFonts w:hint="eastAsia" w:ascii="宋体" w:hAnsi="宋体" w:cs="宋体"/>
          <w:szCs w:val="21"/>
          <w:highlight w:val="none"/>
        </w:rPr>
      </w:pPr>
      <w:r>
        <w:rPr>
          <w:rFonts w:hint="eastAsia" w:ascii="宋体" w:hAnsi="宋体" w:cs="宋体"/>
          <w:szCs w:val="21"/>
          <w:highlight w:val="none"/>
        </w:rPr>
        <w:t xml:space="preserve">7.2乙方不得将合同标的分包给他人履行。</w:t>
      </w:r>
      <w:r>
        <w:rPr>
          <w:rFonts w:hint="eastAsia" w:ascii="宋体" w:hAnsi="宋体" w:cs="宋体"/>
          <w:szCs w:val="21"/>
          <w:highlight w:val="none"/>
        </w:rPr>
      </w:r>
      <w:r/>
    </w:p>
    <w:p>
      <w:pPr>
        <w:pStyle w:val="940"/>
        <w:ind w:firstLine="420"/>
        <w:spacing w:before="145" w:after="145" w:line="400" w:lineRule="exact"/>
        <w:rPr>
          <w:rFonts w:hint="eastAsia" w:ascii="宋体" w:hAnsi="宋体" w:cs="宋体"/>
          <w:szCs w:val="21"/>
          <w:highlight w:val="none"/>
        </w:rPr>
      </w:pPr>
      <w:r>
        <w:rPr>
          <w:rFonts w:hint="eastAsia" w:ascii="宋体" w:hAnsi="宋体" w:cs="宋体"/>
          <w:szCs w:val="21"/>
          <w:highlight w:val="none"/>
        </w:rPr>
        <w:t xml:space="preserve">7.3乙方如有转包或未经甲方同意的分包行为，甲方有权解除合同。</w:t>
      </w:r>
      <w:r>
        <w:rPr>
          <w:rFonts w:hint="eastAsia" w:ascii="宋体" w:hAnsi="宋体" w:cs="宋体"/>
          <w:szCs w:val="21"/>
          <w:highlight w:val="none"/>
        </w:rPr>
      </w:r>
      <w:r/>
    </w:p>
    <w:p>
      <w:pPr>
        <w:pStyle w:val="940"/>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八、合同款项支付</w:t>
      </w:r>
      <w:r>
        <w:rPr>
          <w:rFonts w:hint="eastAsia" w:ascii="宋体" w:hAnsi="宋体" w:cs="宋体"/>
          <w:b/>
          <w:szCs w:val="21"/>
          <w:highlight w:val="none"/>
        </w:rPr>
      </w:r>
      <w:r/>
    </w:p>
    <w:p>
      <w:pPr>
        <w:pStyle w:val="940"/>
        <w:ind w:firstLine="420"/>
        <w:spacing w:before="120" w:after="120" w:line="400" w:lineRule="exact"/>
        <w:rPr>
          <w:rFonts w:hint="eastAsia" w:ascii="宋体" w:hAnsi="宋体" w:cs="宋体"/>
          <w:bCs/>
          <w:szCs w:val="21"/>
          <w:highlight w:val="none"/>
        </w:rPr>
      </w:pPr>
      <w:r>
        <w:rPr>
          <w:rFonts w:hint="eastAsia" w:ascii="宋体" w:hAnsi="宋体" w:cs="宋体"/>
          <w:bCs/>
          <w:szCs w:val="21"/>
          <w:highlight w:val="none"/>
        </w:rPr>
        <w:t xml:space="preserve">8.1 本合同项下所有款项均以人民币支付。 </w:t>
      </w:r>
      <w:r>
        <w:rPr>
          <w:rFonts w:hint="eastAsia" w:ascii="宋体" w:hAnsi="宋体" w:cs="宋体"/>
          <w:bCs/>
          <w:szCs w:val="21"/>
          <w:highlight w:val="none"/>
        </w:rPr>
      </w:r>
      <w:r/>
    </w:p>
    <w:p>
      <w:pPr>
        <w:pStyle w:val="940"/>
        <w:ind w:firstLine="420"/>
        <w:spacing w:before="120" w:after="120" w:line="400" w:lineRule="exact"/>
        <w:rPr>
          <w:rFonts w:hint="eastAsia" w:ascii="宋体" w:hAnsi="宋体" w:cs="宋体"/>
          <w:bCs/>
          <w:szCs w:val="21"/>
          <w:highlight w:val="none"/>
        </w:rPr>
      </w:pPr>
      <w:r>
        <w:rPr>
          <w:rFonts w:hint="eastAsia" w:ascii="宋体" w:hAnsi="宋体" w:cs="宋体"/>
          <w:bCs/>
          <w:szCs w:val="21"/>
          <w:highlight w:val="none"/>
        </w:rPr>
        <w:t xml:space="preserve">8.2本合同项下的采购资金由甲方支付，付款前乙方向甲方开具发票。</w:t>
      </w:r>
      <w:r>
        <w:rPr>
          <w:rFonts w:hint="eastAsia" w:ascii="宋体" w:hAnsi="宋体" w:cs="宋体"/>
          <w:bCs/>
          <w:szCs w:val="21"/>
          <w:highlight w:val="none"/>
        </w:rPr>
      </w:r>
      <w:r/>
    </w:p>
    <w:p>
      <w:pPr>
        <w:pStyle w:val="940"/>
        <w:ind w:firstLine="420"/>
        <w:spacing w:before="120" w:after="120" w:line="400" w:lineRule="exact"/>
        <w:rPr>
          <w:rFonts w:hint="eastAsia" w:ascii="宋体" w:hAnsi="宋体" w:cs="宋体"/>
          <w:bCs/>
          <w:szCs w:val="21"/>
          <w:highlight w:val="none"/>
        </w:rPr>
      </w:pPr>
      <w:r>
        <w:rPr>
          <w:rFonts w:hint="eastAsia" w:ascii="宋体" w:hAnsi="宋体" w:cs="宋体"/>
          <w:bCs/>
          <w:szCs w:val="21"/>
          <w:highlight w:val="none"/>
        </w:rPr>
        <w:t xml:space="preserve">8.3合同款项的支付方式及进度安排</w:t>
      </w:r>
      <w:r>
        <w:rPr>
          <w:rFonts w:hint="eastAsia" w:ascii="宋体" w:hAnsi="宋体" w:cs="宋体"/>
          <w:bCs/>
          <w:szCs w:val="21"/>
          <w:highlight w:val="none"/>
        </w:rPr>
      </w:r>
      <w:r/>
    </w:p>
    <w:p>
      <w:pPr>
        <w:pStyle w:val="940"/>
        <w:ind w:firstLine="420"/>
        <w:spacing w:before="120" w:after="120" w:line="400" w:lineRule="exact"/>
        <w:rPr>
          <w:rFonts w:hint="eastAsia" w:ascii="宋体" w:hAnsi="宋体" w:cs="宋体"/>
          <w:bCs/>
          <w:szCs w:val="21"/>
          <w:highlight w:val="none"/>
        </w:rPr>
      </w:pPr>
      <w:r>
        <w:rPr>
          <w:rFonts w:hint="eastAsia" w:ascii="宋体" w:hAnsi="宋体" w:cs="宋体"/>
          <w:bCs/>
          <w:szCs w:val="21"/>
          <w:highlight w:val="none"/>
        </w:rPr>
        <w:t xml:space="preserve">甲方付款方式：固定总价</w:t>
      </w:r>
      <w:r>
        <w:rPr>
          <w:rFonts w:hint="eastAsia" w:ascii="宋体" w:hAnsi="宋体" w:cs="宋体"/>
          <w:bCs/>
          <w:szCs w:val="21"/>
          <w:highlight w:val="none"/>
        </w:rPr>
      </w:r>
      <w:r/>
    </w:p>
    <w:p>
      <w:pPr>
        <w:pStyle w:val="940"/>
        <w:ind w:firstLine="420"/>
        <w:spacing w:before="145" w:after="145" w:line="400" w:lineRule="exact"/>
        <w:rPr>
          <w:rFonts w:hint="eastAsia" w:ascii="宋体" w:hAnsi="宋体" w:cs="宋体"/>
          <w:bCs/>
          <w:sz w:val="21"/>
          <w:szCs w:val="21"/>
          <w:highlight w:val="none"/>
          <w:lang w:val="en-US" w:eastAsia="zh-CN" w:bidi="ar-SA"/>
        </w:rPr>
      </w:pPr>
      <w:r>
        <w:rPr>
          <w:rFonts w:hint="eastAsia" w:ascii="宋体" w:hAnsi="宋体" w:cs="宋体"/>
          <w:bCs/>
          <w:sz w:val="21"/>
          <w:szCs w:val="21"/>
          <w:highlight w:val="none"/>
          <w:lang w:val="en-US" w:eastAsia="zh-CN" w:bidi="ar-SA"/>
        </w:rPr>
        <w:t xml:space="preserve">合同签订，甲方自收到发票之日起10个工作日内，支付乙方合同总价30%的预付款；乙方提交中期成果并通过专家验收后，甲方自收到发票之日起10个工作日内，支付乙方合同总价的40%；项目通过最终验收并提交全部数据成果后，甲方自收到发票之日起10个工作日内，支付乙方合同总价的30%。</w:t>
      </w:r>
      <w:r>
        <w:rPr>
          <w:rFonts w:hint="eastAsia" w:ascii="宋体" w:hAnsi="宋体" w:cs="宋体"/>
          <w:bCs/>
          <w:sz w:val="21"/>
          <w:szCs w:val="21"/>
          <w:highlight w:val="none"/>
          <w:lang w:val="en-US" w:eastAsia="zh-CN" w:bidi="ar-SA"/>
        </w:rPr>
      </w:r>
      <w:r/>
    </w:p>
    <w:p>
      <w:pPr>
        <w:pStyle w:val="940"/>
        <w:ind w:firstLine="422"/>
        <w:spacing w:before="145" w:after="145" w:line="400" w:lineRule="exact"/>
        <w:rPr>
          <w:rFonts w:hint="eastAsia" w:ascii="宋体" w:hAnsi="宋体" w:cs="宋体"/>
          <w:b/>
          <w:szCs w:val="21"/>
          <w:highlight w:val="none"/>
        </w:rPr>
      </w:pPr>
      <w:r>
        <w:rPr>
          <w:rFonts w:hint="eastAsia" w:ascii="宋体" w:hAnsi="宋体" w:cs="宋体"/>
          <w:b/>
          <w:szCs w:val="21"/>
          <w:highlight w:val="none"/>
        </w:rPr>
        <w:t xml:space="preserve">九、税费</w:t>
      </w:r>
      <w:r>
        <w:rPr>
          <w:rFonts w:hint="eastAsia" w:ascii="宋体" w:hAnsi="宋体" w:cs="宋体"/>
          <w:b/>
          <w:szCs w:val="21"/>
          <w:highlight w:val="none"/>
        </w:rPr>
      </w:r>
      <w:r/>
    </w:p>
    <w:p>
      <w:pPr>
        <w:pStyle w:val="940"/>
        <w:ind w:firstLine="420"/>
        <w:spacing w:before="145" w:after="145" w:line="400" w:lineRule="exact"/>
        <w:rPr>
          <w:rFonts w:hint="eastAsia" w:ascii="宋体" w:hAnsi="宋体" w:cs="宋体"/>
          <w:szCs w:val="21"/>
          <w:highlight w:val="none"/>
        </w:rPr>
      </w:pPr>
      <w:r>
        <w:rPr>
          <w:rFonts w:hint="eastAsia" w:ascii="宋体" w:hAnsi="宋体" w:cs="宋体"/>
          <w:szCs w:val="21"/>
          <w:highlight w:val="none"/>
        </w:rPr>
        <w:t xml:space="preserve">9.1本合同执行中相关的一切税费均由乙方负担。</w:t>
      </w:r>
      <w:r>
        <w:rPr>
          <w:rFonts w:hint="eastAsia" w:ascii="宋体" w:hAnsi="宋体" w:cs="宋体"/>
          <w:szCs w:val="21"/>
          <w:highlight w:val="none"/>
        </w:rPr>
      </w:r>
      <w:r/>
    </w:p>
    <w:p>
      <w:pPr>
        <w:pStyle w:val="940"/>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十、项目验收</w:t>
      </w:r>
      <w:r>
        <w:rPr>
          <w:rFonts w:hint="eastAsia" w:ascii="宋体" w:hAnsi="宋体" w:cs="宋体"/>
          <w:b/>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10.1 甲方依法组织履约验收工作。</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10.3 对于实际使用人和甲方分离的项目，甲方邀请实际使用人参与验收。</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10.4 如有必要，甲方邀请参加本项目的其他供应商或第三方专业机构及专家参与验收，相关意见将作为验收书的参考资料。</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宋体"/>
          <w:szCs w:val="21"/>
          <w:highlight w:val="none"/>
        </w:rPr>
      </w:r>
      <w:r/>
    </w:p>
    <w:p>
      <w:pPr>
        <w:pStyle w:val="940"/>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十一、违约责任</w:t>
      </w:r>
      <w:r>
        <w:rPr>
          <w:rFonts w:hint="eastAsia" w:ascii="宋体" w:hAnsi="宋体" w:cs="宋体"/>
          <w:b/>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11.1甲方无正当理由拒绝接受乙方提供的合同标的的，甲方向乙方偿付拒绝接受合同价款总值</w:t>
      </w:r>
      <w:r>
        <w:rPr>
          <w:rFonts w:hint="eastAsia" w:ascii="宋体" w:hAnsi="宋体" w:cs="宋体"/>
          <w:szCs w:val="21"/>
          <w:highlight w:val="none"/>
          <w:u w:val="single"/>
        </w:rPr>
        <w:t xml:space="preserve">5%</w:t>
      </w:r>
      <w:r>
        <w:rPr>
          <w:rFonts w:hint="eastAsia" w:ascii="宋体" w:hAnsi="宋体" w:cs="宋体"/>
          <w:szCs w:val="21"/>
          <w:highlight w:val="none"/>
        </w:rPr>
        <w:t xml:space="preserve">的违约金。</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11.2甲方无故逾期验收和办理合同款项支付手续的,甲方应按逾期付款总额</w:t>
      </w:r>
      <w:r>
        <w:rPr>
          <w:rFonts w:hint="eastAsia" w:ascii="宋体" w:hAnsi="宋体" w:cs="宋体"/>
          <w:szCs w:val="21"/>
          <w:highlight w:val="none"/>
          <w:u w:val="single"/>
        </w:rPr>
        <w:t xml:space="preserve">万分之二</w:t>
      </w:r>
      <w:r>
        <w:rPr>
          <w:rFonts w:hint="eastAsia" w:ascii="宋体" w:hAnsi="宋体" w:cs="宋体"/>
          <w:szCs w:val="21"/>
          <w:highlight w:val="none"/>
        </w:rPr>
        <w:t xml:space="preserve">每日向乙方支付违约金。</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11.3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szCs w:val="21"/>
          <w:highlight w:val="none"/>
          <w:u w:val="single"/>
        </w:rPr>
        <w:t xml:space="preserve">30%</w:t>
      </w:r>
      <w:r>
        <w:rPr>
          <w:rFonts w:hint="eastAsia" w:ascii="宋体" w:hAnsi="宋体" w:cs="宋体"/>
          <w:szCs w:val="21"/>
          <w:highlight w:val="none"/>
        </w:rPr>
        <w:t xml:space="preserve">的违约金，如造成甲方损失超过违约金的，超出部分由乙方继续承担赔偿责任。 </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11.4 乙方所提供服务的标准不符合合同规定及采购文件规定标准的，甲方有权选择拒绝接受服务，并可单方面解除合同，乙方应当向甲方退还依据合同收取的相关款项，甲方亦有权责令乙方在合理期限内进行整改到位，继续履行相关合同义务。在上述情况下，甲方均有权同时要求乙方承担合同价款总值</w:t>
      </w:r>
      <w:r>
        <w:rPr>
          <w:rFonts w:hint="eastAsia" w:ascii="宋体" w:hAnsi="宋体" w:cs="宋体"/>
          <w:szCs w:val="21"/>
          <w:highlight w:val="none"/>
          <w:u w:val="single"/>
        </w:rPr>
        <w:t xml:space="preserve">30%</w:t>
      </w:r>
      <w:r>
        <w:rPr>
          <w:rFonts w:hint="eastAsia" w:ascii="宋体" w:hAnsi="宋体" w:cs="宋体"/>
          <w:szCs w:val="21"/>
          <w:highlight w:val="none"/>
        </w:rPr>
        <w:t xml:space="preserve">的违约金。</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11.5 根据乙方违约情况，甲方保留向政府采购主管部门申请给予行政处罚的权利。</w:t>
      </w:r>
      <w:r>
        <w:rPr>
          <w:rFonts w:hint="eastAsia" w:ascii="宋体" w:hAnsi="宋体" w:cs="宋体"/>
          <w:szCs w:val="21"/>
          <w:highlight w:val="none"/>
        </w:rPr>
      </w:r>
      <w:r/>
    </w:p>
    <w:p>
      <w:pPr>
        <w:pStyle w:val="940"/>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十二、不可抗力事件处理</w:t>
      </w:r>
      <w:r>
        <w:rPr>
          <w:rFonts w:hint="eastAsia" w:ascii="宋体" w:hAnsi="宋体" w:cs="宋体"/>
          <w:b/>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12.1 在合同有效期内，任何一方因不可抗力事件导致不能履行合同，则合同履行期可延长，其延长期与不可抗力影响 期相同。</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12.2 不可抗力事件发生后，应立即通知对方，并寄送有关权威机构出具的证明。</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12.3 不可抗力事件延续120天以上，双方应通过友好协商，确定是否继续履行合同。</w:t>
      </w:r>
      <w:r>
        <w:rPr>
          <w:rFonts w:hint="eastAsia" w:ascii="宋体" w:hAnsi="宋体" w:cs="宋体"/>
          <w:szCs w:val="21"/>
          <w:highlight w:val="none"/>
        </w:rPr>
      </w:r>
      <w:r/>
    </w:p>
    <w:p>
      <w:pPr>
        <w:pStyle w:val="940"/>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十三、解决争议的方法</w:t>
      </w:r>
      <w:r>
        <w:rPr>
          <w:rFonts w:hint="eastAsia" w:ascii="宋体" w:hAnsi="宋体" w:cs="宋体"/>
          <w:b/>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13.1双方在签订、履行合同中所发生的一切争议，应通过友好协商解决。如协商不成，由甲方住所地人民法院管辖。</w:t>
      </w:r>
      <w:r>
        <w:rPr>
          <w:rFonts w:hint="eastAsia" w:ascii="宋体" w:hAnsi="宋体" w:cs="宋体"/>
          <w:szCs w:val="21"/>
          <w:highlight w:val="none"/>
        </w:rPr>
      </w:r>
      <w:r/>
    </w:p>
    <w:p>
      <w:pPr>
        <w:pStyle w:val="940"/>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十四、合同生效及其它</w:t>
      </w:r>
      <w:r>
        <w:rPr>
          <w:rFonts w:hint="eastAsia" w:ascii="宋体" w:hAnsi="宋体" w:cs="宋体"/>
          <w:b/>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14.1 合同经双方法定代表人或授权委托代表人签字并加盖单位公章，并经江苏苏中兴工程造价咨询有限公司见证盖章后生效。</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14.2本合同未尽事宜，遵照《中华人民共和国民法典》、《中华人民共和国政府采购法》有关条文执行。</w:t>
      </w:r>
      <w:r>
        <w:rPr>
          <w:rFonts w:hint="eastAsia" w:ascii="宋体" w:hAnsi="宋体" w:cs="宋体"/>
          <w:szCs w:val="21"/>
          <w:highlight w:val="none"/>
        </w:rPr>
      </w:r>
      <w:r/>
    </w:p>
    <w:p>
      <w:pPr>
        <w:pStyle w:val="940"/>
        <w:ind w:firstLine="420"/>
        <w:jc w:val="left"/>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14.3 本合同正本一式六份，具有同等法律效力，甲方三份，乙方、见证方及财政监管部门各执一份。</w:t>
      </w:r>
      <w:r>
        <w:rPr>
          <w:rFonts w:hint="eastAsia" w:ascii="宋体" w:hAnsi="宋体" w:cs="宋体"/>
          <w:szCs w:val="21"/>
          <w:highlight w:val="none"/>
        </w:rPr>
      </w:r>
      <w:r/>
    </w:p>
    <w:p>
      <w:pPr>
        <w:pStyle w:val="940"/>
        <w:ind w:firstLine="420"/>
        <w:jc w:val="left"/>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甲方：                        乙方： </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地址：                        地址： </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法定代表人或授权代表：        法定代表人或授权代表：</w:t>
      </w:r>
      <w:r>
        <w:rPr>
          <w:rFonts w:hint="eastAsia" w:ascii="宋体" w:hAnsi="宋体" w:cs="宋体"/>
          <w:szCs w:val="21"/>
          <w:highlight w:val="none"/>
        </w:rPr>
      </w:r>
      <w:r/>
    </w:p>
    <w:p>
      <w:pPr>
        <w:pStyle w:val="940"/>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联系电话：                    联系电话：  </w:t>
      </w:r>
      <w:r>
        <w:rPr>
          <w:rFonts w:hint="eastAsia" w:ascii="宋体" w:hAnsi="宋体" w:cs="宋体"/>
          <w:szCs w:val="21"/>
          <w:highlight w:val="none"/>
        </w:rPr>
      </w:r>
      <w:r/>
    </w:p>
    <w:p>
      <w:pPr>
        <w:pStyle w:val="979"/>
        <w:ind w:firstLine="420"/>
        <w:spacing w:before="120" w:after="120" w:line="400" w:lineRule="exact"/>
        <w:rPr>
          <w:rFonts w:hint="eastAsia" w:hAnsi="宋体" w:cs="宋体"/>
          <w:sz w:val="21"/>
          <w:highlight w:val="none"/>
        </w:rPr>
      </w:pPr>
      <w:r>
        <w:rPr>
          <w:rFonts w:hint="eastAsia" w:hAnsi="宋体" w:cs="宋体"/>
          <w:sz w:val="21"/>
          <w:highlight w:val="none"/>
        </w:rPr>
        <w:t xml:space="preserve">见证方：江苏苏中兴工程造价咨询有限公司</w:t>
      </w:r>
      <w:r>
        <w:rPr>
          <w:rFonts w:hint="eastAsia" w:hAnsi="宋体" w:cs="宋体"/>
          <w:sz w:val="21"/>
          <w:highlight w:val="none"/>
        </w:rPr>
      </w:r>
      <w:r/>
    </w:p>
    <w:p>
      <w:pPr>
        <w:pStyle w:val="979"/>
        <w:ind w:firstLine="420"/>
        <w:spacing w:before="120" w:after="120" w:line="400" w:lineRule="exact"/>
        <w:rPr>
          <w:rFonts w:hint="eastAsia" w:hAnsi="宋体" w:cs="宋体"/>
          <w:sz w:val="21"/>
          <w:highlight w:val="none"/>
        </w:rPr>
      </w:pPr>
      <w:r>
        <w:rPr>
          <w:rFonts w:hint="eastAsia" w:hAnsi="宋体" w:cs="宋体"/>
          <w:sz w:val="21"/>
          <w:highlight w:val="none"/>
        </w:rPr>
        <w:t xml:space="preserve">项目经办人：</w:t>
      </w:r>
      <w:r>
        <w:rPr>
          <w:rFonts w:hint="eastAsia" w:hAnsi="宋体" w:cs="宋体"/>
          <w:sz w:val="21"/>
          <w:highlight w:val="none"/>
        </w:rPr>
      </w:r>
      <w:r/>
    </w:p>
    <w:p>
      <w:pPr>
        <w:pStyle w:val="979"/>
        <w:ind w:firstLine="400"/>
        <w:spacing w:before="120" w:after="120" w:line="400" w:lineRule="exact"/>
        <w:rPr>
          <w:rFonts w:hint="eastAsia" w:hAnsi="宋体" w:cs="宋体"/>
          <w:bCs/>
          <w:highlight w:val="none"/>
        </w:rPr>
      </w:pPr>
      <w:r>
        <w:rPr>
          <w:rFonts w:hint="eastAsia" w:hAnsi="宋体" w:cs="宋体"/>
          <w:highlight w:val="none"/>
        </w:rPr>
        <w:t xml:space="preserve">签订日期：      年    月   日</w:t>
      </w:r>
      <w:r>
        <w:rPr>
          <w:rFonts w:hint="eastAsia" w:hAnsi="宋体" w:cs="宋体"/>
          <w:bCs/>
          <w:highlight w:val="none"/>
        </w:rPr>
      </w:r>
      <w:r/>
    </w:p>
    <w:p>
      <w:pPr>
        <w:pStyle w:val="940"/>
        <w:ind w:firstLine="420"/>
        <w:jc w:val="center"/>
        <w:spacing w:before="120" w:after="120" w:line="420" w:lineRule="exact"/>
        <w:rPr>
          <w:rFonts w:hint="eastAsia" w:ascii="黑体" w:hAnsi="Courier New" w:eastAsia="黑体" w:cs="Courier New"/>
          <w:bCs/>
          <w:sz w:val="44"/>
          <w:szCs w:val="21"/>
          <w:highlight w:val="none"/>
        </w:rPr>
        <w:outlineLvl w:val="0"/>
      </w:pPr>
      <w:r>
        <w:rPr>
          <w:rFonts w:hint="eastAsia" w:ascii="宋体" w:hAnsi="宋体" w:cs="宋体"/>
          <w:bCs/>
          <w:szCs w:val="21"/>
          <w:highlight w:val="none"/>
        </w:rPr>
        <w:br w:type="page" w:clear="all"/>
      </w:r>
      <w:bookmarkEnd w:id="172"/>
      <w:r/>
      <w:bookmarkEnd w:id="173"/>
      <w:r/>
      <w:bookmarkEnd w:id="174"/>
      <w:r/>
      <w:bookmarkStart w:id="175" w:name="_Hlt16619350"/>
      <w:r/>
      <w:bookmarkStart w:id="176" w:name="_Toc4259"/>
      <w:r/>
      <w:bookmarkStart w:id="177" w:name="_Toc16938590"/>
      <w:r/>
      <w:bookmarkStart w:id="178" w:name="_Toc20823346"/>
      <w:r/>
      <w:bookmarkStart w:id="179" w:name="_Toc120614244"/>
      <w:r/>
      <w:bookmarkStart w:id="180" w:name="_Toc462564139"/>
      <w:r/>
      <w:bookmarkStart w:id="181" w:name="_Toc479757211"/>
      <w:r>
        <w:rPr>
          <w:rFonts w:hint="eastAsia" w:ascii="黑体" w:hAnsi="Courier New" w:eastAsia="黑体" w:cs="Courier New"/>
          <w:bCs/>
          <w:sz w:val="44"/>
          <w:szCs w:val="21"/>
          <w:highlight w:val="none"/>
        </w:rPr>
        <w:t xml:space="preserve">第</w:t>
      </w:r>
      <w:bookmarkEnd w:id="175"/>
      <w:r>
        <w:rPr>
          <w:rFonts w:hint="eastAsia" w:ascii="黑体" w:hAnsi="Courier New" w:eastAsia="黑体" w:cs="Courier New"/>
          <w:bCs/>
          <w:sz w:val="44"/>
          <w:szCs w:val="21"/>
          <w:highlight w:val="none"/>
        </w:rPr>
        <w:t xml:space="preserve">四章 采购需求</w:t>
      </w:r>
      <w:bookmarkEnd w:id="176"/>
      <w:r/>
      <w:bookmarkEnd w:id="177"/>
      <w:r/>
      <w:bookmarkEnd w:id="178"/>
      <w:r/>
      <w:bookmarkEnd w:id="179"/>
      <w:r/>
      <w:bookmarkStart w:id="182" w:name="_Toc49090575"/>
      <w:r/>
      <w:bookmarkStart w:id="183" w:name="_Toc26554093"/>
      <w:r>
        <w:rPr>
          <w:rFonts w:hint="eastAsia" w:ascii="黑体" w:hAnsi="Courier New" w:eastAsia="黑体" w:cs="Courier New"/>
          <w:bCs/>
          <w:sz w:val="44"/>
          <w:szCs w:val="21"/>
          <w:highlight w:val="none"/>
        </w:rPr>
      </w:r>
      <w:r/>
    </w:p>
    <w:p>
      <w:pPr>
        <w:pStyle w:val="940"/>
        <w:ind w:firstLine="420"/>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项目属性：服务类项目</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其他要求</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1.严格执行政府采购关于支持</w:t>
      </w:r>
      <w:r>
        <w:rPr>
          <w:rFonts w:hint="eastAsia" w:ascii="宋体" w:hAnsi="宋体" w:cs="宋体"/>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供应商对于投标产品的包装应按照“财办库〔2020〕123号《关于印发《商品包装政府采购需求标准（试行）》、《快递包装政府采购需求标准（试行）》的通知》”执行。</w:t>
      </w:r>
      <w:r>
        <w:rPr>
          <w:rFonts w:hint="eastAsia" w:ascii="宋体" w:hAnsi="宋体" w:cs="宋体"/>
          <w:szCs w:val="21"/>
          <w:highlight w:val="none"/>
        </w:rPr>
      </w:r>
      <w:r/>
    </w:p>
    <w:p>
      <w:pPr>
        <w:pStyle w:val="940"/>
        <w:ind w:firstLine="420"/>
        <w:spacing w:line="420" w:lineRule="exact"/>
        <w:rPr>
          <w:rFonts w:hint="eastAsia" w:ascii="宋体" w:hAnsi="宋体" w:cs="宋体"/>
          <w:bCs/>
          <w:szCs w:val="21"/>
          <w:highlight w:val="none"/>
        </w:rPr>
      </w:pPr>
      <w:r>
        <w:rPr>
          <w:rFonts w:hint="eastAsia" w:ascii="宋体" w:hAnsi="宋体" w:cs="宋体"/>
          <w:bCs/>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tabs>
          <w:tab w:val="left" w:pos="3200" w:leader="none"/>
        </w:tabs>
        <w:rPr>
          <w:rFonts w:hint="eastAsia" w:ascii="宋体" w:hAnsi="宋体" w:cs="宋体"/>
          <w:szCs w:val="21"/>
          <w:highlight w:val="none"/>
        </w:rPr>
      </w:pPr>
      <w:r>
        <w:rPr>
          <w:rFonts w:hint="eastAsia" w:ascii="宋体" w:hAnsi="宋体" w:cs="宋体"/>
          <w:szCs w:val="21"/>
          <w:highlight w:val="none"/>
        </w:rPr>
        <w:tab/>
      </w: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highlight w:val="none"/>
        </w:rPr>
      </w:pPr>
      <w:r>
        <w:rPr>
          <w:rFonts w:hint="eastAsia"/>
          <w:highlight w:val="none"/>
        </w:rPr>
      </w:r>
      <w:r>
        <w:rPr>
          <w:rFonts w:hint="eastAsia"/>
          <w:highlight w:val="none"/>
        </w:rPr>
      </w:r>
      <w:r/>
    </w:p>
    <w:p>
      <w:pPr>
        <w:pStyle w:val="940"/>
        <w:rPr>
          <w:rFonts w:hint="eastAsia"/>
          <w:highlight w:val="none"/>
        </w:rPr>
      </w:pPr>
      <w:r>
        <w:rPr>
          <w:rFonts w:hint="eastAsia"/>
          <w:highlight w:val="none"/>
        </w:rPr>
      </w:r>
      <w:r/>
    </w:p>
    <w:p>
      <w:pPr>
        <w:pStyle w:val="940"/>
        <w:rPr>
          <w:rFonts w:hint="eastAsia"/>
          <w:highlight w:val="none"/>
        </w:rPr>
      </w:pPr>
      <w:r>
        <w:rPr>
          <w:rFonts w:hint="eastAsia"/>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940"/>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pStyle w:val="1037"/>
        <w:ind w:left="0" w:firstLine="0"/>
        <w:jc w:val="left"/>
        <w:rPr>
          <w:rFonts w:hint="eastAsia" w:ascii="宋体" w:hAnsi="宋体" w:eastAsia="宋体" w:cs="宋体"/>
          <w:b/>
          <w:bCs/>
          <w:sz w:val="24"/>
          <w:szCs w:val="24"/>
          <w:highlight w:val="none"/>
        </w:rPr>
      </w:pPr>
      <w:r/>
      <w:bookmarkStart w:id="184" w:name="_Toc32518"/>
      <w:r/>
      <w:bookmarkStart w:id="185" w:name="_Toc120614281"/>
      <w:r>
        <w:rPr>
          <w:rFonts w:hint="eastAsia" w:ascii="宋体" w:hAnsi="宋体" w:eastAsia="宋体" w:cs="宋体"/>
          <w:b/>
          <w:bCs/>
          <w:sz w:val="24"/>
          <w:szCs w:val="24"/>
          <w:highlight w:val="none"/>
        </w:rPr>
        <w:t xml:space="preserve">一、项目背景</w:t>
      </w:r>
      <w:r>
        <w:rPr>
          <w:rFonts w:hint="eastAsia" w:ascii="宋体" w:hAnsi="宋体" w:eastAsia="宋体" w:cs="宋体"/>
          <w:b/>
          <w:bCs/>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为贯彻落实党的二十届四中全会、中央和省委</w:t>
      </w:r>
      <w:r>
        <w:rPr>
          <w:rFonts w:hint="eastAsia" w:ascii="宋体" w:hAnsi="宋体" w:eastAsia="宋体" w:cs="宋体"/>
          <w:sz w:val="24"/>
          <w:szCs w:val="24"/>
          <w:highlight w:val="none"/>
        </w:rPr>
        <w:t xml:space="preserve">城市工作会议、省委十四届十次全会精神，按照自然资源部、省自然资源厅关于国土空间总体规划动态维护的工作要求，依据《江苏省自然资源厅关于进一步加强市县国土空间总体规划实施监督管理的通知》（苏自然资发〔2025〕161号）及《2026年度市县国土空间总体规划动态维护方案编制指南（征求意见稿）》等文件要求，开展《扬州市国土空间总体规划（2021-2035 年）》动态维护。结合地方发展实际，衔接“十五五”重大任务和空间需求，重点对三条控制线、规划分区、重点项目清单等开展动态维护，优化国土空间格局，推动城市高质量发展。</w:t>
      </w:r>
      <w:r>
        <w:rPr>
          <w:rFonts w:hint="eastAsia" w:ascii="宋体" w:hAnsi="宋体" w:eastAsia="宋体" w:cs="宋体"/>
          <w:sz w:val="24"/>
          <w:szCs w:val="24"/>
          <w:highlight w:val="none"/>
        </w:rPr>
      </w:r>
      <w:r/>
    </w:p>
    <w:p>
      <w:pPr>
        <w:pStyle w:val="940"/>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二、规划范围</w:t>
      </w:r>
      <w:r>
        <w:rPr>
          <w:rFonts w:hint="eastAsia" w:ascii="宋体" w:hAnsi="宋体" w:eastAsia="宋体" w:cs="宋体"/>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本次规划范围为扬州市辖区范围，包括广陵区、邗江区、江都区，总面积2305.07平方公里。</w:t>
      </w:r>
      <w:r>
        <w:rPr>
          <w:rFonts w:hint="eastAsia" w:ascii="宋体" w:hAnsi="宋体" w:eastAsia="宋体" w:cs="宋体"/>
          <w:sz w:val="24"/>
          <w:szCs w:val="24"/>
          <w:highlight w:val="none"/>
        </w:rPr>
      </w:r>
      <w:r/>
    </w:p>
    <w:p>
      <w:pPr>
        <w:pStyle w:val="1037"/>
        <w:ind w:left="0" w:firstLine="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三、主要任务</w:t>
      </w:r>
      <w:r>
        <w:rPr>
          <w:rFonts w:hint="eastAsia" w:ascii="宋体" w:hAnsi="宋体" w:eastAsia="宋体" w:cs="宋体"/>
          <w:b/>
          <w:bCs/>
          <w:sz w:val="24"/>
          <w:szCs w:val="24"/>
          <w:highlight w:val="none"/>
        </w:rPr>
      </w:r>
      <w:r/>
    </w:p>
    <w:p>
      <w:pPr>
        <w:pStyle w:val="1037"/>
        <w:ind w:left="0" w:firstLine="482"/>
        <w:jc w:val="left"/>
        <w:spacing w:line="360" w:lineRule="auto"/>
        <w:rPr>
          <w:rFonts w:hint="eastAsia" w:ascii="宋体" w:hAnsi="宋体" w:eastAsia="宋体" w:cs="宋体"/>
          <w:b/>
          <w:bCs/>
          <w:sz w:val="24"/>
          <w:szCs w:val="24"/>
          <w:highlight w:val="none"/>
        </w:rPr>
      </w:pPr>
      <w:r/>
      <w:bookmarkStart w:id="186" w:name="OLE_LINK3"/>
      <w:r>
        <w:rPr>
          <w:rFonts w:hint="eastAsia" w:ascii="宋体" w:hAnsi="宋体" w:eastAsia="宋体" w:cs="宋体"/>
          <w:b/>
          <w:bCs/>
          <w:sz w:val="24"/>
          <w:szCs w:val="24"/>
          <w:highlight w:val="none"/>
        </w:rPr>
        <w:t xml:space="preserve">1.空间管控边界维护</w:t>
      </w:r>
      <w:r>
        <w:rPr>
          <w:rFonts w:hint="eastAsia" w:ascii="宋体" w:hAnsi="宋体" w:eastAsia="宋体" w:cs="宋体"/>
          <w:b/>
          <w:bCs/>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体检评估结论，结合地方发展需求、“十五五”重大项目布局，在不突破约束性指标、不改变城镇空间结构和总体格局的前提下，对城镇开发边界、永久基本农田、生态保护红线进行正向优化，确保农业、生态、城镇空间布局更优化，空间品质有提高。综合考虑地方实际各部门需求，衔接与大运河核心监控区、文物保护单位“两线”等要求，在符合相关管控要求的情况下，对历史文化保护线、洪涝风险控制线、文物“两线”等其他空间管控边界进行正向优化，统筹纳入规划“一张图”。</w:t>
      </w:r>
      <w:r>
        <w:rPr>
          <w:rFonts w:hint="eastAsia" w:ascii="宋体" w:hAnsi="宋体" w:eastAsia="宋体" w:cs="宋体"/>
          <w:sz w:val="24"/>
          <w:szCs w:val="24"/>
          <w:highlight w:val="none"/>
        </w:rPr>
      </w:r>
      <w:r/>
    </w:p>
    <w:p>
      <w:pPr>
        <w:pStyle w:val="1037"/>
        <w:ind w:left="0"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2.重点建设项目清单维护</w:t>
      </w:r>
      <w:r>
        <w:rPr>
          <w:rFonts w:hint="eastAsia" w:ascii="宋体" w:hAnsi="宋体" w:eastAsia="宋体" w:cs="宋体"/>
          <w:b/>
          <w:bCs/>
          <w:sz w:val="24"/>
          <w:szCs w:val="24"/>
          <w:highlight w:val="none"/>
        </w:rPr>
      </w:r>
      <w:r/>
    </w:p>
    <w:p>
      <w:pPr>
        <w:pStyle w:val="1037"/>
        <w:ind w:left="0"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全面对接发改、交通、水利等部门，深入了解“十五五”发展需求，将重大项目清单纳入重点建设项目清单，明确重点建设项目清单的增补及修改情况，并在规划“一张图”上协调空间矛盾冲突，协同推进“十五五”重大项目落图落地。</w:t>
      </w:r>
      <w:r>
        <w:rPr>
          <w:rFonts w:hint="eastAsia" w:ascii="宋体" w:hAnsi="宋体" w:eastAsia="宋体" w:cs="宋体"/>
          <w:b/>
          <w:bCs/>
          <w:sz w:val="24"/>
          <w:szCs w:val="24"/>
          <w:highlight w:val="none"/>
        </w:rPr>
      </w:r>
      <w:r/>
    </w:p>
    <w:p>
      <w:pPr>
        <w:pStyle w:val="1037"/>
        <w:ind w:left="0"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3.规划分区优化</w:t>
      </w:r>
      <w:r>
        <w:rPr>
          <w:rFonts w:hint="eastAsia" w:ascii="宋体" w:hAnsi="宋体" w:eastAsia="宋体" w:cs="宋体"/>
          <w:b/>
          <w:bCs/>
          <w:sz w:val="24"/>
          <w:szCs w:val="24"/>
          <w:highlight w:val="none"/>
        </w:rPr>
      </w:r>
      <w:r/>
    </w:p>
    <w:p>
      <w:pPr>
        <w:pStyle w:val="1037"/>
        <w:ind w:left="0"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根据体检评估结论和实施需要，结合三条控制线优化及相关专项规划，合理优化规划分区，确保规划分区集中连片、布局合理、主导功能清晰、相对稳定。充分衔接近期发展需求，优化中心城区规划分区，促进协同发展。</w:t>
      </w:r>
      <w:r>
        <w:rPr>
          <w:rFonts w:hint="eastAsia" w:ascii="宋体" w:hAnsi="宋体" w:eastAsia="宋体" w:cs="宋体"/>
          <w:b/>
          <w:bCs/>
          <w:sz w:val="24"/>
          <w:szCs w:val="24"/>
          <w:highlight w:val="none"/>
        </w:rPr>
      </w:r>
      <w:r/>
    </w:p>
    <w:p>
      <w:pPr>
        <w:pStyle w:val="1037"/>
        <w:ind w:left="0"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4.中心城区功能布局完善</w:t>
      </w:r>
      <w:r>
        <w:rPr>
          <w:rFonts w:hint="eastAsia" w:ascii="宋体" w:hAnsi="宋体" w:eastAsia="宋体" w:cs="宋体"/>
          <w:b/>
          <w:bCs/>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保持中心城区布局总体稳定的前提下，结合体检评估结论、三条控制线、规划分区方案以及近期发展需要，统筹相关“十五五”专项规划和社区生活圈建设、人口结构变化和社会经济发展，针对主要矛盾及问题，因地制宜、系统统筹，对中心城区用地规划布局进行优化，补齐公共服务短板，保障产业发展空间，推动土地节约集约利用水平提高，促进中心城区高质量发展。</w:t>
      </w:r>
      <w:r>
        <w:rPr>
          <w:rFonts w:hint="eastAsia" w:ascii="宋体" w:hAnsi="宋体" w:eastAsia="宋体" w:cs="宋体"/>
          <w:sz w:val="24"/>
          <w:szCs w:val="24"/>
          <w:highlight w:val="none"/>
        </w:rPr>
      </w:r>
      <w:r/>
    </w:p>
    <w:p>
      <w:pPr>
        <w:pStyle w:val="1037"/>
        <w:ind w:left="0"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5.城市重要控制线优化</w:t>
      </w:r>
      <w:r>
        <w:rPr>
          <w:rFonts w:hint="eastAsia" w:ascii="宋体" w:hAnsi="宋体" w:eastAsia="宋体" w:cs="宋体"/>
          <w:b/>
          <w:bCs/>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结合体检评估结论，衔接相关专项规划和实施管理，对城市绿线、蓝线、黄线等城市重要控制线进行动态维护，明确具体用地布局、面积等内容，促进城市功能完善、结构优化、服务水平提升。</w:t>
      </w:r>
      <w:r>
        <w:rPr>
          <w:rFonts w:hint="eastAsia" w:ascii="宋体" w:hAnsi="宋体" w:eastAsia="宋体" w:cs="宋体"/>
          <w:sz w:val="24"/>
          <w:szCs w:val="24"/>
          <w:highlight w:val="none"/>
        </w:rPr>
      </w:r>
      <w:r/>
    </w:p>
    <w:p>
      <w:pPr>
        <w:pStyle w:val="1037"/>
        <w:ind w:left="0"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6.其他动态维护</w:t>
      </w:r>
      <w:r>
        <w:rPr>
          <w:rFonts w:hint="eastAsia" w:ascii="宋体" w:hAnsi="宋体" w:eastAsia="宋体" w:cs="宋体"/>
          <w:b/>
          <w:bCs/>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根据体检评估结论和“十五五”经济社会发展需求，对乡镇主体功能等其他确需进行动态维护的内容进行更新完善。</w:t>
      </w:r>
      <w:r>
        <w:rPr>
          <w:rFonts w:hint="eastAsia" w:ascii="宋体" w:hAnsi="宋体" w:eastAsia="宋体" w:cs="宋体"/>
          <w:sz w:val="24"/>
          <w:szCs w:val="24"/>
          <w:highlight w:val="none"/>
        </w:rPr>
      </w:r>
      <w:r/>
    </w:p>
    <w:p>
      <w:pPr>
        <w:pStyle w:val="1037"/>
        <w:ind w:left="0" w:firstLine="0"/>
        <w:jc w:val="left"/>
        <w:rPr>
          <w:rFonts w:hint="eastAsia" w:ascii="宋体" w:hAnsi="宋体" w:eastAsia="宋体" w:cs="宋体"/>
          <w:b/>
          <w:bCs/>
          <w:sz w:val="24"/>
          <w:szCs w:val="24"/>
          <w:highlight w:val="none"/>
        </w:rPr>
      </w:pPr>
      <w:r/>
      <w:bookmarkEnd w:id="186"/>
      <w:r>
        <w:rPr>
          <w:rFonts w:hint="eastAsia" w:ascii="宋体" w:hAnsi="宋体" w:eastAsia="宋体" w:cs="宋体"/>
          <w:b/>
          <w:bCs/>
          <w:sz w:val="24"/>
          <w:szCs w:val="24"/>
          <w:highlight w:val="none"/>
        </w:rPr>
        <w:t xml:space="preserve">四、规划成果要求</w:t>
      </w:r>
      <w:r>
        <w:rPr>
          <w:rFonts w:hint="eastAsia" w:ascii="宋体" w:hAnsi="宋体" w:eastAsia="宋体" w:cs="宋体"/>
          <w:b/>
          <w:bCs/>
          <w:sz w:val="24"/>
          <w:szCs w:val="24"/>
          <w:highlight w:val="none"/>
        </w:rPr>
      </w:r>
      <w:r/>
    </w:p>
    <w:p>
      <w:pPr>
        <w:pStyle w:val="1037"/>
        <w:ind w:left="0"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1．成果构成</w:t>
      </w:r>
      <w:r>
        <w:rPr>
          <w:rFonts w:hint="eastAsia" w:ascii="宋体" w:hAnsi="宋体" w:eastAsia="宋体" w:cs="宋体"/>
          <w:b/>
          <w:bCs/>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规划成果包含3项内容：一个方案、一张表、一个数据库。</w:t>
      </w:r>
      <w:r>
        <w:rPr>
          <w:rFonts w:hint="eastAsia" w:ascii="宋体" w:hAnsi="宋体" w:eastAsia="宋体" w:cs="宋体"/>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“一个方案”即规划动态调整完善方案，主要包括规划体检评估结论、规划动态维护主要内容、动态维护方案可行性分析、实施保障措施以及动态维护前后的对比图纸。</w:t>
      </w:r>
      <w:r>
        <w:rPr>
          <w:rFonts w:hint="eastAsia" w:ascii="宋体" w:hAnsi="宋体" w:eastAsia="宋体" w:cs="宋体"/>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“一张表”即规划动态调整方案对照表，主要包括各类空间布局调入调出情况、正向优化指标对比情况、总体规划文本维护对照情况等。</w:t>
      </w:r>
      <w:r>
        <w:rPr>
          <w:rFonts w:hint="eastAsia" w:ascii="宋体" w:hAnsi="宋体" w:eastAsia="宋体" w:cs="宋体"/>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“一个数据库”即规划动态调整完善数据库，按照数据汇交有关要求，通过“一张图”系统实现汇交及审查。</w:t>
      </w:r>
      <w:r>
        <w:rPr>
          <w:rFonts w:hint="eastAsia" w:ascii="宋体" w:hAnsi="宋体" w:eastAsia="宋体" w:cs="宋体"/>
          <w:sz w:val="24"/>
          <w:szCs w:val="24"/>
          <w:highlight w:val="none"/>
        </w:rPr>
      </w:r>
      <w:r/>
    </w:p>
    <w:p>
      <w:pPr>
        <w:pStyle w:val="1037"/>
        <w:ind w:left="0"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2．成果提交形式</w:t>
      </w:r>
      <w:r>
        <w:rPr>
          <w:rFonts w:hint="eastAsia" w:ascii="宋体" w:hAnsi="宋体" w:eastAsia="宋体" w:cs="宋体"/>
          <w:b/>
          <w:bCs/>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最终提交成果包含纸质文档和电子文件。</w:t>
      </w:r>
      <w:r>
        <w:rPr>
          <w:rFonts w:hint="eastAsia" w:ascii="宋体" w:hAnsi="宋体" w:eastAsia="宋体" w:cs="宋体"/>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纸质文档应包括动态调整完善方案文本、图纸及附表。</w:t>
      </w:r>
      <w:r>
        <w:rPr>
          <w:rFonts w:hint="eastAsia" w:ascii="宋体" w:hAnsi="宋体" w:eastAsia="宋体" w:cs="宋体"/>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电子文件应包括所有成果的电子文件。（文本为WORD或PDF格式，图纸为JPG格式，汇报文件为PPT格式；数据库为GIS格式）</w:t>
      </w:r>
      <w:r>
        <w:rPr>
          <w:rFonts w:hint="eastAsia" w:ascii="宋体" w:hAnsi="宋体" w:eastAsia="宋体" w:cs="宋体"/>
          <w:sz w:val="24"/>
          <w:szCs w:val="24"/>
          <w:highlight w:val="none"/>
        </w:rPr>
      </w:r>
      <w:r/>
    </w:p>
    <w:p>
      <w:pPr>
        <w:pStyle w:val="1037"/>
        <w:ind w:left="0" w:firstLine="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五、时间要求</w:t>
      </w:r>
      <w:r>
        <w:rPr>
          <w:rFonts w:hint="eastAsia" w:ascii="宋体" w:hAnsi="宋体" w:eastAsia="宋体" w:cs="宋体"/>
          <w:b/>
          <w:bCs/>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本项目规划编制时间约为90个日历日，具体进度节点要求为：</w:t>
      </w:r>
      <w:r>
        <w:rPr>
          <w:rFonts w:hint="eastAsia" w:ascii="宋体" w:hAnsi="宋体" w:eastAsia="宋体" w:cs="宋体"/>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1、合同签订后，在40个日历日内完成项目初稿；</w:t>
      </w:r>
      <w:r>
        <w:rPr>
          <w:rFonts w:hint="eastAsia" w:ascii="宋体" w:hAnsi="宋体" w:eastAsia="宋体" w:cs="宋体"/>
          <w:sz w:val="24"/>
          <w:szCs w:val="24"/>
          <w:highlight w:val="none"/>
        </w:rPr>
      </w:r>
      <w:r/>
    </w:p>
    <w:p>
      <w:pPr>
        <w:pStyle w:val="1037"/>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2、初稿汇报后25个日历日内完成中期成果；</w:t>
      </w:r>
      <w:r>
        <w:rPr>
          <w:rFonts w:hint="eastAsia" w:ascii="宋体" w:hAnsi="宋体" w:eastAsia="宋体" w:cs="宋体"/>
          <w:sz w:val="24"/>
          <w:szCs w:val="24"/>
          <w:highlight w:val="none"/>
        </w:rPr>
      </w:r>
      <w:r/>
    </w:p>
    <w:p>
      <w:pPr>
        <w:pStyle w:val="1037"/>
        <w:ind w:left="0" w:firstLine="480"/>
        <w:jc w:val="left"/>
        <w:spacing w:line="360" w:lineRule="auto"/>
        <w:rPr>
          <w:rFonts w:hint="eastAsia" w:ascii="宋体" w:hAnsi="宋体" w:eastAsia="宋体" w:cs="宋体"/>
          <w:color w:val="ee0000"/>
          <w:sz w:val="24"/>
          <w:szCs w:val="24"/>
          <w:highlight w:val="none"/>
        </w:rPr>
      </w:pPr>
      <w:r>
        <w:rPr>
          <w:rFonts w:hint="eastAsia" w:ascii="宋体" w:hAnsi="宋体" w:eastAsia="宋体" w:cs="宋体"/>
          <w:sz w:val="24"/>
          <w:szCs w:val="24"/>
          <w:highlight w:val="none"/>
        </w:rPr>
        <w:t xml:space="preserve">3、中期成果后25个日历日内完成最终成果。</w:t>
      </w:r>
      <w:r>
        <w:rPr>
          <w:rFonts w:hint="eastAsia" w:ascii="宋体" w:hAnsi="宋体" w:eastAsia="宋体" w:cs="宋体"/>
          <w:color w:val="ee0000"/>
          <w:sz w:val="24"/>
          <w:szCs w:val="24"/>
          <w:highlight w:val="none"/>
        </w:rPr>
      </w:r>
      <w:r/>
    </w:p>
    <w:p>
      <w:pPr>
        <w:pStyle w:val="940"/>
        <w:spacing w:line="420" w:lineRule="exact"/>
        <w:rPr>
          <w:rFonts w:hint="eastAsia" w:ascii="宋体" w:hAnsi="宋体" w:cs="宋体"/>
          <w:szCs w:val="21"/>
          <w:highlight w:val="none"/>
        </w:rPr>
      </w:pPr>
      <w:r>
        <w:rPr>
          <w:rFonts w:hint="eastAsia" w:ascii="宋体" w:hAnsi="宋体" w:cs="宋体"/>
          <w:szCs w:val="21"/>
          <w:highlight w:val="none"/>
        </w:rPr>
      </w:r>
      <w:r/>
    </w:p>
    <w:p>
      <w:pPr>
        <w:pStyle w:val="940"/>
        <w:jc w:val="center"/>
        <w:keepNext/>
        <w:rPr>
          <w:rFonts w:hint="eastAsia" w:ascii="黑体" w:eastAsia="黑体"/>
          <w:bCs/>
          <w:sz w:val="44"/>
          <w:szCs w:val="28"/>
          <w:highlight w:val="none"/>
        </w:rPr>
        <w:outlineLvl w:val="0"/>
      </w:pPr>
      <w:r>
        <w:rPr>
          <w:rFonts w:hint="eastAsia" w:ascii="黑体" w:eastAsia="黑体"/>
          <w:bCs/>
          <w:sz w:val="44"/>
          <w:szCs w:val="28"/>
          <w:highlight w:val="none"/>
        </w:rPr>
        <w:t xml:space="preserve">第五章  </w:t>
      </w:r>
      <w:r>
        <w:rPr>
          <w:rFonts w:hint="eastAsia" w:ascii="黑体" w:eastAsia="黑体"/>
          <w:b/>
          <w:bCs/>
          <w:sz w:val="44"/>
          <w:szCs w:val="28"/>
          <w:highlight w:val="none"/>
        </w:rPr>
        <w:t xml:space="preserve">评审方法与评审标准</w:t>
      </w:r>
      <w:bookmarkEnd w:id="184"/>
      <w:r>
        <w:rPr>
          <w:rFonts w:hint="eastAsia" w:ascii="黑体" w:eastAsia="黑体"/>
          <w:bCs/>
          <w:sz w:val="44"/>
          <w:szCs w:val="28"/>
          <w:highlight w:val="none"/>
        </w:rPr>
      </w:r>
      <w:r/>
    </w:p>
    <w:p>
      <w:pPr>
        <w:pStyle w:val="940"/>
        <w:rPr>
          <w:rFonts w:hint="eastAsia"/>
          <w:szCs w:val="21"/>
          <w:highlight w:val="none"/>
        </w:rPr>
      </w:pPr>
      <w:r>
        <w:rPr>
          <w:rFonts w:hint="eastAsia"/>
          <w:szCs w:val="21"/>
          <w:highlight w:val="none"/>
        </w:rPr>
      </w:r>
      <w:r/>
    </w:p>
    <w:p>
      <w:pPr>
        <w:pStyle w:val="1032"/>
        <w:rPr>
          <w:b/>
          <w:bCs/>
          <w:highlight w:val="none"/>
        </w:rPr>
      </w:pPr>
      <w:r>
        <w:rPr>
          <w:rFonts w:hint="eastAsia"/>
          <w:b/>
          <w:bCs/>
          <w:highlight w:val="none"/>
        </w:rPr>
        <w:t xml:space="preserve">一、评审方法</w:t>
      </w:r>
      <w:r>
        <w:rPr>
          <w:b/>
          <w:bCs/>
          <w:highlight w:val="none"/>
        </w:rPr>
      </w:r>
      <w:r/>
    </w:p>
    <w:p>
      <w:pPr>
        <w:pStyle w:val="940"/>
        <w:ind w:firstLine="420"/>
        <w:spacing w:line="360" w:lineRule="auto"/>
        <w:rPr>
          <w:rFonts w:ascii="宋体" w:hAnsi="宋体"/>
          <w:szCs w:val="21"/>
          <w:highlight w:val="none"/>
        </w:rPr>
      </w:pPr>
      <w:r>
        <w:rPr>
          <w:rFonts w:hint="eastAsia" w:ascii="宋体" w:hAnsi="宋体"/>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ascii="宋体" w:hAnsi="宋体"/>
          <w:szCs w:val="21"/>
          <w:highlight w:val="none"/>
        </w:rPr>
      </w:r>
      <w:r/>
    </w:p>
    <w:p>
      <w:pPr>
        <w:pStyle w:val="940"/>
        <w:ind w:firstLine="422"/>
        <w:jc w:val="left"/>
        <w:spacing w:before="120" w:after="120" w:line="420" w:lineRule="exact"/>
        <w:rPr>
          <w:rFonts w:hint="eastAsia" w:ascii="宋体" w:hAnsi="宋体" w:cs="宋体"/>
          <w:b/>
          <w:szCs w:val="21"/>
          <w:highlight w:val="none"/>
        </w:rPr>
      </w:pPr>
      <w:r>
        <w:rPr>
          <w:rFonts w:hint="eastAsia" w:ascii="宋体" w:hAnsi="宋体" w:cs="宋体"/>
          <w:b/>
          <w:szCs w:val="21"/>
          <w:highlight w:val="none"/>
        </w:rPr>
        <w:t xml:space="preserve">二、政府采购政策功能落实：</w:t>
      </w:r>
      <w:r>
        <w:rPr>
          <w:rFonts w:hint="eastAsia" w:ascii="宋体" w:hAnsi="宋体" w:cs="宋体"/>
          <w:b/>
          <w:szCs w:val="21"/>
          <w:highlight w:val="none"/>
        </w:rPr>
      </w:r>
      <w:r/>
    </w:p>
    <w:p>
      <w:pPr>
        <w:pStyle w:val="940"/>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1、小微型企业价格扣除</w:t>
      </w:r>
      <w:r>
        <w:rPr>
          <w:rFonts w:hint="eastAsia" w:ascii="宋体" w:hAnsi="宋体" w:cs="宋体"/>
          <w:szCs w:val="21"/>
          <w:highlight w:val="none"/>
        </w:rPr>
      </w:r>
      <w:r/>
    </w:p>
    <w:p>
      <w:pPr>
        <w:pStyle w:val="940"/>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（1）对小型和微型企业产品给予</w:t>
      </w:r>
      <w:r>
        <w:rPr>
          <w:rFonts w:hint="eastAsia" w:ascii="宋体" w:hAnsi="宋体" w:cs="宋体"/>
          <w:szCs w:val="21"/>
          <w:highlight w:val="none"/>
          <w:u w:val="single"/>
        </w:rPr>
        <w:t xml:space="preserve">20%</w:t>
      </w:r>
      <w:r>
        <w:rPr>
          <w:rFonts w:hint="eastAsia" w:ascii="宋体" w:hAnsi="宋体" w:cs="宋体"/>
          <w:szCs w:val="21"/>
          <w:highlight w:val="none"/>
        </w:rPr>
        <w:t xml:space="preserve">的扣除价格，用扣除后的价格参与评审。</w:t>
      </w:r>
      <w:r>
        <w:rPr>
          <w:rFonts w:hint="eastAsia" w:ascii="宋体" w:hAnsi="宋体" w:cs="宋体"/>
          <w:szCs w:val="21"/>
          <w:highlight w:val="none"/>
        </w:rPr>
      </w:r>
      <w:r/>
    </w:p>
    <w:p>
      <w:pPr>
        <w:pStyle w:val="940"/>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（2）供应商需按照采购文件的要求提供相应的《</w:t>
      </w:r>
      <w:r>
        <w:rPr>
          <w:rFonts w:hint="eastAsia" w:ascii="宋体" w:hAnsi="宋体" w:cs="宋体"/>
          <w:szCs w:val="21"/>
          <w:highlight w:val="none"/>
          <w:lang w:eastAsia="zh-CN"/>
        </w:rPr>
        <w:t xml:space="preserve">中小企业声明函</w:t>
      </w:r>
      <w:r>
        <w:rPr>
          <w:rFonts w:hint="eastAsia" w:ascii="宋体" w:hAnsi="宋体" w:cs="宋体"/>
          <w:szCs w:val="21"/>
          <w:highlight w:val="none"/>
        </w:rPr>
        <w:t xml:space="preserve">》。</w:t>
      </w:r>
      <w:r>
        <w:rPr>
          <w:rFonts w:hint="eastAsia" w:ascii="宋体" w:hAnsi="宋体" w:cs="宋体"/>
          <w:szCs w:val="21"/>
          <w:highlight w:val="none"/>
        </w:rPr>
      </w:r>
      <w:r/>
    </w:p>
    <w:p>
      <w:pPr>
        <w:pStyle w:val="940"/>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（3）企业标准请参照《关于印发中小企业划型标准规定的通知》（工信部联企业[2011]300号）文件规定自行填写。</w:t>
      </w:r>
      <w:r>
        <w:rPr>
          <w:rFonts w:hint="eastAsia" w:ascii="宋体" w:hAnsi="宋体" w:cs="宋体"/>
          <w:szCs w:val="21"/>
          <w:highlight w:val="none"/>
        </w:rPr>
      </w:r>
      <w:r/>
    </w:p>
    <w:p>
      <w:pPr>
        <w:pStyle w:val="940"/>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2、残疾人福利单位价格扣除</w:t>
      </w:r>
      <w:r>
        <w:rPr>
          <w:rFonts w:hint="eastAsia" w:ascii="宋体" w:hAnsi="宋体" w:cs="宋体"/>
          <w:szCs w:val="21"/>
          <w:highlight w:val="none"/>
        </w:rPr>
      </w:r>
      <w:r/>
    </w:p>
    <w:p>
      <w:pPr>
        <w:pStyle w:val="940"/>
        <w:ind w:left="120"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（1）对残疾人福利性单位视同小型、微型企业，给予</w:t>
      </w:r>
      <w:r>
        <w:rPr>
          <w:rFonts w:hint="eastAsia" w:ascii="宋体" w:hAnsi="宋体" w:cs="宋体"/>
          <w:szCs w:val="21"/>
          <w:highlight w:val="none"/>
          <w:u w:val="single"/>
        </w:rPr>
        <w:t xml:space="preserve">20%</w:t>
      </w:r>
      <w:r>
        <w:rPr>
          <w:rFonts w:hint="eastAsia" w:ascii="宋体" w:hAnsi="宋体" w:cs="宋体"/>
          <w:szCs w:val="21"/>
          <w:highlight w:val="none"/>
        </w:rPr>
        <w:t xml:space="preserve">的价格扣除，用扣除后的价格参与评审。</w:t>
      </w:r>
      <w:r>
        <w:rPr>
          <w:rFonts w:hint="eastAsia" w:ascii="宋体" w:hAnsi="宋体" w:cs="宋体"/>
          <w:szCs w:val="21"/>
          <w:highlight w:val="none"/>
        </w:rPr>
      </w:r>
      <w:r/>
    </w:p>
    <w:p>
      <w:pPr>
        <w:pStyle w:val="940"/>
        <w:ind w:left="120"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（2）残疾人福利单位需按照采购文件的要求提供《残疾人福利性单位声明函》。</w:t>
      </w:r>
      <w:r>
        <w:rPr>
          <w:rFonts w:hint="eastAsia" w:ascii="宋体" w:hAnsi="宋体" w:cs="宋体"/>
          <w:szCs w:val="21"/>
          <w:highlight w:val="none"/>
        </w:rPr>
      </w:r>
      <w:r/>
    </w:p>
    <w:p>
      <w:pPr>
        <w:pStyle w:val="940"/>
        <w:ind w:left="120"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（3）残疾人福利单位标准请参照《关于促进残疾人就业政府采购政策的通知》（财库〔2017〕141号）。</w:t>
      </w:r>
      <w:r>
        <w:rPr>
          <w:rFonts w:hint="eastAsia" w:ascii="宋体" w:hAnsi="宋体" w:cs="宋体"/>
          <w:szCs w:val="21"/>
          <w:highlight w:val="none"/>
        </w:rPr>
      </w:r>
      <w:r/>
    </w:p>
    <w:p>
      <w:pPr>
        <w:pStyle w:val="940"/>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3、监狱和戒毒企业价格扣除</w:t>
      </w:r>
      <w:r>
        <w:rPr>
          <w:rFonts w:hint="eastAsia" w:ascii="宋体" w:hAnsi="宋体" w:cs="宋体"/>
          <w:szCs w:val="21"/>
          <w:highlight w:val="none"/>
        </w:rPr>
      </w:r>
      <w:r/>
    </w:p>
    <w:p>
      <w:pPr>
        <w:pStyle w:val="940"/>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（1）本项目对监狱和戒毒企业（简称监狱企业）视同小型、微型企业，给予</w:t>
      </w:r>
      <w:r>
        <w:rPr>
          <w:rFonts w:hint="eastAsia" w:ascii="宋体" w:hAnsi="宋体" w:cs="宋体"/>
          <w:szCs w:val="21"/>
          <w:highlight w:val="none"/>
          <w:u w:val="single"/>
        </w:rPr>
        <w:t xml:space="preserve">20%</w:t>
      </w:r>
      <w:r>
        <w:rPr>
          <w:rFonts w:hint="eastAsia" w:ascii="宋体" w:hAnsi="宋体" w:cs="宋体"/>
          <w:szCs w:val="21"/>
          <w:highlight w:val="none"/>
        </w:rPr>
        <w:t xml:space="preserve">的价格扣除，用扣除后的价格参与评审。</w:t>
      </w:r>
      <w:r>
        <w:rPr>
          <w:rFonts w:hint="eastAsia" w:ascii="宋体" w:hAnsi="宋体" w:cs="宋体"/>
          <w:szCs w:val="21"/>
          <w:highlight w:val="none"/>
        </w:rPr>
      </w:r>
      <w:r/>
    </w:p>
    <w:p>
      <w:pPr>
        <w:pStyle w:val="940"/>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szCs w:val="21"/>
          <w:highlight w:val="none"/>
        </w:rPr>
        <w:t xml:space="preserve">供应商如不提供上述证明文件，价格将不做相应扣除</w:t>
      </w:r>
      <w:r>
        <w:rPr>
          <w:rFonts w:hint="eastAsia" w:ascii="宋体" w:hAnsi="宋体" w:cs="宋体"/>
          <w:szCs w:val="21"/>
          <w:highlight w:val="none"/>
        </w:rPr>
        <w:t xml:space="preserve">。</w:t>
      </w:r>
      <w:r>
        <w:rPr>
          <w:rFonts w:hint="eastAsia" w:ascii="宋体" w:hAnsi="宋体" w:cs="宋体"/>
          <w:szCs w:val="21"/>
          <w:highlight w:val="none"/>
        </w:rPr>
      </w:r>
      <w:r/>
    </w:p>
    <w:p>
      <w:pPr>
        <w:pStyle w:val="940"/>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（3）监狱企业标准请参照《关于政府采购支持监狱企业发展有关问题的通知》（财库[2014]68号）。</w:t>
      </w:r>
      <w:r>
        <w:rPr>
          <w:rFonts w:hint="eastAsia" w:ascii="宋体" w:hAnsi="宋体" w:cs="宋体"/>
          <w:szCs w:val="21"/>
          <w:highlight w:val="none"/>
        </w:rPr>
      </w:r>
      <w:r/>
    </w:p>
    <w:p>
      <w:pPr>
        <w:pStyle w:val="940"/>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4、残疾人福利单位、监狱企业属于小型、微型企业的，不重复享受政策。</w:t>
      </w:r>
      <w:r>
        <w:rPr>
          <w:rFonts w:hint="eastAsia" w:ascii="宋体" w:hAnsi="宋体" w:cs="宋体"/>
          <w:szCs w:val="21"/>
          <w:highlight w:val="none"/>
        </w:rPr>
      </w:r>
      <w:r/>
    </w:p>
    <w:p>
      <w:pPr>
        <w:pStyle w:val="940"/>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Cs w:val="21"/>
          <w:highlight w:val="none"/>
          <w:u w:val="single"/>
        </w:rPr>
        <w:t xml:space="preserve">6%</w:t>
      </w:r>
      <w:r>
        <w:rPr>
          <w:rFonts w:hint="eastAsia" w:ascii="宋体" w:hAnsi="宋体" w:cs="宋体"/>
          <w:szCs w:val="21"/>
          <w:highlight w:val="none"/>
        </w:rPr>
        <w:t xml:space="preserve">的价格扣除，用扣除后的价格参与评审。</w:t>
      </w:r>
      <w:r>
        <w:rPr>
          <w:rFonts w:hint="eastAsia" w:ascii="宋体" w:hAnsi="宋体" w:cs="宋体"/>
          <w:szCs w:val="21"/>
          <w:highlight w:val="none"/>
        </w:rPr>
      </w:r>
      <w:r/>
    </w:p>
    <w:p>
      <w:pPr>
        <w:pStyle w:val="940"/>
        <w:ind w:firstLine="420"/>
        <w:jc w:val="left"/>
        <w:spacing w:before="120" w:after="120" w:line="420" w:lineRule="exact"/>
        <w:rPr>
          <w:rFonts w:hint="eastAsia" w:ascii="宋体" w:hAnsi="宋体" w:cs="宋体"/>
          <w:b/>
          <w:szCs w:val="21"/>
          <w:highlight w:val="none"/>
        </w:rPr>
      </w:pPr>
      <w:r>
        <w:rPr>
          <w:rFonts w:hint="eastAsia" w:ascii="宋体" w:hAnsi="宋体" w:cs="宋体"/>
          <w:szCs w:val="21"/>
          <w:highlight w:val="none"/>
        </w:rPr>
        <w:t xml:space="preserve">6、联合体各方均为小型、微型企业（残疾人福利单位、监狱企业）的，联合体享受</w:t>
      </w:r>
      <w:r>
        <w:rPr>
          <w:rFonts w:hint="eastAsia" w:ascii="宋体" w:hAnsi="宋体" w:cs="宋体"/>
          <w:szCs w:val="21"/>
          <w:highlight w:val="none"/>
          <w:u w:val="single"/>
        </w:rPr>
        <w:t xml:space="preserve">20%</w:t>
      </w:r>
      <w:r>
        <w:rPr>
          <w:rFonts w:hint="eastAsia" w:ascii="宋体" w:hAnsi="宋体" w:cs="宋体"/>
          <w:szCs w:val="21"/>
          <w:highlight w:val="none"/>
        </w:rPr>
        <w:t xml:space="preserve">价格扣除，用扣除后的价格参与评审。</w:t>
      </w:r>
      <w:r>
        <w:rPr>
          <w:rFonts w:hint="eastAsia" w:ascii="宋体" w:hAnsi="宋体" w:cs="宋体"/>
          <w:b/>
          <w:szCs w:val="21"/>
          <w:highlight w:val="none"/>
        </w:rPr>
      </w:r>
      <w:r/>
    </w:p>
    <w:p>
      <w:pPr>
        <w:pStyle w:val="940"/>
        <w:ind w:firstLine="422"/>
        <w:jc w:val="left"/>
        <w:spacing w:before="120" w:after="120" w:line="0" w:lineRule="atLeast"/>
        <w:rPr>
          <w:rFonts w:hint="eastAsia" w:ascii="宋体" w:hAnsi="宋体" w:cs="宋体"/>
          <w:b/>
          <w:szCs w:val="21"/>
          <w:highlight w:val="none"/>
        </w:rPr>
      </w:pPr>
      <w:r>
        <w:rPr>
          <w:rFonts w:hint="eastAsia" w:ascii="宋体" w:hAnsi="宋体" w:cs="宋体"/>
          <w:b/>
          <w:szCs w:val="21"/>
          <w:highlight w:val="none"/>
        </w:rPr>
        <w:t xml:space="preserve">三、评审方法与评审标准</w:t>
      </w:r>
      <w:r>
        <w:rPr>
          <w:rFonts w:hint="eastAsia" w:ascii="宋体" w:hAnsi="宋体" w:cs="宋体"/>
          <w:b/>
          <w:szCs w:val="21"/>
          <w:highlight w:val="none"/>
        </w:rPr>
      </w:r>
      <w:r/>
    </w:p>
    <w:tbl>
      <w:tblPr>
        <w:tblStyle w:val="1011"/>
        <w:tblW w:w="4999" w:type="pct"/>
        <w:tblInd w:w="-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8166"/>
      </w:tblGrid>
      <w:tr>
        <w:trPr>
          <w:trHeight w:val="20"/>
        </w:trPr>
        <w:tc>
          <w:tcPr>
            <w:tcMar>
              <w:left w:w="28" w:type="dxa"/>
              <w:top w:w="0" w:type="dxa"/>
              <w:right w:w="28" w:type="dxa"/>
              <w:bottom w:w="0" w:type="dxa"/>
            </w:tcMar>
            <w:tcW w:w="507" w:type="dxa"/>
            <w:vAlign w:val="center"/>
            <w:textDirection w:val="lrTb"/>
            <w:noWrap w:val="false"/>
          </w:tcPr>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w:t>
            </w:r>
            <w:r>
              <w:rPr>
                <w:rFonts w:hint="eastAsia" w:ascii="宋体" w:hAnsi="宋体" w:eastAsia="宋体" w:cs="宋体"/>
                <w:highlight w:val="none"/>
              </w:rPr>
            </w:r>
            <w:r/>
          </w:p>
        </w:tc>
        <w:tc>
          <w:tcPr>
            <w:tcMar>
              <w:left w:w="108" w:type="dxa"/>
              <w:top w:w="0" w:type="dxa"/>
              <w:right w:w="108" w:type="dxa"/>
              <w:bottom w:w="0" w:type="dxa"/>
            </w:tcMar>
            <w:tcW w:w="4492" w:type="dxa"/>
            <w:vAlign w:val="top"/>
            <w:textDirection w:val="lrTb"/>
            <w:noWrap w:val="false"/>
          </w:tcPr>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评分标准</w:t>
            </w:r>
            <w:r>
              <w:rPr>
                <w:rFonts w:hint="eastAsia" w:ascii="宋体" w:hAnsi="宋体" w:eastAsia="宋体" w:cs="宋体"/>
                <w:highlight w:val="none"/>
              </w:rPr>
            </w:r>
            <w:r/>
          </w:p>
        </w:tc>
      </w:tr>
      <w:tr>
        <w:trPr>
          <w:trHeight w:val="20"/>
        </w:trPr>
        <w:tc>
          <w:tcPr>
            <w:tcMar>
              <w:left w:w="28" w:type="dxa"/>
              <w:top w:w="0" w:type="dxa"/>
              <w:right w:w="28" w:type="dxa"/>
              <w:bottom w:w="0" w:type="dxa"/>
            </w:tcMar>
            <w:tcW w:w="507" w:type="dxa"/>
            <w:vAlign w:val="center"/>
            <w:textDirection w:val="lrTb"/>
            <w:noWrap w:val="false"/>
          </w:tcPr>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报价</w:t>
            </w:r>
            <w:r>
              <w:rPr>
                <w:rFonts w:hint="eastAsia" w:ascii="宋体" w:hAnsi="宋体" w:eastAsia="宋体" w:cs="宋体"/>
                <w:highlight w:val="none"/>
              </w:rPr>
            </w:r>
            <w:r/>
          </w:p>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highlight w:val="none"/>
              </w:rPr>
            </w:r>
            <w:r/>
          </w:p>
        </w:tc>
        <w:tc>
          <w:tcPr>
            <w:tcMar>
              <w:left w:w="108" w:type="dxa"/>
              <w:top w:w="0" w:type="dxa"/>
              <w:right w:w="108" w:type="dxa"/>
              <w:bottom w:w="0" w:type="dxa"/>
            </w:tcMar>
            <w:tcW w:w="4492" w:type="dxa"/>
            <w:vAlign w:val="top"/>
            <w:textDirection w:val="lrTb"/>
            <w:noWrap w:val="false"/>
          </w:tcPr>
          <w:p>
            <w:pPr>
              <w:pStyle w:val="94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以满足磋商文件要求的最低</w:t>
            </w: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rPr>
              <w:t xml:space="preserve">报价为评标基准价，得满分</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rPr>
              <w:t xml:space="preserve">分，其他</w:t>
            </w: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rPr>
              <w:t xml:space="preserve">报价得分=（评标基准价/其他</w:t>
            </w:r>
            <w:r>
              <w:rPr>
                <w:rFonts w:hint="eastAsia" w:ascii="宋体" w:hAnsi="宋体" w:eastAsia="宋体" w:cs="宋体"/>
                <w:color w:val="000000"/>
                <w:highlight w:val="none"/>
                <w:lang w:eastAsia="zh-CN"/>
              </w:rPr>
              <w:t xml:space="preserve">响应报价</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rPr>
              <w:t xml:space="preserve">×100%。</w:t>
            </w:r>
            <w:r>
              <w:rPr>
                <w:rFonts w:hint="eastAsia" w:ascii="宋体" w:hAnsi="宋体" w:eastAsia="宋体" w:cs="宋体"/>
                <w:highlight w:val="none"/>
              </w:rPr>
            </w:r>
            <w:r/>
          </w:p>
          <w:p>
            <w:pPr>
              <w:pStyle w:val="94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注：供应商的报价明显低于其他</w:t>
            </w:r>
            <w:r>
              <w:rPr>
                <w:rFonts w:hint="eastAsia" w:ascii="宋体" w:hAnsi="宋体" w:eastAsia="宋体" w:cs="宋体"/>
                <w:color w:val="000000"/>
                <w:highlight w:val="none"/>
                <w:lang w:eastAsia="zh-CN"/>
              </w:rPr>
              <w:t xml:space="preserve">响应报价</w:t>
            </w:r>
            <w:r>
              <w:rPr>
                <w:rFonts w:hint="eastAsia" w:ascii="宋体" w:hAnsi="宋体" w:eastAsia="宋体" w:cs="宋体"/>
                <w:color w:val="000000"/>
                <w:highlight w:val="none"/>
              </w:rPr>
              <w:t xml:space="preserve">，使得其</w:t>
            </w:r>
            <w:r>
              <w:rPr>
                <w:rFonts w:hint="eastAsia" w:ascii="宋体" w:hAnsi="宋体" w:eastAsia="宋体" w:cs="宋体"/>
                <w:color w:val="000000"/>
                <w:highlight w:val="none"/>
                <w:lang w:eastAsia="zh-CN"/>
              </w:rPr>
              <w:t xml:space="preserve">响应报价</w:t>
            </w:r>
            <w:r>
              <w:rPr>
                <w:rFonts w:hint="eastAsia" w:ascii="宋体" w:hAnsi="宋体" w:eastAsia="宋体" w:cs="宋体"/>
                <w:color w:val="000000"/>
                <w:highlight w:val="none"/>
              </w:rPr>
              <w:t xml:space="preserve">可能低于其成本的，当评委会要求其</w:t>
            </w:r>
            <w:r>
              <w:rPr>
                <w:rFonts w:hint="eastAsia" w:ascii="宋体" w:hAnsi="宋体" w:eastAsia="宋体" w:cs="宋体"/>
                <w:color w:val="000000"/>
                <w:highlight w:val="none"/>
                <w:lang w:eastAsia="zh-CN"/>
              </w:rPr>
              <w:t xml:space="preserve">作出</w:t>
            </w:r>
            <w:r>
              <w:rPr>
                <w:rFonts w:hint="eastAsia" w:ascii="宋体" w:hAnsi="宋体" w:eastAsia="宋体" w:cs="宋体"/>
                <w:color w:val="000000"/>
                <w:highlight w:val="none"/>
              </w:rPr>
              <w:t xml:space="preserve">书面说明并提供相关证明材料时，供应商不能合理说明或者不能提供相关证明材料的将否决其</w:t>
            </w:r>
            <w:r>
              <w:rPr>
                <w:rFonts w:hint="eastAsia" w:ascii="宋体" w:hAnsi="宋体" w:eastAsia="宋体" w:cs="宋体"/>
                <w:color w:val="000000"/>
                <w:highlight w:val="none"/>
                <w:lang w:val="en-US" w:eastAsia="zh-CN"/>
              </w:rPr>
              <w:t xml:space="preserve">响应文件</w:t>
            </w:r>
            <w:r>
              <w:rPr>
                <w:rFonts w:hint="eastAsia" w:ascii="宋体" w:hAnsi="宋体" w:eastAsia="宋体" w:cs="宋体"/>
                <w:color w:val="000000"/>
                <w:highlight w:val="none"/>
              </w:rPr>
              <w:t xml:space="preserve">。</w:t>
            </w:r>
            <w:r>
              <w:rPr>
                <w:rFonts w:hint="eastAsia" w:ascii="宋体" w:hAnsi="宋体" w:eastAsia="宋体" w:cs="宋体"/>
                <w:highlight w:val="none"/>
              </w:rPr>
            </w:r>
            <w:r/>
          </w:p>
        </w:tc>
      </w:tr>
      <w:tr>
        <w:trPr>
          <w:trHeight w:val="20"/>
        </w:trPr>
        <w:tc>
          <w:tcPr>
            <w:tcMar>
              <w:left w:w="28" w:type="dxa"/>
              <w:top w:w="0" w:type="dxa"/>
              <w:right w:w="28" w:type="dxa"/>
              <w:bottom w:w="0" w:type="dxa"/>
            </w:tcMar>
            <w:tcW w:w="507" w:type="dxa"/>
            <w:vAlign w:val="center"/>
            <w:vMerge w:val="restart"/>
            <w:textDirection w:val="lrTb"/>
            <w:noWrap w:val="false"/>
          </w:tcPr>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技术方案</w:t>
            </w:r>
            <w:r>
              <w:rPr>
                <w:rFonts w:hint="eastAsia" w:ascii="宋体" w:hAnsi="宋体" w:eastAsia="宋体" w:cs="宋体"/>
                <w:highlight w:val="none"/>
              </w:rPr>
            </w:r>
            <w:r/>
          </w:p>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（50分）</w:t>
            </w:r>
            <w:r>
              <w:rPr>
                <w:rFonts w:hint="eastAsia" w:ascii="宋体" w:hAnsi="宋体" w:eastAsia="宋体" w:cs="宋体"/>
                <w:highlight w:val="none"/>
              </w:rPr>
            </w:r>
            <w:r/>
          </w:p>
        </w:tc>
        <w:tc>
          <w:tcPr>
            <w:tcMar>
              <w:left w:w="108" w:type="dxa"/>
              <w:top w:w="0" w:type="dxa"/>
              <w:right w:w="108" w:type="dxa"/>
              <w:bottom w:w="0" w:type="dxa"/>
            </w:tcMar>
            <w:tcW w:w="4492" w:type="dxa"/>
            <w:vAlign w:val="center"/>
            <w:textDirection w:val="lrTb"/>
            <w:noWrap w:val="false"/>
          </w:tcPr>
          <w:p>
            <w:pPr>
              <w:pStyle w:val="94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1.政策解读</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满分10分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重点对相关政策、动态维护方案编制指南进行解读分析。</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bookmarkStart w:id="187" w:name="OLE_LINK5"/>
            <w:r>
              <w:rPr>
                <w:rFonts w:hint="eastAsia" w:ascii="宋体" w:hAnsi="宋体" w:eastAsia="宋体" w:cs="宋体"/>
                <w:color w:val="000000"/>
                <w:szCs w:val="21"/>
                <w:highlight w:val="none"/>
              </w:rPr>
              <w:t xml:space="preserve">对相关政策及动态维护方案编制指南解读精准、全面的，</w:t>
            </w:r>
            <w:bookmarkEnd w:id="187"/>
            <w:r>
              <w:rPr>
                <w:rFonts w:hint="eastAsia" w:ascii="宋体" w:hAnsi="宋体" w:eastAsia="宋体" w:cs="宋体"/>
                <w:color w:val="000000"/>
                <w:szCs w:val="21"/>
                <w:highlight w:val="none"/>
              </w:rPr>
              <w:t xml:space="preserve">得10分；</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bookmarkStart w:id="188" w:name="OLE_LINK7"/>
            <w:r>
              <w:rPr>
                <w:rFonts w:hint="eastAsia" w:ascii="宋体" w:hAnsi="宋体" w:eastAsia="宋体" w:cs="宋体"/>
                <w:color w:val="000000"/>
                <w:szCs w:val="21"/>
                <w:highlight w:val="none"/>
              </w:rPr>
              <w:t xml:space="preserve">对相关政策及动态维护方案编制指南解读比较精准、比较全面的，</w:t>
            </w:r>
            <w:bookmarkEnd w:id="188"/>
            <w:r>
              <w:rPr>
                <w:rFonts w:hint="eastAsia" w:ascii="宋体" w:hAnsi="宋体" w:eastAsia="宋体" w:cs="宋体"/>
                <w:color w:val="000000"/>
                <w:szCs w:val="21"/>
                <w:highlight w:val="none"/>
              </w:rPr>
              <w:t xml:space="preserve">得7分；</w:t>
            </w:r>
            <w:r>
              <w:rPr>
                <w:rFonts w:hint="eastAsia" w:ascii="宋体" w:hAnsi="宋体" w:eastAsia="宋体" w:cs="宋体"/>
                <w:color w:val="000000"/>
                <w:szCs w:val="21"/>
                <w:highlight w:val="none"/>
              </w:rPr>
            </w:r>
            <w:r/>
          </w:p>
          <w:p>
            <w:pPr>
              <w:pStyle w:val="940"/>
              <w:jc w:val="left"/>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对相关政策及动态维护方案编制指南解读</w:t>
            </w:r>
            <w:r>
              <w:rPr>
                <w:rFonts w:hint="eastAsia" w:ascii="宋体" w:hAnsi="宋体" w:eastAsia="宋体" w:cs="宋体"/>
                <w:color w:val="000000"/>
                <w:szCs w:val="21"/>
                <w:highlight w:val="none"/>
                <w:lang w:val="en-US" w:eastAsia="zh-CN"/>
              </w:rPr>
              <w:t xml:space="preserve">基本全面、可行的，得4分</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lang w:val="en-US" w:eastAsia="zh-CN"/>
              </w:rPr>
            </w:r>
            <w:r/>
          </w:p>
          <w:p>
            <w:pPr>
              <w:pStyle w:val="940"/>
              <w:jc w:val="left"/>
              <w:spacing w:line="360" w:lineRule="auto"/>
              <w:rPr>
                <w:rFonts w:hint="eastAsia" w:ascii="宋体" w:hAnsi="宋体" w:eastAsia="宋体" w:cs="宋体"/>
                <w:color w:val="000000"/>
                <w:szCs w:val="21"/>
                <w:highlight w:val="none"/>
              </w:rPr>
            </w:pPr>
            <w:r/>
            <w:bookmarkStart w:id="189" w:name="OLE_LINK8"/>
            <w:r>
              <w:rPr>
                <w:rFonts w:hint="eastAsia" w:ascii="宋体" w:hAnsi="宋体" w:eastAsia="宋体" w:cs="宋体"/>
                <w:color w:val="000000"/>
                <w:szCs w:val="21"/>
                <w:highlight w:val="none"/>
              </w:rPr>
              <w:t xml:space="preserve">对相关政策及动态维护方案编制指南解读不精准、不全面的，</w:t>
            </w:r>
            <w:bookmarkEnd w:id="189"/>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4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bookmarkStart w:id="190" w:name="OLE_LINK17"/>
            <w:r>
              <w:rPr>
                <w:rFonts w:hint="eastAsia" w:ascii="宋体" w:hAnsi="宋体" w:eastAsia="宋体" w:cs="宋体"/>
                <w:color w:val="000000"/>
                <w:szCs w:val="21"/>
                <w:highlight w:val="none"/>
              </w:rPr>
              <w:t xml:space="preserve">其他或未提供的不得分。</w:t>
            </w:r>
            <w:bookmarkEnd w:id="190"/>
            <w:r>
              <w:rPr>
                <w:rFonts w:hint="eastAsia" w:ascii="宋体" w:hAnsi="宋体" w:eastAsia="宋体" w:cs="宋体"/>
                <w:color w:val="000000"/>
                <w:szCs w:val="21"/>
                <w:highlight w:val="none"/>
              </w:rPr>
            </w:r>
            <w:r/>
          </w:p>
        </w:tc>
      </w:tr>
      <w:tr>
        <w:trPr>
          <w:trHeight w:val="20"/>
        </w:trPr>
        <w:tc>
          <w:tcPr>
            <w:tcMar>
              <w:left w:w="28" w:type="dxa"/>
              <w:top w:w="0" w:type="dxa"/>
              <w:right w:w="28" w:type="dxa"/>
              <w:bottom w:w="0" w:type="dxa"/>
            </w:tcMar>
            <w:tcW w:w="507" w:type="dxa"/>
            <w:vAlign w:val="center"/>
            <w:vMerge w:val="continue"/>
            <w:textDirection w:val="lrTb"/>
            <w:noWrap w:val="false"/>
          </w:tcPr>
          <w:p>
            <w:pPr>
              <w:pStyle w:val="940"/>
              <w:jc w:val="center"/>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108" w:type="dxa"/>
              <w:top w:w="0" w:type="dxa"/>
              <w:right w:w="108" w:type="dxa"/>
              <w:bottom w:w="0" w:type="dxa"/>
            </w:tcMar>
            <w:tcW w:w="4492" w:type="dxa"/>
            <w:vAlign w:val="center"/>
            <w:textDirection w:val="lrTb"/>
            <w:noWrap w:val="false"/>
          </w:tcPr>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2.动态维护的目标思路及工作方向</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满分10分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bookmarkStart w:id="191" w:name="OLE_LINK123"/>
            <w:r>
              <w:rPr>
                <w:rFonts w:hint="eastAsia" w:ascii="宋体" w:hAnsi="宋体" w:eastAsia="宋体" w:cs="宋体"/>
                <w:color w:val="000000"/>
                <w:szCs w:val="21"/>
                <w:highlight w:val="none"/>
              </w:rPr>
              <w:t xml:space="preserve">重点依据体检评估结论，衔接“十五五”规划及相关专项规划，结合城市发展实际需求，明确动态维护的目标思路及工作方向。</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bookmarkEnd w:id="191"/>
            <w:r/>
            <w:bookmarkStart w:id="192" w:name="OLE_LINK24"/>
            <w:r/>
            <w:bookmarkStart w:id="193" w:name="OLE_LINK15"/>
            <w:r>
              <w:rPr>
                <w:rFonts w:hint="eastAsia" w:ascii="宋体" w:hAnsi="宋体" w:eastAsia="宋体" w:cs="宋体"/>
                <w:color w:val="000000"/>
                <w:szCs w:val="21"/>
                <w:highlight w:val="none"/>
              </w:rPr>
              <w:t xml:space="preserve">城市发展认知清晰</w:t>
            </w:r>
            <w:bookmarkEnd w:id="192"/>
            <w:r>
              <w:rPr>
                <w:rFonts w:hint="eastAsia" w:ascii="宋体" w:hAnsi="宋体" w:eastAsia="宋体" w:cs="宋体"/>
                <w:color w:val="000000"/>
                <w:szCs w:val="21"/>
                <w:highlight w:val="none"/>
              </w:rPr>
              <w:t xml:space="preserve">、“十五五”及相关专项规划衔接到位、动态维护目标思路及工作方向准确的，</w:t>
            </w:r>
            <w:bookmarkEnd w:id="193"/>
            <w:r>
              <w:rPr>
                <w:rFonts w:hint="eastAsia" w:ascii="宋体" w:hAnsi="宋体" w:eastAsia="宋体" w:cs="宋体"/>
                <w:color w:val="000000"/>
                <w:szCs w:val="21"/>
                <w:highlight w:val="none"/>
              </w:rPr>
              <w:t xml:space="preserve">得10分；</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城市发展认知比较清晰、“十五五”及相关专项规划衔接基本到位、动态维护目标思路及工作方向比较准确的，得7分；</w:t>
            </w:r>
            <w:r>
              <w:rPr>
                <w:rFonts w:hint="eastAsia" w:ascii="宋体" w:hAnsi="宋体" w:eastAsia="宋体" w:cs="宋体"/>
                <w:color w:val="000000"/>
                <w:szCs w:val="21"/>
                <w:highlight w:val="none"/>
              </w:rPr>
            </w:r>
            <w:r/>
          </w:p>
          <w:p>
            <w:pPr>
              <w:pStyle w:val="940"/>
              <w:jc w:val="left"/>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城市发展认知比较清晰、“十五五”及相关专项规划衔接基本到位、动态维护目标思路及工作方向</w:t>
            </w:r>
            <w:r>
              <w:rPr>
                <w:rFonts w:hint="eastAsia" w:ascii="宋体" w:hAnsi="宋体" w:eastAsia="宋体" w:cs="宋体"/>
                <w:color w:val="000000"/>
                <w:szCs w:val="21"/>
                <w:highlight w:val="none"/>
                <w:lang w:val="en-US" w:eastAsia="zh-CN"/>
              </w:rPr>
              <w:t xml:space="preserve">基本准确得，得4分</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lang w:val="en-US" w:eastAsia="zh-CN"/>
              </w:rPr>
            </w:r>
            <w:r/>
          </w:p>
          <w:p>
            <w:pPr>
              <w:pStyle w:val="940"/>
              <w:jc w:val="left"/>
              <w:spacing w:line="360" w:lineRule="auto"/>
              <w:rPr>
                <w:rFonts w:hint="eastAsia" w:ascii="宋体" w:hAnsi="宋体" w:eastAsia="宋体" w:cs="宋体"/>
                <w:color w:val="000000"/>
                <w:szCs w:val="21"/>
                <w:highlight w:val="none"/>
              </w:rPr>
            </w:pPr>
            <w:r/>
            <w:bookmarkStart w:id="194" w:name="OLE_LINK10"/>
            <w:r>
              <w:rPr>
                <w:rFonts w:hint="eastAsia" w:ascii="宋体" w:hAnsi="宋体" w:eastAsia="宋体" w:cs="宋体"/>
                <w:color w:val="000000"/>
                <w:szCs w:val="21"/>
                <w:highlight w:val="none"/>
              </w:rPr>
              <w:t xml:space="preserve">城市发展认知不清晰、“十五五”及相关专项规划衔接不到位、动态维护目标思路及工作方向不准确的，</w:t>
            </w:r>
            <w:bookmarkEnd w:id="194"/>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4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bookmarkStart w:id="195" w:name="OLE_LINK20"/>
            <w:r>
              <w:rPr>
                <w:rFonts w:hint="eastAsia" w:ascii="宋体" w:hAnsi="宋体" w:eastAsia="宋体" w:cs="宋体"/>
                <w:color w:val="000000"/>
                <w:szCs w:val="21"/>
                <w:highlight w:val="none"/>
              </w:rPr>
              <w:t xml:space="preserve">其他或未提供的不得分。</w:t>
            </w:r>
            <w:bookmarkEnd w:id="195"/>
            <w:r>
              <w:rPr>
                <w:rFonts w:hint="eastAsia" w:ascii="宋体" w:hAnsi="宋体" w:eastAsia="宋体" w:cs="宋体"/>
                <w:color w:val="000000"/>
                <w:szCs w:val="21"/>
                <w:highlight w:val="none"/>
              </w:rPr>
            </w:r>
            <w:r/>
          </w:p>
        </w:tc>
      </w:tr>
      <w:tr>
        <w:trPr>
          <w:trHeight w:val="20"/>
        </w:trPr>
        <w:tc>
          <w:tcPr>
            <w:tcMar>
              <w:left w:w="28" w:type="dxa"/>
              <w:top w:w="0" w:type="dxa"/>
              <w:right w:w="28" w:type="dxa"/>
              <w:bottom w:w="0" w:type="dxa"/>
            </w:tcMar>
            <w:tcW w:w="507" w:type="dxa"/>
            <w:vAlign w:val="center"/>
            <w:vMerge w:val="continue"/>
            <w:textDirection w:val="lrTb"/>
            <w:noWrap w:val="false"/>
          </w:tcPr>
          <w:p>
            <w:pPr>
              <w:pStyle w:val="940"/>
              <w:jc w:val="center"/>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108" w:type="dxa"/>
              <w:top w:w="0" w:type="dxa"/>
              <w:right w:w="108" w:type="dxa"/>
              <w:bottom w:w="0" w:type="dxa"/>
            </w:tcMar>
            <w:tcW w:w="4492" w:type="dxa"/>
            <w:vAlign w:val="center"/>
            <w:textDirection w:val="lrTb"/>
            <w:noWrap w:val="false"/>
          </w:tcPr>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3.动态维护方案思路</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满分10分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bookmarkStart w:id="196" w:name="OLE_LINK127"/>
            <w:r/>
            <w:bookmarkStart w:id="197" w:name="OLE_LINK126"/>
            <w:r>
              <w:rPr>
                <w:rFonts w:hint="eastAsia" w:ascii="宋体" w:hAnsi="宋体" w:eastAsia="宋体" w:cs="宋体"/>
                <w:color w:val="000000"/>
                <w:szCs w:val="21"/>
                <w:highlight w:val="none"/>
              </w:rPr>
              <w:t xml:space="preserve">重点提出对空间管控边界、重点建设项目清单、规划分区、中心城区用地布局、中心城区重要控制线等</w:t>
            </w:r>
            <w:r>
              <w:rPr>
                <w:rFonts w:hint="eastAsia" w:ascii="宋体" w:hAnsi="宋体" w:eastAsia="宋体" w:cs="宋体"/>
                <w:strike/>
                <w:color w:val="000000"/>
                <w:szCs w:val="21"/>
                <w:highlight w:val="none"/>
              </w:rPr>
              <w:t xml:space="preserve">进行</w:t>
            </w:r>
            <w:r>
              <w:rPr>
                <w:rFonts w:hint="eastAsia" w:ascii="宋体" w:hAnsi="宋体" w:eastAsia="宋体" w:cs="宋体"/>
                <w:color w:val="000000"/>
                <w:szCs w:val="21"/>
                <w:highlight w:val="none"/>
              </w:rPr>
              <w:t xml:space="preserve">动态维护</w:t>
            </w:r>
            <w:r>
              <w:rPr>
                <w:rFonts w:hint="eastAsia" w:ascii="宋体" w:hAnsi="宋体" w:eastAsia="宋体" w:cs="宋体"/>
                <w:color w:val="000000"/>
                <w:szCs w:val="21"/>
                <w:highlight w:val="none"/>
                <w:lang w:eastAsia="zh-CN"/>
              </w:rPr>
              <w:t xml:space="preserve">的方案</w:t>
            </w:r>
            <w:r>
              <w:rPr>
                <w:rFonts w:hint="eastAsia" w:ascii="宋体" w:hAnsi="宋体" w:eastAsia="宋体" w:cs="宋体"/>
                <w:color w:val="000000"/>
                <w:szCs w:val="21"/>
                <w:highlight w:val="none"/>
              </w:rPr>
              <w:t xml:space="preserve">思路。</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bookmarkStart w:id="198" w:name="OLE_LINK27"/>
            <w:r>
              <w:rPr>
                <w:rFonts w:hint="eastAsia" w:ascii="宋体" w:hAnsi="宋体" w:eastAsia="宋体" w:cs="宋体"/>
                <w:color w:val="000000"/>
                <w:szCs w:val="21"/>
                <w:highlight w:val="none"/>
              </w:rPr>
              <w:t xml:space="preserve">动态维护方案思路科学合理的</w:t>
            </w:r>
            <w:bookmarkEnd w:id="198"/>
            <w:r>
              <w:rPr>
                <w:rFonts w:hint="eastAsia" w:ascii="宋体" w:hAnsi="宋体" w:eastAsia="宋体" w:cs="宋体"/>
                <w:color w:val="000000"/>
                <w:szCs w:val="21"/>
                <w:highlight w:val="none"/>
              </w:rPr>
              <w:t xml:space="preserve">，得10分；</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bookmarkStart w:id="199" w:name="OLE_LINK18"/>
            <w:r>
              <w:rPr>
                <w:rFonts w:hint="eastAsia" w:ascii="宋体" w:hAnsi="宋体" w:eastAsia="宋体" w:cs="宋体"/>
                <w:color w:val="000000"/>
                <w:szCs w:val="21"/>
                <w:highlight w:val="none"/>
              </w:rPr>
              <w:t xml:space="preserve">动态维护方案思路比较科学</w:t>
            </w:r>
            <w:bookmarkEnd w:id="199"/>
            <w:r>
              <w:rPr>
                <w:rFonts w:hint="eastAsia" w:ascii="宋体" w:hAnsi="宋体" w:eastAsia="宋体" w:cs="宋体"/>
                <w:color w:val="000000"/>
                <w:szCs w:val="21"/>
                <w:highlight w:val="none"/>
              </w:rPr>
              <w:t xml:space="preserve">合理的，得7分；</w:t>
            </w:r>
            <w:r>
              <w:rPr>
                <w:rFonts w:hint="eastAsia" w:ascii="宋体" w:hAnsi="宋体" w:eastAsia="宋体" w:cs="宋体"/>
                <w:color w:val="000000"/>
                <w:szCs w:val="21"/>
                <w:highlight w:val="none"/>
              </w:rPr>
            </w:r>
            <w:r/>
          </w:p>
          <w:p>
            <w:pPr>
              <w:pStyle w:val="940"/>
              <w:jc w:val="left"/>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动态维护方案思路科学</w:t>
            </w:r>
            <w:r>
              <w:rPr>
                <w:rFonts w:hint="eastAsia" w:ascii="宋体" w:hAnsi="宋体" w:eastAsia="宋体" w:cs="宋体"/>
                <w:color w:val="000000"/>
                <w:szCs w:val="21"/>
                <w:highlight w:val="none"/>
                <w:lang w:val="en-US" w:eastAsia="zh-CN"/>
              </w:rPr>
              <w:t xml:space="preserve">基本可行的，得4分</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lang w:val="en-US" w:eastAsia="zh-CN"/>
              </w:rPr>
            </w:r>
            <w:r/>
          </w:p>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动态维护方案思路不科学合理的，得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4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bookmarkStart w:id="200" w:name="OLE_LINK22"/>
            <w:r>
              <w:rPr>
                <w:rFonts w:hint="eastAsia" w:ascii="宋体" w:hAnsi="宋体" w:eastAsia="宋体" w:cs="宋体"/>
                <w:color w:val="000000"/>
                <w:szCs w:val="21"/>
                <w:highlight w:val="none"/>
              </w:rPr>
              <w:t xml:space="preserve">其他或未提供的不得分。</w:t>
            </w:r>
            <w:bookmarkEnd w:id="196"/>
            <w:r/>
            <w:bookmarkEnd w:id="197"/>
            <w:r/>
            <w:bookmarkEnd w:id="200"/>
            <w:r>
              <w:rPr>
                <w:rFonts w:hint="eastAsia" w:ascii="宋体" w:hAnsi="宋体" w:eastAsia="宋体" w:cs="宋体"/>
                <w:color w:val="000000"/>
                <w:szCs w:val="21"/>
                <w:highlight w:val="none"/>
              </w:rPr>
            </w:r>
            <w:r/>
          </w:p>
        </w:tc>
      </w:tr>
      <w:tr>
        <w:trPr>
          <w:trHeight w:val="20"/>
        </w:trPr>
        <w:tc>
          <w:tcPr>
            <w:tcW w:w="507" w:type="dxa"/>
            <w:vAlign w:val="top"/>
            <w:vMerge w:val="continue"/>
            <w:textDirection w:val="lrTb"/>
            <w:noWrap w:val="false"/>
          </w:tcPr>
          <w:p>
            <w:pPr>
              <w:pStyle w:val="940"/>
              <w:spacing w:line="360" w:lineRule="auto"/>
              <w:rPr>
                <w:rFonts w:hint="eastAsia" w:ascii="宋体" w:hAnsi="宋体" w:eastAsia="宋体" w:cs="宋体"/>
                <w:highlight w:val="none"/>
              </w:rPr>
            </w:pPr>
            <w:r>
              <w:rPr>
                <w:rFonts w:hint="eastAsia" w:ascii="宋体" w:hAnsi="宋体" w:eastAsia="宋体" w:cs="宋体"/>
                <w:highlight w:val="none"/>
              </w:rPr>
            </w:r>
            <w:r/>
          </w:p>
        </w:tc>
        <w:tc>
          <w:tcPr>
            <w:tcMar>
              <w:left w:w="108" w:type="dxa"/>
              <w:top w:w="0" w:type="dxa"/>
              <w:right w:w="108" w:type="dxa"/>
              <w:bottom w:w="0" w:type="dxa"/>
            </w:tcMar>
            <w:tcW w:w="4492" w:type="dxa"/>
            <w:vAlign w:val="center"/>
            <w:textDirection w:val="lrTb"/>
            <w:noWrap w:val="false"/>
          </w:tcPr>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4.动态维护方案可行性分析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满分10分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bookmarkStart w:id="201" w:name="OLE_LINK21"/>
            <w:r>
              <w:rPr>
                <w:rFonts w:hint="eastAsia" w:ascii="宋体" w:hAnsi="宋体" w:eastAsia="宋体" w:cs="宋体"/>
                <w:color w:val="000000"/>
                <w:szCs w:val="21"/>
                <w:highlight w:val="none"/>
              </w:rPr>
              <w:t xml:space="preserve">重</w:t>
            </w:r>
            <w:r>
              <w:rPr>
                <w:rFonts w:hint="eastAsia" w:ascii="宋体" w:hAnsi="宋体" w:eastAsia="宋体" w:cs="宋体"/>
                <w:color w:val="000000"/>
                <w:szCs w:val="21"/>
                <w:highlight w:val="none"/>
                <w:lang w:eastAsia="zh-CN"/>
              </w:rPr>
              <w:t xml:space="preserve">点对</w:t>
            </w:r>
            <w:bookmarkStart w:id="202" w:name="OLE_LINK23"/>
            <w:r>
              <w:rPr>
                <w:rFonts w:hint="eastAsia" w:ascii="宋体" w:hAnsi="宋体" w:eastAsia="宋体" w:cs="宋体"/>
                <w:color w:val="000000"/>
                <w:szCs w:val="21"/>
                <w:highlight w:val="none"/>
              </w:rPr>
              <w:t xml:space="preserve">空间管控边界</w:t>
            </w:r>
            <w:bookmarkEnd w:id="202"/>
            <w:r>
              <w:rPr>
                <w:rFonts w:hint="eastAsia" w:ascii="宋体" w:hAnsi="宋体" w:eastAsia="宋体" w:cs="宋体"/>
                <w:color w:val="000000"/>
                <w:szCs w:val="21"/>
                <w:highlight w:val="none"/>
              </w:rPr>
              <w:t xml:space="preserve">、规划分区、中心</w:t>
            </w:r>
            <w:r>
              <w:rPr>
                <w:rFonts w:hint="eastAsia" w:ascii="宋体" w:hAnsi="宋体" w:eastAsia="宋体" w:cs="宋体"/>
                <w:color w:val="000000"/>
                <w:szCs w:val="21"/>
                <w:highlight w:val="none"/>
                <w:lang w:eastAsia="zh-CN"/>
              </w:rPr>
              <w:t xml:space="preserve">城区</w:t>
            </w:r>
            <w:r>
              <w:rPr>
                <w:rFonts w:hint="eastAsia" w:ascii="宋体" w:hAnsi="宋体" w:eastAsia="宋体" w:cs="宋体"/>
                <w:color w:val="000000"/>
                <w:szCs w:val="21"/>
                <w:highlight w:val="none"/>
              </w:rPr>
              <w:t xml:space="preserve">用地规划布局等动态维护方案的可行性以及是否符合正向优化要求进行分析。</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bookmarkStart w:id="203" w:name="OLE_LINK28"/>
            <w:r>
              <w:rPr>
                <w:rFonts w:hint="eastAsia" w:ascii="宋体" w:hAnsi="宋体" w:eastAsia="宋体" w:cs="宋体"/>
                <w:color w:val="000000"/>
                <w:szCs w:val="21"/>
                <w:highlight w:val="none"/>
              </w:rPr>
              <w:t xml:space="preserve">动态维护方案符合正向优化要求，可行性强的，</w:t>
            </w:r>
            <w:bookmarkEnd w:id="201"/>
            <w:r>
              <w:rPr>
                <w:rFonts w:hint="eastAsia" w:ascii="宋体" w:hAnsi="宋体" w:eastAsia="宋体" w:cs="宋体"/>
                <w:color w:val="000000"/>
                <w:szCs w:val="21"/>
                <w:highlight w:val="none"/>
              </w:rPr>
              <w:t xml:space="preserve">得10分；</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动态维护方案</w:t>
            </w:r>
            <w:r>
              <w:rPr>
                <w:rFonts w:hint="eastAsia" w:ascii="宋体" w:hAnsi="宋体" w:eastAsia="宋体" w:cs="宋体"/>
                <w:color w:val="000000"/>
                <w:szCs w:val="21"/>
                <w:highlight w:val="none"/>
                <w:lang w:val="en-US" w:eastAsia="zh-CN"/>
              </w:rPr>
              <w:t xml:space="preserve">较为</w:t>
            </w:r>
            <w:r>
              <w:rPr>
                <w:rFonts w:hint="eastAsia" w:ascii="宋体" w:hAnsi="宋体" w:eastAsia="宋体" w:cs="宋体"/>
                <w:color w:val="000000"/>
                <w:szCs w:val="21"/>
                <w:highlight w:val="none"/>
              </w:rPr>
              <w:t xml:space="preserve">符合正向优化要求，可行性</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rPr>
              <w:t xml:space="preserve">强的，得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动态维护方案基本符合正向优化要求，可行性一般的，得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动态维护方案不符合正向优化要求，可行性较差的，得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4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bookmarkEnd w:id="203"/>
            <w:r>
              <w:rPr>
                <w:rFonts w:hint="eastAsia" w:ascii="宋体" w:hAnsi="宋体" w:eastAsia="宋体" w:cs="宋体"/>
                <w:color w:val="000000"/>
                <w:szCs w:val="21"/>
                <w:highlight w:val="none"/>
              </w:rPr>
              <w:t xml:space="preserve">其他或未提供的不得分。</w:t>
            </w:r>
            <w:r>
              <w:rPr>
                <w:rFonts w:hint="eastAsia" w:ascii="宋体" w:hAnsi="宋体" w:eastAsia="宋体" w:cs="宋体"/>
                <w:color w:val="000000"/>
                <w:szCs w:val="21"/>
                <w:highlight w:val="none"/>
              </w:rPr>
            </w:r>
            <w:r/>
          </w:p>
        </w:tc>
      </w:tr>
      <w:tr>
        <w:trPr>
          <w:trHeight w:val="20"/>
        </w:trPr>
        <w:tc>
          <w:tcPr>
            <w:tcW w:w="507" w:type="dxa"/>
            <w:vAlign w:val="top"/>
            <w:vMerge w:val="continue"/>
            <w:textDirection w:val="lrTb"/>
            <w:noWrap w:val="false"/>
          </w:tcPr>
          <w:p>
            <w:pPr>
              <w:pStyle w:val="940"/>
              <w:spacing w:line="360" w:lineRule="auto"/>
              <w:rPr>
                <w:rFonts w:hint="eastAsia" w:ascii="宋体" w:hAnsi="宋体" w:eastAsia="宋体" w:cs="宋体"/>
                <w:highlight w:val="none"/>
              </w:rPr>
            </w:pPr>
            <w:r>
              <w:rPr>
                <w:rFonts w:hint="eastAsia" w:ascii="宋体" w:hAnsi="宋体" w:eastAsia="宋体" w:cs="宋体"/>
                <w:highlight w:val="none"/>
              </w:rPr>
            </w:r>
            <w:r/>
          </w:p>
        </w:tc>
        <w:tc>
          <w:tcPr>
            <w:tcMar>
              <w:left w:w="108" w:type="dxa"/>
              <w:top w:w="0" w:type="dxa"/>
              <w:right w:w="108" w:type="dxa"/>
              <w:bottom w:w="0" w:type="dxa"/>
            </w:tcMar>
            <w:tcW w:w="4492" w:type="dxa"/>
            <w:vAlign w:val="center"/>
            <w:textDirection w:val="lrTb"/>
            <w:noWrap w:val="false"/>
          </w:tcPr>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5.项目组织及进度安排</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满分10分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重点对项目组织、人员配备、时间进度等进行安排。</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项目组织、人员配备、时间进度安排合理的，得10分；</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项目组织、人员配备、时间进度安排比较合理的，得7分；</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项目组织、人员配备、时间进度安排</w:t>
            </w:r>
            <w:r>
              <w:rPr>
                <w:rFonts w:hint="eastAsia" w:ascii="宋体" w:hAnsi="宋体" w:eastAsia="宋体" w:cs="宋体"/>
                <w:color w:val="000000"/>
                <w:szCs w:val="21"/>
                <w:highlight w:val="none"/>
                <w:lang w:val="en-US" w:eastAsia="zh-CN"/>
              </w:rPr>
              <w:t xml:space="preserve">基本可行的</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4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项目组织、人员配备、时间进度安排不合理的，得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4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其他或未提供的不得分。</w:t>
            </w:r>
            <w:r>
              <w:rPr>
                <w:rFonts w:hint="eastAsia" w:ascii="宋体" w:hAnsi="宋体" w:eastAsia="宋体" w:cs="宋体"/>
                <w:color w:val="000000"/>
                <w:szCs w:val="21"/>
                <w:highlight w:val="none"/>
              </w:rPr>
            </w:r>
            <w:r/>
          </w:p>
        </w:tc>
      </w:tr>
      <w:tr>
        <w:trPr>
          <w:trHeight w:val="20"/>
        </w:trPr>
        <w:tc>
          <w:tcPr>
            <w:tcMar>
              <w:left w:w="28" w:type="dxa"/>
              <w:top w:w="0" w:type="dxa"/>
              <w:right w:w="28" w:type="dxa"/>
              <w:bottom w:w="0" w:type="dxa"/>
            </w:tcMar>
            <w:tcW w:w="507" w:type="dxa"/>
            <w:vAlign w:val="center"/>
            <w:textDirection w:val="lrTb"/>
            <w:noWrap w:val="false"/>
          </w:tcPr>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Cs w:val="21"/>
                <w:highlight w:val="none"/>
                <w:lang w:val="en-US" w:eastAsia="zh-CN"/>
              </w:rPr>
              <w:t xml:space="preserve">供应商</w:t>
            </w:r>
            <w:r>
              <w:rPr>
                <w:rFonts w:hint="eastAsia" w:ascii="宋体" w:hAnsi="宋体" w:eastAsia="宋体" w:cs="宋体"/>
                <w:bCs/>
                <w:szCs w:val="21"/>
                <w:highlight w:val="none"/>
              </w:rPr>
              <w:t xml:space="preserve">综合实力</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highlight w:val="none"/>
              </w:rPr>
            </w:r>
            <w:r/>
          </w:p>
        </w:tc>
        <w:tc>
          <w:tcPr>
            <w:tcMar>
              <w:left w:w="108" w:type="dxa"/>
              <w:top w:w="0" w:type="dxa"/>
              <w:right w:w="108" w:type="dxa"/>
              <w:bottom w:w="0" w:type="dxa"/>
            </w:tcMar>
            <w:tcW w:w="4492" w:type="dxa"/>
            <w:vAlign w:val="top"/>
            <w:textDirection w:val="lrTb"/>
            <w:noWrap w:val="false"/>
          </w:tcPr>
          <w:p>
            <w:pPr>
              <w:pStyle w:val="94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具有城乡规划，ISO 9001质量管理体系认证证书、ISO 14001环境管理体系认证证书、ISO45001职业健康安全管理体系认证证书，有1个得1分。本项满分3分。</w:t>
            </w:r>
            <w:r>
              <w:rPr>
                <w:rFonts w:hint="eastAsia" w:ascii="宋体" w:hAnsi="宋体" w:eastAsia="宋体" w:cs="宋体"/>
                <w:color w:val="000000"/>
                <w:highlight w:val="none"/>
              </w:rPr>
            </w:r>
            <w:r/>
          </w:p>
          <w:p>
            <w:pPr>
              <w:pStyle w:val="94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lang w:val="en-US" w:eastAsia="zh-CN"/>
              </w:rPr>
              <w:t xml:space="preserve">1、供应商如果是联合体参加项目，联合体任意一方有上述材料即可。2、</w:t>
            </w:r>
            <w:r>
              <w:rPr>
                <w:rFonts w:hint="eastAsia" w:ascii="宋体" w:hAnsi="宋体" w:eastAsia="宋体" w:cs="宋体"/>
                <w:b/>
                <w:bCs/>
                <w:color w:val="000000"/>
                <w:highlight w:val="none"/>
              </w:rPr>
              <w:t xml:space="preserve">提供相关认证证书</w:t>
            </w:r>
            <w:r>
              <w:rPr>
                <w:rFonts w:hint="eastAsia" w:ascii="宋体" w:hAnsi="宋体" w:eastAsia="宋体" w:cs="宋体"/>
                <w:b/>
                <w:bCs/>
                <w:color w:val="000000"/>
                <w:highlight w:val="none"/>
                <w:lang w:val="en-US" w:eastAsia="zh-CN"/>
              </w:rPr>
              <w:t xml:space="preserve">原件扫描</w:t>
            </w:r>
            <w:r>
              <w:rPr>
                <w:rFonts w:hint="eastAsia" w:ascii="宋体" w:hAnsi="宋体" w:eastAsia="宋体" w:cs="宋体"/>
                <w:b/>
                <w:bCs/>
                <w:color w:val="000000"/>
                <w:highlight w:val="none"/>
              </w:rPr>
              <w:t xml:space="preserve">加盖供应商</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联合体主体单位</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电子</w:t>
            </w:r>
            <w:r>
              <w:rPr>
                <w:rFonts w:hint="eastAsia" w:ascii="宋体" w:hAnsi="宋体" w:eastAsia="宋体" w:cs="宋体"/>
                <w:b/>
                <w:bCs/>
                <w:color w:val="000000"/>
                <w:highlight w:val="none"/>
              </w:rPr>
              <w:t xml:space="preserve">公章，</w:t>
            </w:r>
            <w:r>
              <w:rPr>
                <w:rFonts w:hint="eastAsia" w:ascii="宋体" w:hAnsi="宋体" w:eastAsia="宋体" w:cs="宋体"/>
                <w:b/>
                <w:bCs/>
                <w:color w:val="000000"/>
                <w:highlight w:val="none"/>
                <w:lang w:val="en-US" w:eastAsia="zh-CN"/>
              </w:rPr>
              <w:t xml:space="preserve">提供全国认证认可信息公共服务平台查询的证书有效截图</w:t>
            </w:r>
            <w:r>
              <w:rPr>
                <w:rFonts w:hint="eastAsia" w:ascii="宋体" w:hAnsi="宋体" w:eastAsia="宋体" w:cs="宋体"/>
                <w:b/>
                <w:bCs/>
                <w:color w:val="000000"/>
                <w:highlight w:val="none"/>
              </w:rPr>
              <w:t xml:space="preserve">加盖供应商</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联合体主体单位</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电子</w:t>
            </w:r>
            <w:r>
              <w:rPr>
                <w:rFonts w:hint="eastAsia" w:ascii="宋体" w:hAnsi="宋体" w:eastAsia="宋体" w:cs="宋体"/>
                <w:b/>
                <w:bCs/>
                <w:color w:val="000000"/>
                <w:highlight w:val="none"/>
              </w:rPr>
              <w:t xml:space="preserve">公章</w:t>
            </w:r>
            <w:r>
              <w:rPr>
                <w:rFonts w:hint="eastAsia" w:ascii="宋体" w:hAnsi="宋体" w:eastAsia="宋体" w:cs="宋体"/>
                <w:b/>
                <w:bCs/>
                <w:color w:val="000000"/>
                <w:highlight w:val="none"/>
                <w:lang w:val="en-US" w:eastAsia="zh-CN"/>
              </w:rPr>
              <w:t xml:space="preserve">上传</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rPr>
              <w:t xml:space="preserve">否则不予计分。）</w:t>
            </w:r>
            <w:r>
              <w:rPr>
                <w:rFonts w:hint="eastAsia" w:ascii="宋体" w:hAnsi="宋体" w:eastAsia="宋体" w:cs="宋体"/>
                <w:color w:val="000000"/>
                <w:highlight w:val="none"/>
              </w:rPr>
            </w:r>
            <w:r/>
          </w:p>
        </w:tc>
      </w:tr>
      <w:tr>
        <w:trPr>
          <w:trHeight w:val="20"/>
        </w:trPr>
        <w:tc>
          <w:tcPr>
            <w:tcMar>
              <w:left w:w="28" w:type="dxa"/>
              <w:top w:w="0" w:type="dxa"/>
              <w:right w:w="28" w:type="dxa"/>
              <w:bottom w:w="0" w:type="dxa"/>
            </w:tcMar>
            <w:tcW w:w="507" w:type="dxa"/>
            <w:vAlign w:val="center"/>
            <w:textDirection w:val="lrTb"/>
            <w:noWrap w:val="false"/>
          </w:tcPr>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团队实力</w:t>
            </w:r>
            <w:r>
              <w:rPr>
                <w:rFonts w:hint="eastAsia" w:ascii="宋体" w:hAnsi="宋体" w:eastAsia="宋体" w:cs="宋体"/>
                <w:highlight w:val="none"/>
              </w:rPr>
            </w:r>
            <w:r/>
          </w:p>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16</w:t>
            </w:r>
            <w:r>
              <w:rPr>
                <w:rFonts w:hint="eastAsia" w:ascii="宋体" w:hAnsi="宋体" w:eastAsia="宋体" w:cs="宋体"/>
                <w:color w:val="000000"/>
                <w:highlight w:val="none"/>
              </w:rPr>
              <w:t xml:space="preserve">分）</w:t>
            </w:r>
            <w:r>
              <w:rPr>
                <w:rFonts w:hint="eastAsia" w:ascii="宋体" w:hAnsi="宋体" w:eastAsia="宋体" w:cs="宋体"/>
                <w:highlight w:val="none"/>
              </w:rPr>
            </w:r>
            <w:r/>
          </w:p>
        </w:tc>
        <w:tc>
          <w:tcPr>
            <w:tcMar>
              <w:left w:w="108" w:type="dxa"/>
              <w:top w:w="0" w:type="dxa"/>
              <w:right w:w="108" w:type="dxa"/>
              <w:bottom w:w="0" w:type="dxa"/>
            </w:tcMar>
            <w:tcW w:w="4492" w:type="dxa"/>
            <w:vAlign w:val="top"/>
            <w:textDirection w:val="lrTb"/>
            <w:noWrap w:val="false"/>
          </w:tcPr>
          <w:p>
            <w:pPr>
              <w:pStyle w:val="94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1、项目负责人（</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4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（1）项目负责人同时具备注册城乡规划师和正高级规划师（或正高级工程师）职称的，得2</w:t>
            </w:r>
            <w:r>
              <w:rPr>
                <w:rFonts w:hint="eastAsia" w:ascii="宋体" w:hAnsi="宋体" w:eastAsia="宋体" w:cs="宋体"/>
                <w:color w:val="000000"/>
                <w:highlight w:val="none"/>
              </w:rPr>
              <w:t xml:space="preserve">分；同时具备注册城乡规划师和高级规划师（或高级工程师）职称的，得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分；其他情况不得分。本项满分</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4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2、项目组其他人员（</w:t>
            </w: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4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项目组其他人员中具有高级规划师及以上职称的，有一个得1分，同时具有注册城乡规划师资格的加1分。本项满分</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4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项目组其他人员</w:t>
            </w:r>
            <w:r>
              <w:rPr>
                <w:rFonts w:hint="eastAsia" w:ascii="宋体" w:hAnsi="宋体" w:eastAsia="宋体" w:cs="宋体"/>
                <w:color w:val="000000"/>
                <w:highlight w:val="none"/>
                <w:lang w:val="en-US" w:eastAsia="zh-CN"/>
              </w:rPr>
              <w:t xml:space="preserve">中</w:t>
            </w:r>
            <w:r>
              <w:rPr>
                <w:rFonts w:hint="eastAsia" w:ascii="宋体" w:hAnsi="宋体" w:eastAsia="宋体" w:cs="宋体"/>
                <w:color w:val="000000"/>
                <w:highlight w:val="none"/>
              </w:rPr>
              <w:t xml:space="preserve">具有土地、</w:t>
            </w:r>
            <w:r>
              <w:rPr>
                <w:rFonts w:hint="eastAsia" w:ascii="宋体" w:hAnsi="宋体" w:eastAsia="宋体" w:cs="宋体"/>
                <w:color w:val="000000"/>
                <w:highlight w:val="none"/>
                <w:lang w:val="en-US" w:eastAsia="zh-CN"/>
              </w:rPr>
              <w:t xml:space="preserve">经济</w:t>
            </w:r>
            <w:r>
              <w:rPr>
                <w:rFonts w:hint="eastAsia" w:ascii="宋体" w:hAnsi="宋体" w:eastAsia="宋体" w:cs="宋体"/>
                <w:color w:val="000000"/>
                <w:highlight w:val="none"/>
              </w:rPr>
              <w:t xml:space="preserve">、建筑、交通专业（每个专业限一人）高级及以上职称的，有一个得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本项满分</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40"/>
              <w:spacing w:line="360" w:lineRule="auto"/>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rPr>
              <w:t xml:space="preserve">（须提供证书</w:t>
            </w:r>
            <w:r>
              <w:rPr>
                <w:rFonts w:hint="eastAsia" w:ascii="宋体" w:hAnsi="宋体" w:eastAsia="宋体" w:cs="宋体"/>
                <w:b/>
                <w:bCs/>
                <w:color w:val="000000"/>
                <w:highlight w:val="none"/>
                <w:lang w:val="en-US" w:eastAsia="zh-CN"/>
              </w:rPr>
              <w:t xml:space="preserve">原件</w:t>
            </w:r>
            <w:r>
              <w:rPr>
                <w:rFonts w:hint="eastAsia" w:ascii="宋体" w:hAnsi="宋体" w:eastAsia="宋体" w:cs="宋体"/>
                <w:b/>
                <w:bCs/>
                <w:color w:val="000000"/>
                <w:highlight w:val="none"/>
              </w:rPr>
              <w:t xml:space="preserve">扫描并加盖供应商</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联合体主体单位</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电子</w:t>
            </w:r>
            <w:r>
              <w:rPr>
                <w:rFonts w:hint="eastAsia" w:ascii="宋体" w:hAnsi="宋体" w:eastAsia="宋体" w:cs="宋体"/>
                <w:b/>
                <w:bCs/>
                <w:color w:val="000000"/>
                <w:highlight w:val="none"/>
              </w:rPr>
              <w:t xml:space="preserve">公章及供应商</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联合体单位</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近3个月任意一个月为其缴纳社保的证明</w:t>
            </w:r>
            <w:r>
              <w:rPr>
                <w:rFonts w:hint="eastAsia" w:ascii="宋体" w:hAnsi="宋体" w:eastAsia="宋体" w:cs="宋体"/>
                <w:b/>
                <w:bCs/>
                <w:color w:val="000000"/>
                <w:highlight w:val="none"/>
                <w:lang w:val="en-US" w:eastAsia="zh-CN"/>
              </w:rPr>
              <w:t xml:space="preserve">扫描件</w:t>
            </w:r>
            <w:r>
              <w:rPr>
                <w:rFonts w:hint="eastAsia" w:ascii="宋体" w:hAnsi="宋体" w:eastAsia="宋体" w:cs="宋体"/>
                <w:b/>
                <w:bCs/>
                <w:color w:val="000000"/>
                <w:highlight w:val="none"/>
              </w:rPr>
              <w:t xml:space="preserve">并加盖供应商</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联合体主体单位</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电子</w:t>
            </w:r>
            <w:r>
              <w:rPr>
                <w:rFonts w:hint="eastAsia" w:ascii="宋体" w:hAnsi="宋体" w:eastAsia="宋体" w:cs="宋体"/>
                <w:b/>
                <w:bCs/>
                <w:color w:val="000000"/>
                <w:highlight w:val="none"/>
              </w:rPr>
              <w:t xml:space="preserve">公章</w:t>
            </w:r>
            <w:r>
              <w:rPr>
                <w:rFonts w:hint="eastAsia" w:ascii="宋体" w:hAnsi="宋体" w:eastAsia="宋体" w:cs="宋体"/>
                <w:b/>
                <w:bCs/>
                <w:color w:val="000000"/>
                <w:highlight w:val="none"/>
                <w:lang w:val="en-US" w:eastAsia="zh-CN"/>
              </w:rPr>
              <w:t xml:space="preserve">上传</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tc>
      </w:tr>
      <w:tr>
        <w:trPr>
          <w:trHeight w:val="20"/>
        </w:trPr>
        <w:tc>
          <w:tcPr>
            <w:tcMar>
              <w:left w:w="28" w:type="dxa"/>
              <w:top w:w="0" w:type="dxa"/>
              <w:right w:w="28" w:type="dxa"/>
              <w:bottom w:w="0" w:type="dxa"/>
            </w:tcMar>
            <w:tcW w:w="507" w:type="dxa"/>
            <w:vAlign w:val="center"/>
            <w:textDirection w:val="lrTb"/>
            <w:noWrap w:val="false"/>
          </w:tcPr>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业绩</w:t>
            </w:r>
            <w:r>
              <w:rPr>
                <w:rFonts w:hint="eastAsia" w:ascii="宋体" w:hAnsi="宋体" w:eastAsia="宋体" w:cs="宋体"/>
                <w:highlight w:val="none"/>
              </w:rPr>
            </w:r>
            <w:r/>
          </w:p>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分）</w:t>
            </w:r>
            <w:r>
              <w:rPr>
                <w:rFonts w:hint="eastAsia" w:ascii="宋体" w:hAnsi="宋体" w:eastAsia="宋体" w:cs="宋体"/>
                <w:highlight w:val="none"/>
              </w:rPr>
            </w:r>
            <w:r/>
          </w:p>
        </w:tc>
        <w:tc>
          <w:tcPr>
            <w:tcMar>
              <w:left w:w="108" w:type="dxa"/>
              <w:top w:w="0" w:type="dxa"/>
              <w:right w:w="108" w:type="dxa"/>
              <w:bottom w:w="0" w:type="dxa"/>
            </w:tcMar>
            <w:tcW w:w="4492" w:type="dxa"/>
            <w:vAlign w:val="top"/>
            <w:textDirection w:val="lrTb"/>
            <w:noWrap w:val="false"/>
          </w:tcPr>
          <w:p>
            <w:pPr>
              <w:pStyle w:val="94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202</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年1月1日以来，</w:t>
            </w:r>
            <w:r>
              <w:rPr>
                <w:rFonts w:hint="eastAsia" w:ascii="宋体" w:hAnsi="宋体" w:eastAsia="宋体" w:cs="宋体"/>
                <w:color w:val="000000"/>
                <w:highlight w:val="none"/>
                <w:lang w:val="en-US" w:eastAsia="zh-CN"/>
              </w:rPr>
              <w:t xml:space="preserve">供应商（联合体单位）</w:t>
            </w:r>
            <w:r>
              <w:rPr>
                <w:rFonts w:hint="eastAsia" w:ascii="宋体" w:hAnsi="宋体" w:eastAsia="宋体" w:cs="宋体"/>
                <w:color w:val="000000"/>
                <w:highlight w:val="none"/>
              </w:rPr>
              <w:t xml:space="preserve">承担过</w:t>
            </w:r>
            <w:r>
              <w:rPr>
                <w:rFonts w:hint="eastAsia" w:ascii="宋体" w:hAnsi="宋体" w:eastAsia="宋体" w:cs="宋体"/>
                <w:color w:val="000000"/>
                <w:highlight w:val="none"/>
                <w:lang w:val="en-US" w:eastAsia="zh-CN"/>
              </w:rPr>
              <w:t xml:space="preserve">类似国土空间总体规划</w:t>
            </w:r>
            <w:r>
              <w:rPr>
                <w:rFonts w:hint="eastAsia" w:ascii="宋体" w:hAnsi="宋体" w:eastAsia="宋体" w:cs="宋体"/>
                <w:color w:val="000000"/>
                <w:highlight w:val="none"/>
              </w:rPr>
              <w:t xml:space="preserve">项目的，每1项得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分。本项满分1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rPr>
                <w:rFonts w:hint="eastAsia" w:ascii="宋体" w:hAnsi="宋体" w:eastAsia="宋体" w:cs="宋体"/>
                <w:b/>
                <w:bCs/>
                <w:color w:val="000000"/>
                <w:highlight w:val="none"/>
              </w:rPr>
              <w:t xml:space="preserve">（提供合同</w:t>
            </w:r>
            <w:r>
              <w:rPr>
                <w:rFonts w:hint="eastAsia" w:ascii="宋体" w:hAnsi="宋体" w:eastAsia="宋体" w:cs="宋体"/>
                <w:b/>
                <w:bCs/>
                <w:color w:val="000000"/>
                <w:highlight w:val="none"/>
                <w:lang w:val="en-US" w:eastAsia="zh-CN"/>
              </w:rPr>
              <w:t xml:space="preserve">原件</w:t>
            </w:r>
            <w:r>
              <w:rPr>
                <w:rFonts w:hint="eastAsia" w:ascii="宋体" w:hAnsi="宋体" w:eastAsia="宋体" w:cs="宋体"/>
                <w:b/>
                <w:bCs/>
                <w:color w:val="000000"/>
                <w:highlight w:val="none"/>
              </w:rPr>
              <w:t xml:space="preserve">扫描加盖</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联合体主体单位</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电子</w:t>
            </w:r>
            <w:r>
              <w:rPr>
                <w:rFonts w:hint="eastAsia" w:ascii="宋体" w:hAnsi="宋体" w:eastAsia="宋体" w:cs="宋体"/>
                <w:b/>
                <w:bCs/>
                <w:color w:val="000000"/>
                <w:highlight w:val="none"/>
              </w:rPr>
              <w:t xml:space="preserve">公章</w:t>
            </w:r>
            <w:r>
              <w:rPr>
                <w:rFonts w:hint="eastAsia" w:ascii="宋体" w:hAnsi="宋体" w:eastAsia="宋体" w:cs="宋体"/>
                <w:b/>
                <w:bCs/>
                <w:color w:val="000000"/>
                <w:highlight w:val="none"/>
                <w:lang w:val="en-US" w:eastAsia="zh-CN"/>
              </w:rPr>
              <w:t xml:space="preserve">上传</w:t>
            </w:r>
            <w:r>
              <w:rPr>
                <w:rFonts w:hint="eastAsia" w:ascii="宋体" w:hAnsi="宋体" w:eastAsia="宋体" w:cs="宋体"/>
                <w:b/>
                <w:bCs/>
                <w:color w:val="000000"/>
                <w:highlight w:val="none"/>
              </w:rPr>
              <w:t xml:space="preserve">，未提供的不得分。）</w:t>
            </w:r>
            <w:r>
              <w:rPr>
                <w:rFonts w:hint="eastAsia" w:ascii="宋体" w:hAnsi="宋体" w:eastAsia="宋体" w:cs="宋体"/>
                <w:color w:val="000000"/>
                <w:highlight w:val="none"/>
              </w:rPr>
            </w:r>
            <w:r/>
          </w:p>
        </w:tc>
      </w:tr>
      <w:tr>
        <w:trPr>
          <w:trHeight w:val="1002"/>
        </w:trPr>
        <w:tc>
          <w:tcPr>
            <w:tcMar>
              <w:left w:w="28" w:type="dxa"/>
              <w:top w:w="0" w:type="dxa"/>
              <w:right w:w="28" w:type="dxa"/>
              <w:bottom w:w="0" w:type="dxa"/>
            </w:tcMar>
            <w:tcW w:w="507" w:type="dxa"/>
            <w:vAlign w:val="center"/>
            <w:textDirection w:val="lrTb"/>
            <w:noWrap w:val="false"/>
          </w:tcPr>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售后服务</w:t>
            </w:r>
            <w:r>
              <w:rPr>
                <w:rFonts w:hint="eastAsia" w:ascii="宋体" w:hAnsi="宋体" w:eastAsia="宋体" w:cs="宋体"/>
                <w:highlight w:val="none"/>
              </w:rPr>
            </w:r>
            <w:r/>
          </w:p>
          <w:p>
            <w:pPr>
              <w:pStyle w:val="940"/>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highlight w:val="none"/>
              </w:rPr>
            </w:r>
            <w:r/>
          </w:p>
        </w:tc>
        <w:tc>
          <w:tcPr>
            <w:tcMar>
              <w:left w:w="108" w:type="dxa"/>
              <w:top w:w="0" w:type="dxa"/>
              <w:right w:w="108" w:type="dxa"/>
              <w:bottom w:w="0" w:type="dxa"/>
            </w:tcMar>
            <w:tcW w:w="4492" w:type="dxa"/>
            <w:vAlign w:val="center"/>
            <w:textDirection w:val="lrTb"/>
            <w:noWrap w:val="false"/>
          </w:tcPr>
          <w:p>
            <w:pPr>
              <w:pStyle w:val="940"/>
              <w:jc w:val="left"/>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承诺接到采购人通知后24小时内能到场得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分，无承诺不得分。</w:t>
            </w:r>
            <w:r>
              <w:rPr>
                <w:rFonts w:hint="eastAsia" w:ascii="宋体" w:hAnsi="宋体" w:eastAsia="宋体" w:cs="宋体"/>
                <w:color w:val="000000"/>
                <w:highlight w:val="none"/>
              </w:rPr>
            </w:r>
            <w:r/>
          </w:p>
          <w:p>
            <w:pPr>
              <w:pStyle w:val="940"/>
              <w:jc w:val="left"/>
              <w:spacing w:line="360" w:lineRule="auto"/>
              <w:rPr>
                <w:rFonts w:ascii="宋体" w:hAnsi="宋体" w:eastAsia="宋体" w:cs="宋体"/>
                <w:color w:val="000000"/>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rPr>
              <w:t xml:space="preserve">注：提供承诺函</w:t>
            </w:r>
            <w:r>
              <w:rPr>
                <w:rFonts w:hint="eastAsia" w:ascii="宋体" w:hAnsi="宋体" w:eastAsia="宋体" w:cs="宋体"/>
                <w:b/>
                <w:bCs/>
                <w:color w:val="000000"/>
                <w:highlight w:val="none"/>
                <w:lang w:val="en-US" w:eastAsia="zh-CN"/>
              </w:rPr>
              <w:t xml:space="preserve">原件</w:t>
            </w:r>
            <w:r>
              <w:rPr>
                <w:rFonts w:hint="eastAsia" w:ascii="宋体" w:hAnsi="宋体" w:eastAsia="宋体" w:cs="宋体"/>
                <w:b/>
                <w:bCs/>
                <w:color w:val="000000"/>
                <w:highlight w:val="none"/>
              </w:rPr>
              <w:t xml:space="preserve">扫描件加盖</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联合体主体单位</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电子</w:t>
            </w:r>
            <w:r>
              <w:rPr>
                <w:rFonts w:hint="eastAsia" w:ascii="宋体" w:hAnsi="宋体" w:eastAsia="宋体" w:cs="宋体"/>
                <w:b/>
                <w:bCs/>
                <w:color w:val="000000"/>
                <w:highlight w:val="none"/>
              </w:rPr>
              <w:t xml:space="preserve">公章</w:t>
            </w:r>
            <w:r>
              <w:rPr>
                <w:rFonts w:hint="eastAsia" w:ascii="宋体" w:hAnsi="宋体" w:eastAsia="宋体" w:cs="宋体"/>
                <w:b/>
                <w:bCs/>
                <w:color w:val="000000"/>
                <w:highlight w:val="none"/>
                <w:lang w:val="en-US" w:eastAsia="zh-CN"/>
              </w:rPr>
              <w:t xml:space="preserve">上传，格式自拟。</w:t>
            </w:r>
            <w:r>
              <w:rPr>
                <w:rFonts w:ascii="宋体" w:hAnsi="宋体" w:eastAsia="宋体" w:cs="宋体"/>
                <w:color w:val="000000"/>
                <w:highlight w:val="none"/>
                <w:lang w:val="en-US"/>
              </w:rPr>
            </w:r>
            <w:r/>
          </w:p>
        </w:tc>
      </w:tr>
    </w:tbl>
    <w:p>
      <w:pPr>
        <w:pStyle w:val="940"/>
        <w:jc w:val="left"/>
        <w:spacing w:before="120" w:after="120" w:line="0" w:lineRule="atLeast"/>
        <w:rPr>
          <w:rFonts w:hint="eastAsia" w:ascii="宋体" w:hAnsi="宋体" w:cs="宋体"/>
          <w:b/>
          <w:szCs w:val="21"/>
          <w:highlight w:val="none"/>
        </w:rPr>
      </w:pPr>
      <w:r>
        <w:rPr>
          <w:rFonts w:hint="eastAsia" w:ascii="宋体" w:hAnsi="宋体" w:cs="宋体"/>
          <w:b/>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t xml:space="preserve">注：1、所有材料均须原件扫描上传。</w:t>
      </w:r>
      <w:r>
        <w:rPr>
          <w:rFonts w:hint="eastAsia" w:ascii="宋体" w:hAnsi="宋体" w:cs="宋体"/>
          <w:szCs w:val="21"/>
          <w:highlight w:val="none"/>
        </w:rPr>
      </w:r>
      <w:r/>
    </w:p>
    <w:p>
      <w:pPr>
        <w:pStyle w:val="940"/>
        <w:ind w:firstLine="420"/>
        <w:rPr>
          <w:rFonts w:hint="eastAsia" w:ascii="宋体" w:hAnsi="宋体" w:cs="宋体"/>
          <w:szCs w:val="21"/>
          <w:highlight w:val="none"/>
        </w:rPr>
      </w:pPr>
      <w:r>
        <w:rPr>
          <w:rFonts w:hint="eastAsia" w:ascii="宋体" w:hAnsi="宋体" w:cs="宋体"/>
          <w:szCs w:val="21"/>
          <w:highlight w:val="none"/>
        </w:rPr>
        <w:t xml:space="preserve">2、签订合同前，采购人有权对成交供应商提供材料的原件进行核查。</w:t>
      </w:r>
      <w:r>
        <w:rPr>
          <w:rFonts w:hint="eastAsia" w:ascii="宋体" w:hAnsi="宋体" w:cs="宋体"/>
          <w:szCs w:val="21"/>
          <w:highlight w:val="none"/>
        </w:rPr>
      </w:r>
      <w:r/>
    </w:p>
    <w:p>
      <w:pPr>
        <w:pStyle w:val="1009"/>
        <w:rPr>
          <w:rFonts w:hint="eastAsia" w:cs="宋体"/>
          <w:i/>
          <w:iCs/>
          <w:sz w:val="21"/>
          <w:szCs w:val="21"/>
          <w:highlight w:val="none"/>
          <w:u w:val="single"/>
        </w:rPr>
      </w:pPr>
      <w:r>
        <w:rPr>
          <w:rFonts w:hint="eastAsia" w:cs="宋体"/>
          <w:i/>
          <w:iCs/>
          <w:sz w:val="21"/>
          <w:szCs w:val="21"/>
          <w:highlight w:val="none"/>
          <w:u w:val="single"/>
        </w:rPr>
        <w:t xml:space="preserve">3、政府采购评审中出现下列情形之一的，评审委员会应当启动异常低价投标（响应）审查程序： </w:t>
      </w:r>
      <w:r>
        <w:rPr>
          <w:rFonts w:hint="eastAsia" w:cs="宋体"/>
          <w:i/>
          <w:iCs/>
          <w:sz w:val="21"/>
          <w:szCs w:val="21"/>
          <w:highlight w:val="none"/>
          <w:u w:val="single"/>
        </w:rPr>
      </w:r>
      <w:r/>
    </w:p>
    <w:p>
      <w:pPr>
        <w:pStyle w:val="1009"/>
        <w:rPr>
          <w:rFonts w:hint="eastAsia" w:cs="宋体"/>
          <w:i/>
          <w:iCs/>
          <w:sz w:val="21"/>
          <w:szCs w:val="21"/>
          <w:highlight w:val="none"/>
          <w:u w:val="single"/>
        </w:rPr>
      </w:pPr>
      <w:r>
        <w:rPr>
          <w:rFonts w:hint="eastAsia" w:cs="宋体"/>
          <w:i/>
          <w:iCs/>
          <w:sz w:val="21"/>
          <w:szCs w:val="21"/>
          <w:highlight w:val="none"/>
          <w:u w:val="single"/>
        </w:rPr>
        <w:t xml:space="preserve">（1）.投标（响应）报价低于全部通过符合性审查供应商投标（响应）报价平均值50%的，即投标（响应）报价&lt;全部通过符合性审查供应商投标（响应）报价平均值×50%； </w:t>
      </w:r>
      <w:r>
        <w:rPr>
          <w:rFonts w:hint="eastAsia" w:cs="宋体"/>
          <w:i/>
          <w:iCs/>
          <w:sz w:val="21"/>
          <w:szCs w:val="21"/>
          <w:highlight w:val="none"/>
          <w:u w:val="single"/>
        </w:rPr>
      </w:r>
      <w:r/>
    </w:p>
    <w:p>
      <w:pPr>
        <w:pStyle w:val="1009"/>
        <w:rPr>
          <w:rFonts w:hint="eastAsia" w:cs="宋体"/>
          <w:i/>
          <w:iCs/>
          <w:sz w:val="21"/>
          <w:szCs w:val="21"/>
          <w:highlight w:val="none"/>
          <w:u w:val="single"/>
        </w:rPr>
      </w:pPr>
      <w:r>
        <w:rPr>
          <w:rFonts w:hint="eastAsia" w:cs="宋体"/>
          <w:i/>
          <w:iCs/>
          <w:sz w:val="21"/>
          <w:szCs w:val="21"/>
          <w:highlight w:val="none"/>
          <w:u w:val="single"/>
        </w:rPr>
        <w:t xml:space="preserve">（2）.投标（响应）报价低于通过符合性审查的次低报价供应商投标（响应）报价50%的，即投标（响应）报价&lt;通过符合性审查的次低报价供应商投标（响应）报价×50%； </w:t>
      </w:r>
      <w:r>
        <w:rPr>
          <w:rFonts w:hint="eastAsia" w:cs="宋体"/>
          <w:i/>
          <w:iCs/>
          <w:sz w:val="21"/>
          <w:szCs w:val="21"/>
          <w:highlight w:val="none"/>
          <w:u w:val="single"/>
        </w:rPr>
      </w:r>
      <w:r/>
    </w:p>
    <w:p>
      <w:pPr>
        <w:pStyle w:val="1009"/>
        <w:rPr>
          <w:rFonts w:hint="eastAsia" w:cs="宋体"/>
          <w:i/>
          <w:iCs/>
          <w:sz w:val="21"/>
          <w:szCs w:val="21"/>
          <w:highlight w:val="none"/>
          <w:u w:val="single"/>
        </w:rPr>
      </w:pPr>
      <w:r>
        <w:rPr>
          <w:rFonts w:hint="eastAsia" w:cs="宋体"/>
          <w:i/>
          <w:iCs/>
          <w:sz w:val="21"/>
          <w:szCs w:val="21"/>
          <w:highlight w:val="none"/>
          <w:u w:val="single"/>
        </w:rPr>
        <w:t xml:space="preserve">（3）.投标（响应）报价低于采购项目最高限价45%的，即投标（响应）报价&lt;采购项目最高限价×45%； </w:t>
      </w:r>
      <w:r>
        <w:rPr>
          <w:rFonts w:hint="eastAsia" w:cs="宋体"/>
          <w:i/>
          <w:iCs/>
          <w:sz w:val="21"/>
          <w:szCs w:val="21"/>
          <w:highlight w:val="none"/>
          <w:u w:val="single"/>
        </w:rPr>
      </w:r>
      <w:r/>
    </w:p>
    <w:p>
      <w:pPr>
        <w:pStyle w:val="1009"/>
        <w:rPr>
          <w:rFonts w:hint="eastAsia" w:cs="宋体"/>
          <w:i/>
          <w:iCs/>
          <w:sz w:val="21"/>
          <w:szCs w:val="21"/>
          <w:highlight w:val="none"/>
          <w:u w:val="single"/>
        </w:rPr>
      </w:pPr>
      <w:r>
        <w:rPr>
          <w:rFonts w:hint="eastAsia" w:cs="宋体"/>
          <w:i/>
          <w:iCs/>
          <w:sz w:val="21"/>
          <w:szCs w:val="21"/>
          <w:highlight w:val="none"/>
          <w:u w:val="single"/>
        </w:rPr>
        <w:t xml:space="preserve">（4）.评审委员会基于专业判断，认为供应商报价过低，有可能影响产品质量或者不能诚信履约的其他情形。 </w:t>
      </w:r>
      <w:r>
        <w:rPr>
          <w:rFonts w:hint="eastAsia" w:cs="宋体"/>
          <w:i/>
          <w:iCs/>
          <w:sz w:val="21"/>
          <w:szCs w:val="21"/>
          <w:highlight w:val="none"/>
          <w:u w:val="single"/>
        </w:rPr>
      </w:r>
      <w:r/>
    </w:p>
    <w:p>
      <w:pPr>
        <w:pStyle w:val="1009"/>
        <w:rPr>
          <w:rFonts w:hint="eastAsia" w:cs="宋体"/>
          <w:i/>
          <w:iCs/>
          <w:sz w:val="21"/>
          <w:szCs w:val="21"/>
          <w:highlight w:val="none"/>
          <w:u w:val="single"/>
        </w:rPr>
      </w:pPr>
      <w:r>
        <w:rPr>
          <w:rFonts w:hint="eastAsia" w:cs="宋体"/>
          <w:i/>
          <w:iCs/>
          <w:sz w:val="21"/>
          <w:szCs w:val="21"/>
          <w:highlight w:val="none"/>
          <w:u w:val="single"/>
        </w:rPr>
        <w:t xml:space="preserve">采购人可以结合具体项目实际情况，提高上述第1项至第3项中启动异常低价投标（响应）审查的数值标准，但是最高不得超过65%。 </w:t>
      </w:r>
      <w:r>
        <w:rPr>
          <w:rFonts w:hint="eastAsia" w:cs="宋体"/>
          <w:i/>
          <w:iCs/>
          <w:sz w:val="21"/>
          <w:szCs w:val="21"/>
          <w:highlight w:val="none"/>
          <w:u w:val="single"/>
        </w:rPr>
      </w:r>
      <w:r/>
    </w:p>
    <w:p>
      <w:pPr>
        <w:pStyle w:val="940"/>
        <w:ind w:firstLine="420"/>
        <w:spacing w:line="42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4、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i/>
          <w:iCs/>
          <w:szCs w:val="21"/>
          <w:highlight w:val="none"/>
          <w:u w:val="single"/>
        </w:rPr>
      </w:r>
      <w:r/>
    </w:p>
    <w:p>
      <w:pPr>
        <w:pStyle w:val="940"/>
        <w:ind w:firstLine="420"/>
        <w:spacing w:line="42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i/>
          <w:iCs/>
          <w:szCs w:val="21"/>
          <w:highlight w:val="none"/>
          <w:u w:val="single"/>
        </w:rPr>
      </w:r>
      <w:r/>
    </w:p>
    <w:p>
      <w:pPr>
        <w:pStyle w:val="940"/>
        <w:ind w:firstLine="420"/>
        <w:spacing w:line="42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i/>
          <w:iCs/>
          <w:szCs w:val="21"/>
          <w:highlight w:val="none"/>
          <w:u w:val="single"/>
        </w:rPr>
      </w:r>
      <w:r/>
    </w:p>
    <w:p>
      <w:pPr>
        <w:pStyle w:val="940"/>
        <w:jc w:val="center"/>
        <w:keepNext/>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7"/>
        <w:ind w:firstLine="880"/>
        <w:rPr>
          <w:rFonts w:ascii="黑体" w:eastAsia="黑体"/>
          <w:bCs/>
          <w:sz w:val="44"/>
          <w:szCs w:val="28"/>
          <w:highlight w:val="none"/>
        </w:rPr>
      </w:pPr>
      <w:r>
        <w:rPr>
          <w:rFonts w:ascii="黑体" w:eastAsia="黑体"/>
          <w:bCs/>
          <w:sz w:val="44"/>
          <w:szCs w:val="28"/>
          <w:highlight w:val="none"/>
        </w:rPr>
      </w:r>
      <w:r/>
    </w:p>
    <w:p>
      <w:pPr>
        <w:pStyle w:val="1018"/>
        <w:rPr>
          <w:rFonts w:ascii="黑体" w:eastAsia="黑体"/>
          <w:bCs/>
          <w:sz w:val="44"/>
          <w:highlight w:val="none"/>
          <w:lang w:eastAsia="zh-CN"/>
        </w:rPr>
      </w:pPr>
      <w:r>
        <w:rPr>
          <w:rFonts w:ascii="黑体" w:eastAsia="黑体"/>
          <w:bCs/>
          <w:sz w:val="44"/>
          <w:highlight w:val="none"/>
          <w:lang w:eastAsia="zh-CN"/>
        </w:rPr>
      </w:r>
      <w:r/>
    </w:p>
    <w:p>
      <w:pPr>
        <w:pStyle w:val="940"/>
        <w:jc w:val="center"/>
        <w:keepNext/>
        <w:rPr>
          <w:rFonts w:hint="eastAsia" w:ascii="黑体" w:eastAsia="黑体"/>
          <w:bCs/>
          <w:sz w:val="44"/>
          <w:szCs w:val="28"/>
          <w:highlight w:val="none"/>
        </w:rPr>
        <w:outlineLvl w:val="0"/>
      </w:pPr>
      <w:r/>
      <w:bookmarkStart w:id="204" w:name="_Toc16121"/>
      <w:r>
        <w:rPr>
          <w:rFonts w:hint="eastAsia" w:ascii="黑体" w:eastAsia="黑体"/>
          <w:bCs/>
          <w:sz w:val="44"/>
          <w:szCs w:val="28"/>
          <w:highlight w:val="none"/>
        </w:rPr>
        <w:t xml:space="preserve">第六章  </w:t>
      </w:r>
      <w:bookmarkEnd w:id="182"/>
      <w:r/>
      <w:bookmarkEnd w:id="183"/>
      <w:r/>
      <w:bookmarkEnd w:id="185"/>
      <w:r>
        <w:rPr>
          <w:rFonts w:hint="eastAsia" w:ascii="黑体" w:eastAsia="黑体"/>
          <w:bCs/>
          <w:sz w:val="44"/>
          <w:szCs w:val="28"/>
          <w:highlight w:val="none"/>
        </w:rPr>
        <w:t xml:space="preserve">响应文件格式</w:t>
      </w:r>
      <w:bookmarkEnd w:id="204"/>
      <w:r>
        <w:rPr>
          <w:rFonts w:hint="eastAsia" w:ascii="黑体" w:eastAsia="黑体"/>
          <w:bCs/>
          <w:sz w:val="44"/>
          <w:szCs w:val="28"/>
          <w:highlight w:val="none"/>
        </w:rPr>
        <w:t xml:space="preserve"> </w:t>
      </w:r>
      <w:r>
        <w:rPr>
          <w:rFonts w:hint="eastAsia" w:ascii="黑体" w:eastAsia="黑体"/>
          <w:bCs/>
          <w:sz w:val="44"/>
          <w:szCs w:val="28"/>
          <w:highlight w:val="none"/>
        </w:rPr>
      </w:r>
      <w:r/>
    </w:p>
    <w:p>
      <w:pPr>
        <w:pStyle w:val="940"/>
        <w:jc w:val="center"/>
        <w:rPr>
          <w:rFonts w:hint="eastAsia" w:ascii="宋体" w:hAnsi="宋体"/>
          <w:b/>
          <w:sz w:val="72"/>
          <w:szCs w:val="21"/>
          <w:highlight w:val="none"/>
        </w:rPr>
      </w:pPr>
      <w:r/>
      <w:bookmarkStart w:id="205" w:name="_Hlt26671244"/>
      <w:r/>
      <w:bookmarkEnd w:id="205"/>
      <w:r/>
      <w:bookmarkStart w:id="206" w:name="_Hlt26955039"/>
      <w:r/>
      <w:bookmarkEnd w:id="206"/>
      <w:r/>
      <w:bookmarkStart w:id="207" w:name="_Toc120614282"/>
      <w:r/>
      <w:bookmarkStart w:id="208" w:name="_Toc26554094"/>
      <w:r/>
      <w:bookmarkStart w:id="209" w:name="_Toc49090576"/>
      <w:r>
        <w:rPr>
          <w:rFonts w:hint="eastAsia" w:ascii="宋体" w:hAnsi="宋体"/>
          <w:b/>
          <w:sz w:val="72"/>
          <w:szCs w:val="21"/>
          <w:highlight w:val="none"/>
        </w:rPr>
      </w:r>
      <w:r/>
    </w:p>
    <w:p>
      <w:pPr>
        <w:pStyle w:val="940"/>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940"/>
        <w:jc w:val="center"/>
        <w:rPr>
          <w:rFonts w:hint="eastAsia" w:ascii="宋体" w:hAnsi="宋体"/>
          <w:b/>
          <w:sz w:val="72"/>
          <w:szCs w:val="21"/>
          <w:highlight w:val="none"/>
        </w:rPr>
      </w:pPr>
      <w:r>
        <w:rPr>
          <w:rFonts w:hint="eastAsia" w:ascii="宋体" w:hAnsi="宋体"/>
          <w:b/>
          <w:sz w:val="72"/>
          <w:szCs w:val="21"/>
          <w:highlight w:val="none"/>
        </w:rPr>
      </w:r>
      <w:r/>
    </w:p>
    <w:p>
      <w:pPr>
        <w:pStyle w:val="940"/>
        <w:jc w:val="center"/>
        <w:rPr>
          <w:rFonts w:hint="eastAsia" w:ascii="宋体" w:hAnsi="宋体"/>
          <w:b/>
          <w:sz w:val="72"/>
          <w:szCs w:val="21"/>
          <w:highlight w:val="none"/>
        </w:rPr>
      </w:pPr>
      <w:r>
        <w:rPr>
          <w:rFonts w:hint="eastAsia" w:ascii="宋体" w:hAnsi="宋体"/>
          <w:b/>
          <w:sz w:val="72"/>
          <w:szCs w:val="21"/>
          <w:highlight w:val="none"/>
        </w:rPr>
      </w:r>
      <w:r/>
    </w:p>
    <w:p>
      <w:pPr>
        <w:pStyle w:val="940"/>
        <w:jc w:val="center"/>
        <w:rPr>
          <w:rFonts w:hint="eastAsia" w:ascii="宋体" w:hAnsi="宋体"/>
          <w:b/>
          <w:sz w:val="36"/>
          <w:szCs w:val="21"/>
          <w:highlight w:val="none"/>
        </w:rPr>
      </w:pPr>
      <w:r>
        <w:rPr>
          <w:rFonts w:hint="eastAsia" w:ascii="宋体" w:hAnsi="宋体"/>
          <w:b/>
          <w:sz w:val="36"/>
          <w:szCs w:val="21"/>
          <w:highlight w:val="none"/>
        </w:rPr>
      </w:r>
      <w:r/>
    </w:p>
    <w:p>
      <w:pPr>
        <w:pStyle w:val="940"/>
        <w:jc w:val="center"/>
        <w:rPr>
          <w:rFonts w:hint="eastAsia" w:ascii="宋体" w:hAnsi="宋体"/>
          <w:b/>
          <w:sz w:val="36"/>
          <w:szCs w:val="21"/>
          <w:highlight w:val="none"/>
        </w:rPr>
      </w:pPr>
      <w:r>
        <w:rPr>
          <w:rFonts w:hint="eastAsia" w:ascii="宋体" w:hAnsi="宋体"/>
          <w:b/>
          <w:sz w:val="36"/>
          <w:szCs w:val="21"/>
          <w:highlight w:val="none"/>
        </w:rPr>
      </w:r>
      <w:r/>
    </w:p>
    <w:p>
      <w:pPr>
        <w:pStyle w:val="940"/>
        <w:jc w:val="center"/>
        <w:rPr>
          <w:rFonts w:hint="eastAsia" w:ascii="宋体" w:hAnsi="宋体"/>
          <w:b/>
          <w:sz w:val="36"/>
          <w:szCs w:val="21"/>
          <w:highlight w:val="none"/>
        </w:rPr>
      </w:pPr>
      <w:r>
        <w:rPr>
          <w:rFonts w:hint="eastAsia" w:ascii="宋体" w:hAnsi="宋体"/>
          <w:b/>
          <w:sz w:val="36"/>
          <w:szCs w:val="21"/>
          <w:highlight w:val="none"/>
        </w:rPr>
      </w:r>
      <w:r/>
    </w:p>
    <w:p>
      <w:pPr>
        <w:pStyle w:val="940"/>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rPr>
      </w:r>
      <w:r/>
    </w:p>
    <w:p>
      <w:pPr>
        <w:pStyle w:val="940"/>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940"/>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rPr>
          <w:rFonts w:hint="eastAsia" w:ascii="宋体" w:hAnsi="宋体"/>
          <w:b/>
          <w:sz w:val="36"/>
          <w:szCs w:val="21"/>
          <w:highlight w:val="none"/>
          <w:u w:val="single"/>
        </w:rPr>
      </w:r>
      <w:r/>
    </w:p>
    <w:p>
      <w:pPr>
        <w:pStyle w:val="940"/>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940"/>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40"/>
        <w:spacing w:line="440" w:lineRule="exact"/>
        <w:rPr>
          <w:rFonts w:ascii="宋体" w:hAnsi="宋体"/>
          <w:szCs w:val="21"/>
          <w:highlight w:val="none"/>
        </w:rPr>
      </w:pPr>
      <w:r>
        <w:rPr>
          <w:rFonts w:ascii="宋体" w:hAnsi="宋体"/>
          <w:szCs w:val="21"/>
          <w:highlight w:val="none"/>
        </w:rPr>
      </w:r>
      <w:r/>
    </w:p>
    <w:p>
      <w:pPr>
        <w:pStyle w:val="940"/>
        <w:ind w:firstLine="1084"/>
        <w:rPr>
          <w:rFonts w:hint="eastAsia" w:ascii="宋体" w:hAnsi="宋体" w:cs="宋体"/>
          <w:b/>
          <w:bCs/>
          <w:sz w:val="32"/>
          <w:szCs w:val="32"/>
          <w:highlight w:val="none"/>
        </w:rPr>
      </w:pPr>
      <w:r>
        <w:rPr>
          <w:rFonts w:ascii="宋体" w:hAnsi="宋体"/>
          <w:b/>
          <w:sz w:val="36"/>
          <w:szCs w:val="21"/>
          <w:highlight w:val="none"/>
          <w:u w:val="single"/>
        </w:rPr>
        <w:br w:type="page" w:clear="all"/>
      </w:r>
      <w:r>
        <w:rPr>
          <w:rFonts w:hint="eastAsia" w:ascii="宋体" w:hAnsi="宋体" w:cs="宋体"/>
          <w:b/>
          <w:bCs/>
          <w:sz w:val="32"/>
          <w:szCs w:val="32"/>
          <w:highlight w:val="none"/>
        </w:rPr>
      </w:r>
      <w:r/>
    </w:p>
    <w:p>
      <w:pPr>
        <w:pStyle w:val="940"/>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响应文件目录</w:t>
      </w:r>
      <w:r>
        <w:rPr>
          <w:rFonts w:hint="eastAsia" w:ascii="宋体" w:hAnsi="宋体" w:cs="宋体"/>
          <w:b/>
          <w:bCs/>
          <w:sz w:val="32"/>
          <w:szCs w:val="32"/>
          <w:highlight w:val="none"/>
        </w:rPr>
      </w:r>
      <w:r/>
    </w:p>
    <w:p>
      <w:pPr>
        <w:pStyle w:val="940"/>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940"/>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一、法人或者其他组织的营业执照等证明文件，自然人的身份证明</w:t>
      </w:r>
      <w:r>
        <w:rPr>
          <w:rFonts w:hint="eastAsia" w:ascii="宋体" w:hAnsi="宋体" w:cs="宋体"/>
          <w:i/>
          <w:sz w:val="24"/>
          <w:szCs w:val="21"/>
          <w:highlight w:val="none"/>
          <w:u w:val="single"/>
        </w:rPr>
      </w:r>
      <w:r/>
    </w:p>
    <w:p>
      <w:pPr>
        <w:pStyle w:val="940"/>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二、上一年度的财务状况报告（磋商供应商成立不满一年无需提供）</w:t>
      </w:r>
      <w:r>
        <w:rPr>
          <w:rFonts w:hint="eastAsia" w:ascii="宋体" w:hAnsi="宋体" w:cs="宋体"/>
          <w:i/>
          <w:sz w:val="24"/>
          <w:szCs w:val="21"/>
          <w:highlight w:val="none"/>
          <w:u w:val="single"/>
        </w:rPr>
      </w:r>
      <w:r/>
    </w:p>
    <w:p>
      <w:pPr>
        <w:pStyle w:val="940"/>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cs="宋体"/>
          <w:i/>
          <w:sz w:val="24"/>
          <w:szCs w:val="21"/>
          <w:highlight w:val="none"/>
          <w:u w:val="single"/>
        </w:rPr>
      </w:r>
      <w:r/>
    </w:p>
    <w:p>
      <w:pPr>
        <w:pStyle w:val="940"/>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四、具备履行合同所必需的设备和专业技术能力的书面声明</w:t>
      </w:r>
      <w:r>
        <w:rPr>
          <w:rFonts w:hint="eastAsia" w:ascii="宋体" w:hAnsi="宋体" w:cs="宋体"/>
          <w:i/>
          <w:sz w:val="24"/>
          <w:szCs w:val="21"/>
          <w:highlight w:val="none"/>
          <w:u w:val="single"/>
        </w:rPr>
      </w:r>
      <w:r/>
    </w:p>
    <w:p>
      <w:pPr>
        <w:pStyle w:val="940"/>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五、参加政府采购活动前 3 年内在经营活动中没有重大违法记录的书面声明</w:t>
      </w:r>
      <w:r>
        <w:rPr>
          <w:rFonts w:hint="eastAsia" w:ascii="宋体" w:hAnsi="宋体" w:cs="宋体"/>
          <w:i/>
          <w:sz w:val="24"/>
          <w:szCs w:val="21"/>
          <w:highlight w:val="none"/>
          <w:u w:val="single"/>
        </w:rPr>
      </w:r>
      <w:r/>
    </w:p>
    <w:p>
      <w:pPr>
        <w:pStyle w:val="940"/>
        <w:ind w:firstLine="480"/>
        <w:spacing w:line="440" w:lineRule="exact"/>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六、供应商信用承诺函</w:t>
      </w:r>
      <w:r>
        <w:rPr>
          <w:rFonts w:hint="eastAsia" w:ascii="宋体" w:hAnsi="宋体" w:cs="宋体"/>
          <w:i/>
          <w:iCs/>
          <w:sz w:val="24"/>
          <w:szCs w:val="24"/>
          <w:highlight w:val="none"/>
          <w:u w:val="single"/>
        </w:rPr>
      </w:r>
      <w:r/>
    </w:p>
    <w:p>
      <w:pPr>
        <w:pStyle w:val="940"/>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七、特定资格要求的证明文件（如果本项目设置特定资格要求，则需要提供）</w:t>
      </w:r>
      <w:r>
        <w:rPr>
          <w:rFonts w:hint="eastAsia" w:ascii="宋体" w:hAnsi="宋体" w:cs="宋体"/>
          <w:i/>
          <w:sz w:val="24"/>
          <w:szCs w:val="21"/>
          <w:highlight w:val="none"/>
          <w:u w:val="single"/>
        </w:rPr>
      </w:r>
      <w:r/>
    </w:p>
    <w:p>
      <w:pPr>
        <w:pStyle w:val="940"/>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八、法人授权书</w:t>
      </w:r>
      <w:r>
        <w:rPr>
          <w:rFonts w:hint="eastAsia" w:ascii="宋体" w:hAnsi="宋体" w:cs="宋体"/>
          <w:i/>
          <w:sz w:val="24"/>
          <w:szCs w:val="21"/>
          <w:highlight w:val="none"/>
          <w:u w:val="single"/>
        </w:rPr>
      </w:r>
      <w:r/>
    </w:p>
    <w:p>
      <w:pPr>
        <w:pStyle w:val="940"/>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九、磋商响应函</w:t>
      </w:r>
      <w:r>
        <w:rPr>
          <w:rFonts w:hint="eastAsia" w:ascii="宋体" w:hAnsi="宋体" w:cs="宋体"/>
          <w:i/>
          <w:sz w:val="24"/>
          <w:szCs w:val="21"/>
          <w:highlight w:val="none"/>
          <w:u w:val="single"/>
        </w:rPr>
      </w:r>
      <w:r/>
    </w:p>
    <w:p>
      <w:pPr>
        <w:pStyle w:val="940"/>
        <w:ind w:firstLine="480"/>
        <w:spacing w:line="440" w:lineRule="exact"/>
        <w:rPr>
          <w:rFonts w:hint="eastAsia" w:ascii="宋体" w:hAnsi="宋体" w:cs="宋体"/>
          <w:sz w:val="24"/>
          <w:szCs w:val="24"/>
          <w:highlight w:val="none"/>
        </w:rPr>
      </w:pPr>
      <w:r>
        <w:rPr>
          <w:rFonts w:hint="eastAsia" w:ascii="宋体" w:hAnsi="宋体" w:cs="宋体"/>
          <w:sz w:val="24"/>
          <w:szCs w:val="21"/>
          <w:highlight w:val="none"/>
        </w:rPr>
        <w:t xml:space="preserve">十、</w:t>
      </w:r>
      <w:r>
        <w:rPr>
          <w:rFonts w:hint="eastAsia" w:ascii="宋体" w:hAnsi="宋体" w:cs="宋体"/>
          <w:sz w:val="24"/>
          <w:szCs w:val="24"/>
          <w:highlight w:val="none"/>
        </w:rPr>
        <w:t xml:space="preserve">企业报价折扣证明（</w:t>
      </w:r>
      <w:r>
        <w:rPr>
          <w:rFonts w:hint="eastAsia" w:ascii="宋体" w:hAnsi="宋体" w:cs="宋体"/>
          <w:i/>
          <w:iCs/>
          <w:sz w:val="24"/>
          <w:szCs w:val="24"/>
          <w:highlight w:val="none"/>
          <w:u w:val="single"/>
        </w:rPr>
        <w:t xml:space="preserve">中小企业声明函</w:t>
      </w:r>
      <w:r>
        <w:rPr>
          <w:rFonts w:hint="eastAsia" w:ascii="宋体" w:hAnsi="宋体" w:cs="宋体"/>
          <w:sz w:val="24"/>
          <w:szCs w:val="24"/>
          <w:highlight w:val="none"/>
        </w:rPr>
        <w:t xml:space="preserve">、残疾人福利性单位声明函）</w:t>
      </w:r>
      <w:r>
        <w:rPr>
          <w:rFonts w:hint="eastAsia" w:ascii="宋体" w:hAnsi="宋体" w:cs="宋体"/>
          <w:sz w:val="24"/>
          <w:szCs w:val="24"/>
          <w:highlight w:val="none"/>
        </w:rPr>
      </w:r>
      <w:r/>
    </w:p>
    <w:p>
      <w:pPr>
        <w:pStyle w:val="940"/>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十一、分项报价表</w:t>
      </w:r>
      <w:r>
        <w:rPr>
          <w:rFonts w:hint="eastAsia" w:ascii="宋体" w:hAnsi="宋体" w:cs="宋体"/>
          <w:sz w:val="24"/>
          <w:szCs w:val="21"/>
          <w:highlight w:val="none"/>
        </w:rPr>
      </w:r>
      <w:r/>
    </w:p>
    <w:p>
      <w:pPr>
        <w:pStyle w:val="940"/>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十二、技术要求响应及偏离表</w:t>
      </w:r>
      <w:r>
        <w:rPr>
          <w:rFonts w:hint="eastAsia" w:ascii="宋体" w:hAnsi="宋体" w:cs="宋体"/>
          <w:sz w:val="24"/>
          <w:szCs w:val="21"/>
          <w:highlight w:val="none"/>
        </w:rPr>
      </w:r>
      <w:r/>
    </w:p>
    <w:p>
      <w:pPr>
        <w:pStyle w:val="940"/>
        <w:ind w:firstLine="480"/>
        <w:spacing w:line="440" w:lineRule="exact"/>
        <w:rPr>
          <w:rFonts w:ascii="宋体" w:hAnsi="宋体" w:cs="宋体"/>
          <w:sz w:val="24"/>
          <w:szCs w:val="21"/>
          <w:highlight w:val="none"/>
        </w:rPr>
      </w:pPr>
      <w:r>
        <w:rPr>
          <w:rFonts w:hint="eastAsia" w:ascii="宋体" w:hAnsi="宋体" w:cs="宋体"/>
          <w:sz w:val="24"/>
          <w:szCs w:val="21"/>
          <w:highlight w:val="none"/>
        </w:rPr>
        <w:t xml:space="preserve">十三、商务要求响应及偏离表</w:t>
      </w:r>
      <w:r>
        <w:rPr>
          <w:rFonts w:ascii="宋体" w:hAnsi="宋体" w:cs="宋体"/>
          <w:sz w:val="24"/>
          <w:szCs w:val="21"/>
          <w:highlight w:val="none"/>
        </w:rPr>
      </w:r>
      <w:r/>
    </w:p>
    <w:p>
      <w:pPr>
        <w:pStyle w:val="940"/>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十四、主要标的信息</w:t>
      </w:r>
      <w:r>
        <w:rPr>
          <w:rFonts w:hint="eastAsia" w:ascii="宋体" w:hAnsi="宋体" w:cs="宋体"/>
          <w:sz w:val="24"/>
          <w:szCs w:val="21"/>
          <w:highlight w:val="none"/>
        </w:rPr>
      </w:r>
      <w:r/>
    </w:p>
    <w:p>
      <w:pPr>
        <w:pStyle w:val="940"/>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r>
      <w:r/>
    </w:p>
    <w:p>
      <w:pPr>
        <w:pStyle w:val="940"/>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pStyle w:val="940"/>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pStyle w:val="940"/>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pStyle w:val="940"/>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pStyle w:val="940"/>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1"/>
          <w:highlight w:val="none"/>
        </w:rPr>
      </w:r>
      <w:r>
        <w:rPr>
          <w:rFonts w:hint="eastAsia" w:ascii="宋体" w:hAnsi="宋体" w:cs="宋体"/>
          <w:sz w:val="24"/>
          <w:szCs w:val="21"/>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pStyle w:val="940"/>
        <w:ind w:firstLine="480"/>
        <w:spacing w:line="440" w:lineRule="exact"/>
        <w:rPr>
          <w:rFonts w:hint="eastAsia" w:ascii="宋体" w:hAnsi="宋体" w:cs="宋体"/>
          <w:sz w:val="24"/>
          <w:szCs w:val="24"/>
          <w:highlight w:val="none"/>
        </w:rPr>
      </w:pPr>
      <w:r>
        <w:rPr>
          <w:rFonts w:hint="eastAsia" w:ascii="宋体" w:hAnsi="宋体" w:cs="宋体"/>
          <w:sz w:val="24"/>
          <w:szCs w:val="21"/>
          <w:highlight w:val="none"/>
        </w:rPr>
      </w:r>
      <w:r/>
    </w:p>
    <w:p>
      <w:pPr>
        <w:pStyle w:val="940"/>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pStyle w:val="940"/>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pStyle w:val="940"/>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pStyle w:val="940"/>
        <w:rPr>
          <w:rFonts w:hint="eastAsia" w:ascii="宋体" w:hAnsi="宋体" w:cs="宋体"/>
          <w:i/>
          <w:sz w:val="32"/>
          <w:szCs w:val="32"/>
          <w:highlight w:val="none"/>
          <w:u w:val="single"/>
        </w:rPr>
      </w:pPr>
      <w:r>
        <w:rPr>
          <w:rFonts w:hint="eastAsia" w:ascii="宋体" w:hAnsi="宋体" w:cs="宋体"/>
          <w:i/>
          <w:sz w:val="32"/>
          <w:szCs w:val="32"/>
          <w:highlight w:val="none"/>
          <w:u w:val="single"/>
        </w:rPr>
        <w:t xml:space="preserve">一、法人或者其他组织的营业执照等证明文件，自然人的身份证明</w:t>
      </w:r>
      <w:r>
        <w:rPr>
          <w:rFonts w:hint="eastAsia" w:ascii="宋体" w:hAnsi="宋体" w:cs="宋体"/>
          <w:i/>
          <w:sz w:val="32"/>
          <w:szCs w:val="32"/>
          <w:highlight w:val="none"/>
          <w:u w:val="single"/>
        </w:rPr>
      </w:r>
      <w:r/>
    </w:p>
    <w:p>
      <w:pPr>
        <w:pStyle w:val="940"/>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pStyle w:val="940"/>
        <w:rPr>
          <w:rFonts w:hint="eastAsia" w:ascii="宋体" w:hAnsi="宋体" w:cs="宋体"/>
          <w:i/>
          <w:sz w:val="32"/>
          <w:szCs w:val="32"/>
          <w:highlight w:val="none"/>
          <w:u w:val="single"/>
        </w:rPr>
      </w:pPr>
      <w:r>
        <w:rPr>
          <w:rFonts w:hint="eastAsia" w:ascii="宋体" w:hAnsi="宋体" w:cs="宋体"/>
          <w:i/>
          <w:sz w:val="32"/>
          <w:szCs w:val="32"/>
          <w:highlight w:val="none"/>
          <w:u w:val="single"/>
        </w:rPr>
        <w:t xml:space="preserve">二、上一年度的财务状况报告</w:t>
      </w:r>
      <w:r>
        <w:rPr>
          <w:rFonts w:hint="eastAsia" w:ascii="宋体" w:hAnsi="宋体" w:cs="宋体"/>
          <w:i/>
          <w:sz w:val="32"/>
          <w:szCs w:val="32"/>
          <w:highlight w:val="none"/>
          <w:u w:val="single"/>
        </w:rPr>
      </w:r>
      <w:r/>
    </w:p>
    <w:p>
      <w:pPr>
        <w:pStyle w:val="940"/>
        <w:ind w:firstLine="480"/>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供应商成立不满一年无需提供</w:t>
      </w:r>
      <w:r>
        <w:rPr>
          <w:rFonts w:hint="eastAsia" w:ascii="宋体" w:hAnsi="宋体" w:cs="宋体"/>
          <w:bCs/>
          <w:sz w:val="24"/>
          <w:szCs w:val="21"/>
          <w:highlight w:val="none"/>
        </w:rPr>
      </w:r>
      <w:r/>
    </w:p>
    <w:p>
      <w:pPr>
        <w:pStyle w:val="940"/>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940"/>
        <w:rPr>
          <w:rFonts w:hint="eastAsia" w:ascii="宋体" w:hAnsi="宋体" w:cs="宋体"/>
          <w:i/>
          <w:sz w:val="32"/>
          <w:szCs w:val="32"/>
          <w:highlight w:val="none"/>
          <w:u w:val="single"/>
        </w:rPr>
      </w:pPr>
      <w:r>
        <w:rPr>
          <w:rFonts w:hint="eastAsia" w:ascii="宋体" w:hAnsi="宋体" w:cs="宋体"/>
          <w:i/>
          <w:sz w:val="32"/>
          <w:szCs w:val="32"/>
          <w:highlight w:val="none"/>
          <w:u w:val="single"/>
        </w:rPr>
        <w:t xml:space="preserve">三、依法缴纳税收和社会保障资金的相关材料</w:t>
      </w:r>
      <w:r>
        <w:rPr>
          <w:rFonts w:hint="eastAsia" w:ascii="宋体" w:hAnsi="宋体" w:cs="宋体"/>
          <w:i/>
          <w:sz w:val="32"/>
          <w:szCs w:val="32"/>
          <w:highlight w:val="none"/>
          <w:u w:val="single"/>
        </w:rPr>
      </w:r>
      <w:r/>
    </w:p>
    <w:p>
      <w:pPr>
        <w:pStyle w:val="940"/>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s="宋体"/>
          <w:bCs/>
          <w:sz w:val="24"/>
          <w:szCs w:val="21"/>
          <w:highlight w:val="none"/>
        </w:rPr>
      </w:r>
      <w:r/>
    </w:p>
    <w:p>
      <w:pPr>
        <w:pStyle w:val="940"/>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940"/>
        <w:rPr>
          <w:rFonts w:hint="eastAsia" w:ascii="宋体" w:hAnsi="宋体" w:cs="宋体"/>
          <w:i/>
          <w:sz w:val="32"/>
          <w:szCs w:val="32"/>
          <w:highlight w:val="none"/>
          <w:u w:val="single"/>
        </w:rPr>
      </w:pPr>
      <w:r>
        <w:rPr>
          <w:rFonts w:hint="eastAsia" w:ascii="宋体" w:hAnsi="宋体" w:cs="宋体"/>
          <w:i/>
          <w:sz w:val="32"/>
          <w:szCs w:val="32"/>
          <w:highlight w:val="none"/>
          <w:u w:val="single"/>
        </w:rPr>
        <w:t xml:space="preserve">四、具备履行合同所必需的设备和专业技术能力的书面声明</w:t>
      </w:r>
      <w:r>
        <w:rPr>
          <w:rFonts w:hint="eastAsia" w:ascii="宋体" w:hAnsi="宋体" w:cs="宋体"/>
          <w:i/>
          <w:sz w:val="32"/>
          <w:szCs w:val="32"/>
          <w:highlight w:val="none"/>
          <w:u w:val="single"/>
        </w:rPr>
      </w:r>
      <w:r/>
    </w:p>
    <w:p>
      <w:pPr>
        <w:pStyle w:val="940"/>
        <w:ind w:firstLine="492"/>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 w:val="24"/>
          <w:szCs w:val="21"/>
          <w:highlight w:val="none"/>
        </w:rPr>
      </w:r>
      <w:r/>
    </w:p>
    <w:p>
      <w:pPr>
        <w:pStyle w:val="940"/>
        <w:ind w:firstLine="492"/>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主要设备有：</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w:t>
      </w:r>
      <w:r>
        <w:rPr>
          <w:rFonts w:hint="eastAsia" w:ascii="宋体" w:hAnsi="宋体" w:cs="宋体"/>
          <w:bCs/>
          <w:sz w:val="24"/>
          <w:szCs w:val="21"/>
          <w:highlight w:val="none"/>
        </w:rPr>
      </w:r>
      <w:r/>
    </w:p>
    <w:p>
      <w:pPr>
        <w:pStyle w:val="940"/>
        <w:ind w:firstLine="492"/>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主要专业技术能力有：</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w:t>
      </w:r>
      <w:r>
        <w:rPr>
          <w:rFonts w:hint="eastAsia" w:ascii="宋体" w:hAnsi="宋体" w:cs="宋体"/>
          <w:bCs/>
          <w:sz w:val="24"/>
          <w:szCs w:val="21"/>
          <w:highlight w:val="none"/>
        </w:rPr>
      </w:r>
      <w:r/>
    </w:p>
    <w:p>
      <w:pPr>
        <w:pStyle w:val="94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                                     </w:t>
      </w:r>
      <w:r>
        <w:rPr>
          <w:rFonts w:hint="eastAsia" w:ascii="宋体" w:hAnsi="宋体" w:cs="宋体"/>
          <w:bCs/>
          <w:sz w:val="24"/>
          <w:szCs w:val="21"/>
          <w:highlight w:val="none"/>
        </w:rPr>
      </w:r>
      <w:r/>
    </w:p>
    <w:p>
      <w:pPr>
        <w:pStyle w:val="940"/>
        <w:rPr>
          <w:rFonts w:hint="eastAsia" w:ascii="宋体" w:hAnsi="宋体" w:cs="宋体"/>
          <w:szCs w:val="21"/>
          <w:highlight w:val="none"/>
        </w:rPr>
      </w:pPr>
      <w:r>
        <w:rPr>
          <w:rFonts w:hint="eastAsia" w:ascii="宋体" w:hAnsi="宋体" w:cs="宋体"/>
          <w:szCs w:val="21"/>
          <w:highlight w:val="none"/>
        </w:rPr>
      </w:r>
      <w:r/>
    </w:p>
    <w:p>
      <w:pPr>
        <w:pStyle w:val="940"/>
        <w:rPr>
          <w:rFonts w:hint="eastAsia" w:ascii="宋体" w:hAnsi="宋体" w:cs="宋体"/>
          <w:i/>
          <w:sz w:val="32"/>
          <w:szCs w:val="32"/>
          <w:highlight w:val="none"/>
          <w:u w:val="single"/>
        </w:rPr>
      </w:pPr>
      <w:r>
        <w:rPr>
          <w:rFonts w:hint="eastAsia" w:ascii="宋体" w:hAnsi="宋体" w:cs="宋体"/>
          <w:i/>
          <w:sz w:val="32"/>
          <w:szCs w:val="32"/>
          <w:highlight w:val="none"/>
          <w:u w:val="single"/>
        </w:rPr>
        <w:t xml:space="preserve">五、参加政府采购活动前 3 年内在经营活动中没有重大违法记录的书面声明</w:t>
      </w:r>
      <w:r>
        <w:rPr>
          <w:rFonts w:hint="eastAsia" w:ascii="宋体" w:hAnsi="宋体" w:cs="宋体"/>
          <w:i/>
          <w:sz w:val="32"/>
          <w:szCs w:val="32"/>
          <w:highlight w:val="none"/>
          <w:u w:val="single"/>
        </w:rPr>
      </w:r>
      <w:r/>
    </w:p>
    <w:p>
      <w:pPr>
        <w:pStyle w:val="940"/>
        <w:spacing w:line="46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                 声  明</w:t>
      </w:r>
      <w:r>
        <w:rPr>
          <w:rFonts w:hint="eastAsia" w:ascii="宋体" w:hAnsi="宋体" w:cs="宋体"/>
          <w:b/>
          <w:bCs/>
          <w:sz w:val="44"/>
          <w:szCs w:val="44"/>
          <w:highlight w:val="none"/>
        </w:rPr>
      </w:r>
      <w:r/>
    </w:p>
    <w:p>
      <w:pPr>
        <w:pStyle w:val="940"/>
        <w:spacing w:line="460" w:lineRule="exact"/>
        <w:rPr>
          <w:rFonts w:hint="eastAsia" w:ascii="宋体" w:hAnsi="宋体" w:cs="宋体"/>
          <w:bCs/>
          <w:sz w:val="24"/>
          <w:szCs w:val="21"/>
          <w:highlight w:val="none"/>
        </w:rPr>
      </w:pPr>
      <w:r>
        <w:rPr>
          <w:rFonts w:hint="eastAsia" w:ascii="宋体" w:hAnsi="宋体" w:cs="宋体"/>
          <w:b/>
          <w:bCs/>
          <w:sz w:val="24"/>
          <w:szCs w:val="21"/>
          <w:highlight w:val="none"/>
        </w:rPr>
        <w:t xml:space="preserve">    </w:t>
      </w:r>
      <w:r>
        <w:rPr>
          <w:rFonts w:hint="eastAsia" w:ascii="宋体" w:hAnsi="宋体" w:cs="宋体"/>
          <w:bCs/>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szCs w:val="21"/>
          <w:highlight w:val="none"/>
        </w:rPr>
      </w:r>
      <w:r/>
    </w:p>
    <w:p>
      <w:pPr>
        <w:pStyle w:val="940"/>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940"/>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rPr>
          <w:rFonts w:hint="eastAsia" w:ascii="宋体" w:hAnsi="宋体" w:cs="宋体"/>
          <w:bCs/>
          <w:i/>
          <w:sz w:val="32"/>
          <w:szCs w:val="32"/>
          <w:highlight w:val="none"/>
          <w:u w:val="single"/>
        </w:rPr>
      </w:pPr>
      <w:r>
        <w:rPr>
          <w:rFonts w:hint="eastAsia" w:ascii="宋体" w:hAnsi="宋体" w:cs="宋体"/>
          <w:i/>
          <w:sz w:val="32"/>
          <w:szCs w:val="32"/>
          <w:highlight w:val="none"/>
          <w:u w:val="single"/>
        </w:rPr>
      </w:r>
      <w:r>
        <w:rPr>
          <w:rFonts w:hint="eastAsia" w:ascii="宋体" w:hAnsi="宋体" w:cs="宋体"/>
          <w:i/>
          <w:sz w:val="32"/>
          <w:szCs w:val="32"/>
          <w:highlight w:val="none"/>
          <w:u w:val="single"/>
        </w:rPr>
      </w:r>
      <w:r/>
    </w:p>
    <w:p>
      <w:pPr>
        <w:rPr>
          <w:rFonts w:hint="eastAsia" w:ascii="宋体" w:hAnsi="宋体" w:cs="宋体"/>
          <w:bCs/>
          <w:i/>
          <w:sz w:val="32"/>
          <w:szCs w:val="32"/>
          <w:highlight w:val="none"/>
          <w:u w:val="single"/>
        </w:rPr>
      </w:pPr>
      <w:r>
        <w:rPr>
          <w:rFonts w:hint="eastAsia" w:ascii="宋体" w:hAnsi="宋体" w:cs="宋体"/>
          <w:bCs/>
          <w:i/>
          <w:sz w:val="32"/>
          <w:szCs w:val="32"/>
          <w:highlight w:val="none"/>
          <w:u w:val="single"/>
        </w:rPr>
      </w:r>
      <w:r>
        <w:rPr>
          <w:rFonts w:hint="eastAsia" w:ascii="宋体" w:hAnsi="宋体" w:cs="宋体"/>
          <w:bCs/>
          <w:i/>
          <w:sz w:val="32"/>
          <w:szCs w:val="32"/>
          <w:highlight w:val="none"/>
          <w:u w:val="single"/>
        </w:rPr>
      </w:r>
      <w:r/>
    </w:p>
    <w:p>
      <w:pPr>
        <w:rPr>
          <w:rFonts w:hint="eastAsia" w:ascii="宋体" w:hAnsi="宋体" w:cs="宋体"/>
          <w:bCs/>
          <w:i/>
          <w:sz w:val="32"/>
          <w:szCs w:val="32"/>
          <w:highlight w:val="none"/>
          <w:u w:val="single"/>
        </w:rPr>
      </w:pPr>
      <w:r>
        <w:rPr>
          <w:rFonts w:hint="eastAsia" w:ascii="宋体" w:hAnsi="宋体" w:cs="宋体"/>
          <w:bCs/>
          <w:i/>
          <w:sz w:val="32"/>
          <w:szCs w:val="32"/>
          <w:highlight w:val="none"/>
          <w:u w:val="single"/>
        </w:rPr>
      </w:r>
      <w:r>
        <w:rPr>
          <w:rFonts w:hint="eastAsia" w:ascii="宋体" w:hAnsi="宋体" w:cs="宋体"/>
          <w:bCs/>
          <w:i/>
          <w:sz w:val="32"/>
          <w:szCs w:val="32"/>
          <w:highlight w:val="none"/>
          <w:u w:val="single"/>
        </w:rPr>
      </w:r>
      <w:r/>
    </w:p>
    <w:p>
      <w:pPr>
        <w:rPr>
          <w:rFonts w:hint="eastAsia" w:ascii="宋体" w:hAnsi="宋体" w:cs="宋体"/>
          <w:bCs/>
          <w:i/>
          <w:sz w:val="32"/>
          <w:szCs w:val="32"/>
          <w:highlight w:val="none"/>
          <w:u w:val="single"/>
        </w:rPr>
      </w:pPr>
      <w:r>
        <w:rPr>
          <w:rFonts w:hint="eastAsia" w:ascii="宋体" w:hAnsi="宋体" w:cs="宋体"/>
          <w:bCs/>
          <w:i/>
          <w:sz w:val="32"/>
          <w:szCs w:val="32"/>
          <w:highlight w:val="none"/>
          <w:u w:val="single"/>
        </w:rPr>
      </w:r>
      <w:r>
        <w:rPr>
          <w:rFonts w:hint="eastAsia" w:ascii="宋体" w:hAnsi="宋体" w:cs="宋体"/>
          <w:bCs/>
          <w:i/>
          <w:sz w:val="32"/>
          <w:szCs w:val="32"/>
          <w:highlight w:val="none"/>
          <w:u w:val="single"/>
        </w:rPr>
      </w:r>
      <w:r/>
    </w:p>
    <w:p>
      <w:pPr>
        <w:rPr>
          <w:rFonts w:hint="eastAsia" w:ascii="宋体" w:hAnsi="宋体" w:cs="宋体"/>
          <w:bCs/>
          <w:i/>
          <w:sz w:val="32"/>
          <w:szCs w:val="32"/>
          <w:highlight w:val="none"/>
          <w:u w:val="single"/>
        </w:rPr>
      </w:pPr>
      <w:r>
        <w:rPr>
          <w:rFonts w:hint="eastAsia" w:ascii="宋体" w:hAnsi="宋体" w:cs="宋体"/>
          <w:bCs/>
          <w:i/>
          <w:sz w:val="32"/>
          <w:szCs w:val="32"/>
          <w:highlight w:val="none"/>
          <w:u w:val="single"/>
        </w:rPr>
      </w:r>
      <w:r>
        <w:rPr>
          <w:rFonts w:hint="eastAsia" w:ascii="宋体" w:hAnsi="宋体" w:cs="宋体"/>
          <w:bCs/>
          <w:i/>
          <w:sz w:val="32"/>
          <w:szCs w:val="32"/>
          <w:highlight w:val="none"/>
          <w:u w:val="single"/>
        </w:rPr>
      </w:r>
      <w:r/>
    </w:p>
    <w:p>
      <w:pPr>
        <w:rPr>
          <w:rFonts w:hint="eastAsia" w:ascii="宋体" w:hAnsi="宋体" w:cs="宋体"/>
          <w:bCs/>
          <w:i/>
          <w:sz w:val="32"/>
          <w:szCs w:val="32"/>
          <w:highlight w:val="none"/>
          <w:u w:val="single"/>
        </w:rPr>
      </w:pPr>
      <w:r>
        <w:rPr>
          <w:rFonts w:hint="eastAsia" w:ascii="宋体" w:hAnsi="宋体" w:cs="宋体"/>
          <w:bCs/>
          <w:i/>
          <w:sz w:val="32"/>
          <w:szCs w:val="32"/>
          <w:highlight w:val="none"/>
          <w:u w:val="single"/>
        </w:rPr>
      </w:r>
      <w:r>
        <w:rPr>
          <w:rFonts w:hint="eastAsia" w:ascii="宋体" w:hAnsi="宋体" w:cs="宋体"/>
          <w:bCs/>
          <w:i/>
          <w:sz w:val="32"/>
          <w:szCs w:val="32"/>
          <w:highlight w:val="none"/>
          <w:u w:val="single"/>
        </w:rPr>
      </w:r>
      <w:r/>
    </w:p>
    <w:p>
      <w:pPr>
        <w:rPr>
          <w:rFonts w:hint="eastAsia" w:ascii="宋体" w:hAnsi="宋体" w:cs="宋体"/>
          <w:bCs/>
          <w:i/>
          <w:sz w:val="32"/>
          <w:szCs w:val="32"/>
          <w:highlight w:val="none"/>
          <w:u w:val="single"/>
        </w:rPr>
      </w:pPr>
      <w:r>
        <w:rPr>
          <w:rFonts w:hint="eastAsia" w:ascii="宋体" w:hAnsi="宋体" w:cs="宋体"/>
          <w:bCs/>
          <w:i/>
          <w:sz w:val="32"/>
          <w:szCs w:val="32"/>
          <w:highlight w:val="none"/>
          <w:u w:val="single"/>
        </w:rPr>
      </w:r>
      <w:r>
        <w:rPr>
          <w:rFonts w:hint="eastAsia" w:ascii="宋体" w:hAnsi="宋体" w:cs="宋体"/>
          <w:bCs/>
          <w:i/>
          <w:sz w:val="32"/>
          <w:szCs w:val="32"/>
          <w:highlight w:val="none"/>
          <w:u w:val="single"/>
        </w:rPr>
      </w:r>
      <w:r/>
    </w:p>
    <w:p>
      <w:pPr>
        <w:pStyle w:val="940"/>
        <w:rPr>
          <w:rFonts w:hint="eastAsia" w:ascii="宋体" w:hAnsi="宋体" w:cs="宋体"/>
          <w:bCs/>
          <w:i/>
          <w:sz w:val="32"/>
          <w:szCs w:val="32"/>
          <w:highlight w:val="none"/>
          <w:u w:val="single"/>
        </w:rPr>
      </w:pPr>
      <w:r>
        <w:rPr>
          <w:rFonts w:hint="eastAsia" w:ascii="宋体" w:hAnsi="宋体" w:cs="宋体"/>
          <w:i/>
          <w:sz w:val="32"/>
          <w:szCs w:val="32"/>
          <w:highlight w:val="none"/>
          <w:u w:val="single"/>
        </w:rPr>
      </w:r>
      <w:r/>
    </w:p>
    <w:p>
      <w:pPr>
        <w:pStyle w:val="940"/>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940"/>
        <w:numPr>
          <w:ilvl w:val="0"/>
          <w:numId w:val="5"/>
        </w:numPr>
        <w:rPr>
          <w:rFonts w:hint="eastAsia" w:ascii="宋体" w:hAnsi="宋体" w:cs="宋体"/>
          <w:i/>
          <w:iCs/>
          <w:sz w:val="32"/>
          <w:szCs w:val="32"/>
          <w:highlight w:val="none"/>
          <w:u w:val="single"/>
        </w:rPr>
      </w:pPr>
      <w:r>
        <w:rPr>
          <w:rFonts w:hint="eastAsia" w:ascii="宋体" w:hAnsi="宋体" w:cs="宋体"/>
          <w:i/>
          <w:iCs/>
          <w:sz w:val="32"/>
          <w:szCs w:val="32"/>
          <w:highlight w:val="none"/>
          <w:u w:val="single"/>
        </w:rPr>
        <w:t xml:space="preserve">供应商信用承诺函</w:t>
      </w:r>
      <w:r>
        <w:rPr>
          <w:rFonts w:hint="eastAsia" w:ascii="宋体" w:hAnsi="宋体" w:cs="宋体"/>
          <w:i/>
          <w:iCs/>
          <w:sz w:val="32"/>
          <w:szCs w:val="32"/>
          <w:highlight w:val="none"/>
          <w:u w:val="single"/>
        </w:rPr>
      </w:r>
      <w:r/>
    </w:p>
    <w:p>
      <w:pPr>
        <w:pStyle w:val="940"/>
        <w:jc w:val="center"/>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供应商信用承诺函</w:t>
      </w:r>
      <w:r>
        <w:rPr>
          <w:rFonts w:hint="eastAsia" w:ascii="宋体" w:hAnsi="宋体" w:cs="宋体"/>
          <w:b/>
          <w:bCs/>
          <w:sz w:val="24"/>
          <w:szCs w:val="24"/>
          <w:highlight w:val="none"/>
        </w:rPr>
      </w:r>
      <w:r/>
    </w:p>
    <w:p>
      <w:pPr>
        <w:pStyle w:val="940"/>
        <w:spacing w:line="500" w:lineRule="exact"/>
        <w:rPr>
          <w:rFonts w:hint="eastAsia" w:ascii="宋体" w:hAnsi="宋体" w:cs="宋体"/>
          <w:szCs w:val="21"/>
          <w:highlight w:val="none"/>
        </w:rPr>
      </w:pPr>
      <w:r>
        <w:rPr>
          <w:rFonts w:hint="eastAsia" w:ascii="宋体" w:hAnsi="宋体" w:cs="宋体"/>
          <w:sz w:val="24"/>
          <w:szCs w:val="24"/>
          <w:highlight w:val="none"/>
        </w:rPr>
        <w:t xml:space="preserve"> </w:t>
      </w:r>
      <w:r>
        <w:rPr>
          <w:rFonts w:hint="eastAsia" w:ascii="宋体" w:hAnsi="宋体" w:cs="宋体"/>
          <w:szCs w:val="21"/>
          <w:highlight w:val="none"/>
        </w:rPr>
        <w:t xml:space="preserve">承诺主体名称：</w:t>
      </w:r>
      <w:r>
        <w:rPr>
          <w:rFonts w:hint="eastAsia" w:ascii="宋体" w:hAnsi="宋体" w:cs="宋体"/>
          <w:szCs w:val="21"/>
          <w:highlight w:val="none"/>
        </w:rPr>
      </w:r>
      <w:r/>
    </w:p>
    <w:p>
      <w:pPr>
        <w:pStyle w:val="940"/>
        <w:spacing w:line="500" w:lineRule="exact"/>
        <w:rPr>
          <w:rFonts w:hint="eastAsia" w:ascii="宋体" w:hAnsi="宋体" w:cs="宋体"/>
          <w:szCs w:val="21"/>
          <w:highlight w:val="none"/>
        </w:rPr>
      </w:pPr>
      <w:r>
        <w:rPr>
          <w:rFonts w:hint="eastAsia" w:ascii="宋体" w:hAnsi="宋体" w:cs="宋体"/>
          <w:szCs w:val="21"/>
          <w:highlight w:val="none"/>
        </w:rPr>
        <w:t xml:space="preserve">统一社会信用代码：</w:t>
      </w:r>
      <w:r>
        <w:rPr>
          <w:rFonts w:hint="eastAsia" w:ascii="宋体" w:hAnsi="宋体" w:cs="宋体"/>
          <w:szCs w:val="21"/>
          <w:highlight w:val="none"/>
        </w:rPr>
      </w:r>
      <w:r/>
    </w:p>
    <w:p>
      <w:pPr>
        <w:pStyle w:val="940"/>
        <w:spacing w:line="500" w:lineRule="exact"/>
        <w:rPr>
          <w:rFonts w:hint="eastAsia" w:ascii="宋体" w:hAnsi="宋体" w:cs="宋体"/>
          <w:szCs w:val="21"/>
          <w:highlight w:val="none"/>
        </w:rPr>
      </w:pPr>
      <w:r>
        <w:rPr>
          <w:rFonts w:hint="eastAsia" w:ascii="宋体" w:hAnsi="宋体" w:cs="宋体"/>
          <w:szCs w:val="21"/>
          <w:highlight w:val="none"/>
        </w:rPr>
        <w:t xml:space="preserve"> 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szCs w:val="21"/>
          <w:highlight w:val="none"/>
        </w:rPr>
      </w:r>
      <w:r/>
    </w:p>
    <w:p>
      <w:pPr>
        <w:pStyle w:val="940"/>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szCs w:val="21"/>
          <w:highlight w:val="none"/>
        </w:rPr>
      </w:r>
      <w:r/>
    </w:p>
    <w:p>
      <w:pPr>
        <w:pStyle w:val="940"/>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Cs w:val="21"/>
          <w:highlight w:val="none"/>
        </w:rPr>
      </w:r>
      <w:r/>
    </w:p>
    <w:p>
      <w:pPr>
        <w:pStyle w:val="940"/>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szCs w:val="21"/>
          <w:highlight w:val="none"/>
        </w:rPr>
      </w:r>
      <w:r/>
    </w:p>
    <w:p>
      <w:pPr>
        <w:pStyle w:val="940"/>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四、自觉接受行政管理部门、行业组织、社会公众、新闻舆论的监督；</w:t>
      </w:r>
      <w:r>
        <w:rPr>
          <w:rFonts w:hint="eastAsia" w:ascii="宋体" w:hAnsi="宋体" w:cs="宋体"/>
          <w:szCs w:val="21"/>
          <w:highlight w:val="none"/>
        </w:rPr>
      </w:r>
      <w:r/>
    </w:p>
    <w:p>
      <w:pPr>
        <w:pStyle w:val="940"/>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szCs w:val="21"/>
          <w:highlight w:val="none"/>
        </w:rPr>
      </w:r>
      <w:r/>
    </w:p>
    <w:p>
      <w:pPr>
        <w:pStyle w:val="940"/>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szCs w:val="21"/>
          <w:highlight w:val="none"/>
        </w:rPr>
      </w:r>
      <w:r/>
    </w:p>
    <w:p>
      <w:pPr>
        <w:pStyle w:val="940"/>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七、严格遵守信用信息公示相关规定，向社会公示信用信息；</w:t>
      </w:r>
      <w:r>
        <w:rPr>
          <w:rFonts w:hint="eastAsia" w:ascii="宋体" w:hAnsi="宋体" w:cs="宋体"/>
          <w:szCs w:val="21"/>
          <w:highlight w:val="none"/>
        </w:rPr>
      </w:r>
      <w:r/>
    </w:p>
    <w:p>
      <w:pPr>
        <w:pStyle w:val="940"/>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八、在“信用中国”和“中国政府采购网”网站中无违法违规、较重或严重失信记录；</w:t>
      </w:r>
      <w:r>
        <w:rPr>
          <w:rFonts w:hint="eastAsia" w:ascii="宋体" w:hAnsi="宋体" w:cs="宋体"/>
          <w:szCs w:val="21"/>
          <w:highlight w:val="none"/>
        </w:rPr>
      </w:r>
      <w:r/>
    </w:p>
    <w:p>
      <w:pPr>
        <w:pStyle w:val="940"/>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szCs w:val="21"/>
          <w:highlight w:val="none"/>
        </w:rPr>
      </w:r>
      <w:r/>
    </w:p>
    <w:p>
      <w:pPr>
        <w:pStyle w:val="940"/>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十、本承诺书自签订之日起生效。</w:t>
      </w:r>
      <w:r>
        <w:rPr>
          <w:rFonts w:hint="eastAsia" w:ascii="宋体" w:hAnsi="宋体" w:cs="宋体"/>
          <w:szCs w:val="21"/>
          <w:highlight w:val="none"/>
        </w:rPr>
      </w:r>
      <w:r/>
    </w:p>
    <w:p>
      <w:pPr>
        <w:pStyle w:val="940"/>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 （注：法定代表人或负责人、主体名称发生变更的应当重新做出承诺。）</w:t>
      </w:r>
      <w:r>
        <w:rPr>
          <w:rFonts w:hint="eastAsia" w:ascii="宋体" w:hAnsi="宋体" w:cs="宋体"/>
          <w:szCs w:val="21"/>
          <w:highlight w:val="none"/>
        </w:rPr>
      </w:r>
      <w:r/>
    </w:p>
    <w:p>
      <w:pPr>
        <w:pStyle w:val="940"/>
        <w:spacing w:line="5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940"/>
        <w:jc w:val="center"/>
        <w:spacing w:line="500" w:lineRule="exact"/>
        <w:rPr>
          <w:rFonts w:hint="eastAsia" w:ascii="宋体" w:hAnsi="宋体" w:cs="宋体"/>
          <w:szCs w:val="21"/>
          <w:highlight w:val="none"/>
        </w:rPr>
      </w:pPr>
      <w:r>
        <w:rPr>
          <w:rFonts w:hint="eastAsia" w:ascii="宋体" w:hAnsi="宋体" w:cs="宋体"/>
          <w:szCs w:val="21"/>
          <w:highlight w:val="none"/>
        </w:rPr>
        <w:t xml:space="preserve">               承诺单位（加盖CA电子公章）：           </w:t>
      </w:r>
      <w:r>
        <w:rPr>
          <w:rFonts w:hint="eastAsia" w:ascii="宋体" w:hAnsi="宋体" w:cs="宋体"/>
          <w:szCs w:val="21"/>
          <w:highlight w:val="none"/>
        </w:rPr>
      </w:r>
      <w:r/>
    </w:p>
    <w:p>
      <w:pPr>
        <w:pStyle w:val="940"/>
        <w:jc w:val="center"/>
        <w:spacing w:line="500" w:lineRule="exact"/>
        <w:rPr>
          <w:rFonts w:hint="eastAsia" w:ascii="宋体" w:hAnsi="宋体" w:cs="宋体"/>
          <w:szCs w:val="21"/>
          <w:highlight w:val="none"/>
        </w:rPr>
      </w:pPr>
      <w:r>
        <w:rPr>
          <w:rFonts w:hint="eastAsia" w:ascii="宋体" w:hAnsi="宋体" w:cs="宋体"/>
          <w:szCs w:val="21"/>
          <w:highlight w:val="none"/>
        </w:rPr>
        <w:t xml:space="preserve">年    月    日</w:t>
      </w:r>
      <w:r>
        <w:rPr>
          <w:rFonts w:hint="eastAsia" w:ascii="宋体" w:hAnsi="宋体" w:cs="宋体"/>
          <w:szCs w:val="21"/>
          <w:highlight w:val="none"/>
        </w:rPr>
      </w:r>
      <w:r/>
    </w:p>
    <w:p>
      <w:pPr>
        <w:rPr>
          <w:rFonts w:hint="eastAsia" w:ascii="宋体" w:hAnsi="宋体" w:cs="宋体"/>
          <w:bCs/>
          <w:i/>
          <w:sz w:val="32"/>
          <w:szCs w:val="32"/>
          <w:highlight w:val="none"/>
          <w:u w:val="single"/>
        </w:rPr>
      </w:pPr>
      <w:r>
        <w:rPr>
          <w:rFonts w:hint="eastAsia" w:ascii="宋体" w:hAnsi="宋体" w:cs="宋体"/>
          <w:i/>
          <w:sz w:val="32"/>
          <w:szCs w:val="32"/>
          <w:highlight w:val="none"/>
          <w:u w:val="single"/>
        </w:rPr>
      </w:r>
      <w:r>
        <w:rPr>
          <w:rFonts w:hint="eastAsia" w:ascii="宋体" w:hAnsi="宋体" w:cs="宋体"/>
          <w:i/>
          <w:sz w:val="32"/>
          <w:szCs w:val="32"/>
          <w:highlight w:val="none"/>
          <w:u w:val="single"/>
        </w:rPr>
      </w:r>
      <w:r/>
    </w:p>
    <w:p>
      <w:pPr>
        <w:pStyle w:val="940"/>
        <w:rPr>
          <w:rFonts w:hint="eastAsia" w:ascii="宋体" w:hAnsi="宋体" w:cs="宋体"/>
          <w:bCs/>
          <w:i/>
          <w:sz w:val="32"/>
          <w:szCs w:val="32"/>
          <w:highlight w:val="none"/>
          <w:u w:val="single"/>
        </w:rPr>
      </w:pPr>
      <w:r>
        <w:rPr>
          <w:rFonts w:hint="eastAsia" w:ascii="宋体" w:hAnsi="宋体" w:cs="宋体"/>
          <w:i/>
          <w:sz w:val="32"/>
          <w:szCs w:val="32"/>
          <w:highlight w:val="none"/>
          <w:u w:val="single"/>
        </w:rPr>
        <w:t xml:space="preserve">七、特定资格要求的证明文件</w:t>
      </w:r>
      <w:r>
        <w:rPr>
          <w:rFonts w:hint="eastAsia" w:ascii="宋体" w:hAnsi="宋体" w:cs="宋体"/>
          <w:i/>
          <w:sz w:val="32"/>
          <w:szCs w:val="32"/>
          <w:highlight w:val="none"/>
          <w:u w:val="single"/>
        </w:rPr>
      </w:r>
      <w:r/>
    </w:p>
    <w:p>
      <w:pPr>
        <w:pStyle w:val="94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   如果本项目申请人的特定资格要求中要求提供的，必须提供。</w:t>
      </w:r>
      <w:r>
        <w:rPr>
          <w:rFonts w:hint="eastAsia" w:ascii="宋体" w:hAnsi="宋体" w:cs="宋体"/>
          <w:bCs/>
          <w:sz w:val="24"/>
          <w:szCs w:val="21"/>
          <w:highlight w:val="none"/>
        </w:rPr>
      </w:r>
      <w:r/>
    </w:p>
    <w:p>
      <w:pPr>
        <w:pStyle w:val="940"/>
        <w:spacing w:line="460" w:lineRule="exact"/>
        <w:rPr>
          <w:rFonts w:hint="eastAsia" w:ascii="宋体" w:hAnsi="宋体" w:cs="宋体"/>
          <w:bCs/>
          <w:sz w:val="24"/>
          <w:szCs w:val="21"/>
          <w:highlight w:val="none"/>
        </w:rPr>
      </w:pPr>
      <w:r/>
      <w:bookmarkEnd w:id="207"/>
      <w:r/>
      <w:bookmarkEnd w:id="208"/>
      <w:r/>
      <w:bookmarkEnd w:id="209"/>
      <w:r/>
      <w:bookmarkStart w:id="210" w:name="_Toc120614284"/>
      <w:r>
        <w:rPr>
          <w:rFonts w:hint="eastAsia" w:ascii="宋体" w:hAnsi="宋体" w:cs="宋体"/>
          <w:bCs/>
          <w:sz w:val="24"/>
          <w:szCs w:val="21"/>
          <w:highlight w:val="none"/>
        </w:rPr>
      </w:r>
      <w:r/>
    </w:p>
    <w:p>
      <w:pPr>
        <w:pStyle w:val="9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t xml:space="preserve">八、法人授权书</w:t>
      </w:r>
      <w:r>
        <w:rPr>
          <w:rFonts w:hint="eastAsia" w:ascii="宋体" w:hAnsi="宋体" w:cs="宋体"/>
          <w:i/>
          <w:sz w:val="32"/>
          <w:szCs w:val="32"/>
          <w:highlight w:val="none"/>
          <w:u w:val="single"/>
        </w:rPr>
      </w:r>
      <w:r/>
    </w:p>
    <w:p>
      <w:pPr>
        <w:pStyle w:val="940"/>
        <w:ind w:firstLine="48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本授权书声明：____________（供应商名称）授权________________（被授权人的姓名）为我方就</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项目采购活动的合法代理人，以本单位名义全权处理一切与该项目采购有关的事务。</w:t>
      </w:r>
      <w:r>
        <w:rPr>
          <w:rFonts w:hint="eastAsia" w:ascii="宋体" w:hAnsi="宋体" w:cs="宋体"/>
          <w:sz w:val="24"/>
          <w:szCs w:val="24"/>
          <w:highlight w:val="none"/>
        </w:rPr>
      </w:r>
      <w:r/>
    </w:p>
    <w:p>
      <w:pPr>
        <w:pStyle w:val="940"/>
        <w:ind w:firstLine="48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rPr>
          <w:rFonts w:hint="eastAsia" w:ascii="宋体" w:hAnsi="宋体" w:cs="宋体"/>
          <w:sz w:val="24"/>
          <w:szCs w:val="24"/>
          <w:highlight w:val="none"/>
        </w:rPr>
      </w:r>
      <w:r/>
    </w:p>
    <w:p>
      <w:pPr>
        <w:pStyle w:val="940"/>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被授权人身份证号码：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40"/>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被授权人联系电话：（手机）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40"/>
        <w:ind w:firstLine="120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授权单位名称：</w:t>
      </w:r>
      <w:r>
        <w:rPr>
          <w:rFonts w:hint="eastAsia" w:ascii="宋体" w:hAnsi="宋体" w:cs="宋体"/>
          <w:sz w:val="24"/>
          <w:szCs w:val="24"/>
          <w:highlight w:val="none"/>
          <w:u w:val="single"/>
        </w:rPr>
        <w:t xml:space="preserve">（加盖CA电子公章）</w:t>
      </w:r>
      <w:r>
        <w:rPr>
          <w:rFonts w:hint="eastAsia" w:ascii="宋体" w:hAnsi="宋体" w:cs="宋体"/>
          <w:sz w:val="24"/>
          <w:szCs w:val="24"/>
          <w:highlight w:val="none"/>
        </w:rPr>
      </w:r>
      <w:r/>
    </w:p>
    <w:p>
      <w:pPr>
        <w:pStyle w:val="940"/>
        <w:ind w:firstLine="480"/>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单位地址：</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40"/>
        <w:ind w:firstLine="480"/>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日期：</w:t>
      </w:r>
      <w:bookmarkStart w:id="211" w:name="_Hlt26671380"/>
      <w:r/>
      <w:bookmarkEnd w:id="211"/>
      <w:r/>
      <w:bookmarkStart w:id="212" w:name="_Hlt26955070"/>
      <w:r/>
      <w:bookmarkEnd w:id="212"/>
      <w:r/>
      <w:bookmarkStart w:id="213" w:name="_格式3__银行出具的资信证明"/>
      <w:r/>
      <w:bookmarkEnd w:id="213"/>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40"/>
        <w:ind w:firstLine="480"/>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940"/>
        <w:ind w:firstLine="48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r>
      <w:r/>
    </w:p>
    <w:p>
      <w:pPr>
        <w:pStyle w:val="940"/>
        <w:ind w:firstLine="420"/>
        <w:rPr>
          <w:rFonts w:hint="eastAsia" w:ascii="宋体" w:hAnsi="宋体" w:cs="宋体"/>
          <w:i/>
          <w:sz w:val="24"/>
          <w:szCs w:val="24"/>
          <w:highlight w:val="none"/>
          <w:u w:val="single"/>
        </w:rPr>
      </w:pPr>
      <w:r>
        <w:rPr>
          <w:rFonts w:hint="eastAsia" w:ascii="宋体" w:hAnsi="宋体" w:cs="宋体"/>
          <w:i/>
          <w:sz w:val="24"/>
          <w:szCs w:val="24"/>
          <w:highlight w:val="none"/>
          <w:u w:val="single"/>
        </w:rPr>
      </w:r>
      <w:r/>
    </w:p>
    <w:p>
      <w:pPr>
        <w:pStyle w:val="940"/>
        <w:ind w:firstLine="3390"/>
        <w:keepLines/>
        <w:keepNext/>
        <w:spacing w:before="260" w:after="260" w:line="416" w:lineRule="auto"/>
        <w:rPr>
          <w:rFonts w:hint="eastAsia" w:ascii="宋体" w:hAnsi="宋体" w:cs="宋体"/>
          <w:b/>
          <w:i/>
          <w:sz w:val="32"/>
          <w:szCs w:val="32"/>
          <w:highlight w:val="none"/>
          <w:u w:val="single"/>
        </w:rPr>
      </w:pPr>
      <w:r>
        <w:rPr>
          <w:rFonts w:hint="eastAsia" w:ascii="宋体" w:hAnsi="宋体" w:cs="宋体"/>
          <w:b/>
          <w:sz w:val="24"/>
          <w:szCs w:val="44"/>
          <w:highlight w:val="none"/>
        </w:rPr>
        <w:br w:type="page" w:clear="all"/>
      </w:r>
      <w:r>
        <w:rPr>
          <w:rFonts w:hint="eastAsia" w:ascii="宋体" w:hAnsi="宋体" w:cs="宋体"/>
          <w:b/>
          <w:i/>
          <w:sz w:val="32"/>
          <w:szCs w:val="32"/>
          <w:highlight w:val="none"/>
          <w:u w:val="single"/>
        </w:rPr>
        <w:t xml:space="preserve">九、磋商响应函</w:t>
      </w:r>
      <w:r>
        <w:rPr>
          <w:rFonts w:hint="eastAsia" w:ascii="宋体" w:hAnsi="宋体" w:cs="宋体"/>
          <w:b/>
          <w:i/>
          <w:sz w:val="32"/>
          <w:szCs w:val="32"/>
          <w:highlight w:val="none"/>
          <w:u w:val="single"/>
        </w:rPr>
      </w:r>
      <w:r/>
    </w:p>
    <w:p>
      <w:pPr>
        <w:pStyle w:val="94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致：江苏苏中兴工程造价咨询有限公司</w:t>
      </w:r>
      <w:r>
        <w:rPr>
          <w:rFonts w:hint="eastAsia" w:ascii="宋体" w:hAnsi="宋体" w:cs="宋体"/>
          <w:sz w:val="24"/>
          <w:szCs w:val="21"/>
          <w:highlight w:val="none"/>
        </w:rPr>
      </w:r>
      <w:r/>
    </w:p>
    <w:p>
      <w:pPr>
        <w:pStyle w:val="94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根据贵方的</w:t>
      </w:r>
      <w:r>
        <w:rPr>
          <w:rFonts w:hint="eastAsia" w:ascii="宋体" w:hAnsi="宋体" w:cs="宋体"/>
          <w:sz w:val="24"/>
          <w:szCs w:val="21"/>
          <w:highlight w:val="none"/>
          <w:u w:val="single"/>
          <w:lang w:eastAsia="zh-CN"/>
        </w:rPr>
        <w:t xml:space="preserve">JSZC-321000-SSZX-C2026-0005</w:t>
      </w:r>
      <w:r>
        <w:rPr>
          <w:rFonts w:hint="eastAsia" w:ascii="宋体" w:hAnsi="宋体" w:cs="宋体"/>
          <w:sz w:val="24"/>
          <w:szCs w:val="21"/>
          <w:highlight w:val="none"/>
          <w:u w:val="single"/>
        </w:rPr>
        <w:t xml:space="preserve">号 </w:t>
      </w:r>
      <w:r>
        <w:rPr>
          <w:rFonts w:hint="eastAsia" w:ascii="宋体" w:hAnsi="宋体" w:cs="宋体"/>
          <w:sz w:val="24"/>
          <w:szCs w:val="21"/>
          <w:highlight w:val="none"/>
        </w:rPr>
        <w:t xml:space="preserve">磋商文件，正式授权下述签字人______(姓名)代表我方______________（供应商的名称），全权处理本次项目磋商的有关事宜。</w:t>
      </w:r>
      <w:r>
        <w:rPr>
          <w:rFonts w:hint="eastAsia" w:ascii="宋体" w:hAnsi="宋体" w:cs="宋体"/>
          <w:sz w:val="24"/>
          <w:szCs w:val="21"/>
          <w:highlight w:val="none"/>
        </w:rPr>
      </w:r>
      <w:r/>
    </w:p>
    <w:p>
      <w:pPr>
        <w:pStyle w:val="94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据此函，__________签字人兹宣布同意如下：</w:t>
      </w:r>
      <w:r>
        <w:rPr>
          <w:rFonts w:hint="eastAsia" w:ascii="宋体" w:hAnsi="宋体" w:cs="宋体"/>
          <w:sz w:val="24"/>
          <w:szCs w:val="21"/>
          <w:highlight w:val="none"/>
        </w:rPr>
      </w:r>
      <w:r/>
    </w:p>
    <w:p>
      <w:pPr>
        <w:pStyle w:val="94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1.按磋商文件规定的各项要求，向买方提供所需货物、服务（包含与货物相关的服务及与服务相关的货物）。</w:t>
      </w:r>
      <w:r>
        <w:rPr>
          <w:rFonts w:hint="eastAsia" w:ascii="宋体" w:hAnsi="宋体" w:cs="宋体"/>
          <w:sz w:val="24"/>
          <w:szCs w:val="21"/>
          <w:highlight w:val="none"/>
        </w:rPr>
      </w:r>
      <w:r/>
    </w:p>
    <w:p>
      <w:pPr>
        <w:pStyle w:val="94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2.我们完全理解贵方不一定将合同授予最低报价的供应商。</w:t>
      </w:r>
      <w:r>
        <w:rPr>
          <w:rFonts w:hint="eastAsia" w:ascii="宋体" w:hAnsi="宋体" w:cs="宋体"/>
          <w:sz w:val="24"/>
          <w:szCs w:val="21"/>
          <w:highlight w:val="none"/>
        </w:rPr>
      </w:r>
      <w:r/>
    </w:p>
    <w:p>
      <w:pPr>
        <w:pStyle w:val="94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3.我们已详细审核全部磋商文件及其有效补充文件，我们知道必须放弃提出含糊不清或误解问题的权利。</w:t>
      </w:r>
      <w:r>
        <w:rPr>
          <w:rFonts w:hint="eastAsia" w:ascii="宋体" w:hAnsi="宋体" w:cs="宋体"/>
          <w:sz w:val="24"/>
          <w:szCs w:val="21"/>
          <w:highlight w:val="none"/>
        </w:rPr>
      </w:r>
      <w:r/>
    </w:p>
    <w:p>
      <w:pPr>
        <w:pStyle w:val="94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4.我们同意从规定的开标日期起遵循本响应文件，并在规定的磋商有效期期满之前均具有约束力。</w:t>
      </w:r>
      <w:r>
        <w:rPr>
          <w:rFonts w:hint="eastAsia" w:ascii="宋体" w:hAnsi="宋体" w:cs="宋体"/>
          <w:sz w:val="24"/>
          <w:szCs w:val="21"/>
          <w:highlight w:val="none"/>
        </w:rPr>
      </w:r>
      <w:r/>
    </w:p>
    <w:p>
      <w:pPr>
        <w:pStyle w:val="94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5.同意向贵方提供贵方可能另外要求的与磋商有关的任何证据或资料，并保证我方已提供和将要提供的文件是真实的、准确的。</w:t>
      </w:r>
      <w:r>
        <w:rPr>
          <w:rFonts w:hint="eastAsia" w:ascii="宋体" w:hAnsi="宋体" w:cs="宋体"/>
          <w:sz w:val="24"/>
          <w:szCs w:val="21"/>
          <w:highlight w:val="none"/>
        </w:rPr>
      </w:r>
      <w:r/>
    </w:p>
    <w:p>
      <w:pPr>
        <w:pStyle w:val="94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6.一旦我方成交,我方将根据磋商文件的规定，严格履行合同的责任和义务,并保证在磋商文件规定的时间完成项目，交付买方验收、使用。</w:t>
      </w:r>
      <w:r>
        <w:rPr>
          <w:rFonts w:hint="eastAsia" w:ascii="宋体" w:hAnsi="宋体" w:cs="宋体"/>
          <w:sz w:val="24"/>
          <w:szCs w:val="21"/>
          <w:highlight w:val="none"/>
        </w:rPr>
      </w:r>
      <w:r/>
    </w:p>
    <w:p>
      <w:pPr>
        <w:pStyle w:val="940"/>
        <w:ind w:left="425"/>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7.我方与本磋商有关的正式通讯地址为：</w:t>
      </w:r>
      <w:r>
        <w:rPr>
          <w:rFonts w:hint="eastAsia" w:ascii="宋体" w:hAnsi="宋体" w:cs="宋体"/>
          <w:sz w:val="24"/>
          <w:szCs w:val="21"/>
          <w:highlight w:val="none"/>
        </w:rPr>
      </w:r>
      <w:r/>
    </w:p>
    <w:p>
      <w:pPr>
        <w:pStyle w:val="94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地          址：</w:t>
      </w:r>
      <w:r>
        <w:rPr>
          <w:rFonts w:hint="eastAsia" w:ascii="宋体" w:hAnsi="宋体" w:cs="宋体"/>
          <w:sz w:val="24"/>
          <w:szCs w:val="21"/>
          <w:highlight w:val="none"/>
        </w:rPr>
      </w:r>
      <w:r/>
    </w:p>
    <w:p>
      <w:pPr>
        <w:pStyle w:val="94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邮          编：</w:t>
      </w:r>
      <w:r>
        <w:rPr>
          <w:rFonts w:hint="eastAsia" w:ascii="宋体" w:hAnsi="宋体" w:cs="宋体"/>
          <w:sz w:val="24"/>
          <w:szCs w:val="21"/>
          <w:highlight w:val="none"/>
        </w:rPr>
      </w:r>
      <w:r/>
    </w:p>
    <w:p>
      <w:pPr>
        <w:pStyle w:val="94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电          话：</w:t>
      </w:r>
      <w:r>
        <w:rPr>
          <w:rFonts w:hint="eastAsia" w:ascii="宋体" w:hAnsi="宋体" w:cs="宋体"/>
          <w:sz w:val="24"/>
          <w:szCs w:val="21"/>
          <w:highlight w:val="none"/>
        </w:rPr>
      </w:r>
      <w:r/>
    </w:p>
    <w:p>
      <w:pPr>
        <w:pStyle w:val="94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传          真：</w:t>
      </w:r>
      <w:r>
        <w:rPr>
          <w:rFonts w:hint="eastAsia" w:ascii="宋体" w:hAnsi="宋体" w:cs="宋体"/>
          <w:sz w:val="24"/>
          <w:szCs w:val="21"/>
          <w:highlight w:val="none"/>
        </w:rPr>
      </w:r>
      <w:r/>
    </w:p>
    <w:p>
      <w:pPr>
        <w:pStyle w:val="94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供应商开户行：</w:t>
      </w:r>
      <w:r>
        <w:rPr>
          <w:rFonts w:hint="eastAsia" w:ascii="宋体" w:hAnsi="宋体" w:cs="宋体"/>
          <w:sz w:val="24"/>
          <w:szCs w:val="21"/>
          <w:highlight w:val="none"/>
        </w:rPr>
      </w:r>
      <w:r/>
    </w:p>
    <w:p>
      <w:pPr>
        <w:pStyle w:val="94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账          号： </w:t>
      </w:r>
      <w:r>
        <w:rPr>
          <w:rFonts w:hint="eastAsia" w:ascii="宋体" w:hAnsi="宋体" w:cs="宋体"/>
          <w:sz w:val="24"/>
          <w:szCs w:val="21"/>
          <w:highlight w:val="none"/>
        </w:rPr>
      </w:r>
      <w:r/>
    </w:p>
    <w:p>
      <w:pPr>
        <w:pStyle w:val="94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日           期：________年____月____日</w:t>
      </w:r>
      <w:r>
        <w:rPr>
          <w:rFonts w:hint="eastAsia" w:ascii="宋体" w:hAnsi="宋体" w:cs="宋体"/>
          <w:sz w:val="24"/>
          <w:szCs w:val="21"/>
          <w:highlight w:val="none"/>
        </w:rPr>
      </w:r>
      <w:r/>
    </w:p>
    <w:p>
      <w:pPr>
        <w:pStyle w:val="940"/>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940"/>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940"/>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940"/>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940"/>
        <w:jc w:val="center"/>
        <w:spacing w:before="290" w:after="290" w:line="360" w:lineRule="auto"/>
        <w:rPr>
          <w:rFonts w:hint="eastAsia" w:ascii="宋体" w:hAnsi="宋体" w:cs="宋体"/>
          <w:b/>
          <w:bCs/>
          <w:i/>
          <w:sz w:val="32"/>
          <w:szCs w:val="32"/>
          <w:highlight w:val="none"/>
          <w:u w:val="single"/>
        </w:rPr>
      </w:pPr>
      <w:r>
        <w:rPr>
          <w:rFonts w:hint="eastAsia" w:ascii="宋体" w:hAnsi="宋体" w:cs="宋体"/>
          <w:i/>
          <w:sz w:val="32"/>
          <w:szCs w:val="32"/>
          <w:highlight w:val="none"/>
          <w:u w:val="single"/>
        </w:rPr>
        <w:t xml:space="preserve">十、</w:t>
      </w:r>
      <w:r>
        <w:rPr>
          <w:rFonts w:hint="eastAsia" w:ascii="宋体" w:hAnsi="宋体" w:cs="宋体"/>
          <w:b/>
          <w:bCs/>
          <w:i/>
          <w:sz w:val="32"/>
          <w:szCs w:val="32"/>
          <w:highlight w:val="none"/>
          <w:u w:val="single"/>
        </w:rPr>
        <w:t xml:space="preserve">中小企业声明函（工程、服务）</w:t>
      </w:r>
      <w:r>
        <w:rPr>
          <w:rFonts w:hint="eastAsia" w:ascii="宋体" w:hAnsi="宋体" w:cs="宋体"/>
          <w:b/>
          <w:bCs/>
          <w:i/>
          <w:sz w:val="32"/>
          <w:szCs w:val="32"/>
          <w:highlight w:val="none"/>
          <w:u w:val="single"/>
        </w:rPr>
      </w:r>
      <w:r/>
    </w:p>
    <w:p>
      <w:pPr>
        <w:pStyle w:val="940"/>
        <w:ind w:firstLine="420"/>
        <w:jc w:val="left"/>
        <w:spacing w:line="420" w:lineRule="exact"/>
        <w:rPr>
          <w:rFonts w:hint="eastAsia" w:ascii="宋体" w:hAnsi="宋体" w:cs="宋体"/>
          <w:highlight w:val="none"/>
        </w:rPr>
      </w:pPr>
      <w:r>
        <w:rPr>
          <w:rFonts w:hint="eastAsia" w:ascii="宋体" w:hAnsi="宋体" w:cs="宋体"/>
          <w:highlight w:val="none"/>
        </w:rPr>
        <w:t xml:space="preserve">本公司（联合体）郑重声明，根据《政府采购促进中小企业发展管理办法》（财库﹝2020﹞46 号）的规定，本公司（联合体）参加</w:t>
      </w:r>
      <w:r>
        <w:rPr>
          <w:rFonts w:hint="eastAsia" w:ascii="宋体" w:hAnsi="宋体" w:cs="宋体"/>
          <w:highlight w:val="none"/>
          <w:u w:val="single"/>
        </w:rPr>
        <w:t xml:space="preserve">（单位名称）</w:t>
      </w:r>
      <w:r>
        <w:rPr>
          <w:rFonts w:hint="eastAsia" w:ascii="宋体" w:hAnsi="宋体" w:cs="宋体"/>
          <w:highlight w:val="none"/>
        </w:rPr>
        <w:t xml:space="preserve">的</w:t>
      </w:r>
      <w:r>
        <w:rPr>
          <w:rFonts w:hint="eastAsia" w:ascii="宋体" w:hAnsi="宋体" w:cs="宋体"/>
          <w:highlight w:val="none"/>
          <w:u w:val="single"/>
        </w:rPr>
        <w:t xml:space="preserve">（项目名称）</w:t>
      </w:r>
      <w:r>
        <w:rPr>
          <w:rFonts w:hint="eastAsia" w:ascii="宋体" w:hAnsi="宋体" w:cs="宋体"/>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highlight w:val="none"/>
        </w:rPr>
      </w:r>
      <w:r/>
    </w:p>
    <w:p>
      <w:pPr>
        <w:pStyle w:val="940"/>
        <w:ind w:firstLine="420"/>
        <w:jc w:val="left"/>
        <w:spacing w:line="420" w:lineRule="exact"/>
        <w:rPr>
          <w:rFonts w:hint="eastAsia" w:ascii="宋体" w:hAnsi="宋体" w:cs="宋体"/>
          <w:highlight w:val="none"/>
          <w:u w:val="single"/>
        </w:rPr>
      </w:pPr>
      <w:r>
        <w:rPr>
          <w:rFonts w:hint="eastAsia" w:ascii="宋体" w:hAnsi="宋体" w:cs="宋体"/>
          <w:highlight w:val="none"/>
        </w:rPr>
        <w:t xml:space="preserve">1. </w:t>
      </w:r>
      <w:r>
        <w:rPr>
          <w:rFonts w:hint="eastAsia" w:ascii="宋体" w:hAnsi="宋体" w:cs="宋体"/>
          <w:highlight w:val="none"/>
          <w:u w:val="single"/>
        </w:rPr>
        <w:t xml:space="preserve">（标的名称） </w:t>
      </w:r>
      <w:r>
        <w:rPr>
          <w:rFonts w:hint="eastAsia" w:ascii="宋体" w:hAnsi="宋体" w:cs="宋体"/>
          <w:highlight w:val="none"/>
        </w:rPr>
        <w:t xml:space="preserve">，属于</w:t>
      </w:r>
      <w:r>
        <w:rPr>
          <w:rFonts w:hint="eastAsia" w:ascii="宋体" w:hAnsi="宋体" w:cs="宋体"/>
          <w:highlight w:val="none"/>
          <w:u w:val="single"/>
        </w:rPr>
        <w:t xml:space="preserve">    （该行业类别不可修改）</w:t>
      </w:r>
      <w:r>
        <w:rPr>
          <w:rFonts w:hint="eastAsia" w:ascii="宋体" w:hAnsi="宋体" w:cs="宋体"/>
          <w:highlight w:val="none"/>
        </w:rPr>
        <w:t xml:space="preserve">；承建（承接）企业为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 xml:space="preserve">       </w:t>
      </w:r>
      <w:r>
        <w:rPr>
          <w:rFonts w:hint="eastAsia" w:ascii="宋体" w:hAnsi="宋体" w:cs="宋体"/>
          <w:highlight w:val="none"/>
        </w:rPr>
        <w:t xml:space="preserve">万元</w:t>
      </w:r>
      <w:r>
        <w:rPr>
          <w:rFonts w:hint="eastAsia" w:ascii="宋体" w:hAnsi="宋体" w:cs="宋体"/>
          <w:highlight w:val="none"/>
          <w:lang w:eastAsia="en-US"/>
        </w:rPr>
        <w:fldChar w:fldCharType="begin"/>
      </w:r>
      <w:r>
        <w:rPr>
          <w:rFonts w:hint="eastAsia" w:ascii="宋体" w:hAnsi="宋体" w:cs="宋体"/>
          <w:spacing w:val="-1"/>
          <w:highlight w:val="none"/>
          <w:vertAlign w:val="superscript"/>
        </w:rPr>
        <w:instrText xml:space="preserve"> HYPERLINK \l "br1" </w:instrText>
      </w:r>
      <w:r>
        <w:rPr>
          <w:rFonts w:hint="eastAsia" w:ascii="宋体" w:hAnsi="宋体" w:cs="宋体"/>
          <w:highlight w:val="none"/>
          <w:lang w:eastAsia="en-US"/>
        </w:rPr>
        <w:fldChar w:fldCharType="separate"/>
      </w:r>
      <w:r>
        <w:rPr>
          <w:rFonts w:hint="eastAsia" w:ascii="宋体" w:hAnsi="宋体" w:cs="宋体"/>
          <w:spacing w:val="-1"/>
          <w:highlight w:val="none"/>
          <w:vertAlign w:val="superscript"/>
        </w:rPr>
        <w:t xml:space="preserve">1</w:t>
      </w:r>
      <w:r>
        <w:rPr>
          <w:rFonts w:hint="eastAsia" w:ascii="宋体" w:hAnsi="宋体" w:cs="宋体"/>
          <w:highlight w:val="none"/>
          <w:lang w:eastAsia="en-US"/>
        </w:rPr>
        <w:fldChar w:fldCharType="end"/>
      </w:r>
      <w:r>
        <w:rPr>
          <w:rFonts w:hint="eastAsia" w:ascii="宋体" w:hAnsi="宋体" w:cs="宋体"/>
          <w:highlight w:val="none"/>
        </w:rPr>
        <w:t xml:space="preserve">，属于</w:t>
      </w:r>
      <w:r>
        <w:rPr>
          <w:rFonts w:hint="eastAsia" w:ascii="宋体" w:hAnsi="宋体" w:cs="宋体"/>
          <w:highlight w:val="none"/>
          <w:u w:val="single"/>
        </w:rPr>
        <w:t xml:space="preserve">（中型企业、小型企业、微型企业）；</w:t>
      </w:r>
      <w:r>
        <w:rPr>
          <w:rFonts w:hint="eastAsia" w:ascii="宋体" w:hAnsi="宋体" w:cs="宋体"/>
          <w:highlight w:val="none"/>
          <w:u w:val="single"/>
        </w:rPr>
      </w:r>
      <w:r/>
    </w:p>
    <w:p>
      <w:pPr>
        <w:pStyle w:val="940"/>
        <w:ind w:firstLine="420"/>
        <w:jc w:val="left"/>
        <w:spacing w:line="420" w:lineRule="exact"/>
        <w:rPr>
          <w:rFonts w:hint="eastAsia" w:ascii="宋体" w:hAnsi="宋体" w:cs="宋体"/>
          <w:highlight w:val="none"/>
          <w:u w:val="single"/>
        </w:rPr>
      </w:pPr>
      <w:r>
        <w:rPr>
          <w:rFonts w:hint="eastAsia" w:ascii="宋体" w:hAnsi="宋体" w:cs="宋体"/>
          <w:highlight w:val="none"/>
        </w:rPr>
        <w:t xml:space="preserve">2. </w:t>
      </w:r>
      <w:r>
        <w:rPr>
          <w:rFonts w:hint="eastAsia" w:ascii="宋体" w:hAnsi="宋体" w:cs="宋体"/>
          <w:highlight w:val="none"/>
          <w:u w:val="single"/>
        </w:rPr>
        <w:t xml:space="preserve">（标的名称）</w:t>
      </w:r>
      <w:r>
        <w:rPr>
          <w:rFonts w:hint="eastAsia" w:ascii="宋体" w:hAnsi="宋体" w:cs="宋体"/>
          <w:highlight w:val="none"/>
        </w:rPr>
        <w:t xml:space="preserve"> ，属于</w:t>
      </w:r>
      <w:r>
        <w:rPr>
          <w:rFonts w:hint="eastAsia" w:ascii="宋体" w:hAnsi="宋体" w:cs="宋体"/>
          <w:highlight w:val="none"/>
          <w:u w:val="single"/>
        </w:rPr>
        <w:t xml:space="preserve">（采购文件中明确的所属行业）（该行业类别不可修改）</w:t>
      </w:r>
      <w:r>
        <w:rPr>
          <w:rFonts w:hint="eastAsia" w:ascii="宋体" w:hAnsi="宋体" w:cs="宋体"/>
          <w:highlight w:val="none"/>
        </w:rPr>
        <w:t xml:space="preserve">；承建（承接）企业为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（中型企业、小型企业、微型企业）；</w:t>
      </w:r>
      <w:r>
        <w:rPr>
          <w:rFonts w:hint="eastAsia" w:ascii="宋体" w:hAnsi="宋体" w:cs="宋体"/>
          <w:highlight w:val="none"/>
          <w:u w:val="single"/>
        </w:rPr>
      </w:r>
      <w:r/>
    </w:p>
    <w:p>
      <w:pPr>
        <w:pStyle w:val="940"/>
        <w:ind w:firstLine="420"/>
        <w:jc w:val="left"/>
        <w:spacing w:line="420" w:lineRule="exact"/>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rPr>
      </w:r>
      <w:r/>
    </w:p>
    <w:p>
      <w:pPr>
        <w:pStyle w:val="940"/>
        <w:ind w:firstLine="420"/>
        <w:jc w:val="left"/>
        <w:spacing w:line="420" w:lineRule="exact"/>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rPr>
          <w:rFonts w:hint="eastAsia" w:ascii="宋体" w:hAnsi="宋体" w:cs="宋体"/>
          <w:highlight w:val="none"/>
        </w:rPr>
      </w:r>
      <w:r/>
    </w:p>
    <w:p>
      <w:pPr>
        <w:pStyle w:val="940"/>
        <w:ind w:firstLine="420"/>
        <w:jc w:val="left"/>
        <w:spacing w:line="420" w:lineRule="exact"/>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rPr>
          <w:rFonts w:hint="eastAsia" w:ascii="宋体" w:hAnsi="宋体" w:cs="宋体"/>
          <w:highlight w:val="none"/>
        </w:rPr>
      </w:r>
      <w:r/>
    </w:p>
    <w:p>
      <w:pPr>
        <w:pStyle w:val="940"/>
        <w:spacing w:line="420" w:lineRule="exact"/>
        <w:rPr>
          <w:rFonts w:hint="eastAsia" w:ascii="宋体" w:hAnsi="宋体" w:cs="宋体"/>
          <w:highlight w:val="none"/>
        </w:rPr>
      </w:pPr>
      <w:r>
        <w:rPr>
          <w:rFonts w:hint="eastAsia" w:ascii="宋体" w:hAnsi="宋体" w:cs="宋体"/>
          <w:b/>
          <w:bCs/>
          <w:highlight w:val="none"/>
        </w:rPr>
        <w:t xml:space="preserve">注</w:t>
      </w:r>
      <w:r>
        <w:rPr>
          <w:rFonts w:hint="eastAsia" w:ascii="宋体" w:hAnsi="宋体" w:cs="宋体"/>
          <w:highlight w:val="none"/>
        </w:rPr>
        <w:t xml:space="preserve">：1、从业人员（不仅指在职职工）、营业收入、资产总额填报上一年度数据，无上一年度数据的新成立企业可不填报。</w:t>
      </w:r>
      <w:r>
        <w:rPr>
          <w:rFonts w:hint="eastAsia" w:ascii="宋体" w:hAnsi="宋体" w:cs="宋体"/>
          <w:highlight w:val="none"/>
        </w:rPr>
      </w:r>
      <w:r/>
    </w:p>
    <w:p>
      <w:pPr>
        <w:pStyle w:val="940"/>
        <w:ind w:firstLine="420"/>
        <w:spacing w:line="420" w:lineRule="exact"/>
        <w:rPr>
          <w:rFonts w:hint="eastAsia" w:ascii="宋体" w:hAnsi="宋体" w:cs="宋体"/>
          <w:highlight w:val="none"/>
        </w:rPr>
      </w:pPr>
      <w:r>
        <w:rPr>
          <w:rFonts w:hint="eastAsia" w:ascii="宋体" w:hAnsi="宋体" w:cs="宋体"/>
          <w:highlight w:val="none"/>
        </w:rPr>
        <w:t xml:space="preserve">2、供应商如不提供此声明函，价格将不做相应扣除。</w:t>
      </w:r>
      <w:r>
        <w:rPr>
          <w:rFonts w:hint="eastAsia" w:ascii="宋体" w:hAnsi="宋体" w:cs="宋体"/>
          <w:highlight w:val="none"/>
        </w:rPr>
      </w:r>
      <w:r/>
    </w:p>
    <w:p>
      <w:pPr>
        <w:pStyle w:val="940"/>
        <w:spacing w:line="420" w:lineRule="exact"/>
        <w:rPr>
          <w:rFonts w:hint="eastAsia" w:ascii="宋体" w:hAnsi="宋体" w:cs="宋体"/>
          <w:highlight w:val="none"/>
        </w:rPr>
      </w:pPr>
      <w:r>
        <w:rPr>
          <w:rFonts w:hint="eastAsia" w:ascii="宋体" w:hAnsi="宋体" w:cs="宋体"/>
          <w:highlight w:val="none"/>
        </w:rPr>
        <w:t xml:space="preserve">    3、企业声明函请完整填写，中标后将公示。</w:t>
      </w:r>
      <w:r>
        <w:rPr>
          <w:rFonts w:hint="eastAsia" w:ascii="宋体" w:hAnsi="宋体" w:cs="宋体"/>
          <w:highlight w:val="none"/>
        </w:rPr>
      </w:r>
      <w:r/>
    </w:p>
    <w:p>
      <w:pPr>
        <w:pStyle w:val="940"/>
        <w:ind w:firstLine="420"/>
        <w:jc w:val="left"/>
        <w:spacing w:line="420" w:lineRule="exact"/>
        <w:rPr>
          <w:rFonts w:hint="eastAsia" w:ascii="宋体" w:hAnsi="宋体" w:cs="宋体"/>
          <w:highlight w:val="none"/>
        </w:rPr>
      </w:pPr>
      <w:r>
        <w:rPr>
          <w:rFonts w:hint="eastAsia" w:ascii="宋体" w:hAnsi="宋体" w:cs="宋体"/>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highlight w:val="none"/>
        </w:rPr>
      </w:r>
      <w:r/>
    </w:p>
    <w:p>
      <w:pPr>
        <w:pStyle w:val="940"/>
        <w:ind w:firstLine="420"/>
        <w:jc w:val="left"/>
        <w:spacing w:line="420" w:lineRule="exact"/>
        <w:rPr>
          <w:rFonts w:hint="eastAsia" w:ascii="宋体" w:hAnsi="宋体" w:cs="宋体"/>
          <w:highlight w:val="none"/>
        </w:rPr>
      </w:pPr>
      <w:r>
        <w:rPr>
          <w:rFonts w:hint="eastAsia" w:ascii="宋体" w:hAnsi="宋体" w:cs="宋体"/>
          <w:highlight w:val="none"/>
        </w:rPr>
        <w:t xml:space="preserve">5、中小企业不得属于大企业的分支机构，不得存在控股股东为大企业的情形，不得存在与大企业的负责人为同一人的情形。</w:t>
      </w:r>
      <w:r>
        <w:rPr>
          <w:rFonts w:hint="eastAsia" w:ascii="宋体" w:hAnsi="宋体" w:cs="宋体"/>
          <w:highlight w:val="none"/>
        </w:rPr>
      </w:r>
      <w:r/>
    </w:p>
    <w:p>
      <w:pPr>
        <w:pStyle w:val="940"/>
        <w:ind w:firstLine="420"/>
        <w:jc w:val="left"/>
        <w:spacing w:line="420" w:lineRule="exact"/>
        <w:rPr>
          <w:rFonts w:hint="eastAsia" w:ascii="宋体" w:hAnsi="宋体" w:cs="宋体"/>
          <w:highlight w:val="none"/>
        </w:rPr>
      </w:pPr>
      <w:r>
        <w:rPr>
          <w:rFonts w:hint="eastAsia" w:ascii="宋体" w:hAnsi="宋体" w:cs="宋体"/>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s="宋体"/>
          <w:highlight w:val="none"/>
        </w:rPr>
      </w:r>
      <w:r/>
    </w:p>
    <w:p>
      <w:pPr>
        <w:pStyle w:val="940"/>
        <w:ind w:firstLine="4620"/>
        <w:jc w:val="left"/>
        <w:spacing w:line="420" w:lineRule="exact"/>
        <w:rPr>
          <w:rFonts w:hint="eastAsia" w:ascii="宋体" w:hAnsi="宋体" w:cs="宋体"/>
          <w:highlight w:val="none"/>
        </w:rPr>
      </w:pPr>
      <w:r>
        <w:rPr>
          <w:rFonts w:hint="eastAsia" w:ascii="宋体" w:hAnsi="宋体" w:cs="宋体"/>
          <w:highlight w:val="none"/>
        </w:rPr>
        <w:t xml:space="preserve">企业名称（加盖CA电子公章）：</w:t>
      </w:r>
      <w:r>
        <w:rPr>
          <w:rFonts w:hint="eastAsia" w:ascii="宋体" w:hAnsi="宋体" w:cs="宋体"/>
          <w:highlight w:val="none"/>
        </w:rPr>
      </w:r>
      <w:r/>
    </w:p>
    <w:p>
      <w:pPr>
        <w:pStyle w:val="940"/>
        <w:ind w:firstLine="4620"/>
        <w:jc w:val="left"/>
        <w:spacing w:line="420" w:lineRule="exact"/>
        <w:rPr>
          <w:rFonts w:hint="eastAsia" w:ascii="宋体" w:hAnsi="宋体" w:cs="宋体"/>
          <w:highlight w:val="none"/>
        </w:rPr>
      </w:pPr>
      <w:r>
        <w:rPr>
          <w:rFonts w:hint="eastAsia" w:ascii="宋体" w:hAnsi="宋体" w:cs="宋体"/>
          <w:highlight w:val="none"/>
        </w:rPr>
        <w:t xml:space="preserve">日 期：</w:t>
      </w:r>
      <w:r>
        <w:rPr>
          <w:rFonts w:hint="eastAsia" w:ascii="宋体" w:hAnsi="宋体" w:cs="宋体"/>
          <w:highlight w:val="none"/>
        </w:rPr>
      </w:r>
      <w:r/>
    </w:p>
    <w:p>
      <w:pPr>
        <w:pStyle w:val="940"/>
        <w:ind w:firstLine="420"/>
        <w:jc w:val="left"/>
        <w:spacing w:line="420" w:lineRule="exact"/>
        <w:rPr>
          <w:rFonts w:hint="eastAsia" w:ascii="宋体" w:hAnsi="宋体" w:cs="宋体"/>
          <w:highlight w:val="none"/>
        </w:rPr>
      </w:pPr>
      <w:r>
        <w:rPr>
          <w:rFonts w:hint="eastAsia" w:ascii="宋体" w:hAnsi="宋体" w:cs="宋体"/>
          <w:highlight w:val="none"/>
        </w:rPr>
      </w:r>
      <w:r/>
    </w:p>
    <w:p>
      <w:pPr>
        <w:pStyle w:val="940"/>
        <w:jc w:val="center"/>
        <w:keepLines/>
        <w:keepNext/>
        <w:spacing w:before="300" w:after="300"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中小微企业划型标准 </w:t>
      </w:r>
      <w:r>
        <w:rPr>
          <w:rFonts w:hint="eastAsia" w:ascii="宋体" w:hAnsi="宋体" w:cs="宋体"/>
          <w:b/>
          <w:bCs/>
          <w:szCs w:val="21"/>
          <w:highlight w:val="none"/>
        </w:rPr>
      </w:r>
      <w:r/>
    </w:p>
    <w:p>
      <w:pPr>
        <w:pStyle w:val="940"/>
        <w:jc w:val="left"/>
        <w:spacing w:before="300" w:after="452" w:line="360" w:lineRule="auto"/>
        <w:widowControl/>
        <w:rPr>
          <w:rFonts w:hint="eastAsia" w:ascii="宋体" w:hAnsi="宋体" w:cs="宋体"/>
          <w:szCs w:val="21"/>
          <w:highlight w:val="none"/>
        </w:rPr>
      </w:pPr>
      <w:r>
        <w:rPr>
          <w:rFonts w:hint="eastAsia" w:ascii="宋体" w:hAnsi="宋体" w:cs="宋体"/>
          <w:b/>
          <w:bCs/>
          <w:szCs w:val="21"/>
          <w:highlight w:val="none"/>
        </w:rPr>
        <w:t xml:space="preserve">中小微企业划型标准如下：</w:t>
      </w:r>
      <w:r>
        <w:rPr>
          <w:rFonts w:hint="eastAsia" w:ascii="宋体" w:hAnsi="宋体" w:cs="宋体"/>
          <w:szCs w:val="21"/>
          <w:highlight w:val="none"/>
        </w:rPr>
      </w:r>
      <w:r/>
    </w:p>
    <w:tbl>
      <w:tblPr>
        <w:tblW w:w="8967" w:type="dxa"/>
        <w:tblCellSpacing w:w="15" w:type="dxa"/>
        <w:tblInd w:w="-327" w:type="dxa"/>
        <w:tblBorders>
          <w:top w:val="single" w:color="999999" w:sz="6" w:space="0"/>
          <w:left w:val="single" w:color="999999" w:sz="6" w:space="0"/>
          <w:bottom w:val="single" w:color="000000" w:sz="6" w:space="0"/>
          <w:right w:val="single" w:color="000000" w:sz="6"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57"/>
        <w:gridCol w:w="1707"/>
        <w:gridCol w:w="719"/>
        <w:gridCol w:w="1876"/>
        <w:gridCol w:w="1698"/>
        <w:gridCol w:w="1510"/>
      </w:tblGrid>
      <w:tr>
        <w:trPr>
          <w:tblCellSpacing w:w="15" w:type="dxa"/>
          <w:trHeight w:val="285"/>
        </w:trPr>
        <w:tc>
          <w:tcPr>
            <w:tcW w:w="1446"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行业名称</w:t>
            </w:r>
            <w:r>
              <w:rPr>
                <w:rFonts w:hint="eastAsia" w:ascii="宋体" w:hAnsi="宋体" w:cs="宋体"/>
                <w:szCs w:val="21"/>
                <w:highlight w:val="none"/>
              </w:rPr>
            </w:r>
            <w:r/>
          </w:p>
        </w:tc>
        <w:tc>
          <w:tcPr>
            <w:tcW w:w="1718"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指标名称</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计量单位</w:t>
            </w:r>
            <w:r>
              <w:rPr>
                <w:rFonts w:hint="eastAsia" w:ascii="宋体" w:hAnsi="宋体" w:cs="宋体"/>
                <w:szCs w:val="21"/>
                <w:highlight w:val="none"/>
              </w:rPr>
            </w:r>
            <w:r/>
          </w:p>
        </w:tc>
        <w:tc>
          <w:tcPr>
            <w:tcW w:w="1892"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中型</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小型</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微型</w:t>
            </w:r>
            <w:r>
              <w:rPr>
                <w:rFonts w:hint="eastAsia" w:ascii="宋体" w:hAnsi="宋体" w:cs="宋体"/>
                <w:szCs w:val="21"/>
                <w:highlight w:val="none"/>
              </w:rPr>
            </w:r>
            <w:r/>
          </w:p>
        </w:tc>
      </w:tr>
      <w:tr>
        <w:trPr>
          <w:tblCellSpacing w:w="15" w:type="dxa"/>
          <w:trHeight w:val="225"/>
        </w:trPr>
        <w:tc>
          <w:tcPr>
            <w:tcW w:w="1446"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农、林、牧、渔</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500≤Y＜20000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50≤Y＜500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Y＜50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工业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300≤X＜1000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20≤X＜300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X＜20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2000≤Y＜40000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300≤Y＜2000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Y＜300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建筑业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6000≤Y＜80000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300≤Y＜6000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Y＜300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资产总额（Z）</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5000≤Z＜80000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300≤Z＜5000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Z＜300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批发业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20≤X＜200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5≤X＜20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X＜5</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5000≤Y＜40000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1000≤Y＜5000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Y＜1000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零售业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50≤X＜300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10≤X＜50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X＜10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500≤Y＜20000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100≤Y＜500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Y＜100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交通运输业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300≤X＜1000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20≤X＜300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X＜20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3000≤Y＜30000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200≤Y＜3000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Y＜200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仓储业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100≤X＜200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20≤X＜100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X＜20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1000≤Y＜30000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100≤Y＜1000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Y＜100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邮政业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300≤X＜1000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20≤X＜300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X＜20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2000≤Y＜30000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100≤Y＜2000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Y＜100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住宿业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100≤X＜300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10≤X＜100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X＜10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2000≤Y＜10000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100≤Y＜2000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Y＜100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餐饮业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100≤X＜300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10≤X＜100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X＜10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2000≤Y＜10000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100≤Y＜2000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Y＜100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信息传输业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100≤X＜2000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10≤X＜100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X＜10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1000≤Y＜100000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100≤Y＜1000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Y＜100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ind w:firstLine="42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软件和信息技术服务业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100≤X＜300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10≤X＜100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X＜10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1000≤Y＜10000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50≤Y＜1000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Y＜50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房地产开发经营</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1000≤Y＜200000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100≤X＜1000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X＜100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资产总额（Z）</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5000≤Z＜10000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2000≤Y＜5000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Y＜2000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物业管理</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300≤X＜1000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100≤X＜300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X＜100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营业收入（Y）</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1000≤Y＜5000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500≤Y＜1000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Y＜500</w:t>
            </w:r>
            <w:r>
              <w:rPr>
                <w:rFonts w:hint="eastAsia" w:ascii="宋体" w:hAnsi="宋体" w:cs="宋体"/>
                <w:szCs w:val="21"/>
                <w:highlight w:val="none"/>
              </w:rPr>
            </w:r>
            <w:r/>
          </w:p>
        </w:tc>
      </w:tr>
      <w:tr>
        <w:trPr>
          <w:tblCellSpacing w:w="15" w:type="dxa"/>
          <w:trHeight w:val="225"/>
        </w:trPr>
        <w:tc>
          <w:tcPr>
            <w:tcW w:w="1446" w:type="dxa"/>
            <w:vAlign w:val="center"/>
            <w:vMerge w:val="restart"/>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租赁和商务服务业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100≤X＜300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10≤X＜100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X＜10</w:t>
            </w:r>
            <w:r>
              <w:rPr>
                <w:rFonts w:hint="eastAsia" w:ascii="宋体" w:hAnsi="宋体" w:cs="宋体"/>
                <w:szCs w:val="21"/>
                <w:highlight w:val="none"/>
              </w:rPr>
            </w:r>
            <w:r/>
          </w:p>
        </w:tc>
      </w:tr>
      <w:tr>
        <w:trPr>
          <w:tblCellSpacing w:w="15" w:type="dxa"/>
          <w:trHeight w:val="225"/>
        </w:trPr>
        <w:tc>
          <w:tcPr>
            <w:tcW w:w="1401" w:type="dxa"/>
            <w:vAlign w:val="center"/>
            <w:vMerge w:val="continue"/>
            <w:textDirection w:val="lrTb"/>
            <w:noWrap w:val="false"/>
          </w:tcPr>
          <w:p>
            <w:pPr>
              <w:pStyle w:val="940"/>
              <w:jc w:val="left"/>
              <w:widowControl/>
              <w:rPr>
                <w:rFonts w:hint="eastAsia" w:ascii="宋体" w:hAnsi="宋体" w:cs="宋体"/>
                <w:szCs w:val="21"/>
                <w:highlight w:val="none"/>
              </w:rPr>
            </w:pP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资产总额（Z）</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万元</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8000≤Z＜120000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100≤Z＜8000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Y＜100</w:t>
            </w:r>
            <w:r>
              <w:rPr>
                <w:rFonts w:hint="eastAsia" w:ascii="宋体" w:hAnsi="宋体" w:cs="宋体"/>
                <w:szCs w:val="21"/>
                <w:highlight w:val="none"/>
              </w:rPr>
            </w:r>
            <w:r/>
          </w:p>
        </w:tc>
      </w:tr>
      <w:tr>
        <w:trPr>
          <w:tblCellSpacing w:w="15" w:type="dxa"/>
          <w:trHeight w:val="225"/>
        </w:trPr>
        <w:tc>
          <w:tcPr>
            <w:tcW w:w="1446"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其他未列明行业</w:t>
            </w:r>
            <w:r>
              <w:rPr>
                <w:rFonts w:hint="eastAsia" w:ascii="宋体" w:hAnsi="宋体" w:cs="宋体"/>
                <w:szCs w:val="21"/>
                <w:highlight w:val="none"/>
              </w:rPr>
            </w:r>
            <w:r/>
          </w:p>
        </w:tc>
        <w:tc>
          <w:tcPr>
            <w:tcW w:w="1718"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从业人员（X）</w:t>
            </w:r>
            <w:r>
              <w:rPr>
                <w:rFonts w:hint="eastAsia" w:ascii="宋体" w:hAnsi="宋体" w:cs="宋体"/>
                <w:szCs w:val="21"/>
                <w:highlight w:val="none"/>
              </w:rPr>
            </w:r>
            <w:r/>
          </w:p>
        </w:tc>
        <w:tc>
          <w:tcPr>
            <w:tcW w:w="70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人</w:t>
            </w:r>
            <w:r>
              <w:rPr>
                <w:rFonts w:hint="eastAsia" w:ascii="宋体" w:hAnsi="宋体" w:cs="宋体"/>
                <w:szCs w:val="21"/>
                <w:highlight w:val="none"/>
              </w:rPr>
            </w:r>
            <w:r/>
          </w:p>
        </w:tc>
        <w:tc>
          <w:tcPr>
            <w:tcW w:w="1892" w:type="dxa"/>
            <w:vAlign w:val="center"/>
            <w:textDirection w:val="lrTb"/>
            <w:noWrap w:val="false"/>
          </w:tcPr>
          <w:p>
            <w:pPr>
              <w:pStyle w:val="94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100≤X＜300</w:t>
            </w:r>
            <w:r>
              <w:rPr>
                <w:rFonts w:hint="eastAsia" w:ascii="宋体" w:hAnsi="宋体" w:cs="宋体"/>
                <w:szCs w:val="21"/>
                <w:highlight w:val="none"/>
              </w:rPr>
            </w:r>
            <w:r/>
          </w:p>
        </w:tc>
        <w:tc>
          <w:tcPr>
            <w:tcW w:w="1709" w:type="dxa"/>
            <w:vAlign w:val="center"/>
            <w:textDirection w:val="lrTb"/>
            <w:noWrap w:val="false"/>
          </w:tcPr>
          <w:p>
            <w:pPr>
              <w:pStyle w:val="940"/>
              <w:jc w:val="center"/>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10≤X＜100</w:t>
            </w:r>
            <w:r>
              <w:rPr>
                <w:rFonts w:hint="eastAsia" w:ascii="宋体" w:hAnsi="宋体" w:cs="宋体"/>
                <w:szCs w:val="21"/>
                <w:highlight w:val="none"/>
              </w:rPr>
            </w:r>
            <w:r/>
          </w:p>
        </w:tc>
        <w:tc>
          <w:tcPr>
            <w:tcW w:w="1500" w:type="dxa"/>
            <w:vAlign w:val="center"/>
            <w:textDirection w:val="lrTb"/>
            <w:noWrap w:val="false"/>
          </w:tcPr>
          <w:p>
            <w:pPr>
              <w:pStyle w:val="940"/>
              <w:ind w:firstLine="420"/>
              <w:jc w:val="left"/>
              <w:spacing w:after="150" w:line="360" w:lineRule="auto"/>
              <w:widowControl/>
              <w:rPr>
                <w:rFonts w:hint="eastAsia" w:ascii="宋体" w:hAnsi="宋体" w:cs="宋体"/>
                <w:szCs w:val="21"/>
                <w:highlight w:val="none"/>
              </w:rPr>
            </w:pPr>
            <w:r>
              <w:rPr>
                <w:rFonts w:hint="eastAsia" w:ascii="宋体" w:hAnsi="宋体" w:cs="宋体"/>
                <w:b/>
                <w:bCs/>
                <w:szCs w:val="21"/>
                <w:highlight w:val="none"/>
              </w:rPr>
              <w:t xml:space="preserve">X＜10</w:t>
            </w:r>
            <w:r>
              <w:rPr>
                <w:rFonts w:hint="eastAsia" w:ascii="宋体" w:hAnsi="宋体" w:cs="宋体"/>
                <w:szCs w:val="21"/>
                <w:highlight w:val="none"/>
              </w:rPr>
            </w:r>
            <w:r/>
          </w:p>
        </w:tc>
      </w:tr>
    </w:tbl>
    <w:p>
      <w:pPr>
        <w:pStyle w:val="940"/>
        <w:ind w:firstLine="810"/>
        <w:jc w:val="left"/>
        <w:spacing w:before="300" w:after="452" w:line="360" w:lineRule="auto"/>
        <w:widowControl/>
        <w:rPr>
          <w:rFonts w:hint="eastAsia" w:ascii="宋体" w:hAnsi="宋体" w:cs="宋体"/>
          <w:szCs w:val="21"/>
          <w:highlight w:val="none"/>
        </w:rPr>
      </w:pPr>
      <w:r>
        <w:rPr>
          <w:rFonts w:hint="eastAsia" w:ascii="宋体" w:hAnsi="宋体" w:cs="宋体"/>
          <w:b/>
          <w:bCs/>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cs="宋体"/>
          <w:szCs w:val="21"/>
          <w:highlight w:val="none"/>
        </w:rPr>
      </w:r>
      <w:r/>
    </w:p>
    <w:p>
      <w:pPr>
        <w:pStyle w:val="1063"/>
        <w:ind w:left="35" w:hanging="66"/>
        <w:spacing w:before="0" w:after="0" w:line="520" w:lineRule="exact"/>
        <w:rPr>
          <w:rFonts w:hint="eastAsia" w:ascii="宋体" w:hAnsi="宋体" w:eastAsia="宋体" w:cs="宋体"/>
          <w:b w:val="0"/>
          <w:bCs w:val="0"/>
          <w:sz w:val="28"/>
          <w:szCs w:val="28"/>
          <w:highlight w:val="none"/>
        </w:rPr>
      </w:pPr>
      <w:r>
        <w:rPr>
          <w:rFonts w:hint="eastAsia" w:ascii="宋体" w:hAnsi="宋体" w:eastAsia="宋体" w:cs="宋体"/>
          <w:b w:val="0"/>
          <w:sz w:val="32"/>
          <w:szCs w:val="32"/>
          <w:highlight w:val="none"/>
        </w:rPr>
        <w:br w:type="page" w:clear="all"/>
      </w:r>
      <w:r>
        <w:rPr>
          <w:rFonts w:hint="eastAsia" w:ascii="宋体" w:hAnsi="宋体" w:eastAsia="宋体" w:cs="宋体"/>
          <w:b w:val="0"/>
          <w:bCs w:val="0"/>
          <w:sz w:val="28"/>
          <w:szCs w:val="28"/>
          <w:highlight w:val="none"/>
        </w:rPr>
        <w:t xml:space="preserve">残疾人福利性单位声明函</w:t>
      </w:r>
      <w:r>
        <w:rPr>
          <w:rFonts w:hint="eastAsia" w:ascii="宋体" w:hAnsi="宋体" w:eastAsia="宋体" w:cs="宋体"/>
          <w:b w:val="0"/>
          <w:bCs w:val="0"/>
          <w:sz w:val="28"/>
          <w:szCs w:val="28"/>
          <w:highlight w:val="none"/>
        </w:rPr>
      </w:r>
      <w:r/>
    </w:p>
    <w:p>
      <w:pPr>
        <w:pStyle w:val="940"/>
        <w:rPr>
          <w:rFonts w:hint="eastAsia" w:ascii="宋体" w:hAnsi="宋体" w:cs="宋体"/>
          <w:highlight w:val="none"/>
        </w:rPr>
      </w:pPr>
      <w:r>
        <w:rPr>
          <w:rFonts w:hint="eastAsia" w:ascii="宋体" w:hAnsi="宋体" w:cs="宋体"/>
          <w:highlight w:val="none"/>
        </w:rPr>
      </w:r>
      <w:r/>
    </w:p>
    <w:p>
      <w:pPr>
        <w:pStyle w:val="1063"/>
        <w:ind w:firstLine="560"/>
        <w:jc w:val="both"/>
        <w:spacing w:before="0" w:after="0" w:line="52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b w:val="0"/>
          <w:bCs w:val="0"/>
          <w:sz w:val="28"/>
          <w:szCs w:val="28"/>
          <w:highlight w:val="none"/>
          <w:u w:val="single"/>
        </w:rPr>
        <w:t xml:space="preserve">       </w:t>
      </w:r>
      <w:r>
        <w:rPr>
          <w:rFonts w:hint="eastAsia" w:ascii="宋体" w:hAnsi="宋体" w:eastAsia="宋体" w:cs="宋体"/>
          <w:b w:val="0"/>
          <w:bCs w:val="0"/>
          <w:sz w:val="28"/>
          <w:szCs w:val="28"/>
          <w:highlight w:val="none"/>
        </w:rPr>
        <w:t xml:space="preserve">项目（分包号：**）采购活动由本单位提供服务。</w:t>
      </w:r>
      <w:r>
        <w:rPr>
          <w:rFonts w:hint="eastAsia" w:ascii="宋体" w:hAnsi="宋体" w:eastAsia="宋体" w:cs="宋体"/>
          <w:b w:val="0"/>
          <w:bCs w:val="0"/>
          <w:sz w:val="28"/>
          <w:szCs w:val="28"/>
          <w:highlight w:val="none"/>
        </w:rPr>
      </w:r>
      <w:r/>
    </w:p>
    <w:p>
      <w:pPr>
        <w:pStyle w:val="1063"/>
        <w:ind w:firstLine="560"/>
        <w:jc w:val="both"/>
        <w:spacing w:before="0" w:after="0" w:line="52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本单位对上述声明的真实性负责。如有虚假，将依法承担相应责任。</w:t>
      </w:r>
      <w:r>
        <w:rPr>
          <w:rFonts w:hint="eastAsia" w:ascii="宋体" w:hAnsi="宋体" w:eastAsia="宋体" w:cs="宋体"/>
          <w:b w:val="0"/>
          <w:bCs w:val="0"/>
          <w:sz w:val="28"/>
          <w:szCs w:val="28"/>
          <w:highlight w:val="none"/>
        </w:rPr>
      </w:r>
      <w:r/>
    </w:p>
    <w:p>
      <w:pPr>
        <w:pStyle w:val="1063"/>
        <w:ind w:firstLine="560"/>
        <w:jc w:val="both"/>
        <w:spacing w:before="0" w:after="0" w:line="52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p>
      <w:pPr>
        <w:pStyle w:val="1063"/>
        <w:ind w:firstLine="560"/>
        <w:jc w:val="both"/>
        <w:spacing w:before="0" w:after="0" w:line="52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（备注：成交供应商为残疾人福利单位的，此声明函将随成交结果同时公告，接受社会监督）</w:t>
      </w:r>
      <w:r>
        <w:rPr>
          <w:rFonts w:hint="eastAsia" w:ascii="宋体" w:hAnsi="宋体" w:eastAsia="宋体" w:cs="宋体"/>
          <w:b w:val="0"/>
          <w:bCs w:val="0"/>
          <w:sz w:val="28"/>
          <w:szCs w:val="28"/>
          <w:highlight w:val="none"/>
        </w:rPr>
      </w:r>
      <w:r/>
    </w:p>
    <w:p>
      <w:pPr>
        <w:pStyle w:val="1063"/>
        <w:ind w:firstLine="560"/>
        <w:jc w:val="both"/>
        <w:spacing w:before="0" w:after="0" w:line="52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p>
      <w:pPr>
        <w:pStyle w:val="1063"/>
        <w:ind w:firstLine="560"/>
        <w:jc w:val="both"/>
        <w:spacing w:before="0" w:after="0" w:line="52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     供应商全称（加盖CA电子公章）：</w:t>
      </w:r>
      <w:r>
        <w:rPr>
          <w:rFonts w:hint="eastAsia" w:ascii="宋体" w:hAnsi="宋体" w:eastAsia="宋体" w:cs="宋体"/>
          <w:b w:val="0"/>
          <w:bCs w:val="0"/>
          <w:sz w:val="28"/>
          <w:szCs w:val="28"/>
          <w:highlight w:val="none"/>
        </w:rPr>
      </w:r>
      <w:r/>
    </w:p>
    <w:p>
      <w:pPr>
        <w:pStyle w:val="1063"/>
        <w:ind w:firstLine="560"/>
        <w:jc w:val="both"/>
        <w:spacing w:before="0" w:after="0" w:line="52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           日  期：</w:t>
      </w:r>
      <w:r>
        <w:rPr>
          <w:rFonts w:hint="eastAsia" w:ascii="宋体" w:hAnsi="宋体" w:eastAsia="宋体" w:cs="宋体"/>
          <w:b w:val="0"/>
          <w:bCs w:val="0"/>
          <w:sz w:val="28"/>
          <w:szCs w:val="28"/>
          <w:highlight w:val="none"/>
        </w:rPr>
      </w:r>
      <w:r/>
    </w:p>
    <w:p>
      <w:pPr>
        <w:pStyle w:val="1063"/>
        <w:ind w:firstLine="562"/>
        <w:jc w:val="both"/>
        <w:spacing w:before="0" w:after="0"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40"/>
        <w:ind w:right="1560" w:firstLine="480"/>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r>
      <w:r/>
    </w:p>
    <w:p>
      <w:pPr>
        <w:pStyle w:val="940"/>
        <w:ind w:right="1560" w:firstLine="480"/>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r>
      <w:r/>
    </w:p>
    <w:p>
      <w:pPr>
        <w:pStyle w:val="940"/>
        <w:ind w:right="1560" w:firstLine="480"/>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r>
      <w:r/>
    </w:p>
    <w:p>
      <w:pPr>
        <w:pStyle w:val="940"/>
        <w:ind w:right="1560" w:firstLine="480"/>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r>
      <w:r/>
    </w:p>
    <w:p>
      <w:pPr>
        <w:pStyle w:val="940"/>
        <w:ind w:right="1560" w:firstLine="480"/>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r>
      <w:r/>
    </w:p>
    <w:p>
      <w:pPr>
        <w:pStyle w:val="940"/>
        <w:ind w:right="1560" w:firstLine="480"/>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r>
      <w:r/>
    </w:p>
    <w:p>
      <w:pPr>
        <w:pStyle w:val="940"/>
        <w:ind w:right="1560" w:firstLine="480"/>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r>
      <w:r/>
    </w:p>
    <w:p>
      <w:pPr>
        <w:pStyle w:val="940"/>
        <w:ind w:right="1560" w:firstLine="480"/>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r>
      <w:r/>
    </w:p>
    <w:p>
      <w:pPr>
        <w:pStyle w:val="940"/>
        <w:ind w:right="1560" w:firstLine="480"/>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r>
      <w:r/>
    </w:p>
    <w:p>
      <w:pPr>
        <w:pStyle w:val="940"/>
        <w:ind w:firstLine="0"/>
        <w:jc w:val="left"/>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40"/>
        <w:ind w:firstLine="211"/>
        <w:jc w:val="center"/>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联合体协议（如有）</w:t>
      </w:r>
      <w:r>
        <w:rPr>
          <w:rFonts w:ascii="宋体" w:hAnsi="宋体"/>
          <w:b/>
          <w:color w:val="000000"/>
          <w:sz w:val="28"/>
          <w:szCs w:val="28"/>
          <w:highlight w:val="none"/>
        </w:rPr>
      </w:r>
      <w:r/>
    </w:p>
    <w:p>
      <w:pPr>
        <w:pStyle w:val="940"/>
        <w:ind w:firstLine="211"/>
        <w:jc w:val="center"/>
        <w:spacing w:line="360" w:lineRule="auto"/>
        <w:rPr>
          <w:rFonts w:ascii="宋体" w:hAnsi="宋体"/>
          <w:b/>
          <w:color w:val="000000"/>
          <w:sz w:val="28"/>
          <w:szCs w:val="28"/>
          <w:highlight w:val="none"/>
        </w:rPr>
      </w:pPr>
      <w:r>
        <w:rPr>
          <w:rFonts w:ascii="宋体" w:hAnsi="宋体"/>
          <w:b/>
          <w:color w:val="000000"/>
          <w:sz w:val="28"/>
          <w:szCs w:val="28"/>
          <w:highlight w:val="none"/>
        </w:rPr>
      </w:r>
      <w:r/>
    </w:p>
    <w:p>
      <w:pPr>
        <w:pStyle w:val="94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（联合体中各供应商全称）在此达成以下协议：</w:t>
      </w:r>
      <w:r>
        <w:rPr>
          <w:rFonts w:ascii="宋体" w:hAnsi="宋体"/>
          <w:color w:val="000000"/>
          <w:sz w:val="28"/>
          <w:szCs w:val="28"/>
          <w:highlight w:val="none"/>
        </w:rPr>
      </w:r>
      <w:r/>
    </w:p>
    <w:p>
      <w:pPr>
        <w:pStyle w:val="940"/>
        <w:ind w:firstLine="645"/>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1、我们自愿组成联合体，参加代理机构组织的采购编号为（项目编号）（项目全称）的政府采购活动。</w:t>
      </w:r>
      <w:r>
        <w:rPr>
          <w:rFonts w:ascii="宋体" w:hAnsi="宋体"/>
          <w:color w:val="000000"/>
          <w:sz w:val="28"/>
          <w:szCs w:val="28"/>
          <w:highlight w:val="none"/>
        </w:rPr>
      </w:r>
      <w:r/>
    </w:p>
    <w:p>
      <w:pPr>
        <w:pStyle w:val="940"/>
        <w:ind w:firstLine="645"/>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sz w:val="28"/>
          <w:szCs w:val="28"/>
          <w:highlight w:val="none"/>
        </w:rPr>
      </w:r>
      <w:r/>
    </w:p>
    <w:p>
      <w:pPr>
        <w:pStyle w:val="940"/>
        <w:ind w:firstLine="645"/>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r>
      <w:r/>
    </w:p>
    <w:p>
      <w:pPr>
        <w:pStyle w:val="940"/>
        <w:ind w:firstLine="462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所有供应商全称：</w:t>
      </w:r>
      <w:r>
        <w:rPr>
          <w:rFonts w:ascii="宋体" w:hAnsi="宋体"/>
          <w:color w:val="000000"/>
          <w:sz w:val="28"/>
          <w:szCs w:val="28"/>
          <w:highlight w:val="none"/>
        </w:rPr>
      </w:r>
      <w:r/>
    </w:p>
    <w:p>
      <w:pPr>
        <w:pStyle w:val="940"/>
        <w:ind w:firstLine="645"/>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                                      法定代表人：  </w:t>
      </w:r>
      <w:r>
        <w:rPr>
          <w:rFonts w:ascii="宋体" w:hAnsi="宋体"/>
          <w:color w:val="000000"/>
          <w:sz w:val="28"/>
          <w:szCs w:val="28"/>
          <w:highlight w:val="none"/>
        </w:rPr>
      </w:r>
      <w:r/>
    </w:p>
    <w:p>
      <w:pPr>
        <w:pStyle w:val="940"/>
        <w:ind w:firstLine="462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日期：</w:t>
      </w:r>
      <w:r>
        <w:rPr>
          <w:rFonts w:ascii="宋体" w:hAnsi="宋体"/>
          <w:color w:val="000000"/>
          <w:sz w:val="28"/>
          <w:szCs w:val="28"/>
          <w:highlight w:val="none"/>
        </w:rPr>
      </w:r>
      <w:r/>
    </w:p>
    <w:p>
      <w:pPr>
        <w:pStyle w:val="940"/>
        <w:ind w:right="1560"/>
        <w:jc w:val="both"/>
        <w:spacing w:line="588" w:lineRule="exact"/>
        <w:tabs>
          <w:tab w:val="left" w:pos="4860" w:leader="none"/>
        </w:tabs>
        <w:rPr>
          <w:rFonts w:hint="eastAsia" w:ascii="宋体" w:hAnsi="宋体" w:cs="宋体"/>
          <w:sz w:val="28"/>
          <w:szCs w:val="28"/>
          <w:highlight w:val="none"/>
        </w:rPr>
      </w:pPr>
      <w:r>
        <w:rPr>
          <w:rFonts w:hint="eastAsia" w:ascii="宋体" w:hAnsi="宋体" w:cs="宋体"/>
          <w:sz w:val="28"/>
          <w:szCs w:val="28"/>
          <w:highlight w:val="none"/>
        </w:rPr>
      </w:r>
      <w:r/>
    </w:p>
    <w:p>
      <w:pPr>
        <w:pStyle w:val="940"/>
        <w:jc w:val="center"/>
        <w:spacing w:line="56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spacing w:line="56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spacing w:line="56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560" w:lineRule="exact"/>
        <w:rPr>
          <w:rFonts w:hint="eastAsia" w:ascii="宋体" w:hAnsi="宋体" w:cs="宋体"/>
          <w:b/>
          <w:bCs/>
          <w:sz w:val="32"/>
          <w:szCs w:val="32"/>
          <w:highlight w:val="none"/>
        </w:rPr>
      </w:pPr>
      <w:r>
        <w:rPr>
          <w:rFonts w:hint="eastAsia" w:ascii="宋体" w:hAnsi="宋体" w:cs="宋体"/>
          <w:b/>
          <w:sz w:val="32"/>
          <w:szCs w:val="32"/>
          <w:highlight w:val="none"/>
        </w:rPr>
      </w:r>
      <w:r>
        <w:rPr>
          <w:rFonts w:hint="eastAsia" w:ascii="宋体" w:hAnsi="宋体" w:cs="宋体"/>
          <w:b/>
          <w:sz w:val="32"/>
          <w:szCs w:val="32"/>
          <w:highlight w:val="none"/>
        </w:rPr>
      </w:r>
      <w:r/>
    </w:p>
    <w:p>
      <w:pPr>
        <w:pStyle w:val="940"/>
        <w:jc w:val="center"/>
        <w:spacing w:line="560" w:lineRule="exact"/>
        <w:rPr>
          <w:rFonts w:hint="eastAsia" w:ascii="宋体" w:hAnsi="宋体" w:cs="宋体"/>
          <w:b/>
          <w:bCs/>
          <w:sz w:val="32"/>
          <w:szCs w:val="32"/>
          <w:highlight w:val="none"/>
        </w:rPr>
      </w:pPr>
      <w:r>
        <w:rPr>
          <w:rFonts w:hint="eastAsia" w:ascii="宋体" w:hAnsi="宋体" w:cs="宋体"/>
          <w:b/>
          <w:sz w:val="32"/>
          <w:szCs w:val="32"/>
          <w:highlight w:val="none"/>
        </w:rPr>
      </w:r>
      <w:r/>
    </w:p>
    <w:p>
      <w:pPr>
        <w:pStyle w:val="940"/>
        <w:jc w:val="center"/>
        <w:spacing w:line="56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spacing w:line="56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spacing w:line="56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spacing w:line="56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spacing w:line="56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spacing w:line="56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t xml:space="preserve">十一、分项报价表（服务类）</w:t>
      </w:r>
      <w:r>
        <w:rPr>
          <w:rFonts w:hint="eastAsia" w:ascii="宋体" w:hAnsi="宋体" w:cs="宋体"/>
          <w:b/>
          <w:sz w:val="32"/>
          <w:szCs w:val="32"/>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74"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8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924"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03"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rPr>
            </w:r>
            <w:r/>
          </w:p>
        </w:tc>
        <w:tc>
          <w:tcPr>
            <w:tcW w:w="161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rPr>
            </w:r>
            <w:r/>
          </w:p>
        </w:tc>
        <w:tc>
          <w:tcPr>
            <w:tcW w:w="179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rPr>
            </w:r>
            <w:r/>
          </w:p>
        </w:tc>
      </w:tr>
      <w:tr>
        <w:trPr>
          <w:cantSplit/>
          <w:trHeight w:val="294"/>
        </w:trPr>
        <w:tc>
          <w:tcPr>
            <w:tcW w:w="948" w:type="dxa"/>
            <w:vAlign w:val="center"/>
            <w:vMerge w:val="continue"/>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74"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分项服务名称</w:t>
            </w:r>
            <w:r>
              <w:rPr>
                <w:rFonts w:hint="eastAsia" w:ascii="宋体" w:hAnsi="宋体"/>
                <w:sz w:val="24"/>
                <w:szCs w:val="24"/>
                <w:highlight w:val="none"/>
              </w:rPr>
            </w:r>
            <w:r/>
          </w:p>
        </w:tc>
        <w:tc>
          <w:tcPr>
            <w:tcW w:w="128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rPr>
                <w:rFonts w:hint="eastAsia" w:ascii="宋体" w:hAnsi="宋体"/>
                <w:sz w:val="24"/>
                <w:szCs w:val="24"/>
                <w:highlight w:val="none"/>
              </w:rPr>
            </w:r>
            <w:r/>
          </w:p>
        </w:tc>
        <w:tc>
          <w:tcPr>
            <w:tcW w:w="924"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rPr>
                <w:rFonts w:hint="eastAsia" w:ascii="宋体" w:hAnsi="宋体"/>
                <w:sz w:val="24"/>
                <w:szCs w:val="24"/>
                <w:highlight w:val="none"/>
              </w:rPr>
            </w:r>
            <w:r/>
          </w:p>
        </w:tc>
        <w:tc>
          <w:tcPr>
            <w:tcW w:w="1203"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161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rPr>
                <w:rFonts w:hint="eastAsia" w:ascii="宋体" w:hAnsi="宋体"/>
                <w:sz w:val="24"/>
                <w:szCs w:val="24"/>
                <w:highlight w:val="none"/>
              </w:rPr>
            </w:r>
            <w:r/>
          </w:p>
        </w:tc>
        <w:tc>
          <w:tcPr>
            <w:tcW w:w="179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rPr>
                <w:rFonts w:hint="eastAsia" w:ascii="宋体" w:hAnsi="宋体"/>
                <w:sz w:val="24"/>
                <w:szCs w:val="24"/>
                <w:highlight w:val="none"/>
              </w:rPr>
            </w:r>
            <w:r/>
          </w:p>
        </w:tc>
      </w:tr>
      <w:tr>
        <w:trPr>
          <w:cantSplit/>
          <w:trHeight w:val="654"/>
        </w:trPr>
        <w:tc>
          <w:tcPr>
            <w:tcW w:w="94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74"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74"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74"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pStyle w:val="940"/>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1274" w:type="dxa"/>
            <w:vAlign w:val="center"/>
            <w:textDirection w:val="lrTb"/>
            <w:noWrap w:val="false"/>
          </w:tcPr>
          <w:p>
            <w:pPr>
              <w:pStyle w:val="940"/>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128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8"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6"/>
            <w:tcW w:w="7255" w:type="dxa"/>
            <w:vAlign w:val="center"/>
            <w:textDirection w:val="lrTb"/>
            <w:noWrap w:val="false"/>
          </w:tcPr>
          <w:p>
            <w:pPr>
              <w:pStyle w:val="94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总报价（人民币：元）</w:t>
            </w:r>
            <w:r>
              <w:rPr>
                <w:rFonts w:hint="eastAsia" w:ascii="宋体" w:hAnsi="宋体"/>
                <w:sz w:val="24"/>
                <w:szCs w:val="24"/>
                <w:highlight w:val="none"/>
              </w:rPr>
            </w:r>
            <w:r/>
          </w:p>
        </w:tc>
        <w:tc>
          <w:tcPr>
            <w:tcW w:w="1798" w:type="dxa"/>
            <w:vAlign w:val="top"/>
            <w:textDirection w:val="lrTb"/>
            <w:noWrap w:val="false"/>
          </w:tcPr>
          <w:p>
            <w:pPr>
              <w:pStyle w:val="940"/>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940"/>
        <w:rPr>
          <w:rFonts w:hint="eastAsia" w:ascii="宋体" w:hAnsi="宋体" w:cs="宋体"/>
          <w:sz w:val="24"/>
          <w:szCs w:val="24"/>
          <w:highlight w:val="none"/>
        </w:rPr>
      </w:pPr>
      <w:r>
        <w:rPr>
          <w:rFonts w:hint="eastAsia" w:ascii="宋体" w:hAnsi="宋体" w:cs="宋体"/>
          <w:sz w:val="24"/>
          <w:szCs w:val="24"/>
          <w:highlight w:val="none"/>
        </w:rPr>
      </w:r>
      <w:r/>
    </w:p>
    <w:p>
      <w:pPr>
        <w:pStyle w:val="940"/>
        <w:rPr>
          <w:rFonts w:hint="eastAsia" w:ascii="宋体" w:hAnsi="宋体" w:cs="宋体"/>
          <w:sz w:val="24"/>
          <w:szCs w:val="24"/>
          <w:highlight w:val="none"/>
        </w:rPr>
      </w:pPr>
      <w:r>
        <w:rPr>
          <w:rFonts w:hint="eastAsia" w:ascii="宋体" w:hAnsi="宋体" w:cs="宋体"/>
          <w:sz w:val="24"/>
          <w:szCs w:val="24"/>
          <w:highlight w:val="none"/>
        </w:rPr>
        <w:t xml:space="preserve">备注： 磋商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w:t>
      </w:r>
      <w:r>
        <w:rPr>
          <w:rFonts w:hint="eastAsia" w:ascii="宋体" w:hAnsi="宋体" w:cs="宋体"/>
          <w:sz w:val="24"/>
          <w:szCs w:val="24"/>
          <w:highlight w:val="none"/>
        </w:rPr>
      </w:r>
      <w:r/>
    </w:p>
    <w:p>
      <w:pPr>
        <w:pStyle w:val="940"/>
        <w:rPr>
          <w:rFonts w:hint="eastAsia" w:ascii="宋体" w:hAnsi="宋体" w:cs="宋体"/>
          <w:sz w:val="24"/>
          <w:szCs w:val="24"/>
          <w:highlight w:val="none"/>
        </w:rPr>
      </w:pPr>
      <w:r>
        <w:rPr>
          <w:rFonts w:hint="eastAsia" w:ascii="宋体" w:hAnsi="宋体" w:cs="宋体"/>
          <w:sz w:val="24"/>
          <w:szCs w:val="24"/>
          <w:highlight w:val="none"/>
        </w:rPr>
      </w:r>
      <w:r/>
    </w:p>
    <w:p>
      <w:pPr>
        <w:pStyle w:val="940"/>
        <w:rPr>
          <w:rFonts w:hint="eastAsia" w:ascii="宋体" w:hAnsi="宋体" w:cs="宋体"/>
          <w:sz w:val="24"/>
          <w:szCs w:val="24"/>
          <w:highlight w:val="none"/>
        </w:rPr>
      </w:pPr>
      <w:r>
        <w:rPr>
          <w:rFonts w:hint="eastAsia" w:ascii="宋体" w:hAnsi="宋体" w:cs="宋体"/>
          <w:sz w:val="24"/>
          <w:szCs w:val="24"/>
          <w:highlight w:val="none"/>
        </w:rPr>
      </w:r>
      <w:r/>
    </w:p>
    <w:p>
      <w:pPr>
        <w:pStyle w:val="940"/>
        <w:rPr>
          <w:rFonts w:hint="eastAsia" w:ascii="宋体" w:hAnsi="宋体" w:cs="宋体"/>
          <w:sz w:val="24"/>
          <w:szCs w:val="24"/>
          <w:highlight w:val="none"/>
        </w:rPr>
      </w:pPr>
      <w:r>
        <w:rPr>
          <w:rFonts w:hint="eastAsia" w:ascii="宋体" w:hAnsi="宋体" w:cs="宋体"/>
          <w:sz w:val="24"/>
          <w:szCs w:val="24"/>
          <w:highlight w:val="none"/>
        </w:rPr>
      </w:r>
      <w:r/>
    </w:p>
    <w:p>
      <w:pPr>
        <w:pStyle w:val="940"/>
        <w:rPr>
          <w:rFonts w:hint="eastAsia" w:ascii="宋体" w:hAnsi="宋体" w:cs="宋体"/>
          <w:sz w:val="24"/>
          <w:szCs w:val="24"/>
          <w:highlight w:val="none"/>
        </w:rPr>
      </w:pPr>
      <w:r>
        <w:rPr>
          <w:rFonts w:hint="eastAsia" w:ascii="宋体" w:hAnsi="宋体" w:cs="宋体"/>
          <w:sz w:val="24"/>
          <w:szCs w:val="24"/>
          <w:highlight w:val="none"/>
        </w:rPr>
      </w:r>
      <w:r/>
    </w:p>
    <w:p>
      <w:pPr>
        <w:pStyle w:val="940"/>
        <w:rPr>
          <w:rFonts w:hint="eastAsia" w:ascii="宋体" w:hAnsi="宋体" w:cs="宋体"/>
          <w:sz w:val="24"/>
          <w:szCs w:val="24"/>
          <w:highlight w:val="none"/>
        </w:rPr>
      </w:pPr>
      <w:r>
        <w:rPr>
          <w:rFonts w:hint="eastAsia" w:ascii="宋体" w:hAnsi="宋体" w:cs="宋体"/>
          <w:sz w:val="24"/>
          <w:szCs w:val="24"/>
          <w:highlight w:val="none"/>
        </w:rPr>
      </w:r>
      <w:r/>
    </w:p>
    <w:p>
      <w:pPr>
        <w:pStyle w:val="100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r>
      <w:r/>
    </w:p>
    <w:p>
      <w:pPr>
        <w:pStyle w:val="100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100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100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100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100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100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100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100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100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t xml:space="preserve">十二、技术要求响应及偏离表</w:t>
      </w:r>
      <w:r>
        <w:rPr>
          <w:rFonts w:hint="eastAsia" w:ascii="宋体" w:hAnsi="宋体" w:cs="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3291" w:type="dxa"/>
            <w:vAlign w:val="center"/>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磋商文件要求</w:t>
            </w:r>
            <w:r>
              <w:rPr>
                <w:rFonts w:hint="eastAsia" w:ascii="宋体" w:hAnsi="宋体" w:cs="宋体"/>
                <w:sz w:val="24"/>
                <w:szCs w:val="24"/>
                <w:highlight w:val="none"/>
              </w:rPr>
            </w:r>
            <w:r/>
          </w:p>
        </w:tc>
        <w:tc>
          <w:tcPr>
            <w:tcW w:w="2852" w:type="dxa"/>
            <w:vAlign w:val="center"/>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响应情况</w:t>
            </w:r>
            <w:r>
              <w:rPr>
                <w:rFonts w:hint="eastAsia" w:ascii="宋体" w:hAnsi="宋体" w:cs="宋体"/>
                <w:sz w:val="24"/>
                <w:szCs w:val="24"/>
                <w:highlight w:val="none"/>
              </w:rPr>
            </w:r>
            <w:r/>
          </w:p>
        </w:tc>
        <w:tc>
          <w:tcPr>
            <w:tcW w:w="1308" w:type="dxa"/>
            <w:vAlign w:val="center"/>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rPr>
                <w:rFonts w:hint="eastAsia" w:ascii="宋体" w:hAnsi="宋体" w:cs="宋体"/>
                <w:sz w:val="24"/>
                <w:szCs w:val="24"/>
                <w:highlight w:val="none"/>
              </w:rPr>
            </w:r>
            <w:r/>
          </w:p>
        </w:tc>
        <w:tc>
          <w:tcPr>
            <w:tcW w:w="1173" w:type="dxa"/>
            <w:vAlign w:val="center"/>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证明</w:t>
            </w:r>
            <w:r>
              <w:rPr>
                <w:rFonts w:hint="eastAsia" w:ascii="宋体" w:hAnsi="宋体" w:cs="宋体"/>
                <w:sz w:val="24"/>
                <w:szCs w:val="24"/>
                <w:highlight w:val="none"/>
              </w:rPr>
            </w:r>
            <w:r/>
          </w:p>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材料</w:t>
            </w: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940"/>
        <w:rPr>
          <w:rFonts w:hint="eastAsia" w:ascii="宋体" w:hAnsi="宋体" w:cs="宋体"/>
          <w:sz w:val="24"/>
          <w:szCs w:val="24"/>
          <w:highlight w:val="none"/>
        </w:rPr>
      </w:pPr>
      <w:r>
        <w:rPr>
          <w:rFonts w:hint="eastAsia" w:ascii="宋体" w:hAnsi="宋体" w:cs="宋体"/>
          <w:sz w:val="24"/>
          <w:szCs w:val="24"/>
          <w:highlight w:val="none"/>
        </w:rPr>
        <w:t xml:space="preserve">注： 行数不够，可自行添加。</w:t>
      </w:r>
      <w:r>
        <w:rPr>
          <w:rFonts w:hint="eastAsia" w:ascii="宋体" w:hAnsi="宋体" w:cs="宋体"/>
          <w:sz w:val="24"/>
          <w:szCs w:val="24"/>
          <w:highlight w:val="none"/>
        </w:rPr>
      </w:r>
      <w:r/>
    </w:p>
    <w:p>
      <w:pPr>
        <w:pStyle w:val="940"/>
        <w:jc w:val="center"/>
        <w:rPr>
          <w:rFonts w:hint="eastAsia" w:ascii="宋体" w:hAnsi="宋体" w:cs="宋体"/>
          <w:b/>
          <w:sz w:val="36"/>
          <w:szCs w:val="21"/>
          <w:highlight w:val="none"/>
        </w:rPr>
      </w:pPr>
      <w:r>
        <w:rPr>
          <w:rFonts w:hint="eastAsia" w:ascii="宋体" w:hAnsi="宋体" w:cs="宋体"/>
          <w:b/>
          <w:sz w:val="36"/>
          <w:szCs w:val="21"/>
          <w:highlight w:val="none"/>
        </w:rPr>
      </w:r>
      <w:r/>
    </w:p>
    <w:p>
      <w:pPr>
        <w:pStyle w:val="940"/>
        <w:jc w:val="center"/>
        <w:rPr>
          <w:rFonts w:hint="eastAsia" w:ascii="宋体" w:hAnsi="宋体" w:cs="宋体"/>
          <w:b/>
          <w:sz w:val="36"/>
          <w:szCs w:val="21"/>
          <w:highlight w:val="none"/>
        </w:rPr>
      </w:pPr>
      <w:r>
        <w:rPr>
          <w:rFonts w:hint="eastAsia" w:ascii="宋体" w:hAnsi="宋体" w:cs="宋体"/>
          <w:b/>
          <w:sz w:val="36"/>
          <w:szCs w:val="21"/>
          <w:highlight w:val="none"/>
        </w:rPr>
      </w:r>
      <w:r/>
    </w:p>
    <w:p>
      <w:pPr>
        <w:pStyle w:val="940"/>
        <w:jc w:val="center"/>
        <w:rPr>
          <w:rFonts w:hint="eastAsia" w:ascii="宋体" w:hAnsi="宋体" w:cs="宋体"/>
          <w:b/>
          <w:sz w:val="36"/>
          <w:szCs w:val="21"/>
          <w:highlight w:val="none"/>
        </w:rPr>
      </w:pPr>
      <w:r>
        <w:rPr>
          <w:rFonts w:hint="eastAsia" w:ascii="宋体" w:hAnsi="宋体" w:cs="宋体"/>
          <w:b/>
          <w:sz w:val="36"/>
          <w:szCs w:val="21"/>
          <w:highlight w:val="none"/>
        </w:rPr>
      </w:r>
      <w:r/>
    </w:p>
    <w:p>
      <w:pPr>
        <w:pStyle w:val="940"/>
        <w:jc w:val="center"/>
        <w:rPr>
          <w:rFonts w:hint="eastAsia" w:ascii="宋体" w:hAnsi="宋体" w:cs="宋体"/>
          <w:b/>
          <w:sz w:val="36"/>
          <w:szCs w:val="21"/>
          <w:highlight w:val="none"/>
        </w:rPr>
      </w:pPr>
      <w:r>
        <w:rPr>
          <w:rFonts w:hint="eastAsia" w:ascii="宋体" w:hAnsi="宋体" w:cs="宋体"/>
          <w:b/>
          <w:sz w:val="36"/>
          <w:szCs w:val="21"/>
          <w:highlight w:val="none"/>
        </w:rPr>
      </w:r>
      <w:r/>
    </w:p>
    <w:p>
      <w:pPr>
        <w:pStyle w:val="940"/>
        <w:rPr>
          <w:rFonts w:hint="eastAsia" w:ascii="宋体" w:hAnsi="宋体" w:cs="宋体"/>
          <w:sz w:val="32"/>
          <w:szCs w:val="21"/>
          <w:highlight w:val="none"/>
        </w:rPr>
      </w:pPr>
      <w:r>
        <w:rPr>
          <w:rFonts w:hint="eastAsia" w:ascii="宋体" w:hAnsi="宋体" w:cs="宋体"/>
          <w:sz w:val="32"/>
          <w:szCs w:val="21"/>
          <w:highlight w:val="none"/>
        </w:rPr>
      </w:r>
      <w:r/>
    </w:p>
    <w:p>
      <w:pPr>
        <w:pStyle w:val="940"/>
        <w:rPr>
          <w:rFonts w:hint="eastAsia" w:ascii="宋体" w:hAnsi="宋体" w:cs="宋体"/>
          <w:sz w:val="32"/>
          <w:szCs w:val="21"/>
          <w:highlight w:val="none"/>
        </w:rPr>
      </w:pPr>
      <w:r>
        <w:rPr>
          <w:rFonts w:hint="eastAsia" w:ascii="宋体" w:hAnsi="宋体" w:cs="宋体"/>
          <w:sz w:val="32"/>
          <w:szCs w:val="21"/>
          <w:highlight w:val="none"/>
        </w:rPr>
      </w:r>
      <w:r/>
    </w:p>
    <w:p>
      <w:pPr>
        <w:pStyle w:val="940"/>
        <w:rPr>
          <w:rFonts w:hint="eastAsia" w:ascii="宋体" w:hAnsi="宋体" w:cs="宋体"/>
          <w:sz w:val="32"/>
          <w:szCs w:val="21"/>
          <w:highlight w:val="none"/>
        </w:rPr>
      </w:pPr>
      <w:r>
        <w:rPr>
          <w:rFonts w:hint="eastAsia" w:ascii="宋体" w:hAnsi="宋体" w:cs="宋体"/>
          <w:sz w:val="32"/>
          <w:szCs w:val="21"/>
          <w:highlight w:val="none"/>
        </w:rPr>
      </w:r>
      <w:r/>
    </w:p>
    <w:p>
      <w:pPr>
        <w:pStyle w:val="940"/>
        <w:rPr>
          <w:rFonts w:hint="eastAsia" w:ascii="宋体" w:hAnsi="宋体" w:cs="宋体"/>
          <w:sz w:val="32"/>
          <w:szCs w:val="21"/>
          <w:highlight w:val="none"/>
        </w:rPr>
      </w:pPr>
      <w:r>
        <w:rPr>
          <w:rFonts w:hint="eastAsia" w:ascii="宋体" w:hAnsi="宋体" w:cs="宋体"/>
          <w:sz w:val="32"/>
          <w:szCs w:val="21"/>
          <w:highlight w:val="none"/>
        </w:rPr>
      </w:r>
      <w:r/>
    </w:p>
    <w:p>
      <w:pPr>
        <w:rPr>
          <w:rFonts w:hint="eastAsia" w:ascii="宋体" w:hAnsi="宋体" w:cs="宋体"/>
          <w:sz w:val="32"/>
          <w:szCs w:val="32"/>
          <w:highlight w:val="none"/>
        </w:rPr>
      </w:pPr>
      <w:r>
        <w:rPr>
          <w:rFonts w:hint="eastAsia" w:ascii="宋体" w:hAnsi="宋体" w:cs="宋体"/>
          <w:sz w:val="32"/>
          <w:szCs w:val="21"/>
          <w:highlight w:val="none"/>
        </w:rPr>
      </w:r>
      <w:r>
        <w:rPr>
          <w:rFonts w:hint="eastAsia" w:ascii="宋体" w:hAnsi="宋体" w:cs="宋体"/>
          <w:sz w:val="32"/>
          <w:szCs w:val="21"/>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pStyle w:val="940"/>
        <w:rPr>
          <w:rFonts w:hint="eastAsia" w:ascii="宋体" w:hAnsi="宋体" w:cs="宋体"/>
          <w:sz w:val="32"/>
          <w:szCs w:val="32"/>
          <w:highlight w:val="none"/>
        </w:rPr>
      </w:pPr>
      <w:r>
        <w:rPr>
          <w:rFonts w:hint="eastAsia" w:ascii="宋体" w:hAnsi="宋体" w:cs="宋体"/>
          <w:sz w:val="32"/>
          <w:szCs w:val="21"/>
          <w:highlight w:val="none"/>
        </w:rPr>
      </w:r>
      <w:r/>
    </w:p>
    <w:p>
      <w:pPr>
        <w:pStyle w:val="940"/>
        <w:rPr>
          <w:rFonts w:hint="eastAsia" w:ascii="宋体" w:hAnsi="宋体" w:cs="宋体"/>
          <w:sz w:val="32"/>
          <w:szCs w:val="21"/>
          <w:highlight w:val="none"/>
        </w:rPr>
      </w:pPr>
      <w:r>
        <w:rPr>
          <w:rFonts w:hint="eastAsia" w:ascii="宋体" w:hAnsi="宋体" w:cs="宋体"/>
          <w:sz w:val="32"/>
          <w:szCs w:val="21"/>
          <w:highlight w:val="none"/>
        </w:rPr>
      </w:r>
      <w:r/>
    </w:p>
    <w:p>
      <w:pPr>
        <w:pStyle w:val="940"/>
        <w:rPr>
          <w:rFonts w:hint="eastAsia" w:ascii="宋体" w:hAnsi="宋体" w:cs="宋体"/>
          <w:sz w:val="32"/>
          <w:szCs w:val="21"/>
          <w:highlight w:val="none"/>
        </w:rPr>
      </w:pPr>
      <w:r>
        <w:rPr>
          <w:rFonts w:hint="eastAsia" w:ascii="宋体" w:hAnsi="宋体" w:cs="宋体"/>
          <w:sz w:val="32"/>
          <w:szCs w:val="21"/>
          <w:highlight w:val="none"/>
        </w:rPr>
      </w:r>
      <w:r/>
    </w:p>
    <w:p>
      <w:pPr>
        <w:pStyle w:val="940"/>
        <w:jc w:val="center"/>
        <w:rPr>
          <w:rFonts w:hint="eastAsia" w:ascii="宋体" w:hAnsi="宋体" w:cs="宋体"/>
          <w:b/>
          <w:sz w:val="32"/>
          <w:szCs w:val="32"/>
          <w:highlight w:val="none"/>
        </w:rPr>
      </w:pPr>
      <w:r/>
      <w:bookmarkEnd w:id="210"/>
      <w:r/>
      <w:bookmarkStart w:id="214" w:name="_Hlt26955054"/>
      <w:r/>
      <w:bookmarkEnd w:id="214"/>
      <w:r>
        <w:rPr>
          <w:rFonts w:hint="eastAsia" w:ascii="宋体" w:hAnsi="宋体" w:cs="宋体"/>
          <w:b/>
          <w:sz w:val="32"/>
          <w:szCs w:val="32"/>
          <w:highlight w:val="none"/>
        </w:rPr>
        <w:t xml:space="preserve">十三、商务要求响应及偏离表</w:t>
      </w:r>
      <w:r>
        <w:rPr>
          <w:rFonts w:hint="eastAsia" w:ascii="宋体" w:hAnsi="宋体" w:cs="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40"/>
              <w:jc w:val="center"/>
              <w:rPr>
                <w:rFonts w:hint="eastAsia" w:ascii="宋体" w:hAnsi="宋体" w:cs="宋体"/>
                <w:sz w:val="24"/>
                <w:szCs w:val="24"/>
                <w:highlight w:val="none"/>
              </w:rPr>
            </w:pPr>
            <w:r/>
            <w:bookmarkStart w:id="215" w:name="_Hlt26671372"/>
            <w:r/>
            <w:bookmarkEnd w:id="215"/>
            <w:r/>
            <w:bookmarkStart w:id="216" w:name="_Hlt26955056"/>
            <w:r/>
            <w:bookmarkEnd w:id="216"/>
            <w:r/>
            <w:bookmarkStart w:id="217" w:name="_Hlt26955064"/>
            <w:r/>
            <w:bookmarkEnd w:id="217"/>
            <w:r/>
            <w:bookmarkStart w:id="218" w:name="_Hlt26782999"/>
            <w:r/>
            <w:bookmarkEnd w:id="218"/>
            <w:r/>
            <w:bookmarkStart w:id="219" w:name="_Hlt26609391"/>
            <w:r/>
            <w:bookmarkEnd w:id="219"/>
            <w:r/>
            <w:bookmarkStart w:id="220" w:name="_Hlt26580838"/>
            <w:r/>
            <w:bookmarkEnd w:id="220"/>
            <w:r/>
            <w:bookmarkStart w:id="221" w:name="_Hlt26671343"/>
            <w:r/>
            <w:bookmarkEnd w:id="221"/>
            <w:r/>
            <w:bookmarkStart w:id="222" w:name="_Hlt24879081"/>
            <w:r/>
            <w:bookmarkEnd w:id="222"/>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3291" w:type="dxa"/>
            <w:vAlign w:val="center"/>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磋商文件要求</w:t>
            </w:r>
            <w:r>
              <w:rPr>
                <w:rFonts w:hint="eastAsia" w:ascii="宋体" w:hAnsi="宋体" w:cs="宋体"/>
                <w:sz w:val="24"/>
                <w:szCs w:val="24"/>
                <w:highlight w:val="none"/>
              </w:rPr>
            </w:r>
            <w:r/>
          </w:p>
        </w:tc>
        <w:tc>
          <w:tcPr>
            <w:tcW w:w="2852" w:type="dxa"/>
            <w:vAlign w:val="center"/>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响应情况</w:t>
            </w:r>
            <w:r>
              <w:rPr>
                <w:rFonts w:hint="eastAsia" w:ascii="宋体" w:hAnsi="宋体" w:cs="宋体"/>
                <w:sz w:val="24"/>
                <w:szCs w:val="24"/>
                <w:highlight w:val="none"/>
              </w:rPr>
            </w:r>
            <w:r/>
          </w:p>
        </w:tc>
        <w:tc>
          <w:tcPr>
            <w:tcW w:w="1308" w:type="dxa"/>
            <w:vAlign w:val="center"/>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rPr>
                <w:rFonts w:hint="eastAsia" w:ascii="宋体" w:hAnsi="宋体" w:cs="宋体"/>
                <w:sz w:val="24"/>
                <w:szCs w:val="24"/>
                <w:highlight w:val="none"/>
              </w:rPr>
            </w:r>
            <w:r/>
          </w:p>
        </w:tc>
        <w:tc>
          <w:tcPr>
            <w:tcW w:w="1173" w:type="dxa"/>
            <w:vAlign w:val="center"/>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证明</w:t>
            </w:r>
            <w:r>
              <w:rPr>
                <w:rFonts w:hint="eastAsia" w:ascii="宋体" w:hAnsi="宋体" w:cs="宋体"/>
                <w:sz w:val="24"/>
                <w:szCs w:val="24"/>
                <w:highlight w:val="none"/>
              </w:rPr>
            </w:r>
            <w:r/>
          </w:p>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材料</w:t>
            </w: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2852"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40"/>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940"/>
        <w:rPr>
          <w:rFonts w:hint="eastAsia" w:ascii="宋体" w:hAnsi="宋体" w:cs="宋体"/>
          <w:sz w:val="24"/>
          <w:szCs w:val="24"/>
          <w:highlight w:val="none"/>
        </w:rPr>
      </w:pPr>
      <w:r>
        <w:rPr>
          <w:rFonts w:hint="eastAsia" w:ascii="宋体" w:hAnsi="宋体" w:cs="宋体"/>
          <w:sz w:val="24"/>
          <w:szCs w:val="24"/>
          <w:highlight w:val="none"/>
        </w:rPr>
        <w:t xml:space="preserve">注： 行数不够，可自行添加。</w:t>
      </w:r>
      <w:r>
        <w:rPr>
          <w:rFonts w:hint="eastAsia" w:ascii="宋体" w:hAnsi="宋体" w:cs="宋体"/>
          <w:sz w:val="24"/>
          <w:szCs w:val="24"/>
          <w:highlight w:val="none"/>
        </w:rPr>
      </w:r>
      <w:r/>
    </w:p>
    <w:p>
      <w:pPr>
        <w:pStyle w:val="940"/>
        <w:spacing w:line="480" w:lineRule="auto"/>
        <w:rPr>
          <w:rFonts w:hint="eastAsia" w:ascii="宋体" w:hAnsi="宋体" w:cs="宋体"/>
          <w:sz w:val="24"/>
          <w:szCs w:val="21"/>
          <w:highlight w:val="none"/>
        </w:rPr>
      </w:pPr>
      <w:r>
        <w:rPr>
          <w:rFonts w:hint="eastAsia" w:ascii="宋体" w:hAnsi="宋体" w:cs="宋体"/>
          <w:sz w:val="24"/>
          <w:szCs w:val="21"/>
          <w:highlight w:val="none"/>
        </w:rPr>
      </w:r>
      <w:r/>
    </w:p>
    <w:p>
      <w:pPr>
        <w:pStyle w:val="940"/>
        <w:spacing w:line="480" w:lineRule="auto"/>
        <w:rPr>
          <w:rFonts w:hint="eastAsia" w:ascii="宋体" w:hAnsi="宋体" w:cs="宋体"/>
          <w:sz w:val="30"/>
          <w:szCs w:val="21"/>
          <w:highlight w:val="none"/>
        </w:rPr>
      </w:pPr>
      <w:r>
        <w:rPr>
          <w:rFonts w:hint="eastAsia" w:ascii="宋体" w:hAnsi="宋体" w:cs="宋体"/>
          <w:sz w:val="30"/>
          <w:szCs w:val="21"/>
          <w:highlight w:val="none"/>
        </w:rPr>
      </w:r>
      <w:r/>
    </w:p>
    <w:p>
      <w:pPr>
        <w:pStyle w:val="940"/>
        <w:rPr>
          <w:rFonts w:hint="eastAsia" w:ascii="宋体" w:hAnsi="宋体" w:cs="宋体"/>
          <w:sz w:val="24"/>
          <w:szCs w:val="21"/>
          <w:highlight w:val="none"/>
        </w:rPr>
      </w:pPr>
      <w:r/>
      <w:bookmarkStart w:id="223" w:name="_Hlt26671374"/>
      <w:r/>
      <w:bookmarkEnd w:id="223"/>
      <w:r/>
      <w:bookmarkStart w:id="224" w:name="_Hlt26955066"/>
      <w:r/>
      <w:bookmarkEnd w:id="224"/>
      <w:r/>
      <w:bookmarkStart w:id="225" w:name="_Hlt26609389"/>
      <w:r/>
      <w:bookmarkEnd w:id="225"/>
      <w:r/>
      <w:bookmarkStart w:id="226" w:name="_Toc462564146"/>
      <w:r>
        <w:rPr>
          <w:rFonts w:hint="eastAsia" w:ascii="宋体" w:hAnsi="宋体" w:cs="宋体"/>
          <w:sz w:val="24"/>
          <w:szCs w:val="21"/>
          <w:highlight w:val="none"/>
        </w:rPr>
      </w:r>
      <w:r/>
    </w:p>
    <w:p>
      <w:pPr>
        <w:rPr>
          <w:rFonts w:hint="eastAsia" w:ascii="宋体" w:hAnsi="宋体" w:cs="宋体"/>
          <w:sz w:val="24"/>
          <w:szCs w:val="24"/>
          <w:highlight w:val="none"/>
        </w:rPr>
      </w:pPr>
      <w:r>
        <w:rPr>
          <w:rFonts w:hint="eastAsia" w:ascii="宋体" w:hAnsi="宋体" w:cs="宋体"/>
          <w:sz w:val="24"/>
          <w:szCs w:val="21"/>
          <w:highlight w:val="none"/>
        </w:rPr>
      </w:r>
      <w:r>
        <w:rPr>
          <w:rFonts w:hint="eastAsia" w:ascii="宋体" w:hAnsi="宋体" w:cs="宋体"/>
          <w:sz w:val="24"/>
          <w:szCs w:val="21"/>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pStyle w:val="940"/>
        <w:rPr>
          <w:rFonts w:hint="eastAsia" w:ascii="宋体" w:hAnsi="宋体" w:cs="宋体"/>
          <w:sz w:val="24"/>
          <w:szCs w:val="24"/>
          <w:highlight w:val="none"/>
        </w:rPr>
      </w:pPr>
      <w:r>
        <w:rPr>
          <w:rFonts w:hint="eastAsia" w:ascii="宋体" w:hAnsi="宋体" w:cs="宋体"/>
          <w:sz w:val="24"/>
          <w:szCs w:val="21"/>
          <w:highlight w:val="none"/>
        </w:rPr>
      </w:r>
      <w:r/>
    </w:p>
    <w:p>
      <w:pPr>
        <w:pStyle w:val="940"/>
        <w:rPr>
          <w:rFonts w:hint="eastAsia" w:ascii="宋体" w:hAnsi="宋体" w:cs="宋体"/>
          <w:sz w:val="24"/>
          <w:szCs w:val="21"/>
          <w:highlight w:val="none"/>
        </w:rPr>
      </w:pPr>
      <w:r>
        <w:rPr>
          <w:rFonts w:hint="eastAsia" w:ascii="宋体" w:hAnsi="宋体" w:cs="宋体"/>
          <w:sz w:val="24"/>
          <w:szCs w:val="21"/>
          <w:highlight w:val="none"/>
        </w:rPr>
      </w:r>
      <w:r/>
    </w:p>
    <w:p>
      <w:pPr>
        <w:pStyle w:val="940"/>
        <w:rPr>
          <w:rFonts w:hint="eastAsia" w:ascii="宋体" w:hAnsi="宋体" w:cs="宋体"/>
          <w:sz w:val="24"/>
          <w:szCs w:val="21"/>
          <w:highlight w:val="none"/>
        </w:rPr>
      </w:pPr>
      <w:r>
        <w:rPr>
          <w:rFonts w:hint="eastAsia" w:ascii="宋体" w:hAnsi="宋体" w:cs="宋体"/>
          <w:sz w:val="24"/>
          <w:szCs w:val="21"/>
          <w:highlight w:val="none"/>
        </w:rPr>
      </w:r>
      <w:r/>
    </w:p>
    <w:p>
      <w:pPr>
        <w:pStyle w:val="940"/>
        <w:rPr>
          <w:rFonts w:hint="eastAsia" w:ascii="宋体" w:hAnsi="宋体" w:cs="宋体"/>
          <w:sz w:val="24"/>
          <w:szCs w:val="21"/>
          <w:highlight w:val="none"/>
        </w:rPr>
      </w:pPr>
      <w:r>
        <w:rPr>
          <w:rFonts w:hint="eastAsia" w:ascii="宋体" w:hAnsi="宋体" w:cs="宋体"/>
          <w:sz w:val="24"/>
          <w:szCs w:val="21"/>
          <w:highlight w:val="none"/>
        </w:rPr>
      </w:r>
      <w:r/>
    </w:p>
    <w:p>
      <w:pPr>
        <w:pStyle w:val="940"/>
        <w:rPr>
          <w:rFonts w:hint="eastAsia" w:ascii="宋体" w:hAnsi="宋体" w:cs="宋体"/>
          <w:sz w:val="24"/>
          <w:szCs w:val="21"/>
          <w:highlight w:val="none"/>
        </w:rPr>
      </w:pPr>
      <w:r>
        <w:rPr>
          <w:rFonts w:hint="eastAsia" w:ascii="宋体" w:hAnsi="宋体" w:cs="宋体"/>
          <w:sz w:val="24"/>
          <w:szCs w:val="21"/>
          <w:highlight w:val="none"/>
        </w:rPr>
      </w:r>
      <w:r/>
    </w:p>
    <w:p>
      <w:pPr>
        <w:pStyle w:val="940"/>
        <w:rPr>
          <w:rFonts w:hint="eastAsia" w:ascii="宋体" w:hAnsi="宋体" w:cs="宋体"/>
          <w:sz w:val="24"/>
          <w:szCs w:val="21"/>
          <w:highlight w:val="none"/>
        </w:rPr>
      </w:pPr>
      <w:r>
        <w:rPr>
          <w:rFonts w:hint="eastAsia" w:ascii="宋体" w:hAnsi="宋体" w:cs="宋体"/>
          <w:sz w:val="24"/>
          <w:szCs w:val="21"/>
          <w:highlight w:val="none"/>
        </w:rPr>
      </w:r>
      <w:r/>
    </w:p>
    <w:p>
      <w:pPr>
        <w:pStyle w:val="940"/>
        <w:rPr>
          <w:rFonts w:hint="eastAsia" w:ascii="宋体" w:hAnsi="宋体" w:cs="宋体"/>
          <w:sz w:val="24"/>
          <w:szCs w:val="21"/>
          <w:highlight w:val="none"/>
        </w:rPr>
      </w:pPr>
      <w:r>
        <w:rPr>
          <w:rFonts w:hint="eastAsia" w:ascii="宋体" w:hAnsi="宋体" w:cs="宋体"/>
          <w:sz w:val="24"/>
          <w:szCs w:val="21"/>
          <w:highlight w:val="none"/>
        </w:rPr>
      </w:r>
      <w:r/>
    </w:p>
    <w:p>
      <w:pPr>
        <w:pStyle w:val="940"/>
        <w:rPr>
          <w:rFonts w:hint="eastAsia" w:ascii="宋体" w:hAnsi="宋体" w:cs="宋体"/>
          <w:sz w:val="24"/>
          <w:szCs w:val="21"/>
          <w:highlight w:val="none"/>
        </w:rPr>
      </w:pPr>
      <w:r>
        <w:rPr>
          <w:rFonts w:hint="eastAsia" w:ascii="宋体" w:hAnsi="宋体" w:cs="宋体"/>
          <w:sz w:val="24"/>
          <w:szCs w:val="21"/>
          <w:highlight w:val="none"/>
        </w:rPr>
      </w:r>
      <w:r/>
    </w:p>
    <w:p>
      <w:pPr>
        <w:pStyle w:val="940"/>
        <w:jc w:val="center"/>
        <w:rPr>
          <w:rFonts w:hint="eastAsia" w:ascii="宋体" w:hAnsi="宋体" w:cs="宋体"/>
          <w:b/>
          <w:bCs/>
          <w:sz w:val="32"/>
          <w:szCs w:val="32"/>
          <w:highlight w:val="none"/>
        </w:rPr>
      </w:pPr>
      <w:r/>
      <w:bookmarkEnd w:id="180"/>
      <w:r/>
      <w:bookmarkEnd w:id="181"/>
      <w:r/>
      <w:bookmarkEnd w:id="226"/>
      <w:r/>
      <w:bookmarkStart w:id="227" w:name="_格式2__法定代表人授权书"/>
      <w:r/>
      <w:bookmarkEnd w:id="227"/>
      <w:r>
        <w:rPr>
          <w:rFonts w:hint="eastAsia" w:ascii="宋体" w:hAnsi="宋体" w:cs="宋体"/>
          <w:b/>
          <w:bCs/>
          <w:sz w:val="32"/>
          <w:szCs w:val="32"/>
          <w:highlight w:val="none"/>
        </w:rPr>
        <w:t xml:space="preserve">十四、主要标的信息</w:t>
      </w:r>
      <w:r>
        <w:rPr>
          <w:rFonts w:hint="eastAsia" w:ascii="宋体" w:hAnsi="宋体" w:cs="宋体"/>
          <w:b/>
          <w:bCs/>
          <w:sz w:val="32"/>
          <w:szCs w:val="32"/>
          <w:highlight w:val="none"/>
        </w:rPr>
      </w:r>
      <w:r/>
    </w:p>
    <w:p>
      <w:pPr>
        <w:pStyle w:val="940"/>
        <w:jc w:val="center"/>
        <w:spacing w:before="312" w:line="360" w:lineRule="auto"/>
        <w:rPr>
          <w:rFonts w:hint="eastAsia" w:ascii="宋体" w:hAnsi="宋体" w:cs="宋体"/>
          <w:b/>
          <w:bCs/>
          <w:szCs w:val="21"/>
          <w:highlight w:val="none"/>
        </w:rPr>
      </w:pPr>
      <w:r>
        <w:rPr>
          <w:rFonts w:hint="eastAsia" w:ascii="宋体" w:hAnsi="宋体" w:cs="宋体"/>
          <w:b/>
          <w:bCs/>
          <w:szCs w:val="21"/>
          <w:highlight w:val="none"/>
        </w:rPr>
        <w:t xml:space="preserve">主要标的信息（成交后将公示）</w:t>
      </w:r>
      <w:r>
        <w:rPr>
          <w:rFonts w:hint="eastAsia" w:ascii="宋体" w:hAnsi="宋体" w:cs="宋体"/>
          <w:b/>
          <w:bCs/>
          <w:szCs w:val="21"/>
          <w:highlight w:val="none"/>
        </w:rPr>
      </w:r>
      <w:r/>
    </w:p>
    <w:p>
      <w:pPr>
        <w:pStyle w:val="940"/>
        <w:spacing w:after="312" w:line="360" w:lineRule="auto"/>
        <w:rPr>
          <w:rFonts w:hint="eastAsia" w:ascii="宋体" w:hAnsi="宋体" w:cs="宋体"/>
          <w:b/>
          <w:bCs/>
          <w:szCs w:val="21"/>
          <w:highlight w:val="none"/>
        </w:rPr>
      </w:pPr>
      <w:r>
        <w:rPr>
          <w:rFonts w:hint="eastAsia" w:ascii="宋体" w:hAnsi="宋体" w:cs="宋体"/>
          <w:szCs w:val="21"/>
          <w:highlight w:val="none"/>
        </w:rPr>
        <w:t xml:space="preserve">供应商全称：</w:t>
      </w:r>
      <w:r>
        <w:rPr>
          <w:rFonts w:hint="eastAsia" w:ascii="宋体" w:hAnsi="宋体" w:cs="宋体"/>
          <w:b/>
          <w:bCs/>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c>
          <w:tcPr>
            <w:tcW w:w="5000" w:type="dxa"/>
            <w:vAlign w:val="top"/>
            <w:textDirection w:val="lrTb"/>
            <w:noWrap w:val="false"/>
          </w:tcPr>
          <w:p>
            <w:pPr>
              <w:pStyle w:val="940"/>
              <w:jc w:val="center"/>
              <w:rPr>
                <w:rFonts w:hint="eastAsia" w:ascii="宋体" w:hAnsi="宋体" w:cs="宋体"/>
                <w:szCs w:val="21"/>
                <w:highlight w:val="none"/>
              </w:rPr>
            </w:pPr>
            <w:r>
              <w:rPr>
                <w:rFonts w:hint="eastAsia" w:ascii="宋体" w:hAnsi="宋体" w:cs="宋体"/>
                <w:szCs w:val="21"/>
                <w:highlight w:val="none"/>
              </w:rPr>
              <w:t xml:space="preserve">服务类</w:t>
            </w:r>
            <w:r>
              <w:rPr>
                <w:rFonts w:hint="eastAsia" w:ascii="宋体" w:hAnsi="宋体" w:cs="宋体"/>
                <w:szCs w:val="21"/>
                <w:highlight w:val="none"/>
              </w:rPr>
            </w:r>
            <w:r/>
          </w:p>
        </w:tc>
      </w:tr>
      <w:tr>
        <w:trPr>
          <w:trHeight w:val="3810"/>
        </w:trPr>
        <w:tc>
          <w:tcPr>
            <w:tcW w:w="5000" w:type="dxa"/>
            <w:vAlign w:val="top"/>
            <w:textDirection w:val="lrTb"/>
            <w:noWrap w:val="false"/>
          </w:tcPr>
          <w:p>
            <w:pPr>
              <w:pStyle w:val="940"/>
              <w:spacing w:line="360" w:lineRule="auto"/>
              <w:rPr>
                <w:rFonts w:hint="eastAsia" w:ascii="宋体" w:hAnsi="宋体" w:cs="宋体"/>
                <w:szCs w:val="21"/>
                <w:highlight w:val="none"/>
              </w:rPr>
            </w:pPr>
            <w:r>
              <w:rPr>
                <w:rFonts w:hint="eastAsia" w:ascii="宋体" w:hAnsi="宋体" w:cs="宋体"/>
                <w:szCs w:val="21"/>
                <w:highlight w:val="none"/>
              </w:rPr>
              <w:t xml:space="preserve">名称：</w:t>
            </w:r>
            <w:r>
              <w:rPr>
                <w:rFonts w:hint="eastAsia" w:ascii="宋体" w:hAnsi="宋体" w:cs="宋体"/>
                <w:szCs w:val="21"/>
                <w:highlight w:val="none"/>
              </w:rPr>
            </w:r>
            <w:r/>
          </w:p>
          <w:p>
            <w:pPr>
              <w:pStyle w:val="940"/>
              <w:spacing w:line="360" w:lineRule="auto"/>
              <w:rPr>
                <w:rFonts w:hint="eastAsia" w:ascii="宋体" w:hAnsi="宋体" w:cs="宋体"/>
                <w:szCs w:val="21"/>
                <w:highlight w:val="none"/>
              </w:rPr>
            </w:pPr>
            <w:r>
              <w:rPr>
                <w:rFonts w:hint="eastAsia" w:ascii="宋体" w:hAnsi="宋体" w:cs="宋体"/>
                <w:szCs w:val="21"/>
                <w:highlight w:val="none"/>
              </w:rPr>
              <w:t xml:space="preserve">服务范围：</w:t>
            </w:r>
            <w:r>
              <w:rPr>
                <w:rFonts w:hint="eastAsia" w:ascii="宋体" w:hAnsi="宋体" w:cs="宋体"/>
                <w:szCs w:val="21"/>
                <w:highlight w:val="none"/>
              </w:rPr>
            </w:r>
            <w:r/>
          </w:p>
          <w:p>
            <w:pPr>
              <w:pStyle w:val="940"/>
              <w:spacing w:line="360" w:lineRule="auto"/>
              <w:rPr>
                <w:rFonts w:hint="eastAsia" w:ascii="宋体" w:hAnsi="宋体" w:cs="宋体"/>
                <w:szCs w:val="21"/>
                <w:highlight w:val="none"/>
                <w:u w:val="single"/>
              </w:rPr>
            </w:pPr>
            <w:r>
              <w:rPr>
                <w:rFonts w:hint="eastAsia" w:ascii="宋体" w:hAnsi="宋体" w:cs="宋体"/>
                <w:szCs w:val="21"/>
                <w:highlight w:val="none"/>
              </w:rPr>
              <w:t xml:space="preserve">服务要求：</w:t>
            </w:r>
            <w:r>
              <w:rPr>
                <w:rFonts w:hint="eastAsia" w:ascii="宋体" w:hAnsi="宋体" w:cs="宋体"/>
                <w:szCs w:val="21"/>
                <w:highlight w:val="none"/>
                <w:u w:val="single"/>
              </w:rPr>
            </w:r>
            <w:r/>
          </w:p>
          <w:p>
            <w:pPr>
              <w:pStyle w:val="940"/>
              <w:spacing w:line="360" w:lineRule="auto"/>
              <w:rPr>
                <w:rFonts w:hint="eastAsia" w:ascii="宋体" w:hAnsi="宋体" w:cs="宋体"/>
                <w:szCs w:val="21"/>
                <w:highlight w:val="none"/>
                <w:u w:val="single"/>
              </w:rPr>
            </w:pPr>
            <w:r>
              <w:rPr>
                <w:rFonts w:hint="eastAsia" w:ascii="宋体" w:hAnsi="宋体" w:cs="宋体"/>
                <w:szCs w:val="21"/>
                <w:highlight w:val="none"/>
              </w:rPr>
              <w:t xml:space="preserve">服务时间：</w:t>
            </w:r>
            <w:r>
              <w:rPr>
                <w:rFonts w:hint="eastAsia" w:ascii="宋体" w:hAnsi="宋体" w:cs="宋体"/>
                <w:szCs w:val="21"/>
                <w:highlight w:val="none"/>
                <w:u w:val="single"/>
              </w:rPr>
            </w:r>
            <w:r/>
          </w:p>
          <w:p>
            <w:pPr>
              <w:pStyle w:val="940"/>
              <w:spacing w:line="360" w:lineRule="auto"/>
              <w:rPr>
                <w:rFonts w:hint="eastAsia" w:ascii="宋体" w:hAnsi="宋体" w:cs="宋体"/>
                <w:szCs w:val="21"/>
                <w:highlight w:val="none"/>
              </w:rPr>
            </w:pPr>
            <w:r>
              <w:rPr>
                <w:rFonts w:hint="eastAsia" w:ascii="宋体" w:hAnsi="宋体" w:cs="宋体"/>
                <w:szCs w:val="21"/>
                <w:highlight w:val="none"/>
              </w:rPr>
              <w:t xml:space="preserve">服务标准：</w:t>
            </w:r>
            <w:r>
              <w:rPr>
                <w:rFonts w:hint="eastAsia" w:ascii="宋体" w:hAnsi="宋体" w:cs="宋体"/>
                <w:szCs w:val="21"/>
                <w:highlight w:val="none"/>
              </w:rPr>
            </w:r>
            <w:r/>
          </w:p>
        </w:tc>
      </w:tr>
    </w:tbl>
    <w:p>
      <w:pPr>
        <w:pStyle w:val="940"/>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r>
      <w:r/>
    </w:p>
    <w:p>
      <w:pPr>
        <w:jc w:val="center"/>
        <w:rPr>
          <w:rFonts w:hint="eastAsia" w:ascii="宋体" w:hAnsi="宋体" w:cs="宋体"/>
          <w:b/>
          <w:bCs/>
          <w:sz w:val="32"/>
          <w:szCs w:val="32"/>
          <w:highlight w:val="none"/>
        </w:rPr>
      </w:pPr>
      <w:r>
        <w:rPr>
          <w:rFonts w:hint="eastAsia" w:ascii="宋体" w:hAnsi="宋体" w:cs="宋体"/>
          <w:b/>
          <w:sz w:val="32"/>
          <w:szCs w:val="32"/>
          <w:highlight w:val="none"/>
        </w:rPr>
      </w:r>
      <w:r>
        <w:rPr>
          <w:rFonts w:hint="eastAsia" w:ascii="宋体" w:hAnsi="宋体" w:cs="宋体"/>
          <w:b/>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rPr>
          <w:rFonts w:hint="eastAsia" w:ascii="宋体" w:hAnsi="宋体" w:cs="宋体"/>
          <w:b/>
          <w:bCs/>
          <w:sz w:val="32"/>
          <w:szCs w:val="32"/>
          <w:highlight w:val="none"/>
        </w:rPr>
      </w:r>
      <w:r/>
    </w:p>
    <w:p>
      <w:pPr>
        <w:pStyle w:val="940"/>
        <w:jc w:val="center"/>
        <w:rPr>
          <w:rFonts w:hint="eastAsia" w:ascii="宋体" w:hAnsi="宋体" w:cs="宋体"/>
          <w:b/>
          <w:bCs/>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40"/>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质疑函范本</w:t>
      </w:r>
      <w:r>
        <w:rPr>
          <w:rFonts w:hint="eastAsia" w:ascii="宋体" w:hAnsi="宋体" w:cs="宋体"/>
          <w:b/>
          <w:bCs/>
          <w:sz w:val="32"/>
          <w:szCs w:val="32"/>
          <w:highlight w:val="none"/>
        </w:rPr>
      </w:r>
      <w:r/>
    </w:p>
    <w:p>
      <w:pPr>
        <w:pStyle w:val="940"/>
        <w:spacing w:before="290"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一、质疑供应商基本信息</w:t>
      </w:r>
      <w:r>
        <w:rPr>
          <w:rFonts w:hint="eastAsia" w:ascii="宋体" w:hAnsi="宋体" w:cs="宋体"/>
          <w:bCs/>
          <w:sz w:val="24"/>
          <w:szCs w:val="24"/>
          <w:highlight w:val="none"/>
        </w:rPr>
      </w:r>
      <w:r/>
    </w:p>
    <w:p>
      <w:pPr>
        <w:pStyle w:val="9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质疑供应商：</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邮编：</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授权代表：</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邮编：</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4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二、质疑项目基本情况</w:t>
      </w:r>
      <w:r>
        <w:rPr>
          <w:rFonts w:hint="eastAsia" w:ascii="宋体" w:hAnsi="宋体" w:cs="宋体"/>
          <w:bCs/>
          <w:sz w:val="24"/>
          <w:szCs w:val="24"/>
          <w:highlight w:val="none"/>
        </w:rPr>
      </w:r>
      <w:r/>
    </w:p>
    <w:p>
      <w:pPr>
        <w:pStyle w:val="9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质疑项目的名称：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质疑项目的编号：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包号：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采购人名称：</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采购文件获取日期：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4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三、质疑事项具体内容</w:t>
      </w:r>
      <w:r>
        <w:rPr>
          <w:rFonts w:hint="eastAsia" w:ascii="宋体" w:hAnsi="宋体" w:cs="宋体"/>
          <w:bCs/>
          <w:sz w:val="24"/>
          <w:szCs w:val="24"/>
          <w:highlight w:val="none"/>
        </w:rPr>
      </w:r>
      <w:r/>
    </w:p>
    <w:p>
      <w:pPr>
        <w:pStyle w:val="9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质疑事项1：</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事实依据：</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40"/>
        <w:spacing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法律依据：</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40"/>
        <w:spacing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质疑事项2</w:t>
      </w:r>
      <w:r>
        <w:rPr>
          <w:rFonts w:hint="eastAsia" w:ascii="宋体" w:hAnsi="宋体" w:cs="宋体"/>
          <w:sz w:val="24"/>
          <w:szCs w:val="24"/>
          <w:highlight w:val="none"/>
          <w:u w:val="single"/>
        </w:rPr>
      </w:r>
      <w:r/>
    </w:p>
    <w:p>
      <w:pPr>
        <w:pStyle w:val="9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4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四、与质疑事项相关的质疑请求</w:t>
      </w:r>
      <w:r>
        <w:rPr>
          <w:rFonts w:hint="eastAsia" w:ascii="宋体" w:hAnsi="宋体" w:cs="宋体"/>
          <w:bCs/>
          <w:sz w:val="24"/>
          <w:szCs w:val="24"/>
          <w:highlight w:val="none"/>
        </w:rPr>
      </w:r>
      <w:r/>
    </w:p>
    <w:p>
      <w:pPr>
        <w:pStyle w:val="9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请求：</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40"/>
        <w:rPr>
          <w:rFonts w:hint="eastAsia" w:ascii="宋体" w:hAnsi="宋体" w:cs="宋体"/>
          <w:sz w:val="24"/>
          <w:szCs w:val="24"/>
          <w:highlight w:val="none"/>
        </w:rPr>
      </w:pPr>
      <w:r>
        <w:rPr>
          <w:rFonts w:hint="eastAsia" w:ascii="宋体" w:hAnsi="宋体" w:cs="宋体"/>
          <w:sz w:val="24"/>
          <w:szCs w:val="24"/>
          <w:highlight w:val="none"/>
        </w:rPr>
        <w:t xml:space="preserve">签字(签章)：                   公章：                      </w:t>
      </w:r>
      <w:r>
        <w:rPr>
          <w:rFonts w:hint="eastAsia" w:ascii="宋体" w:hAnsi="宋体" w:cs="宋体"/>
          <w:sz w:val="24"/>
          <w:szCs w:val="24"/>
          <w:highlight w:val="none"/>
        </w:rPr>
      </w:r>
      <w:r/>
    </w:p>
    <w:p>
      <w:pPr>
        <w:pStyle w:val="940"/>
        <w:rPr>
          <w:rFonts w:hint="eastAsia" w:ascii="宋体" w:hAnsi="宋体" w:cs="宋体"/>
          <w:sz w:val="24"/>
          <w:szCs w:val="24"/>
          <w:highlight w:val="none"/>
        </w:rPr>
      </w:pPr>
      <w:r>
        <w:rPr>
          <w:rFonts w:hint="eastAsia" w:ascii="宋体" w:hAnsi="宋体" w:cs="宋体"/>
          <w:sz w:val="24"/>
          <w:szCs w:val="24"/>
          <w:highlight w:val="none"/>
        </w:rPr>
        <w:t xml:space="preserve">日期：    </w:t>
      </w:r>
      <w:r>
        <w:rPr>
          <w:rFonts w:hint="eastAsia" w:ascii="宋体" w:hAnsi="宋体" w:cs="宋体"/>
          <w:sz w:val="24"/>
          <w:szCs w:val="24"/>
          <w:highlight w:val="none"/>
        </w:rPr>
      </w:r>
      <w:r/>
    </w:p>
    <w:p>
      <w:pPr>
        <w:pStyle w:val="940"/>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质疑函制作说明：</w:t>
      </w:r>
      <w:r>
        <w:rPr>
          <w:rFonts w:hint="eastAsia" w:ascii="宋体" w:hAnsi="宋体" w:cs="宋体"/>
          <w:b/>
          <w:sz w:val="24"/>
          <w:szCs w:val="24"/>
          <w:highlight w:val="none"/>
        </w:rPr>
      </w:r>
      <w:r/>
    </w:p>
    <w:p>
      <w:pPr>
        <w:pStyle w:val="940"/>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1.供应商提出质疑时，应提交质疑函和必要的证明材料。</w:t>
      </w:r>
      <w:r>
        <w:rPr>
          <w:rFonts w:hint="eastAsia" w:ascii="宋体" w:hAnsi="宋体" w:cs="宋体"/>
          <w:sz w:val="24"/>
          <w:szCs w:val="24"/>
          <w:highlight w:val="none"/>
        </w:rPr>
      </w:r>
      <w:r/>
    </w:p>
    <w:p>
      <w:pPr>
        <w:pStyle w:val="940"/>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rFonts w:hint="eastAsia" w:ascii="宋体" w:hAnsi="宋体" w:cs="宋体"/>
          <w:sz w:val="24"/>
          <w:szCs w:val="24"/>
          <w:highlight w:val="none"/>
        </w:rPr>
      </w:r>
      <w:r/>
    </w:p>
    <w:p>
      <w:pPr>
        <w:pStyle w:val="940"/>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3.质疑供应商若对项目的某一分包进行质疑，质疑函中应列明具体分包号。</w:t>
      </w:r>
      <w:r>
        <w:rPr>
          <w:rFonts w:hint="eastAsia" w:ascii="宋体" w:hAnsi="宋体" w:cs="宋体"/>
          <w:sz w:val="24"/>
          <w:szCs w:val="24"/>
          <w:highlight w:val="none"/>
        </w:rPr>
      </w:r>
      <w:r/>
    </w:p>
    <w:p>
      <w:pPr>
        <w:pStyle w:val="940"/>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4.质疑函的质疑事项应具体、明确，并有必要的事实依据和法律依据。</w:t>
      </w:r>
      <w:r>
        <w:rPr>
          <w:rFonts w:hint="eastAsia" w:ascii="宋体" w:hAnsi="宋体" w:cs="宋体"/>
          <w:sz w:val="24"/>
          <w:szCs w:val="24"/>
          <w:highlight w:val="none"/>
        </w:rPr>
      </w:r>
      <w:r/>
    </w:p>
    <w:p>
      <w:pPr>
        <w:pStyle w:val="940"/>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5.质疑函的质疑请求应与质疑事项相关。</w:t>
      </w:r>
      <w:r>
        <w:rPr>
          <w:rFonts w:hint="eastAsia" w:ascii="宋体" w:hAnsi="宋体" w:cs="宋体"/>
          <w:sz w:val="24"/>
          <w:szCs w:val="24"/>
          <w:highlight w:val="none"/>
        </w:rPr>
      </w:r>
      <w:r/>
    </w:p>
    <w:p>
      <w:pPr>
        <w:pStyle w:val="940"/>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4"/>
          <w:szCs w:val="24"/>
          <w:highlight w:val="none"/>
        </w:rPr>
      </w:r>
      <w:r/>
    </w:p>
    <w:p>
      <w:pPr>
        <w:pStyle w:val="940"/>
        <w:ind w:firstLine="420"/>
        <w:rPr>
          <w:rFonts w:hint="eastAsia" w:ascii="宋体" w:hAnsi="宋体" w:cs="宋体"/>
          <w:sz w:val="24"/>
          <w:szCs w:val="24"/>
          <w:highlight w:val="none"/>
        </w:rPr>
      </w:pPr>
      <w:r>
        <w:rPr>
          <w:rFonts w:hint="eastAsia" w:ascii="宋体" w:hAnsi="宋体" w:cs="宋体"/>
          <w:sz w:val="24"/>
          <w:szCs w:val="24"/>
          <w:highlight w:val="none"/>
        </w:rPr>
      </w:r>
      <w:r/>
    </w:p>
    <w:p>
      <w:pPr>
        <w:pStyle w:val="940"/>
        <w:ind w:firstLine="420"/>
        <w:rPr>
          <w:rFonts w:hint="eastAsia" w:ascii="宋体" w:hAnsi="宋体" w:cs="宋体"/>
          <w:sz w:val="24"/>
          <w:szCs w:val="24"/>
          <w:highlight w:val="none"/>
        </w:rPr>
      </w:pPr>
      <w:r>
        <w:rPr>
          <w:rFonts w:hint="eastAsia" w:ascii="宋体" w:hAnsi="宋体" w:cs="宋体"/>
          <w:sz w:val="24"/>
          <w:szCs w:val="24"/>
          <w:highlight w:val="none"/>
        </w:rPr>
      </w:r>
      <w:r/>
    </w:p>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rPr>
        <w:rStyle w:val="1013"/>
      </w:rPr>
    </w:r>
    <w:r/>
  </w:p>
  <w:p>
    <w:pPr>
      <w:pStyle w:val="98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9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940"/>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２５</w:t>
                          </w:r>
                          <w:r>
                            <w:fldChar w:fldCharType="end"/>
                          </w:r>
                          <w:r/>
                        </w:p>
                        <w:p>
                          <w:pPr>
                            <w:pStyle w:val="9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２５</w:t>
                    </w:r>
                    <w:r>
                      <w:fldChar w:fldCharType="end"/>
                    </w:r>
                    <w:r/>
                  </w:p>
                  <w:p>
                    <w:pPr>
                      <w:pStyle w:val="9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4"/>
      <w:isLgl w:val="false"/>
      <w:suff w:val="tab"/>
      <w:lvlText w:val=""/>
      <w:lvlJc w:val="left"/>
      <w:pPr>
        <w:pStyle w:val="94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4"/>
      <w:isLgl w:val="false"/>
      <w:suff w:val="tab"/>
      <w:lvlText w:val="附录%1."/>
      <w:lvlJc w:val="left"/>
      <w:pPr>
        <w:pStyle w:val="94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1"/>
      <w:isLgl w:val="false"/>
      <w:suff w:val="tab"/>
      <w:lvlText w:val="%1."/>
      <w:lvlJc w:val="left"/>
      <w:pPr>
        <w:pStyle w:val="940"/>
        <w:ind w:left="709" w:hanging="709"/>
        <w:tabs>
          <w:tab w:val="num" w:pos="709" w:leader="none"/>
        </w:tabs>
      </w:pPr>
      <w:rPr>
        <w:rFonts w:hint="eastAsia"/>
      </w:rPr>
    </w:lvl>
    <w:lvl w:ilvl="1">
      <w:start w:val="1"/>
      <w:numFmt w:val="decimal"/>
      <w:isLgl w:val="false"/>
      <w:suff w:val="tab"/>
      <w:lvlText w:val="%1.%2"/>
      <w:lvlJc w:val="left"/>
      <w:pPr>
        <w:pStyle w:val="940"/>
        <w:ind w:left="709" w:hanging="709"/>
        <w:tabs>
          <w:tab w:val="num" w:pos="709" w:leader="none"/>
        </w:tabs>
      </w:pPr>
      <w:rPr>
        <w:rFonts w:hint="eastAsia"/>
      </w:rPr>
    </w:lvl>
    <w:lvl w:ilvl="2">
      <w:start w:val="1"/>
      <w:numFmt w:val="decimal"/>
      <w:isLgl w:val="false"/>
      <w:suff w:val="tab"/>
      <w:lvlText w:val="%1.%2.%3."/>
      <w:lvlJc w:val="left"/>
      <w:pPr>
        <w:pStyle w:val="940"/>
        <w:ind w:left="425" w:hanging="425"/>
        <w:tabs>
          <w:tab w:val="num" w:pos="425" w:leader="none"/>
        </w:tabs>
      </w:pPr>
      <w:rPr>
        <w:rFonts w:hint="eastAsia"/>
      </w:rPr>
    </w:lvl>
    <w:lvl w:ilvl="3">
      <w:start w:val="1"/>
      <w:numFmt w:val="decimal"/>
      <w:isLgl w:val="false"/>
      <w:suff w:val="tab"/>
      <w:lvlText w:val="%1.%2.%3.%4."/>
      <w:lvlJc w:val="left"/>
      <w:pPr>
        <w:pStyle w:val="940"/>
        <w:ind w:left="851" w:hanging="851"/>
        <w:tabs>
          <w:tab w:val="num" w:pos="851" w:leader="none"/>
        </w:tabs>
      </w:pPr>
      <w:rPr>
        <w:rFonts w:hint="eastAsia"/>
      </w:rPr>
    </w:lvl>
    <w:lvl w:ilvl="4">
      <w:start w:val="1"/>
      <w:numFmt w:val="decimal"/>
      <w:isLgl w:val="false"/>
      <w:suff w:val="tab"/>
      <w:lvlText w:val="%1.%2.%3.%4.%5."/>
      <w:lvlJc w:val="left"/>
      <w:pPr>
        <w:pStyle w:val="940"/>
        <w:ind w:left="992" w:hanging="992"/>
        <w:tabs>
          <w:tab w:val="num" w:pos="992" w:leader="none"/>
        </w:tabs>
      </w:pPr>
      <w:rPr>
        <w:rFonts w:hint="eastAsia"/>
      </w:rPr>
    </w:lvl>
    <w:lvl w:ilvl="5">
      <w:start w:val="1"/>
      <w:numFmt w:val="decimal"/>
      <w:isLgl w:val="false"/>
      <w:suff w:val="tab"/>
      <w:lvlText w:val="%1.%2.%3.%4.%5.%6."/>
      <w:lvlJc w:val="left"/>
      <w:pPr>
        <w:pStyle w:val="940"/>
        <w:ind w:left="1134" w:hanging="1134"/>
        <w:tabs>
          <w:tab w:val="num" w:pos="1134" w:leader="none"/>
        </w:tabs>
      </w:pPr>
      <w:rPr>
        <w:rFonts w:hint="eastAsia"/>
      </w:rPr>
    </w:lvl>
    <w:lvl w:ilvl="6">
      <w:start w:val="1"/>
      <w:numFmt w:val="decimal"/>
      <w:isLgl w:val="false"/>
      <w:suff w:val="tab"/>
      <w:lvlText w:val="%1.%2.%3.%4.%5.%6.%7."/>
      <w:lvlJc w:val="left"/>
      <w:pPr>
        <w:pStyle w:val="940"/>
        <w:ind w:left="1276" w:hanging="1276"/>
        <w:tabs>
          <w:tab w:val="num" w:pos="1276" w:leader="none"/>
        </w:tabs>
      </w:pPr>
      <w:rPr>
        <w:rFonts w:hint="eastAsia"/>
      </w:rPr>
    </w:lvl>
    <w:lvl w:ilvl="7">
      <w:start w:val="1"/>
      <w:numFmt w:val="decimal"/>
      <w:isLgl w:val="false"/>
      <w:suff w:val="tab"/>
      <w:lvlText w:val="%1.%2.%3.%4.%5.%6.%7.%8."/>
      <w:lvlJc w:val="left"/>
      <w:pPr>
        <w:pStyle w:val="940"/>
        <w:ind w:left="1418" w:hanging="1418"/>
        <w:tabs>
          <w:tab w:val="num" w:pos="1418" w:leader="none"/>
        </w:tabs>
      </w:pPr>
      <w:rPr>
        <w:rFonts w:hint="eastAsia"/>
      </w:rPr>
    </w:lvl>
    <w:lvl w:ilvl="8">
      <w:start w:val="1"/>
      <w:numFmt w:val="decimal"/>
      <w:isLgl w:val="false"/>
      <w:suff w:val="tab"/>
      <w:lvlText w:val="%1.%2.%3.%4.%5.%6.%7.%8.%9."/>
      <w:lvlJc w:val="left"/>
      <w:pPr>
        <w:pStyle w:val="94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0"/>
        <w:ind w:left="0" w:firstLine="0"/>
      </w:pPr>
      <w:rPr>
        <w:rFonts w:hint="eastAsia"/>
      </w:rPr>
    </w:lvl>
    <w:lvl w:ilvl="1">
      <w:start w:val="1"/>
      <w:numFmt w:val="decimal"/>
      <w:isLgl w:val="false"/>
      <w:suff w:val="nothing"/>
      <w:lvlText w:val="%2、"/>
      <w:lvlJc w:val="left"/>
      <w:pPr>
        <w:pStyle w:val="940"/>
        <w:ind w:left="0" w:firstLine="0"/>
      </w:pPr>
      <w:rPr>
        <w:rFonts w:hint="eastAsia"/>
      </w:rPr>
    </w:lvl>
    <w:lvl w:ilvl="2">
      <w:start w:val="1"/>
      <w:numFmt w:val="decimal"/>
      <w:isLgl w:val="false"/>
      <w:suff w:val="nothing"/>
      <w:lvlText w:val="%2.%3 "/>
      <w:lvlJc w:val="left"/>
      <w:pPr>
        <w:pStyle w:val="940"/>
        <w:ind w:left="0" w:firstLine="0"/>
      </w:pPr>
      <w:rPr>
        <w:rFonts w:hint="eastAsia"/>
      </w:rPr>
    </w:lvl>
    <w:lvl w:ilvl="3">
      <w:start w:val="1"/>
      <w:numFmt w:val="decimal"/>
      <w:isLgl w:val="false"/>
      <w:suff w:val="nothing"/>
      <w:lvlText w:val="%2.%3.%4 "/>
      <w:lvlJc w:val="left"/>
      <w:pPr>
        <w:pStyle w:val="940"/>
        <w:ind w:left="0" w:firstLine="0"/>
      </w:pPr>
      <w:rPr>
        <w:rFonts w:hint="eastAsia"/>
      </w:rPr>
    </w:lvl>
    <w:lvl w:ilvl="4">
      <w:start w:val="1"/>
      <w:numFmt w:val="decimal"/>
      <w:isLgl w:val="false"/>
      <w:suff w:val="nothing"/>
      <w:lvlText w:val="%2.%3.%4.%5 "/>
      <w:lvlJc w:val="left"/>
      <w:pPr>
        <w:pStyle w:val="940"/>
        <w:ind w:left="0" w:firstLine="0"/>
      </w:pPr>
      <w:rPr>
        <w:rFonts w:hint="eastAsia"/>
      </w:rPr>
    </w:lvl>
    <w:lvl w:ilvl="5">
      <w:start w:val="1"/>
      <w:numFmt w:val="decimal"/>
      <w:pStyle w:val="946"/>
      <w:isLgl w:val="false"/>
      <w:suff w:val="nothing"/>
      <w:lvlText w:val=""/>
      <w:lvlJc w:val="left"/>
      <w:pPr>
        <w:pStyle w:val="940"/>
        <w:ind w:left="0" w:firstLine="0"/>
      </w:pPr>
      <w:rPr>
        <w:rFonts w:hint="eastAsia"/>
      </w:rPr>
    </w:lvl>
    <w:lvl w:ilvl="6">
      <w:start w:val="1"/>
      <w:numFmt w:val="decimal"/>
      <w:pStyle w:val="947"/>
      <w:isLgl w:val="false"/>
      <w:suff w:val="nothing"/>
      <w:lvlText w:val=""/>
      <w:lvlJc w:val="left"/>
      <w:pPr>
        <w:pStyle w:val="940"/>
        <w:ind w:left="0" w:firstLine="0"/>
      </w:pPr>
      <w:rPr>
        <w:rFonts w:hint="eastAsia"/>
      </w:rPr>
    </w:lvl>
    <w:lvl w:ilvl="7">
      <w:start w:val="1"/>
      <w:numFmt w:val="decimal"/>
      <w:pStyle w:val="948"/>
      <w:isLgl w:val="false"/>
      <w:suff w:val="nothing"/>
      <w:lvlText w:val=""/>
      <w:lvlJc w:val="left"/>
      <w:pPr>
        <w:pStyle w:val="940"/>
        <w:ind w:left="0" w:firstLine="0"/>
      </w:pPr>
      <w:rPr>
        <w:rFonts w:hint="eastAsia"/>
      </w:rPr>
    </w:lvl>
    <w:lvl w:ilvl="8">
      <w:start w:val="1"/>
      <w:numFmt w:val="decimal"/>
      <w:pStyle w:val="949"/>
      <w:isLgl w:val="false"/>
      <w:suff w:val="nothing"/>
      <w:lvlText w:val=""/>
      <w:lvlJc w:val="left"/>
      <w:pPr>
        <w:pStyle w:val="940"/>
        <w:ind w:left="0" w:firstLine="0"/>
      </w:pPr>
      <w:rPr>
        <w:rFonts w:hint="eastAsia"/>
      </w:rPr>
    </w:lvl>
  </w:abstractNum>
  <w:abstractNum w:abstractNumId="4">
    <w:multiLevelType w:val="hybridMultilevel"/>
    <w:lvl w:ilvl="0">
      <w:start w:val="6"/>
      <w:numFmt w:val="chineseCounting"/>
      <w:isLgl w:val="false"/>
      <w:suff w:val="nothing"/>
      <w:lvlText w:val="%1、"/>
      <w:lvlJc w:val="left"/>
      <w:pPr>
        <w:pStyle w:val="940"/>
        <w:ind w:left="0" w:firstLine="0"/>
      </w:pPr>
      <w:rPr>
        <w:rFonts w:hint="eastAsia" w:ascii="宋体" w:hAnsi="宋体" w:eastAsia="宋体"/>
      </w:rPr>
    </w:lvl>
    <w:lvl w:ilvl="1">
      <w:start w:val="1"/>
      <w:numFmt w:val="bullet"/>
      <w:isLgl w:val="false"/>
      <w:suff w:val="tab"/>
      <w:lvlText w:val="o"/>
      <w:lvlJc w:val="left"/>
      <w:pPr>
        <w:pStyle w:val="940"/>
        <w:ind w:left="1440" w:hanging="360"/>
      </w:pPr>
      <w:rPr>
        <w:rFonts w:ascii="Courier New" w:hAnsi="Courier New" w:cs="Courier New"/>
      </w:rPr>
    </w:lvl>
    <w:lvl w:ilvl="2">
      <w:start w:val="1"/>
      <w:numFmt w:val="bullet"/>
      <w:isLgl w:val="false"/>
      <w:suff w:val="tab"/>
      <w:lvlText w:val="§"/>
      <w:lvlJc w:val="left"/>
      <w:pPr>
        <w:pStyle w:val="940"/>
        <w:ind w:left="2160" w:hanging="360"/>
      </w:pPr>
      <w:rPr>
        <w:rFonts w:ascii="Wingdings" w:hAnsi="Wingdings"/>
      </w:rPr>
    </w:lvl>
    <w:lvl w:ilvl="3">
      <w:start w:val="1"/>
      <w:numFmt w:val="bullet"/>
      <w:isLgl w:val="false"/>
      <w:suff w:val="tab"/>
      <w:lvlText w:val="·"/>
      <w:lvlJc w:val="left"/>
      <w:pPr>
        <w:pStyle w:val="940"/>
        <w:ind w:left="2880" w:hanging="360"/>
      </w:pPr>
      <w:rPr>
        <w:rFonts w:ascii="Symbol" w:hAnsi="Symbol"/>
      </w:rPr>
    </w:lvl>
    <w:lvl w:ilvl="4">
      <w:start w:val="1"/>
      <w:numFmt w:val="bullet"/>
      <w:isLgl w:val="false"/>
      <w:suff w:val="tab"/>
      <w:lvlText w:val="o"/>
      <w:lvlJc w:val="left"/>
      <w:pPr>
        <w:pStyle w:val="940"/>
        <w:ind w:left="3600" w:hanging="360"/>
      </w:pPr>
      <w:rPr>
        <w:rFonts w:ascii="Courier New" w:hAnsi="Courier New" w:cs="Courier New"/>
      </w:rPr>
    </w:lvl>
    <w:lvl w:ilvl="5">
      <w:start w:val="1"/>
      <w:numFmt w:val="bullet"/>
      <w:isLgl w:val="false"/>
      <w:suff w:val="tab"/>
      <w:lvlText w:val="§"/>
      <w:lvlJc w:val="left"/>
      <w:pPr>
        <w:pStyle w:val="940"/>
        <w:ind w:left="4320" w:hanging="360"/>
      </w:pPr>
      <w:rPr>
        <w:rFonts w:ascii="Wingdings" w:hAnsi="Wingdings"/>
      </w:rPr>
    </w:lvl>
    <w:lvl w:ilvl="6">
      <w:start w:val="1"/>
      <w:numFmt w:val="bullet"/>
      <w:isLgl w:val="false"/>
      <w:suff w:val="tab"/>
      <w:lvlText w:val="·"/>
      <w:lvlJc w:val="left"/>
      <w:pPr>
        <w:pStyle w:val="940"/>
        <w:ind w:left="5040" w:hanging="360"/>
      </w:pPr>
      <w:rPr>
        <w:rFonts w:ascii="Symbol" w:hAnsi="Symbol"/>
      </w:rPr>
    </w:lvl>
    <w:lvl w:ilvl="7">
      <w:start w:val="1"/>
      <w:numFmt w:val="bullet"/>
      <w:isLgl w:val="false"/>
      <w:suff w:val="tab"/>
      <w:lvlText w:val="o"/>
      <w:lvlJc w:val="left"/>
      <w:pPr>
        <w:pStyle w:val="940"/>
        <w:ind w:left="5760" w:hanging="360"/>
      </w:pPr>
      <w:rPr>
        <w:rFonts w:ascii="Courier New" w:hAnsi="Courier New" w:cs="Courier New"/>
      </w:rPr>
    </w:lvl>
    <w:lvl w:ilvl="8">
      <w:start w:val="1"/>
      <w:numFmt w:val="bullet"/>
      <w:isLgl w:val="false"/>
      <w:suff w:val="tab"/>
      <w:lvlText w:val="§"/>
      <w:lvlJc w:val="left"/>
      <w:pPr>
        <w:pStyle w:val="940"/>
        <w:ind w:left="6480" w:hanging="360"/>
      </w:pPr>
      <w:rPr>
        <w:rFonts w:ascii="Wingdings" w:hAnsi="Wingdings"/>
      </w:rPr>
    </w:lvl>
  </w:abstractNum>
  <w:num w:numId="1">
    <w:abstractNumId w:val="3"/>
  </w:num>
  <w:num w:numId="2">
    <w:abstractNumId w:val="1"/>
  </w:num>
  <w:num w:numId="3">
    <w:abstractNumId w:val="2"/>
  </w:num>
  <w:num w:numId="4">
    <w:abstractNumId w:val="0"/>
  </w:num>
  <w:num w:numId="5">
    <w:abstractNumId w:val="4"/>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40"/>
    <w:next w:val="940"/>
    <w:link w:val="763"/>
    <w:uiPriority w:val="9"/>
    <w:qFormat/>
    <w:pPr>
      <w:keepLines/>
      <w:keepNext/>
      <w:spacing w:before="480" w:after="200"/>
      <w:outlineLvl w:val="0"/>
    </w:pPr>
    <w:rPr>
      <w:rFonts w:ascii="Arial" w:hAnsi="Arial" w:eastAsia="Arial" w:cs="Arial"/>
      <w:sz w:val="40"/>
      <w:szCs w:val="40"/>
    </w:rPr>
  </w:style>
  <w:style w:type="character" w:styleId="763">
    <w:name w:val="Heading 1 Char"/>
    <w:link w:val="762"/>
    <w:uiPriority w:val="9"/>
    <w:rPr>
      <w:rFonts w:ascii="Arial" w:hAnsi="Arial" w:eastAsia="Arial" w:cs="Arial"/>
      <w:sz w:val="40"/>
      <w:szCs w:val="40"/>
    </w:rPr>
  </w:style>
  <w:style w:type="paragraph" w:styleId="764">
    <w:name w:val="Heading 2"/>
    <w:basedOn w:val="940"/>
    <w:next w:val="940"/>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link w:val="764"/>
    <w:uiPriority w:val="9"/>
    <w:rPr>
      <w:rFonts w:ascii="Arial" w:hAnsi="Arial" w:eastAsia="Arial" w:cs="Arial"/>
      <w:sz w:val="34"/>
    </w:rPr>
  </w:style>
  <w:style w:type="paragraph" w:styleId="766">
    <w:name w:val="Heading 3"/>
    <w:basedOn w:val="940"/>
    <w:next w:val="940"/>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link w:val="766"/>
    <w:uiPriority w:val="9"/>
    <w:rPr>
      <w:rFonts w:ascii="Arial" w:hAnsi="Arial" w:eastAsia="Arial" w:cs="Arial"/>
      <w:sz w:val="30"/>
      <w:szCs w:val="30"/>
    </w:rPr>
  </w:style>
  <w:style w:type="paragraph" w:styleId="768">
    <w:name w:val="Heading 4"/>
    <w:basedOn w:val="940"/>
    <w:next w:val="940"/>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940"/>
    <w:next w:val="940"/>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940"/>
    <w:next w:val="940"/>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940"/>
    <w:next w:val="940"/>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940"/>
    <w:next w:val="940"/>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940"/>
    <w:next w:val="940"/>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List Paragraph"/>
    <w:basedOn w:val="940"/>
    <w:uiPriority w:val="34"/>
    <w:qFormat/>
    <w:pPr>
      <w:contextualSpacing/>
      <w:ind w:left="720"/>
    </w:pPr>
  </w:style>
  <w:style w:type="paragraph" w:styleId="781">
    <w:name w:val="No Spacing"/>
    <w:uiPriority w:val="1"/>
    <w:qFormat/>
    <w:pPr>
      <w:spacing w:before="0" w:after="0" w:line="240" w:lineRule="auto"/>
    </w:pPr>
  </w:style>
  <w:style w:type="paragraph" w:styleId="782">
    <w:name w:val="Title"/>
    <w:basedOn w:val="940"/>
    <w:next w:val="940"/>
    <w:link w:val="783"/>
    <w:uiPriority w:val="10"/>
    <w:qFormat/>
    <w:pPr>
      <w:contextualSpacing/>
      <w:spacing w:before="300" w:after="200"/>
    </w:pPr>
    <w:rPr>
      <w:sz w:val="48"/>
      <w:szCs w:val="48"/>
    </w:rPr>
  </w:style>
  <w:style w:type="character" w:styleId="783">
    <w:name w:val="Title Char"/>
    <w:link w:val="782"/>
    <w:uiPriority w:val="10"/>
    <w:rPr>
      <w:sz w:val="48"/>
      <w:szCs w:val="48"/>
    </w:rPr>
  </w:style>
  <w:style w:type="paragraph" w:styleId="784">
    <w:name w:val="Subtitle"/>
    <w:basedOn w:val="940"/>
    <w:next w:val="940"/>
    <w:link w:val="785"/>
    <w:uiPriority w:val="11"/>
    <w:qFormat/>
    <w:pPr>
      <w:spacing w:before="200" w:after="200"/>
    </w:pPr>
    <w:rPr>
      <w:sz w:val="24"/>
      <w:szCs w:val="24"/>
    </w:rPr>
  </w:style>
  <w:style w:type="character" w:styleId="785">
    <w:name w:val="Subtitle Char"/>
    <w:link w:val="784"/>
    <w:uiPriority w:val="11"/>
    <w:rPr>
      <w:sz w:val="24"/>
      <w:szCs w:val="24"/>
    </w:rPr>
  </w:style>
  <w:style w:type="paragraph" w:styleId="786">
    <w:name w:val="Quote"/>
    <w:basedOn w:val="940"/>
    <w:next w:val="940"/>
    <w:link w:val="787"/>
    <w:uiPriority w:val="29"/>
    <w:qFormat/>
    <w:pPr>
      <w:ind w:left="720" w:right="720"/>
    </w:pPr>
    <w:rPr>
      <w:i/>
    </w:rPr>
  </w:style>
  <w:style w:type="character" w:styleId="787">
    <w:name w:val="Quote Char"/>
    <w:link w:val="786"/>
    <w:uiPriority w:val="29"/>
    <w:rPr>
      <w:i/>
    </w:rPr>
  </w:style>
  <w:style w:type="paragraph" w:styleId="788">
    <w:name w:val="Intense Quote"/>
    <w:basedOn w:val="940"/>
    <w:next w:val="940"/>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paragraph" w:styleId="790">
    <w:name w:val="Header"/>
    <w:basedOn w:val="940"/>
    <w:link w:val="791"/>
    <w:uiPriority w:val="99"/>
    <w:unhideWhenUsed/>
    <w:pPr>
      <w:spacing w:after="0" w:line="240" w:lineRule="auto"/>
      <w:tabs>
        <w:tab w:val="center" w:pos="7143" w:leader="none"/>
        <w:tab w:val="right" w:pos="14287" w:leader="none"/>
      </w:tabs>
    </w:pPr>
  </w:style>
  <w:style w:type="character" w:styleId="791">
    <w:name w:val="Header Char"/>
    <w:link w:val="790"/>
    <w:uiPriority w:val="99"/>
  </w:style>
  <w:style w:type="paragraph" w:styleId="792">
    <w:name w:val="Footer"/>
    <w:basedOn w:val="940"/>
    <w:link w:val="795"/>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940"/>
    <w:next w:val="940"/>
    <w:uiPriority w:val="35"/>
    <w:semiHidden/>
    <w:unhideWhenUsed/>
    <w:qFormat/>
    <w:pPr>
      <w:spacing w:line="276" w:lineRule="auto"/>
    </w:pPr>
    <w:rPr>
      <w:b/>
      <w:bCs/>
      <w:color w:val="4f81bd" w:themeColor="accent1"/>
      <w:sz w:val="18"/>
      <w:szCs w:val="18"/>
    </w:rPr>
  </w:style>
  <w:style w:type="character" w:styleId="795">
    <w:name w:val="Caption Char"/>
    <w:basedOn w:val="794"/>
    <w:link w:val="792"/>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0"/>
    <w:link w:val="940"/>
    <w:qFormat/>
    <w:pPr>
      <w:jc w:val="both"/>
      <w:widowControl w:val="off"/>
    </w:pPr>
    <w:rPr>
      <w:sz w:val="21"/>
      <w:szCs w:val="22"/>
      <w:lang w:val="en-US" w:eastAsia="zh-CN" w:bidi="ar-SA"/>
    </w:rPr>
  </w:style>
  <w:style w:type="paragraph" w:styleId="941">
    <w:name w:val="标题 1"/>
    <w:basedOn w:val="940"/>
    <w:next w:val="940"/>
    <w:link w:val="952"/>
    <w:qFormat/>
    <w:pPr>
      <w:jc w:val="center"/>
      <w:keepNext/>
      <w:outlineLvl w:val="0"/>
    </w:pPr>
    <w:rPr>
      <w:rFonts w:ascii="楷体_GB2312" w:eastAsia="楷体_GB2312"/>
      <w:sz w:val="28"/>
      <w:szCs w:val="28"/>
    </w:rPr>
  </w:style>
  <w:style w:type="paragraph" w:styleId="942">
    <w:name w:val="标题 2"/>
    <w:basedOn w:val="940"/>
    <w:next w:val="954"/>
    <w:link w:val="953"/>
    <w:qFormat/>
    <w:pPr>
      <w:jc w:val="center"/>
      <w:keepLines/>
      <w:keepNext/>
      <w:spacing w:before="260" w:after="260" w:line="416" w:lineRule="auto"/>
      <w:outlineLvl w:val="1"/>
    </w:pPr>
    <w:rPr>
      <w:rFonts w:ascii="Arial" w:hAnsi="Arial" w:eastAsia="幼圆"/>
      <w:b/>
      <w:bCs/>
      <w:sz w:val="44"/>
      <w:szCs w:val="44"/>
    </w:rPr>
  </w:style>
  <w:style w:type="paragraph" w:styleId="943">
    <w:name w:val="标题 3"/>
    <w:basedOn w:val="940"/>
    <w:next w:val="954"/>
    <w:link w:val="956"/>
    <w:qFormat/>
    <w:pPr>
      <w:keepLines/>
      <w:keepNext/>
      <w:spacing w:before="260" w:after="260" w:line="416" w:lineRule="auto"/>
      <w:outlineLvl w:val="2"/>
    </w:pPr>
    <w:rPr>
      <w:b/>
      <w:bCs/>
      <w:sz w:val="32"/>
      <w:szCs w:val="32"/>
    </w:rPr>
  </w:style>
  <w:style w:type="paragraph" w:styleId="944">
    <w:name w:val="标题 4"/>
    <w:basedOn w:val="940"/>
    <w:next w:val="954"/>
    <w:link w:val="957"/>
    <w:qFormat/>
    <w:pPr>
      <w:keepLines/>
      <w:keepNext/>
      <w:spacing w:before="280" w:after="290" w:line="376" w:lineRule="auto"/>
      <w:outlineLvl w:val="3"/>
    </w:pPr>
    <w:rPr>
      <w:rFonts w:ascii="Arial" w:hAnsi="Arial" w:eastAsia="黑体"/>
      <w:b/>
      <w:bCs/>
      <w:sz w:val="28"/>
      <w:szCs w:val="28"/>
    </w:rPr>
  </w:style>
  <w:style w:type="paragraph" w:styleId="945">
    <w:name w:val="标题 5"/>
    <w:basedOn w:val="940"/>
    <w:next w:val="954"/>
    <w:link w:val="958"/>
    <w:qFormat/>
    <w:pPr>
      <w:keepNext/>
      <w:outlineLvl w:val="4"/>
    </w:pPr>
    <w:rPr>
      <w:rFonts w:ascii="宋体"/>
      <w:color w:val="000000"/>
      <w:sz w:val="28"/>
      <w:szCs w:val="28"/>
    </w:rPr>
  </w:style>
  <w:style w:type="paragraph" w:styleId="946">
    <w:name w:val="标题 6"/>
    <w:basedOn w:val="940"/>
    <w:next w:val="940"/>
    <w:link w:val="959"/>
    <w:qFormat/>
    <w:pPr>
      <w:numPr>
        <w:ilvl w:val="5"/>
        <w:numId w:val="1"/>
      </w:numPr>
      <w:keepLines/>
      <w:keepNext/>
      <w:spacing w:before="240" w:after="64" w:line="320" w:lineRule="auto"/>
      <w:outlineLvl w:val="5"/>
    </w:pPr>
    <w:rPr>
      <w:rFonts w:ascii="Arial" w:hAnsi="Arial" w:eastAsia="黑体"/>
      <w:b/>
      <w:bCs/>
      <w:sz w:val="24"/>
      <w:szCs w:val="24"/>
    </w:rPr>
  </w:style>
  <w:style w:type="paragraph" w:styleId="947">
    <w:name w:val="标题 7"/>
    <w:basedOn w:val="940"/>
    <w:next w:val="940"/>
    <w:link w:val="960"/>
    <w:qFormat/>
    <w:pPr>
      <w:numPr>
        <w:ilvl w:val="6"/>
        <w:numId w:val="1"/>
      </w:numPr>
      <w:keepLines/>
      <w:keepNext/>
      <w:spacing w:before="240" w:after="64" w:line="320" w:lineRule="auto"/>
      <w:outlineLvl w:val="6"/>
    </w:pPr>
    <w:rPr>
      <w:b/>
      <w:bCs/>
      <w:sz w:val="24"/>
      <w:szCs w:val="24"/>
    </w:rPr>
  </w:style>
  <w:style w:type="paragraph" w:styleId="948">
    <w:name w:val="标题 8"/>
    <w:basedOn w:val="940"/>
    <w:next w:val="940"/>
    <w:link w:val="961"/>
    <w:qFormat/>
    <w:pPr>
      <w:numPr>
        <w:ilvl w:val="7"/>
        <w:numId w:val="1"/>
      </w:numPr>
      <w:keepLines/>
      <w:keepNext/>
      <w:spacing w:before="240" w:after="64" w:line="320" w:lineRule="auto"/>
      <w:outlineLvl w:val="7"/>
    </w:pPr>
    <w:rPr>
      <w:rFonts w:ascii="Arial" w:hAnsi="Arial" w:eastAsia="黑体"/>
      <w:sz w:val="24"/>
      <w:szCs w:val="24"/>
    </w:rPr>
  </w:style>
  <w:style w:type="paragraph" w:styleId="949">
    <w:name w:val="标题 9"/>
    <w:basedOn w:val="940"/>
    <w:next w:val="940"/>
    <w:link w:val="962"/>
    <w:qFormat/>
    <w:pPr>
      <w:numPr>
        <w:ilvl w:val="8"/>
        <w:numId w:val="1"/>
      </w:numPr>
      <w:keepLines/>
      <w:keepNext/>
      <w:spacing w:before="240" w:after="64" w:line="320" w:lineRule="auto"/>
      <w:outlineLvl w:val="8"/>
    </w:pPr>
    <w:rPr>
      <w:rFonts w:ascii="Arial" w:hAnsi="Arial" w:eastAsia="黑体"/>
      <w:sz w:val="20"/>
      <w:szCs w:val="21"/>
    </w:rPr>
  </w:style>
  <w:style w:type="character" w:styleId="950">
    <w:name w:val="默认段落字体"/>
    <w:next w:val="950"/>
    <w:link w:val="940"/>
    <w:uiPriority w:val="1"/>
    <w:unhideWhenUsed/>
  </w:style>
  <w:style w:type="table" w:styleId="951">
    <w:name w:val="普通表格"/>
    <w:next w:val="951"/>
    <w:link w:val="940"/>
    <w:uiPriority w:val="99"/>
    <w:unhideWhenUsed/>
    <w:tblPr/>
  </w:style>
  <w:style w:type="character" w:styleId="952">
    <w:name w:val="标题 1 字符"/>
    <w:next w:val="952"/>
    <w:link w:val="941"/>
    <w:rPr>
      <w:rFonts w:ascii="楷体_GB2312" w:hAnsi="Times New Roman" w:eastAsia="楷体_GB2312" w:cs="Times New Roman"/>
      <w:sz w:val="28"/>
      <w:szCs w:val="28"/>
    </w:rPr>
  </w:style>
  <w:style w:type="character" w:styleId="953">
    <w:name w:val="标题 2 字符"/>
    <w:next w:val="953"/>
    <w:link w:val="942"/>
    <w:rPr>
      <w:rFonts w:ascii="Arial" w:hAnsi="Arial" w:eastAsia="幼圆" w:cs="Arial"/>
      <w:b/>
      <w:bCs/>
      <w:sz w:val="44"/>
      <w:szCs w:val="44"/>
    </w:rPr>
  </w:style>
  <w:style w:type="paragraph" w:styleId="954">
    <w:name w:val="正文缩进"/>
    <w:basedOn w:val="940"/>
    <w:next w:val="940"/>
    <w:link w:val="955"/>
    <w:pPr>
      <w:ind w:firstLine="420"/>
    </w:pPr>
    <w:rPr>
      <w:sz w:val="20"/>
      <w:szCs w:val="21"/>
    </w:rPr>
  </w:style>
  <w:style w:type="character" w:styleId="955">
    <w:name w:val="正文缩进 字符"/>
    <w:next w:val="955"/>
    <w:link w:val="954"/>
    <w:rPr>
      <w:szCs w:val="21"/>
    </w:rPr>
  </w:style>
  <w:style w:type="character" w:styleId="956">
    <w:name w:val="标题 3 字符"/>
    <w:next w:val="956"/>
    <w:link w:val="943"/>
    <w:rPr>
      <w:rFonts w:ascii="Times New Roman" w:hAnsi="Times New Roman" w:eastAsia="宋体" w:cs="Times New Roman"/>
      <w:b/>
      <w:bCs/>
      <w:sz w:val="32"/>
      <w:szCs w:val="32"/>
    </w:rPr>
  </w:style>
  <w:style w:type="character" w:styleId="957">
    <w:name w:val="标题 4 字符"/>
    <w:next w:val="957"/>
    <w:link w:val="944"/>
    <w:rPr>
      <w:rFonts w:ascii="Arial" w:hAnsi="Arial" w:eastAsia="黑体" w:cs="Arial"/>
      <w:b/>
      <w:bCs/>
      <w:sz w:val="28"/>
      <w:szCs w:val="28"/>
    </w:rPr>
  </w:style>
  <w:style w:type="character" w:styleId="958">
    <w:name w:val="标题 5 字符"/>
    <w:next w:val="958"/>
    <w:link w:val="945"/>
    <w:rPr>
      <w:rFonts w:ascii="宋体" w:hAnsi="Times New Roman" w:eastAsia="宋体" w:cs="Times New Roman"/>
      <w:color w:val="000000"/>
      <w:sz w:val="28"/>
      <w:szCs w:val="28"/>
    </w:rPr>
  </w:style>
  <w:style w:type="character" w:styleId="959">
    <w:name w:val="标题 6 字符"/>
    <w:next w:val="959"/>
    <w:link w:val="946"/>
    <w:rPr>
      <w:rFonts w:ascii="Arial" w:hAnsi="Arial" w:eastAsia="黑体" w:cs="Times New Roman"/>
      <w:b/>
      <w:bCs/>
      <w:sz w:val="24"/>
      <w:szCs w:val="24"/>
    </w:rPr>
  </w:style>
  <w:style w:type="character" w:styleId="960">
    <w:name w:val="标题 7 字符"/>
    <w:next w:val="960"/>
    <w:link w:val="947"/>
    <w:rPr>
      <w:rFonts w:ascii="Times New Roman" w:hAnsi="Times New Roman" w:eastAsia="宋体" w:cs="Times New Roman"/>
      <w:b/>
      <w:bCs/>
      <w:sz w:val="24"/>
      <w:szCs w:val="24"/>
    </w:rPr>
  </w:style>
  <w:style w:type="character" w:styleId="961">
    <w:name w:val="标题 8 字符"/>
    <w:next w:val="961"/>
    <w:link w:val="948"/>
    <w:rPr>
      <w:rFonts w:ascii="Arial" w:hAnsi="Arial" w:eastAsia="黑体" w:cs="Times New Roman"/>
      <w:sz w:val="24"/>
      <w:szCs w:val="24"/>
    </w:rPr>
  </w:style>
  <w:style w:type="character" w:styleId="962">
    <w:name w:val="标题 9 字符"/>
    <w:next w:val="962"/>
    <w:link w:val="949"/>
    <w:rPr>
      <w:rFonts w:ascii="Arial" w:hAnsi="Arial" w:eastAsia="黑体" w:cs="Times New Roman"/>
      <w:szCs w:val="21"/>
    </w:rPr>
  </w:style>
  <w:style w:type="paragraph" w:styleId="963">
    <w:name w:val="列表 3"/>
    <w:basedOn w:val="940"/>
    <w:next w:val="963"/>
    <w:link w:val="940"/>
    <w:pPr>
      <w:ind w:left="100" w:hanging="200"/>
    </w:pPr>
    <w:rPr>
      <w:rFonts w:ascii="Times New Roman" w:hAnsi="Times New Roman" w:eastAsia="宋体" w:cs="Times New Roman"/>
      <w:szCs w:val="21"/>
    </w:rPr>
  </w:style>
  <w:style w:type="paragraph" w:styleId="964">
    <w:name w:val="目录 7"/>
    <w:basedOn w:val="940"/>
    <w:next w:val="940"/>
    <w:link w:val="940"/>
    <w:semiHidden/>
    <w:pPr>
      <w:ind w:left="1260"/>
      <w:jc w:val="left"/>
    </w:pPr>
    <w:rPr>
      <w:rFonts w:ascii="Times New Roman" w:hAnsi="Times New Roman" w:eastAsia="宋体" w:cs="Times New Roman"/>
      <w:szCs w:val="21"/>
    </w:rPr>
  </w:style>
  <w:style w:type="paragraph" w:styleId="965">
    <w:name w:val="文档结构图"/>
    <w:basedOn w:val="940"/>
    <w:next w:val="965"/>
    <w:link w:val="966"/>
    <w:semiHidden/>
    <w:pPr>
      <w:shd w:val="clear" w:color="auto" w:fill="000080"/>
    </w:pPr>
    <w:rPr>
      <w:sz w:val="20"/>
      <w:szCs w:val="21"/>
    </w:rPr>
  </w:style>
  <w:style w:type="character" w:styleId="966">
    <w:name w:val="文档结构图 字符"/>
    <w:next w:val="966"/>
    <w:link w:val="965"/>
    <w:semiHidden/>
    <w:rPr>
      <w:rFonts w:ascii="Times New Roman" w:hAnsi="Times New Roman" w:eastAsia="宋体" w:cs="Times New Roman"/>
      <w:szCs w:val="21"/>
      <w:shd w:val="clear" w:color="auto" w:fill="000080"/>
    </w:rPr>
  </w:style>
  <w:style w:type="paragraph" w:styleId="967">
    <w:name w:val="批注文字"/>
    <w:basedOn w:val="940"/>
    <w:next w:val="967"/>
    <w:link w:val="968"/>
    <w:unhideWhenUsed/>
    <w:pPr>
      <w:jc w:val="left"/>
    </w:pPr>
  </w:style>
  <w:style w:type="character" w:styleId="968">
    <w:name w:val="批注文字 字符"/>
    <w:next w:val="968"/>
    <w:link w:val="967"/>
    <w:uiPriority w:val="99"/>
    <w:semiHidden/>
  </w:style>
  <w:style w:type="paragraph" w:styleId="969">
    <w:name w:val="正文文本 3"/>
    <w:basedOn w:val="940"/>
    <w:next w:val="969"/>
    <w:link w:val="970"/>
    <w:rPr>
      <w:rFonts w:ascii="仿宋_GB2312" w:hAnsi="Arial" w:eastAsia="仿宋_GB2312"/>
      <w:sz w:val="32"/>
      <w:szCs w:val="32"/>
    </w:rPr>
  </w:style>
  <w:style w:type="character" w:styleId="970">
    <w:name w:val="正文文本 3 字符"/>
    <w:next w:val="970"/>
    <w:link w:val="969"/>
    <w:rPr>
      <w:rFonts w:ascii="仿宋_GB2312" w:hAnsi="Arial" w:eastAsia="仿宋_GB2312" w:cs="Times New Roman"/>
      <w:sz w:val="32"/>
      <w:szCs w:val="32"/>
    </w:rPr>
  </w:style>
  <w:style w:type="paragraph" w:styleId="971">
    <w:name w:val="正文文本"/>
    <w:basedOn w:val="940"/>
    <w:next w:val="940"/>
    <w:link w:val="972"/>
    <w:rPr>
      <w:rFonts w:ascii="楷体_GB2312" w:hAnsi="Arial" w:eastAsia="楷体_GB2312"/>
      <w:sz w:val="28"/>
      <w:szCs w:val="28"/>
    </w:rPr>
  </w:style>
  <w:style w:type="character" w:styleId="972">
    <w:name w:val="正文文本 字符"/>
    <w:next w:val="972"/>
    <w:link w:val="971"/>
    <w:rPr>
      <w:rFonts w:ascii="楷体_GB2312" w:hAnsi="Arial" w:eastAsia="楷体_GB2312" w:cs="Times New Roman"/>
      <w:sz w:val="28"/>
      <w:szCs w:val="28"/>
    </w:rPr>
  </w:style>
  <w:style w:type="paragraph" w:styleId="973">
    <w:name w:val="正文文本缩进"/>
    <w:basedOn w:val="940"/>
    <w:next w:val="973"/>
    <w:link w:val="974"/>
    <w:unhideWhenUsed/>
    <w:pPr>
      <w:ind w:left="420"/>
      <w:spacing w:after="120"/>
    </w:pPr>
  </w:style>
  <w:style w:type="character" w:styleId="974">
    <w:name w:val="正文文本缩进 字符"/>
    <w:next w:val="974"/>
    <w:link w:val="973"/>
    <w:uiPriority w:val="99"/>
    <w:semiHidden/>
  </w:style>
  <w:style w:type="paragraph" w:styleId="975">
    <w:name w:val="列表 2"/>
    <w:basedOn w:val="940"/>
    <w:next w:val="975"/>
    <w:link w:val="940"/>
    <w:pPr>
      <w:ind w:left="100" w:hanging="200"/>
    </w:pPr>
    <w:rPr>
      <w:rFonts w:ascii="Times New Roman" w:hAnsi="Times New Roman" w:eastAsia="宋体" w:cs="Times New Roman"/>
      <w:szCs w:val="21"/>
    </w:rPr>
  </w:style>
  <w:style w:type="paragraph" w:styleId="976">
    <w:name w:val="索引 4"/>
    <w:basedOn w:val="940"/>
    <w:next w:val="940"/>
    <w:link w:val="940"/>
    <w:qFormat/>
    <w:pPr>
      <w:ind w:left="600"/>
    </w:pPr>
    <w:rPr>
      <w:szCs w:val="24"/>
    </w:rPr>
  </w:style>
  <w:style w:type="paragraph" w:styleId="977">
    <w:name w:val="目录 5"/>
    <w:basedOn w:val="940"/>
    <w:next w:val="940"/>
    <w:link w:val="940"/>
    <w:semiHidden/>
    <w:pPr>
      <w:ind w:left="840"/>
      <w:jc w:val="left"/>
    </w:pPr>
    <w:rPr>
      <w:rFonts w:ascii="Times New Roman" w:hAnsi="Times New Roman" w:eastAsia="宋体" w:cs="Times New Roman"/>
      <w:szCs w:val="21"/>
    </w:rPr>
  </w:style>
  <w:style w:type="paragraph" w:styleId="978">
    <w:name w:val="目录 3"/>
    <w:basedOn w:val="940"/>
    <w:next w:val="940"/>
    <w:link w:val="940"/>
    <w:semiHidden/>
    <w:pPr>
      <w:ind w:left="420"/>
      <w:jc w:val="left"/>
    </w:pPr>
    <w:rPr>
      <w:rFonts w:ascii="Times New Roman" w:hAnsi="Times New Roman" w:eastAsia="宋体" w:cs="Times New Roman"/>
      <w:i/>
      <w:iCs/>
      <w:szCs w:val="24"/>
    </w:rPr>
  </w:style>
  <w:style w:type="paragraph" w:styleId="979">
    <w:name w:val="纯文本"/>
    <w:basedOn w:val="940"/>
    <w:next w:val="979"/>
    <w:link w:val="980"/>
    <w:rPr>
      <w:rFonts w:ascii="宋体" w:hAnsi="Courier New"/>
      <w:sz w:val="20"/>
      <w:szCs w:val="21"/>
    </w:rPr>
  </w:style>
  <w:style w:type="character" w:styleId="980">
    <w:name w:val="纯文本 字符"/>
    <w:next w:val="980"/>
    <w:link w:val="979"/>
    <w:rPr>
      <w:rFonts w:ascii="宋体" w:hAnsi="Courier New" w:eastAsia="宋体" w:cs="Courier New"/>
      <w:szCs w:val="21"/>
    </w:rPr>
  </w:style>
  <w:style w:type="paragraph" w:styleId="981">
    <w:name w:val="目录 8"/>
    <w:basedOn w:val="940"/>
    <w:next w:val="940"/>
    <w:link w:val="940"/>
    <w:semiHidden/>
    <w:pPr>
      <w:ind w:left="1470"/>
      <w:jc w:val="left"/>
    </w:pPr>
    <w:rPr>
      <w:rFonts w:ascii="Times New Roman" w:hAnsi="Times New Roman" w:eastAsia="宋体" w:cs="Times New Roman"/>
      <w:szCs w:val="21"/>
    </w:rPr>
  </w:style>
  <w:style w:type="paragraph" w:styleId="982">
    <w:name w:val="日期"/>
    <w:basedOn w:val="940"/>
    <w:next w:val="940"/>
    <w:link w:val="983"/>
    <w:rPr>
      <w:sz w:val="24"/>
      <w:szCs w:val="24"/>
    </w:rPr>
  </w:style>
  <w:style w:type="character" w:styleId="983">
    <w:name w:val="日期 字符"/>
    <w:next w:val="983"/>
    <w:link w:val="982"/>
    <w:rPr>
      <w:rFonts w:ascii="Times New Roman" w:hAnsi="Times New Roman" w:eastAsia="宋体" w:cs="Times New Roman"/>
      <w:sz w:val="24"/>
      <w:szCs w:val="24"/>
    </w:rPr>
  </w:style>
  <w:style w:type="paragraph" w:styleId="984">
    <w:name w:val="正文文本缩进 2"/>
    <w:basedOn w:val="940"/>
    <w:next w:val="984"/>
    <w:link w:val="985"/>
    <w:pPr>
      <w:ind w:left="630" w:firstLine="645"/>
    </w:pPr>
    <w:rPr>
      <w:rFonts w:ascii="Arial" w:hAnsi="Arial" w:eastAsia="仿宋_GB2312"/>
      <w:sz w:val="32"/>
      <w:szCs w:val="32"/>
    </w:rPr>
  </w:style>
  <w:style w:type="character" w:styleId="985">
    <w:name w:val="正文文本缩进 2 字符"/>
    <w:next w:val="985"/>
    <w:link w:val="984"/>
    <w:rPr>
      <w:rFonts w:ascii="Arial" w:hAnsi="Arial" w:eastAsia="仿宋_GB2312" w:cs="Arial"/>
      <w:sz w:val="32"/>
      <w:szCs w:val="32"/>
    </w:rPr>
  </w:style>
  <w:style w:type="paragraph" w:styleId="986">
    <w:name w:val="批注框文本"/>
    <w:basedOn w:val="940"/>
    <w:next w:val="986"/>
    <w:link w:val="987"/>
    <w:semiHidden/>
    <w:rPr>
      <w:sz w:val="18"/>
      <w:szCs w:val="18"/>
    </w:rPr>
  </w:style>
  <w:style w:type="character" w:styleId="987">
    <w:name w:val="批注框文本 字符"/>
    <w:next w:val="987"/>
    <w:link w:val="986"/>
    <w:semiHidden/>
    <w:rPr>
      <w:rFonts w:ascii="Times New Roman" w:hAnsi="Times New Roman" w:eastAsia="宋体" w:cs="Times New Roman"/>
      <w:sz w:val="18"/>
      <w:szCs w:val="18"/>
    </w:rPr>
  </w:style>
  <w:style w:type="paragraph" w:styleId="988">
    <w:name w:val="页脚"/>
    <w:basedOn w:val="940"/>
    <w:next w:val="988"/>
    <w:link w:val="989"/>
    <w:pPr>
      <w:jc w:val="left"/>
      <w:tabs>
        <w:tab w:val="center" w:pos="4153" w:leader="none"/>
        <w:tab w:val="right" w:pos="8306" w:leader="none"/>
      </w:tabs>
    </w:pPr>
    <w:rPr>
      <w:sz w:val="18"/>
      <w:szCs w:val="18"/>
    </w:rPr>
  </w:style>
  <w:style w:type="character" w:styleId="989">
    <w:name w:val="页脚 字符"/>
    <w:next w:val="989"/>
    <w:link w:val="988"/>
    <w:rPr>
      <w:rFonts w:ascii="Times New Roman" w:hAnsi="Times New Roman" w:eastAsia="宋体" w:cs="Times New Roman"/>
      <w:sz w:val="18"/>
      <w:szCs w:val="18"/>
    </w:rPr>
  </w:style>
  <w:style w:type="paragraph" w:styleId="990">
    <w:name w:val="页眉"/>
    <w:basedOn w:val="940"/>
    <w:next w:val="990"/>
    <w:link w:val="991"/>
    <w:pPr>
      <w:jc w:val="center"/>
      <w:tabs>
        <w:tab w:val="center" w:pos="4153" w:leader="none"/>
        <w:tab w:val="right" w:pos="8306" w:leader="none"/>
      </w:tabs>
      <w:pBdr>
        <w:bottom w:val="single" w:color="000000" w:sz="6" w:space="1"/>
      </w:pBdr>
    </w:pPr>
    <w:rPr>
      <w:sz w:val="18"/>
      <w:szCs w:val="18"/>
    </w:rPr>
  </w:style>
  <w:style w:type="character" w:styleId="991">
    <w:name w:val="页眉 字符"/>
    <w:next w:val="991"/>
    <w:link w:val="990"/>
    <w:rPr>
      <w:rFonts w:ascii="Times New Roman" w:hAnsi="Times New Roman" w:eastAsia="宋体" w:cs="Times New Roman"/>
      <w:sz w:val="18"/>
      <w:szCs w:val="18"/>
    </w:rPr>
  </w:style>
  <w:style w:type="paragraph" w:styleId="992">
    <w:name w:val="目录 1"/>
    <w:basedOn w:val="940"/>
    <w:next w:val="940"/>
    <w:link w:val="94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3">
    <w:name w:val="目录 4"/>
    <w:basedOn w:val="940"/>
    <w:next w:val="940"/>
    <w:link w:val="940"/>
    <w:semiHidden/>
    <w:pPr>
      <w:ind w:left="630"/>
      <w:jc w:val="left"/>
    </w:pPr>
    <w:rPr>
      <w:rFonts w:ascii="Times New Roman" w:hAnsi="Times New Roman" w:eastAsia="宋体" w:cs="Times New Roman"/>
      <w:szCs w:val="21"/>
    </w:rPr>
  </w:style>
  <w:style w:type="paragraph" w:styleId="994">
    <w:name w:val="列表"/>
    <w:basedOn w:val="940"/>
    <w:next w:val="994"/>
    <w:link w:val="940"/>
    <w:pPr>
      <w:ind w:left="200" w:hanging="200"/>
    </w:pPr>
    <w:rPr>
      <w:rFonts w:ascii="Times New Roman" w:hAnsi="Times New Roman" w:eastAsia="宋体" w:cs="Times New Roman"/>
      <w:szCs w:val="21"/>
    </w:rPr>
  </w:style>
  <w:style w:type="paragraph" w:styleId="995">
    <w:name w:val="目录 6"/>
    <w:basedOn w:val="940"/>
    <w:next w:val="940"/>
    <w:link w:val="940"/>
    <w:semiHidden/>
    <w:pPr>
      <w:ind w:left="1050"/>
      <w:jc w:val="left"/>
    </w:pPr>
    <w:rPr>
      <w:rFonts w:ascii="Times New Roman" w:hAnsi="Times New Roman" w:eastAsia="宋体" w:cs="Times New Roman"/>
      <w:szCs w:val="21"/>
    </w:rPr>
  </w:style>
  <w:style w:type="paragraph" w:styleId="996">
    <w:name w:val="正文文本缩进 3"/>
    <w:basedOn w:val="940"/>
    <w:next w:val="996"/>
    <w:link w:val="997"/>
    <w:pPr>
      <w:ind w:left="645" w:firstLine="645"/>
    </w:pPr>
    <w:rPr>
      <w:rFonts w:ascii="Arial" w:hAnsi="Arial" w:eastAsia="仿宋_GB2312"/>
      <w:color w:val="ffff00"/>
      <w:sz w:val="32"/>
      <w:szCs w:val="32"/>
    </w:rPr>
  </w:style>
  <w:style w:type="character" w:styleId="997">
    <w:name w:val="正文文本缩进 3 字符"/>
    <w:next w:val="997"/>
    <w:link w:val="996"/>
    <w:rPr>
      <w:rFonts w:ascii="Arial" w:hAnsi="Arial" w:eastAsia="仿宋_GB2312" w:cs="Arial"/>
      <w:color w:val="ffff00"/>
      <w:sz w:val="32"/>
      <w:szCs w:val="32"/>
    </w:rPr>
  </w:style>
  <w:style w:type="paragraph" w:styleId="998">
    <w:name w:val="图表目录"/>
    <w:basedOn w:val="940"/>
    <w:next w:val="940"/>
    <w:link w:val="940"/>
    <w:semiHidden/>
    <w:pPr>
      <w:ind w:left="840" w:hanging="420"/>
    </w:pPr>
    <w:rPr>
      <w:rFonts w:ascii="Times New Roman" w:hAnsi="Times New Roman" w:eastAsia="宋体" w:cs="Times New Roman"/>
      <w:szCs w:val="21"/>
    </w:rPr>
  </w:style>
  <w:style w:type="paragraph" w:styleId="999">
    <w:name w:val="目录 2"/>
    <w:basedOn w:val="940"/>
    <w:next w:val="940"/>
    <w:link w:val="940"/>
    <w:semiHidden/>
    <w:pPr>
      <w:ind w:left="210"/>
      <w:jc w:val="left"/>
    </w:pPr>
    <w:rPr>
      <w:rFonts w:ascii="Times New Roman" w:hAnsi="Times New Roman" w:eastAsia="宋体" w:cs="Times New Roman"/>
      <w:smallCaps/>
      <w:szCs w:val="24"/>
    </w:rPr>
  </w:style>
  <w:style w:type="paragraph" w:styleId="1000">
    <w:name w:val="目录 9"/>
    <w:basedOn w:val="940"/>
    <w:next w:val="940"/>
    <w:link w:val="940"/>
    <w:semiHidden/>
    <w:pPr>
      <w:ind w:left="1680"/>
      <w:jc w:val="left"/>
    </w:pPr>
    <w:rPr>
      <w:rFonts w:ascii="Times New Roman" w:hAnsi="Times New Roman" w:eastAsia="宋体" w:cs="Times New Roman"/>
      <w:szCs w:val="21"/>
    </w:rPr>
  </w:style>
  <w:style w:type="paragraph" w:styleId="1001">
    <w:name w:val="正文文本 2"/>
    <w:basedOn w:val="940"/>
    <w:next w:val="1001"/>
    <w:link w:val="1002"/>
    <w:pPr>
      <w:jc w:val="center"/>
      <w:widowControl/>
    </w:pPr>
    <w:rPr>
      <w:rFonts w:ascii="楷体_GB2312" w:eastAsia="楷体_GB2312"/>
      <w:sz w:val="28"/>
      <w:szCs w:val="28"/>
    </w:rPr>
  </w:style>
  <w:style w:type="character" w:styleId="1002">
    <w:name w:val="正文文本 2 字符"/>
    <w:next w:val="1002"/>
    <w:link w:val="1001"/>
    <w:rPr>
      <w:rFonts w:ascii="楷体_GB2312" w:hAnsi="Times New Roman" w:eastAsia="楷体_GB2312" w:cs="Times New Roman"/>
      <w:sz w:val="28"/>
      <w:szCs w:val="28"/>
    </w:rPr>
  </w:style>
  <w:style w:type="paragraph" w:styleId="1003">
    <w:name w:val="普通(网站)"/>
    <w:basedOn w:val="940"/>
    <w:next w:val="1003"/>
    <w:link w:val="940"/>
    <w:uiPriority w:val="99"/>
    <w:pPr>
      <w:jc w:val="left"/>
      <w:spacing w:before="100" w:beforeAutospacing="1" w:after="100" w:afterAutospacing="1"/>
      <w:widowControl/>
    </w:pPr>
    <w:rPr>
      <w:rFonts w:ascii="宋体" w:hAnsi="宋体" w:eastAsia="宋体" w:cs="宋体"/>
      <w:sz w:val="24"/>
      <w:szCs w:val="24"/>
    </w:rPr>
  </w:style>
  <w:style w:type="paragraph" w:styleId="1004">
    <w:name w:val="索引 1"/>
    <w:basedOn w:val="940"/>
    <w:next w:val="940"/>
    <w:link w:val="940"/>
    <w:semiHidden/>
    <w:pPr>
      <w:spacing w:line="240" w:lineRule="atLeast"/>
    </w:pPr>
    <w:rPr>
      <w:rFonts w:ascii="Times New Roman" w:hAnsi="Times New Roman" w:eastAsia="宋体" w:cs="Times New Roman"/>
      <w:b/>
      <w:bCs/>
      <w:szCs w:val="21"/>
    </w:rPr>
  </w:style>
  <w:style w:type="paragraph" w:styleId="1005">
    <w:name w:val="批注主题"/>
    <w:basedOn w:val="967"/>
    <w:next w:val="967"/>
    <w:link w:val="1006"/>
    <w:semiHidden/>
    <w:rPr>
      <w:b/>
      <w:bCs/>
      <w:sz w:val="20"/>
      <w:szCs w:val="21"/>
    </w:rPr>
  </w:style>
  <w:style w:type="character" w:styleId="1006">
    <w:name w:val="批注主题 字符"/>
    <w:next w:val="1006"/>
    <w:link w:val="1005"/>
    <w:semiHidden/>
    <w:rPr>
      <w:rFonts w:ascii="Times New Roman" w:hAnsi="Times New Roman" w:eastAsia="宋体" w:cs="Times New Roman"/>
      <w:b/>
      <w:bCs/>
      <w:szCs w:val="21"/>
    </w:rPr>
  </w:style>
  <w:style w:type="paragraph" w:styleId="1007">
    <w:name w:val="正文首行缩进"/>
    <w:basedOn w:val="971"/>
    <w:next w:val="1007"/>
    <w:link w:val="1008"/>
    <w:pPr>
      <w:ind w:firstLine="200"/>
      <w:spacing w:line="360" w:lineRule="auto"/>
    </w:pPr>
    <w:rPr>
      <w:rFonts w:ascii="仿宋_GB2312" w:hAnsi="Times New Roman" w:eastAsia="仿宋_GB2312"/>
      <w:sz w:val="30"/>
      <w:szCs w:val="30"/>
    </w:rPr>
  </w:style>
  <w:style w:type="character" w:styleId="1008">
    <w:name w:val="正文文本首行缩进 字符"/>
    <w:next w:val="1008"/>
    <w:link w:val="1007"/>
    <w:rPr>
      <w:rFonts w:ascii="仿宋_GB2312" w:hAnsi="Times New Roman" w:eastAsia="仿宋_GB2312" w:cs="Times New Roman"/>
      <w:sz w:val="30"/>
      <w:szCs w:val="30"/>
    </w:rPr>
  </w:style>
  <w:style w:type="paragraph" w:styleId="1009">
    <w:name w:val="正文首行缩进 2"/>
    <w:basedOn w:val="973"/>
    <w:next w:val="1009"/>
    <w:link w:val="1010"/>
    <w:pPr>
      <w:ind w:left="0" w:firstLine="420"/>
      <w:spacing w:after="0" w:line="360" w:lineRule="auto"/>
    </w:pPr>
    <w:rPr>
      <w:rFonts w:ascii="宋体" w:hAnsi="宋体"/>
      <w:sz w:val="20"/>
      <w:szCs w:val="20"/>
    </w:rPr>
  </w:style>
  <w:style w:type="character" w:styleId="1010">
    <w:name w:val="正文文本首行缩进 2 字符"/>
    <w:next w:val="1010"/>
    <w:link w:val="1009"/>
    <w:rPr>
      <w:rFonts w:ascii="宋体" w:hAnsi="宋体" w:eastAsia="宋体" w:cs="Times New Roman"/>
      <w:szCs w:val="20"/>
    </w:rPr>
  </w:style>
  <w:style w:type="table" w:styleId="1011">
    <w:name w:val="网格型"/>
    <w:basedOn w:val="951"/>
    <w:next w:val="1011"/>
    <w:link w:val="940"/>
    <w:pPr>
      <w:jc w:val="both"/>
      <w:widowControl w:val="off"/>
    </w:pPr>
    <w:rPr>
      <w:rFonts w:ascii="Times New Roman" w:hAnsi="Times New Roman" w:eastAsia="宋体" w:cs="Times New Roman"/>
      <w:sz w:val="20"/>
      <w:szCs w:val="20"/>
    </w:rPr>
    <w:tblPr/>
  </w:style>
  <w:style w:type="character" w:styleId="1012">
    <w:name w:val="要点"/>
    <w:next w:val="1012"/>
    <w:link w:val="940"/>
    <w:qFormat/>
    <w:rPr>
      <w:b/>
      <w:bCs/>
    </w:rPr>
  </w:style>
  <w:style w:type="character" w:styleId="1013">
    <w:name w:val="页码"/>
    <w:next w:val="1013"/>
    <w:link w:val="940"/>
  </w:style>
  <w:style w:type="character" w:styleId="1014">
    <w:name w:val="已访问的超链接"/>
    <w:next w:val="1014"/>
    <w:link w:val="940"/>
    <w:rPr>
      <w:color w:val="800080"/>
      <w:u w:val="single"/>
    </w:rPr>
  </w:style>
  <w:style w:type="character" w:styleId="1015">
    <w:name w:val="超链接"/>
    <w:next w:val="1015"/>
    <w:link w:val="940"/>
    <w:rPr>
      <w:color w:val="0000ff"/>
      <w:u w:val="single"/>
    </w:rPr>
  </w:style>
  <w:style w:type="character" w:styleId="1016">
    <w:name w:val="批注引用"/>
    <w:next w:val="1016"/>
    <w:link w:val="940"/>
    <w:semiHidden/>
    <w:rPr>
      <w:sz w:val="21"/>
      <w:szCs w:val="21"/>
    </w:rPr>
  </w:style>
  <w:style w:type="paragraph" w:styleId="1017">
    <w:name w:val="正文（缩进）"/>
    <w:basedOn w:val="940"/>
    <w:next w:val="1017"/>
    <w:link w:val="940"/>
    <w:qFormat/>
    <w:pPr>
      <w:ind w:firstLine="480"/>
    </w:pPr>
    <w:rPr>
      <w:rFonts w:ascii="Calibri" w:hAnsi="Calibri" w:eastAsia="宋体" w:cs="Times New Roman"/>
      <w:szCs w:val="24"/>
    </w:rPr>
  </w:style>
  <w:style w:type="paragraph" w:styleId="1018">
    <w:name w:val="正文文本11"/>
    <w:basedOn w:val="940"/>
    <w:next w:val="1019"/>
    <w:link w:val="940"/>
    <w:qFormat/>
    <w:rPr>
      <w:rFonts w:ascii="楷体_GB2312" w:hAnsi="Arial" w:eastAsia="楷体_GB2312"/>
      <w:sz w:val="28"/>
      <w:szCs w:val="28"/>
      <w:lang w:eastAsia="en-US"/>
    </w:rPr>
  </w:style>
  <w:style w:type="paragraph" w:styleId="1019">
    <w:name w:val="正文文本 21"/>
    <w:basedOn w:val="940"/>
    <w:next w:val="1019"/>
    <w:link w:val="940"/>
    <w:uiPriority w:val="99"/>
    <w:qFormat/>
    <w:pPr>
      <w:ind w:left="720" w:firstLine="5680"/>
      <w:widowControl/>
    </w:pPr>
  </w:style>
  <w:style w:type="paragraph" w:styleId="1020">
    <w:name w:val="Default"/>
    <w:next w:val="940"/>
    <w:link w:val="940"/>
    <w:qFormat/>
    <w:pPr>
      <w:widowControl w:val="off"/>
    </w:pPr>
    <w:rPr>
      <w:rFonts w:ascii="宋体" w:hAnsi="宋体"/>
      <w:color w:val="000000"/>
      <w:sz w:val="24"/>
      <w:szCs w:val="22"/>
      <w:lang w:val="en-US" w:eastAsia="zh-CN" w:bidi="ar-SA"/>
    </w:rPr>
  </w:style>
  <w:style w:type="paragraph" w:styleId="1021">
    <w:name w:val="正文文本1"/>
    <w:basedOn w:val="940"/>
    <w:next w:val="940"/>
    <w:link w:val="940"/>
    <w:qFormat/>
    <w:rPr>
      <w:rFonts w:ascii="楷体_GB2312" w:hAnsi="Arial" w:eastAsia="楷体_GB2312" w:cs="Times New Roman"/>
      <w:sz w:val="28"/>
      <w:szCs w:val="28"/>
    </w:rPr>
  </w:style>
  <w:style w:type="character" w:styleId="1022">
    <w:name w:val="font5 Char"/>
    <w:next w:val="1022"/>
    <w:link w:val="940"/>
    <w:rPr>
      <w:rFonts w:ascii="宋体" w:hAnsi="宋体" w:eastAsia="宋体"/>
      <w:sz w:val="28"/>
      <w:szCs w:val="28"/>
      <w:lang w:val="en-US" w:eastAsia="zh-CN" w:bidi="ar-SA"/>
    </w:rPr>
  </w:style>
  <w:style w:type="character" w:styleId="1023">
    <w:name w:val="二级目录 Char"/>
    <w:next w:val="1023"/>
    <w:link w:val="1024"/>
    <w:rPr>
      <w:b/>
      <w:sz w:val="30"/>
      <w:szCs w:val="28"/>
      <w:lang w:val="en-US" w:eastAsia="zh-CN" w:bidi="ar-SA"/>
    </w:rPr>
  </w:style>
  <w:style w:type="paragraph" w:styleId="1024">
    <w:name w:val="二级目录"/>
    <w:next w:val="940"/>
    <w:link w:val="1023"/>
    <w:pPr>
      <w:numPr>
        <w:ilvl w:val="0"/>
        <w:numId w:val="2"/>
      </w:numPr>
      <w:tabs>
        <w:tab w:val="left" w:pos="907" w:leader="none"/>
        <w:tab w:val="left" w:pos="1145" w:leader="none"/>
      </w:tabs>
      <w:outlineLvl w:val="1"/>
    </w:pPr>
    <w:rPr>
      <w:b/>
      <w:sz w:val="30"/>
      <w:szCs w:val="28"/>
      <w:lang w:val="en-US" w:eastAsia="zh-CN" w:bidi="ar-SA"/>
    </w:rPr>
  </w:style>
  <w:style w:type="character" w:styleId="1025">
    <w:name w:val="列出段落 Char,Bullet List Char,numbered Char,FooterText Char,List Paragraph1 Char,Paragraphe de liste1 Char"/>
    <w:next w:val="1025"/>
    <w:link w:val="1026"/>
    <w:rPr>
      <w:rFonts w:ascii="Calibri" w:hAnsi="Calibri"/>
      <w:sz w:val="24"/>
      <w:szCs w:val="24"/>
      <w:lang w:eastAsia="en-US" w:bidi="en-US"/>
    </w:rPr>
  </w:style>
  <w:style w:type="paragraph" w:styleId="1026">
    <w:name w:val="列出段落1"/>
    <w:basedOn w:val="940"/>
    <w:next w:val="1026"/>
    <w:link w:val="1025"/>
    <w:qFormat/>
    <w:pPr>
      <w:contextualSpacing/>
      <w:ind w:left="720"/>
      <w:jc w:val="left"/>
      <w:widowControl/>
    </w:pPr>
    <w:rPr>
      <w:rFonts w:ascii="Calibri" w:hAnsi="Calibri"/>
      <w:sz w:val="24"/>
      <w:szCs w:val="24"/>
      <w:lang w:eastAsia="en-US" w:bidi="en-US"/>
    </w:rPr>
  </w:style>
  <w:style w:type="paragraph" w:styleId="1027">
    <w:name w:val="Body Text(ch)"/>
    <w:basedOn w:val="940"/>
    <w:next w:val="971"/>
    <w:link w:val="940"/>
    <w:pPr>
      <w:spacing w:after="120"/>
    </w:pPr>
    <w:rPr>
      <w:rFonts w:ascii="宋体" w:hAnsi="Arial" w:eastAsia="宋体" w:cs="Times New Roman"/>
      <w:bCs/>
      <w:iCs/>
      <w:szCs w:val="24"/>
    </w:rPr>
  </w:style>
  <w:style w:type="paragraph" w:styleId="1028">
    <w:name w:val="xl27"/>
    <w:basedOn w:val="940"/>
    <w:next w:val="1028"/>
    <w:link w:val="9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9">
    <w:name w:val="xl26"/>
    <w:basedOn w:val="940"/>
    <w:next w:val="1029"/>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0">
    <w:name w:val="Char"/>
    <w:basedOn w:val="940"/>
    <w:next w:val="1030"/>
    <w:link w:val="940"/>
    <w:pPr>
      <w:ind w:firstLine="200"/>
      <w:tabs>
        <w:tab w:val="left" w:pos="360" w:leader="none"/>
      </w:tabs>
    </w:pPr>
    <w:rPr>
      <w:rFonts w:ascii="Times New Roman" w:hAnsi="Times New Roman" w:eastAsia="宋体" w:cs="Times New Roman"/>
      <w:sz w:val="28"/>
      <w:szCs w:val="30"/>
    </w:rPr>
  </w:style>
  <w:style w:type="paragraph" w:styleId="1031">
    <w:name w:val=" Char"/>
    <w:basedOn w:val="965"/>
    <w:next w:val="1031"/>
    <w:link w:val="940"/>
    <w:rPr>
      <w:rFonts w:ascii="Tahoma" w:hAnsi="Tahoma"/>
      <w:sz w:val="24"/>
      <w:szCs w:val="24"/>
    </w:rPr>
  </w:style>
  <w:style w:type="paragraph" w:styleId="1032">
    <w:name w:val="普通正文"/>
    <w:basedOn w:val="940"/>
    <w:next w:val="1032"/>
    <w:link w:val="940"/>
    <w:pPr>
      <w:ind w:firstLine="480"/>
      <w:jc w:val="left"/>
      <w:spacing w:before="120" w:after="120" w:line="360" w:lineRule="auto"/>
    </w:pPr>
    <w:rPr>
      <w:rFonts w:ascii="Arial" w:hAnsi="Arial" w:eastAsia="宋体" w:cs="Times New Roman"/>
      <w:sz w:val="24"/>
      <w:szCs w:val="24"/>
    </w:rPr>
  </w:style>
  <w:style w:type="paragraph" w:styleId="1033">
    <w:name w:val="table_lines"/>
    <w:basedOn w:val="940"/>
    <w:next w:val="1033"/>
    <w:link w:val="940"/>
    <w:pPr>
      <w:jc w:val="left"/>
      <w:widowControl/>
    </w:pPr>
    <w:rPr>
      <w:rFonts w:ascii="Times New Roman" w:hAnsi="Times New Roman" w:eastAsia="宋体" w:cs="Times New Roman"/>
      <w:sz w:val="20"/>
      <w:szCs w:val="20"/>
      <w:lang w:val="de-DE" w:eastAsia="de-DE"/>
    </w:rPr>
  </w:style>
  <w:style w:type="paragraph" w:styleId="1034">
    <w:name w:val="附录1"/>
    <w:next w:val="1034"/>
    <w:link w:val="940"/>
    <w:pPr>
      <w:numPr>
        <w:ilvl w:val="0"/>
        <w:numId w:val="2"/>
      </w:numPr>
      <w:spacing w:before="240" w:line="600" w:lineRule="atLeast"/>
      <w:tabs>
        <w:tab w:val="left" w:pos="907" w:leader="none"/>
      </w:tabs>
    </w:pPr>
    <w:rPr>
      <w:b/>
      <w:i/>
      <w:sz w:val="28"/>
      <w:lang w:val="en-US" w:eastAsia="zh-CN" w:bidi="ar-SA"/>
    </w:rPr>
  </w:style>
  <w:style w:type="paragraph" w:styleId="1035">
    <w:name w:val="font7"/>
    <w:basedOn w:val="940"/>
    <w:next w:val="1035"/>
    <w:link w:val="940"/>
    <w:pPr>
      <w:jc w:val="left"/>
      <w:spacing w:before="100" w:beforeAutospacing="1" w:after="100" w:afterAutospacing="1"/>
      <w:widowControl/>
    </w:pPr>
    <w:rPr>
      <w:rFonts w:hint="eastAsia" w:ascii="宋体" w:hAnsi="宋体" w:eastAsia="宋体" w:cs="Times New Roman"/>
      <w:sz w:val="18"/>
      <w:szCs w:val="18"/>
    </w:rPr>
  </w:style>
  <w:style w:type="paragraph" w:styleId="1036">
    <w:name w:val=" Char Char Char Char"/>
    <w:basedOn w:val="965"/>
    <w:next w:val="1036"/>
    <w:link w:val="940"/>
    <w:pPr>
      <w:spacing w:line="360" w:lineRule="auto"/>
    </w:pPr>
    <w:rPr>
      <w:rFonts w:ascii="Tahoma" w:hAnsi="Tahoma"/>
      <w:sz w:val="24"/>
      <w:szCs w:val="24"/>
    </w:rPr>
  </w:style>
  <w:style w:type="paragraph" w:styleId="1037">
    <w:name w:val="列表段落"/>
    <w:basedOn w:val="940"/>
    <w:next w:val="1037"/>
    <w:link w:val="940"/>
    <w:qFormat/>
    <w:pPr>
      <w:contextualSpacing/>
      <w:ind w:left="720"/>
      <w:jc w:val="left"/>
      <w:widowControl/>
    </w:pPr>
    <w:rPr>
      <w:rFonts w:ascii="Calibri" w:hAnsi="Calibri" w:eastAsia="宋体" w:cs="Times New Roman"/>
      <w:sz w:val="24"/>
      <w:szCs w:val="24"/>
      <w:lang w:eastAsia="en-US" w:bidi="en-US"/>
    </w:rPr>
  </w:style>
  <w:style w:type="paragraph" w:styleId="1038">
    <w:name w:val="4"/>
    <w:basedOn w:val="940"/>
    <w:next w:val="996"/>
    <w:link w:val="940"/>
    <w:pPr>
      <w:ind w:firstLine="420"/>
      <w:spacing w:line="360" w:lineRule="auto"/>
    </w:pPr>
    <w:rPr>
      <w:rFonts w:ascii="Times New Roman" w:hAnsi="Times New Roman" w:eastAsia="宋体" w:cs="Times New Roman"/>
      <w:color w:val="ff0000"/>
      <w:sz w:val="24"/>
      <w:szCs w:val="24"/>
    </w:rPr>
  </w:style>
  <w:style w:type="paragraph" w:styleId="1039">
    <w:name w:val="普通 (Web)"/>
    <w:basedOn w:val="940"/>
    <w:next w:val="1039"/>
    <w:link w:val="940"/>
    <w:pPr>
      <w:jc w:val="left"/>
      <w:spacing w:before="100" w:beforeAutospacing="1" w:after="100" w:afterAutospacing="1"/>
      <w:widowControl/>
    </w:pPr>
    <w:rPr>
      <w:rFonts w:ascii="宋体" w:hAnsi="宋体" w:eastAsia="宋体" w:cs="Times New Roman"/>
      <w:sz w:val="24"/>
      <w:szCs w:val="24"/>
    </w:rPr>
  </w:style>
  <w:style w:type="paragraph" w:styleId="1040">
    <w:name w:val=" Char Char Char Char Char Char Char Char Char Char"/>
    <w:basedOn w:val="940"/>
    <w:next w:val="1040"/>
    <w:link w:val="940"/>
    <w:pPr>
      <w:spacing w:line="360" w:lineRule="auto"/>
    </w:pPr>
    <w:rPr>
      <w:rFonts w:ascii="Times New Roman" w:hAnsi="Times New Roman" w:eastAsia="宋体" w:cs="Times New Roman"/>
      <w:sz w:val="24"/>
      <w:szCs w:val="20"/>
    </w:rPr>
  </w:style>
  <w:style w:type="paragraph" w:styleId="1041">
    <w:name w:val="样式1"/>
    <w:basedOn w:val="940"/>
    <w:next w:val="1041"/>
    <w:link w:val="940"/>
    <w:pPr>
      <w:numPr>
        <w:ilvl w:val="0"/>
        <w:numId w:val="3"/>
      </w:numPr>
      <w:tabs>
        <w:tab w:val="left" w:pos="709" w:leader="none"/>
      </w:tabs>
    </w:pPr>
    <w:rPr>
      <w:rFonts w:ascii="宋体" w:hAnsi="宋体" w:eastAsia="宋体" w:cs="Times New Roman"/>
      <w:szCs w:val="21"/>
    </w:rPr>
  </w:style>
  <w:style w:type="paragraph" w:styleId="1042">
    <w:name w:val="font6"/>
    <w:basedOn w:val="940"/>
    <w:next w:val="1042"/>
    <w:link w:val="940"/>
    <w:pPr>
      <w:jc w:val="left"/>
      <w:spacing w:before="100" w:beforeAutospacing="1" w:after="100" w:afterAutospacing="1"/>
      <w:widowControl/>
    </w:pPr>
    <w:rPr>
      <w:rFonts w:hint="eastAsia" w:ascii="宋体" w:hAnsi="宋体" w:eastAsia="宋体" w:cs="Times New Roman"/>
      <w:sz w:val="28"/>
      <w:szCs w:val="28"/>
      <w:u w:val="single"/>
    </w:rPr>
  </w:style>
  <w:style w:type="paragraph" w:styleId="1043">
    <w:name w:val="xl25"/>
    <w:basedOn w:val="940"/>
    <w:next w:val="1043"/>
    <w:link w:val="94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4">
    <w:name w:val="图标"/>
    <w:basedOn w:val="940"/>
    <w:next w:val="940"/>
    <w:link w:val="94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5">
    <w:name w:val="标题3"/>
    <w:basedOn w:val="940"/>
    <w:next w:val="940"/>
    <w:link w:val="940"/>
    <w:pPr>
      <w:ind w:firstLine="624"/>
      <w:spacing w:line="590" w:lineRule="atLeast"/>
    </w:pPr>
    <w:rPr>
      <w:rFonts w:ascii="方正黑体_GBK" w:hAnsi="Times New Roman" w:eastAsia="方正黑体_GBK" w:cs="Times New Roman"/>
      <w:sz w:val="32"/>
      <w:szCs w:val="32"/>
    </w:rPr>
  </w:style>
  <w:style w:type="paragraph" w:styleId="1046">
    <w:name w:val="xl24"/>
    <w:basedOn w:val="940"/>
    <w:next w:val="1046"/>
    <w:link w:val="9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7">
    <w:name w:val="xl29"/>
    <w:basedOn w:val="940"/>
    <w:next w:val="1047"/>
    <w:link w:val="94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8">
    <w:name w:val="Char Char Char Char Char Char Char Char"/>
    <w:basedOn w:val="940"/>
    <w:next w:val="1048"/>
    <w:link w:val="940"/>
    <w:pPr>
      <w:jc w:val="left"/>
      <w:spacing w:after="160" w:line="240" w:lineRule="exact"/>
      <w:widowControl/>
    </w:pPr>
    <w:rPr>
      <w:rFonts w:ascii="Verdana" w:hAnsi="Verdana" w:eastAsia="宋体" w:cs="Times New Roman"/>
      <w:sz w:val="20"/>
      <w:szCs w:val="20"/>
      <w:lang w:eastAsia="en-US"/>
    </w:rPr>
  </w:style>
  <w:style w:type="paragraph" w:styleId="1049">
    <w:name w:val="xl28"/>
    <w:basedOn w:val="940"/>
    <w:next w:val="1049"/>
    <w:link w:val="94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0">
    <w:name w:val=" Char Char Char Char Char Char Char Char"/>
    <w:basedOn w:val="940"/>
    <w:next w:val="1050"/>
    <w:link w:val="940"/>
    <w:pPr>
      <w:jc w:val="left"/>
      <w:spacing w:after="160" w:line="240" w:lineRule="exact"/>
      <w:widowControl/>
    </w:pPr>
    <w:rPr>
      <w:rFonts w:ascii="Verdana" w:hAnsi="Verdana" w:eastAsia="宋体" w:cs="Times New Roman"/>
      <w:sz w:val="20"/>
      <w:szCs w:val="20"/>
      <w:lang w:eastAsia="en-US"/>
    </w:rPr>
  </w:style>
  <w:style w:type="paragraph" w:styleId="1051">
    <w:name w:val="xl30"/>
    <w:basedOn w:val="940"/>
    <w:next w:val="1051"/>
    <w:link w:val="940"/>
    <w:pPr>
      <w:jc w:val="center"/>
      <w:spacing w:before="100" w:beforeAutospacing="1" w:after="100" w:afterAutospacing="1"/>
      <w:widowControl/>
    </w:pPr>
    <w:rPr>
      <w:rFonts w:ascii="宋体" w:hAnsi="宋体" w:eastAsia="宋体" w:cs="Times New Roman"/>
      <w:b/>
      <w:bCs/>
      <w:sz w:val="36"/>
      <w:szCs w:val="36"/>
    </w:rPr>
  </w:style>
  <w:style w:type="paragraph" w:styleId="1052">
    <w:name w:val="Char Char Char Char"/>
    <w:basedOn w:val="965"/>
    <w:next w:val="1052"/>
    <w:link w:val="940"/>
    <w:pPr>
      <w:spacing w:line="360" w:lineRule="auto"/>
    </w:pPr>
    <w:rPr>
      <w:rFonts w:ascii="Tahoma" w:hAnsi="Tahoma"/>
      <w:sz w:val="24"/>
      <w:szCs w:val="24"/>
    </w:rPr>
  </w:style>
  <w:style w:type="paragraph" w:styleId="1053">
    <w:name w:val="table_1stline"/>
    <w:basedOn w:val="940"/>
    <w:next w:val="1053"/>
    <w:link w:val="940"/>
    <w:pPr>
      <w:jc w:val="left"/>
      <w:spacing w:before="120"/>
      <w:widowControl/>
    </w:pPr>
    <w:rPr>
      <w:rFonts w:ascii="Times New Roman" w:hAnsi="Times New Roman" w:eastAsia="宋体" w:cs="Times New Roman"/>
      <w:bCs/>
      <w:sz w:val="20"/>
      <w:szCs w:val="20"/>
      <w:lang w:val="de-DE" w:eastAsia="de-DE"/>
    </w:rPr>
  </w:style>
  <w:style w:type="paragraph" w:styleId="1054">
    <w:name w:val="font5"/>
    <w:basedOn w:val="940"/>
    <w:next w:val="1054"/>
    <w:link w:val="940"/>
    <w:pPr>
      <w:jc w:val="left"/>
      <w:spacing w:before="100" w:beforeAutospacing="1" w:after="100" w:afterAutospacing="1"/>
      <w:widowControl/>
    </w:pPr>
    <w:rPr>
      <w:rFonts w:hint="eastAsia" w:ascii="宋体" w:hAnsi="宋体" w:eastAsia="宋体" w:cs="Times New Roman"/>
      <w:sz w:val="28"/>
      <w:szCs w:val="28"/>
    </w:rPr>
  </w:style>
  <w:style w:type="paragraph" w:styleId="1055">
    <w:name w:val="标题1"/>
    <w:basedOn w:val="940"/>
    <w:next w:val="940"/>
    <w:link w:val="94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6">
    <w:name w:val="修订"/>
    <w:next w:val="1056"/>
    <w:link w:val="940"/>
    <w:uiPriority w:val="99"/>
    <w:semiHidden/>
    <w:rPr>
      <w:sz w:val="21"/>
      <w:szCs w:val="21"/>
      <w:lang w:val="en-US" w:eastAsia="zh-CN" w:bidi="ar-SA"/>
    </w:rPr>
  </w:style>
  <w:style w:type="paragraph" w:styleId="1057">
    <w:name w:val="无间隔"/>
    <w:next w:val="1057"/>
    <w:link w:val="940"/>
    <w:uiPriority w:val="99"/>
    <w:qFormat/>
    <w:pPr>
      <w:jc w:val="both"/>
      <w:widowControl w:val="off"/>
    </w:pPr>
    <w:rPr>
      <w:sz w:val="21"/>
      <w:szCs w:val="21"/>
      <w:lang w:val="en-US" w:eastAsia="zh-CN" w:bidi="ar-SA"/>
    </w:rPr>
  </w:style>
  <w:style w:type="paragraph" w:styleId="1058">
    <w:name w:val="Char Char Char Char Char Char Char Char Char"/>
    <w:basedOn w:val="940"/>
    <w:next w:val="1019"/>
    <w:link w:val="940"/>
    <w:uiPriority w:val="99"/>
    <w:qFormat/>
    <w:pPr>
      <w:ind w:left="360" w:firstLine="5784"/>
    </w:pPr>
  </w:style>
  <w:style w:type="paragraph" w:styleId="1059">
    <w:name w:val="默认段落字体 Para Char Char Char Char Char Char Char"/>
    <w:basedOn w:val="940"/>
    <w:next w:val="1060"/>
    <w:link w:val="940"/>
    <w:uiPriority w:val="99"/>
    <w:qFormat/>
    <w:pPr>
      <w:ind w:firstLine="200"/>
    </w:pPr>
    <w:rPr>
      <w:rFonts w:ascii="Calibri" w:hAnsi="Calibri" w:eastAsia="宋体" w:cs="Arial"/>
      <w:szCs w:val="24"/>
    </w:rPr>
  </w:style>
  <w:style w:type="paragraph" w:styleId="1060">
    <w:name w:val="样式 首行缩进:  2 字符"/>
    <w:basedOn w:val="940"/>
    <w:next w:val="1061"/>
    <w:link w:val="940"/>
    <w:uiPriority w:val="99"/>
    <w:qFormat/>
    <w:pPr>
      <w:ind w:left="480" w:firstLine="5856"/>
      <w:spacing w:line="360" w:lineRule="auto"/>
    </w:pPr>
  </w:style>
  <w:style w:type="paragraph" w:styleId="1061">
    <w:name w:val="样式 段后: 0.25 行"/>
    <w:basedOn w:val="940"/>
    <w:next w:val="1062"/>
    <w:link w:val="940"/>
    <w:uiPriority w:val="99"/>
    <w:qFormat/>
    <w:pPr>
      <w:ind w:left="420" w:firstLine="5796"/>
      <w:spacing w:line="300" w:lineRule="auto"/>
      <w:widowControl/>
    </w:pPr>
  </w:style>
  <w:style w:type="paragraph" w:styleId="1062">
    <w:name w:val="正文 New New New New New New New New New New New New New New"/>
    <w:next w:val="1000"/>
    <w:link w:val="940"/>
    <w:uiPriority w:val="99"/>
    <w:qFormat/>
    <w:pPr>
      <w:ind w:firstLine="2048"/>
      <w:jc w:val="both"/>
      <w:widowControl w:val="off"/>
    </w:pPr>
    <w:rPr>
      <w:rFonts w:ascii="Calibri" w:hAnsi="Calibri"/>
      <w:lang w:val="en-US" w:eastAsia="zh-CN" w:bidi="ar-SA"/>
    </w:rPr>
  </w:style>
  <w:style w:type="paragraph" w:styleId="1063">
    <w:name w:val="标题 21"/>
    <w:basedOn w:val="940"/>
    <w:next w:val="940"/>
    <w:link w:val="940"/>
    <w:qFormat/>
    <w:pPr>
      <w:jc w:val="center"/>
      <w:spacing w:before="260" w:after="260" w:line="416" w:lineRule="auto"/>
    </w:pPr>
    <w:rPr>
      <w:rFonts w:ascii="Arial" w:hAnsi="Arial" w:eastAsia="幼圆" w:cs="Arial"/>
      <w:b/>
      <w:bCs/>
      <w:sz w:val="44"/>
      <w:szCs w:val="44"/>
    </w:rPr>
  </w:style>
  <w:style w:type="paragraph" w:styleId="1064">
    <w:name w:val="ListBullet21"/>
    <w:basedOn w:val="940"/>
    <w:next w:val="1064"/>
    <w:link w:val="940"/>
    <w:qFormat/>
    <w:pPr>
      <w:numPr>
        <w:ilvl w:val="0"/>
        <w:numId w:val="4"/>
      </w:numPr>
      <w:tabs>
        <w:tab w:val="left" w:pos="780" w:leader="none"/>
      </w:tabs>
    </w:pPr>
  </w:style>
  <w:style w:type="paragraph" w:styleId="1065">
    <w:name w:val="正文空2格  1."/>
    <w:basedOn w:val="940"/>
    <w:next w:val="1065"/>
    <w:link w:val="940"/>
    <w:qFormat/>
    <w:pPr>
      <w:ind w:firstLine="480"/>
      <w:spacing w:line="360" w:lineRule="auto"/>
    </w:pPr>
    <w:rPr>
      <w:rFonts w:ascii="宋体" w:eastAsia="仿宋" w:cs="宋体"/>
      <w:sz w:val="28"/>
      <w:szCs w:val="20"/>
    </w:rPr>
  </w:style>
  <w:style w:type="character" w:styleId="1066" w:default="1">
    <w:name w:val="Default Paragraph Font"/>
    <w:uiPriority w:val="1"/>
    <w:semiHidden/>
    <w:unhideWhenUsed/>
  </w:style>
  <w:style w:type="numbering" w:styleId="1067" w:default="1">
    <w:name w:val="No List"/>
    <w:uiPriority w:val="99"/>
    <w:semiHidden/>
    <w:unhideWhenUsed/>
  </w:style>
  <w:style w:type="table" w:styleId="10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刘洋</cp:lastModifiedBy>
  <cp:revision>6</cp:revision>
  <dcterms:created xsi:type="dcterms:W3CDTF">2026-02-24T09:24:00Z</dcterms:created>
  <dcterms:modified xsi:type="dcterms:W3CDTF">2026-04-13T02:22:19Z</dcterms:modified>
</cp:coreProperties>
</file>