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5C54CA">
      <w:pPr>
        <w:widowControl/>
        <w:wordWrap w:val="0"/>
        <w:spacing w:line="520" w:lineRule="atLeast"/>
        <w:ind w:firstLine="560"/>
        <w:jc w:val="right"/>
        <w:rPr>
          <w:rFonts w:ascii="Microsoft New Tai Lue" w:hAnsi="Microsoft New Tai Lue" w:cs="Microsoft New Tai Lue"/>
          <w:color w:val="auto"/>
          <w:kern w:val="0"/>
          <w:szCs w:val="21"/>
          <w:highlight w:val="none"/>
        </w:rPr>
      </w:pPr>
      <w:r>
        <w:rPr>
          <w:rFonts w:hint="eastAsia" w:ascii="Microsoft New Tai Lue" w:hAnsi="Microsoft New Tai Lue" w:cs="Microsoft New Tai Lue"/>
          <w:color w:val="auto"/>
          <w:kern w:val="0"/>
          <w:szCs w:val="21"/>
          <w:highlight w:val="none"/>
        </w:rPr>
        <w:t xml:space="preserve"> </w:t>
      </w:r>
    </w:p>
    <w:p w14:paraId="662DC1B7">
      <w:pPr>
        <w:widowControl/>
        <w:spacing w:line="520" w:lineRule="atLeast"/>
        <w:ind w:firstLine="560"/>
        <w:jc w:val="left"/>
        <w:rPr>
          <w:rFonts w:ascii="Microsoft New Tai Lue" w:hAnsi="Microsoft New Tai Lue" w:cs="Microsoft New Tai Lue"/>
          <w:color w:val="auto"/>
          <w:kern w:val="0"/>
          <w:szCs w:val="21"/>
          <w:highlight w:val="none"/>
        </w:rPr>
      </w:pPr>
    </w:p>
    <w:p w14:paraId="046D7EE6">
      <w:pPr>
        <w:widowControl/>
        <w:spacing w:line="520" w:lineRule="atLeast"/>
        <w:ind w:firstLine="560"/>
        <w:jc w:val="left"/>
        <w:rPr>
          <w:rFonts w:ascii="Microsoft New Tai Lue" w:hAnsi="Microsoft New Tai Lue" w:cs="Microsoft New Tai Lue"/>
          <w:color w:val="auto"/>
          <w:kern w:val="0"/>
          <w:szCs w:val="21"/>
          <w:highlight w:val="none"/>
        </w:rPr>
      </w:pPr>
    </w:p>
    <w:p w14:paraId="66099B0D">
      <w:pPr>
        <w:tabs>
          <w:tab w:val="center" w:pos="4422"/>
        </w:tabs>
        <w:spacing w:before="100" w:after="100" w:line="360" w:lineRule="auto"/>
        <w:jc w:val="center"/>
        <w:rPr>
          <w:rFonts w:hint="eastAsia"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2026年省级食品安全抽检技术服务</w:t>
      </w:r>
    </w:p>
    <w:p w14:paraId="4B714A05">
      <w:pPr>
        <w:tabs>
          <w:tab w:val="center" w:pos="4422"/>
        </w:tabs>
        <w:spacing w:before="100" w:after="100"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（第一批）</w:t>
      </w:r>
    </w:p>
    <w:p w14:paraId="543186E5">
      <w:pPr>
        <w:pStyle w:val="18"/>
        <w:jc w:val="center"/>
        <w:rPr>
          <w:rFonts w:ascii="Microsoft New Tai Lue" w:hAnsi="Microsoft New Tai Lue" w:cs="Microsoft New Tai Lue"/>
          <w:b/>
          <w:color w:val="auto"/>
          <w:sz w:val="84"/>
          <w:szCs w:val="84"/>
          <w:highlight w:val="none"/>
        </w:rPr>
      </w:pPr>
    </w:p>
    <w:p w14:paraId="0B10DA4F">
      <w:pPr>
        <w:pStyle w:val="18"/>
        <w:rPr>
          <w:rFonts w:ascii="Microsoft New Tai Lue" w:hAnsi="Microsoft New Tai Lue" w:cs="Microsoft New Tai Lue"/>
          <w:b/>
          <w:color w:val="auto"/>
          <w:sz w:val="84"/>
          <w:szCs w:val="84"/>
          <w:highlight w:val="none"/>
        </w:rPr>
      </w:pPr>
    </w:p>
    <w:p w14:paraId="2093B762">
      <w:pPr>
        <w:pStyle w:val="18"/>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招 标 文 件</w:t>
      </w:r>
    </w:p>
    <w:p w14:paraId="5DEEE44B">
      <w:pPr>
        <w:spacing w:line="440" w:lineRule="exact"/>
        <w:jc w:val="center"/>
        <w:rPr>
          <w:rFonts w:ascii="Microsoft New Tai Lue" w:hAnsi="Microsoft New Tai Lue" w:cs="Microsoft New Tai Lue"/>
          <w:b/>
          <w:color w:val="auto"/>
          <w:sz w:val="96"/>
          <w:highlight w:val="none"/>
        </w:rPr>
      </w:pPr>
    </w:p>
    <w:p w14:paraId="68A55E44">
      <w:pPr>
        <w:spacing w:line="360" w:lineRule="auto"/>
        <w:ind w:right="640"/>
        <w:jc w:val="center"/>
        <w:rPr>
          <w:rFonts w:hint="eastAsia" w:ascii="Microsoft New Tai Lue" w:hAnsi="Microsoft New Tai Lue"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项目编号：</w:t>
      </w:r>
      <w:r>
        <w:rPr>
          <w:rFonts w:hint="eastAsia" w:ascii="Microsoft New Tai Lue" w:hAnsi="Microsoft New Tai Lue" w:cs="Microsoft New Tai Lue"/>
          <w:b/>
          <w:color w:val="auto"/>
          <w:sz w:val="44"/>
          <w:szCs w:val="44"/>
          <w:highlight w:val="none"/>
          <w:lang w:eastAsia="zh-CN"/>
        </w:rPr>
        <w:t>JSTCC26022101726</w:t>
      </w:r>
    </w:p>
    <w:p w14:paraId="30B90C34">
      <w:pPr>
        <w:spacing w:line="360" w:lineRule="auto"/>
        <w:ind w:right="640"/>
        <w:jc w:val="center"/>
        <w:rPr>
          <w:rFonts w:hint="eastAsia" w:ascii="Microsoft New Tai Lue" w:hAnsi="Microsoft New Tai Lue" w:eastAsia="宋体" w:cs="Microsoft New Tai Lue"/>
          <w:b/>
          <w:color w:val="auto"/>
          <w:sz w:val="44"/>
          <w:szCs w:val="44"/>
          <w:highlight w:val="none"/>
          <w:lang w:eastAsia="zh-CN"/>
        </w:rPr>
      </w:pPr>
      <w:r>
        <w:rPr>
          <w:rFonts w:hint="eastAsia" w:ascii="Microsoft New Tai Lue" w:hAnsi="Microsoft New Tai Lue" w:cs="Microsoft New Tai Lue"/>
          <w:b/>
          <w:color w:val="auto"/>
          <w:sz w:val="44"/>
          <w:szCs w:val="44"/>
          <w:highlight w:val="none"/>
          <w:lang w:eastAsia="zh-CN"/>
        </w:rPr>
        <w:t>（JSZC-320000-JITC-G2026-0071）</w:t>
      </w:r>
    </w:p>
    <w:p w14:paraId="46160380">
      <w:pPr>
        <w:spacing w:line="360" w:lineRule="auto"/>
        <w:ind w:right="640"/>
        <w:rPr>
          <w:rFonts w:ascii="Microsoft New Tai Lue" w:hAnsi="Microsoft New Tai Lue" w:cs="Microsoft New Tai Lue"/>
          <w:color w:val="auto"/>
          <w:sz w:val="32"/>
          <w:highlight w:val="none"/>
        </w:rPr>
      </w:pPr>
    </w:p>
    <w:p w14:paraId="559132D2">
      <w:pPr>
        <w:spacing w:line="360" w:lineRule="auto"/>
        <w:ind w:right="640"/>
        <w:rPr>
          <w:rFonts w:ascii="Microsoft New Tai Lue" w:hAnsi="Microsoft New Tai Lue" w:cs="Microsoft New Tai Lue"/>
          <w:color w:val="auto"/>
          <w:sz w:val="32"/>
          <w:highlight w:val="none"/>
        </w:rPr>
      </w:pPr>
    </w:p>
    <w:p w14:paraId="3E577CA7">
      <w:pPr>
        <w:spacing w:line="360" w:lineRule="auto"/>
        <w:ind w:right="640"/>
        <w:rPr>
          <w:rFonts w:ascii="Microsoft New Tai Lue" w:hAnsi="Microsoft New Tai Lue" w:cs="Microsoft New Tai Lue"/>
          <w:color w:val="auto"/>
          <w:sz w:val="32"/>
          <w:highlight w:val="none"/>
        </w:rPr>
      </w:pPr>
    </w:p>
    <w:p w14:paraId="3D55EEC1">
      <w:pPr>
        <w:spacing w:line="360" w:lineRule="auto"/>
        <w:ind w:right="640"/>
        <w:rPr>
          <w:rFonts w:ascii="Microsoft New Tai Lue" w:hAnsi="Microsoft New Tai Lue" w:cs="Microsoft New Tai Lue"/>
          <w:color w:val="auto"/>
          <w:sz w:val="32"/>
          <w:highlight w:val="none"/>
        </w:rPr>
      </w:pPr>
    </w:p>
    <w:p w14:paraId="24B54505">
      <w:pPr>
        <w:tabs>
          <w:tab w:val="left" w:pos="360"/>
        </w:tabs>
        <w:spacing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采购人：</w:t>
      </w:r>
      <w:r>
        <w:rPr>
          <w:rFonts w:hint="eastAsia" w:ascii="Microsoft New Tai Lue" w:hAnsi="Microsoft New Tai Lue" w:cs="Microsoft New Tai Lue"/>
          <w:b/>
          <w:color w:val="auto"/>
          <w:sz w:val="32"/>
          <w:highlight w:val="none"/>
        </w:rPr>
        <w:t>江苏省市场监督管理局</w:t>
      </w:r>
    </w:p>
    <w:p w14:paraId="5925A1AA">
      <w:pPr>
        <w:tabs>
          <w:tab w:val="left" w:pos="360"/>
        </w:tabs>
        <w:spacing w:line="360" w:lineRule="auto"/>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采购代理机构：江苏省招标中心有限公司</w:t>
      </w:r>
    </w:p>
    <w:p w14:paraId="13B7D03A">
      <w:pPr>
        <w:jc w:val="center"/>
        <w:rPr>
          <w:rFonts w:ascii="Microsoft New Tai Lue" w:hAnsi="Microsoft New Tai Lue" w:cs="Microsoft New Tai Lue"/>
          <w:b/>
          <w:color w:val="auto"/>
          <w:sz w:val="32"/>
          <w:highlight w:val="none"/>
        </w:rPr>
      </w:pPr>
      <w:r>
        <w:rPr>
          <w:rFonts w:hint="eastAsia" w:ascii="Microsoft New Tai Lue" w:hAnsi="Microsoft New Tai Lue" w:cs="Microsoft New Tai Lue"/>
          <w:b/>
          <w:color w:val="auto"/>
          <w:sz w:val="32"/>
          <w:highlight w:val="none"/>
        </w:rPr>
        <w:t>二〇二</w:t>
      </w:r>
      <w:r>
        <w:rPr>
          <w:rFonts w:hint="eastAsia" w:ascii="Microsoft New Tai Lue" w:hAnsi="Microsoft New Tai Lue" w:cs="Microsoft New Tai Lue"/>
          <w:b/>
          <w:color w:val="auto"/>
          <w:sz w:val="32"/>
          <w:highlight w:val="none"/>
          <w:lang w:val="en-US" w:eastAsia="zh-CN"/>
        </w:rPr>
        <w:t>六</w:t>
      </w:r>
      <w:r>
        <w:rPr>
          <w:rFonts w:ascii="Microsoft New Tai Lue" w:hAnsi="Microsoft New Tai Lue" w:cs="Microsoft New Tai Lue"/>
          <w:b/>
          <w:color w:val="auto"/>
          <w:sz w:val="32"/>
          <w:highlight w:val="none"/>
        </w:rPr>
        <w:t>年</w:t>
      </w:r>
      <w:r>
        <w:rPr>
          <w:rFonts w:hint="eastAsia" w:ascii="Microsoft New Tai Lue" w:hAnsi="Microsoft New Tai Lue" w:cs="Microsoft New Tai Lue"/>
          <w:b/>
          <w:color w:val="auto"/>
          <w:sz w:val="32"/>
          <w:highlight w:val="none"/>
          <w:lang w:val="en-US" w:eastAsia="zh-CN"/>
        </w:rPr>
        <w:t>四</w:t>
      </w:r>
      <w:r>
        <w:rPr>
          <w:rFonts w:ascii="Microsoft New Tai Lue" w:hAnsi="Microsoft New Tai Lue" w:cs="Microsoft New Tai Lue"/>
          <w:b/>
          <w:color w:val="auto"/>
          <w:sz w:val="32"/>
          <w:highlight w:val="none"/>
        </w:rPr>
        <w:t>月</w:t>
      </w:r>
      <w:r>
        <w:rPr>
          <w:rFonts w:hint="eastAsia" w:ascii="Microsoft New Tai Lue" w:hAnsi="Microsoft New Tai Lue" w:cs="Microsoft New Tai Lue"/>
          <w:b/>
          <w:color w:val="auto"/>
          <w:sz w:val="32"/>
          <w:highlight w:val="none"/>
          <w:lang w:val="en-US" w:eastAsia="zh-CN"/>
        </w:rPr>
        <w:t>三</w:t>
      </w:r>
      <w:r>
        <w:rPr>
          <w:rFonts w:ascii="Microsoft New Tai Lue" w:hAnsi="Microsoft New Tai Lue" w:cs="Microsoft New Tai Lue"/>
          <w:b/>
          <w:color w:val="auto"/>
          <w:sz w:val="32"/>
          <w:highlight w:val="none"/>
        </w:rPr>
        <w:t>日</w:t>
      </w:r>
    </w:p>
    <w:p w14:paraId="12781D6E">
      <w:pPr>
        <w:pStyle w:val="31"/>
        <w:rPr>
          <w:rFonts w:ascii="Microsoft New Tai Lue" w:hAnsi="Microsoft New Tai Lue" w:cs="Microsoft New Tai Lue"/>
          <w:color w:val="auto"/>
          <w:highlight w:val="none"/>
        </w:rPr>
        <w:sectPr>
          <w:footerReference r:id="rId3" w:type="default"/>
          <w:pgSz w:w="11911" w:h="16838"/>
          <w:pgMar w:top="1440" w:right="1803" w:bottom="1440" w:left="1803" w:header="720" w:footer="720" w:gutter="0"/>
          <w:pgNumType w:start="1"/>
          <w:cols w:space="0" w:num="1"/>
          <w:rtlGutter w:val="0"/>
          <w:docGrid w:linePitch="317" w:charSpace="0"/>
        </w:sectPr>
      </w:pPr>
    </w:p>
    <w:p w14:paraId="250DB897">
      <w:pPr>
        <w:spacing w:line="500" w:lineRule="exact"/>
        <w:jc w:val="center"/>
        <w:rPr>
          <w:rFonts w:ascii="Microsoft New Tai Lue" w:hAnsi="Microsoft New Tai Lue" w:cs="Microsoft New Tai Lue"/>
          <w:b/>
          <w:color w:val="auto"/>
          <w:sz w:val="32"/>
          <w:szCs w:val="32"/>
          <w:highlight w:val="none"/>
        </w:rPr>
      </w:pPr>
      <w:bookmarkStart w:id="0" w:name="_Toc80264696"/>
      <w:bookmarkStart w:id="1" w:name="_Toc531620161"/>
      <w:r>
        <w:rPr>
          <w:rFonts w:ascii="Microsoft New Tai Lue" w:hAnsi="Microsoft New Tai Lue" w:cs="Microsoft New Tai Lue"/>
          <w:b/>
          <w:color w:val="auto"/>
          <w:sz w:val="32"/>
          <w:szCs w:val="32"/>
          <w:highlight w:val="none"/>
        </w:rPr>
        <w:t>目   录</w:t>
      </w:r>
    </w:p>
    <w:p w14:paraId="1A6F321A">
      <w:pPr>
        <w:pStyle w:val="24"/>
        <w:tabs>
          <w:tab w:val="right" w:leader="dot" w:pos="8834"/>
        </w:tabs>
        <w:spacing w:line="360" w:lineRule="auto"/>
        <w:rPr>
          <w:rFonts w:hint="eastAsia" w:ascii="等线" w:hAnsi="等线" w:eastAsia="等线"/>
          <w:b/>
          <w:color w:val="auto"/>
          <w:sz w:val="21"/>
          <w:szCs w:val="22"/>
          <w:highlight w:val="none"/>
        </w:rPr>
      </w:pPr>
      <w:r>
        <w:rPr>
          <w:rFonts w:ascii="宋体" w:hAnsi="宋体" w:eastAsia="宋体"/>
          <w:b/>
          <w:color w:val="auto"/>
          <w:highlight w:val="none"/>
        </w:rPr>
        <w:fldChar w:fldCharType="begin"/>
      </w:r>
      <w:r>
        <w:rPr>
          <w:rFonts w:ascii="宋体" w:hAnsi="宋体" w:eastAsia="宋体"/>
          <w:b/>
          <w:color w:val="auto"/>
          <w:highlight w:val="none"/>
        </w:rPr>
        <w:instrText xml:space="preserve"> TOC \o "1-3" \h \z \u </w:instrText>
      </w:r>
      <w:r>
        <w:rPr>
          <w:rFonts w:ascii="宋体" w:hAnsi="宋体" w:eastAsia="宋体"/>
          <w:b/>
          <w:color w:val="auto"/>
          <w:highlight w:val="none"/>
        </w:rPr>
        <w:fldChar w:fldCharType="separate"/>
      </w:r>
    </w:p>
    <w:p w14:paraId="36E1E098">
      <w:pPr>
        <w:pStyle w:val="24"/>
        <w:tabs>
          <w:tab w:val="left" w:pos="780"/>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40"/>
          <w:rFonts w:ascii="宋体" w:hAnsi="宋体" w:eastAsia="宋体" w:cs="Microsoft New Tai Lue"/>
          <w:b/>
          <w:color w:val="auto"/>
          <w:highlight w:val="none"/>
        </w:rPr>
        <w:t>第一章</w:t>
      </w:r>
      <w:r>
        <w:rPr>
          <w:rFonts w:ascii="宋体" w:hAnsi="宋体" w:eastAsia="宋体"/>
          <w:b/>
          <w:color w:val="auto"/>
          <w:highlight w:val="none"/>
        </w:rPr>
        <w:tab/>
      </w:r>
      <w:r>
        <w:rPr>
          <w:rStyle w:val="40"/>
          <w:rFonts w:ascii="宋体" w:hAnsi="宋体" w:eastAsia="宋体" w:cs="Microsoft New Tai Lue"/>
          <w:b/>
          <w:color w:val="auto"/>
          <w:highlight w:val="none"/>
        </w:rPr>
        <w:t>招标公告</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_Toc107246211 \h </w:instrText>
      </w:r>
      <w:r>
        <w:rPr>
          <w:rFonts w:ascii="宋体" w:hAnsi="宋体" w:eastAsia="宋体"/>
          <w:b/>
          <w:color w:val="auto"/>
          <w:highlight w:val="none"/>
        </w:rPr>
        <w:fldChar w:fldCharType="separate"/>
      </w:r>
      <w:r>
        <w:rPr>
          <w:rFonts w:ascii="宋体" w:hAnsi="宋体" w:eastAsia="宋体"/>
          <w:b/>
          <w:color w:val="auto"/>
          <w:highlight w:val="none"/>
        </w:rPr>
        <w:t>2</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271F632">
      <w:pPr>
        <w:pStyle w:val="24"/>
        <w:tabs>
          <w:tab w:val="left" w:pos="780"/>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40"/>
          <w:rFonts w:ascii="宋体" w:hAnsi="宋体" w:eastAsia="宋体" w:cs="Microsoft New Tai Lue"/>
          <w:b/>
          <w:color w:val="auto"/>
          <w:highlight w:val="none"/>
        </w:rPr>
        <w:t>第二章</w:t>
      </w:r>
      <w:r>
        <w:rPr>
          <w:rFonts w:ascii="宋体" w:hAnsi="宋体" w:eastAsia="宋体"/>
          <w:b/>
          <w:color w:val="auto"/>
          <w:highlight w:val="none"/>
        </w:rPr>
        <w:tab/>
      </w:r>
      <w:r>
        <w:rPr>
          <w:rStyle w:val="40"/>
          <w:rFonts w:ascii="宋体" w:hAnsi="宋体" w:eastAsia="宋体" w:cs="Microsoft New Tai Lue"/>
          <w:b/>
          <w:color w:val="auto"/>
          <w:highlight w:val="none"/>
        </w:rPr>
        <w:t>投标人须知</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_Toc107246212 \h </w:instrText>
      </w:r>
      <w:r>
        <w:rPr>
          <w:rFonts w:ascii="宋体" w:hAnsi="宋体" w:eastAsia="宋体"/>
          <w:b/>
          <w:color w:val="auto"/>
          <w:highlight w:val="none"/>
        </w:rPr>
        <w:fldChar w:fldCharType="separate"/>
      </w:r>
      <w:r>
        <w:rPr>
          <w:rFonts w:ascii="宋体" w:hAnsi="宋体" w:eastAsia="宋体"/>
          <w:b/>
          <w:color w:val="auto"/>
          <w:highlight w:val="none"/>
        </w:rPr>
        <w:t>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38FEA0E0">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"_Toc107246214" </w:instrText>
      </w:r>
      <w:r>
        <w:rPr>
          <w:color w:val="auto"/>
          <w:highlight w:val="none"/>
        </w:rPr>
        <w:fldChar w:fldCharType="separate"/>
      </w:r>
      <w:r>
        <w:rPr>
          <w:rStyle w:val="40"/>
          <w:rFonts w:ascii="宋体" w:hAnsi="宋体" w:eastAsia="宋体" w:cs="Microsoft New Tai Lue"/>
          <w:b/>
          <w:color w:val="auto"/>
          <w:highlight w:val="none"/>
        </w:rPr>
        <w:t>一．总则</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_Toc107246214 \h </w:instrText>
      </w:r>
      <w:r>
        <w:rPr>
          <w:rFonts w:ascii="宋体" w:hAnsi="宋体" w:eastAsia="宋体"/>
          <w:b/>
          <w:color w:val="auto"/>
          <w:highlight w:val="none"/>
        </w:rPr>
        <w:fldChar w:fldCharType="separate"/>
      </w:r>
      <w:r>
        <w:rPr>
          <w:rFonts w:ascii="宋体" w:hAnsi="宋体" w:eastAsia="宋体"/>
          <w:b/>
          <w:color w:val="auto"/>
          <w:highlight w:val="none"/>
        </w:rPr>
        <w:t>13</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B6E7A82">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"_Toc107246230" </w:instrText>
      </w:r>
      <w:r>
        <w:rPr>
          <w:color w:val="auto"/>
          <w:highlight w:val="none"/>
        </w:rPr>
        <w:fldChar w:fldCharType="separate"/>
      </w:r>
      <w:r>
        <w:rPr>
          <w:rStyle w:val="40"/>
          <w:rFonts w:ascii="宋体" w:hAnsi="宋体" w:eastAsia="宋体" w:cs="Microsoft New Tai Lue"/>
          <w:b/>
          <w:color w:val="auto"/>
          <w:highlight w:val="none"/>
        </w:rPr>
        <w:t>二．招标文件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_Toc107246230 \h </w:instrText>
      </w:r>
      <w:r>
        <w:rPr>
          <w:rFonts w:ascii="宋体" w:hAnsi="宋体" w:eastAsia="宋体"/>
          <w:b/>
          <w:color w:val="auto"/>
          <w:highlight w:val="none"/>
        </w:rPr>
        <w:fldChar w:fldCharType="separate"/>
      </w:r>
      <w:r>
        <w:rPr>
          <w:rFonts w:ascii="宋体" w:hAnsi="宋体" w:eastAsia="宋体"/>
          <w:b/>
          <w:color w:val="auto"/>
          <w:highlight w:val="none"/>
        </w:rPr>
        <w:t>17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785E8B7D">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"_Toc107246233" </w:instrText>
      </w:r>
      <w:r>
        <w:rPr>
          <w:color w:val="auto"/>
          <w:highlight w:val="none"/>
        </w:rPr>
        <w:fldChar w:fldCharType="separate"/>
      </w:r>
      <w:r>
        <w:rPr>
          <w:rStyle w:val="40"/>
          <w:rFonts w:ascii="宋体" w:hAnsi="宋体" w:eastAsia="宋体" w:cs="Microsoft New Tai Lue"/>
          <w:b/>
          <w:color w:val="auto"/>
          <w:highlight w:val="none"/>
        </w:rPr>
        <w:t>三．投标文件</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_Toc107246233 \h </w:instrText>
      </w:r>
      <w:r>
        <w:rPr>
          <w:rFonts w:ascii="宋体" w:hAnsi="宋体" w:eastAsia="宋体"/>
          <w:b/>
          <w:color w:val="auto"/>
          <w:highlight w:val="none"/>
        </w:rPr>
        <w:fldChar w:fldCharType="separate"/>
      </w:r>
      <w:r>
        <w:rPr>
          <w:rFonts w:ascii="宋体" w:hAnsi="宋体" w:eastAsia="宋体"/>
          <w:b/>
          <w:color w:val="auto"/>
          <w:highlight w:val="none"/>
        </w:rPr>
        <w:t>18</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5E1A3870">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"_Toc107246240" </w:instrText>
      </w:r>
      <w:r>
        <w:rPr>
          <w:color w:val="auto"/>
          <w:highlight w:val="none"/>
        </w:rPr>
        <w:fldChar w:fldCharType="separate"/>
      </w:r>
      <w:r>
        <w:rPr>
          <w:rStyle w:val="40"/>
          <w:rFonts w:ascii="宋体" w:hAnsi="宋体" w:eastAsia="宋体" w:cs="Microsoft New Tai Lue"/>
          <w:b/>
          <w:color w:val="auto"/>
          <w:highlight w:val="none"/>
        </w:rPr>
        <w:t>四．投标文件的递交</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_Toc107246240 \h </w:instrText>
      </w:r>
      <w:r>
        <w:rPr>
          <w:rFonts w:ascii="宋体" w:hAnsi="宋体" w:eastAsia="宋体"/>
          <w:b/>
          <w:color w:val="auto"/>
          <w:highlight w:val="none"/>
        </w:rPr>
        <w:fldChar w:fldCharType="separate"/>
      </w:r>
      <w:r>
        <w:rPr>
          <w:rFonts w:ascii="宋体" w:hAnsi="宋体" w:eastAsia="宋体"/>
          <w:b/>
          <w:color w:val="auto"/>
          <w:highlight w:val="none"/>
        </w:rPr>
        <w:t>22</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2EF40E9C">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"_Toc107246245" </w:instrText>
      </w:r>
      <w:r>
        <w:rPr>
          <w:color w:val="auto"/>
          <w:highlight w:val="none"/>
        </w:rPr>
        <w:fldChar w:fldCharType="separate"/>
      </w:r>
      <w:r>
        <w:rPr>
          <w:rStyle w:val="40"/>
          <w:rFonts w:ascii="宋体" w:hAnsi="宋体" w:eastAsia="宋体" w:cs="Microsoft New Tai Lue"/>
          <w:b/>
          <w:color w:val="auto"/>
          <w:highlight w:val="none"/>
        </w:rPr>
        <w:t>五．开标和评标</w:t>
      </w:r>
      <w:bookmarkStart w:id="382" w:name="_GoBack"/>
      <w:bookmarkEnd w:id="382"/>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_Toc107246245 \h </w:instrText>
      </w:r>
      <w:r>
        <w:rPr>
          <w:rFonts w:ascii="宋体" w:hAnsi="宋体" w:eastAsia="宋体"/>
          <w:b/>
          <w:color w:val="auto"/>
          <w:highlight w:val="none"/>
        </w:rPr>
        <w:fldChar w:fldCharType="separate"/>
      </w:r>
      <w:r>
        <w:rPr>
          <w:rFonts w:ascii="宋体" w:hAnsi="宋体" w:eastAsia="宋体"/>
          <w:b/>
          <w:color w:val="auto"/>
          <w:highlight w:val="none"/>
        </w:rPr>
        <w:t>23</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63E13C0E">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"_Toc107246257" </w:instrText>
      </w:r>
      <w:r>
        <w:rPr>
          <w:color w:val="auto"/>
          <w:highlight w:val="none"/>
        </w:rPr>
        <w:fldChar w:fldCharType="separate"/>
      </w:r>
      <w:r>
        <w:rPr>
          <w:rStyle w:val="40"/>
          <w:rFonts w:ascii="宋体" w:hAnsi="宋体" w:eastAsia="宋体" w:cs="Microsoft New Tai Lue"/>
          <w:b/>
          <w:color w:val="auto"/>
          <w:highlight w:val="none"/>
        </w:rPr>
        <w:t>六．确定中标</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_Toc107246257 \h </w:instrText>
      </w:r>
      <w:r>
        <w:rPr>
          <w:rFonts w:ascii="宋体" w:hAnsi="宋体" w:eastAsia="宋体"/>
          <w:b/>
          <w:color w:val="auto"/>
          <w:highlight w:val="none"/>
        </w:rPr>
        <w:fldChar w:fldCharType="separate"/>
      </w:r>
      <w:r>
        <w:rPr>
          <w:rFonts w:ascii="宋体" w:hAnsi="宋体" w:eastAsia="宋体"/>
          <w:b/>
          <w:color w:val="auto"/>
          <w:highlight w:val="none"/>
        </w:rPr>
        <w:t>26</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52C9C691">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"_Toc107246263" </w:instrText>
      </w:r>
      <w:r>
        <w:rPr>
          <w:color w:val="auto"/>
          <w:highlight w:val="none"/>
        </w:rPr>
        <w:fldChar w:fldCharType="separate"/>
      </w:r>
      <w:r>
        <w:rPr>
          <w:rStyle w:val="40"/>
          <w:rFonts w:ascii="宋体" w:hAnsi="宋体" w:eastAsia="宋体" w:cs="Microsoft New Tai Lue"/>
          <w:b/>
          <w:color w:val="auto"/>
          <w:highlight w:val="none"/>
        </w:rPr>
        <w:t>七．询问与质疑</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_Toc107246263 \h </w:instrText>
      </w:r>
      <w:r>
        <w:rPr>
          <w:rFonts w:ascii="宋体" w:hAnsi="宋体" w:eastAsia="宋体"/>
          <w:b/>
          <w:color w:val="auto"/>
          <w:highlight w:val="none"/>
        </w:rPr>
        <w:fldChar w:fldCharType="separate"/>
      </w:r>
      <w:r>
        <w:rPr>
          <w:rFonts w:ascii="宋体" w:hAnsi="宋体" w:eastAsia="宋体"/>
          <w:b/>
          <w:color w:val="auto"/>
          <w:highlight w:val="none"/>
        </w:rPr>
        <w:t>27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21D38E95">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"_Toc107246266" </w:instrText>
      </w:r>
      <w:r>
        <w:rPr>
          <w:color w:val="auto"/>
          <w:highlight w:val="none"/>
        </w:rPr>
        <w:fldChar w:fldCharType="separate"/>
      </w:r>
      <w:r>
        <w:rPr>
          <w:rStyle w:val="40"/>
          <w:rFonts w:ascii="宋体" w:hAnsi="宋体" w:eastAsia="宋体" w:cs="Microsoft New Tai Lue"/>
          <w:b/>
          <w:color w:val="auto"/>
          <w:highlight w:val="none"/>
        </w:rPr>
        <w:t>八．其他</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_Toc107246266 \h </w:instrText>
      </w:r>
      <w:r>
        <w:rPr>
          <w:rFonts w:ascii="宋体" w:hAnsi="宋体" w:eastAsia="宋体"/>
          <w:b/>
          <w:color w:val="auto"/>
          <w:highlight w:val="none"/>
        </w:rPr>
        <w:fldChar w:fldCharType="separate"/>
      </w:r>
      <w:r>
        <w:rPr>
          <w:rFonts w:ascii="宋体" w:hAnsi="宋体" w:eastAsia="宋体"/>
          <w:b/>
          <w:color w:val="auto"/>
          <w:highlight w:val="none"/>
        </w:rPr>
        <w:t>27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4C119ECE">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40"/>
          <w:rFonts w:ascii="宋体" w:hAnsi="宋体" w:eastAsia="宋体" w:cs="Microsoft New Tai Lue"/>
          <w:b/>
          <w:color w:val="auto"/>
          <w:highlight w:val="none"/>
        </w:rPr>
        <w:t>第三章 政府采购合同条款及格式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_Toc107246270 \h </w:instrText>
      </w:r>
      <w:r>
        <w:rPr>
          <w:rFonts w:ascii="宋体" w:hAnsi="宋体" w:eastAsia="宋体"/>
          <w:b/>
          <w:color w:val="auto"/>
          <w:highlight w:val="none"/>
        </w:rPr>
        <w:fldChar w:fldCharType="separate"/>
      </w:r>
      <w:r>
        <w:rPr>
          <w:rFonts w:ascii="宋体" w:hAnsi="宋体" w:eastAsia="宋体"/>
          <w:b/>
          <w:color w:val="auto"/>
          <w:highlight w:val="none"/>
        </w:rPr>
        <w:t>29</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5B0612E9">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40"/>
          <w:rFonts w:ascii="宋体" w:hAnsi="宋体" w:eastAsia="宋体" w:cs="Microsoft New Tai Lue"/>
          <w:b/>
          <w:color w:val="auto"/>
          <w:highlight w:val="none"/>
        </w:rPr>
        <w:t>第四章 采购需求</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_Toc107246271 \h </w:instrText>
      </w:r>
      <w:r>
        <w:rPr>
          <w:rFonts w:ascii="宋体" w:hAnsi="宋体" w:eastAsia="宋体"/>
          <w:b/>
          <w:color w:val="auto"/>
          <w:highlight w:val="none"/>
        </w:rPr>
        <w:fldChar w:fldCharType="separate"/>
      </w:r>
      <w:r>
        <w:rPr>
          <w:rFonts w:ascii="宋体" w:hAnsi="宋体" w:eastAsia="宋体"/>
          <w:b/>
          <w:color w:val="auto"/>
          <w:highlight w:val="none"/>
        </w:rPr>
        <w:t>38</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131058D4">
      <w:pPr>
        <w:pStyle w:val="24"/>
        <w:tabs>
          <w:tab w:val="right" w:leader="dot" w:pos="8834"/>
        </w:tabs>
        <w:spacing w:line="360" w:lineRule="auto"/>
        <w:rPr>
          <w:rFonts w:hint="eastAsia" w:ascii="宋体" w:hAnsi="宋体" w:eastAsia="宋体"/>
          <w:b/>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40"/>
          <w:rFonts w:ascii="宋体" w:hAnsi="宋体" w:eastAsia="宋体" w:cs="Microsoft New Tai Lue"/>
          <w:b/>
          <w:color w:val="auto"/>
          <w:highlight w:val="none"/>
        </w:rPr>
        <w:t>第五章 评标方法与评标标准</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_Toc107246272 \h </w:instrText>
      </w:r>
      <w:r>
        <w:rPr>
          <w:rFonts w:ascii="宋体" w:hAnsi="宋体" w:eastAsia="宋体"/>
          <w:b/>
          <w:color w:val="auto"/>
          <w:highlight w:val="none"/>
        </w:rPr>
        <w:fldChar w:fldCharType="separate"/>
      </w:r>
      <w:r>
        <w:rPr>
          <w:rFonts w:ascii="宋体" w:hAnsi="宋体" w:eastAsia="宋体"/>
          <w:b/>
          <w:color w:val="auto"/>
          <w:highlight w:val="none"/>
        </w:rPr>
        <w:t>97</w:t>
      </w:r>
      <w:r>
        <w:rPr>
          <w:rFonts w:ascii="宋体" w:hAnsi="宋体" w:eastAsia="宋体"/>
          <w:b/>
          <w:color w:val="auto"/>
          <w:highlight w:val="none"/>
        </w:rPr>
        <w:fldChar w:fldCharType="end"/>
      </w:r>
      <w:r>
        <w:rPr>
          <w:rFonts w:ascii="宋体" w:hAnsi="宋体" w:eastAsia="宋体"/>
          <w:b/>
          <w:color w:val="auto"/>
          <w:highlight w:val="none"/>
        </w:rPr>
        <w:fldChar w:fldCharType="end"/>
      </w:r>
    </w:p>
    <w:p w14:paraId="752C6ADE">
      <w:pPr>
        <w:pStyle w:val="24"/>
        <w:tabs>
          <w:tab w:val="right" w:leader="dot" w:pos="8834"/>
        </w:tabs>
        <w:spacing w:line="360" w:lineRule="auto"/>
        <w:rPr>
          <w:rFonts w:hint="eastAsia" w:ascii="等线" w:hAnsi="等线" w:eastAsia="等线"/>
          <w:b/>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40"/>
          <w:rFonts w:ascii="宋体" w:hAnsi="宋体" w:eastAsia="宋体" w:cs="Microsoft New Tai Lue"/>
          <w:b/>
          <w:color w:val="auto"/>
          <w:highlight w:val="none"/>
        </w:rPr>
        <w:t>第六章 投标文件格式</w:t>
      </w:r>
      <w:r>
        <w:rPr>
          <w:rFonts w:ascii="宋体" w:hAnsi="宋体" w:eastAsia="宋体"/>
          <w:b/>
          <w:color w:val="auto"/>
          <w:highlight w:val="none"/>
        </w:rPr>
        <w:tab/>
      </w:r>
      <w:r>
        <w:rPr>
          <w:rFonts w:ascii="宋体" w:hAnsi="宋体" w:eastAsia="宋体"/>
          <w:b/>
          <w:color w:val="auto"/>
          <w:highlight w:val="none"/>
        </w:rPr>
        <w:fldChar w:fldCharType="begin"/>
      </w:r>
      <w:r>
        <w:rPr>
          <w:rFonts w:ascii="宋体" w:hAnsi="宋体" w:eastAsia="宋体"/>
          <w:b/>
          <w:color w:val="auto"/>
          <w:highlight w:val="none"/>
        </w:rPr>
        <w:instrText xml:space="preserve"> PAGEREF _Toc107246273 \h </w:instrText>
      </w:r>
      <w:r>
        <w:rPr>
          <w:rFonts w:ascii="宋体" w:hAnsi="宋体" w:eastAsia="宋体"/>
          <w:b/>
          <w:color w:val="auto"/>
          <w:highlight w:val="none"/>
        </w:rPr>
        <w:fldChar w:fldCharType="separate"/>
      </w:r>
      <w:r>
        <w:rPr>
          <w:rFonts w:ascii="宋体" w:hAnsi="宋体" w:eastAsia="宋体"/>
          <w:b/>
          <w:color w:val="auto"/>
          <w:highlight w:val="none"/>
        </w:rPr>
        <w:t>103</w:t>
      </w:r>
      <w:r>
        <w:rPr>
          <w:rFonts w:ascii="宋体" w:hAnsi="宋体" w:eastAsia="宋体"/>
          <w:b/>
          <w:color w:val="auto"/>
          <w:highlight w:val="none"/>
        </w:rPr>
        <w:fldChar w:fldCharType="end"/>
      </w:r>
      <w:r>
        <w:rPr>
          <w:rFonts w:ascii="宋体" w:hAnsi="宋体" w:eastAsia="宋体"/>
          <w:b/>
          <w:color w:val="auto"/>
          <w:highlight w:val="none"/>
        </w:rPr>
        <w:fldChar w:fldCharType="end"/>
      </w:r>
      <w:r>
        <w:rPr>
          <w:rFonts w:ascii="宋体" w:hAnsi="宋体" w:eastAsia="宋体"/>
          <w:b/>
          <w:color w:val="auto"/>
          <w:highlight w:val="none"/>
        </w:rPr>
        <w:fldChar w:fldCharType="end"/>
      </w:r>
    </w:p>
    <w:p w14:paraId="440CCD25">
      <w:pPr>
        <w:pStyle w:val="31"/>
        <w:rPr>
          <w:rFonts w:ascii="Microsoft New Tai Lue" w:hAnsi="Microsoft New Tai Lue" w:cs="Microsoft New Tai Lue"/>
          <w:color w:val="auto"/>
          <w:highlight w:val="none"/>
        </w:rPr>
      </w:pPr>
      <w:r>
        <w:rPr>
          <w:rFonts w:ascii="Microsoft New Tai Lue" w:hAnsi="Microsoft New Tai Lue" w:cs="Microsoft New Tai Lue"/>
          <w:b w:val="0"/>
          <w:bCs w:val="0"/>
          <w:color w:val="auto"/>
          <w:highlight w:val="none"/>
          <w:lang w:val="zh-CN"/>
        </w:rPr>
        <w:br w:type="page"/>
      </w:r>
      <w:bookmarkEnd w:id="0"/>
      <w:bookmarkEnd w:id="1"/>
      <w:bookmarkStart w:id="2" w:name="_Toc107246211"/>
      <w:bookmarkStart w:id="3" w:name="_Toc80264697"/>
      <w:bookmarkStart w:id="4" w:name="_Toc80792688"/>
      <w:r>
        <w:rPr>
          <w:rFonts w:hint="eastAsia" w:ascii="Microsoft New Tai Lue" w:hAnsi="Microsoft New Tai Lue" w:cs="Microsoft New Tai Lue"/>
          <w:color w:val="auto"/>
          <w:highlight w:val="none"/>
          <w:lang w:val="en-US" w:eastAsia="zh-CN"/>
        </w:rPr>
        <w:t xml:space="preserve">第一章 </w:t>
      </w:r>
      <w:r>
        <w:rPr>
          <w:rFonts w:hint="eastAsia" w:ascii="Microsoft New Tai Lue" w:hAnsi="Microsoft New Tai Lue" w:cs="Microsoft New Tai Lue"/>
          <w:color w:val="auto"/>
          <w:highlight w:val="none"/>
        </w:rPr>
        <w:t>招标公告</w:t>
      </w:r>
      <w:bookmarkEnd w:id="2"/>
    </w:p>
    <w:bookmarkEnd w:id="3"/>
    <w:bookmarkEnd w:id="4"/>
    <w:p w14:paraId="3A26E014">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auto"/>
          <w:szCs w:val="21"/>
          <w:highlight w:val="none"/>
        </w:rPr>
      </w:pPr>
      <w:bookmarkStart w:id="5" w:name="_Toc28359085"/>
      <w:r>
        <w:rPr>
          <w:rFonts w:ascii="Microsoft New Tai Lue" w:hAnsi="Microsoft New Tai Lue" w:cs="Microsoft New Tai Lue"/>
          <w:bCs/>
          <w:color w:val="auto"/>
          <w:szCs w:val="21"/>
          <w:highlight w:val="none"/>
        </w:rPr>
        <w:t>项目概况</w:t>
      </w:r>
    </w:p>
    <w:p w14:paraId="006F3EBA">
      <w:pPr>
        <w:pBdr>
          <w:top w:val="single" w:color="auto" w:sz="4" w:space="1"/>
          <w:left w:val="single" w:color="auto" w:sz="4" w:space="4"/>
          <w:bottom w:val="single" w:color="auto" w:sz="4" w:space="1"/>
          <w:right w:val="single" w:color="auto" w:sz="4" w:space="4"/>
        </w:pBdr>
        <w:spacing w:line="360" w:lineRule="auto"/>
        <w:ind w:firstLine="420" w:firstLineChars="200"/>
        <w:rPr>
          <w:rFonts w:ascii="Microsoft New Tai Lue" w:hAnsi="Microsoft New Tai Lue" w:cs="Microsoft New Tai Lue"/>
          <w:bCs/>
          <w:color w:val="auto"/>
          <w:szCs w:val="21"/>
          <w:highlight w:val="none"/>
          <w:u w:val="single"/>
        </w:rPr>
      </w:pPr>
      <w:r>
        <w:rPr>
          <w:rFonts w:hint="eastAsia" w:ascii="Microsoft New Tai Lue" w:hAnsi="Microsoft New Tai Lue" w:cs="Microsoft New Tai Lue"/>
          <w:bCs/>
          <w:color w:val="auto"/>
          <w:szCs w:val="21"/>
          <w:highlight w:val="none"/>
          <w:u w:val="single"/>
          <w:lang w:eastAsia="zh-CN"/>
        </w:rPr>
        <w:t>2026年省级食品安全抽检技术服务（第一批）</w:t>
      </w:r>
      <w:r>
        <w:rPr>
          <w:rFonts w:hint="eastAsia" w:ascii="Microsoft New Tai Lue" w:hAnsi="Microsoft New Tai Lue" w:cs="Microsoft New Tai Lue"/>
          <w:bCs/>
          <w:color w:val="auto"/>
          <w:szCs w:val="21"/>
          <w:highlight w:val="none"/>
          <w:u w:val="single"/>
        </w:rPr>
        <w:t>JSZC-320000-JITC-G2026-0071</w:t>
      </w:r>
      <w:r>
        <w:rPr>
          <w:rFonts w:ascii="Microsoft New Tai Lue" w:hAnsi="Microsoft New Tai Lue" w:cs="Microsoft New Tai Lue"/>
          <w:bCs/>
          <w:color w:val="auto"/>
          <w:szCs w:val="21"/>
          <w:highlight w:val="none"/>
        </w:rPr>
        <w:t>招标项目的潜在投标人应在</w:t>
      </w:r>
      <w:r>
        <w:rPr>
          <w:rFonts w:hint="eastAsia" w:ascii="Microsoft New Tai Lue" w:hAnsi="Microsoft New Tai Lue" w:cs="Microsoft New Tai Lue"/>
          <w:bCs/>
          <w:color w:val="auto"/>
          <w:szCs w:val="21"/>
          <w:highlight w:val="none"/>
          <w:u w:val="single"/>
        </w:rPr>
        <w:t>江苏政府采购网</w:t>
      </w:r>
      <w:r>
        <w:rPr>
          <w:rFonts w:ascii="Microsoft New Tai Lue" w:hAnsi="Microsoft New Tai Lue" w:cs="Microsoft New Tai Lue"/>
          <w:bCs/>
          <w:color w:val="auto"/>
          <w:szCs w:val="21"/>
          <w:highlight w:val="none"/>
        </w:rPr>
        <w:t>获取招标文件，并于</w:t>
      </w:r>
      <w:r>
        <w:rPr>
          <w:rFonts w:hint="eastAsia" w:ascii="Microsoft New Tai Lue" w:hAnsi="Microsoft New Tai Lue" w:cs="Microsoft New Tai Lue"/>
          <w:bCs/>
          <w:color w:val="auto"/>
          <w:szCs w:val="21"/>
          <w:highlight w:val="none"/>
        </w:rPr>
        <w:t>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04</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 xml:space="preserve">24 </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w:t>
      </w:r>
      <w:r>
        <w:rPr>
          <w:rFonts w:ascii="Microsoft New Tai Lue" w:hAnsi="Microsoft New Tai Lue" w:cs="Microsoft New Tai Lue"/>
          <w:bCs/>
          <w:color w:val="auto"/>
          <w:szCs w:val="21"/>
          <w:highlight w:val="none"/>
        </w:rPr>
        <w:t>（北京时间）前递交投标文件。</w:t>
      </w:r>
    </w:p>
    <w:p w14:paraId="46C628C8">
      <w:pPr>
        <w:spacing w:line="360" w:lineRule="auto"/>
        <w:rPr>
          <w:rFonts w:ascii="Microsoft New Tai Lue" w:hAnsi="Microsoft New Tai Lue" w:cs="Microsoft New Tai Lue"/>
          <w:b/>
          <w:bCs/>
          <w:color w:val="auto"/>
          <w:kern w:val="44"/>
          <w:szCs w:val="44"/>
          <w:highlight w:val="none"/>
        </w:rPr>
      </w:pPr>
      <w:bookmarkStart w:id="6" w:name="_Toc96347851"/>
      <w:bookmarkStart w:id="7" w:name="_Toc93909065"/>
      <w:r>
        <w:rPr>
          <w:rFonts w:ascii="Microsoft New Tai Lue" w:hAnsi="Microsoft New Tai Lue" w:cs="Microsoft New Tai Lue"/>
          <w:b/>
          <w:bCs/>
          <w:color w:val="auto"/>
          <w:kern w:val="44"/>
          <w:szCs w:val="44"/>
          <w:highlight w:val="none"/>
        </w:rPr>
        <w:t>一、项目基本情况</w:t>
      </w:r>
      <w:bookmarkEnd w:id="6"/>
      <w:bookmarkEnd w:id="7"/>
    </w:p>
    <w:p w14:paraId="3B1757E0">
      <w:pPr>
        <w:adjustRightInd w:val="0"/>
        <w:snapToGrid w:val="0"/>
        <w:spacing w:line="360" w:lineRule="auto"/>
        <w:ind w:firstLine="420" w:firstLineChars="200"/>
        <w:rPr>
          <w:rFonts w:hint="default" w:ascii="Microsoft New Tai Lue" w:hAnsi="Microsoft New Tai Lue" w:eastAsia="宋体" w:cs="Microsoft New Tai Lue"/>
          <w:bCs/>
          <w:color w:val="auto"/>
          <w:szCs w:val="21"/>
          <w:highlight w:val="none"/>
          <w:lang w:val="en-US" w:eastAsia="zh-CN"/>
        </w:rPr>
      </w:pPr>
      <w:r>
        <w:rPr>
          <w:rFonts w:ascii="Microsoft New Tai Lue" w:hAnsi="Microsoft New Tai Lue" w:cs="Microsoft New Tai Lue"/>
          <w:bCs/>
          <w:color w:val="auto"/>
          <w:szCs w:val="21"/>
          <w:highlight w:val="none"/>
        </w:rPr>
        <w:t>项目编号：</w:t>
      </w:r>
      <w:r>
        <w:rPr>
          <w:rFonts w:hint="eastAsia" w:ascii="Microsoft New Tai Lue" w:hAnsi="Microsoft New Tai Lue" w:cs="Microsoft New Tai Lue"/>
          <w:bCs/>
          <w:color w:val="auto"/>
          <w:szCs w:val="21"/>
          <w:highlight w:val="none"/>
        </w:rPr>
        <w:t>JSZC-320000-JITC-G2026-0071</w:t>
      </w:r>
    </w:p>
    <w:p w14:paraId="0992FBCD">
      <w:pPr>
        <w:adjustRightInd w:val="0"/>
        <w:snapToGrid w:val="0"/>
        <w:spacing w:line="360" w:lineRule="auto"/>
        <w:ind w:firstLine="420" w:firstLineChars="200"/>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项目名称：</w:t>
      </w:r>
      <w:r>
        <w:rPr>
          <w:rFonts w:hint="eastAsia" w:ascii="Microsoft New Tai Lue" w:hAnsi="Microsoft New Tai Lue" w:cs="Microsoft New Tai Lue"/>
          <w:bCs/>
          <w:color w:val="auto"/>
          <w:szCs w:val="21"/>
          <w:highlight w:val="none"/>
          <w:lang w:eastAsia="zh-CN"/>
        </w:rPr>
        <w:t>2026年省级食品安全抽检技术服务（第一批）</w:t>
      </w:r>
    </w:p>
    <w:p w14:paraId="2EB81F4C">
      <w:pPr>
        <w:adjustRightInd w:val="0"/>
        <w:snapToGrid w:val="0"/>
        <w:spacing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预算金额：</w:t>
      </w:r>
      <w:r>
        <w:rPr>
          <w:rFonts w:hint="eastAsia" w:ascii="Microsoft New Tai Lue" w:hAnsi="Microsoft New Tai Lue" w:cs="Microsoft New Tai Lue"/>
          <w:bCs/>
          <w:color w:val="auto"/>
          <w:szCs w:val="21"/>
          <w:highlight w:val="none"/>
        </w:rPr>
        <w:t>3129.</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0000万元（采购包1：373.975000万元；采购包2：347.15</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000万元；采购包3：316.1</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000万元；采购包4：301.175000万元；采购包5：284.975000万元；采购包6：226.65</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000万元；采购包7：190.775000万元；采购包8：190.525000万元；采购包</w:t>
      </w:r>
      <w:r>
        <w:rPr>
          <w:rFonts w:hint="eastAsia" w:ascii="Microsoft New Tai Lue" w:hAnsi="Microsoft New Tai Lue" w:cs="Microsoft New Tai Lue"/>
          <w:bCs/>
          <w:color w:val="auto"/>
          <w:szCs w:val="21"/>
          <w:highlight w:val="none"/>
          <w:lang w:val="en-US" w:eastAsia="zh-CN"/>
        </w:rPr>
        <w:t>9</w:t>
      </w:r>
      <w:r>
        <w:rPr>
          <w:rFonts w:hint="eastAsia" w:ascii="Microsoft New Tai Lue" w:hAnsi="Microsoft New Tai Lue" w:cs="Microsoft New Tai Lue"/>
          <w:bCs/>
          <w:color w:val="auto"/>
          <w:szCs w:val="21"/>
          <w:highlight w:val="none"/>
        </w:rPr>
        <w:t>：187.60</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000万元；采购包</w:t>
      </w:r>
      <w:r>
        <w:rPr>
          <w:rFonts w:hint="eastAsia" w:ascii="Microsoft New Tai Lue" w:hAnsi="Microsoft New Tai Lue" w:cs="Microsoft New Tai Lue"/>
          <w:bCs/>
          <w:color w:val="auto"/>
          <w:szCs w:val="21"/>
          <w:highlight w:val="none"/>
          <w:lang w:val="en-US" w:eastAsia="zh-CN"/>
        </w:rPr>
        <w:t>10</w:t>
      </w:r>
      <w:r>
        <w:rPr>
          <w:rFonts w:hint="eastAsia" w:ascii="Microsoft New Tai Lue" w:hAnsi="Microsoft New Tai Lue" w:cs="Microsoft New Tai Lue"/>
          <w:bCs/>
          <w:color w:val="auto"/>
          <w:szCs w:val="21"/>
          <w:highlight w:val="none"/>
        </w:rPr>
        <w:t>：181.925000万元；采购包</w:t>
      </w:r>
      <w:r>
        <w:rPr>
          <w:rFonts w:hint="eastAsia" w:ascii="Microsoft New Tai Lue" w:hAnsi="Microsoft New Tai Lue" w:cs="Microsoft New Tai Lue"/>
          <w:bCs/>
          <w:color w:val="auto"/>
          <w:szCs w:val="21"/>
          <w:highlight w:val="none"/>
          <w:lang w:val="en-US" w:eastAsia="zh-CN"/>
        </w:rPr>
        <w:t>11</w:t>
      </w:r>
      <w:r>
        <w:rPr>
          <w:rFonts w:hint="eastAsia" w:ascii="Microsoft New Tai Lue" w:hAnsi="Microsoft New Tai Lue" w:cs="Microsoft New Tai Lue"/>
          <w:bCs/>
          <w:color w:val="auto"/>
          <w:szCs w:val="21"/>
          <w:highlight w:val="none"/>
        </w:rPr>
        <w:t>：181.775000万元；采购包</w:t>
      </w:r>
      <w:r>
        <w:rPr>
          <w:rFonts w:hint="eastAsia" w:ascii="Microsoft New Tai Lue" w:hAnsi="Microsoft New Tai Lue" w:cs="Microsoft New Tai Lue"/>
          <w:bCs/>
          <w:color w:val="auto"/>
          <w:szCs w:val="21"/>
          <w:highlight w:val="none"/>
          <w:lang w:val="en-US" w:eastAsia="zh-CN"/>
        </w:rPr>
        <w:t>12</w:t>
      </w:r>
      <w:r>
        <w:rPr>
          <w:rFonts w:hint="eastAsia" w:ascii="Microsoft New Tai Lue" w:hAnsi="Microsoft New Tai Lue" w:cs="Microsoft New Tai Lue"/>
          <w:bCs/>
          <w:color w:val="auto"/>
          <w:szCs w:val="21"/>
          <w:highlight w:val="none"/>
        </w:rPr>
        <w:t>：180.325000万元；采购包</w:t>
      </w:r>
      <w:r>
        <w:rPr>
          <w:rFonts w:hint="eastAsia" w:ascii="Microsoft New Tai Lue" w:hAnsi="Microsoft New Tai Lue" w:cs="Microsoft New Tai Lue"/>
          <w:bCs/>
          <w:color w:val="auto"/>
          <w:szCs w:val="21"/>
          <w:highlight w:val="none"/>
          <w:lang w:val="en-US" w:eastAsia="zh-CN"/>
        </w:rPr>
        <w:t>13</w:t>
      </w:r>
      <w:r>
        <w:rPr>
          <w:rFonts w:hint="eastAsia" w:ascii="Microsoft New Tai Lue" w:hAnsi="Microsoft New Tai Lue" w:cs="Microsoft New Tai Lue"/>
          <w:bCs/>
          <w:color w:val="auto"/>
          <w:szCs w:val="21"/>
          <w:highlight w:val="none"/>
        </w:rPr>
        <w:t>：166.05</w:t>
      </w:r>
      <w:r>
        <w:rPr>
          <w:rFonts w:hint="eastAsia" w:ascii="Microsoft New Tai Lue" w:hAnsi="Microsoft New Tai Lue" w:cs="Microsoft New Tai Lue"/>
          <w:bCs/>
          <w:color w:val="auto"/>
          <w:szCs w:val="21"/>
          <w:highlight w:val="none"/>
          <w:lang w:val="en-US" w:eastAsia="zh-CN"/>
        </w:rPr>
        <w:t>0</w:t>
      </w:r>
      <w:r>
        <w:rPr>
          <w:rFonts w:hint="eastAsia" w:ascii="Microsoft New Tai Lue" w:hAnsi="Microsoft New Tai Lue" w:cs="Microsoft New Tai Lue"/>
          <w:bCs/>
          <w:color w:val="auto"/>
          <w:szCs w:val="21"/>
          <w:highlight w:val="none"/>
        </w:rPr>
        <w:t>000万元）</w:t>
      </w:r>
    </w:p>
    <w:p w14:paraId="4DF5FBF3">
      <w:pPr>
        <w:adjustRightInd w:val="0"/>
        <w:snapToGrid w:val="0"/>
        <w:spacing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最高限价</w:t>
      </w:r>
      <w:r>
        <w:rPr>
          <w:rFonts w:hint="eastAsia" w:ascii="Microsoft New Tai Lue" w:hAnsi="Microsoft New Tai Lue" w:cs="Microsoft New Tai Lue"/>
          <w:bCs/>
          <w:color w:val="auto"/>
          <w:szCs w:val="21"/>
          <w:highlight w:val="none"/>
        </w:rPr>
        <w:t>（如有）</w:t>
      </w:r>
      <w:r>
        <w:rPr>
          <w:rFonts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rPr>
        <w:t>3129.</w:t>
      </w:r>
      <w:r>
        <w:rPr>
          <w:rFonts w:hint="eastAsia" w:ascii="Microsoft New Tai Lue" w:hAnsi="Microsoft New Tai Lue" w:cs="Microsoft New Tai Lue"/>
          <w:bCs/>
          <w:color w:val="auto"/>
          <w:szCs w:val="21"/>
          <w:highlight w:val="none"/>
          <w:lang w:val="en-US" w:eastAsia="zh-CN"/>
        </w:rPr>
        <w:t>00</w:t>
      </w:r>
      <w:r>
        <w:rPr>
          <w:rFonts w:hint="eastAsia" w:ascii="Microsoft New Tai Lue" w:hAnsi="Microsoft New Tai Lue" w:cs="Microsoft New Tai Lue"/>
          <w:bCs/>
          <w:color w:val="auto"/>
          <w:szCs w:val="21"/>
          <w:highlight w:val="none"/>
        </w:rPr>
        <w:t>0000万元（采购包1：373.975000万元；采购包2：347.150000万元；采购包3：316.100000万元；采购包4：301.175000万元；采购包5：284.975000万元；采购包6：226.650000万元；采购包7：190.775000万元；采购包8：190.525000万元；采购包9：187.600000万元；采购包10：181.925000万元；采购包11：181.775000万元；采购包12：180.325000万元；采购包13：166.050000万元）</w:t>
      </w:r>
    </w:p>
    <w:p w14:paraId="11966880">
      <w:pPr>
        <w:adjustRightInd w:val="0"/>
        <w:snapToGrid w:val="0"/>
        <w:spacing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采购需求：</w:t>
      </w:r>
    </w:p>
    <w:p w14:paraId="0E8AF7A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0" w:firstLineChars="0"/>
        <w:jc w:val="center"/>
        <w:textAlignment w:val="auto"/>
        <w:rPr>
          <w:rFonts w:hint="eastAsia" w:eastAsia="方正小标宋_GBK"/>
          <w:sz w:val="32"/>
          <w:szCs w:val="32"/>
        </w:rPr>
      </w:pPr>
      <w:r>
        <w:rPr>
          <w:rFonts w:hint="eastAsia" w:ascii="宋体" w:hAnsi="宋体" w:eastAsia="宋体" w:cs="宋体"/>
          <w:b/>
          <w:bCs/>
          <w:sz w:val="21"/>
          <w:szCs w:val="21"/>
        </w:rPr>
        <w:t>2026年省级食品安全抽检技术服务（第一批）政府采购任务明细表</w:t>
      </w:r>
    </w:p>
    <w:p w14:paraId="698CEE24">
      <w:pPr>
        <w:rPr>
          <w:rFonts w:hint="eastAsia"/>
        </w:rPr>
      </w:pPr>
    </w:p>
    <w:tbl>
      <w:tblPr>
        <w:tblStyle w:val="34"/>
        <w:tblW w:w="10117" w:type="dxa"/>
        <w:jc w:val="center"/>
        <w:tblLayout w:type="fixed"/>
        <w:tblCellMar>
          <w:top w:w="0" w:type="dxa"/>
          <w:left w:w="108" w:type="dxa"/>
          <w:bottom w:w="0" w:type="dxa"/>
          <w:right w:w="108" w:type="dxa"/>
        </w:tblCellMar>
      </w:tblPr>
      <w:tblGrid>
        <w:gridCol w:w="1824"/>
        <w:gridCol w:w="562"/>
        <w:gridCol w:w="564"/>
        <w:gridCol w:w="564"/>
        <w:gridCol w:w="564"/>
        <w:gridCol w:w="564"/>
        <w:gridCol w:w="564"/>
        <w:gridCol w:w="744"/>
        <w:gridCol w:w="564"/>
        <w:gridCol w:w="564"/>
        <w:gridCol w:w="564"/>
        <w:gridCol w:w="564"/>
        <w:gridCol w:w="564"/>
        <w:gridCol w:w="589"/>
        <w:gridCol w:w="758"/>
      </w:tblGrid>
      <w:tr w14:paraId="060CFAA7">
        <w:tblPrEx>
          <w:tblCellMar>
            <w:top w:w="0" w:type="dxa"/>
            <w:left w:w="108" w:type="dxa"/>
            <w:bottom w:w="0" w:type="dxa"/>
            <w:right w:w="108" w:type="dxa"/>
          </w:tblCellMar>
        </w:tblPrEx>
        <w:trPr>
          <w:trHeight w:val="867" w:hRule="atLeast"/>
          <w:jc w:val="center"/>
        </w:trPr>
        <w:tc>
          <w:tcPr>
            <w:tcW w:w="1824" w:type="dxa"/>
            <w:tcBorders>
              <w:top w:val="single" w:color="000000" w:sz="4" w:space="0"/>
              <w:left w:val="single" w:color="000000" w:sz="4" w:space="0"/>
              <w:bottom w:val="single" w:color="000000" w:sz="4" w:space="0"/>
              <w:right w:val="single" w:color="000000" w:sz="4" w:space="0"/>
              <w:tl2br w:val="single" w:color="auto" w:sz="4" w:space="0"/>
            </w:tcBorders>
            <w:noWrap w:val="0"/>
            <w:vAlign w:val="center"/>
          </w:tcPr>
          <w:p w14:paraId="6D44E1BA">
            <w:pPr>
              <w:ind w:firstLine="564"/>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地区</w:t>
            </w:r>
          </w:p>
          <w:p w14:paraId="2AE461C4">
            <w:pPr>
              <w:ind w:firstLine="0" w:firstLineChars="0"/>
              <w:textAlignment w:val="center"/>
              <w:rPr>
                <w:rFonts w:hint="eastAsia" w:ascii="宋体" w:hAnsi="宋体" w:eastAsia="宋体" w:cs="宋体"/>
                <w:b/>
                <w:bCs w:val="0"/>
                <w:sz w:val="21"/>
                <w:szCs w:val="21"/>
                <w:lang w:val="en-US" w:eastAsia="zh-CN"/>
              </w:rPr>
            </w:pPr>
            <w:r>
              <w:rPr>
                <w:rFonts w:hint="eastAsia" w:ascii="宋体" w:hAnsi="宋体" w:eastAsia="宋体" w:cs="宋体"/>
                <w:b/>
                <w:bCs w:val="0"/>
                <w:kern w:val="0"/>
                <w:sz w:val="21"/>
                <w:szCs w:val="21"/>
                <w:lang w:bidi="ar"/>
              </w:rPr>
              <w:t>任务</w:t>
            </w:r>
            <w:r>
              <w:rPr>
                <w:rFonts w:hint="eastAsia" w:ascii="宋体" w:hAnsi="宋体" w:cs="宋体"/>
                <w:b/>
                <w:bCs w:val="0"/>
                <w:kern w:val="0"/>
                <w:sz w:val="21"/>
                <w:szCs w:val="21"/>
                <w:lang w:val="en-US" w:eastAsia="zh-CN" w:bidi="ar"/>
              </w:rPr>
              <w:t>类型</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035A4974">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南京</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6E3F8CA3">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无锡</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215AB293">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徐州</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6CD83015">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常州</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5906388F">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苏州</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209DFB3A">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南通</w:t>
            </w: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3345FAE1">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连云港</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760AE80F">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淮安</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038BA3AC">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盐城</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0E282BC2">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扬州</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31346E55">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镇江</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4461FB75">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泰州</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2E406A1B">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宿迁</w:t>
            </w:r>
          </w:p>
        </w:tc>
        <w:tc>
          <w:tcPr>
            <w:tcW w:w="758" w:type="dxa"/>
            <w:tcBorders>
              <w:top w:val="single" w:color="000000" w:sz="4" w:space="0"/>
              <w:left w:val="single" w:color="000000" w:sz="4" w:space="0"/>
              <w:bottom w:val="single" w:color="000000" w:sz="4" w:space="0"/>
              <w:right w:val="single" w:color="000000" w:sz="4" w:space="0"/>
            </w:tcBorders>
            <w:noWrap w:val="0"/>
            <w:vAlign w:val="center"/>
          </w:tcPr>
          <w:p w14:paraId="57D05044">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合计</w:t>
            </w:r>
          </w:p>
        </w:tc>
      </w:tr>
      <w:tr w14:paraId="7B2CE40C">
        <w:tblPrEx>
          <w:tblCellMar>
            <w:top w:w="0" w:type="dxa"/>
            <w:left w:w="108" w:type="dxa"/>
            <w:bottom w:w="0" w:type="dxa"/>
            <w:right w:w="108" w:type="dxa"/>
          </w:tblCellMar>
        </w:tblPrEx>
        <w:trPr>
          <w:trHeight w:val="631" w:hRule="atLeast"/>
          <w:jc w:val="center"/>
        </w:trPr>
        <w:tc>
          <w:tcPr>
            <w:tcW w:w="1824" w:type="dxa"/>
            <w:tcBorders>
              <w:top w:val="single" w:color="000000" w:sz="4" w:space="0"/>
              <w:left w:val="single" w:color="000000" w:sz="4" w:space="0"/>
              <w:bottom w:val="single" w:color="000000" w:sz="4" w:space="0"/>
              <w:right w:val="single" w:color="000000" w:sz="4" w:space="0"/>
            </w:tcBorders>
            <w:noWrap w:val="0"/>
            <w:vAlign w:val="center"/>
          </w:tcPr>
          <w:p w14:paraId="6BC793AE">
            <w:pPr>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监督抽检</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6CD5A5C4">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648</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5618A3FD">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557</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1294BD89">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648</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462C7659">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531</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07C91AE9">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751</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22A69E7B">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645</w:t>
            </w: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2C888CF3">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496</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2BBF6E9A">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491</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3E90E3E2">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505</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67BA0486">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491</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71A75300">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446</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211FC9A0">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510</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0F5E3C49">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481</w:t>
            </w:r>
          </w:p>
        </w:tc>
        <w:tc>
          <w:tcPr>
            <w:tcW w:w="758" w:type="dxa"/>
            <w:tcBorders>
              <w:top w:val="single" w:color="000000" w:sz="4" w:space="0"/>
              <w:left w:val="single" w:color="000000" w:sz="4" w:space="0"/>
              <w:bottom w:val="single" w:color="000000" w:sz="4" w:space="0"/>
              <w:right w:val="single" w:color="000000" w:sz="4" w:space="0"/>
            </w:tcBorders>
            <w:noWrap w:val="0"/>
            <w:vAlign w:val="center"/>
          </w:tcPr>
          <w:p w14:paraId="391E4137">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7200</w:t>
            </w:r>
          </w:p>
        </w:tc>
      </w:tr>
      <w:tr w14:paraId="6AA319BB">
        <w:tblPrEx>
          <w:tblCellMar>
            <w:top w:w="0" w:type="dxa"/>
            <w:left w:w="108" w:type="dxa"/>
            <w:bottom w:w="0" w:type="dxa"/>
            <w:right w:w="108" w:type="dxa"/>
          </w:tblCellMar>
        </w:tblPrEx>
        <w:trPr>
          <w:trHeight w:val="631" w:hRule="atLeast"/>
          <w:jc w:val="center"/>
        </w:trPr>
        <w:tc>
          <w:tcPr>
            <w:tcW w:w="1824" w:type="dxa"/>
            <w:tcBorders>
              <w:top w:val="single" w:color="000000" w:sz="4" w:space="0"/>
              <w:left w:val="single" w:color="000000" w:sz="4" w:space="0"/>
              <w:bottom w:val="single" w:color="000000" w:sz="4" w:space="0"/>
              <w:right w:val="single" w:color="000000" w:sz="4" w:space="0"/>
            </w:tcBorders>
            <w:noWrap w:val="0"/>
            <w:vAlign w:val="center"/>
          </w:tcPr>
          <w:p w14:paraId="6E31C3D7">
            <w:pPr>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监督抽检（专项）</w:t>
            </w:r>
          </w:p>
        </w:tc>
        <w:tc>
          <w:tcPr>
            <w:tcW w:w="7535" w:type="dxa"/>
            <w:gridSpan w:val="13"/>
            <w:tcBorders>
              <w:top w:val="single" w:color="000000" w:sz="4" w:space="0"/>
              <w:left w:val="single" w:color="000000" w:sz="4" w:space="0"/>
              <w:bottom w:val="single" w:color="000000" w:sz="4" w:space="0"/>
              <w:right w:val="single" w:color="000000" w:sz="4" w:space="0"/>
            </w:tcBorders>
            <w:noWrap w:val="0"/>
            <w:vAlign w:val="center"/>
          </w:tcPr>
          <w:p w14:paraId="76121FB3">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bCs/>
                <w:kern w:val="0"/>
                <w:sz w:val="21"/>
                <w:szCs w:val="21"/>
                <w:lang w:bidi="ar"/>
              </w:rPr>
              <w:t>全  省</w:t>
            </w:r>
          </w:p>
        </w:tc>
        <w:tc>
          <w:tcPr>
            <w:tcW w:w="758" w:type="dxa"/>
            <w:tcBorders>
              <w:top w:val="single" w:color="000000" w:sz="4" w:space="0"/>
              <w:left w:val="single" w:color="000000" w:sz="4" w:space="0"/>
              <w:bottom w:val="single" w:color="000000" w:sz="4" w:space="0"/>
              <w:right w:val="single" w:color="000000" w:sz="4" w:space="0"/>
            </w:tcBorders>
            <w:noWrap w:val="0"/>
            <w:vAlign w:val="center"/>
          </w:tcPr>
          <w:p w14:paraId="12FF3CEB">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3000</w:t>
            </w:r>
          </w:p>
        </w:tc>
      </w:tr>
      <w:tr w14:paraId="4F85B0B7">
        <w:tblPrEx>
          <w:tblCellMar>
            <w:top w:w="0" w:type="dxa"/>
            <w:left w:w="108" w:type="dxa"/>
            <w:bottom w:w="0" w:type="dxa"/>
            <w:right w:w="108" w:type="dxa"/>
          </w:tblCellMar>
        </w:tblPrEx>
        <w:trPr>
          <w:trHeight w:val="631" w:hRule="atLeast"/>
          <w:jc w:val="center"/>
        </w:trPr>
        <w:tc>
          <w:tcPr>
            <w:tcW w:w="1824" w:type="dxa"/>
            <w:tcBorders>
              <w:top w:val="single" w:color="000000" w:sz="4" w:space="0"/>
              <w:left w:val="single" w:color="000000" w:sz="4" w:space="0"/>
              <w:bottom w:val="single" w:color="000000" w:sz="4" w:space="0"/>
              <w:right w:val="single" w:color="000000" w:sz="4" w:space="0"/>
            </w:tcBorders>
            <w:noWrap w:val="0"/>
            <w:vAlign w:val="center"/>
          </w:tcPr>
          <w:p w14:paraId="502BC226">
            <w:pPr>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风险抽检</w:t>
            </w:r>
          </w:p>
        </w:tc>
        <w:tc>
          <w:tcPr>
            <w:tcW w:w="562" w:type="dxa"/>
            <w:tcBorders>
              <w:top w:val="single" w:color="000000" w:sz="4" w:space="0"/>
              <w:left w:val="single" w:color="000000" w:sz="4" w:space="0"/>
              <w:bottom w:val="single" w:color="000000" w:sz="4" w:space="0"/>
              <w:right w:val="single" w:color="000000" w:sz="4" w:space="0"/>
            </w:tcBorders>
            <w:noWrap w:val="0"/>
            <w:vAlign w:val="center"/>
          </w:tcPr>
          <w:p w14:paraId="5F05B721">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720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4755989B">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625</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353E517F">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750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648FEC12">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610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1056E7E7">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805</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3CE14FEC">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630</w:t>
            </w:r>
          </w:p>
        </w:tc>
        <w:tc>
          <w:tcPr>
            <w:tcW w:w="744" w:type="dxa"/>
            <w:tcBorders>
              <w:top w:val="single" w:color="000000" w:sz="4" w:space="0"/>
              <w:left w:val="single" w:color="000000" w:sz="4" w:space="0"/>
              <w:bottom w:val="single" w:color="000000" w:sz="4" w:space="0"/>
              <w:right w:val="single" w:color="000000" w:sz="4" w:space="0"/>
            </w:tcBorders>
            <w:noWrap w:val="0"/>
            <w:vAlign w:val="center"/>
          </w:tcPr>
          <w:p w14:paraId="106DD0C7">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630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1FE0CF57">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590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1449657B">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6711AB14">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600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18D719D6">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550</w:t>
            </w:r>
          </w:p>
        </w:tc>
        <w:tc>
          <w:tcPr>
            <w:tcW w:w="564" w:type="dxa"/>
            <w:tcBorders>
              <w:top w:val="single" w:color="000000" w:sz="4" w:space="0"/>
              <w:left w:val="single" w:color="000000" w:sz="4" w:space="0"/>
              <w:bottom w:val="single" w:color="000000" w:sz="4" w:space="0"/>
              <w:right w:val="single" w:color="000000" w:sz="4" w:space="0"/>
            </w:tcBorders>
            <w:noWrap w:val="0"/>
            <w:vAlign w:val="center"/>
          </w:tcPr>
          <w:p w14:paraId="788E76CD">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640</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1353D79F">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610</w:t>
            </w:r>
          </w:p>
        </w:tc>
        <w:tc>
          <w:tcPr>
            <w:tcW w:w="758" w:type="dxa"/>
            <w:tcBorders>
              <w:top w:val="single" w:color="000000" w:sz="4" w:space="0"/>
              <w:left w:val="single" w:color="000000" w:sz="4" w:space="0"/>
              <w:bottom w:val="single" w:color="000000" w:sz="4" w:space="0"/>
              <w:right w:val="single" w:color="000000" w:sz="4" w:space="0"/>
            </w:tcBorders>
            <w:noWrap w:val="0"/>
            <w:vAlign w:val="center"/>
          </w:tcPr>
          <w:p w14:paraId="49742795">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8400</w:t>
            </w:r>
          </w:p>
        </w:tc>
      </w:tr>
      <w:tr w14:paraId="3AFF6DE4">
        <w:tblPrEx>
          <w:tblCellMar>
            <w:top w:w="0" w:type="dxa"/>
            <w:left w:w="108" w:type="dxa"/>
            <w:bottom w:w="0" w:type="dxa"/>
            <w:right w:w="108" w:type="dxa"/>
          </w:tblCellMar>
        </w:tblPrEx>
        <w:trPr>
          <w:trHeight w:val="640" w:hRule="atLeast"/>
          <w:jc w:val="center"/>
        </w:trPr>
        <w:tc>
          <w:tcPr>
            <w:tcW w:w="9359" w:type="dxa"/>
            <w:gridSpan w:val="14"/>
            <w:tcBorders>
              <w:top w:val="single" w:color="000000" w:sz="4" w:space="0"/>
              <w:left w:val="single" w:color="000000" w:sz="4" w:space="0"/>
              <w:bottom w:val="single" w:color="000000" w:sz="4" w:space="0"/>
              <w:right w:val="single" w:color="000000" w:sz="4" w:space="0"/>
            </w:tcBorders>
            <w:noWrap w:val="0"/>
            <w:vAlign w:val="center"/>
          </w:tcPr>
          <w:p w14:paraId="0B133FCC">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合   计</w:t>
            </w:r>
          </w:p>
        </w:tc>
        <w:tc>
          <w:tcPr>
            <w:tcW w:w="758" w:type="dxa"/>
            <w:tcBorders>
              <w:top w:val="nil"/>
              <w:left w:val="nil"/>
              <w:bottom w:val="single" w:color="000000" w:sz="4" w:space="0"/>
              <w:right w:val="single" w:color="000000" w:sz="4" w:space="0"/>
            </w:tcBorders>
            <w:noWrap w:val="0"/>
            <w:vAlign w:val="center"/>
          </w:tcPr>
          <w:p w14:paraId="5F9D7D42">
            <w:pPr>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18600</w:t>
            </w:r>
          </w:p>
        </w:tc>
      </w:tr>
    </w:tbl>
    <w:p w14:paraId="595CDABA">
      <w:pPr>
        <w:spacing w:line="360" w:lineRule="auto"/>
        <w:jc w:val="center"/>
        <w:rPr>
          <w:rFonts w:hint="eastAsia" w:ascii="Times New Roman" w:hAnsi="Times New Roman" w:eastAsia="宋体"/>
          <w:b w:val="0"/>
          <w:bCs w:val="0"/>
          <w:color w:val="auto"/>
          <w:sz w:val="44"/>
          <w:szCs w:val="44"/>
          <w:highlight w:val="none"/>
          <w:lang w:val="en-US" w:eastAsia="zh-CN"/>
        </w:rPr>
      </w:pPr>
    </w:p>
    <w:p w14:paraId="3A09C97F">
      <w:pPr>
        <w:rPr>
          <w:rFonts w:hint="eastAsia" w:ascii="宋体" w:hAnsi="宋体" w:eastAsia="宋体" w:cs="宋体"/>
          <w:b/>
          <w:bCs/>
          <w:sz w:val="21"/>
          <w:szCs w:val="21"/>
        </w:rPr>
      </w:pPr>
      <w:r>
        <w:rPr>
          <w:rFonts w:hint="eastAsia" w:ascii="宋体" w:hAnsi="宋体" w:eastAsia="宋体" w:cs="宋体"/>
          <w:b/>
          <w:bCs/>
          <w:sz w:val="21"/>
          <w:szCs w:val="21"/>
        </w:rPr>
        <w:br w:type="page"/>
      </w:r>
    </w:p>
    <w:p w14:paraId="05187317">
      <w:pPr>
        <w:adjustRightInd w:val="0"/>
        <w:snapToGrid w:val="0"/>
        <w:spacing w:line="590" w:lineRule="exact"/>
        <w:jc w:val="center"/>
        <w:rPr>
          <w:rFonts w:hint="eastAsia" w:ascii="宋体" w:hAnsi="宋体" w:eastAsia="宋体" w:cs="宋体"/>
          <w:b/>
          <w:bCs/>
          <w:sz w:val="21"/>
          <w:szCs w:val="21"/>
        </w:rPr>
      </w:pPr>
      <w:r>
        <w:rPr>
          <w:rFonts w:hint="eastAsia" w:ascii="宋体" w:hAnsi="宋体" w:eastAsia="宋体" w:cs="宋体"/>
          <w:b/>
          <w:bCs/>
          <w:sz w:val="21"/>
          <w:szCs w:val="21"/>
        </w:rPr>
        <w:t>2026年省级食品安全抽检技术服务（第一批）分包计划表</w:t>
      </w:r>
    </w:p>
    <w:tbl>
      <w:tblPr>
        <w:tblStyle w:val="34"/>
        <w:tblW w:w="8857" w:type="dxa"/>
        <w:jc w:val="center"/>
        <w:tblLayout w:type="fixed"/>
        <w:tblCellMar>
          <w:top w:w="0" w:type="dxa"/>
          <w:left w:w="108" w:type="dxa"/>
          <w:bottom w:w="0" w:type="dxa"/>
          <w:right w:w="108" w:type="dxa"/>
        </w:tblCellMar>
      </w:tblPr>
      <w:tblGrid>
        <w:gridCol w:w="960"/>
        <w:gridCol w:w="5722"/>
        <w:gridCol w:w="932"/>
        <w:gridCol w:w="1243"/>
      </w:tblGrid>
      <w:tr w14:paraId="07A3D747">
        <w:tblPrEx>
          <w:tblCellMar>
            <w:top w:w="0" w:type="dxa"/>
            <w:left w:w="108" w:type="dxa"/>
            <w:bottom w:w="0" w:type="dxa"/>
            <w:right w:w="108" w:type="dxa"/>
          </w:tblCellMar>
        </w:tblPrEx>
        <w:trPr>
          <w:trHeight w:val="885" w:hRule="atLeast"/>
          <w:tblHeader/>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A13C18E">
            <w:pPr>
              <w:spacing w:line="320" w:lineRule="exact"/>
              <w:jc w:val="center"/>
              <w:textAlignment w:val="center"/>
              <w:rPr>
                <w:rFonts w:hint="eastAsia" w:ascii="宋体" w:hAnsi="宋体" w:eastAsia="宋体" w:cs="宋体"/>
                <w:b/>
                <w:bCs w:val="0"/>
                <w:sz w:val="21"/>
                <w:szCs w:val="21"/>
                <w:lang w:val="en-US" w:eastAsia="zh-CN"/>
              </w:rPr>
            </w:pPr>
            <w:r>
              <w:rPr>
                <w:rFonts w:hint="eastAsia" w:ascii="宋体" w:hAnsi="宋体" w:eastAsia="宋体" w:cs="宋体"/>
                <w:b/>
                <w:bCs w:val="0"/>
                <w:kern w:val="0"/>
                <w:sz w:val="21"/>
                <w:szCs w:val="21"/>
                <w:lang w:bidi="ar"/>
              </w:rPr>
              <w:t>分包</w:t>
            </w:r>
            <w:r>
              <w:rPr>
                <w:rFonts w:hint="eastAsia" w:ascii="宋体" w:hAnsi="宋体" w:cs="宋体"/>
                <w:b/>
                <w:bCs w:val="0"/>
                <w:kern w:val="0"/>
                <w:sz w:val="21"/>
                <w:szCs w:val="21"/>
                <w:lang w:val="en-US" w:eastAsia="zh-CN" w:bidi="ar"/>
              </w:rPr>
              <w:t>号</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229F9413">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采购内容（抽检地区及类型）</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203B1F4C">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批次</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604CE9D">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采购金额</w:t>
            </w:r>
            <w:r>
              <w:rPr>
                <w:rFonts w:hint="eastAsia" w:ascii="宋体" w:hAnsi="宋体" w:eastAsia="宋体" w:cs="宋体"/>
                <w:b/>
                <w:bCs w:val="0"/>
                <w:kern w:val="0"/>
                <w:sz w:val="21"/>
                <w:szCs w:val="21"/>
                <w:lang w:bidi="ar"/>
              </w:rPr>
              <w:br w:type="textWrapping"/>
            </w:r>
            <w:r>
              <w:rPr>
                <w:rFonts w:hint="eastAsia" w:ascii="宋体" w:hAnsi="宋体" w:eastAsia="宋体" w:cs="宋体"/>
                <w:b/>
                <w:bCs w:val="0"/>
                <w:kern w:val="0"/>
                <w:sz w:val="21"/>
                <w:szCs w:val="21"/>
                <w:lang w:bidi="ar"/>
              </w:rPr>
              <w:t>（万元）</w:t>
            </w:r>
          </w:p>
        </w:tc>
      </w:tr>
      <w:tr w14:paraId="0F74E411">
        <w:tblPrEx>
          <w:tblCellMar>
            <w:top w:w="0" w:type="dxa"/>
            <w:left w:w="108" w:type="dxa"/>
            <w:bottom w:w="0" w:type="dxa"/>
            <w:right w:w="108" w:type="dxa"/>
          </w:tblCellMar>
        </w:tblPrEx>
        <w:trPr>
          <w:trHeight w:val="775"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DAD1CBC">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1019A0B7">
            <w:pPr>
              <w:widowControl/>
              <w:spacing w:line="320" w:lineRule="exact"/>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苏州监督抽检751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；风险抽检805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；校园专项650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5D7159CE">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2206</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604D560D">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373.975</w:t>
            </w:r>
          </w:p>
        </w:tc>
      </w:tr>
      <w:tr w14:paraId="5F10C4BC">
        <w:tblPrEx>
          <w:tblCellMar>
            <w:top w:w="0" w:type="dxa"/>
            <w:left w:w="108" w:type="dxa"/>
            <w:bottom w:w="0" w:type="dxa"/>
            <w:right w:w="108" w:type="dxa"/>
          </w:tblCellMar>
        </w:tblPrEx>
        <w:trPr>
          <w:trHeight w:val="733"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2303763">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包2</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26CCD53C">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徐州监督抽检648</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；风险抽检750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；校园专项650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18B94B1E">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2048</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4571450C">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347.15</w:t>
            </w:r>
          </w:p>
        </w:tc>
      </w:tr>
      <w:tr w14:paraId="7BDD2270">
        <w:tblPrEx>
          <w:tblCellMar>
            <w:top w:w="0" w:type="dxa"/>
            <w:left w:w="108" w:type="dxa"/>
            <w:bottom w:w="0" w:type="dxa"/>
            <w:right w:w="108" w:type="dxa"/>
          </w:tblCellMar>
        </w:tblPrEx>
        <w:trPr>
          <w:trHeight w:val="693"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63165344">
            <w:pPr>
              <w:widowControl/>
              <w:spacing w:line="320" w:lineRule="exact"/>
              <w:jc w:val="center"/>
              <w:textAlignment w:val="center"/>
              <w:rPr>
                <w:rFonts w:hint="eastAsia" w:ascii="宋体" w:hAnsi="宋体" w:eastAsia="宋体" w:cs="宋体"/>
                <w:b w:val="0"/>
                <w:bCs/>
                <w:kern w:val="0"/>
                <w:sz w:val="21"/>
                <w:szCs w:val="21"/>
                <w:lang w:bidi="ar"/>
              </w:rPr>
            </w:pPr>
            <w:bookmarkStart w:id="8" w:name="OLE_LINK20" w:colFirst="1" w:colLast="3"/>
            <w:bookmarkStart w:id="9" w:name="OLE_LINK19" w:colFirst="1" w:colLast="3"/>
            <w:bookmarkStart w:id="10" w:name="_Hlk224156808"/>
            <w:r>
              <w:rPr>
                <w:rFonts w:hint="eastAsia" w:ascii="宋体" w:hAnsi="宋体" w:eastAsia="宋体" w:cs="宋体"/>
                <w:b w:val="0"/>
                <w:bCs/>
                <w:color w:val="000000"/>
                <w:kern w:val="0"/>
                <w:sz w:val="21"/>
                <w:szCs w:val="21"/>
                <w:lang w:bidi="ar"/>
              </w:rPr>
              <w:t>包3</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02DEB45E">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南京监督抽检648</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；风险抽检720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；外卖餐饮专项500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610AE488">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1868</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1E16C805">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316.1</w:t>
            </w:r>
          </w:p>
        </w:tc>
      </w:tr>
      <w:bookmarkEnd w:id="8"/>
      <w:bookmarkEnd w:id="9"/>
      <w:bookmarkEnd w:id="10"/>
      <w:tr w14:paraId="41EA7335">
        <w:tblPrEx>
          <w:tblCellMar>
            <w:top w:w="0" w:type="dxa"/>
            <w:left w:w="108" w:type="dxa"/>
            <w:bottom w:w="0" w:type="dxa"/>
            <w:right w:w="108" w:type="dxa"/>
          </w:tblCellMar>
        </w:tblPrEx>
        <w:trPr>
          <w:trHeight w:val="764"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088F031">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包4</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62D3BC9A">
            <w:pPr>
              <w:widowControl/>
              <w:spacing w:line="320" w:lineRule="exact"/>
              <w:jc w:val="left"/>
              <w:textAlignment w:val="center"/>
              <w:rPr>
                <w:rFonts w:hint="eastAsia" w:ascii="宋体" w:hAnsi="宋体" w:eastAsia="宋体" w:cs="宋体"/>
                <w:b w:val="0"/>
                <w:bCs/>
                <w:color w:val="000000"/>
                <w:kern w:val="0"/>
                <w:sz w:val="21"/>
                <w:szCs w:val="21"/>
                <w:lang w:bidi="ar"/>
              </w:rPr>
            </w:pPr>
            <w:r>
              <w:rPr>
                <w:rFonts w:hint="eastAsia" w:ascii="宋体" w:hAnsi="宋体" w:eastAsia="宋体" w:cs="宋体"/>
                <w:b w:val="0"/>
                <w:bCs/>
                <w:sz w:val="21"/>
                <w:szCs w:val="21"/>
              </w:rPr>
              <w:t>南通监督抽检645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；风险抽检630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；网络直播带货专项500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2ACF39F6">
            <w:pPr>
              <w:widowControl/>
              <w:spacing w:line="320" w:lineRule="exact"/>
              <w:jc w:val="center"/>
              <w:textAlignment w:val="center"/>
              <w:rPr>
                <w:rFonts w:hint="eastAsia" w:ascii="宋体" w:hAnsi="宋体" w:eastAsia="宋体" w:cs="宋体"/>
                <w:b w:val="0"/>
                <w:bCs/>
                <w:color w:val="000000"/>
                <w:kern w:val="0"/>
                <w:sz w:val="21"/>
                <w:szCs w:val="21"/>
                <w:lang w:bidi="ar"/>
              </w:rPr>
            </w:pPr>
            <w:r>
              <w:rPr>
                <w:rFonts w:hint="eastAsia" w:ascii="宋体" w:hAnsi="宋体" w:eastAsia="宋体" w:cs="宋体"/>
                <w:b w:val="0"/>
                <w:bCs/>
                <w:color w:val="000000"/>
                <w:kern w:val="0"/>
                <w:sz w:val="21"/>
                <w:szCs w:val="21"/>
                <w:lang w:bidi="ar"/>
              </w:rPr>
              <w:t>1775</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230FB35F">
            <w:pPr>
              <w:widowControl/>
              <w:spacing w:line="320" w:lineRule="exact"/>
              <w:jc w:val="center"/>
              <w:textAlignment w:val="center"/>
              <w:rPr>
                <w:rFonts w:hint="eastAsia" w:ascii="宋体" w:hAnsi="宋体" w:eastAsia="宋体" w:cs="宋体"/>
                <w:b w:val="0"/>
                <w:bCs/>
                <w:color w:val="000000"/>
                <w:kern w:val="0"/>
                <w:sz w:val="21"/>
                <w:szCs w:val="21"/>
                <w:lang w:bidi="ar"/>
              </w:rPr>
            </w:pPr>
            <w:r>
              <w:rPr>
                <w:rFonts w:hint="eastAsia" w:ascii="宋体" w:hAnsi="宋体" w:eastAsia="宋体" w:cs="宋体"/>
                <w:b w:val="0"/>
                <w:bCs/>
                <w:color w:val="000000"/>
                <w:kern w:val="0"/>
                <w:sz w:val="21"/>
                <w:szCs w:val="21"/>
                <w:lang w:bidi="ar"/>
              </w:rPr>
              <w:t>301.175</w:t>
            </w:r>
          </w:p>
        </w:tc>
      </w:tr>
      <w:tr w14:paraId="1DF02C6D">
        <w:tblPrEx>
          <w:tblCellMar>
            <w:top w:w="0" w:type="dxa"/>
            <w:left w:w="108" w:type="dxa"/>
            <w:bottom w:w="0" w:type="dxa"/>
            <w:right w:w="108" w:type="dxa"/>
          </w:tblCellMar>
        </w:tblPrEx>
        <w:trPr>
          <w:trHeight w:val="752"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133A011B">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包5</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1D9E67F3">
            <w:pPr>
              <w:widowControl/>
              <w:spacing w:line="320" w:lineRule="exact"/>
              <w:jc w:val="left"/>
              <w:textAlignment w:val="center"/>
              <w:rPr>
                <w:rFonts w:hint="eastAsia" w:ascii="宋体" w:hAnsi="宋体" w:eastAsia="宋体" w:cs="宋体"/>
                <w:b w:val="0"/>
                <w:bCs/>
                <w:sz w:val="21"/>
                <w:szCs w:val="21"/>
              </w:rPr>
            </w:pPr>
            <w:r>
              <w:rPr>
                <w:rFonts w:hint="eastAsia" w:ascii="宋体" w:hAnsi="宋体" w:eastAsia="宋体" w:cs="宋体"/>
                <w:b w:val="0"/>
                <w:bCs/>
                <w:sz w:val="21"/>
                <w:szCs w:val="21"/>
              </w:rPr>
              <w:t>无锡监督抽检557</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；风险抽检625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；节日专项500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7E91F36D">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1682</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67496C57">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284.975</w:t>
            </w:r>
          </w:p>
        </w:tc>
      </w:tr>
      <w:tr w14:paraId="08217AD3">
        <w:tblPrEx>
          <w:tblCellMar>
            <w:top w:w="0" w:type="dxa"/>
            <w:left w:w="108" w:type="dxa"/>
            <w:bottom w:w="0" w:type="dxa"/>
            <w:right w:w="108" w:type="dxa"/>
          </w:tblCellMar>
        </w:tblPrEx>
        <w:trPr>
          <w:trHeight w:val="712"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20F54F7D">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包6</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7C6293CB">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泰州监督抽检510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；风险抽检640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；肉制品专项200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23A79543">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1350</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37F04878">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226.65</w:t>
            </w:r>
          </w:p>
        </w:tc>
      </w:tr>
      <w:tr w14:paraId="3601E205">
        <w:tblPrEx>
          <w:tblCellMar>
            <w:top w:w="0" w:type="dxa"/>
            <w:left w:w="108" w:type="dxa"/>
            <w:bottom w:w="0" w:type="dxa"/>
            <w:right w:w="108" w:type="dxa"/>
          </w:tblCellMar>
        </w:tblPrEx>
        <w:trPr>
          <w:trHeight w:val="827"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BF4F294">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包7</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2EBC81C7">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盐城监督抽检505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；风险抽检640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70AB50A0">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1145</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082E4747">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190.775</w:t>
            </w:r>
          </w:p>
        </w:tc>
      </w:tr>
      <w:tr w14:paraId="450CC97E">
        <w:tblPrEx>
          <w:tblCellMar>
            <w:top w:w="0" w:type="dxa"/>
            <w:left w:w="108" w:type="dxa"/>
            <w:bottom w:w="0" w:type="dxa"/>
            <w:right w:w="108" w:type="dxa"/>
          </w:tblCellMar>
        </w:tblPrEx>
        <w:trPr>
          <w:trHeight w:val="677"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AB49ABC">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包8</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3114951C">
            <w:pPr>
              <w:widowControl/>
              <w:spacing w:line="320" w:lineRule="exact"/>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常州监督抽检531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；风险抽检610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6E7B7BFA">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1141</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13FA12D0">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190.525</w:t>
            </w:r>
          </w:p>
        </w:tc>
      </w:tr>
      <w:tr w14:paraId="40DA1623">
        <w:tblPrEx>
          <w:tblCellMar>
            <w:top w:w="0" w:type="dxa"/>
            <w:left w:w="108" w:type="dxa"/>
            <w:bottom w:w="0" w:type="dxa"/>
            <w:right w:w="108" w:type="dxa"/>
          </w:tblCellMar>
        </w:tblPrEx>
        <w:trPr>
          <w:trHeight w:val="876"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1370DEB">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包9</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35CE4D89">
            <w:pPr>
              <w:widowControl/>
              <w:jc w:val="left"/>
              <w:textAlignment w:val="center"/>
              <w:rPr>
                <w:rFonts w:hint="eastAsia" w:ascii="宋体" w:hAnsi="宋体" w:eastAsia="宋体" w:cs="宋体"/>
                <w:b w:val="0"/>
                <w:bCs/>
                <w:kern w:val="0"/>
                <w:sz w:val="21"/>
                <w:szCs w:val="21"/>
                <w:lang w:bidi="ar"/>
              </w:rPr>
            </w:pPr>
            <w:bookmarkStart w:id="11" w:name="OLE_LINK21"/>
            <w:r>
              <w:rPr>
                <w:rFonts w:hint="eastAsia" w:ascii="宋体" w:hAnsi="宋体" w:eastAsia="宋体" w:cs="宋体"/>
                <w:b w:val="0"/>
                <w:bCs/>
                <w:sz w:val="21"/>
                <w:szCs w:val="21"/>
              </w:rPr>
              <w:t>连云港监督抽检496</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w:t>
            </w:r>
            <w:bookmarkEnd w:id="11"/>
            <w:r>
              <w:rPr>
                <w:rFonts w:hint="eastAsia" w:ascii="宋体" w:hAnsi="宋体" w:eastAsia="宋体" w:cs="宋体"/>
                <w:b w:val="0"/>
                <w:bCs/>
                <w:sz w:val="21"/>
                <w:szCs w:val="21"/>
              </w:rPr>
              <w:t>风险抽检630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7FDABE08">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1126</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3C8F638C">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187.6</w:t>
            </w:r>
          </w:p>
        </w:tc>
      </w:tr>
      <w:tr w14:paraId="13E1EFC4">
        <w:tblPrEx>
          <w:tblCellMar>
            <w:top w:w="0" w:type="dxa"/>
            <w:left w:w="108" w:type="dxa"/>
            <w:bottom w:w="0" w:type="dxa"/>
            <w:right w:w="108" w:type="dxa"/>
          </w:tblCellMar>
        </w:tblPrEx>
        <w:trPr>
          <w:trHeight w:val="818"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569A03ED">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包10</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4708C2AD">
            <w:pPr>
              <w:widowControl/>
              <w:jc w:val="left"/>
              <w:textAlignment w:val="center"/>
              <w:rPr>
                <w:rFonts w:hint="eastAsia" w:ascii="宋体" w:hAnsi="宋体" w:eastAsia="宋体" w:cs="宋体"/>
                <w:b w:val="0"/>
                <w:bCs/>
                <w:kern w:val="0"/>
                <w:sz w:val="21"/>
                <w:szCs w:val="21"/>
                <w:lang w:bidi="ar"/>
              </w:rPr>
            </w:pPr>
            <w:bookmarkStart w:id="12" w:name="OLE_LINK9"/>
            <w:r>
              <w:rPr>
                <w:rFonts w:hint="eastAsia" w:ascii="宋体" w:hAnsi="宋体" w:eastAsia="宋体" w:cs="宋体"/>
                <w:b w:val="0"/>
                <w:bCs/>
                <w:sz w:val="21"/>
                <w:szCs w:val="21"/>
              </w:rPr>
              <w:t>扬州监督抽检491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；风险抽检600</w:t>
            </w:r>
            <w:bookmarkEnd w:id="12"/>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4745A58C">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1091</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343EAD5A">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181.925</w:t>
            </w:r>
          </w:p>
        </w:tc>
      </w:tr>
      <w:tr w14:paraId="15D510EE">
        <w:tblPrEx>
          <w:tblCellMar>
            <w:top w:w="0" w:type="dxa"/>
            <w:left w:w="108" w:type="dxa"/>
            <w:bottom w:w="0" w:type="dxa"/>
            <w:right w:w="108" w:type="dxa"/>
          </w:tblCellMar>
        </w:tblPrEx>
        <w:trPr>
          <w:trHeight w:val="888"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4695564">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包11</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071E94EA">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宿迁监督抽检481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；风险抽检610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6683A191">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1091</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1FD5A1D9">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181.775</w:t>
            </w:r>
          </w:p>
        </w:tc>
      </w:tr>
      <w:tr w14:paraId="29BB00DA">
        <w:tblPrEx>
          <w:tblCellMar>
            <w:top w:w="0" w:type="dxa"/>
            <w:left w:w="108" w:type="dxa"/>
            <w:bottom w:w="0" w:type="dxa"/>
            <w:right w:w="108" w:type="dxa"/>
          </w:tblCellMar>
        </w:tblPrEx>
        <w:trPr>
          <w:trHeight w:val="867"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0BC32DB5">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包12</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70E69868">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淮安监督抽检491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；风险抽检590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5205D4B8">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1081</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61DE0123">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180.325</w:t>
            </w:r>
          </w:p>
        </w:tc>
      </w:tr>
      <w:tr w14:paraId="28DE55C3">
        <w:tblPrEx>
          <w:tblCellMar>
            <w:top w:w="0" w:type="dxa"/>
            <w:left w:w="108" w:type="dxa"/>
            <w:bottom w:w="0" w:type="dxa"/>
            <w:right w:w="108" w:type="dxa"/>
          </w:tblCellMar>
        </w:tblPrEx>
        <w:trPr>
          <w:trHeight w:val="819" w:hRule="atLeast"/>
          <w:jc w:val="center"/>
        </w:trPr>
        <w:tc>
          <w:tcPr>
            <w:tcW w:w="960" w:type="dxa"/>
            <w:tcBorders>
              <w:top w:val="single" w:color="000000" w:sz="4" w:space="0"/>
              <w:left w:val="single" w:color="000000" w:sz="4" w:space="0"/>
              <w:bottom w:val="single" w:color="000000" w:sz="4" w:space="0"/>
              <w:right w:val="single" w:color="000000" w:sz="4" w:space="0"/>
            </w:tcBorders>
            <w:noWrap w:val="0"/>
            <w:vAlign w:val="center"/>
          </w:tcPr>
          <w:p w14:paraId="47A06BB3">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包13</w:t>
            </w:r>
          </w:p>
        </w:tc>
        <w:tc>
          <w:tcPr>
            <w:tcW w:w="5722" w:type="dxa"/>
            <w:tcBorders>
              <w:top w:val="single" w:color="000000" w:sz="4" w:space="0"/>
              <w:left w:val="single" w:color="000000" w:sz="4" w:space="0"/>
              <w:bottom w:val="single" w:color="000000" w:sz="4" w:space="0"/>
              <w:right w:val="single" w:color="000000" w:sz="4" w:space="0"/>
            </w:tcBorders>
            <w:noWrap w:val="0"/>
            <w:vAlign w:val="center"/>
          </w:tcPr>
          <w:p w14:paraId="5BDF8F08">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镇江监督抽检446</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；风险抽检550</w:t>
            </w:r>
            <w:r>
              <w:rPr>
                <w:rFonts w:hint="eastAsia" w:ascii="宋体" w:hAnsi="宋体" w:cs="宋体"/>
                <w:b w:val="0"/>
                <w:bCs/>
                <w:sz w:val="21"/>
                <w:szCs w:val="21"/>
                <w:lang w:val="en-US" w:eastAsia="zh-CN"/>
              </w:rPr>
              <w:t>批次</w:t>
            </w:r>
          </w:p>
        </w:tc>
        <w:tc>
          <w:tcPr>
            <w:tcW w:w="932" w:type="dxa"/>
            <w:tcBorders>
              <w:top w:val="single" w:color="000000" w:sz="4" w:space="0"/>
              <w:left w:val="single" w:color="000000" w:sz="4" w:space="0"/>
              <w:bottom w:val="single" w:color="000000" w:sz="4" w:space="0"/>
              <w:right w:val="single" w:color="000000" w:sz="4" w:space="0"/>
            </w:tcBorders>
            <w:noWrap w:val="0"/>
            <w:vAlign w:val="center"/>
          </w:tcPr>
          <w:p w14:paraId="329F5FD7">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996</w:t>
            </w:r>
          </w:p>
        </w:tc>
        <w:tc>
          <w:tcPr>
            <w:tcW w:w="1243" w:type="dxa"/>
            <w:tcBorders>
              <w:top w:val="single" w:color="000000" w:sz="4" w:space="0"/>
              <w:left w:val="single" w:color="000000" w:sz="4" w:space="0"/>
              <w:bottom w:val="single" w:color="000000" w:sz="4" w:space="0"/>
              <w:right w:val="single" w:color="000000" w:sz="4" w:space="0"/>
            </w:tcBorders>
            <w:noWrap w:val="0"/>
            <w:vAlign w:val="center"/>
          </w:tcPr>
          <w:p w14:paraId="7EC9F3EC">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166.05</w:t>
            </w:r>
          </w:p>
        </w:tc>
      </w:tr>
    </w:tbl>
    <w:p w14:paraId="4231B6C0">
      <w:pPr>
        <w:spacing w:line="360" w:lineRule="auto"/>
        <w:jc w:val="center"/>
        <w:rPr>
          <w:rFonts w:hint="eastAsia" w:eastAsia="宋体"/>
          <w:color w:val="auto"/>
          <w:sz w:val="24"/>
          <w:szCs w:val="24"/>
          <w:highlight w:val="none"/>
          <w:lang w:val="en-US" w:eastAsia="zh-CN"/>
        </w:rPr>
      </w:pPr>
    </w:p>
    <w:p w14:paraId="39FB89A6">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default" w:ascii="Microsoft New Tai Lue" w:hAnsi="Microsoft New Tai Lue" w:eastAsia="宋体"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rPr>
        <w:t>为高质量完成年度食品安全抽检检验任务，现向全国范围内进行检验机构公开招标，承担2026年省级食品安全抽检技术服务（第一批）。</w:t>
      </w:r>
      <w:r>
        <w:rPr>
          <w:rFonts w:hint="eastAsia" w:ascii="Microsoft New Tai Lue" w:hAnsi="Microsoft New Tai Lue" w:cs="Microsoft New Tai Lue"/>
          <w:bCs/>
          <w:color w:val="auto"/>
          <w:szCs w:val="21"/>
          <w:highlight w:val="none"/>
          <w:lang w:val="en-US" w:eastAsia="zh-CN"/>
        </w:rPr>
        <w:t>详见第四章采购需求。</w:t>
      </w:r>
    </w:p>
    <w:p w14:paraId="01DC769B">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合同履行期限：</w:t>
      </w:r>
      <w:r>
        <w:rPr>
          <w:rFonts w:hint="eastAsia" w:ascii="Microsoft New Tai Lue" w:hAnsi="Microsoft New Tai Lue" w:cs="Microsoft New Tai Lue"/>
          <w:bCs/>
          <w:color w:val="auto"/>
          <w:szCs w:val="21"/>
          <w:highlight w:val="none"/>
        </w:rPr>
        <w:t>自合同签订之日起至202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年</w:t>
      </w:r>
      <w:r>
        <w:rPr>
          <w:rFonts w:hint="eastAsia" w:ascii="Microsoft New Tai Lue" w:hAnsi="Microsoft New Tai Lue" w:cs="Microsoft New Tai Lue"/>
          <w:bCs/>
          <w:color w:val="auto"/>
          <w:szCs w:val="21"/>
          <w:highlight w:val="none"/>
          <w:lang w:val="en-US" w:eastAsia="zh-CN"/>
        </w:rPr>
        <w:t>8</w:t>
      </w:r>
      <w:r>
        <w:rPr>
          <w:rFonts w:hint="eastAsia" w:ascii="Microsoft New Tai Lue" w:hAnsi="Microsoft New Tai Lue" w:cs="Microsoft New Tai Lue"/>
          <w:bCs/>
          <w:color w:val="auto"/>
          <w:szCs w:val="21"/>
          <w:highlight w:val="none"/>
        </w:rPr>
        <w:t>月</w:t>
      </w:r>
      <w:r>
        <w:rPr>
          <w:rFonts w:hint="eastAsia" w:ascii="Microsoft New Tai Lue" w:hAnsi="Microsoft New Tai Lue" w:cs="Microsoft New Tai Lue"/>
          <w:bCs/>
          <w:color w:val="auto"/>
          <w:szCs w:val="21"/>
          <w:highlight w:val="none"/>
          <w:lang w:val="en-US" w:eastAsia="zh-CN"/>
        </w:rPr>
        <w:t>15</w:t>
      </w:r>
      <w:r>
        <w:rPr>
          <w:rFonts w:hint="eastAsia" w:ascii="Microsoft New Tai Lue" w:hAnsi="Microsoft New Tai Lue" w:cs="Microsoft New Tai Lue"/>
          <w:bCs/>
          <w:color w:val="auto"/>
          <w:szCs w:val="21"/>
          <w:highlight w:val="none"/>
        </w:rPr>
        <w:t>日完成。</w:t>
      </w:r>
    </w:p>
    <w:p w14:paraId="01BECEDC">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本项目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否</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接受联合体投标：</w:t>
      </w:r>
      <w:r>
        <w:rPr>
          <w:rFonts w:hint="eastAsia" w:ascii="Microsoft New Tai Lue" w:hAnsi="Microsoft New Tai Lue" w:cs="Microsoft New Tai Lue"/>
          <w:bCs/>
          <w:color w:val="auto"/>
          <w:szCs w:val="21"/>
          <w:highlight w:val="none"/>
        </w:rPr>
        <w:t>否</w:t>
      </w:r>
    </w:p>
    <w:p w14:paraId="6F5952F3">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bookmarkStart w:id="13" w:name="_Toc80264698"/>
      <w:bookmarkStart w:id="14" w:name="_Toc80792689"/>
      <w:bookmarkStart w:id="15" w:name="_Toc93909066"/>
      <w:bookmarkStart w:id="16" w:name="_Toc96347852"/>
      <w:r>
        <w:rPr>
          <w:rFonts w:ascii="Microsoft New Tai Lue" w:hAnsi="Microsoft New Tai Lue" w:cs="Microsoft New Tai Lue"/>
          <w:b/>
          <w:bCs/>
          <w:color w:val="auto"/>
          <w:kern w:val="44"/>
          <w:szCs w:val="44"/>
          <w:highlight w:val="none"/>
        </w:rPr>
        <w:t>二、</w:t>
      </w:r>
      <w:bookmarkEnd w:id="13"/>
      <w:r>
        <w:rPr>
          <w:rFonts w:ascii="Microsoft New Tai Lue" w:hAnsi="Microsoft New Tai Lue" w:cs="Microsoft New Tai Lue"/>
          <w:b/>
          <w:bCs/>
          <w:color w:val="auto"/>
          <w:kern w:val="44"/>
          <w:szCs w:val="44"/>
          <w:highlight w:val="none"/>
        </w:rPr>
        <w:t>申请人的资格要求</w:t>
      </w:r>
      <w:bookmarkEnd w:id="14"/>
      <w:bookmarkEnd w:id="15"/>
      <w:r>
        <w:rPr>
          <w:rFonts w:ascii="Microsoft New Tai Lue" w:hAnsi="Microsoft New Tai Lue" w:cs="Microsoft New Tai Lue"/>
          <w:b/>
          <w:bCs/>
          <w:color w:val="auto"/>
          <w:kern w:val="44"/>
          <w:szCs w:val="44"/>
          <w:highlight w:val="none"/>
        </w:rPr>
        <w:t>：</w:t>
      </w:r>
      <w:bookmarkEnd w:id="16"/>
      <w:bookmarkStart w:id="17" w:name="_Toc80264699"/>
      <w:bookmarkStart w:id="18" w:name="_Toc96347853"/>
      <w:bookmarkStart w:id="19" w:name="_Toc80792690"/>
      <w:bookmarkStart w:id="20" w:name="_Toc93909067"/>
    </w:p>
    <w:p w14:paraId="6E53948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（一）满足《中华人民共和国政府采购法》第二十二条规定：</w:t>
      </w:r>
    </w:p>
    <w:p w14:paraId="3D1D42E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w:t>
      </w:r>
      <w:r>
        <w:rPr>
          <w:rFonts w:hint="eastAsia"/>
          <w:color w:val="auto"/>
          <w:highlight w:val="none"/>
        </w:rPr>
        <w:t xml:space="preserve"> </w:t>
      </w:r>
      <w:r>
        <w:rPr>
          <w:rFonts w:hint="eastAsia" w:ascii="Microsoft New Tai Lue" w:hAnsi="Microsoft New Tai Lue" w:cs="Microsoft New Tai Lue"/>
          <w:bCs/>
          <w:color w:val="auto"/>
          <w:szCs w:val="21"/>
          <w:highlight w:val="none"/>
        </w:rPr>
        <w:t>法人或者其他组织的营业执照等证明文件，自然人的身份证明；</w:t>
      </w:r>
    </w:p>
    <w:p w14:paraId="0B9443A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w:t>
      </w:r>
      <w:r>
        <w:rPr>
          <w:rFonts w:hint="eastAsia"/>
          <w:color w:val="auto"/>
          <w:highlight w:val="none"/>
        </w:rPr>
        <w:t xml:space="preserve"> </w:t>
      </w:r>
      <w:r>
        <w:rPr>
          <w:rFonts w:hint="eastAsia" w:ascii="Microsoft New Tai Lue" w:hAnsi="Microsoft New Tai Lue" w:cs="Microsoft New Tai Lue"/>
          <w:bCs/>
          <w:color w:val="auto"/>
          <w:szCs w:val="21"/>
          <w:highlight w:val="none"/>
        </w:rPr>
        <w:t>具有良好的商业信誉和健全的财务会计制度，提供202</w:t>
      </w:r>
      <w:r>
        <w:rPr>
          <w:rFonts w:hint="eastAsia" w:ascii="Microsoft New Tai Lue" w:hAnsi="Microsoft New Tai Lue" w:cs="Microsoft New Tai Lue"/>
          <w:bCs/>
          <w:color w:val="auto"/>
          <w:szCs w:val="21"/>
          <w:highlight w:val="none"/>
          <w:lang w:val="en-US" w:eastAsia="zh-CN"/>
        </w:rPr>
        <w:t>4</w:t>
      </w:r>
      <w:r>
        <w:rPr>
          <w:rFonts w:hint="eastAsia" w:ascii="Microsoft New Tai Lue" w:hAnsi="Microsoft New Tai Lue" w:cs="Microsoft New Tai Lue"/>
          <w:bCs/>
          <w:color w:val="auto"/>
          <w:szCs w:val="21"/>
          <w:highlight w:val="none"/>
        </w:rPr>
        <w:t>或202</w:t>
      </w:r>
      <w:r>
        <w:rPr>
          <w:rFonts w:hint="eastAsia" w:ascii="Microsoft New Tai Lue" w:hAnsi="Microsoft New Tai Lue" w:cs="Microsoft New Tai Lue"/>
          <w:bCs/>
          <w:color w:val="auto"/>
          <w:szCs w:val="21"/>
          <w:highlight w:val="none"/>
          <w:lang w:val="en-US" w:eastAsia="zh-CN"/>
        </w:rPr>
        <w:t>5</w:t>
      </w:r>
      <w:r>
        <w:rPr>
          <w:rFonts w:hint="eastAsia" w:ascii="Microsoft New Tai Lue" w:hAnsi="Microsoft New Tai Lue" w:cs="Microsoft New Tai Lue"/>
          <w:bCs/>
          <w:color w:val="auto"/>
          <w:szCs w:val="21"/>
          <w:highlight w:val="none"/>
        </w:rPr>
        <w:t>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5EBBED0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w:t>
      </w:r>
      <w:r>
        <w:rPr>
          <w:rFonts w:hint="eastAsia"/>
          <w:color w:val="auto"/>
          <w:highlight w:val="none"/>
        </w:rPr>
        <w:t xml:space="preserve"> </w:t>
      </w:r>
      <w:r>
        <w:rPr>
          <w:rFonts w:hint="eastAsia" w:ascii="Microsoft New Tai Lue" w:hAnsi="Microsoft New Tai Lue" w:cs="Microsoft New Tai Lue"/>
          <w:bCs/>
          <w:color w:val="auto"/>
          <w:szCs w:val="21"/>
          <w:highlight w:val="none"/>
        </w:rPr>
        <w:t>具有履行合同所必需的设备和专业技术能力，提供具备履行合同所必需的设备和专业技术能力的证明材料或承诺函（由供应商根据项目需求提供说明材料）；</w:t>
      </w:r>
    </w:p>
    <w:p w14:paraId="312CE98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w:t>
      </w:r>
      <w:r>
        <w:rPr>
          <w:rFonts w:hint="eastAsia"/>
          <w:color w:val="auto"/>
          <w:highlight w:val="none"/>
        </w:rPr>
        <w:t xml:space="preserve"> </w:t>
      </w:r>
      <w:r>
        <w:rPr>
          <w:rFonts w:hint="eastAsia" w:ascii="Microsoft New Tai Lue" w:hAnsi="Microsoft New Tai Lue" w:cs="Microsoft New Tai Lue"/>
          <w:bCs/>
          <w:color w:val="auto"/>
          <w:szCs w:val="21"/>
          <w:highlight w:val="none"/>
        </w:rPr>
        <w:t>有依法缴纳税收和社会保障资金的良好记录，提供本次采购活动前6个月内，至少1个月缴纳税收和社会保险的凭证，依法享受免缴、缓缴的，提供证明材料；</w:t>
      </w:r>
    </w:p>
    <w:p w14:paraId="49EB1CE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5.</w:t>
      </w:r>
      <w:r>
        <w:rPr>
          <w:rFonts w:hint="eastAsia"/>
          <w:color w:val="auto"/>
          <w:highlight w:val="none"/>
        </w:rPr>
        <w:t xml:space="preserve"> </w:t>
      </w:r>
      <w:r>
        <w:rPr>
          <w:rFonts w:hint="eastAsia" w:ascii="Microsoft New Tai Lue" w:hAnsi="Microsoft New Tai Lue" w:cs="Microsoft New Tai Lue"/>
          <w:bCs/>
          <w:color w:val="auto"/>
          <w:szCs w:val="21"/>
          <w:highlight w:val="none"/>
        </w:rPr>
        <w:t>参加政府采购活动前三年内，在经营活动中没有重大违法记录，提供声明函原件（重大违法记录是指供应商因违法经营受到刑事处罚或责令停产停业、吊销许可证或者执照、较大数额罚款等行政处罚）。</w:t>
      </w:r>
    </w:p>
    <w:p w14:paraId="560B0F1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6.</w:t>
      </w:r>
      <w:r>
        <w:rPr>
          <w:rFonts w:hint="eastAsia"/>
          <w:color w:val="auto"/>
          <w:highlight w:val="none"/>
        </w:rPr>
        <w:t xml:space="preserve"> </w:t>
      </w:r>
      <w:r>
        <w:rPr>
          <w:rFonts w:hint="eastAsia" w:ascii="Microsoft New Tai Lue" w:hAnsi="Microsoft New Tai Lue" w:cs="Microsoft New Tai Lue"/>
          <w:bCs/>
          <w:color w:val="auto"/>
          <w:szCs w:val="21"/>
          <w:highlight w:val="none"/>
        </w:rPr>
        <w:t>法律、行政法规规定的其他条件。</w:t>
      </w:r>
    </w:p>
    <w:p w14:paraId="0CA2A2A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（二）落实政府采购政策需满足的资格要求：</w:t>
      </w:r>
    </w:p>
    <w:p w14:paraId="7961A4D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1.中小企业政策</w:t>
      </w:r>
    </w:p>
    <w:p w14:paraId="3557851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本项目不面向中小企业预留采购份额。</w:t>
      </w:r>
    </w:p>
    <w:p w14:paraId="5DAE713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2.其它落实政府采购政策的资格要求：无。</w:t>
      </w:r>
    </w:p>
    <w:p w14:paraId="18F595B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（三）本项目的特定资格要求：</w:t>
      </w:r>
    </w:p>
    <w:p w14:paraId="124A32A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w:t>
      </w:r>
      <w:r>
        <w:rPr>
          <w:rFonts w:hint="eastAsia" w:ascii="Microsoft New Tai Lue" w:hAnsi="Microsoft New Tai Lue" w:cs="Microsoft New Tai Lue"/>
          <w:bCs/>
          <w:color w:val="auto"/>
          <w:szCs w:val="21"/>
          <w:highlight w:val="none"/>
        </w:rPr>
        <w:t>.特定资格条件：</w:t>
      </w:r>
    </w:p>
    <w:p w14:paraId="53BF36A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lang w:val="en-US" w:eastAsia="zh-CN"/>
        </w:rPr>
        <w:t>1</w:t>
      </w:r>
      <w:r>
        <w:rPr>
          <w:rFonts w:hint="eastAsia" w:ascii="Microsoft New Tai Lue" w:hAnsi="Microsoft New Tai Lue" w:cs="Microsoft New Tai Lue"/>
          <w:bCs/>
          <w:color w:val="auto"/>
          <w:szCs w:val="21"/>
          <w:highlight w:val="none"/>
          <w:lang w:eastAsia="zh-CN"/>
        </w:rPr>
        <w:t>）</w:t>
      </w:r>
      <w:r>
        <w:rPr>
          <w:rFonts w:hint="eastAsia" w:ascii="宋体" w:hAnsi="宋体" w:eastAsia="宋体" w:cs="宋体"/>
          <w:color w:val="auto"/>
          <w:sz w:val="21"/>
          <w:szCs w:val="21"/>
          <w:highlight w:val="none"/>
        </w:rPr>
        <w:t>供应商</w:t>
      </w:r>
      <w:r>
        <w:rPr>
          <w:rFonts w:hint="eastAsia" w:ascii="Microsoft New Tai Lue" w:hAnsi="Microsoft New Tai Lue" w:cs="Microsoft New Tai Lue"/>
          <w:bCs/>
          <w:color w:val="auto"/>
          <w:szCs w:val="21"/>
          <w:highlight w:val="none"/>
        </w:rPr>
        <w:t>符合《政府购买服务管理办法》（财政部令第 102号）第六条</w:t>
      </w:r>
      <w:r>
        <w:rPr>
          <w:rFonts w:hint="eastAsia" w:ascii="Microsoft New Tai Lue" w:hAnsi="Microsoft New Tai Lue" w:cs="Microsoft New Tai Lue"/>
          <w:bCs/>
          <w:color w:val="auto"/>
          <w:szCs w:val="21"/>
          <w:highlight w:val="none"/>
          <w:lang w:val="en-US" w:eastAsia="zh-CN"/>
        </w:rPr>
        <w:t>和</w:t>
      </w:r>
      <w:r>
        <w:rPr>
          <w:rFonts w:hint="eastAsia" w:ascii="Microsoft New Tai Lue" w:hAnsi="Microsoft New Tai Lue" w:cs="Microsoft New Tai Lue"/>
          <w:bCs/>
          <w:color w:val="auto"/>
          <w:szCs w:val="21"/>
          <w:highlight w:val="none"/>
        </w:rPr>
        <w:t>第八条规定</w:t>
      </w: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lang w:val="en-US" w:eastAsia="zh-CN"/>
        </w:rPr>
        <w:t>提供声明函并加盖公章</w:t>
      </w:r>
      <w:r>
        <w:rPr>
          <w:rFonts w:hint="eastAsia" w:ascii="Microsoft New Tai Lue" w:hAnsi="Microsoft New Tai Lue" w:cs="Microsoft New Tai Lue"/>
          <w:bCs/>
          <w:color w:val="auto"/>
          <w:szCs w:val="21"/>
          <w:highlight w:val="none"/>
          <w:lang w:eastAsia="zh-CN"/>
        </w:rPr>
        <w:t>）；</w:t>
      </w:r>
    </w:p>
    <w:p w14:paraId="493D02A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lang w:val="en-US" w:eastAsia="zh-CN"/>
        </w:rPr>
        <w:t>2</w:t>
      </w:r>
      <w:r>
        <w:rPr>
          <w:rFonts w:hint="eastAsia" w:ascii="Microsoft New Tai Lue" w:hAnsi="Microsoft New Tai Lue" w:cs="Microsoft New Tai Lue"/>
          <w:bCs/>
          <w:color w:val="auto"/>
          <w:szCs w:val="21"/>
          <w:highlight w:val="none"/>
          <w:lang w:eastAsia="zh-CN"/>
        </w:rPr>
        <w:t>）</w:t>
      </w:r>
      <w:r>
        <w:rPr>
          <w:rFonts w:hint="eastAsia" w:ascii="宋体" w:hAnsi="宋体" w:eastAsia="宋体" w:cs="宋体"/>
          <w:color w:val="auto"/>
          <w:sz w:val="21"/>
          <w:szCs w:val="21"/>
          <w:highlight w:val="none"/>
        </w:rPr>
        <w:t>供应商</w:t>
      </w:r>
      <w:r>
        <w:rPr>
          <w:rFonts w:hint="eastAsia" w:ascii="Microsoft New Tai Lue" w:hAnsi="Microsoft New Tai Lue" w:cs="Microsoft New Tai Lue"/>
          <w:bCs/>
          <w:color w:val="auto"/>
          <w:szCs w:val="21"/>
          <w:highlight w:val="none"/>
        </w:rPr>
        <w:t>具备检验检测机构资质认定证书（CMA），合同履行期限</w:t>
      </w:r>
      <w:r>
        <w:rPr>
          <w:rFonts w:hint="eastAsia" w:ascii="Microsoft New Tai Lue" w:hAnsi="Microsoft New Tai Lue" w:cs="Microsoft New Tai Lue"/>
          <w:bCs/>
          <w:color w:val="auto"/>
          <w:szCs w:val="21"/>
          <w:highlight w:val="none"/>
          <w:lang w:val="en-US" w:eastAsia="zh-CN"/>
        </w:rPr>
        <w:t>内</w:t>
      </w:r>
      <w:r>
        <w:rPr>
          <w:rFonts w:hint="eastAsia" w:ascii="Microsoft New Tai Lue" w:hAnsi="Microsoft New Tai Lue" w:cs="Microsoft New Tai Lue"/>
          <w:bCs/>
          <w:color w:val="auto"/>
          <w:szCs w:val="21"/>
          <w:highlight w:val="none"/>
        </w:rPr>
        <w:t>CMA资质附表中的项目包含所投标包检测内容</w:t>
      </w:r>
      <w:r>
        <w:rPr>
          <w:rFonts w:hint="eastAsia" w:ascii="宋体" w:hAnsi="宋体" w:cs="宋体"/>
          <w:color w:val="auto"/>
          <w:szCs w:val="21"/>
          <w:highlight w:val="none"/>
        </w:rPr>
        <w:t>。</w:t>
      </w:r>
      <w:r>
        <w:rPr>
          <w:rFonts w:hint="eastAsia" w:ascii="Microsoft New Tai Lue" w:hAnsi="Microsoft New Tai Lue" w:cs="Microsoft New Tai Lue"/>
          <w:bCs/>
          <w:color w:val="auto"/>
          <w:szCs w:val="21"/>
          <w:highlight w:val="none"/>
        </w:rPr>
        <w:t>（提供有效期内的证书复印件</w:t>
      </w:r>
      <w:r>
        <w:rPr>
          <w:rFonts w:hint="eastAsia" w:ascii="Microsoft New Tai Lue" w:hAnsi="Microsoft New Tai Lue" w:cs="Microsoft New Tai Lue"/>
          <w:bCs/>
          <w:color w:val="auto"/>
          <w:szCs w:val="21"/>
          <w:highlight w:val="none"/>
          <w:lang w:val="en-US" w:eastAsia="zh-CN"/>
        </w:rPr>
        <w:t>并</w:t>
      </w:r>
      <w:r>
        <w:rPr>
          <w:rFonts w:hint="eastAsia" w:ascii="Microsoft New Tai Lue" w:hAnsi="Microsoft New Tai Lue" w:cs="Microsoft New Tai Lue"/>
          <w:bCs/>
          <w:color w:val="auto"/>
          <w:szCs w:val="21"/>
          <w:highlight w:val="none"/>
        </w:rPr>
        <w:t>加盖公章</w:t>
      </w:r>
      <w:r>
        <w:rPr>
          <w:rFonts w:hint="eastAsia" w:ascii="Microsoft New Tai Lue" w:hAnsi="Microsoft New Tai Lue" w:cs="Microsoft New Tai Lue"/>
          <w:bCs/>
          <w:color w:val="auto"/>
          <w:szCs w:val="21"/>
          <w:highlight w:val="none"/>
          <w:lang w:val="en-US" w:eastAsia="zh-CN"/>
        </w:rPr>
        <w:t>和</w:t>
      </w:r>
      <w:r>
        <w:rPr>
          <w:rFonts w:hint="eastAsia" w:ascii="Microsoft New Tai Lue" w:hAnsi="Microsoft New Tai Lue" w:cs="Microsoft New Tai Lue"/>
          <w:bCs/>
          <w:color w:val="auto"/>
          <w:szCs w:val="21"/>
          <w:highlight w:val="none"/>
        </w:rPr>
        <w:t>合同履行期限内CMA资质附表中的项目包含所投标包检测内容的承诺函并加盖公章</w:t>
      </w:r>
      <w:r>
        <w:rPr>
          <w:rFonts w:hint="eastAsia" w:ascii="Microsoft New Tai Lue" w:hAnsi="Microsoft New Tai Lue" w:cs="Microsoft New Tai Lue"/>
          <w:bCs/>
          <w:color w:val="auto"/>
          <w:szCs w:val="21"/>
          <w:highlight w:val="none"/>
          <w:lang w:eastAsia="zh-CN"/>
        </w:rPr>
        <w:t>，</w:t>
      </w:r>
      <w:r>
        <w:rPr>
          <w:rFonts w:hint="eastAsia" w:ascii="Microsoft New Tai Lue" w:hAnsi="Microsoft New Tai Lue" w:cs="Microsoft New Tai Lue"/>
          <w:bCs/>
          <w:color w:val="auto"/>
          <w:szCs w:val="21"/>
          <w:highlight w:val="none"/>
        </w:rPr>
        <w:t>如证书有效期未能覆盖合同履行期限的，须提供证书有效期能覆盖合同履行期限的承诺函并加盖公章）。</w:t>
      </w:r>
    </w:p>
    <w:p w14:paraId="17208AC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w:t>
      </w:r>
      <w:r>
        <w:rPr>
          <w:rFonts w:hint="eastAsia" w:ascii="Microsoft New Tai Lue" w:hAnsi="Microsoft New Tai Lue" w:cs="Microsoft New Tai Lue"/>
          <w:bCs/>
          <w:color w:val="auto"/>
          <w:szCs w:val="21"/>
          <w:highlight w:val="none"/>
        </w:rPr>
        <w:t>.供应商存在下列情形的不得参加本次招标活动：</w:t>
      </w:r>
    </w:p>
    <w:p w14:paraId="6F021C6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（1）单位负责人为同一人或者存在直接控股、管理关系的不同供应商，不得参加同一合同项下的政府采购活动。</w:t>
      </w:r>
    </w:p>
    <w:p w14:paraId="0F960E3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（2）除单一来源项目外，凡为采购项目提供整体设计、规范编制或者项目管理、监理、检测等服务的供应商不得再参加本项目的采购活动。</w:t>
      </w:r>
    </w:p>
    <w:p w14:paraId="68859A09">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p>
    <w:p w14:paraId="46AF22B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提供无不良信用记录承诺并加盖</w:t>
      </w:r>
      <w:r>
        <w:rPr>
          <w:rFonts w:hint="eastAsia" w:ascii="宋体" w:hAnsi="宋体" w:eastAsia="宋体" w:cs="宋体"/>
          <w:color w:val="auto"/>
          <w:sz w:val="21"/>
          <w:szCs w:val="21"/>
          <w:highlight w:val="none"/>
        </w:rPr>
        <w:t>供应商</w:t>
      </w:r>
      <w:r>
        <w:rPr>
          <w:rFonts w:hint="eastAsia" w:ascii="Microsoft New Tai Lue" w:hAnsi="Microsoft New Tai Lue" w:cs="Microsoft New Tai Lue"/>
          <w:bCs/>
          <w:color w:val="auto"/>
          <w:szCs w:val="21"/>
          <w:highlight w:val="none"/>
        </w:rPr>
        <w:t>公章。</w:t>
      </w:r>
    </w:p>
    <w:p w14:paraId="2B74C4F0">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三、获取招标文件</w:t>
      </w:r>
      <w:bookmarkEnd w:id="17"/>
      <w:bookmarkEnd w:id="18"/>
      <w:bookmarkEnd w:id="19"/>
      <w:bookmarkEnd w:id="20"/>
      <w:bookmarkStart w:id="21" w:name="_Toc80264700"/>
    </w:p>
    <w:p w14:paraId="205FB30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时间：自招标文件公告发布之日起5个工作日</w:t>
      </w:r>
    </w:p>
    <w:p w14:paraId="07F65CF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auto"/>
          <w:szCs w:val="21"/>
          <w:highlight w:val="none"/>
          <w:lang w:eastAsia="zh-CN"/>
        </w:rPr>
      </w:pPr>
      <w:r>
        <w:rPr>
          <w:rFonts w:hint="eastAsia" w:ascii="Microsoft New Tai Lue" w:hAnsi="Microsoft New Tai Lue" w:cs="Microsoft New Tai Lue"/>
          <w:bCs/>
          <w:color w:val="auto"/>
          <w:szCs w:val="21"/>
          <w:highlight w:val="none"/>
        </w:rPr>
        <w:t>地点：</w:t>
      </w:r>
      <w:r>
        <w:rPr>
          <w:rFonts w:hint="default" w:ascii="Times New Roman" w:hAnsi="Times New Roman" w:eastAsia="宋体" w:cs="Times New Roman"/>
          <w:bCs w:val="0"/>
          <w:color w:val="auto"/>
          <w:szCs w:val="21"/>
          <w:highlight w:val="none"/>
          <w:lang w:eastAsia="zh-CN"/>
        </w:rPr>
        <w:t>江苏政府采购网</w:t>
      </w:r>
    </w:p>
    <w:p w14:paraId="5F41027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val="0"/>
          <w:color w:val="auto"/>
          <w:szCs w:val="21"/>
          <w:highlight w:val="none"/>
          <w:lang w:eastAsia="zh-CN"/>
        </w:rPr>
      </w:pPr>
      <w:r>
        <w:rPr>
          <w:rFonts w:hint="eastAsia" w:ascii="Microsoft New Tai Lue" w:hAnsi="Microsoft New Tai Lue" w:cs="Microsoft New Tai Lue"/>
          <w:bCs/>
          <w:color w:val="auto"/>
          <w:szCs w:val="21"/>
          <w:highlight w:val="none"/>
        </w:rPr>
        <w:t>方式：</w:t>
      </w:r>
      <w:r>
        <w:rPr>
          <w:rFonts w:hint="default" w:ascii="Times New Roman" w:hAnsi="Times New Roman" w:eastAsia="宋体" w:cs="Times New Roman"/>
          <w:bCs w:val="0"/>
          <w:color w:val="auto"/>
          <w:szCs w:val="21"/>
          <w:highlight w:val="none"/>
          <w:lang w:eastAsia="zh-CN"/>
        </w:rPr>
        <w:t>网站下载</w:t>
      </w:r>
      <w:bookmarkStart w:id="22" w:name="_Toc80792691"/>
      <w:bookmarkStart w:id="23" w:name="_Toc93909068"/>
      <w:bookmarkStart w:id="24" w:name="_Toc96347854"/>
    </w:p>
    <w:p w14:paraId="2DDE376D">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ascii="Times New Roman" w:hAnsi="Times New Roman" w:eastAsia="宋体" w:cs="Times New Roman"/>
          <w:bCs/>
          <w:color w:val="auto"/>
          <w:szCs w:val="21"/>
          <w:highlight w:val="none"/>
          <w:lang w:eastAsia="zh-CN"/>
        </w:rPr>
      </w:pPr>
      <w:r>
        <w:rPr>
          <w:rFonts w:hint="eastAsia" w:ascii="Microsoft New Tai Lue" w:hAnsi="Microsoft New Tai Lue" w:cs="Microsoft New Tai Lue"/>
          <w:bCs/>
          <w:color w:val="auto"/>
          <w:szCs w:val="21"/>
          <w:highlight w:val="none"/>
        </w:rPr>
        <w:t>售价：</w:t>
      </w:r>
      <w:r>
        <w:rPr>
          <w:rFonts w:hint="default" w:ascii="Times New Roman" w:hAnsi="Times New Roman" w:eastAsia="宋体" w:cs="Times New Roman"/>
          <w:bCs/>
          <w:color w:val="auto"/>
          <w:szCs w:val="21"/>
          <w:highlight w:val="none"/>
          <w:lang w:eastAsia="zh-CN"/>
        </w:rPr>
        <w:t>0.00元</w:t>
      </w:r>
    </w:p>
    <w:p w14:paraId="471A71EE">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四、</w:t>
      </w:r>
      <w:bookmarkEnd w:id="21"/>
      <w:bookmarkEnd w:id="22"/>
      <w:r>
        <w:rPr>
          <w:rFonts w:ascii="Microsoft New Tai Lue" w:hAnsi="Microsoft New Tai Lue" w:cs="Microsoft New Tai Lue"/>
          <w:b/>
          <w:bCs/>
          <w:color w:val="auto"/>
          <w:kern w:val="44"/>
          <w:szCs w:val="44"/>
          <w:highlight w:val="none"/>
        </w:rPr>
        <w:t>提交投标文件截止时间、开标时间和地点</w:t>
      </w:r>
      <w:bookmarkEnd w:id="23"/>
      <w:bookmarkEnd w:id="24"/>
    </w:p>
    <w:p w14:paraId="63EAF65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202</w:t>
      </w:r>
      <w:r>
        <w:rPr>
          <w:rFonts w:hint="eastAsia" w:ascii="Microsoft New Tai Lue" w:hAnsi="Microsoft New Tai Lue" w:cs="Microsoft New Tai Lue"/>
          <w:bCs/>
          <w:color w:val="auto"/>
          <w:szCs w:val="21"/>
          <w:highlight w:val="none"/>
          <w:lang w:val="en-US" w:eastAsia="zh-CN"/>
        </w:rPr>
        <w:t>6</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04</w:t>
      </w:r>
      <w:r>
        <w:rPr>
          <w:rFonts w:hint="eastAsia" w:ascii="Microsoft New Tai Lue" w:hAnsi="Microsoft New Tai Lue" w:cs="Microsoft New Tai Lue"/>
          <w:bCs/>
          <w:color w:val="auto"/>
          <w:szCs w:val="21"/>
          <w:highlight w:val="none"/>
        </w:rPr>
        <w:t>-</w:t>
      </w:r>
      <w:r>
        <w:rPr>
          <w:rFonts w:hint="eastAsia" w:ascii="Microsoft New Tai Lue" w:hAnsi="Microsoft New Tai Lue" w:cs="Microsoft New Tai Lue"/>
          <w:bCs/>
          <w:color w:val="auto"/>
          <w:szCs w:val="21"/>
          <w:highlight w:val="none"/>
          <w:lang w:val="en-US" w:eastAsia="zh-CN"/>
        </w:rPr>
        <w:t xml:space="preserve">24 </w:t>
      </w:r>
      <w:r>
        <w:rPr>
          <w:rFonts w:hint="eastAsia" w:ascii="Microsoft New Tai Lue" w:hAnsi="Microsoft New Tai Lue" w:cs="Microsoft New Tai Lue"/>
          <w:bCs/>
          <w:color w:val="auto"/>
          <w:szCs w:val="21"/>
          <w:highlight w:val="none"/>
        </w:rPr>
        <w:t xml:space="preserve"> </w:t>
      </w:r>
      <w:r>
        <w:rPr>
          <w:rFonts w:hint="eastAsia" w:ascii="Microsoft New Tai Lue" w:hAnsi="Microsoft New Tai Lue" w:cs="Microsoft New Tai Lue"/>
          <w:bCs/>
          <w:color w:val="auto"/>
          <w:szCs w:val="21"/>
          <w:highlight w:val="none"/>
          <w:lang w:val="en-US" w:eastAsia="zh-CN"/>
        </w:rPr>
        <w:t>09</w:t>
      </w:r>
      <w:r>
        <w:rPr>
          <w:rFonts w:hint="eastAsia" w:ascii="Microsoft New Tai Lue" w:hAnsi="Microsoft New Tai Lue" w:cs="Microsoft New Tai Lue"/>
          <w:bCs/>
          <w:color w:val="auto"/>
          <w:szCs w:val="21"/>
          <w:highlight w:val="none"/>
        </w:rPr>
        <w:t>：00（北京时间）</w:t>
      </w:r>
    </w:p>
    <w:p w14:paraId="3A95312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default"/>
          <w:bCs/>
          <w:color w:val="auto"/>
          <w:szCs w:val="21"/>
          <w:highlight w:val="none"/>
        </w:rPr>
      </w:pPr>
      <w:r>
        <w:rPr>
          <w:rFonts w:hint="eastAsia" w:ascii="Microsoft New Tai Lue" w:hAnsi="Microsoft New Tai Lue" w:cs="Microsoft New Tai Lue"/>
          <w:bCs/>
          <w:color w:val="auto"/>
          <w:szCs w:val="21"/>
          <w:highlight w:val="none"/>
        </w:rPr>
        <w:t>地点：</w:t>
      </w:r>
      <w:r>
        <w:rPr>
          <w:rFonts w:hint="default"/>
          <w:bCs/>
          <w:color w:val="auto"/>
          <w:szCs w:val="21"/>
          <w:highlight w:val="none"/>
        </w:rPr>
        <w:t>江苏省政府采购管理交易系统（苏采云）（以下简称</w:t>
      </w:r>
      <w:r>
        <w:rPr>
          <w:rFonts w:hint="eastAsia"/>
          <w:bCs/>
          <w:color w:val="auto"/>
          <w:szCs w:val="21"/>
          <w:highlight w:val="none"/>
          <w:lang w:eastAsia="zh-CN"/>
        </w:rPr>
        <w:t>“</w:t>
      </w:r>
      <w:r>
        <w:rPr>
          <w:rFonts w:hint="default"/>
          <w:bCs/>
          <w:color w:val="auto"/>
          <w:szCs w:val="21"/>
          <w:highlight w:val="none"/>
        </w:rPr>
        <w:t>苏采云</w:t>
      </w:r>
      <w:r>
        <w:rPr>
          <w:rFonts w:hint="eastAsia"/>
          <w:bCs/>
          <w:color w:val="auto"/>
          <w:szCs w:val="21"/>
          <w:highlight w:val="none"/>
          <w:lang w:eastAsia="zh-CN"/>
        </w:rPr>
        <w:t>”</w:t>
      </w:r>
      <w:r>
        <w:rPr>
          <w:rFonts w:hint="default"/>
          <w:bCs/>
          <w:color w:val="auto"/>
          <w:szCs w:val="21"/>
          <w:highlight w:val="none"/>
        </w:rPr>
        <w:t>）（网址：</w:t>
      </w:r>
      <w:r>
        <w:rPr>
          <w:rFonts w:hint="default"/>
          <w:bCs/>
          <w:color w:val="auto"/>
          <w:szCs w:val="21"/>
          <w:highlight w:val="none"/>
        </w:rPr>
        <w:fldChar w:fldCharType="begin"/>
      </w:r>
      <w:r>
        <w:rPr>
          <w:rFonts w:hint="default"/>
          <w:bCs/>
          <w:color w:val="auto"/>
          <w:szCs w:val="21"/>
          <w:highlight w:val="none"/>
        </w:rPr>
        <w:instrText xml:space="preserve"> HYPERLINK "http://jszfcg.jsczt.cn/）" </w:instrText>
      </w:r>
      <w:r>
        <w:rPr>
          <w:rFonts w:hint="default"/>
          <w:bCs/>
          <w:color w:val="auto"/>
          <w:szCs w:val="21"/>
          <w:highlight w:val="none"/>
        </w:rPr>
        <w:fldChar w:fldCharType="separate"/>
      </w:r>
      <w:r>
        <w:rPr>
          <w:rStyle w:val="40"/>
          <w:rFonts w:hint="default"/>
          <w:bCs/>
          <w:szCs w:val="21"/>
          <w:highlight w:val="none"/>
        </w:rPr>
        <w:t>http://jszfcg.jsczt.cn/）</w:t>
      </w:r>
      <w:bookmarkStart w:id="25" w:name="_Toc80792693"/>
      <w:bookmarkStart w:id="26" w:name="_Toc93909069"/>
      <w:bookmarkStart w:id="27" w:name="_Toc96347855"/>
      <w:r>
        <w:rPr>
          <w:rFonts w:hint="default"/>
          <w:bCs/>
          <w:color w:val="auto"/>
          <w:szCs w:val="21"/>
          <w:highlight w:val="none"/>
        </w:rPr>
        <w:fldChar w:fldCharType="end"/>
      </w:r>
    </w:p>
    <w:p w14:paraId="5FC2B2DB">
      <w:pPr>
        <w:keepNext w:val="0"/>
        <w:keepLines w:val="0"/>
        <w:pageBreakBefore w:val="0"/>
        <w:widowControl w:val="0"/>
        <w:kinsoku/>
        <w:wordWrap/>
        <w:overflowPunct/>
        <w:topLinePunct w:val="0"/>
        <w:autoSpaceDE/>
        <w:autoSpaceDN/>
        <w:bidi w:val="0"/>
        <w:spacing w:line="360" w:lineRule="auto"/>
        <w:textAlignment w:val="auto"/>
        <w:rPr>
          <w:rFonts w:hint="eastAsia"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五、</w:t>
      </w:r>
      <w:bookmarkEnd w:id="25"/>
      <w:r>
        <w:rPr>
          <w:rFonts w:ascii="Microsoft New Tai Lue" w:hAnsi="Microsoft New Tai Lue" w:cs="Microsoft New Tai Lue"/>
          <w:b/>
          <w:bCs/>
          <w:color w:val="auto"/>
          <w:kern w:val="44"/>
          <w:szCs w:val="44"/>
          <w:highlight w:val="none"/>
        </w:rPr>
        <w:t>公告期</w:t>
      </w:r>
      <w:bookmarkEnd w:id="26"/>
      <w:bookmarkEnd w:id="27"/>
      <w:r>
        <w:rPr>
          <w:rFonts w:hint="eastAsia" w:ascii="Microsoft New Tai Lue" w:hAnsi="Microsoft New Tai Lue" w:cs="Microsoft New Tai Lue"/>
          <w:b/>
          <w:bCs/>
          <w:color w:val="auto"/>
          <w:kern w:val="44"/>
          <w:szCs w:val="44"/>
          <w:highlight w:val="none"/>
        </w:rPr>
        <w:t>限</w:t>
      </w:r>
    </w:p>
    <w:p w14:paraId="1FD15A0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自本公告发布之日起5个工作日。</w:t>
      </w:r>
      <w:bookmarkStart w:id="28" w:name="_Toc96347856"/>
      <w:bookmarkStart w:id="29" w:name="_Toc93909070"/>
    </w:p>
    <w:p w14:paraId="6839BAA2">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六、其他补充事宜</w:t>
      </w:r>
      <w:bookmarkEnd w:id="28"/>
      <w:bookmarkEnd w:id="29"/>
      <w:bookmarkStart w:id="30" w:name="_Toc80792694"/>
      <w:bookmarkStart w:id="31" w:name="_Toc80264702"/>
      <w:bookmarkStart w:id="32" w:name="_Toc96347857"/>
      <w:bookmarkStart w:id="33" w:name="_Toc93909071"/>
    </w:p>
    <w:p w14:paraId="523AA3D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eastAsia="宋体" w:cs="Microsoft New Tai Lue"/>
          <w:color w:val="auto"/>
          <w:szCs w:val="21"/>
          <w:highlight w:val="none"/>
          <w:lang w:eastAsia="zh-CN"/>
        </w:rPr>
      </w:pPr>
      <w:r>
        <w:rPr>
          <w:rFonts w:hint="eastAsia" w:ascii="Microsoft New Tai Lue" w:hAnsi="Microsoft New Tai Lue" w:cs="Microsoft New Tai Lue"/>
          <w:color w:val="auto"/>
          <w:szCs w:val="21"/>
          <w:highlight w:val="none"/>
        </w:rPr>
        <w:t>1.政府采购支持政策</w:t>
      </w:r>
      <w:r>
        <w:rPr>
          <w:rFonts w:hint="eastAsia" w:ascii="Microsoft New Tai Lue" w:hAnsi="Microsoft New Tai Lue" w:cs="Microsoft New Tai Lue"/>
          <w:color w:val="auto"/>
          <w:szCs w:val="21"/>
          <w:highlight w:val="none"/>
          <w:lang w:eastAsia="zh-CN"/>
        </w:rPr>
        <w:t>：</w:t>
      </w:r>
    </w:p>
    <w:p w14:paraId="38BE1BC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（1）《政府采购促进中小企业发展管理办法》（财库【2020】46号）</w:t>
      </w:r>
    </w:p>
    <w:p w14:paraId="2A34652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（2）《关于进一步加大政府采购支持中小企业力度的通知》（财库【2022】19号）</w:t>
      </w:r>
    </w:p>
    <w:p w14:paraId="27F4561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（3）《关于政府采购支持监狱企业发展有关问题的通知》</w:t>
      </w:r>
    </w:p>
    <w:p w14:paraId="14ED3DD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（4）《关于促进残疾人就业政府采购政策的通知》</w:t>
      </w:r>
    </w:p>
    <w:p w14:paraId="1D1DE09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（5）《关于调整优化节能产品、环境标志产品政府采购执行机制的通知》</w:t>
      </w:r>
    </w:p>
    <w:p w14:paraId="323BC3C8">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bCs/>
          <w:color w:val="auto"/>
          <w:szCs w:val="21"/>
          <w:highlight w:val="none"/>
          <w:lang w:eastAsia="zh-CN"/>
        </w:rPr>
      </w:pPr>
      <w:r>
        <w:rPr>
          <w:rFonts w:hint="eastAsia" w:ascii="Microsoft New Tai Lue" w:hAnsi="Microsoft New Tai Lue" w:cs="Microsoft New Tai Lue"/>
          <w:bCs/>
          <w:color w:val="auto"/>
          <w:szCs w:val="21"/>
          <w:highlight w:val="none"/>
          <w:lang w:val="en-US" w:eastAsia="zh-CN"/>
        </w:rPr>
        <w:t>2</w:t>
      </w:r>
      <w:r>
        <w:rPr>
          <w:rFonts w:hint="eastAsia" w:ascii="Microsoft New Tai Lue" w:hAnsi="Microsoft New Tai Lue" w:cs="Microsoft New Tai Lue"/>
          <w:bCs/>
          <w:color w:val="auto"/>
          <w:szCs w:val="21"/>
          <w:highlight w:val="none"/>
        </w:rPr>
        <w:t>.本项目</w:t>
      </w:r>
      <w:r>
        <w:rPr>
          <w:rFonts w:ascii="Microsoft New Tai Lue" w:hAnsi="Microsoft New Tai Lue" w:cs="Microsoft New Tai Lue"/>
          <w:bCs/>
          <w:color w:val="auto"/>
          <w:szCs w:val="21"/>
          <w:highlight w:val="none"/>
        </w:rPr>
        <w:t>招标代理机构项目</w:t>
      </w:r>
      <w:r>
        <w:rPr>
          <w:rFonts w:hint="eastAsia" w:ascii="Microsoft New Tai Lue" w:hAnsi="Microsoft New Tai Lue" w:cs="Microsoft New Tai Lue"/>
          <w:bCs/>
          <w:color w:val="auto"/>
          <w:szCs w:val="21"/>
          <w:highlight w:val="none"/>
        </w:rPr>
        <w:t>编号：</w:t>
      </w:r>
      <w:r>
        <w:rPr>
          <w:rFonts w:hint="eastAsia" w:ascii="Microsoft New Tai Lue" w:hAnsi="Microsoft New Tai Lue" w:cs="Microsoft New Tai Lue"/>
          <w:bCs/>
          <w:color w:val="auto"/>
          <w:szCs w:val="21"/>
          <w:highlight w:val="none"/>
          <w:lang w:eastAsia="zh-CN"/>
        </w:rPr>
        <w:t>JSTCC26022101726</w:t>
      </w:r>
    </w:p>
    <w:p w14:paraId="33CA787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3</w:t>
      </w:r>
      <w:r>
        <w:rPr>
          <w:rFonts w:hint="eastAsia" w:ascii="Microsoft New Tai Lue" w:hAnsi="Microsoft New Tai Lue" w:cs="Microsoft New Tai Lue"/>
          <w:color w:val="auto"/>
          <w:szCs w:val="21"/>
          <w:highlight w:val="none"/>
        </w:rPr>
        <w:t>.潜在供应商访问政府采购管理交易系统（苏采云）的网络地址和方法：</w:t>
      </w:r>
    </w:p>
    <w:p w14:paraId="3EA6EB8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B7CEAE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（2）“CA数字证书”的获取：供应商需办理CA锁，“苏采云”系统目前仅支持“苏采云”系统下的政务CA，省内各地区办理的“苏采云”系统下的政务CA全省通用。</w:t>
      </w:r>
    </w:p>
    <w:p w14:paraId="4D389C2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（3）“CA数字证书”的办理材料以及供应商操作手册详见：</w:t>
      </w:r>
      <w:r>
        <w:rPr>
          <w:rFonts w:hint="eastAsia" w:ascii="Microsoft New Tai Lue" w:hAnsi="Microsoft New Tai Lue" w:cs="Microsoft New Tai Lue"/>
          <w:color w:val="auto"/>
          <w:szCs w:val="21"/>
          <w:highlight w:val="none"/>
        </w:rPr>
        <w:fldChar w:fldCharType="begin"/>
      </w:r>
      <w:r>
        <w:rPr>
          <w:rFonts w:hint="eastAsia" w:ascii="Microsoft New Tai Lue" w:hAnsi="Microsoft New Tai Lue" w:cs="Microsoft New Tai Lue"/>
          <w:color w:val="auto"/>
          <w:szCs w:val="21"/>
          <w:highlight w:val="none"/>
        </w:rPr>
        <w:instrText xml:space="preserve"> HYPERLINK "http://jsxcmm.com/help/gys.html。" </w:instrText>
      </w:r>
      <w:r>
        <w:rPr>
          <w:rFonts w:hint="eastAsia" w:ascii="Microsoft New Tai Lue" w:hAnsi="Microsoft New Tai Lue" w:cs="Microsoft New Tai Lue"/>
          <w:color w:val="auto"/>
          <w:szCs w:val="21"/>
          <w:highlight w:val="none"/>
        </w:rPr>
        <w:fldChar w:fldCharType="separate"/>
      </w:r>
      <w:r>
        <w:rPr>
          <w:rStyle w:val="40"/>
          <w:rFonts w:hint="eastAsia" w:ascii="Microsoft New Tai Lue" w:hAnsi="Microsoft New Tai Lue" w:cs="Microsoft New Tai Lue"/>
          <w:szCs w:val="21"/>
          <w:highlight w:val="none"/>
        </w:rPr>
        <w:t>http://jsxcmm.com/help/gys.html。</w:t>
      </w:r>
      <w:r>
        <w:rPr>
          <w:rFonts w:hint="eastAsia" w:ascii="Microsoft New Tai Lue" w:hAnsi="Microsoft New Tai Lue" w:cs="Microsoft New Tai Lue"/>
          <w:color w:val="auto"/>
          <w:szCs w:val="21"/>
          <w:highlight w:val="none"/>
        </w:rPr>
        <w:fldChar w:fldCharType="end"/>
      </w:r>
    </w:p>
    <w:p w14:paraId="0757EF2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（4）潜在供应商访问“苏采云”系统的网络地址和方法：“苏采云”系统的网址：</w:t>
      </w:r>
      <w:r>
        <w:rPr>
          <w:rFonts w:hint="eastAsia" w:ascii="Microsoft New Tai Lue" w:hAnsi="Microsoft New Tai Lue" w:cs="Microsoft New Tai Lue"/>
          <w:color w:val="auto"/>
          <w:szCs w:val="21"/>
          <w:highlight w:val="none"/>
        </w:rPr>
        <w:fldChar w:fldCharType="begin"/>
      </w:r>
      <w:r>
        <w:rPr>
          <w:rFonts w:hint="eastAsia" w:ascii="Microsoft New Tai Lue" w:hAnsi="Microsoft New Tai Lue" w:cs="Microsoft New Tai Lue"/>
          <w:color w:val="auto"/>
          <w:szCs w:val="21"/>
          <w:highlight w:val="none"/>
        </w:rPr>
        <w:instrText xml:space="preserve"> HYPERLINK "http://jszfcg.jsczt.cn/jszc/login。" </w:instrText>
      </w:r>
      <w:r>
        <w:rPr>
          <w:rFonts w:hint="eastAsia" w:ascii="Microsoft New Tai Lue" w:hAnsi="Microsoft New Tai Lue" w:cs="Microsoft New Tai Lue"/>
          <w:color w:val="auto"/>
          <w:szCs w:val="21"/>
          <w:highlight w:val="none"/>
        </w:rPr>
        <w:fldChar w:fldCharType="separate"/>
      </w:r>
      <w:r>
        <w:rPr>
          <w:rStyle w:val="40"/>
          <w:rFonts w:hint="eastAsia" w:ascii="Microsoft New Tai Lue" w:hAnsi="Microsoft New Tai Lue" w:cs="Microsoft New Tai Lue"/>
          <w:szCs w:val="21"/>
          <w:highlight w:val="none"/>
        </w:rPr>
        <w:t>http://jszfcg.jsczt.cn/jszc/login。</w:t>
      </w:r>
      <w:r>
        <w:rPr>
          <w:rFonts w:hint="eastAsia" w:ascii="Microsoft New Tai Lue" w:hAnsi="Microsoft New Tai Lue" w:cs="Microsoft New Tai Lue"/>
          <w:color w:val="auto"/>
          <w:szCs w:val="21"/>
          <w:highlight w:val="none"/>
        </w:rPr>
        <w:fldChar w:fldCharType="end"/>
      </w:r>
    </w:p>
    <w:p w14:paraId="58F831C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（5）采购文件（后缀名为“.kedt”）、供应商操作手册及政府采购客户端工具也可通过“苏采云”系统--已报名项目--报名详情页面内相应链接进行下载。</w:t>
      </w:r>
    </w:p>
    <w:p w14:paraId="21A0F03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（6）招标代理机构（采购代理机构）将数据电文形式的采购文件加载至“苏采云”系统，供潜在供应商下载或者查阅。</w:t>
      </w:r>
    </w:p>
    <w:p w14:paraId="34B645D4">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（7）苏采云系统使用谷歌浏览器参与不见面开标。</w:t>
      </w:r>
    </w:p>
    <w:p w14:paraId="7D00FF5A">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（8）“苏采云”南京地区客服热线025-83633744、025-83633743。</w:t>
      </w:r>
    </w:p>
    <w:p w14:paraId="7B71EBCB">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4</w:t>
      </w:r>
      <w:r>
        <w:rPr>
          <w:rFonts w:hint="eastAsia" w:ascii="Microsoft New Tai Lue" w:hAnsi="Microsoft New Tai Lue" w:cs="Microsoft New Tai Lue"/>
          <w:color w:val="auto"/>
          <w:szCs w:val="21"/>
          <w:highlight w:val="none"/>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w:t>
      </w:r>
      <w:r>
        <w:rPr>
          <w:rFonts w:hint="eastAsia" w:ascii="宋体" w:hAnsi="宋体" w:eastAsia="宋体" w:cs="宋体"/>
          <w:color w:val="auto"/>
          <w:sz w:val="21"/>
          <w:szCs w:val="21"/>
          <w:highlight w:val="none"/>
        </w:rPr>
        <w:t>供应商</w:t>
      </w:r>
      <w:r>
        <w:rPr>
          <w:rFonts w:hint="eastAsia" w:ascii="Microsoft New Tai Lue" w:hAnsi="Microsoft New Tai Lue" w:cs="Microsoft New Tai Lue"/>
          <w:color w:val="auto"/>
          <w:szCs w:val="21"/>
          <w:highlight w:val="none"/>
        </w:rPr>
        <w:t>自行承担。</w:t>
      </w:r>
    </w:p>
    <w:p w14:paraId="01CCE81E">
      <w:pPr>
        <w:keepNext w:val="0"/>
        <w:keepLines w:val="0"/>
        <w:pageBreakBefore w:val="0"/>
        <w:widowControl w:val="0"/>
        <w:kinsoku/>
        <w:wordWrap/>
        <w:overflowPunct/>
        <w:topLinePunct w:val="0"/>
        <w:autoSpaceDE/>
        <w:autoSpaceDN/>
        <w:bidi w:val="0"/>
        <w:spacing w:line="360" w:lineRule="auto"/>
        <w:textAlignment w:val="auto"/>
        <w:rPr>
          <w:rFonts w:ascii="Microsoft New Tai Lue" w:hAnsi="Microsoft New Tai Lue" w:cs="Microsoft New Tai Lue"/>
          <w:b/>
          <w:bCs/>
          <w:color w:val="auto"/>
          <w:kern w:val="44"/>
          <w:szCs w:val="44"/>
          <w:highlight w:val="none"/>
        </w:rPr>
      </w:pPr>
      <w:r>
        <w:rPr>
          <w:rFonts w:ascii="Microsoft New Tai Lue" w:hAnsi="Microsoft New Tai Lue" w:cs="Microsoft New Tai Lue"/>
          <w:b/>
          <w:bCs/>
          <w:color w:val="auto"/>
          <w:kern w:val="44"/>
          <w:szCs w:val="44"/>
          <w:highlight w:val="none"/>
        </w:rPr>
        <w:t>七、</w:t>
      </w:r>
      <w:bookmarkEnd w:id="30"/>
      <w:bookmarkEnd w:id="31"/>
      <w:r>
        <w:rPr>
          <w:rFonts w:ascii="Microsoft New Tai Lue" w:hAnsi="Microsoft New Tai Lue" w:cs="Microsoft New Tai Lue"/>
          <w:b/>
          <w:bCs/>
          <w:color w:val="auto"/>
          <w:kern w:val="44"/>
          <w:szCs w:val="44"/>
          <w:highlight w:val="none"/>
        </w:rPr>
        <w:t>对本次招标提出询问，请按以下方式联系。</w:t>
      </w:r>
      <w:bookmarkEnd w:id="32"/>
      <w:bookmarkEnd w:id="33"/>
    </w:p>
    <w:p w14:paraId="25B9764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1．采购人信息</w:t>
      </w:r>
    </w:p>
    <w:p w14:paraId="0A27E5E2">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采购包1、采购包2、采购包3、采购包4、采购包5、采购包6、采购包7、采购包8、采购包9、采购包10、采购包11、采购包12、采购包13</w:t>
      </w:r>
    </w:p>
    <w:p w14:paraId="012F9390">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单位名称：江苏省市场监督管理局</w:t>
      </w:r>
    </w:p>
    <w:p w14:paraId="517DAD97">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单位地址：南京市草场门大街107号龙江大厦</w:t>
      </w:r>
    </w:p>
    <w:p w14:paraId="6195EBE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联 系 人：陈主任</w:t>
      </w:r>
    </w:p>
    <w:p w14:paraId="249A206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联系电话：</w:t>
      </w:r>
      <w:r>
        <w:rPr>
          <w:rFonts w:hint="eastAsia"/>
          <w:color w:val="auto"/>
          <w:highlight w:val="none"/>
        </w:rPr>
        <w:t>025-85537863</w:t>
      </w:r>
    </w:p>
    <w:p w14:paraId="566C6F05">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2．采购代理机构信息（如有）</w:t>
      </w:r>
    </w:p>
    <w:p w14:paraId="1729D97C">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单位名称：江苏省招标中心有限公司</w:t>
      </w:r>
    </w:p>
    <w:p w14:paraId="41584AD6">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单位地址：南京市鼓楼区郑和中路118号</w:t>
      </w:r>
    </w:p>
    <w:p w14:paraId="5387B9B3">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联 系 人：</w:t>
      </w:r>
      <w:r>
        <w:rPr>
          <w:rFonts w:hint="eastAsia" w:cs="Microsoft New Tai Lue"/>
          <w:color w:val="auto"/>
          <w:kern w:val="2"/>
          <w:sz w:val="21"/>
          <w:szCs w:val="21"/>
          <w:highlight w:val="none"/>
          <w:lang w:val="en-US" w:bidi="ar-SA"/>
        </w:rPr>
        <w:t>朱苏燕、</w:t>
      </w:r>
      <w:r>
        <w:rPr>
          <w:rFonts w:hint="eastAsia" w:ascii="Microsoft New Tai Lue" w:hAnsi="Microsoft New Tai Lue" w:cs="Microsoft New Tai Lue"/>
          <w:color w:val="auto"/>
          <w:szCs w:val="21"/>
          <w:highlight w:val="none"/>
        </w:rPr>
        <w:t>徐天宇、沈仁、钱巧妮</w:t>
      </w:r>
    </w:p>
    <w:p w14:paraId="55730D0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联系电话：82281983  15995128223</w:t>
      </w:r>
    </w:p>
    <w:p w14:paraId="058A8C7E">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3．项目联系方式</w:t>
      </w:r>
    </w:p>
    <w:p w14:paraId="5E05296F">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项目联系人：</w:t>
      </w:r>
      <w:r>
        <w:rPr>
          <w:rFonts w:hint="eastAsia" w:cs="Microsoft New Tai Lue"/>
          <w:color w:val="auto"/>
          <w:kern w:val="2"/>
          <w:sz w:val="21"/>
          <w:szCs w:val="21"/>
          <w:highlight w:val="none"/>
          <w:lang w:val="en-US" w:bidi="ar-SA"/>
        </w:rPr>
        <w:t>朱苏燕、</w:t>
      </w:r>
      <w:r>
        <w:rPr>
          <w:rFonts w:hint="eastAsia" w:ascii="Microsoft New Tai Lue" w:hAnsi="Microsoft New Tai Lue" w:cs="Microsoft New Tai Lue"/>
          <w:color w:val="auto"/>
          <w:szCs w:val="21"/>
          <w:highlight w:val="none"/>
        </w:rPr>
        <w:t>徐天宇、沈仁、钱巧妮</w:t>
      </w:r>
    </w:p>
    <w:p w14:paraId="56F12121">
      <w:pPr>
        <w:keepNext w:val="0"/>
        <w:keepLines w:val="0"/>
        <w:pageBreakBefore w:val="0"/>
        <w:widowControl w:val="0"/>
        <w:kinsoku/>
        <w:wordWrap/>
        <w:overflowPunct/>
        <w:topLinePunct w:val="0"/>
        <w:autoSpaceDE/>
        <w:autoSpaceDN/>
        <w:bidi w:val="0"/>
        <w:spacing w:line="360" w:lineRule="auto"/>
        <w:ind w:firstLine="420" w:firstLineChars="200"/>
        <w:textAlignment w:val="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电 话：82281983  15995128223</w:t>
      </w:r>
    </w:p>
    <w:bookmarkEnd w:id="5"/>
    <w:p w14:paraId="7B90E320">
      <w:pPr>
        <w:pStyle w:val="31"/>
        <w:rPr>
          <w:rFonts w:ascii="Microsoft New Tai Lue" w:hAnsi="Microsoft New Tai Lue" w:cs="Microsoft New Tai Lue"/>
          <w:color w:val="auto"/>
          <w:highlight w:val="none"/>
        </w:rPr>
      </w:pPr>
      <w:bookmarkStart w:id="34" w:name="_Toc71561877"/>
      <w:bookmarkStart w:id="35" w:name="_Toc80264704"/>
      <w:r>
        <w:rPr>
          <w:rFonts w:ascii="Microsoft New Tai Lue" w:hAnsi="Microsoft New Tai Lue" w:cs="Microsoft New Tai Lue"/>
          <w:color w:val="auto"/>
          <w:highlight w:val="none"/>
        </w:rPr>
        <w:br w:type="page"/>
      </w:r>
      <w:bookmarkEnd w:id="34"/>
      <w:bookmarkStart w:id="36" w:name="_Toc107246212"/>
      <w:r>
        <w:rPr>
          <w:rFonts w:hint="eastAsia" w:ascii="Microsoft New Tai Lue" w:hAnsi="Microsoft New Tai Lue" w:cs="Microsoft New Tai Lue"/>
          <w:color w:val="auto"/>
          <w:highlight w:val="none"/>
          <w:lang w:val="en-US" w:eastAsia="zh-CN"/>
        </w:rPr>
        <w:t xml:space="preserve">第二章 </w:t>
      </w:r>
      <w:r>
        <w:rPr>
          <w:rFonts w:ascii="Microsoft New Tai Lue" w:hAnsi="Microsoft New Tai Lue" w:cs="Microsoft New Tai Lue"/>
          <w:color w:val="auto"/>
          <w:highlight w:val="none"/>
        </w:rPr>
        <w:t>投标人须知</w:t>
      </w:r>
      <w:bookmarkEnd w:id="36"/>
    </w:p>
    <w:bookmarkEnd w:id="35"/>
    <w:p w14:paraId="0066314C">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投标人须知前附表</w:t>
      </w:r>
    </w:p>
    <w:p w14:paraId="6B7DEF06">
      <w:pPr>
        <w:jc w:val="cente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本</w:t>
      </w:r>
      <w:r>
        <w:rPr>
          <w:rFonts w:hint="eastAsia" w:ascii="Microsoft New Tai Lue" w:hAnsi="Microsoft New Tai Lue" w:cs="Microsoft New Tai Lue"/>
          <w:color w:val="auto"/>
          <w:highlight w:val="none"/>
        </w:rPr>
        <w:t>表</w:t>
      </w:r>
      <w:r>
        <w:rPr>
          <w:rFonts w:ascii="Microsoft New Tai Lue" w:hAnsi="Microsoft New Tai Lue" w:cs="Microsoft New Tai Lue"/>
          <w:color w:val="auto"/>
          <w:highlight w:val="none"/>
        </w:rPr>
        <w:t>是对《投标人须知》正文的具体补充和修改，如有矛盾，以本《前附表》为准。</w:t>
      </w:r>
    </w:p>
    <w:p w14:paraId="59479EC8">
      <w:pPr>
        <w:jc w:val="center"/>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标记“</w:t>
      </w:r>
      <w:r>
        <w:rPr>
          <w:rFonts w:hint="eastAsia" w:ascii="宋体" w:hAnsi="宋体"/>
          <w:b/>
          <w:color w:val="auto"/>
          <w:sz w:val="24"/>
          <w:highlight w:val="none"/>
        </w:rPr>
        <w:t>■</w:t>
      </w:r>
      <w:r>
        <w:rPr>
          <w:rFonts w:hint="eastAsia" w:ascii="Microsoft New Tai Lue" w:hAnsi="Microsoft New Tai Lue" w:cs="Microsoft New Tai Lue"/>
          <w:color w:val="auto"/>
          <w:highlight w:val="none"/>
        </w:rPr>
        <w:t>”的选项意为适用于本项目，标记“□”的选项意为不适用于本项目。</w:t>
      </w:r>
    </w:p>
    <w:tbl>
      <w:tblPr>
        <w:tblStyle w:val="3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850"/>
        <w:gridCol w:w="2835"/>
        <w:gridCol w:w="4982"/>
      </w:tblGrid>
      <w:tr w14:paraId="26554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BA35292">
            <w:pPr>
              <w:pStyle w:val="75"/>
              <w:spacing w:line="360" w:lineRule="auto"/>
              <w:jc w:val="center"/>
              <w:rPr>
                <w:rFonts w:ascii="Microsoft New Tai Lue" w:hAnsi="Microsoft New Tai Lue" w:cs="Microsoft New Tai Lue"/>
                <w:b/>
                <w:color w:val="auto"/>
                <w:kern w:val="2"/>
                <w:sz w:val="21"/>
                <w:highlight w:val="none"/>
              </w:rPr>
            </w:pPr>
            <w:r>
              <w:rPr>
                <w:rFonts w:hint="eastAsia" w:ascii="Microsoft New Tai Lue" w:hAnsi="Microsoft New Tai Lue" w:cs="Microsoft New Tai Lue"/>
                <w:b/>
                <w:color w:val="auto"/>
                <w:kern w:val="2"/>
                <w:sz w:val="21"/>
                <w:highlight w:val="none"/>
              </w:rPr>
              <w:t>序号</w:t>
            </w:r>
          </w:p>
        </w:tc>
        <w:tc>
          <w:tcPr>
            <w:tcW w:w="850" w:type="dxa"/>
            <w:vAlign w:val="center"/>
          </w:tcPr>
          <w:p w14:paraId="33A384CE">
            <w:pPr>
              <w:pStyle w:val="75"/>
              <w:spacing w:line="360" w:lineRule="auto"/>
              <w:jc w:val="center"/>
              <w:rPr>
                <w:rFonts w:ascii="Microsoft New Tai Lue" w:hAnsi="Microsoft New Tai Lue" w:cs="Microsoft New Tai Lue"/>
                <w:b/>
                <w:color w:val="auto"/>
                <w:kern w:val="2"/>
                <w:sz w:val="21"/>
                <w:highlight w:val="none"/>
              </w:rPr>
            </w:pPr>
            <w:r>
              <w:rPr>
                <w:rFonts w:hint="eastAsia" w:ascii="Microsoft New Tai Lue" w:hAnsi="Microsoft New Tai Lue" w:cs="Microsoft New Tai Lue"/>
                <w:b/>
                <w:color w:val="auto"/>
                <w:kern w:val="2"/>
                <w:sz w:val="21"/>
                <w:highlight w:val="none"/>
              </w:rPr>
              <w:t>条款号</w:t>
            </w:r>
          </w:p>
        </w:tc>
        <w:tc>
          <w:tcPr>
            <w:tcW w:w="2835" w:type="dxa"/>
            <w:vAlign w:val="center"/>
          </w:tcPr>
          <w:p w14:paraId="232A9D8B">
            <w:pPr>
              <w:pStyle w:val="75"/>
              <w:spacing w:line="360" w:lineRule="auto"/>
              <w:jc w:val="center"/>
              <w:rPr>
                <w:rFonts w:ascii="Microsoft New Tai Lue" w:hAnsi="Microsoft New Tai Lue" w:cs="Microsoft New Tai Lue"/>
                <w:b/>
                <w:color w:val="auto"/>
                <w:kern w:val="2"/>
                <w:sz w:val="21"/>
                <w:highlight w:val="none"/>
              </w:rPr>
            </w:pPr>
            <w:r>
              <w:rPr>
                <w:rFonts w:ascii="Microsoft New Tai Lue" w:hAnsi="Microsoft New Tai Lue" w:cs="Microsoft New Tai Lue"/>
                <w:b/>
                <w:color w:val="auto"/>
                <w:kern w:val="2"/>
                <w:sz w:val="21"/>
                <w:highlight w:val="none"/>
              </w:rPr>
              <w:t>条款名称</w:t>
            </w:r>
          </w:p>
        </w:tc>
        <w:tc>
          <w:tcPr>
            <w:tcW w:w="4982" w:type="dxa"/>
            <w:vAlign w:val="center"/>
          </w:tcPr>
          <w:p w14:paraId="34EA94A5">
            <w:pPr>
              <w:pStyle w:val="75"/>
              <w:spacing w:line="360" w:lineRule="auto"/>
              <w:jc w:val="center"/>
              <w:rPr>
                <w:rFonts w:ascii="Microsoft New Tai Lue" w:hAnsi="Microsoft New Tai Lue" w:cs="Microsoft New Tai Lue"/>
                <w:b/>
                <w:color w:val="auto"/>
                <w:kern w:val="2"/>
                <w:sz w:val="21"/>
                <w:highlight w:val="none"/>
              </w:rPr>
            </w:pPr>
            <w:r>
              <w:rPr>
                <w:rFonts w:ascii="Microsoft New Tai Lue" w:hAnsi="Microsoft New Tai Lue" w:cs="Microsoft New Tai Lue"/>
                <w:b/>
                <w:color w:val="auto"/>
                <w:kern w:val="2"/>
                <w:sz w:val="21"/>
                <w:highlight w:val="none"/>
              </w:rPr>
              <w:t>编列内容规定</w:t>
            </w:r>
          </w:p>
        </w:tc>
      </w:tr>
      <w:tr w14:paraId="118C6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1497A05">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p>
        </w:tc>
        <w:tc>
          <w:tcPr>
            <w:tcW w:w="850" w:type="dxa"/>
            <w:vAlign w:val="center"/>
          </w:tcPr>
          <w:p w14:paraId="6ADAF266">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2.1</w:t>
            </w:r>
          </w:p>
        </w:tc>
        <w:tc>
          <w:tcPr>
            <w:tcW w:w="2835" w:type="dxa"/>
            <w:vAlign w:val="center"/>
          </w:tcPr>
          <w:p w14:paraId="6C921210">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采购人</w:t>
            </w:r>
          </w:p>
        </w:tc>
        <w:tc>
          <w:tcPr>
            <w:tcW w:w="4982" w:type="dxa"/>
            <w:vAlign w:val="center"/>
          </w:tcPr>
          <w:p w14:paraId="3ACBD5F1">
            <w:pPr>
              <w:pStyle w:val="72"/>
              <w:spacing w:before="160" w:line="276" w:lineRule="auto"/>
              <w:rPr>
                <w:rFonts w:hint="eastAsia" w:cs="Microsoft New Tai Lue"/>
                <w:color w:val="auto"/>
                <w:kern w:val="2"/>
                <w:sz w:val="21"/>
                <w:szCs w:val="21"/>
                <w:highlight w:val="none"/>
                <w:lang w:val="en-US" w:bidi="ar-SA"/>
              </w:rPr>
            </w:pPr>
            <w:r>
              <w:rPr>
                <w:rFonts w:cs="Microsoft New Tai Lue"/>
                <w:color w:val="auto"/>
                <w:kern w:val="2"/>
                <w:sz w:val="21"/>
                <w:szCs w:val="21"/>
                <w:highlight w:val="none"/>
                <w:lang w:val="en-US" w:bidi="ar-SA"/>
              </w:rPr>
              <w:t>名 称 ：</w:t>
            </w:r>
            <w:r>
              <w:rPr>
                <w:rFonts w:hint="eastAsia" w:ascii="Microsoft New Tai Lue" w:hAnsi="Microsoft New Tai Lue" w:cs="Microsoft New Tai Lue"/>
                <w:snapToGrid w:val="0"/>
                <w:color w:val="auto"/>
                <w:sz w:val="21"/>
                <w:szCs w:val="21"/>
                <w:highlight w:val="none"/>
              </w:rPr>
              <w:t>江苏省市场监督管理局</w:t>
            </w:r>
          </w:p>
          <w:p w14:paraId="38DB4835">
            <w:pPr>
              <w:pStyle w:val="72"/>
              <w:spacing w:before="160" w:line="276" w:lineRule="auto"/>
              <w:rPr>
                <w:rFonts w:hint="eastAsia" w:cs="Microsoft New Tai Lue"/>
                <w:color w:val="auto"/>
                <w:kern w:val="2"/>
                <w:sz w:val="21"/>
                <w:szCs w:val="21"/>
                <w:highlight w:val="none"/>
                <w:lang w:val="en-US" w:bidi="ar-SA"/>
              </w:rPr>
            </w:pPr>
            <w:r>
              <w:rPr>
                <w:rFonts w:cs="Microsoft New Tai Lue"/>
                <w:color w:val="auto"/>
                <w:kern w:val="2"/>
                <w:sz w:val="21"/>
                <w:szCs w:val="21"/>
                <w:highlight w:val="none"/>
                <w:lang w:val="en-US" w:bidi="ar-SA"/>
              </w:rPr>
              <w:t>地 址 ：</w:t>
            </w:r>
            <w:r>
              <w:rPr>
                <w:rFonts w:hint="eastAsia" w:ascii="Microsoft New Tai Lue" w:hAnsi="Microsoft New Tai Lue" w:cs="Microsoft New Tai Lue"/>
                <w:snapToGrid w:val="0"/>
                <w:color w:val="auto"/>
                <w:sz w:val="21"/>
                <w:szCs w:val="21"/>
                <w:highlight w:val="none"/>
              </w:rPr>
              <w:t>南京市草场门大街107号龙江大厦</w:t>
            </w:r>
          </w:p>
          <w:p w14:paraId="4F6DE1EF">
            <w:pPr>
              <w:pStyle w:val="72"/>
              <w:spacing w:before="160" w:line="276" w:lineRule="auto"/>
              <w:rPr>
                <w:rFonts w:hint="eastAsia" w:eastAsia="宋体" w:cs="Microsoft New Tai Lue"/>
                <w:color w:val="auto"/>
                <w:kern w:val="2"/>
                <w:sz w:val="21"/>
                <w:szCs w:val="21"/>
                <w:highlight w:val="none"/>
                <w:lang w:val="en-US" w:eastAsia="zh-CN" w:bidi="ar-SA"/>
              </w:rPr>
            </w:pPr>
            <w:r>
              <w:rPr>
                <w:rFonts w:hint="eastAsia" w:cs="Microsoft New Tai Lue"/>
                <w:color w:val="auto"/>
                <w:kern w:val="2"/>
                <w:sz w:val="21"/>
                <w:szCs w:val="21"/>
                <w:highlight w:val="none"/>
                <w:lang w:val="en-US" w:bidi="ar-SA"/>
              </w:rPr>
              <w:t>联系人：陈主任</w:t>
            </w:r>
          </w:p>
          <w:p w14:paraId="45816F02">
            <w:pPr>
              <w:pStyle w:val="72"/>
              <w:spacing w:before="160" w:line="276" w:lineRule="auto"/>
              <w:rPr>
                <w:rFonts w:hint="eastAsia" w:eastAsia="宋体" w:cs="Microsoft New Tai Lue"/>
                <w:color w:val="auto"/>
                <w:kern w:val="2"/>
                <w:sz w:val="21"/>
                <w:szCs w:val="21"/>
                <w:highlight w:val="none"/>
                <w:lang w:eastAsia="zh-CN"/>
              </w:rPr>
            </w:pPr>
            <w:r>
              <w:rPr>
                <w:rFonts w:hint="eastAsia" w:cs="Microsoft New Tai Lue"/>
                <w:color w:val="auto"/>
                <w:kern w:val="2"/>
                <w:sz w:val="21"/>
                <w:szCs w:val="21"/>
                <w:highlight w:val="none"/>
                <w:lang w:val="en-US" w:bidi="ar-SA"/>
              </w:rPr>
              <w:t>联系方式：025-85537863</w:t>
            </w:r>
            <w:r>
              <w:rPr>
                <w:rFonts w:hint="eastAsia" w:cs="Microsoft New Tai Lue"/>
                <w:color w:val="auto"/>
                <w:kern w:val="2"/>
                <w:sz w:val="21"/>
                <w:szCs w:val="21"/>
                <w:highlight w:val="none"/>
                <w:lang w:val="en-US" w:eastAsia="zh-CN" w:bidi="ar-SA"/>
              </w:rPr>
              <w:t xml:space="preserve"> </w:t>
            </w:r>
          </w:p>
        </w:tc>
      </w:tr>
      <w:tr w14:paraId="426E0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2C1FCA2">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2</w:t>
            </w:r>
          </w:p>
        </w:tc>
        <w:tc>
          <w:tcPr>
            <w:tcW w:w="850" w:type="dxa"/>
            <w:vAlign w:val="center"/>
          </w:tcPr>
          <w:p w14:paraId="7705C5CA">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2.2</w:t>
            </w:r>
          </w:p>
        </w:tc>
        <w:tc>
          <w:tcPr>
            <w:tcW w:w="2835" w:type="dxa"/>
            <w:vAlign w:val="center"/>
          </w:tcPr>
          <w:p w14:paraId="3381C8A6">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采购代理机构</w:t>
            </w:r>
          </w:p>
        </w:tc>
        <w:tc>
          <w:tcPr>
            <w:tcW w:w="4982" w:type="dxa"/>
            <w:vAlign w:val="center"/>
          </w:tcPr>
          <w:p w14:paraId="14FB624C">
            <w:pPr>
              <w:pStyle w:val="72"/>
              <w:spacing w:before="160" w:line="276" w:lineRule="auto"/>
              <w:rPr>
                <w:rFonts w:hint="eastAsia" w:cs="Microsoft New Tai Lue"/>
                <w:color w:val="auto"/>
                <w:kern w:val="2"/>
                <w:sz w:val="21"/>
                <w:szCs w:val="21"/>
                <w:highlight w:val="none"/>
                <w:lang w:val="en-US" w:bidi="ar-SA"/>
              </w:rPr>
            </w:pPr>
            <w:r>
              <w:rPr>
                <w:rFonts w:cs="Microsoft New Tai Lue"/>
                <w:color w:val="auto"/>
                <w:kern w:val="2"/>
                <w:sz w:val="21"/>
                <w:szCs w:val="21"/>
                <w:highlight w:val="none"/>
                <w:lang w:val="en-US" w:bidi="ar-SA"/>
              </w:rPr>
              <w:t>名 称 ：</w:t>
            </w:r>
            <w:r>
              <w:rPr>
                <w:rFonts w:hint="eastAsia" w:ascii="Microsoft New Tai Lue" w:hAnsi="Microsoft New Tai Lue" w:cs="Microsoft New Tai Lue"/>
                <w:snapToGrid w:val="0"/>
                <w:color w:val="auto"/>
                <w:sz w:val="21"/>
                <w:szCs w:val="21"/>
                <w:highlight w:val="none"/>
              </w:rPr>
              <w:t>江苏省招标中心有限公司</w:t>
            </w:r>
          </w:p>
          <w:p w14:paraId="0AF6B6DC">
            <w:pPr>
              <w:pStyle w:val="72"/>
              <w:spacing w:before="160" w:line="276" w:lineRule="auto"/>
              <w:rPr>
                <w:rFonts w:hint="eastAsia" w:cs="Microsoft New Tai Lue"/>
                <w:color w:val="auto"/>
                <w:kern w:val="2"/>
                <w:sz w:val="21"/>
                <w:szCs w:val="21"/>
                <w:highlight w:val="none"/>
                <w:lang w:val="en-US" w:bidi="ar-SA"/>
              </w:rPr>
            </w:pPr>
            <w:r>
              <w:rPr>
                <w:rFonts w:cs="Microsoft New Tai Lue"/>
                <w:color w:val="auto"/>
                <w:kern w:val="2"/>
                <w:sz w:val="21"/>
                <w:szCs w:val="21"/>
                <w:highlight w:val="none"/>
                <w:lang w:val="en-US" w:bidi="ar-SA"/>
              </w:rPr>
              <w:t>地 址 ：</w:t>
            </w:r>
            <w:r>
              <w:rPr>
                <w:rFonts w:hint="eastAsia" w:ascii="Microsoft New Tai Lue" w:hAnsi="Microsoft New Tai Lue" w:cs="Microsoft New Tai Lue"/>
                <w:snapToGrid w:val="0"/>
                <w:color w:val="auto"/>
                <w:sz w:val="21"/>
                <w:szCs w:val="21"/>
                <w:highlight w:val="none"/>
              </w:rPr>
              <w:t>南京市鼓楼区郑和中路118号</w:t>
            </w:r>
          </w:p>
          <w:p w14:paraId="47C053BD">
            <w:pPr>
              <w:pStyle w:val="72"/>
              <w:spacing w:before="160" w:line="276" w:lineRule="auto"/>
              <w:rPr>
                <w:rFonts w:hint="eastAsia" w:cs="Microsoft New Tai Lue"/>
                <w:color w:val="auto"/>
                <w:kern w:val="2"/>
                <w:sz w:val="21"/>
                <w:szCs w:val="21"/>
                <w:highlight w:val="none"/>
                <w:lang w:val="en-US" w:bidi="ar-SA"/>
              </w:rPr>
            </w:pPr>
            <w:r>
              <w:rPr>
                <w:rFonts w:hint="eastAsia" w:cs="Microsoft New Tai Lue"/>
                <w:color w:val="auto"/>
                <w:kern w:val="2"/>
                <w:sz w:val="21"/>
                <w:szCs w:val="21"/>
                <w:highlight w:val="none"/>
                <w:lang w:val="en-US" w:bidi="ar-SA"/>
              </w:rPr>
              <w:t>项目联系人：朱苏燕、徐天宇、沈仁、钱巧妮</w:t>
            </w:r>
          </w:p>
          <w:p w14:paraId="4ADAAEBA">
            <w:pPr>
              <w:pStyle w:val="72"/>
              <w:spacing w:before="160" w:line="276" w:lineRule="auto"/>
              <w:rPr>
                <w:rFonts w:hint="eastAsia" w:cs="Microsoft New Tai Lue"/>
                <w:color w:val="auto"/>
                <w:kern w:val="2"/>
                <w:sz w:val="21"/>
                <w:szCs w:val="21"/>
                <w:highlight w:val="none"/>
              </w:rPr>
            </w:pPr>
            <w:r>
              <w:rPr>
                <w:rFonts w:hint="eastAsia" w:cs="Microsoft New Tai Lue"/>
                <w:color w:val="auto"/>
                <w:kern w:val="2"/>
                <w:sz w:val="21"/>
                <w:szCs w:val="21"/>
                <w:highlight w:val="none"/>
                <w:lang w:val="en-US" w:bidi="ar-SA"/>
              </w:rPr>
              <w:t>电 话：82281983  15995128223</w:t>
            </w:r>
          </w:p>
        </w:tc>
      </w:tr>
      <w:tr w14:paraId="0731D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11B8313">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3</w:t>
            </w:r>
          </w:p>
        </w:tc>
        <w:tc>
          <w:tcPr>
            <w:tcW w:w="850" w:type="dxa"/>
            <w:vAlign w:val="center"/>
          </w:tcPr>
          <w:p w14:paraId="67802E2A">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4</w:t>
            </w:r>
          </w:p>
        </w:tc>
        <w:tc>
          <w:tcPr>
            <w:tcW w:w="2835" w:type="dxa"/>
            <w:vAlign w:val="center"/>
          </w:tcPr>
          <w:p w14:paraId="3B77FF4A">
            <w:pPr>
              <w:pStyle w:val="75"/>
              <w:jc w:val="left"/>
              <w:rPr>
                <w:rFonts w:hint="eastAsia" w:hAnsi="宋体" w:cs="Microsoft New Tai Lue"/>
                <w:color w:val="auto"/>
                <w:kern w:val="2"/>
                <w:sz w:val="21"/>
                <w:highlight w:val="none"/>
              </w:rPr>
            </w:pPr>
            <w:r>
              <w:rPr>
                <w:rFonts w:hAnsi="宋体" w:cs="Microsoft New Tai Lue"/>
                <w:color w:val="auto"/>
                <w:kern w:val="2"/>
                <w:sz w:val="21"/>
                <w:highlight w:val="none"/>
              </w:rPr>
              <w:t>本项目执行的政府采购政策</w:t>
            </w:r>
          </w:p>
        </w:tc>
        <w:tc>
          <w:tcPr>
            <w:tcW w:w="4982" w:type="dxa"/>
            <w:vAlign w:val="center"/>
          </w:tcPr>
          <w:p w14:paraId="0589814B">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详见</w:t>
            </w:r>
            <w:r>
              <w:rPr>
                <w:rFonts w:ascii="宋体" w:hAnsi="宋体" w:cs="Microsoft New Tai Lue"/>
                <w:color w:val="auto"/>
                <w:szCs w:val="21"/>
                <w:highlight w:val="none"/>
              </w:rPr>
              <w:t>招标文件第</w:t>
            </w:r>
            <w:r>
              <w:rPr>
                <w:rFonts w:hint="eastAsia" w:ascii="宋体" w:hAnsi="宋体" w:cs="Microsoft New Tai Lue"/>
                <w:color w:val="auto"/>
                <w:szCs w:val="21"/>
                <w:highlight w:val="none"/>
              </w:rPr>
              <w:t>一</w:t>
            </w:r>
            <w:r>
              <w:rPr>
                <w:rFonts w:ascii="宋体" w:hAnsi="宋体" w:cs="Microsoft New Tai Lue"/>
                <w:color w:val="auto"/>
                <w:szCs w:val="21"/>
                <w:highlight w:val="none"/>
              </w:rPr>
              <w:t>章《</w:t>
            </w:r>
            <w:r>
              <w:rPr>
                <w:rFonts w:hint="eastAsia" w:ascii="宋体" w:hAnsi="宋体" w:cs="Microsoft New Tai Lue"/>
                <w:color w:val="auto"/>
                <w:szCs w:val="21"/>
                <w:highlight w:val="none"/>
              </w:rPr>
              <w:t>招标公告</w:t>
            </w:r>
            <w:r>
              <w:rPr>
                <w:rFonts w:ascii="宋体" w:hAnsi="宋体" w:cs="Microsoft New Tai Lue"/>
                <w:color w:val="auto"/>
                <w:szCs w:val="21"/>
                <w:highlight w:val="none"/>
              </w:rPr>
              <w:t>》</w:t>
            </w:r>
          </w:p>
        </w:tc>
      </w:tr>
      <w:tr w14:paraId="199AA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1D465D07">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4</w:t>
            </w:r>
          </w:p>
        </w:tc>
        <w:tc>
          <w:tcPr>
            <w:tcW w:w="850" w:type="dxa"/>
            <w:vAlign w:val="center"/>
          </w:tcPr>
          <w:p w14:paraId="2F6B9456">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8.1</w:t>
            </w:r>
          </w:p>
        </w:tc>
        <w:tc>
          <w:tcPr>
            <w:tcW w:w="2835" w:type="dxa"/>
            <w:vAlign w:val="center"/>
          </w:tcPr>
          <w:p w14:paraId="4D2662F6">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现场考察</w:t>
            </w:r>
          </w:p>
        </w:tc>
        <w:tc>
          <w:tcPr>
            <w:tcW w:w="4982" w:type="dxa"/>
            <w:vAlign w:val="center"/>
          </w:tcPr>
          <w:p w14:paraId="54AF484A">
            <w:pPr>
              <w:adjustRightInd w:val="0"/>
              <w:snapToGrid w:val="0"/>
              <w:spacing w:before="156" w:beforeLines="50" w:line="276" w:lineRule="auto"/>
              <w:rPr>
                <w:rFonts w:hint="eastAsia" w:ascii="宋体" w:hAnsi="宋体" w:cs="Microsoft New Tai Lue"/>
                <w:bCs/>
                <w:color w:val="auto"/>
                <w:szCs w:val="21"/>
                <w:highlight w:val="none"/>
              </w:rPr>
            </w:pPr>
            <w:r>
              <w:rPr>
                <w:rFonts w:hint="eastAsia" w:ascii="宋体" w:hAnsi="宋体"/>
                <w:b/>
                <w:color w:val="auto"/>
                <w:sz w:val="24"/>
                <w:highlight w:val="none"/>
              </w:rPr>
              <w:t>■</w:t>
            </w:r>
            <w:r>
              <w:rPr>
                <w:rFonts w:ascii="宋体" w:hAnsi="宋体" w:cs="Microsoft New Tai Lue"/>
                <w:bCs/>
                <w:color w:val="auto"/>
                <w:szCs w:val="21"/>
                <w:highlight w:val="none"/>
              </w:rPr>
              <w:t>不组织</w:t>
            </w:r>
          </w:p>
          <w:p w14:paraId="63751F50">
            <w:pPr>
              <w:adjustRightInd w:val="0"/>
              <w:snapToGrid w:val="0"/>
              <w:spacing w:before="156" w:beforeLines="50" w:line="276" w:lineRule="auto"/>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w:t>
            </w:r>
            <w:r>
              <w:rPr>
                <w:rFonts w:ascii="宋体" w:hAnsi="宋体" w:cs="Microsoft New Tai Lue"/>
                <w:bCs/>
                <w:color w:val="auto"/>
                <w:szCs w:val="21"/>
                <w:highlight w:val="none"/>
              </w:rPr>
              <w:t>组织</w:t>
            </w:r>
          </w:p>
          <w:p w14:paraId="1F3F3780">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（1）考察时间：</w:t>
            </w:r>
          </w:p>
          <w:p w14:paraId="5740F181">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（2）考察地点：</w:t>
            </w:r>
          </w:p>
          <w:p w14:paraId="717DD10E">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（3）联系人：</w:t>
            </w:r>
          </w:p>
          <w:p w14:paraId="02C9F535">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     联系方式：</w:t>
            </w:r>
          </w:p>
          <w:p w14:paraId="18D0B41E">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（4）参加人员要求： </w:t>
            </w:r>
          </w:p>
        </w:tc>
      </w:tr>
      <w:tr w14:paraId="2557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5E563DB5">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5</w:t>
            </w:r>
          </w:p>
        </w:tc>
        <w:tc>
          <w:tcPr>
            <w:tcW w:w="850" w:type="dxa"/>
            <w:vAlign w:val="center"/>
          </w:tcPr>
          <w:p w14:paraId="2D8A2F7B">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9</w:t>
            </w:r>
            <w:r>
              <w:rPr>
                <w:rFonts w:ascii="Microsoft New Tai Lue" w:hAnsi="Microsoft New Tai Lue" w:cs="Microsoft New Tai Lue"/>
                <w:color w:val="auto"/>
                <w:kern w:val="2"/>
                <w:sz w:val="21"/>
                <w:highlight w:val="none"/>
              </w:rPr>
              <w:t>.1</w:t>
            </w:r>
          </w:p>
        </w:tc>
        <w:tc>
          <w:tcPr>
            <w:tcW w:w="2835" w:type="dxa"/>
            <w:vAlign w:val="center"/>
          </w:tcPr>
          <w:p w14:paraId="294C5CA6">
            <w:pPr>
              <w:pStyle w:val="75"/>
              <w:spacing w:line="360" w:lineRule="auto"/>
              <w:jc w:val="left"/>
              <w:rPr>
                <w:rFonts w:hint="eastAsia" w:hAnsi="宋体" w:cs="Microsoft New Tai Lue"/>
                <w:color w:val="auto"/>
                <w:kern w:val="2"/>
                <w:sz w:val="21"/>
                <w:highlight w:val="none"/>
              </w:rPr>
            </w:pPr>
            <w:r>
              <w:rPr>
                <w:rFonts w:hint="eastAsia" w:hAnsi="宋体" w:cs="Microsoft New Tai Lue"/>
                <w:color w:val="auto"/>
                <w:kern w:val="2"/>
                <w:sz w:val="21"/>
                <w:highlight w:val="none"/>
              </w:rPr>
              <w:t>开标</w:t>
            </w:r>
            <w:r>
              <w:rPr>
                <w:rFonts w:hAnsi="宋体" w:cs="Microsoft New Tai Lue"/>
                <w:color w:val="auto"/>
                <w:kern w:val="2"/>
                <w:sz w:val="21"/>
                <w:highlight w:val="none"/>
              </w:rPr>
              <w:t>前答疑会</w:t>
            </w:r>
          </w:p>
        </w:tc>
        <w:tc>
          <w:tcPr>
            <w:tcW w:w="4982" w:type="dxa"/>
            <w:vAlign w:val="center"/>
          </w:tcPr>
          <w:p w14:paraId="718B1369">
            <w:pPr>
              <w:pStyle w:val="72"/>
              <w:spacing w:before="160"/>
              <w:rPr>
                <w:rFonts w:hint="eastAsia" w:cs="Times New Roman"/>
                <w:color w:val="auto"/>
                <w:kern w:val="2"/>
                <w:sz w:val="21"/>
                <w:szCs w:val="21"/>
                <w:highlight w:val="none"/>
                <w:lang w:val="en-US" w:bidi="ar-SA"/>
              </w:rPr>
            </w:pPr>
            <w:r>
              <w:rPr>
                <w:rFonts w:hint="eastAsia"/>
                <w:b/>
                <w:color w:val="auto"/>
                <w:sz w:val="24"/>
                <w:highlight w:val="none"/>
              </w:rPr>
              <w:t>■</w:t>
            </w:r>
            <w:r>
              <w:rPr>
                <w:rFonts w:hint="eastAsia" w:cs="Times New Roman"/>
                <w:color w:val="auto"/>
                <w:kern w:val="2"/>
                <w:sz w:val="21"/>
                <w:szCs w:val="21"/>
                <w:highlight w:val="none"/>
                <w:lang w:val="en-US" w:bidi="ar-SA"/>
              </w:rPr>
              <w:t>不召开</w:t>
            </w:r>
          </w:p>
          <w:p w14:paraId="7F748B71">
            <w:pPr>
              <w:pStyle w:val="72"/>
              <w:spacing w:before="160"/>
              <w:rPr>
                <w:rFonts w:hint="eastAsia" w:cs="Times New Roman"/>
                <w:color w:val="auto"/>
                <w:kern w:val="2"/>
                <w:sz w:val="21"/>
                <w:szCs w:val="21"/>
                <w:highlight w:val="none"/>
                <w:lang w:val="en-US" w:bidi="ar-SA"/>
              </w:rPr>
            </w:pPr>
            <w:r>
              <w:rPr>
                <w:rFonts w:ascii="Segoe UI Symbol" w:hAnsi="Segoe UI Symbol" w:cs="Segoe UI Symbol"/>
                <w:bCs/>
                <w:color w:val="auto"/>
                <w:sz w:val="21"/>
                <w:szCs w:val="21"/>
                <w:highlight w:val="none"/>
              </w:rPr>
              <w:t>☐</w:t>
            </w:r>
            <w:r>
              <w:rPr>
                <w:rFonts w:hint="eastAsia" w:cs="Times New Roman"/>
                <w:color w:val="auto"/>
                <w:kern w:val="2"/>
                <w:sz w:val="21"/>
                <w:szCs w:val="21"/>
                <w:highlight w:val="none"/>
                <w:lang w:val="en-US" w:bidi="ar-SA"/>
              </w:rPr>
              <w:t>召开</w:t>
            </w:r>
          </w:p>
          <w:p w14:paraId="35166843">
            <w:pPr>
              <w:adjustRightInd w:val="0"/>
              <w:snapToGrid w:val="0"/>
              <w:spacing w:before="156" w:beforeLines="50" w:line="276"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（1）召开</w:t>
            </w:r>
            <w:r>
              <w:rPr>
                <w:rFonts w:ascii="宋体" w:hAnsi="宋体" w:cs="Microsoft New Tai Lue"/>
                <w:bCs/>
                <w:color w:val="auto"/>
                <w:szCs w:val="21"/>
                <w:highlight w:val="none"/>
              </w:rPr>
              <w:t>时间：</w:t>
            </w:r>
          </w:p>
          <w:p w14:paraId="37AA8FB5">
            <w:pPr>
              <w:adjustRightInd w:val="0"/>
              <w:snapToGrid w:val="0"/>
              <w:spacing w:before="156" w:beforeLines="50" w:line="276" w:lineRule="auto"/>
              <w:rPr>
                <w:rFonts w:hint="eastAsia" w:ascii="宋体" w:hAnsi="宋体" w:cs="Segoe UI Symbol"/>
                <w:bCs/>
                <w:color w:val="auto"/>
                <w:szCs w:val="21"/>
                <w:highlight w:val="none"/>
              </w:rPr>
            </w:pPr>
            <w:r>
              <w:rPr>
                <w:rFonts w:hint="eastAsia" w:ascii="宋体" w:hAnsi="宋体" w:cs="Microsoft New Tai Lue"/>
                <w:bCs/>
                <w:color w:val="auto"/>
                <w:szCs w:val="21"/>
                <w:highlight w:val="none"/>
              </w:rPr>
              <w:t>（2）召开</w:t>
            </w:r>
            <w:r>
              <w:rPr>
                <w:rFonts w:ascii="宋体" w:hAnsi="宋体" w:cs="Microsoft New Tai Lue"/>
                <w:bCs/>
                <w:color w:val="auto"/>
                <w:szCs w:val="21"/>
                <w:highlight w:val="none"/>
              </w:rPr>
              <w:t>地点</w:t>
            </w:r>
            <w:r>
              <w:rPr>
                <w:rFonts w:hint="eastAsia" w:ascii="宋体" w:hAnsi="宋体" w:cs="Microsoft New Tai Lue"/>
                <w:bCs/>
                <w:color w:val="auto"/>
                <w:szCs w:val="21"/>
                <w:highlight w:val="none"/>
              </w:rPr>
              <w:t>：</w:t>
            </w:r>
          </w:p>
        </w:tc>
      </w:tr>
      <w:tr w14:paraId="3912D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37C0848A">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6</w:t>
            </w:r>
          </w:p>
        </w:tc>
        <w:tc>
          <w:tcPr>
            <w:tcW w:w="850" w:type="dxa"/>
            <w:vAlign w:val="center"/>
          </w:tcPr>
          <w:p w14:paraId="6FA97B72">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10.1</w:t>
            </w:r>
          </w:p>
        </w:tc>
        <w:tc>
          <w:tcPr>
            <w:tcW w:w="2835" w:type="dxa"/>
            <w:vAlign w:val="center"/>
          </w:tcPr>
          <w:p w14:paraId="53F1B209">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联合体投标</w:t>
            </w:r>
          </w:p>
        </w:tc>
        <w:tc>
          <w:tcPr>
            <w:tcW w:w="4982" w:type="dxa"/>
            <w:vAlign w:val="center"/>
          </w:tcPr>
          <w:p w14:paraId="7A47D337">
            <w:pPr>
              <w:adjustRightInd w:val="0"/>
              <w:snapToGrid w:val="0"/>
              <w:spacing w:before="156" w:beforeLines="50" w:line="276" w:lineRule="auto"/>
              <w:rPr>
                <w:rFonts w:hint="eastAsia" w:ascii="宋体" w:hAnsi="宋体" w:cs="Microsoft New Tai Lue"/>
                <w:bCs/>
                <w:color w:val="auto"/>
                <w:szCs w:val="21"/>
                <w:highlight w:val="none"/>
              </w:rPr>
            </w:pPr>
            <w:r>
              <w:rPr>
                <w:rFonts w:hint="eastAsia" w:ascii="宋体" w:hAnsi="宋体"/>
                <w:b/>
                <w:color w:val="auto"/>
                <w:sz w:val="24"/>
                <w:highlight w:val="none"/>
              </w:rPr>
              <w:t>■</w:t>
            </w:r>
            <w:r>
              <w:rPr>
                <w:rFonts w:ascii="宋体" w:hAnsi="宋体" w:cs="Microsoft New Tai Lue"/>
                <w:bCs/>
                <w:color w:val="auto"/>
                <w:szCs w:val="21"/>
                <w:highlight w:val="none"/>
              </w:rPr>
              <w:t>不接受</w:t>
            </w:r>
          </w:p>
          <w:p w14:paraId="307EDDEB">
            <w:pPr>
              <w:adjustRightInd w:val="0"/>
              <w:snapToGrid w:val="0"/>
              <w:spacing w:before="156" w:beforeLines="50" w:line="276" w:lineRule="auto"/>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w:t>
            </w:r>
            <w:r>
              <w:rPr>
                <w:rFonts w:ascii="宋体" w:hAnsi="宋体" w:cs="Microsoft New Tai Lue"/>
                <w:bCs/>
                <w:color w:val="auto"/>
                <w:szCs w:val="21"/>
                <w:highlight w:val="none"/>
              </w:rPr>
              <w:t>接受</w:t>
            </w:r>
          </w:p>
          <w:p w14:paraId="0E143A72">
            <w:pPr>
              <w:adjustRightInd w:val="0"/>
              <w:snapToGrid w:val="0"/>
              <w:spacing w:before="156" w:beforeLines="50" w:line="276" w:lineRule="auto"/>
              <w:rPr>
                <w:rFonts w:hint="eastAsia" w:ascii="宋体" w:hAnsi="宋体" w:cs="Microsoft New Tai Lue"/>
                <w:color w:val="auto"/>
                <w:szCs w:val="21"/>
                <w:highlight w:val="none"/>
              </w:rPr>
            </w:pPr>
            <w:r>
              <w:rPr>
                <w:rFonts w:ascii="宋体" w:hAnsi="宋体" w:cs="Microsoft New Tai Lue"/>
                <w:bCs/>
                <w:color w:val="auto"/>
                <w:szCs w:val="21"/>
                <w:highlight w:val="none"/>
              </w:rPr>
              <w:t>联合体要求：详见</w:t>
            </w:r>
            <w:r>
              <w:rPr>
                <w:rFonts w:ascii="宋体" w:hAnsi="宋体" w:cs="Microsoft New Tai Lue"/>
                <w:color w:val="auto"/>
                <w:szCs w:val="21"/>
                <w:highlight w:val="none"/>
              </w:rPr>
              <w:t>招标文件</w:t>
            </w:r>
            <w:r>
              <w:rPr>
                <w:rFonts w:ascii="宋体" w:hAnsi="宋体" w:cs="Microsoft New Tai Lue"/>
                <w:bCs/>
                <w:color w:val="auto"/>
                <w:szCs w:val="21"/>
                <w:highlight w:val="none"/>
              </w:rPr>
              <w:t>第</w:t>
            </w:r>
            <w:r>
              <w:rPr>
                <w:rFonts w:hint="eastAsia" w:ascii="宋体" w:hAnsi="宋体" w:cs="Microsoft New Tai Lue"/>
                <w:bCs/>
                <w:color w:val="auto"/>
                <w:szCs w:val="21"/>
                <w:highlight w:val="none"/>
              </w:rPr>
              <w:t>一</w:t>
            </w:r>
            <w:r>
              <w:rPr>
                <w:rFonts w:ascii="宋体" w:hAnsi="宋体" w:cs="Microsoft New Tai Lue"/>
                <w:bCs/>
                <w:color w:val="auto"/>
                <w:szCs w:val="21"/>
                <w:highlight w:val="none"/>
              </w:rPr>
              <w:t>章《</w:t>
            </w:r>
            <w:r>
              <w:rPr>
                <w:rFonts w:hint="eastAsia" w:ascii="宋体" w:hAnsi="宋体" w:cs="Microsoft New Tai Lue"/>
                <w:bCs/>
                <w:color w:val="auto"/>
                <w:szCs w:val="21"/>
                <w:highlight w:val="none"/>
              </w:rPr>
              <w:t>招标公告</w:t>
            </w:r>
            <w:r>
              <w:rPr>
                <w:rFonts w:ascii="宋体" w:hAnsi="宋体" w:cs="Microsoft New Tai Lue"/>
                <w:bCs/>
                <w:color w:val="auto"/>
                <w:szCs w:val="21"/>
                <w:highlight w:val="none"/>
              </w:rPr>
              <w:t>》</w:t>
            </w:r>
          </w:p>
        </w:tc>
      </w:tr>
      <w:tr w14:paraId="31937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2213DDA2">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7</w:t>
            </w:r>
          </w:p>
        </w:tc>
        <w:tc>
          <w:tcPr>
            <w:tcW w:w="850" w:type="dxa"/>
            <w:vAlign w:val="center"/>
          </w:tcPr>
          <w:p w14:paraId="6F2A58AE">
            <w:pPr>
              <w:pStyle w:val="75"/>
              <w:spacing w:line="360" w:lineRule="auto"/>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1</w:t>
            </w:r>
            <w:r>
              <w:rPr>
                <w:rFonts w:hint="eastAsia" w:ascii="Microsoft New Tai Lue" w:hAnsi="Microsoft New Tai Lue" w:cs="Microsoft New Tai Lue"/>
                <w:color w:val="auto"/>
                <w:kern w:val="2"/>
                <w:sz w:val="21"/>
                <w:highlight w:val="none"/>
              </w:rPr>
              <w:t>.1</w:t>
            </w:r>
          </w:p>
        </w:tc>
        <w:tc>
          <w:tcPr>
            <w:tcW w:w="2835" w:type="dxa"/>
            <w:vAlign w:val="center"/>
          </w:tcPr>
          <w:p w14:paraId="4698FA54">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分包</w:t>
            </w:r>
          </w:p>
        </w:tc>
        <w:tc>
          <w:tcPr>
            <w:tcW w:w="4982" w:type="dxa"/>
            <w:vAlign w:val="center"/>
          </w:tcPr>
          <w:p w14:paraId="75C850BD">
            <w:pPr>
              <w:adjustRightInd w:val="0"/>
              <w:snapToGrid w:val="0"/>
              <w:spacing w:before="156" w:beforeLines="50" w:line="276" w:lineRule="auto"/>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p>
          <w:p w14:paraId="20CE55E7">
            <w:pPr>
              <w:adjustRightInd w:val="0"/>
              <w:snapToGrid w:val="0"/>
              <w:spacing w:before="156" w:beforeLines="50" w:line="276" w:lineRule="auto"/>
              <w:rPr>
                <w:rFonts w:hint="eastAsia" w:ascii="宋体" w:hAnsi="宋体" w:cs="Microsoft New Tai Lue"/>
                <w:bCs/>
                <w:color w:val="auto"/>
                <w:szCs w:val="21"/>
                <w:highlight w:val="none"/>
              </w:rPr>
            </w:pPr>
            <w:r>
              <w:rPr>
                <w:rFonts w:hint="eastAsia" w:ascii="宋体" w:hAnsi="宋体"/>
                <w:b/>
                <w:color w:val="auto"/>
                <w:sz w:val="24"/>
                <w:highlight w:val="none"/>
              </w:rPr>
              <w:t>■</w:t>
            </w:r>
            <w:r>
              <w:rPr>
                <w:rFonts w:ascii="宋体" w:hAnsi="宋体" w:cs="Microsoft New Tai Lue"/>
                <w:bCs/>
                <w:color w:val="auto"/>
                <w:szCs w:val="21"/>
                <w:highlight w:val="none"/>
              </w:rPr>
              <w:t>不</w:t>
            </w:r>
            <w:r>
              <w:rPr>
                <w:rFonts w:hint="eastAsia" w:ascii="宋体" w:hAnsi="宋体" w:cs="Microsoft New Tai Lue"/>
                <w:bCs/>
                <w:color w:val="auto"/>
                <w:szCs w:val="21"/>
                <w:highlight w:val="none"/>
              </w:rPr>
              <w:t>允许</w:t>
            </w:r>
          </w:p>
          <w:p w14:paraId="26C2407B">
            <w:pPr>
              <w:adjustRightInd w:val="0"/>
              <w:snapToGrid w:val="0"/>
              <w:spacing w:before="156" w:beforeLines="50" w:line="276" w:lineRule="auto"/>
              <w:rPr>
                <w:rFonts w:hint="eastAsia" w:ascii="宋体" w:hAnsi="宋体"/>
                <w:color w:val="auto"/>
                <w:szCs w:val="21"/>
                <w:highlight w:val="none"/>
              </w:rPr>
            </w:pPr>
            <w:r>
              <w:rPr>
                <w:rFonts w:ascii="Segoe UI Symbol" w:hAnsi="Segoe UI Symbol" w:cs="Segoe UI Symbol"/>
                <w:bCs/>
                <w:color w:val="auto"/>
                <w:szCs w:val="21"/>
                <w:highlight w:val="none"/>
              </w:rPr>
              <w:t>☐</w:t>
            </w:r>
            <w:r>
              <w:rPr>
                <w:rFonts w:hint="eastAsia" w:ascii="宋体" w:hAnsi="宋体" w:cs="Segoe UI Symbol"/>
                <w:bCs/>
                <w:color w:val="auto"/>
                <w:szCs w:val="21"/>
                <w:highlight w:val="none"/>
              </w:rPr>
              <w:t>允许</w:t>
            </w:r>
          </w:p>
          <w:p w14:paraId="0530860E">
            <w:pPr>
              <w:adjustRightInd w:val="0"/>
              <w:snapToGrid w:val="0"/>
              <w:spacing w:before="156" w:beforeLines="50" w:line="276" w:lineRule="auto"/>
              <w:rPr>
                <w:rFonts w:hint="eastAsia" w:ascii="宋体" w:hAnsi="宋体"/>
                <w:color w:val="auto"/>
                <w:szCs w:val="21"/>
                <w:highlight w:val="none"/>
              </w:rPr>
            </w:pPr>
            <w:r>
              <w:rPr>
                <w:rFonts w:ascii="宋体" w:hAnsi="宋体"/>
                <w:color w:val="auto"/>
                <w:szCs w:val="21"/>
                <w:highlight w:val="none"/>
              </w:rPr>
              <w:t>具体要求：__________</w:t>
            </w:r>
            <w:r>
              <w:rPr>
                <w:rFonts w:hint="eastAsia" w:ascii="宋体" w:hAnsi="宋体"/>
                <w:color w:val="auto"/>
                <w:szCs w:val="21"/>
                <w:highlight w:val="none"/>
              </w:rPr>
              <w:t xml:space="preserve"> </w:t>
            </w:r>
          </w:p>
        </w:tc>
      </w:tr>
      <w:tr w14:paraId="5DAB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5" w:type="dxa"/>
            <w:vAlign w:val="center"/>
          </w:tcPr>
          <w:p w14:paraId="00A105B2">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8</w:t>
            </w:r>
          </w:p>
        </w:tc>
        <w:tc>
          <w:tcPr>
            <w:tcW w:w="850" w:type="dxa"/>
            <w:vAlign w:val="center"/>
          </w:tcPr>
          <w:p w14:paraId="3C643F87">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12.1</w:t>
            </w:r>
          </w:p>
        </w:tc>
        <w:tc>
          <w:tcPr>
            <w:tcW w:w="2835" w:type="dxa"/>
            <w:vAlign w:val="center"/>
          </w:tcPr>
          <w:p w14:paraId="6CE5EAEB">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样品</w:t>
            </w:r>
          </w:p>
        </w:tc>
        <w:tc>
          <w:tcPr>
            <w:tcW w:w="4982" w:type="dxa"/>
            <w:vAlign w:val="center"/>
          </w:tcPr>
          <w:p w14:paraId="4B722C9C">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投标样品递交：</w:t>
            </w:r>
          </w:p>
          <w:p w14:paraId="76264498">
            <w:pPr>
              <w:adjustRightInd w:val="0"/>
              <w:snapToGrid w:val="0"/>
              <w:spacing w:before="156" w:beforeLines="50" w:line="276" w:lineRule="auto"/>
              <w:rPr>
                <w:rFonts w:hint="eastAsia" w:ascii="宋体" w:hAnsi="宋体" w:cs="Microsoft New Tai Lue"/>
                <w:bCs/>
                <w:color w:val="auto"/>
                <w:szCs w:val="21"/>
                <w:highlight w:val="none"/>
              </w:rPr>
            </w:pPr>
            <w:r>
              <w:rPr>
                <w:rFonts w:hint="eastAsia" w:ascii="宋体" w:hAnsi="宋体"/>
                <w:b/>
                <w:color w:val="auto"/>
                <w:sz w:val="24"/>
                <w:highlight w:val="none"/>
              </w:rPr>
              <w:t>■</w:t>
            </w:r>
            <w:r>
              <w:rPr>
                <w:rFonts w:ascii="宋体" w:hAnsi="宋体" w:cs="Microsoft New Tai Lue"/>
                <w:bCs/>
                <w:color w:val="auto"/>
                <w:szCs w:val="21"/>
                <w:highlight w:val="none"/>
              </w:rPr>
              <w:t>不需要</w:t>
            </w:r>
          </w:p>
          <w:p w14:paraId="352278F3">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□需要，具体要求如下：</w:t>
            </w:r>
          </w:p>
          <w:p w14:paraId="0686D454">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（1）样品制作的标准和要求：_________；</w:t>
            </w:r>
          </w:p>
          <w:p w14:paraId="7D8C4A04">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（2）是否需要随样品提交相关检测报告：</w:t>
            </w:r>
          </w:p>
          <w:p w14:paraId="0A0081CE">
            <w:pPr>
              <w:adjustRightInd w:val="0"/>
              <w:snapToGrid w:val="0"/>
              <w:spacing w:before="156" w:beforeLines="50" w:line="276" w:lineRule="auto"/>
              <w:rPr>
                <w:rFonts w:hint="eastAsia" w:ascii="宋体" w:hAnsi="宋体" w:cs="Microsoft New Tai Lue"/>
                <w:bCs/>
                <w:color w:val="auto"/>
                <w:szCs w:val="21"/>
                <w:highlight w:val="none"/>
              </w:rPr>
            </w:pPr>
            <w:r>
              <w:rPr>
                <w:rFonts w:hint="eastAsia" w:ascii="宋体" w:hAnsi="宋体"/>
                <w:b/>
                <w:color w:val="auto"/>
                <w:sz w:val="24"/>
                <w:highlight w:val="none"/>
              </w:rPr>
              <w:t>■</w:t>
            </w:r>
            <w:r>
              <w:rPr>
                <w:rFonts w:ascii="宋体" w:hAnsi="宋体" w:cs="Microsoft New Tai Lue"/>
                <w:bCs/>
                <w:color w:val="auto"/>
                <w:szCs w:val="21"/>
                <w:highlight w:val="none"/>
              </w:rPr>
              <w:t>不需要</w:t>
            </w:r>
          </w:p>
          <w:p w14:paraId="5080632C">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□需要</w:t>
            </w:r>
            <w:r>
              <w:rPr>
                <w:rFonts w:hint="eastAsia" w:ascii="宋体" w:hAnsi="宋体" w:cs="Microsoft New Tai Lue"/>
                <w:bCs/>
                <w:color w:val="auto"/>
                <w:szCs w:val="21"/>
                <w:highlight w:val="none"/>
              </w:rPr>
              <w:t>，</w:t>
            </w:r>
            <w:r>
              <w:rPr>
                <w:rFonts w:ascii="宋体" w:hAnsi="宋体" w:cs="宋体"/>
                <w:color w:val="auto"/>
                <w:szCs w:val="21"/>
                <w:highlight w:val="none"/>
              </w:rPr>
              <w:t>检测机构</w:t>
            </w:r>
            <w:r>
              <w:rPr>
                <w:rFonts w:ascii="宋体" w:hAnsi="宋体" w:cs="Microsoft New Tai Lue"/>
                <w:bCs/>
                <w:color w:val="auto"/>
                <w:szCs w:val="21"/>
                <w:highlight w:val="none"/>
              </w:rPr>
              <w:t>的要求：_________；检测内容：_________；</w:t>
            </w:r>
          </w:p>
          <w:p w14:paraId="686976AF">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（3）样品递交要求：_________；</w:t>
            </w:r>
          </w:p>
          <w:p w14:paraId="30FB0066">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（4）未中标人样品退还：_________；</w:t>
            </w:r>
          </w:p>
          <w:p w14:paraId="284B2751">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（5）中标人样品保管、封存及退还：_________；</w:t>
            </w:r>
          </w:p>
          <w:p w14:paraId="6630153B">
            <w:pPr>
              <w:adjustRightInd w:val="0"/>
              <w:snapToGrid w:val="0"/>
              <w:spacing w:before="156" w:beforeLines="50" w:line="276" w:lineRule="auto"/>
              <w:rPr>
                <w:rFonts w:hint="eastAsia" w:ascii="宋体" w:hAnsi="宋体" w:cs="Microsoft New Tai Lue"/>
                <w:color w:val="auto"/>
                <w:szCs w:val="21"/>
                <w:highlight w:val="none"/>
              </w:rPr>
            </w:pPr>
            <w:r>
              <w:rPr>
                <w:rFonts w:ascii="宋体" w:hAnsi="宋体" w:cs="Microsoft New Tai Lue"/>
                <w:bCs/>
                <w:color w:val="auto"/>
                <w:szCs w:val="21"/>
                <w:highlight w:val="none"/>
              </w:rPr>
              <w:t>（6）其他要求（如有）：_________。</w:t>
            </w:r>
          </w:p>
        </w:tc>
      </w:tr>
      <w:tr w14:paraId="43FB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675" w:type="dxa"/>
            <w:vAlign w:val="center"/>
          </w:tcPr>
          <w:p w14:paraId="143D4E0A">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9</w:t>
            </w:r>
          </w:p>
        </w:tc>
        <w:tc>
          <w:tcPr>
            <w:tcW w:w="850" w:type="dxa"/>
            <w:vAlign w:val="center"/>
          </w:tcPr>
          <w:p w14:paraId="0EE7916E">
            <w:pPr>
              <w:pStyle w:val="75"/>
              <w:spacing w:line="360" w:lineRule="auto"/>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13.1</w:t>
            </w:r>
          </w:p>
        </w:tc>
        <w:tc>
          <w:tcPr>
            <w:tcW w:w="2835" w:type="dxa"/>
            <w:vAlign w:val="center"/>
          </w:tcPr>
          <w:p w14:paraId="64C2DA7D">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采购进口产品</w:t>
            </w:r>
          </w:p>
        </w:tc>
        <w:tc>
          <w:tcPr>
            <w:tcW w:w="4982" w:type="dxa"/>
            <w:vAlign w:val="center"/>
          </w:tcPr>
          <w:p w14:paraId="2244C9B9">
            <w:pPr>
              <w:adjustRightInd w:val="0"/>
              <w:snapToGrid w:val="0"/>
              <w:spacing w:before="156" w:beforeLines="50" w:line="360" w:lineRule="auto"/>
              <w:rPr>
                <w:rFonts w:hint="eastAsia" w:ascii="宋体" w:hAnsi="宋体" w:cs="Microsoft New Tai Lue"/>
                <w:bCs/>
                <w:color w:val="auto"/>
                <w:szCs w:val="21"/>
                <w:highlight w:val="none"/>
              </w:rPr>
            </w:pPr>
            <w:r>
              <w:rPr>
                <w:rFonts w:hint="eastAsia" w:ascii="宋体" w:hAnsi="宋体" w:cs="Segoe UI Symbol"/>
                <w:bCs/>
                <w:color w:val="auto"/>
                <w:szCs w:val="21"/>
                <w:highlight w:val="none"/>
              </w:rPr>
              <w:t>详见招标文件第一章《招标公告》</w:t>
            </w:r>
          </w:p>
        </w:tc>
      </w:tr>
      <w:tr w14:paraId="485B4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4C2E485">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10</w:t>
            </w:r>
          </w:p>
        </w:tc>
        <w:tc>
          <w:tcPr>
            <w:tcW w:w="850" w:type="dxa"/>
            <w:vAlign w:val="center"/>
          </w:tcPr>
          <w:p w14:paraId="63C5768A">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4</w:t>
            </w:r>
            <w:r>
              <w:rPr>
                <w:rFonts w:hint="eastAsia" w:ascii="Microsoft New Tai Lue" w:hAnsi="Microsoft New Tai Lue" w:cs="Microsoft New Tai Lue"/>
                <w:color w:val="auto"/>
                <w:kern w:val="2"/>
                <w:sz w:val="21"/>
                <w:highlight w:val="none"/>
              </w:rPr>
              <w:t>.1</w:t>
            </w:r>
          </w:p>
        </w:tc>
        <w:tc>
          <w:tcPr>
            <w:tcW w:w="2835" w:type="dxa"/>
            <w:vAlign w:val="center"/>
          </w:tcPr>
          <w:p w14:paraId="29617D20">
            <w:pPr>
              <w:pStyle w:val="75"/>
              <w:jc w:val="left"/>
              <w:rPr>
                <w:rFonts w:hint="eastAsia" w:hAnsi="宋体" w:cs="Microsoft New Tai Lue"/>
                <w:color w:val="auto"/>
                <w:kern w:val="2"/>
                <w:sz w:val="21"/>
                <w:highlight w:val="none"/>
              </w:rPr>
            </w:pPr>
            <w:r>
              <w:rPr>
                <w:rFonts w:hint="eastAsia" w:hAnsi="宋体" w:cs="Microsoft New Tai Lue"/>
                <w:color w:val="auto"/>
                <w:kern w:val="2"/>
                <w:sz w:val="21"/>
                <w:highlight w:val="none"/>
              </w:rPr>
              <w:t>采购</w:t>
            </w:r>
            <w:r>
              <w:rPr>
                <w:rFonts w:hAnsi="宋体" w:cs="Microsoft New Tai Lue"/>
                <w:color w:val="auto"/>
                <w:kern w:val="2"/>
                <w:sz w:val="21"/>
                <w:highlight w:val="none"/>
              </w:rPr>
              <w:t>预算</w:t>
            </w:r>
          </w:p>
        </w:tc>
        <w:tc>
          <w:tcPr>
            <w:tcW w:w="4982" w:type="dxa"/>
            <w:vAlign w:val="center"/>
          </w:tcPr>
          <w:p w14:paraId="1C0A0B2B">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详见</w:t>
            </w:r>
            <w:r>
              <w:rPr>
                <w:rFonts w:ascii="宋体" w:hAnsi="宋体" w:cs="Microsoft New Tai Lue"/>
                <w:color w:val="auto"/>
                <w:szCs w:val="21"/>
                <w:highlight w:val="none"/>
              </w:rPr>
              <w:t>招标文件第</w:t>
            </w:r>
            <w:r>
              <w:rPr>
                <w:rFonts w:hint="eastAsia" w:ascii="宋体" w:hAnsi="宋体" w:cs="Microsoft New Tai Lue"/>
                <w:color w:val="auto"/>
                <w:szCs w:val="21"/>
                <w:highlight w:val="none"/>
              </w:rPr>
              <w:t>一</w:t>
            </w:r>
            <w:r>
              <w:rPr>
                <w:rFonts w:ascii="宋体" w:hAnsi="宋体" w:cs="Microsoft New Tai Lue"/>
                <w:color w:val="auto"/>
                <w:szCs w:val="21"/>
                <w:highlight w:val="none"/>
              </w:rPr>
              <w:t>章《</w:t>
            </w:r>
            <w:r>
              <w:rPr>
                <w:rFonts w:hint="eastAsia" w:ascii="宋体" w:hAnsi="宋体" w:cs="Microsoft New Tai Lue"/>
                <w:color w:val="auto"/>
                <w:szCs w:val="21"/>
                <w:highlight w:val="none"/>
              </w:rPr>
              <w:t>招标公告</w:t>
            </w:r>
            <w:r>
              <w:rPr>
                <w:rFonts w:ascii="宋体" w:hAnsi="宋体" w:cs="Microsoft New Tai Lue"/>
                <w:color w:val="auto"/>
                <w:szCs w:val="21"/>
                <w:highlight w:val="none"/>
              </w:rPr>
              <w:t>》</w:t>
            </w:r>
          </w:p>
        </w:tc>
      </w:tr>
      <w:tr w14:paraId="44D11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675" w:type="dxa"/>
            <w:vAlign w:val="center"/>
          </w:tcPr>
          <w:p w14:paraId="7016901E">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1</w:t>
            </w:r>
          </w:p>
        </w:tc>
        <w:tc>
          <w:tcPr>
            <w:tcW w:w="850" w:type="dxa"/>
            <w:vAlign w:val="center"/>
          </w:tcPr>
          <w:p w14:paraId="2CA3B301">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4</w:t>
            </w:r>
            <w:r>
              <w:rPr>
                <w:rFonts w:hint="eastAsia" w:ascii="Microsoft New Tai Lue" w:hAnsi="Microsoft New Tai Lue" w:cs="Microsoft New Tai Lue"/>
                <w:color w:val="auto"/>
                <w:kern w:val="2"/>
                <w:sz w:val="21"/>
                <w:highlight w:val="none"/>
              </w:rPr>
              <w:t>.2</w:t>
            </w:r>
          </w:p>
        </w:tc>
        <w:tc>
          <w:tcPr>
            <w:tcW w:w="2835" w:type="dxa"/>
            <w:vAlign w:val="center"/>
          </w:tcPr>
          <w:p w14:paraId="1F16FA9E">
            <w:pPr>
              <w:pStyle w:val="75"/>
              <w:jc w:val="left"/>
              <w:rPr>
                <w:rFonts w:hint="eastAsia" w:hAnsi="宋体" w:cs="Microsoft New Tai Lue"/>
                <w:color w:val="auto"/>
                <w:kern w:val="2"/>
                <w:sz w:val="21"/>
                <w:highlight w:val="none"/>
              </w:rPr>
            </w:pPr>
            <w:r>
              <w:rPr>
                <w:rFonts w:hAnsi="宋体" w:cs="Microsoft New Tai Lue"/>
                <w:color w:val="auto"/>
                <w:kern w:val="2"/>
                <w:sz w:val="21"/>
                <w:highlight w:val="none"/>
              </w:rPr>
              <w:t>本项目设定的最高限价</w:t>
            </w:r>
          </w:p>
        </w:tc>
        <w:tc>
          <w:tcPr>
            <w:tcW w:w="4982" w:type="dxa"/>
            <w:vAlign w:val="center"/>
          </w:tcPr>
          <w:p w14:paraId="4F993D4A">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详见</w:t>
            </w:r>
            <w:r>
              <w:rPr>
                <w:rFonts w:ascii="宋体" w:hAnsi="宋体" w:cs="Microsoft New Tai Lue"/>
                <w:color w:val="auto"/>
                <w:szCs w:val="21"/>
                <w:highlight w:val="none"/>
              </w:rPr>
              <w:t>招标文件第</w:t>
            </w:r>
            <w:r>
              <w:rPr>
                <w:rFonts w:hint="eastAsia" w:ascii="宋体" w:hAnsi="宋体" w:cs="Microsoft New Tai Lue"/>
                <w:color w:val="auto"/>
                <w:szCs w:val="21"/>
                <w:highlight w:val="none"/>
              </w:rPr>
              <w:t>一</w:t>
            </w:r>
            <w:r>
              <w:rPr>
                <w:rFonts w:ascii="宋体" w:hAnsi="宋体" w:cs="Microsoft New Tai Lue"/>
                <w:color w:val="auto"/>
                <w:szCs w:val="21"/>
                <w:highlight w:val="none"/>
              </w:rPr>
              <w:t>章《</w:t>
            </w:r>
            <w:r>
              <w:rPr>
                <w:rFonts w:hint="eastAsia" w:ascii="宋体" w:hAnsi="宋体" w:cs="Microsoft New Tai Lue"/>
                <w:color w:val="auto"/>
                <w:szCs w:val="21"/>
                <w:highlight w:val="none"/>
              </w:rPr>
              <w:t>招标公告</w:t>
            </w:r>
            <w:r>
              <w:rPr>
                <w:rFonts w:ascii="宋体" w:hAnsi="宋体" w:cs="Microsoft New Tai Lue"/>
                <w:color w:val="auto"/>
                <w:szCs w:val="21"/>
                <w:highlight w:val="none"/>
              </w:rPr>
              <w:t>》</w:t>
            </w:r>
          </w:p>
        </w:tc>
      </w:tr>
      <w:tr w14:paraId="2DC35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5085D8E">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2</w:t>
            </w:r>
          </w:p>
        </w:tc>
        <w:tc>
          <w:tcPr>
            <w:tcW w:w="850" w:type="dxa"/>
            <w:vAlign w:val="center"/>
          </w:tcPr>
          <w:p w14:paraId="4CF9C629">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5</w:t>
            </w:r>
            <w:r>
              <w:rPr>
                <w:rFonts w:hint="eastAsia" w:ascii="Microsoft New Tai Lue" w:hAnsi="Microsoft New Tai Lue" w:cs="Microsoft New Tai Lue"/>
                <w:color w:val="auto"/>
                <w:kern w:val="2"/>
                <w:sz w:val="21"/>
                <w:highlight w:val="none"/>
              </w:rPr>
              <w:t>.1</w:t>
            </w:r>
          </w:p>
        </w:tc>
        <w:tc>
          <w:tcPr>
            <w:tcW w:w="2835" w:type="dxa"/>
            <w:vAlign w:val="center"/>
          </w:tcPr>
          <w:p w14:paraId="2533E7DD">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供应商</w:t>
            </w:r>
            <w:r>
              <w:rPr>
                <w:rFonts w:ascii="宋体" w:hAnsi="宋体" w:cs="Microsoft New Tai Lue"/>
                <w:bCs/>
                <w:color w:val="auto"/>
                <w:szCs w:val="21"/>
                <w:highlight w:val="none"/>
              </w:rPr>
              <w:t>资格条件</w:t>
            </w:r>
          </w:p>
        </w:tc>
        <w:tc>
          <w:tcPr>
            <w:tcW w:w="4982" w:type="dxa"/>
            <w:vAlign w:val="center"/>
          </w:tcPr>
          <w:p w14:paraId="5352E260">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详见招标文件第一章《</w:t>
            </w:r>
            <w:r>
              <w:rPr>
                <w:rFonts w:hint="eastAsia" w:ascii="宋体" w:hAnsi="宋体" w:cs="Microsoft New Tai Lue"/>
                <w:bCs/>
                <w:color w:val="auto"/>
                <w:szCs w:val="21"/>
                <w:highlight w:val="none"/>
              </w:rPr>
              <w:t>招标公告</w:t>
            </w:r>
            <w:r>
              <w:rPr>
                <w:rFonts w:ascii="宋体" w:hAnsi="宋体" w:cs="Microsoft New Tai Lue"/>
                <w:bCs/>
                <w:color w:val="auto"/>
                <w:szCs w:val="21"/>
                <w:highlight w:val="none"/>
              </w:rPr>
              <w:t>》</w:t>
            </w:r>
          </w:p>
        </w:tc>
      </w:tr>
      <w:tr w14:paraId="274D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9B75E18">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3</w:t>
            </w:r>
          </w:p>
        </w:tc>
        <w:tc>
          <w:tcPr>
            <w:tcW w:w="850" w:type="dxa"/>
            <w:vAlign w:val="center"/>
          </w:tcPr>
          <w:p w14:paraId="4AA18932">
            <w:pPr>
              <w:pStyle w:val="75"/>
              <w:jc w:val="center"/>
              <w:rPr>
                <w:rFonts w:hint="eastAsia" w:ascii="Microsoft New Tai Lue" w:hAnsi="Microsoft New Tai Lue" w:eastAsia="宋体" w:cs="Microsoft New Tai Lue"/>
                <w:color w:val="auto"/>
                <w:kern w:val="2"/>
                <w:sz w:val="21"/>
                <w:highlight w:val="none"/>
                <w:lang w:eastAsia="zh-CN"/>
              </w:rPr>
            </w:pPr>
            <w:r>
              <w:rPr>
                <w:rFonts w:ascii="Microsoft New Tai Lue" w:hAnsi="Microsoft New Tai Lue" w:cs="Microsoft New Tai Lue"/>
                <w:color w:val="auto"/>
                <w:kern w:val="2"/>
                <w:sz w:val="21"/>
                <w:highlight w:val="none"/>
              </w:rPr>
              <w:t>20.</w:t>
            </w:r>
            <w:r>
              <w:rPr>
                <w:rFonts w:hint="eastAsia" w:ascii="Microsoft New Tai Lue" w:hAnsi="Microsoft New Tai Lue" w:cs="Microsoft New Tai Lue"/>
                <w:color w:val="auto"/>
                <w:kern w:val="2"/>
                <w:sz w:val="21"/>
                <w:highlight w:val="none"/>
                <w:lang w:val="en-US" w:eastAsia="zh-CN"/>
              </w:rPr>
              <w:t>5</w:t>
            </w:r>
          </w:p>
        </w:tc>
        <w:tc>
          <w:tcPr>
            <w:tcW w:w="2835" w:type="dxa"/>
            <w:vAlign w:val="center"/>
          </w:tcPr>
          <w:p w14:paraId="32193222">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投标报价</w:t>
            </w:r>
          </w:p>
        </w:tc>
        <w:tc>
          <w:tcPr>
            <w:tcW w:w="4982" w:type="dxa"/>
            <w:vAlign w:val="center"/>
          </w:tcPr>
          <w:p w14:paraId="0BA51C92">
            <w:pPr>
              <w:pStyle w:val="75"/>
              <w:spacing w:line="360" w:lineRule="auto"/>
              <w:rPr>
                <w:rFonts w:hint="eastAsia" w:hAnsi="宋体" w:cs="Microsoft New Tai Lue"/>
                <w:bCs/>
                <w:color w:val="auto"/>
                <w:kern w:val="2"/>
                <w:sz w:val="21"/>
                <w:highlight w:val="none"/>
              </w:rPr>
            </w:pPr>
            <w:r>
              <w:rPr>
                <w:rFonts w:hint="eastAsia" w:hAnsi="宋体" w:cs="Microsoft New Tai Lue"/>
                <w:bCs/>
                <w:color w:val="auto"/>
                <w:kern w:val="2"/>
                <w:sz w:val="21"/>
                <w:highlight w:val="none"/>
              </w:rPr>
              <w:t>投标报价的其他要求：</w:t>
            </w:r>
          </w:p>
          <w:p w14:paraId="5845B4D3">
            <w:pPr>
              <w:pStyle w:val="75"/>
              <w:spacing w:line="360" w:lineRule="auto"/>
              <w:rPr>
                <w:rFonts w:hint="eastAsia" w:hAnsi="宋体" w:cs="Microsoft New Tai Lue"/>
                <w:bCs/>
                <w:color w:val="auto"/>
                <w:kern w:val="2"/>
                <w:sz w:val="21"/>
                <w:highlight w:val="none"/>
              </w:rPr>
            </w:pPr>
            <w:r>
              <w:rPr>
                <w:rFonts w:hint="eastAsia" w:hAnsi="宋体"/>
                <w:b/>
                <w:color w:val="auto"/>
                <w:sz w:val="24"/>
                <w:highlight w:val="none"/>
              </w:rPr>
              <w:t>■</w:t>
            </w:r>
            <w:r>
              <w:rPr>
                <w:rFonts w:hint="eastAsia" w:hAnsi="宋体" w:cs="Microsoft New Tai Lue"/>
                <w:bCs/>
                <w:color w:val="auto"/>
                <w:kern w:val="2"/>
                <w:sz w:val="21"/>
                <w:highlight w:val="none"/>
              </w:rPr>
              <w:t>无</w:t>
            </w:r>
          </w:p>
          <w:p w14:paraId="0536EDCE">
            <w:pPr>
              <w:pStyle w:val="75"/>
              <w:spacing w:line="360" w:lineRule="auto"/>
              <w:rPr>
                <w:rFonts w:hint="eastAsia" w:hAnsi="宋体" w:cs="Microsoft New Tai Lue"/>
                <w:bCs/>
                <w:color w:val="auto"/>
                <w:kern w:val="2"/>
                <w:sz w:val="21"/>
                <w:highlight w:val="none"/>
              </w:rPr>
            </w:pPr>
            <w:r>
              <w:rPr>
                <w:rFonts w:hint="eastAsia" w:hAnsi="宋体" w:cs="Microsoft New Tai Lue"/>
                <w:bCs/>
                <w:color w:val="auto"/>
                <w:kern w:val="2"/>
                <w:sz w:val="21"/>
                <w:highlight w:val="none"/>
              </w:rPr>
              <w:t>□有，具体情形：</w:t>
            </w:r>
            <w:r>
              <w:rPr>
                <w:rFonts w:hAnsi="宋体" w:cs="Microsoft New Tai Lue"/>
                <w:bCs/>
                <w:color w:val="auto"/>
                <w:kern w:val="2"/>
                <w:sz w:val="21"/>
                <w:highlight w:val="none"/>
                <w:u w:val="single"/>
              </w:rPr>
              <w:t xml:space="preserve">         </w:t>
            </w:r>
            <w:r>
              <w:rPr>
                <w:rFonts w:hint="eastAsia" w:hAnsi="宋体" w:cs="Microsoft New Tai Lue"/>
                <w:bCs/>
                <w:color w:val="auto"/>
                <w:kern w:val="2"/>
                <w:sz w:val="21"/>
                <w:highlight w:val="none"/>
              </w:rPr>
              <w:t>。</w:t>
            </w:r>
          </w:p>
        </w:tc>
      </w:tr>
      <w:tr w14:paraId="46845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83C3E8B">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4</w:t>
            </w:r>
          </w:p>
        </w:tc>
        <w:tc>
          <w:tcPr>
            <w:tcW w:w="850" w:type="dxa"/>
            <w:vAlign w:val="center"/>
          </w:tcPr>
          <w:p w14:paraId="6A3858E6">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21.1</w:t>
            </w:r>
          </w:p>
        </w:tc>
        <w:tc>
          <w:tcPr>
            <w:tcW w:w="2835" w:type="dxa"/>
            <w:vAlign w:val="center"/>
          </w:tcPr>
          <w:p w14:paraId="0EB759CE">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投标有效期</w:t>
            </w:r>
          </w:p>
        </w:tc>
        <w:tc>
          <w:tcPr>
            <w:tcW w:w="4982" w:type="dxa"/>
            <w:vAlign w:val="center"/>
          </w:tcPr>
          <w:p w14:paraId="2AFCFD0B">
            <w:pPr>
              <w:pStyle w:val="75"/>
              <w:spacing w:line="360" w:lineRule="auto"/>
              <w:rPr>
                <w:rFonts w:hint="eastAsia" w:hAnsi="宋体" w:cs="Microsoft New Tai Lue"/>
                <w:bCs/>
                <w:color w:val="auto"/>
                <w:kern w:val="2"/>
                <w:sz w:val="21"/>
                <w:highlight w:val="none"/>
              </w:rPr>
            </w:pPr>
            <w:r>
              <w:rPr>
                <w:rFonts w:hint="eastAsia" w:hAnsi="宋体" w:cs="Microsoft New Tai Lue"/>
                <w:bCs/>
                <w:color w:val="auto"/>
                <w:kern w:val="2"/>
                <w:sz w:val="21"/>
                <w:highlight w:val="none"/>
              </w:rPr>
              <w:t>自提交投标文件的截止之日起算</w:t>
            </w:r>
            <w:r>
              <w:rPr>
                <w:rFonts w:hAnsi="宋体" w:cs="Microsoft New Tai Lue"/>
                <w:bCs/>
                <w:color w:val="auto"/>
                <w:kern w:val="2"/>
                <w:sz w:val="21"/>
                <w:highlight w:val="none"/>
              </w:rPr>
              <w:t>90</w:t>
            </w:r>
            <w:r>
              <w:rPr>
                <w:rFonts w:hint="eastAsia" w:hAnsi="宋体" w:cs="Microsoft New Tai Lue"/>
                <w:bCs/>
                <w:color w:val="auto"/>
                <w:kern w:val="2"/>
                <w:sz w:val="21"/>
                <w:highlight w:val="none"/>
              </w:rPr>
              <w:t>日历天</w:t>
            </w:r>
          </w:p>
        </w:tc>
      </w:tr>
      <w:tr w14:paraId="50A9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1" w:hRule="atLeast"/>
          <w:jc w:val="center"/>
        </w:trPr>
        <w:tc>
          <w:tcPr>
            <w:tcW w:w="675" w:type="dxa"/>
            <w:vAlign w:val="center"/>
          </w:tcPr>
          <w:p w14:paraId="5DA02EFA">
            <w:pPr>
              <w:pStyle w:val="75"/>
              <w:jc w:val="center"/>
              <w:rPr>
                <w:rFonts w:ascii="Microsoft New Tai Lue" w:hAnsi="Microsoft New Tai Lue" w:cs="Microsoft New Tai Lue"/>
                <w:color w:val="auto"/>
                <w:kern w:val="2"/>
                <w:sz w:val="21"/>
                <w:highlight w:val="none"/>
              </w:rPr>
            </w:pPr>
            <w:r>
              <w:rPr>
                <w:rFonts w:hint="eastAsia" w:ascii="Microsoft New Tai Lue" w:hAnsi="Microsoft New Tai Lue" w:cs="Microsoft New Tai Lue"/>
                <w:color w:val="auto"/>
                <w:kern w:val="2"/>
                <w:sz w:val="21"/>
                <w:highlight w:val="none"/>
              </w:rPr>
              <w:t>1</w:t>
            </w:r>
            <w:r>
              <w:rPr>
                <w:rFonts w:ascii="Microsoft New Tai Lue" w:hAnsi="Microsoft New Tai Lue" w:cs="Microsoft New Tai Lue"/>
                <w:color w:val="auto"/>
                <w:kern w:val="2"/>
                <w:sz w:val="21"/>
                <w:highlight w:val="none"/>
              </w:rPr>
              <w:t>5</w:t>
            </w:r>
          </w:p>
        </w:tc>
        <w:tc>
          <w:tcPr>
            <w:tcW w:w="850" w:type="dxa"/>
            <w:vAlign w:val="center"/>
          </w:tcPr>
          <w:p w14:paraId="65371AF7">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22.1</w:t>
            </w:r>
          </w:p>
        </w:tc>
        <w:tc>
          <w:tcPr>
            <w:tcW w:w="2835" w:type="dxa"/>
            <w:vAlign w:val="center"/>
          </w:tcPr>
          <w:p w14:paraId="0E125006">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投标保证金</w:t>
            </w:r>
          </w:p>
        </w:tc>
        <w:tc>
          <w:tcPr>
            <w:tcW w:w="4982" w:type="dxa"/>
            <w:vAlign w:val="center"/>
          </w:tcPr>
          <w:p w14:paraId="6F94A4EF">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b/>
                <w:color w:val="auto"/>
                <w:sz w:val="24"/>
                <w:highlight w:val="none"/>
              </w:rPr>
              <w:t>■</w:t>
            </w:r>
            <w:r>
              <w:rPr>
                <w:rFonts w:hint="eastAsia" w:ascii="宋体" w:hAnsi="宋体" w:cs="Segoe UI Symbol"/>
                <w:bCs/>
                <w:color w:val="auto"/>
                <w:szCs w:val="21"/>
                <w:highlight w:val="none"/>
              </w:rPr>
              <w:t>不需要</w:t>
            </w:r>
          </w:p>
          <w:p w14:paraId="34884BDA">
            <w:pPr>
              <w:adjustRightInd w:val="0"/>
              <w:snapToGrid w:val="0"/>
              <w:spacing w:before="156" w:beforeLines="50" w:line="360" w:lineRule="auto"/>
              <w:rPr>
                <w:rFonts w:hint="eastAsia" w:ascii="宋体" w:hAnsi="宋体" w:cs="Segoe UI Symbol"/>
                <w:bCs/>
                <w:color w:val="auto"/>
                <w:szCs w:val="21"/>
                <w:highlight w:val="none"/>
              </w:rPr>
            </w:pPr>
            <w:r>
              <w:rPr>
                <w:rFonts w:ascii="Segoe UI Symbol" w:hAnsi="Segoe UI Symbol" w:cs="Segoe UI Symbol"/>
                <w:bCs/>
                <w:color w:val="auto"/>
                <w:szCs w:val="21"/>
                <w:highlight w:val="none"/>
              </w:rPr>
              <w:t>☐</w:t>
            </w:r>
            <w:r>
              <w:rPr>
                <w:rFonts w:hint="eastAsia" w:ascii="宋体" w:hAnsi="宋体" w:cs="Segoe UI Symbol"/>
                <w:bCs/>
                <w:color w:val="auto"/>
                <w:szCs w:val="21"/>
                <w:highlight w:val="none"/>
              </w:rPr>
              <w:t>需要</w:t>
            </w:r>
          </w:p>
          <w:p w14:paraId="6BD2BABE">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（1）投标人应提交</w:t>
            </w:r>
            <w:r>
              <w:rPr>
                <w:rFonts w:hint="eastAsia" w:ascii="宋体" w:hAnsi="宋体" w:cs="Segoe UI Symbol"/>
                <w:bCs/>
                <w:color w:val="auto"/>
                <w:szCs w:val="21"/>
                <w:highlight w:val="none"/>
                <w:u w:val="single"/>
              </w:rPr>
              <w:t xml:space="preserve">    </w:t>
            </w:r>
            <w:r>
              <w:rPr>
                <w:rFonts w:hint="eastAsia" w:ascii="宋体" w:hAnsi="宋体" w:cs="Segoe UI Symbol"/>
                <w:bCs/>
                <w:color w:val="auto"/>
                <w:szCs w:val="21"/>
                <w:highlight w:val="none"/>
              </w:rPr>
              <w:t>万元人民币的投标保证金，并作为其投标文件的一部分。</w:t>
            </w:r>
          </w:p>
          <w:p w14:paraId="0E52EEFB">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（2）投标保证金从投标人的账户转出，采用电汇（提供电汇底单）、网银转账（提供网银转账截图）、或者金融机构、担保机构出具的保函形式提交，不接受其他形式作为投标保证金。</w:t>
            </w:r>
          </w:p>
          <w:p w14:paraId="1EA6D2A6">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（3）投标人应在递交投标文件时将投标保证金缴纳凭证随投标文件一同提交。</w:t>
            </w:r>
          </w:p>
          <w:p w14:paraId="00EBFE61">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（4）保证金汇入账户：</w:t>
            </w:r>
          </w:p>
          <w:p w14:paraId="788A7B11">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单位名称：江苏省招标中心有限公司</w:t>
            </w:r>
          </w:p>
          <w:p w14:paraId="73A04558">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开户银行（人民币）：南京银行南京兴隆大街支行</w:t>
            </w:r>
          </w:p>
          <w:p w14:paraId="6691243F">
            <w:pPr>
              <w:adjustRightInd w:val="0"/>
              <w:snapToGrid w:val="0"/>
              <w:spacing w:before="156" w:beforeLines="50" w:line="360" w:lineRule="auto"/>
              <w:rPr>
                <w:rFonts w:hint="eastAsia" w:ascii="宋体" w:hAnsi="宋体" w:cs="Segoe UI Symbol"/>
                <w:bCs/>
                <w:color w:val="auto"/>
                <w:szCs w:val="21"/>
                <w:highlight w:val="none"/>
              </w:rPr>
            </w:pPr>
            <w:r>
              <w:rPr>
                <w:rFonts w:hint="eastAsia" w:ascii="宋体" w:hAnsi="宋体" w:cs="Segoe UI Symbol"/>
                <w:bCs/>
                <w:color w:val="auto"/>
                <w:szCs w:val="21"/>
                <w:highlight w:val="none"/>
              </w:rPr>
              <w:t>账号（人民币）：0164280000000953</w:t>
            </w:r>
          </w:p>
          <w:p w14:paraId="692878A6">
            <w:pPr>
              <w:adjustRightInd w:val="0"/>
              <w:snapToGrid w:val="0"/>
              <w:spacing w:before="156" w:beforeLines="50" w:line="360" w:lineRule="auto"/>
              <w:rPr>
                <w:rFonts w:hint="eastAsia" w:ascii="宋体" w:hAnsi="宋体" w:cs="Microsoft New Tai Lue"/>
                <w:bCs/>
                <w:color w:val="auto"/>
                <w:szCs w:val="21"/>
                <w:highlight w:val="none"/>
              </w:rPr>
            </w:pPr>
            <w:r>
              <w:rPr>
                <w:rFonts w:hint="eastAsia" w:ascii="宋体" w:hAnsi="宋体" w:cs="Segoe UI Symbol"/>
                <w:bCs/>
                <w:color w:val="auto"/>
                <w:szCs w:val="21"/>
                <w:highlight w:val="none"/>
              </w:rPr>
              <w:t>注：为便于采购代理机构及时准确地核实投标人的保证金是否到账，投标人应在汇款附言里注明：（项目编号）投标保证金。</w:t>
            </w:r>
          </w:p>
        </w:tc>
      </w:tr>
      <w:tr w14:paraId="77A66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56CD86AE">
            <w:pPr>
              <w:pStyle w:val="75"/>
              <w:jc w:val="center"/>
              <w:rPr>
                <w:rFonts w:hint="default" w:ascii="Microsoft New Tai Lue" w:hAnsi="Microsoft New Tai Lue"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16</w:t>
            </w:r>
          </w:p>
        </w:tc>
        <w:tc>
          <w:tcPr>
            <w:tcW w:w="850" w:type="dxa"/>
            <w:vAlign w:val="center"/>
          </w:tcPr>
          <w:p w14:paraId="62E010C9">
            <w:pPr>
              <w:pStyle w:val="75"/>
              <w:spacing w:after="0"/>
              <w:jc w:val="center"/>
              <w:rPr>
                <w:rFonts w:ascii="Microsoft New Tai Lue" w:hAnsi="Microsoft New Tai Lue" w:cs="Microsoft New Tai Lue"/>
                <w:color w:val="auto"/>
                <w:kern w:val="2"/>
                <w:sz w:val="21"/>
                <w:highlight w:val="none"/>
              </w:rPr>
            </w:pPr>
            <w:r>
              <w:rPr>
                <w:rFonts w:ascii="Microsoft New Tai Lue" w:hAnsi="Microsoft New Tai Lue" w:cs="Microsoft New Tai Lue"/>
                <w:kern w:val="2"/>
                <w:sz w:val="21"/>
              </w:rPr>
              <w:t>24.1</w:t>
            </w:r>
          </w:p>
        </w:tc>
        <w:tc>
          <w:tcPr>
            <w:tcW w:w="2835" w:type="dxa"/>
            <w:vAlign w:val="center"/>
          </w:tcPr>
          <w:p w14:paraId="1DEC4D52">
            <w:pPr>
              <w:pStyle w:val="75"/>
              <w:spacing w:after="0" w:line="360" w:lineRule="auto"/>
              <w:jc w:val="left"/>
              <w:rPr>
                <w:rFonts w:hAnsi="宋体" w:cs="Microsoft New Tai Lue"/>
                <w:color w:val="auto"/>
                <w:kern w:val="2"/>
                <w:sz w:val="21"/>
                <w:highlight w:val="none"/>
              </w:rPr>
            </w:pPr>
            <w:r>
              <w:rPr>
                <w:rFonts w:hint="eastAsia" w:hAnsi="宋体" w:cs="宋体"/>
                <w:color w:val="000000" w:themeColor="text1"/>
                <w:sz w:val="21"/>
                <w14:textFill>
                  <w14:solidFill>
                    <w14:schemeClr w14:val="tx1"/>
                  </w14:solidFill>
                </w14:textFill>
              </w:rPr>
              <w:t>投标文件的递交</w:t>
            </w:r>
          </w:p>
        </w:tc>
        <w:tc>
          <w:tcPr>
            <w:tcW w:w="4982" w:type="dxa"/>
            <w:vAlign w:val="center"/>
          </w:tcPr>
          <w:p w14:paraId="26F02851">
            <w:pPr>
              <w:adjustRightInd w:val="0"/>
              <w:snapToGrid w:val="0"/>
              <w:spacing w:before="160" w:after="0" w:line="276" w:lineRule="auto"/>
              <w:rPr>
                <w:rFonts w:hAnsi="宋体" w:cs="Microsoft New Tai Lue"/>
                <w:color w:val="auto"/>
                <w:kern w:val="2"/>
                <w:sz w:val="21"/>
                <w:highlight w:val="none"/>
              </w:rPr>
            </w:pPr>
            <w:r>
              <w:rPr>
                <w:rFonts w:hint="eastAsia" w:ascii="宋体" w:hAnsi="宋体" w:cs="宋体"/>
                <w:bCs/>
                <w:color w:val="000000" w:themeColor="text1"/>
                <w:szCs w:val="21"/>
                <w14:textFill>
                  <w14:solidFill>
                    <w14:schemeClr w14:val="tx1"/>
                  </w14:solidFill>
                </w14:textFill>
              </w:rPr>
              <w:t>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投标文件截止时间后上传的任何电子投标文件。</w:t>
            </w:r>
          </w:p>
        </w:tc>
      </w:tr>
      <w:tr w14:paraId="139C4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49C945C">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17</w:t>
            </w:r>
          </w:p>
        </w:tc>
        <w:tc>
          <w:tcPr>
            <w:tcW w:w="850" w:type="dxa"/>
            <w:vAlign w:val="center"/>
          </w:tcPr>
          <w:p w14:paraId="05F43570">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25</w:t>
            </w:r>
            <w:r>
              <w:rPr>
                <w:rFonts w:hint="eastAsia" w:ascii="Microsoft New Tai Lue" w:hAnsi="Microsoft New Tai Lue" w:cs="Microsoft New Tai Lue"/>
                <w:color w:val="auto"/>
                <w:kern w:val="2"/>
                <w:sz w:val="21"/>
                <w:highlight w:val="none"/>
              </w:rPr>
              <w:t>.1</w:t>
            </w:r>
          </w:p>
        </w:tc>
        <w:tc>
          <w:tcPr>
            <w:tcW w:w="2835" w:type="dxa"/>
            <w:vAlign w:val="center"/>
          </w:tcPr>
          <w:p w14:paraId="04B2BD04">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提交投标文件的截止时间、地点</w:t>
            </w:r>
          </w:p>
        </w:tc>
        <w:tc>
          <w:tcPr>
            <w:tcW w:w="4982" w:type="dxa"/>
            <w:vAlign w:val="center"/>
          </w:tcPr>
          <w:p w14:paraId="580A0630">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详见招标文件第一章《</w:t>
            </w:r>
            <w:r>
              <w:rPr>
                <w:rFonts w:hint="eastAsia" w:hAnsi="宋体" w:cs="Microsoft New Tai Lue"/>
                <w:color w:val="auto"/>
                <w:kern w:val="2"/>
                <w:sz w:val="21"/>
                <w:highlight w:val="none"/>
              </w:rPr>
              <w:t>招标公告</w:t>
            </w:r>
            <w:r>
              <w:rPr>
                <w:rFonts w:hAnsi="宋体" w:cs="Microsoft New Tai Lue"/>
                <w:color w:val="auto"/>
                <w:kern w:val="2"/>
                <w:sz w:val="21"/>
                <w:highlight w:val="none"/>
              </w:rPr>
              <w:t>》</w:t>
            </w:r>
          </w:p>
        </w:tc>
      </w:tr>
      <w:tr w14:paraId="4C821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6C791D03">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18</w:t>
            </w:r>
          </w:p>
        </w:tc>
        <w:tc>
          <w:tcPr>
            <w:tcW w:w="850" w:type="dxa"/>
            <w:vAlign w:val="center"/>
          </w:tcPr>
          <w:p w14:paraId="7D5AF53F">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28.1</w:t>
            </w:r>
          </w:p>
        </w:tc>
        <w:tc>
          <w:tcPr>
            <w:tcW w:w="2835" w:type="dxa"/>
            <w:vAlign w:val="center"/>
          </w:tcPr>
          <w:p w14:paraId="257F6727">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开标时间、地点</w:t>
            </w:r>
          </w:p>
        </w:tc>
        <w:tc>
          <w:tcPr>
            <w:tcW w:w="4982" w:type="dxa"/>
            <w:vAlign w:val="center"/>
          </w:tcPr>
          <w:p w14:paraId="0C2397C5">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详见招标文件第一章《</w:t>
            </w:r>
            <w:r>
              <w:rPr>
                <w:rFonts w:hint="eastAsia" w:hAnsi="宋体" w:cs="Microsoft New Tai Lue"/>
                <w:color w:val="auto"/>
                <w:kern w:val="2"/>
                <w:sz w:val="21"/>
                <w:highlight w:val="none"/>
              </w:rPr>
              <w:t>招标公告</w:t>
            </w:r>
            <w:r>
              <w:rPr>
                <w:rFonts w:hAnsi="宋体" w:cs="Microsoft New Tai Lue"/>
                <w:color w:val="auto"/>
                <w:kern w:val="2"/>
                <w:sz w:val="21"/>
                <w:highlight w:val="none"/>
              </w:rPr>
              <w:t>》</w:t>
            </w:r>
          </w:p>
        </w:tc>
      </w:tr>
      <w:tr w14:paraId="6555F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363930CE">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19</w:t>
            </w:r>
          </w:p>
        </w:tc>
        <w:tc>
          <w:tcPr>
            <w:tcW w:w="850" w:type="dxa"/>
            <w:vAlign w:val="center"/>
          </w:tcPr>
          <w:p w14:paraId="4B122753">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29.2.1</w:t>
            </w:r>
          </w:p>
        </w:tc>
        <w:tc>
          <w:tcPr>
            <w:tcW w:w="2835" w:type="dxa"/>
            <w:vAlign w:val="center"/>
          </w:tcPr>
          <w:p w14:paraId="127B88DA">
            <w:pPr>
              <w:pStyle w:val="75"/>
              <w:jc w:val="left"/>
              <w:rPr>
                <w:rFonts w:hint="eastAsia" w:hAnsi="宋体" w:cs="Microsoft New Tai Lue"/>
                <w:color w:val="auto"/>
                <w:kern w:val="2"/>
                <w:sz w:val="21"/>
                <w:highlight w:val="none"/>
              </w:rPr>
            </w:pPr>
            <w:r>
              <w:rPr>
                <w:rFonts w:hAnsi="宋体" w:cs="Microsoft New Tai Lue"/>
                <w:color w:val="auto"/>
                <w:kern w:val="2"/>
                <w:sz w:val="21"/>
                <w:highlight w:val="none"/>
              </w:rPr>
              <w:t>信用查询</w:t>
            </w:r>
          </w:p>
        </w:tc>
        <w:tc>
          <w:tcPr>
            <w:tcW w:w="4982" w:type="dxa"/>
            <w:vAlign w:val="center"/>
          </w:tcPr>
          <w:p w14:paraId="283DC3AD">
            <w:pPr>
              <w:pStyle w:val="75"/>
              <w:spacing w:line="360" w:lineRule="auto"/>
              <w:rPr>
                <w:rFonts w:hint="eastAsia" w:hAnsi="宋体" w:cs="Microsoft New Tai Lue"/>
                <w:bCs/>
                <w:color w:val="auto"/>
                <w:kern w:val="2"/>
                <w:sz w:val="21"/>
                <w:highlight w:val="none"/>
              </w:rPr>
            </w:pPr>
            <w:r>
              <w:rPr>
                <w:rFonts w:hint="eastAsia" w:hAnsi="宋体" w:cs="Microsoft New Tai Lue"/>
                <w:bCs/>
                <w:color w:val="auto"/>
                <w:kern w:val="2"/>
                <w:sz w:val="21"/>
                <w:highlight w:val="none"/>
              </w:rPr>
              <w:t>□采购人或采购代理机构将通过“信用中国”网站</w:t>
            </w:r>
            <w:r>
              <w:rPr>
                <w:rFonts w:hAnsi="宋体" w:cs="Microsoft New Tai Lue"/>
                <w:bCs/>
                <w:color w:val="auto"/>
                <w:kern w:val="2"/>
                <w:sz w:val="21"/>
                <w:highlight w:val="none"/>
              </w:rPr>
              <w:t>(www.creditchina.gov.cn)</w:t>
            </w:r>
            <w:r>
              <w:rPr>
                <w:rFonts w:hint="eastAsia" w:hAnsi="宋体" w:cs="Microsoft New Tai Lue"/>
                <w:bCs/>
                <w:color w:val="auto"/>
                <w:kern w:val="2"/>
                <w:sz w:val="21"/>
                <w:highlight w:val="none"/>
              </w:rPr>
              <w:t>、中国政府采购网</w:t>
            </w:r>
            <w:r>
              <w:rPr>
                <w:rFonts w:hAnsi="宋体" w:cs="Microsoft New Tai Lue"/>
                <w:bCs/>
                <w:color w:val="auto"/>
                <w:kern w:val="2"/>
                <w:sz w:val="21"/>
                <w:highlight w:val="none"/>
              </w:rPr>
              <w:t>(www.ccgp.gov.cn)</w:t>
            </w:r>
            <w:r>
              <w:rPr>
                <w:rFonts w:hint="eastAsia" w:hAnsi="宋体" w:cs="Microsoft New Tai Lue"/>
                <w:bCs/>
                <w:color w:val="auto"/>
                <w:kern w:val="2"/>
                <w:sz w:val="21"/>
                <w:highlight w:val="none"/>
              </w:rPr>
              <w:t>查询相关主体信用记录。本次查询的信用记录打印的网页版将留存在评标报告中。</w:t>
            </w:r>
            <w:r>
              <w:rPr>
                <w:rFonts w:hAnsi="宋体" w:cs="Microsoft New Tai Lue"/>
                <w:bCs/>
                <w:color w:val="auto"/>
                <w:kern w:val="2"/>
                <w:sz w:val="21"/>
                <w:highlight w:val="none"/>
              </w:rPr>
              <w:t>截止时点：投标截止时间以后、资格审查阶段采购人或采购代理机构的实际查询时间</w:t>
            </w:r>
            <w:r>
              <w:rPr>
                <w:rFonts w:hint="eastAsia" w:hAnsi="宋体" w:cs="Microsoft New Tai Lue"/>
                <w:bCs/>
                <w:color w:val="auto"/>
                <w:kern w:val="2"/>
                <w:sz w:val="21"/>
                <w:highlight w:val="none"/>
              </w:rPr>
              <w:t>。</w:t>
            </w:r>
          </w:p>
          <w:p w14:paraId="64888B54">
            <w:pPr>
              <w:pStyle w:val="75"/>
              <w:spacing w:line="360" w:lineRule="auto"/>
              <w:rPr>
                <w:rFonts w:hint="eastAsia" w:hAnsi="宋体" w:cs="Microsoft New Tai Lue"/>
                <w:bCs/>
                <w:color w:val="auto"/>
                <w:sz w:val="21"/>
                <w:highlight w:val="none"/>
              </w:rPr>
            </w:pPr>
            <w:r>
              <w:rPr>
                <w:rFonts w:hint="eastAsia" w:hAnsi="宋体"/>
                <w:b/>
                <w:color w:val="auto"/>
                <w:sz w:val="24"/>
                <w:highlight w:val="none"/>
              </w:rPr>
              <w:t>■</w:t>
            </w:r>
            <w:r>
              <w:rPr>
                <w:rFonts w:hint="eastAsia" w:hAnsi="宋体" w:cs="Microsoft New Tai Lue"/>
                <w:bCs/>
                <w:color w:val="auto"/>
                <w:kern w:val="2"/>
                <w:sz w:val="21"/>
                <w:highlight w:val="none"/>
              </w:rPr>
              <w:t>投标人自行查询信用记录，如实提供《无不良信用记录承诺》并加盖投标人公章。联合体参加投标的，所有联合体成员均须加盖公章。本项目信用记录查询截止</w:t>
            </w:r>
            <w:r>
              <w:rPr>
                <w:rFonts w:hint="eastAsia" w:hAnsi="宋体" w:cs="Microsoft New Tai Lue"/>
                <w:bCs/>
                <w:color w:val="auto"/>
                <w:kern w:val="2"/>
                <w:sz w:val="21"/>
                <w:highlight w:val="none"/>
                <w:lang w:val="en-US" w:eastAsia="zh-CN"/>
              </w:rPr>
              <w:t>时间</w:t>
            </w:r>
            <w:r>
              <w:rPr>
                <w:rFonts w:hint="eastAsia" w:hAnsi="宋体" w:cs="Microsoft New Tai Lue"/>
                <w:bCs/>
                <w:color w:val="auto"/>
                <w:kern w:val="2"/>
                <w:sz w:val="21"/>
                <w:highlight w:val="none"/>
              </w:rPr>
              <w:t>点为</w:t>
            </w:r>
            <w:r>
              <w:rPr>
                <w:rFonts w:hint="eastAsia" w:hAnsi="宋体" w:cs="Microsoft New Tai Lue"/>
                <w:bCs/>
                <w:color w:val="auto"/>
                <w:kern w:val="2"/>
                <w:sz w:val="21"/>
                <w:highlight w:val="none"/>
                <w:u w:val="single"/>
              </w:rPr>
              <w:t>投标截止时间前</w:t>
            </w:r>
            <w:r>
              <w:rPr>
                <w:rFonts w:hint="eastAsia" w:hAnsi="宋体" w:cs="Microsoft New Tai Lue"/>
                <w:bCs/>
                <w:color w:val="auto"/>
                <w:kern w:val="2"/>
                <w:sz w:val="21"/>
                <w:highlight w:val="none"/>
              </w:rPr>
              <w:t>。</w:t>
            </w:r>
          </w:p>
        </w:tc>
      </w:tr>
      <w:tr w14:paraId="5EDD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2E6FF4DA">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20</w:t>
            </w:r>
          </w:p>
        </w:tc>
        <w:tc>
          <w:tcPr>
            <w:tcW w:w="850" w:type="dxa"/>
            <w:vAlign w:val="center"/>
          </w:tcPr>
          <w:p w14:paraId="18110E5D">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30.1.1</w:t>
            </w:r>
          </w:p>
        </w:tc>
        <w:tc>
          <w:tcPr>
            <w:tcW w:w="2835" w:type="dxa"/>
            <w:vAlign w:val="center"/>
          </w:tcPr>
          <w:p w14:paraId="6160BDFB">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评标委员会</w:t>
            </w:r>
          </w:p>
        </w:tc>
        <w:tc>
          <w:tcPr>
            <w:tcW w:w="4982" w:type="dxa"/>
            <w:vAlign w:val="center"/>
          </w:tcPr>
          <w:p w14:paraId="576528DD">
            <w:pPr>
              <w:pStyle w:val="75"/>
              <w:spacing w:line="360" w:lineRule="auto"/>
              <w:rPr>
                <w:rFonts w:hint="eastAsia" w:hAnsi="宋体" w:cs="Microsoft New Tai Lue"/>
                <w:bCs/>
                <w:color w:val="auto"/>
                <w:kern w:val="2"/>
                <w:sz w:val="21"/>
                <w:highlight w:val="none"/>
              </w:rPr>
            </w:pPr>
            <w:r>
              <w:rPr>
                <w:rFonts w:hint="eastAsia" w:hAnsi="宋体" w:cs="Microsoft New Tai Lue"/>
                <w:bCs/>
                <w:color w:val="auto"/>
                <w:kern w:val="2"/>
                <w:sz w:val="21"/>
                <w:highlight w:val="none"/>
              </w:rPr>
              <w:t>5人以上单数</w:t>
            </w:r>
            <w:r>
              <w:rPr>
                <w:rFonts w:hAnsi="宋体" w:cs="Microsoft New Tai Lue"/>
                <w:bCs/>
                <w:color w:val="auto"/>
                <w:kern w:val="2"/>
                <w:sz w:val="21"/>
                <w:highlight w:val="none"/>
              </w:rPr>
              <w:t>。</w:t>
            </w:r>
          </w:p>
        </w:tc>
      </w:tr>
      <w:tr w14:paraId="61F36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73CDEEAE">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21</w:t>
            </w:r>
          </w:p>
        </w:tc>
        <w:tc>
          <w:tcPr>
            <w:tcW w:w="850" w:type="dxa"/>
            <w:vAlign w:val="center"/>
          </w:tcPr>
          <w:p w14:paraId="3E4A83A5">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30.5.3</w:t>
            </w:r>
          </w:p>
        </w:tc>
        <w:tc>
          <w:tcPr>
            <w:tcW w:w="2835" w:type="dxa"/>
            <w:vAlign w:val="center"/>
          </w:tcPr>
          <w:p w14:paraId="4BA9234A">
            <w:pPr>
              <w:pStyle w:val="75"/>
              <w:jc w:val="left"/>
              <w:rPr>
                <w:rFonts w:hint="eastAsia" w:hAnsi="宋体" w:cs="Microsoft New Tai Lue"/>
                <w:color w:val="auto"/>
                <w:kern w:val="2"/>
                <w:sz w:val="21"/>
                <w:highlight w:val="none"/>
              </w:rPr>
            </w:pPr>
            <w:r>
              <w:rPr>
                <w:rFonts w:hAnsi="宋体" w:cs="Microsoft New Tai Lue"/>
                <w:color w:val="auto"/>
                <w:kern w:val="2"/>
                <w:sz w:val="21"/>
                <w:highlight w:val="none"/>
              </w:rPr>
              <w:t>核心产品</w:t>
            </w:r>
          </w:p>
        </w:tc>
        <w:tc>
          <w:tcPr>
            <w:tcW w:w="4982" w:type="dxa"/>
            <w:vAlign w:val="center"/>
          </w:tcPr>
          <w:p w14:paraId="32BB9943">
            <w:pPr>
              <w:pStyle w:val="75"/>
              <w:spacing w:line="360" w:lineRule="auto"/>
              <w:rPr>
                <w:rFonts w:hint="eastAsia" w:hAnsi="宋体" w:cs="Microsoft New Tai Lue"/>
                <w:bCs/>
                <w:color w:val="auto"/>
                <w:sz w:val="21"/>
                <w:highlight w:val="none"/>
              </w:rPr>
            </w:pPr>
            <w:r>
              <w:rPr>
                <w:rFonts w:ascii="Segoe UI Symbol" w:hAnsi="Segoe UI Symbol" w:cs="Segoe UI Symbol"/>
                <w:bCs/>
                <w:color w:val="auto"/>
                <w:sz w:val="21"/>
                <w:highlight w:val="none"/>
              </w:rPr>
              <w:t>☐</w:t>
            </w:r>
            <w:r>
              <w:rPr>
                <w:rFonts w:hint="eastAsia" w:hAnsi="宋体" w:cs="宋体"/>
                <w:bCs/>
                <w:color w:val="auto"/>
                <w:sz w:val="21"/>
                <w:highlight w:val="none"/>
              </w:rPr>
              <w:t>货物类，单一产品或核心产品为：</w:t>
            </w:r>
            <w:r>
              <w:rPr>
                <w:rFonts w:hAnsi="宋体" w:cs="Microsoft New Tai Lue"/>
                <w:bCs/>
                <w:color w:val="auto"/>
                <w:sz w:val="21"/>
                <w:highlight w:val="none"/>
                <w:u w:val="single"/>
              </w:rPr>
              <w:t xml:space="preserve">              </w:t>
            </w:r>
            <w:r>
              <w:rPr>
                <w:rFonts w:hint="eastAsia" w:hAnsi="宋体" w:cs="Microsoft New Tai Lue"/>
                <w:bCs/>
                <w:color w:val="auto"/>
                <w:sz w:val="21"/>
                <w:highlight w:val="none"/>
              </w:rPr>
              <w:t>。</w:t>
            </w:r>
            <w:r>
              <w:rPr>
                <w:rFonts w:hint="eastAsia" w:hAnsi="宋体" w:cs="Microsoft New Tai Lue"/>
                <w:bCs/>
                <w:color w:val="auto"/>
                <w:sz w:val="21"/>
                <w:highlight w:val="none"/>
              </w:rPr>
              <w:br w:type="textWrapping"/>
            </w:r>
            <w:r>
              <w:rPr>
                <w:rFonts w:hint="eastAsia" w:hAnsi="宋体"/>
                <w:b/>
                <w:color w:val="auto"/>
                <w:sz w:val="24"/>
                <w:highlight w:val="none"/>
              </w:rPr>
              <w:t>■</w:t>
            </w:r>
            <w:r>
              <w:rPr>
                <w:rFonts w:hint="eastAsia" w:hAnsi="宋体" w:cs="宋体"/>
                <w:bCs/>
                <w:color w:val="auto"/>
                <w:sz w:val="21"/>
                <w:highlight w:val="none"/>
              </w:rPr>
              <w:t>服务类</w:t>
            </w:r>
            <w:r>
              <w:rPr>
                <w:rFonts w:hint="eastAsia" w:hAnsi="宋体" w:cs="Microsoft New Tai Lue"/>
                <w:bCs/>
                <w:color w:val="auto"/>
                <w:sz w:val="21"/>
                <w:highlight w:val="none"/>
              </w:rPr>
              <w:t>，不适用。</w:t>
            </w:r>
          </w:p>
        </w:tc>
      </w:tr>
      <w:tr w14:paraId="0752E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675" w:type="dxa"/>
            <w:vAlign w:val="center"/>
          </w:tcPr>
          <w:p w14:paraId="52EFFD3B">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22</w:t>
            </w:r>
          </w:p>
        </w:tc>
        <w:tc>
          <w:tcPr>
            <w:tcW w:w="850" w:type="dxa"/>
            <w:vAlign w:val="center"/>
          </w:tcPr>
          <w:p w14:paraId="5BD29314">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31.3</w:t>
            </w:r>
          </w:p>
        </w:tc>
        <w:tc>
          <w:tcPr>
            <w:tcW w:w="2835" w:type="dxa"/>
            <w:vAlign w:val="center"/>
          </w:tcPr>
          <w:p w14:paraId="38614D85">
            <w:pPr>
              <w:pStyle w:val="75"/>
              <w:jc w:val="left"/>
              <w:rPr>
                <w:rFonts w:hint="eastAsia" w:hAnsi="宋体" w:cs="Microsoft New Tai Lue"/>
                <w:bCs/>
                <w:color w:val="auto"/>
                <w:kern w:val="2"/>
                <w:sz w:val="21"/>
                <w:highlight w:val="none"/>
              </w:rPr>
            </w:pPr>
            <w:r>
              <w:rPr>
                <w:rFonts w:hint="eastAsia" w:hAnsi="宋体" w:cs="Microsoft New Tai Lue"/>
                <w:bCs/>
                <w:color w:val="auto"/>
                <w:kern w:val="2"/>
                <w:sz w:val="21"/>
                <w:highlight w:val="none"/>
              </w:rPr>
              <w:t>确定中标单位</w:t>
            </w:r>
          </w:p>
        </w:tc>
        <w:tc>
          <w:tcPr>
            <w:tcW w:w="4982" w:type="dxa"/>
            <w:vAlign w:val="center"/>
          </w:tcPr>
          <w:p w14:paraId="07E7A656">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1</w:t>
            </w:r>
            <w:r>
              <w:rPr>
                <w:rFonts w:hint="eastAsia" w:ascii="宋体" w:hAnsi="宋体" w:cs="Microsoft New Tai Lue"/>
                <w:bCs/>
                <w:color w:val="auto"/>
                <w:szCs w:val="21"/>
                <w:highlight w:val="none"/>
              </w:rPr>
              <w:t>、从</w:t>
            </w:r>
            <w:r>
              <w:rPr>
                <w:rFonts w:ascii="宋体" w:hAnsi="宋体" w:cs="Microsoft New Tai Lue"/>
                <w:bCs/>
                <w:color w:val="auto"/>
                <w:szCs w:val="21"/>
                <w:highlight w:val="none"/>
              </w:rPr>
              <w:t>评标报告确定的中标候选人名单中按顺序确定排名第1名的为中标人。</w:t>
            </w:r>
          </w:p>
          <w:p w14:paraId="5CE4DB80">
            <w:pPr>
              <w:adjustRightInd w:val="0"/>
              <w:snapToGrid w:val="0"/>
              <w:spacing w:before="156" w:beforeLines="50" w:line="276"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2</w:t>
            </w:r>
            <w:r>
              <w:rPr>
                <w:rFonts w:hint="eastAsia" w:ascii="宋体" w:hAnsi="宋体" w:cs="Microsoft New Tai Lue"/>
                <w:bCs/>
                <w:color w:val="auto"/>
                <w:szCs w:val="21"/>
                <w:highlight w:val="none"/>
              </w:rPr>
              <w:t>、</w:t>
            </w:r>
            <w:r>
              <w:rPr>
                <w:rFonts w:ascii="宋体" w:hAnsi="宋体" w:cs="Microsoft New Tai Lue"/>
                <w:bCs/>
                <w:color w:val="auto"/>
                <w:szCs w:val="21"/>
                <w:highlight w:val="none"/>
              </w:rPr>
              <w:t>中标候选人并列的，按照以下方式确定中标人。</w:t>
            </w:r>
          </w:p>
          <w:p w14:paraId="52C5A86C">
            <w:pPr>
              <w:adjustRightInd w:val="0"/>
              <w:snapToGrid w:val="0"/>
              <w:spacing w:before="156" w:beforeLines="50" w:line="276" w:lineRule="auto"/>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w:t>
            </w:r>
            <w:r>
              <w:rPr>
                <w:rFonts w:ascii="宋体" w:hAnsi="宋体" w:cs="Microsoft New Tai Lue"/>
                <w:bCs/>
                <w:color w:val="auto"/>
                <w:szCs w:val="21"/>
                <w:highlight w:val="none"/>
              </w:rPr>
              <w:t>随机抽取</w:t>
            </w:r>
          </w:p>
          <w:p w14:paraId="03DB18CC">
            <w:pPr>
              <w:spacing w:line="360" w:lineRule="auto"/>
              <w:jc w:val="left"/>
              <w:rPr>
                <w:rFonts w:hint="eastAsia" w:ascii="宋体" w:hAnsi="宋体" w:cs="Microsoft New Tai Lue"/>
                <w:bCs/>
                <w:color w:val="auto"/>
                <w:szCs w:val="21"/>
                <w:highlight w:val="none"/>
              </w:rPr>
            </w:pPr>
            <w:r>
              <w:rPr>
                <w:rFonts w:hint="eastAsia" w:ascii="宋体" w:hAnsi="宋体"/>
                <w:b/>
                <w:color w:val="auto"/>
                <w:sz w:val="24"/>
                <w:highlight w:val="none"/>
              </w:rPr>
              <w:t>■</w:t>
            </w:r>
            <w:r>
              <w:rPr>
                <w:rFonts w:ascii="宋体" w:hAnsi="宋体" w:cs="Microsoft New Tai Lue"/>
                <w:bCs/>
                <w:color w:val="auto"/>
                <w:szCs w:val="21"/>
                <w:highlight w:val="none"/>
              </w:rPr>
              <w:t>其他</w:t>
            </w:r>
            <w:r>
              <w:rPr>
                <w:rFonts w:hint="eastAsia" w:ascii="宋体" w:hAnsi="宋体" w:cs="Microsoft New Tai Lue"/>
                <w:bCs/>
                <w:color w:val="auto"/>
                <w:szCs w:val="21"/>
                <w:highlight w:val="none"/>
                <w:u w:val="single"/>
              </w:rPr>
              <w:t>得分相同的，按投标报价由低到高顺序排列，得分且投标报价相同的，按技术指标优劣顺序排列，由评标委员会确定中标人。</w:t>
            </w:r>
          </w:p>
        </w:tc>
      </w:tr>
      <w:tr w14:paraId="124F7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675" w:type="dxa"/>
            <w:vAlign w:val="center"/>
          </w:tcPr>
          <w:p w14:paraId="12F19688">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23</w:t>
            </w:r>
          </w:p>
        </w:tc>
        <w:tc>
          <w:tcPr>
            <w:tcW w:w="850" w:type="dxa"/>
            <w:vAlign w:val="center"/>
          </w:tcPr>
          <w:p w14:paraId="5928ADDB">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31.4</w:t>
            </w:r>
          </w:p>
        </w:tc>
        <w:tc>
          <w:tcPr>
            <w:tcW w:w="2835" w:type="dxa"/>
            <w:vAlign w:val="center"/>
          </w:tcPr>
          <w:p w14:paraId="08A28B38">
            <w:pPr>
              <w:pStyle w:val="75"/>
              <w:jc w:val="left"/>
              <w:rPr>
                <w:rFonts w:hint="eastAsia" w:hAnsi="宋体" w:cs="Microsoft New Tai Lue"/>
                <w:color w:val="auto"/>
                <w:kern w:val="2"/>
                <w:sz w:val="21"/>
                <w:highlight w:val="none"/>
              </w:rPr>
            </w:pPr>
            <w:r>
              <w:rPr>
                <w:rFonts w:hAnsi="宋体" w:cs="Microsoft New Tai Lue"/>
                <w:color w:val="auto"/>
                <w:kern w:val="2"/>
                <w:sz w:val="21"/>
                <w:highlight w:val="none"/>
              </w:rPr>
              <w:t>公告媒体</w:t>
            </w:r>
          </w:p>
        </w:tc>
        <w:tc>
          <w:tcPr>
            <w:tcW w:w="4982" w:type="dxa"/>
            <w:vAlign w:val="center"/>
          </w:tcPr>
          <w:p w14:paraId="5EC3A2F5">
            <w:pPr>
              <w:adjustRightInd w:val="0"/>
              <w:snapToGrid w:val="0"/>
              <w:spacing w:before="156" w:beforeLines="50" w:line="276" w:lineRule="auto"/>
              <w:rPr>
                <w:rFonts w:hint="eastAsia" w:ascii="宋体" w:hAnsi="宋体" w:cs="Microsoft New Tai Lue"/>
                <w:color w:val="auto"/>
                <w:szCs w:val="21"/>
                <w:highlight w:val="none"/>
              </w:rPr>
            </w:pPr>
            <w:r>
              <w:rPr>
                <w:rFonts w:hint="eastAsia" w:ascii="宋体" w:hAnsi="宋体" w:cs="Microsoft New Tai Lue"/>
                <w:color w:val="auto"/>
                <w:szCs w:val="21"/>
                <w:highlight w:val="none"/>
              </w:rPr>
              <w:t>有关采购事务和本项目的补充公告，敬请及时关注“江苏政府采购网”发布的信息（网址：http://www.ccgp-jiangsu.gov.cn）</w:t>
            </w:r>
          </w:p>
        </w:tc>
      </w:tr>
      <w:tr w14:paraId="5156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CFC040C">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24</w:t>
            </w:r>
          </w:p>
        </w:tc>
        <w:tc>
          <w:tcPr>
            <w:tcW w:w="850" w:type="dxa"/>
            <w:vAlign w:val="center"/>
          </w:tcPr>
          <w:p w14:paraId="3B33FE8D">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35.1</w:t>
            </w:r>
          </w:p>
        </w:tc>
        <w:tc>
          <w:tcPr>
            <w:tcW w:w="2835" w:type="dxa"/>
            <w:vAlign w:val="center"/>
          </w:tcPr>
          <w:p w14:paraId="54B937EB">
            <w:pPr>
              <w:pStyle w:val="75"/>
              <w:jc w:val="left"/>
              <w:rPr>
                <w:rFonts w:hint="eastAsia" w:hAnsi="宋体" w:cs="Microsoft New Tai Lue"/>
                <w:color w:val="auto"/>
                <w:kern w:val="2"/>
                <w:sz w:val="21"/>
                <w:highlight w:val="none"/>
              </w:rPr>
            </w:pPr>
            <w:r>
              <w:rPr>
                <w:rFonts w:hAnsi="宋体" w:cs="Microsoft New Tai Lue"/>
                <w:color w:val="auto"/>
                <w:kern w:val="2"/>
                <w:sz w:val="21"/>
                <w:highlight w:val="none"/>
              </w:rPr>
              <w:t>履约保证金</w:t>
            </w:r>
          </w:p>
        </w:tc>
        <w:tc>
          <w:tcPr>
            <w:tcW w:w="4982" w:type="dxa"/>
            <w:vAlign w:val="center"/>
          </w:tcPr>
          <w:p w14:paraId="60A32443">
            <w:pPr>
              <w:pStyle w:val="75"/>
              <w:spacing w:line="360" w:lineRule="auto"/>
              <w:rPr>
                <w:rFonts w:hint="eastAsia" w:hAnsi="宋体" w:cs="Microsoft New Tai Lue"/>
                <w:bCs/>
                <w:color w:val="auto"/>
                <w:kern w:val="2"/>
                <w:sz w:val="21"/>
                <w:highlight w:val="none"/>
              </w:rPr>
            </w:pPr>
            <w:r>
              <w:rPr>
                <w:rFonts w:hint="eastAsia" w:hAnsi="宋体"/>
                <w:b/>
                <w:color w:val="auto"/>
                <w:sz w:val="24"/>
                <w:highlight w:val="none"/>
              </w:rPr>
              <w:t>■</w:t>
            </w:r>
            <w:r>
              <w:rPr>
                <w:rFonts w:hAnsi="宋体" w:cs="Microsoft New Tai Lue"/>
                <w:bCs/>
                <w:color w:val="auto"/>
                <w:kern w:val="2"/>
                <w:sz w:val="21"/>
                <w:highlight w:val="none"/>
              </w:rPr>
              <w:t>不要求提供</w:t>
            </w:r>
          </w:p>
          <w:p w14:paraId="6DB2FBC6">
            <w:pPr>
              <w:pStyle w:val="75"/>
              <w:spacing w:line="360" w:lineRule="auto"/>
              <w:rPr>
                <w:rFonts w:hint="eastAsia" w:hAnsi="宋体" w:cs="Microsoft New Tai Lue"/>
                <w:bCs/>
                <w:color w:val="auto"/>
                <w:kern w:val="2"/>
                <w:sz w:val="21"/>
                <w:highlight w:val="none"/>
              </w:rPr>
            </w:pPr>
            <w:r>
              <w:rPr>
                <w:rFonts w:hAnsi="宋体" w:cs="Microsoft New Tai Lue"/>
                <w:bCs/>
                <w:color w:val="auto"/>
                <w:kern w:val="2"/>
                <w:sz w:val="21"/>
                <w:highlight w:val="none"/>
              </w:rPr>
              <w:sym w:font="Wingdings 2" w:char="00A3"/>
            </w:r>
            <w:r>
              <w:rPr>
                <w:rFonts w:hAnsi="宋体" w:cs="Microsoft New Tai Lue"/>
                <w:bCs/>
                <w:color w:val="auto"/>
                <w:kern w:val="2"/>
                <w:sz w:val="21"/>
                <w:highlight w:val="none"/>
              </w:rPr>
              <w:t>要求提供，履约保证金的数额不得超过政府采购合同金额的</w:t>
            </w:r>
            <w:r>
              <w:rPr>
                <w:rFonts w:hAnsi="宋体" w:cs="Microsoft New Tai Lue"/>
                <w:bCs/>
                <w:color w:val="auto"/>
                <w:kern w:val="2"/>
                <w:sz w:val="21"/>
                <w:highlight w:val="none"/>
                <w:u w:val="single"/>
              </w:rPr>
              <w:t xml:space="preserve">     </w:t>
            </w:r>
            <w:r>
              <w:rPr>
                <w:rFonts w:hAnsi="宋体" w:cs="Microsoft New Tai Lue"/>
                <w:bCs/>
                <w:color w:val="auto"/>
                <w:kern w:val="2"/>
                <w:sz w:val="21"/>
                <w:highlight w:val="none"/>
              </w:rPr>
              <w:t>%。</w:t>
            </w:r>
          </w:p>
          <w:p w14:paraId="0671C82E">
            <w:pPr>
              <w:pStyle w:val="18"/>
              <w:spacing w:line="360" w:lineRule="auto"/>
              <w:rPr>
                <w:rFonts w:hint="eastAsia" w:hAnsi="宋体" w:cs="Microsoft New Tai Lue"/>
                <w:bCs/>
                <w:color w:val="auto"/>
                <w:highlight w:val="none"/>
              </w:rPr>
            </w:pPr>
            <w:r>
              <w:rPr>
                <w:rFonts w:hAnsi="宋体" w:cs="Microsoft New Tai Lue"/>
                <w:bCs/>
                <w:color w:val="auto"/>
                <w:highlight w:val="none"/>
              </w:rPr>
              <w:t>收款人户名：</w:t>
            </w:r>
          </w:p>
          <w:p w14:paraId="561939E4">
            <w:pPr>
              <w:pStyle w:val="18"/>
              <w:spacing w:line="360" w:lineRule="auto"/>
              <w:rPr>
                <w:rFonts w:hint="eastAsia" w:hAnsi="宋体" w:cs="Microsoft New Tai Lue"/>
                <w:bCs/>
                <w:color w:val="auto"/>
                <w:highlight w:val="none"/>
              </w:rPr>
            </w:pPr>
            <w:r>
              <w:rPr>
                <w:rFonts w:hAnsi="宋体" w:cs="Microsoft New Tai Lue"/>
                <w:bCs/>
                <w:color w:val="auto"/>
                <w:highlight w:val="none"/>
              </w:rPr>
              <w:t>开户银行：</w:t>
            </w:r>
          </w:p>
          <w:p w14:paraId="20CECDFA">
            <w:pPr>
              <w:pStyle w:val="18"/>
              <w:spacing w:line="360" w:lineRule="auto"/>
              <w:rPr>
                <w:rFonts w:hint="eastAsia" w:hAnsi="宋体" w:cs="Microsoft New Tai Lue"/>
                <w:bCs/>
                <w:color w:val="auto"/>
                <w:highlight w:val="none"/>
              </w:rPr>
            </w:pPr>
            <w:r>
              <w:rPr>
                <w:rFonts w:hAnsi="宋体" w:cs="Microsoft New Tai Lue"/>
                <w:bCs/>
                <w:color w:val="auto"/>
                <w:highlight w:val="none"/>
              </w:rPr>
              <w:t>银行账号：</w:t>
            </w:r>
          </w:p>
          <w:p w14:paraId="38C0A3BF">
            <w:pPr>
              <w:pStyle w:val="75"/>
              <w:spacing w:line="360" w:lineRule="auto"/>
              <w:rPr>
                <w:rFonts w:hint="eastAsia" w:hAnsi="宋体" w:cs="Microsoft New Tai Lue"/>
                <w:bCs/>
                <w:color w:val="auto"/>
                <w:kern w:val="2"/>
                <w:sz w:val="21"/>
                <w:highlight w:val="none"/>
              </w:rPr>
            </w:pPr>
            <w:r>
              <w:rPr>
                <w:rFonts w:hAnsi="宋体" w:cs="Microsoft New Tai Lue"/>
                <w:bCs/>
                <w:color w:val="auto"/>
                <w:sz w:val="21"/>
                <w:highlight w:val="none"/>
              </w:rPr>
              <w:t>注：以电汇方式递交履约保证金须在电汇凭据附言栏中写明采购编号、包号及用途（履约保证金）。</w:t>
            </w:r>
          </w:p>
        </w:tc>
      </w:tr>
      <w:tr w14:paraId="3492F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675" w:type="dxa"/>
            <w:vAlign w:val="center"/>
          </w:tcPr>
          <w:p w14:paraId="04FE5AE5">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25</w:t>
            </w:r>
          </w:p>
        </w:tc>
        <w:tc>
          <w:tcPr>
            <w:tcW w:w="850" w:type="dxa"/>
            <w:vAlign w:val="center"/>
          </w:tcPr>
          <w:p w14:paraId="2CF1AD4D">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36.1</w:t>
            </w:r>
          </w:p>
        </w:tc>
        <w:tc>
          <w:tcPr>
            <w:tcW w:w="2835" w:type="dxa"/>
            <w:vAlign w:val="center"/>
          </w:tcPr>
          <w:p w14:paraId="4E923FF5">
            <w:pPr>
              <w:adjustRightInd w:val="0"/>
              <w:snapToGrid w:val="0"/>
              <w:spacing w:before="156" w:beforeLines="50" w:line="276" w:lineRule="auto"/>
              <w:ind w:left="-533" w:leftChars="-254" w:firstLine="533" w:firstLineChars="254"/>
              <w:jc w:val="left"/>
              <w:rPr>
                <w:rFonts w:hint="eastAsia" w:ascii="宋体" w:hAnsi="宋体"/>
                <w:color w:val="auto"/>
                <w:szCs w:val="21"/>
                <w:highlight w:val="none"/>
              </w:rPr>
            </w:pPr>
            <w:r>
              <w:rPr>
                <w:rFonts w:ascii="宋体" w:hAnsi="宋体"/>
                <w:color w:val="auto"/>
                <w:szCs w:val="21"/>
                <w:highlight w:val="none"/>
              </w:rPr>
              <w:t>供应商对采购文件的</w:t>
            </w:r>
          </w:p>
          <w:p w14:paraId="5BAC83CD">
            <w:pPr>
              <w:pStyle w:val="75"/>
              <w:spacing w:line="360" w:lineRule="auto"/>
              <w:jc w:val="left"/>
              <w:rPr>
                <w:rFonts w:hint="eastAsia" w:hAnsi="宋体" w:cs="Microsoft New Tai Lue"/>
                <w:color w:val="auto"/>
                <w:kern w:val="2"/>
                <w:sz w:val="21"/>
                <w:highlight w:val="none"/>
              </w:rPr>
            </w:pPr>
            <w:r>
              <w:rPr>
                <w:rFonts w:hAnsi="宋体"/>
                <w:color w:val="auto"/>
                <w:sz w:val="21"/>
                <w:highlight w:val="none"/>
              </w:rPr>
              <w:t>询问</w:t>
            </w:r>
          </w:p>
        </w:tc>
        <w:tc>
          <w:tcPr>
            <w:tcW w:w="4982" w:type="dxa"/>
            <w:vAlign w:val="center"/>
          </w:tcPr>
          <w:p w14:paraId="04493B99">
            <w:pPr>
              <w:pStyle w:val="18"/>
              <w:spacing w:line="360" w:lineRule="auto"/>
              <w:rPr>
                <w:rFonts w:hint="eastAsia" w:hAnsi="宋体"/>
                <w:color w:val="auto"/>
                <w:highlight w:val="none"/>
              </w:rPr>
            </w:pPr>
            <w:r>
              <w:rPr>
                <w:rFonts w:hAnsi="宋体"/>
                <w:bCs/>
                <w:color w:val="auto"/>
                <w:highlight w:val="none"/>
              </w:rPr>
              <w:t>时间：</w:t>
            </w:r>
            <w:r>
              <w:rPr>
                <w:rFonts w:hint="eastAsia" w:hAnsi="宋体"/>
                <w:bCs/>
                <w:color w:val="auto"/>
                <w:highlight w:val="none"/>
              </w:rPr>
              <w:t>202</w:t>
            </w:r>
            <w:r>
              <w:rPr>
                <w:rFonts w:hint="eastAsia" w:hAnsi="宋体"/>
                <w:bCs/>
                <w:color w:val="auto"/>
                <w:highlight w:val="none"/>
                <w:lang w:val="en-US" w:eastAsia="zh-CN"/>
              </w:rPr>
              <w:t>6</w:t>
            </w:r>
            <w:r>
              <w:rPr>
                <w:rFonts w:hint="eastAsia" w:hAnsi="宋体"/>
                <w:bCs/>
                <w:color w:val="auto"/>
                <w:highlight w:val="none"/>
              </w:rPr>
              <w:t>年</w:t>
            </w:r>
            <w:r>
              <w:rPr>
                <w:rFonts w:hint="eastAsia" w:hAnsi="宋体"/>
                <w:bCs/>
                <w:color w:val="auto"/>
                <w:highlight w:val="none"/>
                <w:lang w:val="en-US" w:eastAsia="zh-CN"/>
              </w:rPr>
              <w:t>04</w:t>
            </w:r>
            <w:r>
              <w:rPr>
                <w:rFonts w:hint="eastAsia" w:hAnsi="宋体"/>
                <w:bCs/>
                <w:color w:val="auto"/>
                <w:highlight w:val="none"/>
              </w:rPr>
              <w:t>月</w:t>
            </w:r>
            <w:r>
              <w:rPr>
                <w:rFonts w:hint="eastAsia" w:hAnsi="宋体"/>
                <w:bCs/>
                <w:color w:val="auto"/>
                <w:highlight w:val="none"/>
                <w:lang w:val="en-US" w:eastAsia="zh-CN"/>
              </w:rPr>
              <w:t>13</w:t>
            </w:r>
            <w:r>
              <w:rPr>
                <w:rFonts w:hint="eastAsia" w:hAnsi="宋体"/>
                <w:bCs/>
                <w:color w:val="auto"/>
                <w:highlight w:val="none"/>
              </w:rPr>
              <w:t>日前</w:t>
            </w:r>
          </w:p>
          <w:p w14:paraId="0880142F">
            <w:pPr>
              <w:pStyle w:val="18"/>
              <w:spacing w:line="360" w:lineRule="auto"/>
              <w:rPr>
                <w:rFonts w:hint="eastAsia" w:hAnsi="宋体" w:cs="Microsoft New Tai Lue"/>
                <w:bCs/>
                <w:color w:val="auto"/>
                <w:highlight w:val="none"/>
              </w:rPr>
            </w:pPr>
            <w:r>
              <w:rPr>
                <w:rFonts w:hAnsi="宋体"/>
                <w:bCs/>
                <w:color w:val="auto"/>
                <w:highlight w:val="none"/>
              </w:rPr>
              <w:t>形式：以书面形式（盖章扫描件及WPS兼容格式文件发至</w:t>
            </w:r>
            <w:r>
              <w:rPr>
                <w:rFonts w:hAnsi="宋体"/>
                <w:bCs/>
                <w:color w:val="auto"/>
                <w:highlight w:val="none"/>
                <w:u w:val="single"/>
              </w:rPr>
              <w:t xml:space="preserve"> 1728158436@qq.com </w:t>
            </w:r>
            <w:r>
              <w:rPr>
                <w:rFonts w:hAnsi="宋体"/>
                <w:bCs/>
                <w:color w:val="auto"/>
                <w:highlight w:val="none"/>
              </w:rPr>
              <w:t>邮箱）通知</w:t>
            </w:r>
            <w:r>
              <w:rPr>
                <w:rFonts w:hint="eastAsia" w:hAnsi="宋体" w:cs="Microsoft New Tai Lue"/>
                <w:bCs/>
                <w:color w:val="auto"/>
                <w:highlight w:val="none"/>
              </w:rPr>
              <w:t>采购人或采购代理机构</w:t>
            </w:r>
            <w:r>
              <w:rPr>
                <w:rFonts w:hAnsi="宋体"/>
                <w:bCs/>
                <w:color w:val="auto"/>
                <w:highlight w:val="none"/>
              </w:rPr>
              <w:t>。</w:t>
            </w:r>
          </w:p>
        </w:tc>
      </w:tr>
      <w:tr w14:paraId="20472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675" w:type="dxa"/>
            <w:vAlign w:val="center"/>
          </w:tcPr>
          <w:p w14:paraId="058DFBA4">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26</w:t>
            </w:r>
          </w:p>
        </w:tc>
        <w:tc>
          <w:tcPr>
            <w:tcW w:w="850" w:type="dxa"/>
            <w:vAlign w:val="center"/>
          </w:tcPr>
          <w:p w14:paraId="32FB7F0C">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37.1</w:t>
            </w:r>
          </w:p>
        </w:tc>
        <w:tc>
          <w:tcPr>
            <w:tcW w:w="2835" w:type="dxa"/>
            <w:vAlign w:val="center"/>
          </w:tcPr>
          <w:p w14:paraId="7545B93C">
            <w:pPr>
              <w:adjustRightInd w:val="0"/>
              <w:snapToGrid w:val="0"/>
              <w:spacing w:before="156" w:beforeLines="50" w:line="276" w:lineRule="auto"/>
              <w:ind w:left="-533" w:leftChars="-254" w:firstLine="533" w:firstLineChars="254"/>
              <w:jc w:val="left"/>
              <w:rPr>
                <w:rFonts w:hint="eastAsia" w:ascii="宋体" w:hAnsi="宋体" w:cs="Microsoft New Tai Lue"/>
                <w:color w:val="auto"/>
                <w:szCs w:val="21"/>
                <w:highlight w:val="none"/>
              </w:rPr>
            </w:pPr>
            <w:r>
              <w:rPr>
                <w:rFonts w:hint="eastAsia" w:ascii="宋体" w:hAnsi="宋体" w:cs="Microsoft New Tai Lue"/>
                <w:color w:val="auto"/>
                <w:szCs w:val="21"/>
                <w:highlight w:val="none"/>
              </w:rPr>
              <w:t>供应商</w:t>
            </w:r>
            <w:r>
              <w:rPr>
                <w:rFonts w:ascii="宋体" w:hAnsi="宋体" w:cs="Microsoft New Tai Lue"/>
                <w:color w:val="auto"/>
                <w:szCs w:val="21"/>
                <w:highlight w:val="none"/>
              </w:rPr>
              <w:t>对采购文件提出</w:t>
            </w:r>
            <w:r>
              <w:rPr>
                <w:rFonts w:hint="eastAsia" w:ascii="宋体" w:hAnsi="宋体" w:cs="Microsoft New Tai Lue"/>
                <w:color w:val="auto"/>
                <w:szCs w:val="21"/>
                <w:highlight w:val="none"/>
              </w:rPr>
              <w:t>的</w:t>
            </w:r>
          </w:p>
          <w:p w14:paraId="0EE036C0">
            <w:pPr>
              <w:adjustRightInd w:val="0"/>
              <w:snapToGrid w:val="0"/>
              <w:spacing w:before="156" w:beforeLines="50" w:line="276" w:lineRule="auto"/>
              <w:ind w:left="-533" w:leftChars="-254" w:firstLine="533" w:firstLineChars="254"/>
              <w:jc w:val="left"/>
              <w:rPr>
                <w:rFonts w:hint="eastAsia" w:ascii="宋体" w:hAnsi="宋体"/>
                <w:color w:val="auto"/>
                <w:szCs w:val="21"/>
                <w:highlight w:val="none"/>
              </w:rPr>
            </w:pPr>
            <w:r>
              <w:rPr>
                <w:rFonts w:ascii="宋体" w:hAnsi="宋体" w:cs="Microsoft New Tai Lue"/>
                <w:color w:val="auto"/>
                <w:szCs w:val="21"/>
                <w:highlight w:val="none"/>
              </w:rPr>
              <w:t>质疑</w:t>
            </w:r>
          </w:p>
        </w:tc>
        <w:tc>
          <w:tcPr>
            <w:tcW w:w="4982" w:type="dxa"/>
            <w:vAlign w:val="center"/>
          </w:tcPr>
          <w:p w14:paraId="4AA11248">
            <w:pPr>
              <w:pStyle w:val="18"/>
              <w:spacing w:line="360" w:lineRule="auto"/>
              <w:rPr>
                <w:rFonts w:hint="eastAsia" w:hAnsi="宋体"/>
                <w:color w:val="auto"/>
                <w:highlight w:val="none"/>
              </w:rPr>
            </w:pPr>
            <w:r>
              <w:rPr>
                <w:rFonts w:hint="eastAsia" w:hAnsi="宋体" w:cs="Microsoft New Tai Lue"/>
                <w:bCs/>
                <w:color w:val="auto"/>
                <w:highlight w:val="none"/>
              </w:rPr>
              <w:t>形式：以书面形式通知采购人或采购代理机构。如采用邮件形式（盖章扫描件及WPS兼容格式文件发至</w:t>
            </w:r>
            <w:r>
              <w:rPr>
                <w:rFonts w:hAnsi="宋体" w:cs="Microsoft New Tai Lue"/>
                <w:bCs/>
                <w:color w:val="auto"/>
                <w:highlight w:val="none"/>
                <w:u w:val="single"/>
              </w:rPr>
              <w:t>1728158436@qq.com</w:t>
            </w:r>
            <w:r>
              <w:rPr>
                <w:rFonts w:hint="eastAsia" w:hAnsi="宋体" w:cs="Microsoft New Tai Lue"/>
                <w:bCs/>
                <w:color w:val="auto"/>
                <w:highlight w:val="none"/>
                <w:u w:val="single"/>
              </w:rPr>
              <w:t xml:space="preserve"> </w:t>
            </w:r>
            <w:r>
              <w:rPr>
                <w:rFonts w:hint="eastAsia" w:hAnsi="宋体" w:cs="Microsoft New Tai Lue"/>
                <w:bCs/>
                <w:color w:val="auto"/>
                <w:highlight w:val="none"/>
              </w:rPr>
              <w:t>邮箱）通知，采购人或采购代理机构将以邮件形式进行答复。</w:t>
            </w:r>
          </w:p>
        </w:tc>
      </w:tr>
      <w:tr w14:paraId="6635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675" w:type="dxa"/>
            <w:vAlign w:val="center"/>
          </w:tcPr>
          <w:p w14:paraId="64944EA1">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27</w:t>
            </w:r>
          </w:p>
        </w:tc>
        <w:tc>
          <w:tcPr>
            <w:tcW w:w="850" w:type="dxa"/>
            <w:vAlign w:val="center"/>
          </w:tcPr>
          <w:p w14:paraId="2899525A">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38.1</w:t>
            </w:r>
          </w:p>
        </w:tc>
        <w:tc>
          <w:tcPr>
            <w:tcW w:w="2835" w:type="dxa"/>
            <w:vAlign w:val="center"/>
          </w:tcPr>
          <w:p w14:paraId="1CF914B3">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招标代理服务费</w:t>
            </w:r>
          </w:p>
        </w:tc>
        <w:tc>
          <w:tcPr>
            <w:tcW w:w="4982" w:type="dxa"/>
            <w:vAlign w:val="center"/>
          </w:tcPr>
          <w:p w14:paraId="1A9BCDE1">
            <w:pPr>
              <w:pStyle w:val="18"/>
              <w:spacing w:line="360" w:lineRule="auto"/>
              <w:rPr>
                <w:rFonts w:hint="eastAsia" w:hAnsi="宋体"/>
                <w:bCs/>
                <w:snapToGrid w:val="0"/>
                <w:color w:val="auto"/>
                <w:kern w:val="0"/>
                <w:highlight w:val="none"/>
              </w:rPr>
            </w:pPr>
            <w:r>
              <w:rPr>
                <w:rFonts w:hint="eastAsia" w:hAnsi="宋体"/>
                <w:bCs/>
                <w:snapToGrid w:val="0"/>
                <w:color w:val="auto"/>
                <w:kern w:val="0"/>
                <w:highlight w:val="none"/>
              </w:rPr>
              <w:t>中标人以</w:t>
            </w:r>
            <w:r>
              <w:rPr>
                <w:rFonts w:hint="eastAsia" w:hAnsi="宋体" w:cs="宋体"/>
                <w:bCs/>
                <w:snapToGrid w:val="0"/>
                <w:color w:val="auto"/>
                <w:kern w:val="0"/>
                <w:sz w:val="21"/>
                <w:szCs w:val="21"/>
                <w:highlight w:val="none"/>
                <w:lang w:val="en-US" w:eastAsia="zh-CN"/>
              </w:rPr>
              <w:t>中标价</w:t>
            </w:r>
            <w:r>
              <w:rPr>
                <w:rFonts w:hint="eastAsia" w:hAnsi="宋体"/>
                <w:bCs/>
                <w:snapToGrid w:val="0"/>
                <w:color w:val="auto"/>
                <w:kern w:val="0"/>
                <w:highlight w:val="none"/>
              </w:rPr>
              <w:t>为基数，参照《招标代理服务收费管理暂行办法》（国家发展计划委员会计价格[2002]1980号）代理服务招标收费基准费率的80%计算，在领取中标通知书前向招标代理机构一次性支付服务费。</w:t>
            </w:r>
          </w:p>
        </w:tc>
      </w:tr>
      <w:tr w14:paraId="7D3D6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1" w:hRule="atLeast"/>
          <w:jc w:val="center"/>
        </w:trPr>
        <w:tc>
          <w:tcPr>
            <w:tcW w:w="675" w:type="dxa"/>
            <w:vAlign w:val="center"/>
          </w:tcPr>
          <w:p w14:paraId="3C47663D">
            <w:pPr>
              <w:pStyle w:val="75"/>
              <w:jc w:val="center"/>
              <w:rPr>
                <w:rFonts w:hint="default" w:ascii="Microsoft New Tai Lue" w:hAnsi="Microsoft New Tai Lue" w:eastAsia="宋体" w:cs="Microsoft New Tai Lue"/>
                <w:color w:val="auto"/>
                <w:kern w:val="2"/>
                <w:sz w:val="21"/>
                <w:highlight w:val="none"/>
                <w:lang w:val="en-US" w:eastAsia="zh-CN"/>
              </w:rPr>
            </w:pPr>
            <w:r>
              <w:rPr>
                <w:rFonts w:hint="eastAsia" w:ascii="Microsoft New Tai Lue" w:hAnsi="Microsoft New Tai Lue" w:cs="Microsoft New Tai Lue"/>
                <w:color w:val="auto"/>
                <w:kern w:val="2"/>
                <w:sz w:val="21"/>
                <w:highlight w:val="none"/>
                <w:lang w:val="en-US" w:eastAsia="zh-CN"/>
              </w:rPr>
              <w:t>28</w:t>
            </w:r>
          </w:p>
        </w:tc>
        <w:tc>
          <w:tcPr>
            <w:tcW w:w="850" w:type="dxa"/>
            <w:vAlign w:val="center"/>
          </w:tcPr>
          <w:p w14:paraId="1A2A113F">
            <w:pPr>
              <w:pStyle w:val="75"/>
              <w:jc w:val="center"/>
              <w:rPr>
                <w:rFonts w:ascii="Microsoft New Tai Lue" w:hAnsi="Microsoft New Tai Lue" w:cs="Microsoft New Tai Lue"/>
                <w:color w:val="auto"/>
                <w:kern w:val="2"/>
                <w:sz w:val="21"/>
                <w:highlight w:val="none"/>
              </w:rPr>
            </w:pPr>
            <w:r>
              <w:rPr>
                <w:rFonts w:ascii="Microsoft New Tai Lue" w:hAnsi="Microsoft New Tai Lue" w:cs="Microsoft New Tai Lue"/>
                <w:color w:val="auto"/>
                <w:kern w:val="2"/>
                <w:sz w:val="21"/>
                <w:highlight w:val="none"/>
              </w:rPr>
              <w:t>39.1</w:t>
            </w:r>
          </w:p>
        </w:tc>
        <w:tc>
          <w:tcPr>
            <w:tcW w:w="2835" w:type="dxa"/>
            <w:vAlign w:val="center"/>
          </w:tcPr>
          <w:p w14:paraId="5AE4649E">
            <w:pPr>
              <w:pStyle w:val="75"/>
              <w:spacing w:line="360" w:lineRule="auto"/>
              <w:jc w:val="left"/>
              <w:rPr>
                <w:rFonts w:hint="eastAsia" w:hAnsi="宋体" w:cs="Microsoft New Tai Lue"/>
                <w:color w:val="auto"/>
                <w:kern w:val="2"/>
                <w:sz w:val="21"/>
                <w:highlight w:val="none"/>
              </w:rPr>
            </w:pPr>
            <w:r>
              <w:rPr>
                <w:rFonts w:hAnsi="宋体" w:cs="Microsoft New Tai Lue"/>
                <w:color w:val="auto"/>
                <w:kern w:val="2"/>
                <w:sz w:val="21"/>
                <w:highlight w:val="none"/>
              </w:rPr>
              <w:t>其他规定</w:t>
            </w:r>
          </w:p>
        </w:tc>
        <w:tc>
          <w:tcPr>
            <w:tcW w:w="4982" w:type="dxa"/>
            <w:vAlign w:val="center"/>
          </w:tcPr>
          <w:p w14:paraId="76D73EC3">
            <w:pPr>
              <w:pStyle w:val="75"/>
              <w:numPr>
                <w:ilvl w:val="-1"/>
                <w:numId w:val="0"/>
              </w:numPr>
              <w:spacing w:before="160" w:line="276" w:lineRule="auto"/>
              <w:rPr>
                <w:rFonts w:hint="eastAsia" w:eastAsia="宋体"/>
                <w:b/>
                <w:bCs/>
                <w:color w:val="auto"/>
                <w:sz w:val="21"/>
                <w:highlight w:val="none"/>
                <w:lang w:eastAsia="zh-CN"/>
              </w:rPr>
            </w:pPr>
            <w:r>
              <w:rPr>
                <w:rFonts w:ascii="宋体" w:hAnsi="Courier New" w:eastAsia="宋体" w:cs="Times New Roman"/>
                <w:b/>
                <w:bCs/>
                <w:color w:val="auto"/>
                <w:kern w:val="0"/>
                <w:sz w:val="21"/>
                <w:szCs w:val="21"/>
                <w:highlight w:val="none"/>
                <w:lang w:val="en-US" w:eastAsia="zh-CN" w:bidi="ar-SA"/>
              </w:rPr>
              <w:t>1.</w:t>
            </w:r>
            <w:r>
              <w:rPr>
                <w:rFonts w:hint="eastAsia" w:cs="Times New Roman"/>
                <w:b/>
                <w:bCs/>
                <w:color w:val="auto"/>
                <w:kern w:val="0"/>
                <w:sz w:val="21"/>
                <w:szCs w:val="21"/>
                <w:highlight w:val="none"/>
                <w:lang w:val="en-US" w:eastAsia="zh-CN" w:bidi="ar-SA"/>
              </w:rPr>
              <w:t>本项目兼投不兼中：</w:t>
            </w:r>
            <w:r>
              <w:rPr>
                <w:rFonts w:hint="eastAsia" w:hAnsi="宋体" w:cs="Microsoft New Tai Lue"/>
                <w:b/>
                <w:bCs/>
                <w:color w:val="auto"/>
                <w:sz w:val="21"/>
                <w:highlight w:val="none"/>
              </w:rPr>
              <w:t>供应商可投标多个包，但至多只能中标一个包。</w:t>
            </w:r>
            <w:r>
              <w:rPr>
                <w:rFonts w:hint="eastAsia" w:hAnsi="宋体" w:cs="Microsoft New Tai Lue"/>
                <w:b/>
                <w:bCs w:val="0"/>
                <w:color w:val="auto"/>
                <w:sz w:val="21"/>
                <w:highlight w:val="none"/>
              </w:rPr>
              <w:t>评审按包号正顺序进行评审，供应商在前一包中被推荐为第一中标候选人后，</w:t>
            </w:r>
            <w:r>
              <w:rPr>
                <w:rFonts w:hint="eastAsia" w:hAnsi="宋体" w:cs="Microsoft New Tai Lue"/>
                <w:b/>
                <w:bCs w:val="0"/>
                <w:color w:val="auto"/>
                <w:sz w:val="21"/>
                <w:highlight w:val="none"/>
                <w:lang w:val="en-US" w:eastAsia="zh-CN"/>
              </w:rPr>
              <w:t>其投标文件在后续包中按照无效投标处理</w:t>
            </w:r>
            <w:r>
              <w:rPr>
                <w:rFonts w:hint="eastAsia" w:hAnsi="宋体" w:cs="Microsoft New Tai Lue"/>
                <w:b/>
                <w:bCs w:val="0"/>
                <w:color w:val="auto"/>
                <w:sz w:val="21"/>
                <w:highlight w:val="none"/>
              </w:rPr>
              <w:t>。</w:t>
            </w:r>
          </w:p>
          <w:p w14:paraId="45EE854C">
            <w:pPr>
              <w:pStyle w:val="75"/>
              <w:numPr>
                <w:ilvl w:val="-1"/>
                <w:numId w:val="0"/>
              </w:numPr>
              <w:spacing w:before="160" w:line="276" w:lineRule="auto"/>
              <w:rPr>
                <w:rFonts w:hint="eastAsia"/>
                <w:b/>
                <w:bCs/>
                <w:color w:val="auto"/>
                <w:sz w:val="21"/>
                <w:highlight w:val="none"/>
              </w:rPr>
            </w:pPr>
            <w:r>
              <w:rPr>
                <w:rFonts w:ascii="宋体" w:hAnsi="Courier New" w:eastAsia="宋体" w:cs="Times New Roman"/>
                <w:b/>
                <w:bCs/>
                <w:color w:val="auto"/>
                <w:kern w:val="0"/>
                <w:sz w:val="21"/>
                <w:szCs w:val="21"/>
                <w:highlight w:val="none"/>
                <w:lang w:val="en-US" w:eastAsia="zh-CN" w:bidi="ar-SA"/>
              </w:rPr>
              <w:t>2.</w:t>
            </w:r>
            <w:r>
              <w:rPr>
                <w:rFonts w:hint="eastAsia"/>
                <w:b/>
                <w:bCs/>
                <w:color w:val="auto"/>
                <w:sz w:val="21"/>
                <w:highlight w:val="none"/>
              </w:rPr>
              <w:t>本项目采购标的对应的中小企业划分标准所属行业：其他未列明行业。</w:t>
            </w:r>
          </w:p>
          <w:p w14:paraId="6FF35BA2">
            <w:pPr>
              <w:pStyle w:val="75"/>
              <w:spacing w:before="160" w:after="0" w:line="276" w:lineRule="auto"/>
              <w:rPr>
                <w:rFonts w:hint="eastAsia" w:ascii="宋体" w:hAnsi="宋体" w:eastAsia="宋体" w:cs="Courier New"/>
                <w:bCs/>
                <w:snapToGrid w:val="0"/>
                <w:kern w:val="0"/>
                <w:sz w:val="21"/>
                <w:szCs w:val="21"/>
                <w:lang w:val="en-US" w:eastAsia="zh-CN" w:bidi="ar-SA"/>
              </w:rPr>
            </w:pPr>
            <w:r>
              <w:rPr>
                <w:rFonts w:hint="eastAsia"/>
                <w:b/>
                <w:bCs/>
                <w:color w:val="auto"/>
                <w:sz w:val="21"/>
                <w:highlight w:val="none"/>
                <w:lang w:val="en-US" w:eastAsia="zh-CN"/>
              </w:rPr>
              <w:t>3.</w:t>
            </w:r>
            <w:r>
              <w:rPr>
                <w:rFonts w:hint="eastAsia" w:hAnsi="宋体" w:cs="Microsoft New Tai Lue"/>
                <w:b/>
                <w:bCs/>
                <w:sz w:val="21"/>
              </w:rPr>
              <w:t>1.异常低价</w:t>
            </w:r>
            <w:r>
              <w:rPr>
                <w:rFonts w:hint="eastAsia" w:ascii="宋体" w:hAnsi="宋体" w:eastAsia="宋体" w:cs="Courier New"/>
                <w:b/>
                <w:bCs/>
                <w:snapToGrid w:val="0"/>
                <w:kern w:val="0"/>
                <w:sz w:val="21"/>
                <w:szCs w:val="21"/>
                <w:lang w:val="en-US" w:eastAsia="zh-CN" w:bidi="ar-SA"/>
              </w:rPr>
              <w:t>处理：</w:t>
            </w:r>
          </w:p>
          <w:p w14:paraId="014B5980">
            <w:pPr>
              <w:pStyle w:val="75"/>
              <w:spacing w:before="160" w:after="0" w:line="276"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（一）采购评审中出现下列情形之一的，评审委员会应当启动异常低价投标（响应）审查程序：</w:t>
            </w:r>
          </w:p>
          <w:p w14:paraId="18566870">
            <w:pPr>
              <w:pStyle w:val="75"/>
              <w:spacing w:before="160" w:after="0" w:line="276"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1.投标（响应）报价低于全部通过符合性审查供应商投标（响应）报价平均值50%的，即投标（响应）报价&lt;全部通过符合性审查供应商投标（响应）报价平均值×50%；</w:t>
            </w:r>
          </w:p>
          <w:p w14:paraId="00211FC7">
            <w:pPr>
              <w:pStyle w:val="75"/>
              <w:spacing w:before="160" w:after="0" w:line="276"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2.投标（响应）报价低于通过符合性审查的次低报价供应商投标（响应）报价50%的，即投标（响应）报价&lt;通过符合性审查的次低报价供应商投标（响应）报价×50%；</w:t>
            </w:r>
          </w:p>
          <w:p w14:paraId="2EC0DADC">
            <w:pPr>
              <w:pStyle w:val="75"/>
              <w:spacing w:before="160" w:after="0" w:line="276"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3.投标（响应）报价低于采购项目最高限价45%的，即投标（响应）报价&lt;采购项目最高限价×45%（未设定最高限价的采购项目，以采购项目预算金额作为最高限价）；</w:t>
            </w:r>
          </w:p>
          <w:p w14:paraId="43BA826F">
            <w:pPr>
              <w:pStyle w:val="75"/>
              <w:spacing w:before="160" w:after="0" w:line="276" w:lineRule="auto"/>
              <w:rPr>
                <w:rFonts w:hint="eastAsia" w:ascii="宋体" w:hAnsi="宋体" w:eastAsia="宋体" w:cs="Courier New"/>
                <w:bCs/>
                <w:snapToGrid w:val="0"/>
                <w:kern w:val="0"/>
                <w:sz w:val="21"/>
                <w:szCs w:val="21"/>
                <w:lang w:val="en-US" w:eastAsia="zh-CN" w:bidi="ar-SA"/>
              </w:rPr>
            </w:pPr>
            <w:r>
              <w:rPr>
                <w:rFonts w:hint="eastAsia" w:ascii="宋体" w:hAnsi="宋体" w:eastAsia="宋体" w:cs="Courier New"/>
                <w:bCs/>
                <w:snapToGrid w:val="0"/>
                <w:kern w:val="0"/>
                <w:sz w:val="21"/>
                <w:szCs w:val="21"/>
                <w:lang w:val="en-US" w:eastAsia="zh-CN" w:bidi="ar-SA"/>
              </w:rPr>
              <w:t>4.评审委员会基于专业判断，认为供应商报价过低，有可能影响产品质量或者不能诚信履约的其他情形。</w:t>
            </w:r>
          </w:p>
          <w:p w14:paraId="6F231E15">
            <w:pPr>
              <w:pStyle w:val="75"/>
              <w:numPr>
                <w:ilvl w:val="-1"/>
                <w:numId w:val="0"/>
              </w:numPr>
              <w:spacing w:before="160" w:line="276" w:lineRule="auto"/>
              <w:rPr>
                <w:rFonts w:hint="default" w:eastAsia="宋体"/>
                <w:b/>
                <w:bCs/>
                <w:color w:val="auto"/>
                <w:sz w:val="21"/>
                <w:highlight w:val="none"/>
                <w:lang w:val="en-US" w:eastAsia="zh-CN"/>
              </w:rPr>
            </w:pPr>
            <w:r>
              <w:rPr>
                <w:rFonts w:hint="eastAsia" w:ascii="宋体" w:hAnsi="宋体" w:eastAsia="宋体" w:cs="Courier New"/>
                <w:bCs/>
                <w:snapToGrid w:val="0"/>
                <w:kern w:val="0"/>
                <w:sz w:val="21"/>
                <w:szCs w:val="21"/>
                <w:lang w:val="en-US" w:eastAsia="zh-CN" w:bidi="ar-SA"/>
              </w:rPr>
              <w:t>（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tc>
      </w:tr>
    </w:tbl>
    <w:p w14:paraId="44816873">
      <w:pPr>
        <w:rPr>
          <w:rFonts w:ascii="Microsoft New Tai Lue" w:hAnsi="Microsoft New Tai Lue" w:cs="Microsoft New Tai Lue"/>
          <w:color w:val="auto"/>
          <w:highlight w:val="none"/>
        </w:rPr>
      </w:pPr>
    </w:p>
    <w:p w14:paraId="354F767A">
      <w:pPr>
        <w:pStyle w:val="18"/>
        <w:adjustRightInd w:val="0"/>
        <w:snapToGrid w:val="0"/>
        <w:spacing w:line="360" w:lineRule="auto"/>
        <w:rPr>
          <w:rFonts w:ascii="Microsoft New Tai Lue" w:hAnsi="Microsoft New Tai Lue" w:cs="Microsoft New Tai Lue"/>
          <w:b/>
          <w:bCs/>
          <w:color w:val="auto"/>
          <w:spacing w:val="100"/>
          <w:sz w:val="72"/>
          <w:highlight w:val="none"/>
        </w:rPr>
        <w:sectPr>
          <w:footerReference r:id="rId4" w:type="default"/>
          <w:pgSz w:w="11911" w:h="16838"/>
          <w:pgMar w:top="1440" w:right="1803" w:bottom="1440" w:left="1803" w:header="720" w:footer="720" w:gutter="0"/>
          <w:pgNumType w:start="1"/>
          <w:cols w:space="0" w:num="1"/>
          <w:rtlGutter w:val="0"/>
          <w:docGrid w:linePitch="317" w:charSpace="0"/>
        </w:sectPr>
      </w:pPr>
    </w:p>
    <w:p w14:paraId="4480F179">
      <w:pPr>
        <w:pStyle w:val="31"/>
        <w:rPr>
          <w:rFonts w:ascii="Microsoft New Tai Lue" w:hAnsi="Microsoft New Tai Lue" w:cs="Microsoft New Tai Lue"/>
          <w:color w:val="auto"/>
          <w:highlight w:val="none"/>
        </w:rPr>
      </w:pPr>
      <w:bookmarkStart w:id="37" w:name="_Toc100905199"/>
      <w:bookmarkStart w:id="38" w:name="_Toc103848526"/>
      <w:bookmarkStart w:id="39" w:name="_Toc107246213"/>
      <w:bookmarkStart w:id="40" w:name="_Toc104560837"/>
      <w:r>
        <w:rPr>
          <w:rFonts w:ascii="Microsoft New Tai Lue" w:hAnsi="Microsoft New Tai Lue" w:cs="Microsoft New Tai Lue"/>
          <w:color w:val="auto"/>
          <w:highlight w:val="none"/>
        </w:rPr>
        <w:t>投标人须知</w:t>
      </w:r>
      <w:bookmarkEnd w:id="37"/>
      <w:bookmarkEnd w:id="38"/>
      <w:bookmarkEnd w:id="39"/>
      <w:bookmarkEnd w:id="40"/>
    </w:p>
    <w:p w14:paraId="21BC8FEB">
      <w:pPr>
        <w:pStyle w:val="2"/>
        <w:spacing w:line="360" w:lineRule="auto"/>
        <w:ind w:left="0" w:leftChars="0" w:right="210"/>
        <w:rPr>
          <w:rFonts w:ascii="Microsoft New Tai Lue" w:hAnsi="Microsoft New Tai Lue" w:cs="Microsoft New Tai Lue"/>
          <w:color w:val="auto"/>
          <w:highlight w:val="none"/>
        </w:rPr>
      </w:pPr>
      <w:bookmarkStart w:id="41" w:name="_Toc80264706"/>
      <w:bookmarkStart w:id="42" w:name="_Toc107246214"/>
      <w:r>
        <w:rPr>
          <w:rFonts w:ascii="Microsoft New Tai Lue" w:hAnsi="Microsoft New Tai Lue" w:cs="Microsoft New Tai Lue"/>
          <w:color w:val="auto"/>
          <w:highlight w:val="none"/>
        </w:rPr>
        <w:t>一．</w:t>
      </w:r>
      <w:bookmarkEnd w:id="41"/>
      <w:r>
        <w:rPr>
          <w:rFonts w:ascii="Microsoft New Tai Lue" w:hAnsi="Microsoft New Tai Lue" w:cs="Microsoft New Tai Lue"/>
          <w:color w:val="auto"/>
          <w:highlight w:val="none"/>
        </w:rPr>
        <w:t>总则</w:t>
      </w:r>
      <w:bookmarkEnd w:id="42"/>
    </w:p>
    <w:p w14:paraId="59E9DF7E">
      <w:pPr>
        <w:pStyle w:val="2"/>
        <w:spacing w:line="360" w:lineRule="auto"/>
        <w:ind w:left="0" w:leftChars="0" w:right="210"/>
        <w:rPr>
          <w:rFonts w:ascii="Microsoft New Tai Lue" w:hAnsi="Microsoft New Tai Lue" w:cs="Microsoft New Tai Lue"/>
          <w:color w:val="auto"/>
          <w:highlight w:val="none"/>
        </w:rPr>
      </w:pPr>
      <w:bookmarkStart w:id="43" w:name="_Toc107246215"/>
      <w:bookmarkStart w:id="44" w:name="_Toc96347862"/>
      <w:bookmarkStart w:id="45" w:name="_Toc104560839"/>
      <w:bookmarkStart w:id="46" w:name="_Toc103848528"/>
      <w:bookmarkStart w:id="47" w:name="_Toc100905201"/>
      <w:r>
        <w:rPr>
          <w:rFonts w:ascii="Microsoft New Tai Lue" w:hAnsi="Microsoft New Tai Lue" w:cs="Microsoft New Tai Lue"/>
          <w:color w:val="auto"/>
          <w:highlight w:val="none"/>
        </w:rPr>
        <w:t>1.采购方式</w:t>
      </w:r>
      <w:bookmarkEnd w:id="43"/>
      <w:bookmarkEnd w:id="44"/>
      <w:bookmarkEnd w:id="45"/>
      <w:bookmarkEnd w:id="46"/>
      <w:bookmarkEnd w:id="47"/>
    </w:p>
    <w:p w14:paraId="7C2FDCA8">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w:t>
      </w:r>
      <w:r>
        <w:rPr>
          <w:rFonts w:ascii="Microsoft New Tai Lue" w:hAnsi="Microsoft New Tai Lue" w:cs="Microsoft New Tai Lue"/>
          <w:color w:val="auto"/>
          <w:highlight w:val="none"/>
        </w:rPr>
        <w:t xml:space="preserve"> </w:t>
      </w:r>
      <w:r>
        <w:rPr>
          <w:rFonts w:ascii="Microsoft New Tai Lue" w:hAnsi="Microsoft New Tai Lue" w:cs="Microsoft New Tai Lue"/>
          <w:color w:val="auto"/>
          <w:szCs w:val="21"/>
          <w:highlight w:val="none"/>
        </w:rPr>
        <w:t>本次招标采取公开招标方式，本招标文件仅适用于</w:t>
      </w:r>
      <w:r>
        <w:rPr>
          <w:rFonts w:hint="eastAsia" w:ascii="Microsoft New Tai Lue" w:hAnsi="Microsoft New Tai Lue" w:cs="Microsoft New Tai Lue"/>
          <w:color w:val="auto"/>
          <w:szCs w:val="21"/>
          <w:highlight w:val="none"/>
        </w:rPr>
        <w:t>招标公告</w:t>
      </w:r>
      <w:r>
        <w:rPr>
          <w:rFonts w:ascii="Microsoft New Tai Lue" w:hAnsi="Microsoft New Tai Lue" w:cs="Microsoft New Tai Lue"/>
          <w:color w:val="auto"/>
          <w:szCs w:val="21"/>
          <w:highlight w:val="none"/>
        </w:rPr>
        <w:t>中所述项目。</w:t>
      </w:r>
    </w:p>
    <w:p w14:paraId="53310AD9">
      <w:pPr>
        <w:pStyle w:val="2"/>
        <w:spacing w:line="360" w:lineRule="auto"/>
        <w:ind w:left="0" w:leftChars="0" w:right="210"/>
        <w:rPr>
          <w:rFonts w:ascii="Microsoft New Tai Lue" w:hAnsi="Microsoft New Tai Lue" w:cs="Microsoft New Tai Lue"/>
          <w:color w:val="auto"/>
          <w:highlight w:val="none"/>
        </w:rPr>
      </w:pPr>
      <w:bookmarkStart w:id="48" w:name="_Toc103848529"/>
      <w:bookmarkStart w:id="49" w:name="_Toc107246216"/>
      <w:bookmarkStart w:id="50" w:name="_Toc100905202"/>
      <w:bookmarkStart w:id="51" w:name="_Toc104560840"/>
      <w:bookmarkStart w:id="52" w:name="_Toc96347863"/>
      <w:r>
        <w:rPr>
          <w:rFonts w:ascii="Microsoft New Tai Lue" w:hAnsi="Microsoft New Tai Lue" w:cs="Microsoft New Tai Lue"/>
          <w:color w:val="auto"/>
          <w:highlight w:val="none"/>
        </w:rPr>
        <w:t>2.定义</w:t>
      </w:r>
      <w:bookmarkEnd w:id="48"/>
      <w:bookmarkEnd w:id="49"/>
      <w:bookmarkEnd w:id="50"/>
      <w:bookmarkEnd w:id="51"/>
      <w:bookmarkEnd w:id="52"/>
    </w:p>
    <w:p w14:paraId="1B79FD60">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采购人</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是指依法进行政府采购的国家机关、事业单位、团体组织。本次政府采购的采购人名称、地址、电话、联系人见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31FA1DD9">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2.2</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采购代理机构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是指集中采购机构和集中采购机构以外的采购代理机构。本次政府采购的采购代理机构名称、地址、电话、联系人见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6357DCBB">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bCs/>
          <w:color w:val="auto"/>
          <w:szCs w:val="21"/>
          <w:highlight w:val="none"/>
        </w:rPr>
        <w:t>2.3</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采购方</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是指采购人和</w:t>
      </w:r>
      <w:r>
        <w:rPr>
          <w:rFonts w:ascii="Microsoft New Tai Lue" w:hAnsi="Microsoft New Tai Lue" w:cs="Microsoft New Tai Lue"/>
          <w:color w:val="auto"/>
          <w:szCs w:val="21"/>
          <w:highlight w:val="none"/>
        </w:rPr>
        <w:t>采购代理机构的合称。</w:t>
      </w:r>
    </w:p>
    <w:p w14:paraId="3CBBD60A">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2.4</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是指向采购人提供货物、工程或者服务的法人、其他组织或者自然人。</w:t>
      </w:r>
    </w:p>
    <w:p w14:paraId="0D0F0AE3">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2.5</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中标供应商</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是指在投标过程中获得采购项目合同签订资格的供应商。中标供应商是由专家经过评审后推荐并经采购人确认的。本招标文件中中标供应商也称中标人。</w:t>
      </w:r>
    </w:p>
    <w:p w14:paraId="1521645C">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2.6</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评标委员会</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是依据</w:t>
      </w:r>
      <w:r>
        <w:rPr>
          <w:rFonts w:hint="eastAsia" w:ascii="Microsoft New Tai Lue" w:hAnsi="Microsoft New Tai Lue" w:cs="Microsoft New Tai Lue"/>
          <w:color w:val="auto"/>
          <w:szCs w:val="21"/>
          <w:highlight w:val="none"/>
        </w:rPr>
        <w:t>政府采购</w:t>
      </w:r>
      <w:r>
        <w:rPr>
          <w:rFonts w:ascii="Microsoft New Tai Lue" w:hAnsi="Microsoft New Tai Lue" w:cs="Microsoft New Tai Lue"/>
          <w:color w:val="auto"/>
          <w:szCs w:val="21"/>
          <w:highlight w:val="none"/>
        </w:rPr>
        <w:t>相关法律法规规定组建，依法履行评审采购活动职责的评审成员。</w:t>
      </w:r>
    </w:p>
    <w:p w14:paraId="3D13D23F">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2.7</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货物</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是指各种形态和种类的物品，包括原材料、燃料、设备、产品等。</w:t>
      </w:r>
    </w:p>
    <w:p w14:paraId="3C7596E6">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2.8</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工程</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是指建设工程，包括建筑物和构筑物的新建、改建、扩建、装修、拆除、修缮等。</w:t>
      </w:r>
    </w:p>
    <w:p w14:paraId="062AD17F">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2.9</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服务</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是指除货物和工程以外的其他政府采购对象。</w:t>
      </w:r>
    </w:p>
    <w:p w14:paraId="33B3A3BE">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2.10</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节能产品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或者</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环保产品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是指国务院有关部门发布的最新一期《节能产品政府采购品目清单》或者《环境标志产品政府采购品目清单》内的产品。</w:t>
      </w:r>
    </w:p>
    <w:p w14:paraId="0D9D891E">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2.11</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进口产品</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szCs w:val="21"/>
          <w:highlight w:val="none"/>
        </w:rPr>
        <w:t>是指通过中国海关报关验放进入中国境内且产自关境外的产品。</w:t>
      </w:r>
    </w:p>
    <w:p w14:paraId="6FA1F63F">
      <w:pPr>
        <w:pStyle w:val="2"/>
        <w:spacing w:line="360" w:lineRule="auto"/>
        <w:ind w:left="0" w:leftChars="0" w:right="210"/>
        <w:rPr>
          <w:rFonts w:ascii="Microsoft New Tai Lue" w:hAnsi="Microsoft New Tai Lue" w:cs="Microsoft New Tai Lue"/>
          <w:color w:val="auto"/>
          <w:highlight w:val="none"/>
        </w:rPr>
      </w:pPr>
      <w:bookmarkStart w:id="53" w:name="_Toc96347864"/>
      <w:bookmarkStart w:id="54" w:name="_Toc100905203"/>
      <w:bookmarkStart w:id="55" w:name="_Toc103848530"/>
      <w:bookmarkStart w:id="56" w:name="_Toc107246217"/>
      <w:bookmarkStart w:id="57" w:name="_Toc104560841"/>
      <w:r>
        <w:rPr>
          <w:rFonts w:ascii="Microsoft New Tai Lue" w:hAnsi="Microsoft New Tai Lue" w:cs="Microsoft New Tai Lue"/>
          <w:color w:val="auto"/>
          <w:highlight w:val="none"/>
        </w:rPr>
        <w:t>3.适用法律</w:t>
      </w:r>
      <w:bookmarkEnd w:id="53"/>
      <w:bookmarkEnd w:id="54"/>
      <w:bookmarkEnd w:id="55"/>
      <w:bookmarkEnd w:id="56"/>
      <w:bookmarkEnd w:id="57"/>
    </w:p>
    <w:p w14:paraId="3370D17D">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bookmarkStart w:id="58" w:name="_Toc100905204"/>
      <w:r>
        <w:rPr>
          <w:rFonts w:ascii="Microsoft New Tai Lue" w:hAnsi="Microsoft New Tai Lue" w:cs="Microsoft New Tai Lue"/>
          <w:color w:val="auto"/>
          <w:szCs w:val="21"/>
          <w:highlight w:val="non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A2172F8">
      <w:pPr>
        <w:pStyle w:val="2"/>
        <w:spacing w:line="360" w:lineRule="auto"/>
        <w:ind w:left="0" w:leftChars="0" w:right="210"/>
        <w:rPr>
          <w:rFonts w:ascii="Microsoft New Tai Lue" w:hAnsi="Microsoft New Tai Lue" w:cs="Microsoft New Tai Lue"/>
          <w:color w:val="auto"/>
          <w:highlight w:val="none"/>
        </w:rPr>
      </w:pPr>
      <w:bookmarkStart w:id="59" w:name="_Toc103848531"/>
      <w:bookmarkStart w:id="60" w:name="_Toc107246218"/>
      <w:bookmarkStart w:id="61" w:name="_Toc104560842"/>
      <w:r>
        <w:rPr>
          <w:rFonts w:ascii="Microsoft New Tai Lue" w:hAnsi="Microsoft New Tai Lue" w:cs="Microsoft New Tai Lue"/>
          <w:color w:val="auto"/>
          <w:highlight w:val="none"/>
        </w:rPr>
        <w:t>4.</w:t>
      </w:r>
      <w:bookmarkEnd w:id="59"/>
      <w:r>
        <w:rPr>
          <w:rFonts w:hint="eastAsia" w:ascii="Microsoft New Tai Lue" w:hAnsi="Microsoft New Tai Lue" w:cs="Microsoft New Tai Lue"/>
          <w:color w:val="auto"/>
          <w:highlight w:val="none"/>
        </w:rPr>
        <w:t>政府采购政策（包括但不限于下列具体政策要求）</w:t>
      </w:r>
      <w:bookmarkEnd w:id="60"/>
      <w:bookmarkEnd w:id="61"/>
    </w:p>
    <w:p w14:paraId="40443D4E">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1</w:t>
      </w:r>
      <w:r>
        <w:rPr>
          <w:rFonts w:hint="eastAsia" w:ascii="Microsoft New Tai Lue" w:hAnsi="Microsoft New Tai Lue" w:cs="Microsoft New Tai Lue"/>
          <w:b/>
          <w:color w:val="auto"/>
          <w:szCs w:val="21"/>
          <w:highlight w:val="none"/>
        </w:rPr>
        <w:t>中小企业、监狱企业及残疾人福利性单位</w:t>
      </w:r>
    </w:p>
    <w:p w14:paraId="14F0AF6E">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w:t>
      </w:r>
      <w:r>
        <w:rPr>
          <w:rFonts w:hint="eastAsia" w:ascii="Microsoft New Tai Lue" w:hAnsi="Microsoft New Tai Lue" w:cs="Microsoft New Tai Lue"/>
          <w:color w:val="auto"/>
          <w:szCs w:val="21"/>
          <w:highlight w:val="none"/>
        </w:rPr>
        <w:t>中小企业定义：</w:t>
      </w:r>
    </w:p>
    <w:p w14:paraId="7086DD7C">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4.1.1.1</w:t>
      </w:r>
      <w:r>
        <w:rPr>
          <w:rFonts w:hint="eastAsia" w:ascii="Microsoft New Tai Lue" w:hAnsi="Microsoft New Tai Lue" w:cs="Microsoft New Tai Lue"/>
          <w:color w:val="auto"/>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0EBC5AD">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4.1.1.2</w:t>
      </w:r>
      <w:r>
        <w:rPr>
          <w:rFonts w:hint="eastAsia" w:ascii="Microsoft New Tai Lue" w:hAnsi="Microsoft New Tai Lue" w:cs="Microsoft New Tai Lue"/>
          <w:color w:val="auto"/>
          <w:szCs w:val="21"/>
          <w:highlight w:val="none"/>
        </w:rPr>
        <w:t>供应商提供的货物、工程或者服务符合下列情形的，享受中小企业扶持政策：</w:t>
      </w:r>
    </w:p>
    <w:p w14:paraId="700B396A">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（1）在货物采购项目中，货物由中小企业制造，即货物由中小企业生产且使用该中小企业商号或者注册商标；</w:t>
      </w:r>
    </w:p>
    <w:p w14:paraId="79A680DB">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（2）在工程采购项目中，工程由中小企业承建，即工程施工单位为中小企业；</w:t>
      </w:r>
    </w:p>
    <w:p w14:paraId="03AA45C7">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（3）在服务采购项目中，服务由中小企业承接，即提供服务的人员为中小企业依照《中华人民共和国劳动合同法》订立劳动合同的从业人员。</w:t>
      </w:r>
    </w:p>
    <w:p w14:paraId="36438C48">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4.1.1.3</w:t>
      </w:r>
      <w:r>
        <w:rPr>
          <w:rFonts w:hint="eastAsia" w:ascii="Microsoft New Tai Lue" w:hAnsi="Microsoft New Tai Lue" w:cs="Microsoft New Tai Lue"/>
          <w:color w:val="auto"/>
          <w:szCs w:val="21"/>
          <w:highlight w:val="none"/>
        </w:rPr>
        <w:t>在货物采购项目中，供应商提供的货物既有中小企业制造货物，也有大型企业制造货物的，不享受中小企业扶持政策。</w:t>
      </w:r>
    </w:p>
    <w:p w14:paraId="58696758">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4.1.1.4</w:t>
      </w:r>
      <w:r>
        <w:rPr>
          <w:rFonts w:hint="eastAsia" w:ascii="Microsoft New Tai Lue" w:hAnsi="Microsoft New Tai Lue" w:cs="Microsoft New Tai Lue"/>
          <w:color w:val="auto"/>
          <w:szCs w:val="21"/>
          <w:highlight w:val="none"/>
        </w:rPr>
        <w:t>以联合体形式参加政府采购活动，联合体各方均为中小企业的，联合体视同中小企业。其中，联合体各方均为小微企业的，联合体视同小微企业。</w:t>
      </w:r>
    </w:p>
    <w:p w14:paraId="5EAE75DB">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4.1.2</w:t>
      </w:r>
      <w:r>
        <w:rPr>
          <w:rFonts w:hint="eastAsia" w:ascii="Microsoft New Tai Lue" w:hAnsi="Microsoft New Tai Lue" w:cs="Microsoft New Tai Lue"/>
          <w:color w:val="auto"/>
          <w:szCs w:val="21"/>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5EC390F">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4.1.3</w:t>
      </w:r>
      <w:r>
        <w:rPr>
          <w:rFonts w:hint="eastAsia" w:ascii="Microsoft New Tai Lue" w:hAnsi="Microsoft New Tai Lue" w:cs="Microsoft New Tai Lue"/>
          <w:color w:val="auto"/>
          <w:szCs w:val="21"/>
          <w:highlight w:val="none"/>
        </w:rPr>
        <w:t>残疾人福利单位定义：享受政府采购支持政策的残疾人福利性单位应当同时满足以下条件：</w:t>
      </w:r>
    </w:p>
    <w:p w14:paraId="3255E0DF">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（1）安置的残疾人占本单位在职职工人数的比例不低于25%（含25%），并且安置的残疾人人数不少于10 人（含10 人）；</w:t>
      </w:r>
    </w:p>
    <w:p w14:paraId="23A09E7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（2）依法与安置的每位残疾人签订了一年以上（含一年）的劳动合同或服务协议；</w:t>
      </w:r>
    </w:p>
    <w:p w14:paraId="63ECBBD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（3）为安置的每位残疾人按月足额缴纳了基本养老保险、基本医疗保险、失业保险、工伤保险和生育保险等社会保险费；</w:t>
      </w:r>
    </w:p>
    <w:p w14:paraId="0BEFC556">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（4）通过银行等金融机构向安置的每位残疾人，按月支付了不低于单位所在区县适用的经省级人民政府批准的月最低工资标准的工资；</w:t>
      </w:r>
    </w:p>
    <w:p w14:paraId="087222A0">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（5）提供本单位制造的货物、承担的工程或者服务（以下简称产品），或者提供其他残疾人福利性单位制造的货物（不包括使用非残疾人福利性单位注册商标的货物）；</w:t>
      </w:r>
    </w:p>
    <w:p w14:paraId="1DA71850">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E5C73C7">
      <w:pPr>
        <w:adjustRightInd w:val="0"/>
        <w:snapToGrid w:val="0"/>
        <w:spacing w:before="120" w:beforeLines="50" w:line="360" w:lineRule="auto"/>
        <w:ind w:firstLine="420"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1</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4</w:t>
      </w:r>
      <w:r>
        <w:rPr>
          <w:rFonts w:hint="eastAsia" w:ascii="Microsoft New Tai Lue" w:hAnsi="Microsoft New Tai Lue" w:cs="Microsoft New Tai Lue"/>
          <w:color w:val="auto"/>
          <w:szCs w:val="21"/>
          <w:highlight w:val="none"/>
        </w:rPr>
        <w:t>小微企业价格评审优惠的政策调整：见第五章《评标方法与评标标准》（如涉及）。</w:t>
      </w:r>
    </w:p>
    <w:p w14:paraId="2BD27468">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4.2</w:t>
      </w:r>
      <w:r>
        <w:rPr>
          <w:rFonts w:hint="eastAsia" w:ascii="Microsoft New Tai Lue" w:hAnsi="Microsoft New Tai Lue" w:cs="Microsoft New Tai Lue"/>
          <w:b/>
          <w:color w:val="auto"/>
          <w:szCs w:val="21"/>
          <w:highlight w:val="none"/>
        </w:rPr>
        <w:t>政府采购节能产品、环境标志产品</w:t>
      </w:r>
    </w:p>
    <w:p w14:paraId="43C88ED3">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4.2.1</w:t>
      </w:r>
      <w:r>
        <w:rPr>
          <w:rFonts w:hint="eastAsia" w:ascii="Microsoft New Tai Lue" w:hAnsi="Microsoft New Tai Lue" w:cs="Microsoft New Tai Lue"/>
          <w:color w:val="auto"/>
          <w:szCs w:val="21"/>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01C14B7">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4.2.2</w:t>
      </w:r>
      <w:r>
        <w:rPr>
          <w:rFonts w:hint="eastAsia" w:ascii="Microsoft New Tai Lue" w:hAnsi="Microsoft New Tai Lue" w:cs="Microsoft New Tai Lue"/>
          <w:color w:val="auto"/>
          <w:szCs w:val="21"/>
          <w:highlight w:val="non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0535EB6">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4.2.3</w:t>
      </w:r>
      <w:r>
        <w:rPr>
          <w:rFonts w:hint="eastAsia" w:ascii="Microsoft New Tai Lue" w:hAnsi="Microsoft New Tai Lue" w:cs="Microsoft New Tai Lue"/>
          <w:color w:val="auto"/>
          <w:szCs w:val="21"/>
          <w:highlight w:val="none"/>
        </w:rPr>
        <w:t>如本项目采购产品属于实施政府强制采购品目清单范围的节能产品，则投标人所报产品必须获得国家确定的认证机构出具的、处于有效期之内的节能产品认证证书，否则投标无效；</w:t>
      </w:r>
    </w:p>
    <w:p w14:paraId="296548BB">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4.2.4</w:t>
      </w:r>
      <w:r>
        <w:rPr>
          <w:rFonts w:hint="eastAsia" w:ascii="Microsoft New Tai Lue" w:hAnsi="Microsoft New Tai Lue" w:cs="Microsoft New Tai Lue"/>
          <w:color w:val="auto"/>
          <w:szCs w:val="21"/>
          <w:highlight w:val="none"/>
        </w:rPr>
        <w:t>非政府强制采购的节能产品或环境标志产品，依据品目清单和认证证书实施政府优先采购。优先采购的具体规定见第五章《评标方法与评标标准》（如涉及）。</w:t>
      </w:r>
    </w:p>
    <w:p w14:paraId="2DA40347">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4.3</w:t>
      </w:r>
      <w:r>
        <w:rPr>
          <w:rFonts w:hint="eastAsia" w:ascii="Microsoft New Tai Lue" w:hAnsi="Microsoft New Tai Lue" w:cs="Microsoft New Tai Lue"/>
          <w:b/>
          <w:color w:val="auto"/>
          <w:szCs w:val="21"/>
          <w:highlight w:val="none"/>
        </w:rPr>
        <w:t>信息安全产品</w:t>
      </w:r>
    </w:p>
    <w:p w14:paraId="081E905D">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4.3.1</w:t>
      </w:r>
      <w:r>
        <w:rPr>
          <w:rFonts w:hint="eastAsia" w:ascii="Microsoft New Tai Lue" w:hAnsi="Microsoft New Tai Lue" w:cs="Microsoft New Tai Lue"/>
          <w:color w:val="auto"/>
          <w:szCs w:val="21"/>
          <w:highlight w:val="none"/>
        </w:rPr>
        <w:t>依据《关于信息安全产品实施政府采购的通知》（财库〔2010〕48 号），所投产品属于《关于调整信息安全产品强制性认证实施要求的公告》（2009 年第33 号）范围的，应采用经国家认证的信息安全产品，否则投标无效。</w:t>
      </w:r>
    </w:p>
    <w:p w14:paraId="179503E6">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4.</w:t>
      </w:r>
      <w:r>
        <w:rPr>
          <w:rFonts w:ascii="Microsoft New Tai Lue" w:hAnsi="Microsoft New Tai Lue" w:cs="Microsoft New Tai Lue"/>
          <w:b/>
          <w:color w:val="auto"/>
          <w:szCs w:val="21"/>
          <w:highlight w:val="none"/>
        </w:rPr>
        <w:t>4</w:t>
      </w:r>
      <w:r>
        <w:rPr>
          <w:rFonts w:hint="eastAsia" w:ascii="Microsoft New Tai Lue" w:hAnsi="Microsoft New Tai Lue" w:cs="Microsoft New Tai Lue"/>
          <w:b/>
          <w:color w:val="auto"/>
          <w:szCs w:val="21"/>
          <w:highlight w:val="none"/>
        </w:rPr>
        <w:t>未</w:t>
      </w:r>
      <w:r>
        <w:rPr>
          <w:rFonts w:ascii="Microsoft New Tai Lue" w:hAnsi="Microsoft New Tai Lue" w:cs="Microsoft New Tai Lue"/>
          <w:b/>
          <w:color w:val="auto"/>
          <w:szCs w:val="21"/>
          <w:highlight w:val="none"/>
        </w:rPr>
        <w:t>按要求提供相关材料的，不享受相关政策。</w:t>
      </w:r>
    </w:p>
    <w:bookmarkEnd w:id="58"/>
    <w:p w14:paraId="4AC3464D">
      <w:pPr>
        <w:pStyle w:val="2"/>
        <w:spacing w:line="360" w:lineRule="auto"/>
        <w:ind w:left="0" w:leftChars="0" w:right="210"/>
        <w:rPr>
          <w:rFonts w:ascii="Microsoft New Tai Lue" w:hAnsi="Microsoft New Tai Lue" w:cs="Microsoft New Tai Lue"/>
          <w:color w:val="auto"/>
          <w:highlight w:val="none"/>
        </w:rPr>
      </w:pPr>
      <w:bookmarkStart w:id="62" w:name="_Toc96347865"/>
      <w:bookmarkStart w:id="63" w:name="_Toc100905205"/>
      <w:bookmarkStart w:id="64" w:name="_Toc107246219"/>
      <w:bookmarkStart w:id="65" w:name="_Toc104560843"/>
      <w:bookmarkStart w:id="66" w:name="_Toc103848532"/>
      <w:r>
        <w:rPr>
          <w:rFonts w:ascii="Microsoft New Tai Lue" w:hAnsi="Microsoft New Tai Lue" w:cs="Microsoft New Tai Lue"/>
          <w:color w:val="auto"/>
          <w:highlight w:val="none"/>
        </w:rPr>
        <w:t>5.相关费用</w:t>
      </w:r>
      <w:bookmarkEnd w:id="62"/>
      <w:bookmarkEnd w:id="63"/>
      <w:bookmarkEnd w:id="64"/>
      <w:bookmarkEnd w:id="65"/>
      <w:bookmarkEnd w:id="66"/>
    </w:p>
    <w:p w14:paraId="406CD73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5.1</w:t>
      </w:r>
      <w:bookmarkStart w:id="67" w:name="_Toc80264707"/>
      <w:r>
        <w:rPr>
          <w:rFonts w:ascii="Microsoft New Tai Lue" w:hAnsi="Microsoft New Tai Lue" w:cs="Microsoft New Tai Lue"/>
          <w:color w:val="auto"/>
          <w:szCs w:val="21"/>
          <w:highlight w:val="none"/>
        </w:rPr>
        <w:t>参加投标</w:t>
      </w:r>
      <w:r>
        <w:rPr>
          <w:rFonts w:hint="eastAsia" w:ascii="Microsoft New Tai Lue" w:hAnsi="Microsoft New Tai Lue" w:cs="Microsoft New Tai Lue"/>
          <w:color w:val="auto"/>
          <w:szCs w:val="21"/>
          <w:highlight w:val="none"/>
        </w:rPr>
        <w:t>活动的投标人</w:t>
      </w:r>
      <w:r>
        <w:rPr>
          <w:rFonts w:ascii="Microsoft New Tai Lue" w:hAnsi="Microsoft New Tai Lue" w:cs="Microsoft New Tai Lue"/>
          <w:color w:val="auto"/>
          <w:szCs w:val="21"/>
          <w:highlight w:val="none"/>
        </w:rPr>
        <w:t>应自行承担所有与参加投标有关的费用，无论投标过程中的做法和结果如何，采购</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在任何情况下均无义务和责任承担这些费用。</w:t>
      </w:r>
    </w:p>
    <w:p w14:paraId="2A88E0ED">
      <w:pPr>
        <w:pStyle w:val="2"/>
        <w:spacing w:line="360" w:lineRule="auto"/>
        <w:ind w:left="0" w:leftChars="0" w:right="210"/>
        <w:rPr>
          <w:rFonts w:ascii="Microsoft New Tai Lue" w:hAnsi="Microsoft New Tai Lue" w:cs="Microsoft New Tai Lue"/>
          <w:color w:val="auto"/>
          <w:highlight w:val="none"/>
        </w:rPr>
      </w:pPr>
      <w:bookmarkStart w:id="68" w:name="_Toc107246220"/>
      <w:bookmarkStart w:id="69" w:name="_Toc100905206"/>
      <w:bookmarkStart w:id="70" w:name="_Toc103848533"/>
      <w:bookmarkStart w:id="71" w:name="_Toc104560844"/>
      <w:bookmarkStart w:id="72" w:name="_Toc96347866"/>
      <w:r>
        <w:rPr>
          <w:rFonts w:ascii="Microsoft New Tai Lue" w:hAnsi="Microsoft New Tai Lue" w:cs="Microsoft New Tai Lue"/>
          <w:color w:val="auto"/>
          <w:highlight w:val="none"/>
        </w:rPr>
        <w:t>6.保密</w:t>
      </w:r>
      <w:bookmarkEnd w:id="68"/>
      <w:bookmarkEnd w:id="69"/>
      <w:bookmarkEnd w:id="70"/>
      <w:bookmarkEnd w:id="71"/>
      <w:bookmarkEnd w:id="72"/>
    </w:p>
    <w:p w14:paraId="6029A150">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bookmarkStart w:id="73" w:name="_Toc100905207"/>
      <w:bookmarkStart w:id="74" w:name="_Toc96347867"/>
      <w:r>
        <w:rPr>
          <w:rFonts w:ascii="Microsoft New Tai Lue" w:hAnsi="Microsoft New Tai Lue" w:cs="Microsoft New Tai Lue"/>
          <w:color w:val="auto"/>
          <w:szCs w:val="21"/>
          <w:highlight w:val="none"/>
        </w:rPr>
        <w:t>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被视为无条件对本招标文件的内容负有保密义务。</w:t>
      </w:r>
    </w:p>
    <w:p w14:paraId="381E6343">
      <w:pPr>
        <w:pStyle w:val="2"/>
        <w:spacing w:line="360" w:lineRule="auto"/>
        <w:ind w:left="0" w:leftChars="0" w:right="210"/>
        <w:rPr>
          <w:rFonts w:ascii="Microsoft New Tai Lue" w:hAnsi="Microsoft New Tai Lue" w:cs="Microsoft New Tai Lue"/>
          <w:color w:val="auto"/>
          <w:highlight w:val="none"/>
        </w:rPr>
      </w:pPr>
      <w:bookmarkStart w:id="75" w:name="_Toc103848534"/>
      <w:bookmarkStart w:id="76" w:name="_Toc107246221"/>
      <w:bookmarkStart w:id="77" w:name="_Toc104560845"/>
      <w:r>
        <w:rPr>
          <w:rFonts w:ascii="Microsoft New Tai Lue" w:hAnsi="Microsoft New Tai Lue" w:cs="Microsoft New Tai Lue"/>
          <w:color w:val="auto"/>
          <w:highlight w:val="none"/>
        </w:rPr>
        <w:t>7.语言文字、计量单位</w:t>
      </w:r>
      <w:bookmarkEnd w:id="73"/>
      <w:bookmarkEnd w:id="74"/>
      <w:bookmarkEnd w:id="75"/>
      <w:bookmarkEnd w:id="76"/>
      <w:bookmarkEnd w:id="77"/>
    </w:p>
    <w:p w14:paraId="00D2DC1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7.1所有文件使用的语言文字为中文。专用术语使用外文的，应附有中文注释。</w:t>
      </w:r>
    </w:p>
    <w:p w14:paraId="3451C3D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7.2所有文件中的计量单位，除招标文件有特殊要求外，应采用国家法定计量单位。</w:t>
      </w:r>
    </w:p>
    <w:p w14:paraId="3FD290AE">
      <w:pPr>
        <w:pStyle w:val="2"/>
        <w:spacing w:line="360" w:lineRule="auto"/>
        <w:ind w:left="0" w:leftChars="0" w:right="210"/>
        <w:rPr>
          <w:rFonts w:ascii="Microsoft New Tai Lue" w:hAnsi="Microsoft New Tai Lue" w:cs="Microsoft New Tai Lue"/>
          <w:color w:val="auto"/>
          <w:highlight w:val="none"/>
        </w:rPr>
      </w:pPr>
      <w:bookmarkStart w:id="78" w:name="_Toc107246222"/>
      <w:bookmarkStart w:id="79" w:name="_Toc104560846"/>
      <w:bookmarkStart w:id="80" w:name="_Toc96347868"/>
      <w:bookmarkStart w:id="81" w:name="_Toc100905208"/>
      <w:bookmarkStart w:id="82" w:name="_Toc103848535"/>
      <w:r>
        <w:rPr>
          <w:rFonts w:ascii="Microsoft New Tai Lue" w:hAnsi="Microsoft New Tai Lue" w:cs="Microsoft New Tai Lue"/>
          <w:color w:val="auto"/>
          <w:highlight w:val="none"/>
        </w:rPr>
        <w:t>8.现场考察</w:t>
      </w:r>
      <w:bookmarkEnd w:id="78"/>
      <w:bookmarkEnd w:id="79"/>
      <w:bookmarkEnd w:id="80"/>
      <w:bookmarkEnd w:id="81"/>
      <w:bookmarkEnd w:id="82"/>
    </w:p>
    <w:p w14:paraId="0C054170">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8.1</w:t>
      </w:r>
      <w:r>
        <w:rPr>
          <w:rFonts w:ascii="Microsoft New Tai Lue" w:hAnsi="Microsoft New Tai Lue" w:cs="Microsoft New Tai Lue"/>
          <w:b/>
          <w:color w:val="auto"/>
          <w:szCs w:val="21"/>
          <w:highlight w:val="none"/>
        </w:rPr>
        <w:t>投标人须知前附表</w:t>
      </w:r>
      <w:r>
        <w:rPr>
          <w:color w:val="auto"/>
          <w:szCs w:val="21"/>
          <w:highlight w:val="none"/>
        </w:rPr>
        <w:t>规定</w:t>
      </w:r>
      <w:r>
        <w:rPr>
          <w:rFonts w:hint="eastAsia"/>
          <w:color w:val="auto"/>
          <w:szCs w:val="21"/>
          <w:highlight w:val="none"/>
        </w:rPr>
        <w:t>现场考察</w:t>
      </w:r>
      <w:r>
        <w:rPr>
          <w:color w:val="auto"/>
          <w:szCs w:val="21"/>
          <w:highlight w:val="none"/>
        </w:rPr>
        <w:t>的，供应商须按照</w:t>
      </w:r>
      <w:r>
        <w:rPr>
          <w:rFonts w:ascii="Microsoft New Tai Lue" w:hAnsi="Microsoft New Tai Lue" w:cs="Microsoft New Tai Lue"/>
          <w:b/>
          <w:color w:val="auto"/>
          <w:szCs w:val="21"/>
          <w:highlight w:val="none"/>
        </w:rPr>
        <w:t>投标人须知前附表</w:t>
      </w:r>
      <w:r>
        <w:rPr>
          <w:color w:val="auto"/>
          <w:szCs w:val="21"/>
          <w:highlight w:val="none"/>
        </w:rPr>
        <w:t>规定的时间、地点参加踏勘，以获得有关编制</w:t>
      </w:r>
      <w:r>
        <w:rPr>
          <w:rFonts w:hint="eastAsia"/>
          <w:color w:val="auto"/>
          <w:szCs w:val="21"/>
          <w:highlight w:val="none"/>
        </w:rPr>
        <w:t>投标</w:t>
      </w:r>
      <w:r>
        <w:rPr>
          <w:color w:val="auto"/>
          <w:szCs w:val="21"/>
          <w:highlight w:val="none"/>
        </w:rPr>
        <w:t>文件和签署合同所涉及现场的资料。供应商承担</w:t>
      </w:r>
      <w:r>
        <w:rPr>
          <w:rFonts w:hint="eastAsia"/>
          <w:color w:val="auto"/>
          <w:szCs w:val="21"/>
          <w:highlight w:val="none"/>
        </w:rPr>
        <w:t>现场考察</w:t>
      </w:r>
      <w:r>
        <w:rPr>
          <w:color w:val="auto"/>
          <w:szCs w:val="21"/>
          <w:highlight w:val="none"/>
        </w:rPr>
        <w:t>所发生的自身费用、责任和风险。</w:t>
      </w:r>
    </w:p>
    <w:p w14:paraId="40AC15CB">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8.2</w:t>
      </w:r>
      <w:r>
        <w:rPr>
          <w:color w:val="auto"/>
          <w:szCs w:val="21"/>
          <w:highlight w:val="none"/>
        </w:rPr>
        <w:t>供应商不按照</w:t>
      </w:r>
      <w:r>
        <w:rPr>
          <w:bCs/>
          <w:color w:val="auto"/>
          <w:szCs w:val="21"/>
          <w:highlight w:val="none"/>
        </w:rPr>
        <w:t>本须知的规定</w:t>
      </w:r>
      <w:r>
        <w:rPr>
          <w:color w:val="auto"/>
          <w:szCs w:val="21"/>
          <w:highlight w:val="none"/>
        </w:rPr>
        <w:t>参加项目</w:t>
      </w:r>
      <w:r>
        <w:rPr>
          <w:rFonts w:hint="eastAsia"/>
          <w:color w:val="auto"/>
          <w:szCs w:val="21"/>
          <w:highlight w:val="none"/>
        </w:rPr>
        <w:t>现场考察</w:t>
      </w:r>
      <w:r>
        <w:rPr>
          <w:color w:val="auto"/>
          <w:szCs w:val="21"/>
          <w:highlight w:val="none"/>
        </w:rPr>
        <w:t>的，视同放弃现场</w:t>
      </w:r>
      <w:r>
        <w:rPr>
          <w:rFonts w:hint="eastAsia"/>
          <w:color w:val="auto"/>
          <w:szCs w:val="21"/>
          <w:highlight w:val="none"/>
        </w:rPr>
        <w:t>考察</w:t>
      </w:r>
      <w:r>
        <w:rPr>
          <w:color w:val="auto"/>
          <w:szCs w:val="21"/>
          <w:highlight w:val="none"/>
        </w:rPr>
        <w:t>，采购</w:t>
      </w:r>
      <w:r>
        <w:rPr>
          <w:rFonts w:hint="eastAsia"/>
          <w:color w:val="auto"/>
          <w:szCs w:val="21"/>
          <w:highlight w:val="none"/>
        </w:rPr>
        <w:t>方</w:t>
      </w:r>
      <w:r>
        <w:rPr>
          <w:color w:val="auto"/>
          <w:szCs w:val="21"/>
          <w:highlight w:val="none"/>
        </w:rPr>
        <w:t>将不再另行组织现场</w:t>
      </w:r>
      <w:r>
        <w:rPr>
          <w:rFonts w:hint="eastAsia"/>
          <w:color w:val="auto"/>
          <w:szCs w:val="21"/>
          <w:highlight w:val="none"/>
        </w:rPr>
        <w:t>考察</w:t>
      </w:r>
      <w:r>
        <w:rPr>
          <w:color w:val="auto"/>
          <w:szCs w:val="21"/>
          <w:highlight w:val="none"/>
        </w:rPr>
        <w:t>。以此为由，影响后期</w:t>
      </w:r>
      <w:r>
        <w:rPr>
          <w:rFonts w:hint="eastAsia"/>
          <w:color w:val="auto"/>
          <w:szCs w:val="21"/>
          <w:highlight w:val="none"/>
        </w:rPr>
        <w:t>投标</w:t>
      </w:r>
      <w:r>
        <w:rPr>
          <w:color w:val="auto"/>
          <w:szCs w:val="21"/>
          <w:highlight w:val="none"/>
        </w:rPr>
        <w:t>文件相关的</w:t>
      </w:r>
      <w:r>
        <w:rPr>
          <w:rFonts w:hint="eastAsia"/>
          <w:color w:val="auto"/>
          <w:szCs w:val="21"/>
          <w:highlight w:val="none"/>
        </w:rPr>
        <w:t>投标</w:t>
      </w:r>
      <w:r>
        <w:rPr>
          <w:color w:val="auto"/>
          <w:szCs w:val="21"/>
          <w:highlight w:val="none"/>
        </w:rPr>
        <w:t>、签约、履约条件的，是供应商自身的风险，采购方对此不承担责任。</w:t>
      </w:r>
    </w:p>
    <w:p w14:paraId="24CCD7C0">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8.3</w:t>
      </w:r>
      <w:r>
        <w:rPr>
          <w:color w:val="auto"/>
          <w:szCs w:val="21"/>
          <w:highlight w:val="none"/>
        </w:rPr>
        <w:t>除非有特殊要求，</w:t>
      </w:r>
      <w:r>
        <w:rPr>
          <w:rFonts w:hint="eastAsia"/>
          <w:color w:val="auto"/>
          <w:szCs w:val="21"/>
          <w:highlight w:val="none"/>
        </w:rPr>
        <w:t>招标</w:t>
      </w:r>
      <w:r>
        <w:rPr>
          <w:color w:val="auto"/>
          <w:szCs w:val="21"/>
          <w:highlight w:val="none"/>
        </w:rPr>
        <w:t>文件不提供项目所在地的自然环境、气候条件、公用设施等情况，供应商被视为熟悉上述与履行合同有关的一切情况。</w:t>
      </w:r>
    </w:p>
    <w:p w14:paraId="617DB3C5">
      <w:pPr>
        <w:pStyle w:val="2"/>
        <w:spacing w:line="360" w:lineRule="auto"/>
        <w:ind w:left="0" w:leftChars="0" w:right="210"/>
        <w:rPr>
          <w:color w:val="auto"/>
          <w:highlight w:val="none"/>
        </w:rPr>
      </w:pPr>
      <w:bookmarkStart w:id="83" w:name="_Toc107246223"/>
      <w:bookmarkStart w:id="84" w:name="_Toc102117275"/>
      <w:r>
        <w:rPr>
          <w:color w:val="auto"/>
          <w:highlight w:val="none"/>
        </w:rPr>
        <w:t>9.</w:t>
      </w:r>
      <w:r>
        <w:rPr>
          <w:rFonts w:hint="eastAsia"/>
          <w:color w:val="auto"/>
          <w:highlight w:val="none"/>
        </w:rPr>
        <w:t>开标前</w:t>
      </w:r>
      <w:r>
        <w:rPr>
          <w:color w:val="auto"/>
          <w:highlight w:val="none"/>
        </w:rPr>
        <w:t>答疑会</w:t>
      </w:r>
      <w:bookmarkEnd w:id="83"/>
      <w:bookmarkEnd w:id="84"/>
    </w:p>
    <w:p w14:paraId="2E66704C">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9.1</w:t>
      </w:r>
      <w:r>
        <w:rPr>
          <w:rFonts w:ascii="Microsoft New Tai Lue" w:hAnsi="Microsoft New Tai Lue" w:cs="Microsoft New Tai Lue"/>
          <w:b/>
          <w:color w:val="auto"/>
          <w:szCs w:val="21"/>
          <w:highlight w:val="none"/>
        </w:rPr>
        <w:t>投标人须知前附表</w:t>
      </w:r>
      <w:r>
        <w:rPr>
          <w:color w:val="auto"/>
          <w:szCs w:val="21"/>
          <w:highlight w:val="none"/>
        </w:rPr>
        <w:t>规定召开</w:t>
      </w:r>
      <w:r>
        <w:rPr>
          <w:rFonts w:hint="eastAsia"/>
          <w:color w:val="auto"/>
          <w:szCs w:val="21"/>
          <w:highlight w:val="none"/>
        </w:rPr>
        <w:t>开标前答疑会</w:t>
      </w:r>
      <w:r>
        <w:rPr>
          <w:color w:val="auto"/>
          <w:szCs w:val="21"/>
          <w:highlight w:val="none"/>
        </w:rPr>
        <w:t>的，采购方按</w:t>
      </w:r>
      <w:r>
        <w:rPr>
          <w:rFonts w:ascii="Microsoft New Tai Lue" w:hAnsi="Microsoft New Tai Lue" w:cs="Microsoft New Tai Lue"/>
          <w:b/>
          <w:color w:val="auto"/>
          <w:szCs w:val="21"/>
          <w:highlight w:val="none"/>
        </w:rPr>
        <w:t>投标人须知前附表</w:t>
      </w:r>
      <w:r>
        <w:rPr>
          <w:color w:val="auto"/>
          <w:szCs w:val="21"/>
          <w:highlight w:val="none"/>
        </w:rPr>
        <w:t>规定的时间和地点召开</w:t>
      </w:r>
      <w:r>
        <w:rPr>
          <w:rFonts w:hint="eastAsia"/>
          <w:color w:val="auto"/>
          <w:szCs w:val="21"/>
          <w:highlight w:val="none"/>
        </w:rPr>
        <w:t>开标前答疑会</w:t>
      </w:r>
      <w:r>
        <w:rPr>
          <w:color w:val="auto"/>
          <w:szCs w:val="21"/>
          <w:highlight w:val="none"/>
        </w:rPr>
        <w:t>，澄清供应商提出的询问。</w:t>
      </w:r>
    </w:p>
    <w:p w14:paraId="2AEEE462">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color w:val="auto"/>
          <w:szCs w:val="21"/>
          <w:highlight w:val="none"/>
        </w:rPr>
        <w:t>9.2</w:t>
      </w:r>
      <w:r>
        <w:rPr>
          <w:color w:val="auto"/>
          <w:szCs w:val="21"/>
          <w:highlight w:val="none"/>
        </w:rPr>
        <w:t>供应商应按</w:t>
      </w:r>
      <w:r>
        <w:rPr>
          <w:rFonts w:ascii="Microsoft New Tai Lue" w:hAnsi="Microsoft New Tai Lue" w:cs="Microsoft New Tai Lue"/>
          <w:b/>
          <w:color w:val="auto"/>
          <w:szCs w:val="21"/>
          <w:highlight w:val="none"/>
        </w:rPr>
        <w:t>投标人须知前附表</w:t>
      </w:r>
      <w:r>
        <w:rPr>
          <w:color w:val="auto"/>
          <w:szCs w:val="21"/>
          <w:highlight w:val="none"/>
        </w:rPr>
        <w:t>规定的时间和形式将提出的询问送达采购方，以便采购方在会议期间澄清，逾期的询问将不被接受。</w:t>
      </w:r>
    </w:p>
    <w:p w14:paraId="29BC5619">
      <w:pPr>
        <w:pStyle w:val="2"/>
        <w:spacing w:line="360" w:lineRule="auto"/>
        <w:ind w:left="0" w:leftChars="0" w:right="210"/>
        <w:rPr>
          <w:rFonts w:ascii="Microsoft New Tai Lue" w:hAnsi="Microsoft New Tai Lue" w:cs="Microsoft New Tai Lue"/>
          <w:color w:val="auto"/>
          <w:highlight w:val="none"/>
        </w:rPr>
      </w:pPr>
      <w:bookmarkStart w:id="85" w:name="_Toc103848536"/>
      <w:bookmarkStart w:id="86" w:name="_Toc107246224"/>
      <w:bookmarkStart w:id="87" w:name="_Toc100905210"/>
      <w:bookmarkStart w:id="88" w:name="_Toc104560847"/>
      <w:bookmarkStart w:id="89" w:name="_Toc96347869"/>
      <w:r>
        <w:rPr>
          <w:rFonts w:ascii="Microsoft New Tai Lue" w:hAnsi="Microsoft New Tai Lue" w:cs="Microsoft New Tai Lue"/>
          <w:color w:val="auto"/>
          <w:szCs w:val="21"/>
          <w:highlight w:val="none"/>
        </w:rPr>
        <w:t>10.联合体投标</w:t>
      </w:r>
      <w:bookmarkEnd w:id="85"/>
      <w:bookmarkEnd w:id="86"/>
      <w:bookmarkEnd w:id="87"/>
      <w:bookmarkEnd w:id="88"/>
    </w:p>
    <w:p w14:paraId="393FD666">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10.1本项目是否接受联合体形式参与详见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6110CE4F">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10.2</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为联合体形式的，应遵守以下规定：</w:t>
      </w:r>
    </w:p>
    <w:p w14:paraId="5CC7A2EF">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（1）联合体各方必须签订联合体协议书，明确联合体牵头人和各方权利、义务及分工、合同工作量比例；</w:t>
      </w:r>
    </w:p>
    <w:p w14:paraId="71C29CCA">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（2）联合体各方均应当符合</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政府采购法</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第二十二条第一款规定的条件；</w:t>
      </w:r>
    </w:p>
    <w:p w14:paraId="5205D5C9">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（3）除另有规定外，联合体各方中至少有一方应当符合</w:t>
      </w:r>
      <w:r>
        <w:rPr>
          <w:rFonts w:hint="eastAsia" w:ascii="Microsoft New Tai Lue" w:hAnsi="Microsoft New Tai Lue" w:cs="Microsoft New Tai Lue"/>
          <w:color w:val="auto"/>
          <w:szCs w:val="21"/>
          <w:highlight w:val="none"/>
        </w:rPr>
        <w:t>采购人规定的</w:t>
      </w:r>
      <w:r>
        <w:rPr>
          <w:rFonts w:ascii="Microsoft New Tai Lue" w:hAnsi="Microsoft New Tai Lue" w:cs="Microsoft New Tai Lue"/>
          <w:color w:val="auto"/>
          <w:szCs w:val="21"/>
          <w:highlight w:val="none"/>
        </w:rPr>
        <w:t>特定资格条件；</w:t>
      </w:r>
    </w:p>
    <w:p w14:paraId="44E76925">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（4）联合体中有同类资质的供应商按照联合体分工承担相同工作的，应当按照资质等级较低的供应商确定资质等级</w:t>
      </w:r>
      <w:r>
        <w:rPr>
          <w:rFonts w:hint="eastAsia" w:ascii="Microsoft New Tai Lue" w:hAnsi="Microsoft New Tai Lue" w:cs="Microsoft New Tai Lue"/>
          <w:color w:val="auto"/>
          <w:szCs w:val="21"/>
          <w:highlight w:val="none"/>
        </w:rPr>
        <w:t>；</w:t>
      </w:r>
    </w:p>
    <w:p w14:paraId="7CB98435">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color w:val="auto"/>
          <w:szCs w:val="21"/>
          <w:highlight w:val="none"/>
        </w:rPr>
        <w:t>活动</w:t>
      </w:r>
      <w:r>
        <w:rPr>
          <w:rFonts w:ascii="Microsoft New Tai Lue" w:hAnsi="Microsoft New Tai Lue" w:cs="Microsoft New Tai Lue"/>
          <w:color w:val="auto"/>
          <w:szCs w:val="21"/>
          <w:highlight w:val="none"/>
        </w:rPr>
        <w:t>。</w:t>
      </w:r>
    </w:p>
    <w:p w14:paraId="7411E84D">
      <w:pPr>
        <w:pStyle w:val="2"/>
        <w:spacing w:line="360" w:lineRule="auto"/>
        <w:ind w:left="0" w:leftChars="0" w:right="210"/>
        <w:rPr>
          <w:rFonts w:ascii="Microsoft New Tai Lue" w:hAnsi="Microsoft New Tai Lue" w:cs="Microsoft New Tai Lue"/>
          <w:color w:val="auto"/>
          <w:highlight w:val="none"/>
        </w:rPr>
      </w:pPr>
      <w:bookmarkStart w:id="90" w:name="_Toc107246225"/>
      <w:bookmarkStart w:id="91" w:name="_Toc103848537"/>
      <w:bookmarkStart w:id="92" w:name="_Toc100905213"/>
      <w:bookmarkStart w:id="93" w:name="_Toc104560848"/>
      <w:bookmarkStart w:id="94" w:name="_Toc100905211"/>
      <w:r>
        <w:rPr>
          <w:rFonts w:ascii="Microsoft New Tai Lue" w:hAnsi="Microsoft New Tai Lue" w:cs="Microsoft New Tai Lue"/>
          <w:color w:val="auto"/>
          <w:highlight w:val="none"/>
        </w:rPr>
        <w:t>11.分包</w:t>
      </w:r>
      <w:bookmarkEnd w:id="90"/>
      <w:bookmarkEnd w:id="91"/>
      <w:bookmarkEnd w:id="92"/>
      <w:bookmarkEnd w:id="93"/>
    </w:p>
    <w:p w14:paraId="6E09C65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11.1</w:t>
      </w:r>
      <w:r>
        <w:rPr>
          <w:rFonts w:hint="eastAsia" w:ascii="Microsoft New Tai Lue" w:hAnsi="Microsoft New Tai Lue" w:cs="Microsoft New Tai Lue"/>
          <w:color w:val="auto"/>
          <w:szCs w:val="21"/>
          <w:highlight w:val="none"/>
        </w:rPr>
        <w:t>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080AAE88">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11.2</w:t>
      </w:r>
      <w:r>
        <w:rPr>
          <w:rFonts w:hint="eastAsia" w:ascii="Microsoft New Tai Lue" w:hAnsi="Microsoft New Tai Lue" w:cs="Microsoft New Tai Lue"/>
          <w:color w:val="auto"/>
          <w:szCs w:val="21"/>
          <w:highlight w:val="non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1CD6506E">
      <w:pPr>
        <w:pStyle w:val="2"/>
        <w:spacing w:line="360" w:lineRule="auto"/>
        <w:ind w:left="0" w:leftChars="0" w:right="210"/>
        <w:rPr>
          <w:rFonts w:ascii="Microsoft New Tai Lue" w:hAnsi="Microsoft New Tai Lue" w:cs="Microsoft New Tai Lue"/>
          <w:color w:val="auto"/>
          <w:highlight w:val="none"/>
        </w:rPr>
      </w:pPr>
      <w:bookmarkStart w:id="95" w:name="_Toc104560849"/>
      <w:bookmarkStart w:id="96" w:name="_Toc107246226"/>
      <w:r>
        <w:rPr>
          <w:rFonts w:hint="eastAsia" w:ascii="Microsoft New Tai Lue" w:hAnsi="Microsoft New Tai Lue" w:cs="Microsoft New Tai Lue"/>
          <w:color w:val="auto"/>
          <w:highlight w:val="none"/>
        </w:rPr>
        <w:t>1</w:t>
      </w:r>
      <w:r>
        <w:rPr>
          <w:rFonts w:ascii="Microsoft New Tai Lue" w:hAnsi="Microsoft New Tai Lue" w:cs="Microsoft New Tai Lue"/>
          <w:color w:val="auto"/>
          <w:highlight w:val="none"/>
        </w:rPr>
        <w:t>2</w:t>
      </w:r>
      <w:r>
        <w:rPr>
          <w:rFonts w:hint="eastAsia" w:ascii="Microsoft New Tai Lue" w:hAnsi="Microsoft New Tai Lue" w:cs="Microsoft New Tai Lue"/>
          <w:color w:val="auto"/>
          <w:highlight w:val="none"/>
        </w:rPr>
        <w:t>.样品</w:t>
      </w:r>
      <w:bookmarkEnd w:id="95"/>
      <w:bookmarkEnd w:id="96"/>
    </w:p>
    <w:p w14:paraId="64D84834">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.1本项目是否要求投标人提供样品，以及样品制作的标准和要求、是否需要随样品提交相关检测报告、样品的提交要求等详见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5856CE3A">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2</w:t>
      </w:r>
      <w:r>
        <w:rPr>
          <w:rFonts w:hint="eastAsia" w:ascii="Microsoft New Tai Lue" w:hAnsi="Microsoft New Tai Lue" w:cs="Microsoft New Tai Lue"/>
          <w:color w:val="auto"/>
          <w:szCs w:val="21"/>
          <w:highlight w:val="none"/>
        </w:rPr>
        <w:t>.2样品的评审方法以及评审标准等内容见第五章《评标方法与评标标准》。</w:t>
      </w:r>
    </w:p>
    <w:bookmarkEnd w:id="89"/>
    <w:bookmarkEnd w:id="94"/>
    <w:p w14:paraId="15327106">
      <w:pPr>
        <w:pStyle w:val="2"/>
        <w:spacing w:line="360" w:lineRule="auto"/>
        <w:ind w:left="0" w:leftChars="0" w:right="210"/>
        <w:rPr>
          <w:rFonts w:ascii="Microsoft New Tai Lue" w:hAnsi="Microsoft New Tai Lue" w:cs="Microsoft New Tai Lue"/>
          <w:color w:val="auto"/>
          <w:highlight w:val="none"/>
        </w:rPr>
      </w:pPr>
      <w:bookmarkStart w:id="97" w:name="_Toc100905214"/>
      <w:bookmarkStart w:id="98" w:name="_Toc104560850"/>
      <w:bookmarkStart w:id="99" w:name="_Toc103848538"/>
      <w:bookmarkStart w:id="100" w:name="_Toc107246227"/>
      <w:r>
        <w:rPr>
          <w:rFonts w:ascii="Microsoft New Tai Lue" w:hAnsi="Microsoft New Tai Lue" w:cs="Microsoft New Tai Lue"/>
          <w:color w:val="auto"/>
          <w:highlight w:val="none"/>
        </w:rPr>
        <w:t>13.采购进口产品</w:t>
      </w:r>
      <w:bookmarkEnd w:id="97"/>
      <w:bookmarkEnd w:id="98"/>
      <w:bookmarkEnd w:id="99"/>
      <w:bookmarkEnd w:id="100"/>
    </w:p>
    <w:p w14:paraId="4B26A083">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13.1本项目是否采购进口产品及相关要求见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23E8974F">
      <w:pPr>
        <w:pStyle w:val="2"/>
        <w:spacing w:line="360" w:lineRule="auto"/>
        <w:ind w:left="0" w:leftChars="0" w:right="210"/>
        <w:rPr>
          <w:rFonts w:ascii="Microsoft New Tai Lue" w:hAnsi="Microsoft New Tai Lue" w:cs="Microsoft New Tai Lue"/>
          <w:color w:val="auto"/>
          <w:highlight w:val="none"/>
        </w:rPr>
      </w:pPr>
      <w:bookmarkStart w:id="101" w:name="_Toc107246228"/>
      <w:bookmarkStart w:id="102" w:name="_Toc104560851"/>
      <w:r>
        <w:rPr>
          <w:rFonts w:ascii="Microsoft New Tai Lue" w:hAnsi="Microsoft New Tai Lue" w:cs="Microsoft New Tai Lue"/>
          <w:color w:val="auto"/>
          <w:highlight w:val="none"/>
        </w:rPr>
        <w:t>14</w:t>
      </w:r>
      <w:r>
        <w:rPr>
          <w:rFonts w:hint="eastAsia" w:ascii="Microsoft New Tai Lue" w:hAnsi="Microsoft New Tai Lue" w:cs="Microsoft New Tai Lue"/>
          <w:color w:val="auto"/>
          <w:highlight w:val="none"/>
        </w:rPr>
        <w:t>.采购项目预算及最高限价</w:t>
      </w:r>
      <w:bookmarkEnd w:id="101"/>
      <w:bookmarkEnd w:id="102"/>
    </w:p>
    <w:p w14:paraId="2D0183BF">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.1本项目采购资金已列入政府采购预算，预算金额见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2E280C42">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14</w:t>
      </w:r>
      <w:r>
        <w:rPr>
          <w:rFonts w:hint="eastAsia" w:ascii="Microsoft New Tai Lue" w:hAnsi="Microsoft New Tai Lue" w:cs="Microsoft New Tai Lue"/>
          <w:color w:val="auto"/>
          <w:szCs w:val="21"/>
          <w:highlight w:val="none"/>
        </w:rPr>
        <w:t>.2本项目最高限价要求见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516AF998">
      <w:pPr>
        <w:pStyle w:val="2"/>
        <w:spacing w:line="360" w:lineRule="auto"/>
        <w:ind w:left="0" w:leftChars="0" w:right="210"/>
        <w:rPr>
          <w:rFonts w:ascii="Microsoft New Tai Lue" w:hAnsi="Microsoft New Tai Lue" w:cs="Microsoft New Tai Lue"/>
          <w:color w:val="auto"/>
          <w:highlight w:val="none"/>
        </w:rPr>
      </w:pPr>
      <w:bookmarkStart w:id="103" w:name="_Toc107246229"/>
      <w:bookmarkStart w:id="104" w:name="_Toc104560852"/>
      <w:r>
        <w:rPr>
          <w:rFonts w:ascii="Microsoft New Tai Lue" w:hAnsi="Microsoft New Tai Lue" w:cs="Microsoft New Tai Lue"/>
          <w:color w:val="auto"/>
          <w:highlight w:val="none"/>
        </w:rPr>
        <w:t>15</w:t>
      </w:r>
      <w:r>
        <w:rPr>
          <w:rFonts w:hint="eastAsia" w:ascii="Microsoft New Tai Lue" w:hAnsi="Microsoft New Tai Lue" w:cs="Microsoft New Tai Lue"/>
          <w:color w:val="auto"/>
          <w:highlight w:val="none"/>
        </w:rPr>
        <w:t>.</w:t>
      </w:r>
      <w:r>
        <w:rPr>
          <w:rFonts w:hint="eastAsia" w:ascii="Microsoft New Tai Lue" w:hAnsi="Microsoft New Tai Lue" w:cs="Microsoft New Tai Lue"/>
          <w:bCs w:val="0"/>
          <w:color w:val="auto"/>
          <w:szCs w:val="21"/>
          <w:highlight w:val="none"/>
        </w:rPr>
        <w:t xml:space="preserve"> 供应商</w:t>
      </w:r>
      <w:r>
        <w:rPr>
          <w:rFonts w:hint="eastAsia" w:ascii="Microsoft New Tai Lue" w:hAnsi="Microsoft New Tai Lue" w:cs="Microsoft New Tai Lue"/>
          <w:color w:val="auto"/>
          <w:highlight w:val="none"/>
        </w:rPr>
        <w:t>资格</w:t>
      </w:r>
      <w:r>
        <w:rPr>
          <w:rFonts w:ascii="Microsoft New Tai Lue" w:hAnsi="Microsoft New Tai Lue" w:cs="Microsoft New Tai Lue"/>
          <w:color w:val="auto"/>
          <w:highlight w:val="none"/>
        </w:rPr>
        <w:t>条件</w:t>
      </w:r>
      <w:bookmarkEnd w:id="103"/>
      <w:bookmarkEnd w:id="104"/>
    </w:p>
    <w:p w14:paraId="0FF63036">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5</w:t>
      </w:r>
      <w:r>
        <w:rPr>
          <w:rFonts w:hint="eastAsia" w:ascii="Microsoft New Tai Lue" w:hAnsi="Microsoft New Tai Lue" w:cs="Microsoft New Tai Lue"/>
          <w:color w:val="auto"/>
          <w:szCs w:val="21"/>
          <w:highlight w:val="none"/>
        </w:rPr>
        <w:t>.1</w:t>
      </w:r>
      <w:r>
        <w:rPr>
          <w:rFonts w:hint="eastAsia" w:ascii="Microsoft New Tai Lue" w:hAnsi="Microsoft New Tai Lue" w:cs="Microsoft New Tai Lue"/>
          <w:bCs/>
          <w:color w:val="auto"/>
          <w:szCs w:val="21"/>
          <w:highlight w:val="none"/>
        </w:rPr>
        <w:t>供应商</w:t>
      </w:r>
      <w:r>
        <w:rPr>
          <w:rFonts w:hint="eastAsia" w:ascii="Microsoft New Tai Lue" w:hAnsi="Microsoft New Tai Lue" w:cs="Microsoft New Tai Lue"/>
          <w:color w:val="auto"/>
          <w:szCs w:val="21"/>
          <w:highlight w:val="none"/>
        </w:rPr>
        <w:t>资格</w:t>
      </w:r>
      <w:r>
        <w:rPr>
          <w:rFonts w:ascii="Microsoft New Tai Lue" w:hAnsi="Microsoft New Tai Lue" w:cs="Microsoft New Tai Lue"/>
          <w:color w:val="auto"/>
          <w:szCs w:val="21"/>
          <w:highlight w:val="none"/>
        </w:rPr>
        <w:t>条件见</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w:t>
      </w:r>
    </w:p>
    <w:p w14:paraId="72A441FC">
      <w:pPr>
        <w:pStyle w:val="2"/>
        <w:spacing w:line="360" w:lineRule="auto"/>
        <w:ind w:left="0" w:leftChars="0" w:right="210"/>
        <w:rPr>
          <w:rFonts w:ascii="Microsoft New Tai Lue" w:hAnsi="Microsoft New Tai Lue" w:cs="Microsoft New Tai Lue"/>
          <w:color w:val="auto"/>
          <w:highlight w:val="none"/>
        </w:rPr>
      </w:pPr>
      <w:bookmarkStart w:id="105" w:name="_Toc107246230"/>
      <w:r>
        <w:rPr>
          <w:rFonts w:ascii="Microsoft New Tai Lue" w:hAnsi="Microsoft New Tai Lue" w:cs="Microsoft New Tai Lue"/>
          <w:color w:val="auto"/>
          <w:highlight w:val="none"/>
        </w:rPr>
        <w:t>二．招标文件</w:t>
      </w:r>
      <w:bookmarkEnd w:id="67"/>
      <w:bookmarkEnd w:id="105"/>
    </w:p>
    <w:p w14:paraId="22844D7F">
      <w:pPr>
        <w:pStyle w:val="2"/>
        <w:spacing w:line="360" w:lineRule="auto"/>
        <w:ind w:left="0" w:leftChars="0" w:right="210"/>
        <w:rPr>
          <w:rFonts w:ascii="Microsoft New Tai Lue" w:hAnsi="Microsoft New Tai Lue" w:cs="Microsoft New Tai Lue"/>
          <w:color w:val="auto"/>
          <w:highlight w:val="none"/>
        </w:rPr>
      </w:pPr>
      <w:bookmarkStart w:id="106" w:name="_Toc104560854"/>
      <w:bookmarkStart w:id="107" w:name="_Toc107246231"/>
      <w:bookmarkStart w:id="108" w:name="_Toc100905217"/>
      <w:bookmarkStart w:id="109" w:name="_Toc103848540"/>
      <w:bookmarkStart w:id="110" w:name="_Toc96347871"/>
      <w:r>
        <w:rPr>
          <w:rFonts w:ascii="Microsoft New Tai Lue" w:hAnsi="Microsoft New Tai Lue" w:cs="Microsoft New Tai Lue"/>
          <w:color w:val="auto"/>
          <w:highlight w:val="none"/>
        </w:rPr>
        <w:t>16.招标文件的构成</w:t>
      </w:r>
      <w:bookmarkEnd w:id="106"/>
      <w:bookmarkEnd w:id="107"/>
      <w:bookmarkEnd w:id="108"/>
      <w:bookmarkEnd w:id="109"/>
      <w:bookmarkEnd w:id="110"/>
    </w:p>
    <w:p w14:paraId="489DB8CF">
      <w:pPr>
        <w:pStyle w:val="75"/>
        <w:ind w:firstLine="420" w:firstLineChars="200"/>
        <w:rPr>
          <w:rFonts w:ascii="Microsoft New Tai Lue" w:hAnsi="Microsoft New Tai Lue" w:cs="Microsoft New Tai Lue"/>
          <w:bCs/>
          <w:color w:val="auto"/>
          <w:kern w:val="2"/>
          <w:sz w:val="21"/>
          <w:highlight w:val="none"/>
        </w:rPr>
      </w:pPr>
      <w:r>
        <w:rPr>
          <w:rFonts w:ascii="Microsoft New Tai Lue" w:hAnsi="Microsoft New Tai Lue" w:cs="Microsoft New Tai Lue"/>
          <w:bCs/>
          <w:color w:val="auto"/>
          <w:kern w:val="2"/>
          <w:sz w:val="21"/>
          <w:highlight w:val="none"/>
        </w:rPr>
        <w:t>16.1招标文件各章节的内容如下：</w:t>
      </w:r>
    </w:p>
    <w:p w14:paraId="65C7B576">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第一章：</w:t>
      </w:r>
      <w:r>
        <w:rPr>
          <w:rFonts w:hint="eastAsia" w:ascii="Microsoft New Tai Lue" w:hAnsi="Microsoft New Tai Lue" w:cs="Microsoft New Tai Lue"/>
          <w:color w:val="auto"/>
          <w:szCs w:val="21"/>
          <w:highlight w:val="none"/>
        </w:rPr>
        <w:t>招标公告</w:t>
      </w:r>
    </w:p>
    <w:p w14:paraId="39896F0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第二章：投标人须知</w:t>
      </w:r>
    </w:p>
    <w:p w14:paraId="6874F60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第三章：政府采购合同条款及格式</w:t>
      </w:r>
    </w:p>
    <w:p w14:paraId="6A0F0A89">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第四章：采购需求</w:t>
      </w:r>
    </w:p>
    <w:p w14:paraId="5E14191D">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第五章：评标方法与评标标准</w:t>
      </w:r>
    </w:p>
    <w:p w14:paraId="4414443A">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第六章：</w:t>
      </w:r>
      <w:bookmarkStart w:id="111" w:name="_Toc96347872"/>
      <w:r>
        <w:rPr>
          <w:rFonts w:hint="eastAsia" w:ascii="Microsoft New Tai Lue" w:hAnsi="Microsoft New Tai Lue" w:cs="Microsoft New Tai Lue"/>
          <w:color w:val="auto"/>
          <w:szCs w:val="21"/>
          <w:highlight w:val="none"/>
        </w:rPr>
        <w:t>投标文件格式</w:t>
      </w:r>
    </w:p>
    <w:p w14:paraId="588A44FA">
      <w:pPr>
        <w:adjustRightInd w:val="0"/>
        <w:snapToGrid w:val="0"/>
        <w:spacing w:before="120" w:beforeLines="50" w:line="360" w:lineRule="auto"/>
        <w:ind w:firstLine="420" w:firstLineChars="200"/>
        <w:rPr>
          <w:color w:val="auto"/>
          <w:szCs w:val="21"/>
          <w:highlight w:val="none"/>
        </w:rPr>
      </w:pPr>
      <w:r>
        <w:rPr>
          <w:color w:val="auto"/>
          <w:szCs w:val="21"/>
          <w:highlight w:val="none"/>
        </w:rPr>
        <w:t>对</w:t>
      </w:r>
      <w:r>
        <w:rPr>
          <w:rFonts w:hint="eastAsia"/>
          <w:color w:val="auto"/>
          <w:szCs w:val="21"/>
          <w:highlight w:val="none"/>
        </w:rPr>
        <w:t>招标</w:t>
      </w:r>
      <w:r>
        <w:rPr>
          <w:color w:val="auto"/>
          <w:szCs w:val="21"/>
          <w:highlight w:val="none"/>
        </w:rPr>
        <w:t>文件所作的澄清、修改，构成</w:t>
      </w:r>
      <w:r>
        <w:rPr>
          <w:rFonts w:hint="eastAsia"/>
          <w:color w:val="auto"/>
          <w:szCs w:val="21"/>
          <w:highlight w:val="none"/>
        </w:rPr>
        <w:t>招标</w:t>
      </w:r>
      <w:r>
        <w:rPr>
          <w:color w:val="auto"/>
          <w:szCs w:val="21"/>
          <w:highlight w:val="none"/>
        </w:rPr>
        <w:t>文件的组成部分。</w:t>
      </w:r>
    </w:p>
    <w:p w14:paraId="53BA131A">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如标书制作工具中格式和内容与“江苏政府采购网/中国政府采购网”发布的招标文件不一致的，以上述网站发布的招标文件为准。</w:t>
      </w:r>
    </w:p>
    <w:p w14:paraId="4B8517D7">
      <w:pPr>
        <w:adjustRightInd w:val="0"/>
        <w:snapToGrid w:val="0"/>
        <w:spacing w:before="120" w:beforeLines="50" w:line="360" w:lineRule="auto"/>
        <w:ind w:firstLine="422" w:firstLineChars="200"/>
        <w:rPr>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招标文件中标注</w:t>
      </w:r>
      <w:r>
        <w:rPr>
          <w:rFonts w:hint="eastAsia" w:ascii="Microsoft New Tai Lue" w:hAnsi="Microsoft New Tai Lue" w:cs="Microsoft New Tai Lue"/>
          <w:bCs/>
          <w:color w:val="auto"/>
          <w:szCs w:val="21"/>
          <w:highlight w:val="none"/>
        </w:rPr>
        <w:t>“</w:t>
      </w:r>
      <w:r>
        <w:rPr>
          <w:rFonts w:ascii="Segoe UI Symbol" w:hAnsi="Segoe UI Symbol" w:cs="Segoe UI Symbol"/>
          <w:b/>
          <w:color w:val="auto"/>
          <w:szCs w:val="21"/>
          <w:highlight w:val="none"/>
        </w:rPr>
        <w:t>★</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color w:val="auto"/>
          <w:szCs w:val="21"/>
          <w:highlight w:val="none"/>
        </w:rPr>
        <w:t>符号的条款为实质性要求条款（即重要条款）。</w:t>
      </w:r>
    </w:p>
    <w:p w14:paraId="4BF077F5">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16.2</w:t>
      </w:r>
      <w:r>
        <w:rPr>
          <w:color w:val="auto"/>
          <w:szCs w:val="21"/>
          <w:highlight w:val="none"/>
        </w:rPr>
        <w:t>供应商应仔细阅读和检查</w:t>
      </w:r>
      <w:r>
        <w:rPr>
          <w:rFonts w:hint="eastAsia"/>
          <w:color w:val="auto"/>
          <w:szCs w:val="21"/>
          <w:highlight w:val="none"/>
        </w:rPr>
        <w:t>招标</w:t>
      </w:r>
      <w:r>
        <w:rPr>
          <w:color w:val="auto"/>
          <w:szCs w:val="21"/>
          <w:highlight w:val="none"/>
        </w:rPr>
        <w:t>文件的全部内容。如发现</w:t>
      </w:r>
      <w:r>
        <w:rPr>
          <w:rFonts w:hint="eastAsia"/>
          <w:color w:val="auto"/>
          <w:szCs w:val="21"/>
          <w:highlight w:val="none"/>
        </w:rPr>
        <w:t>招标</w:t>
      </w:r>
      <w:r>
        <w:rPr>
          <w:color w:val="auto"/>
          <w:szCs w:val="21"/>
          <w:highlight w:val="none"/>
        </w:rPr>
        <w:t>文件内容不全，应及时向采购方提出，以便补齐。</w:t>
      </w:r>
    </w:p>
    <w:p w14:paraId="6336DE93">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16.3</w:t>
      </w:r>
      <w:r>
        <w:rPr>
          <w:color w:val="auto"/>
          <w:szCs w:val="21"/>
          <w:highlight w:val="none"/>
        </w:rPr>
        <w:t>供应商</w:t>
      </w:r>
      <w:r>
        <w:rPr>
          <w:rFonts w:ascii="Microsoft New Tai Lue" w:hAnsi="Microsoft New Tai Lue" w:cs="Microsoft New Tai Lue"/>
          <w:bCs/>
          <w:color w:val="auto"/>
          <w:szCs w:val="21"/>
          <w:highlight w:val="none"/>
        </w:rPr>
        <w:t>按照招标文件要求编制投标文件。任何对招标文件的忽略或误解，不能作为投标文件存在缺陷或瑕疵的理由，其风险由</w:t>
      </w:r>
      <w:r>
        <w:rPr>
          <w:color w:val="auto"/>
          <w:szCs w:val="21"/>
          <w:highlight w:val="none"/>
        </w:rPr>
        <w:t>供应商</w:t>
      </w:r>
      <w:r>
        <w:rPr>
          <w:rFonts w:ascii="Microsoft New Tai Lue" w:hAnsi="Microsoft New Tai Lue" w:cs="Microsoft New Tai Lue"/>
          <w:bCs/>
          <w:color w:val="auto"/>
          <w:szCs w:val="21"/>
          <w:highlight w:val="none"/>
        </w:rPr>
        <w:t>承担。</w:t>
      </w:r>
    </w:p>
    <w:p w14:paraId="4B058ECF">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16.4本项目</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文件如包括多个</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，则除非特别说明，</w:t>
      </w:r>
      <w:r>
        <w:rPr>
          <w:rFonts w:hint="eastAsia" w:ascii="Microsoft New Tai Lue" w:hAnsi="Microsoft New Tai Lue" w:cs="Microsoft New Tai Lue"/>
          <w:color w:val="auto"/>
          <w:szCs w:val="21"/>
          <w:highlight w:val="none"/>
        </w:rPr>
        <w:t>招标</w:t>
      </w:r>
      <w:r>
        <w:rPr>
          <w:rFonts w:ascii="Microsoft New Tai Lue" w:hAnsi="Microsoft New Tai Lue" w:cs="Microsoft New Tai Lue"/>
          <w:color w:val="auto"/>
          <w:szCs w:val="21"/>
          <w:highlight w:val="none"/>
        </w:rPr>
        <w:t>文件所列各项要求均为各</w:t>
      </w:r>
      <w:r>
        <w:rPr>
          <w:rFonts w:hint="eastAsia" w:ascii="Microsoft New Tai Lue" w:hAnsi="Microsoft New Tai Lue" w:cs="Microsoft New Tai Lue"/>
          <w:color w:val="auto"/>
          <w:szCs w:val="21"/>
          <w:highlight w:val="none"/>
        </w:rPr>
        <w:t>分包</w:t>
      </w:r>
      <w:r>
        <w:rPr>
          <w:rFonts w:ascii="Microsoft New Tai Lue" w:hAnsi="Microsoft New Tai Lue" w:cs="Microsoft New Tai Lue"/>
          <w:color w:val="auto"/>
          <w:szCs w:val="21"/>
          <w:highlight w:val="none"/>
        </w:rPr>
        <w:t>通用要求。</w:t>
      </w:r>
    </w:p>
    <w:bookmarkEnd w:id="111"/>
    <w:p w14:paraId="2F447A22">
      <w:pPr>
        <w:pStyle w:val="2"/>
        <w:spacing w:line="360" w:lineRule="auto"/>
        <w:ind w:left="0" w:leftChars="0" w:right="210"/>
        <w:rPr>
          <w:rFonts w:ascii="Microsoft New Tai Lue" w:hAnsi="Microsoft New Tai Lue" w:cs="Microsoft New Tai Lue"/>
          <w:color w:val="auto"/>
          <w:highlight w:val="none"/>
        </w:rPr>
      </w:pPr>
      <w:bookmarkStart w:id="112" w:name="_Toc103848541"/>
      <w:bookmarkStart w:id="113" w:name="_Toc107246232"/>
      <w:bookmarkStart w:id="114" w:name="_Toc100905218"/>
      <w:bookmarkStart w:id="115" w:name="_Toc96347873"/>
      <w:bookmarkStart w:id="116" w:name="_Toc104560855"/>
      <w:r>
        <w:rPr>
          <w:rFonts w:ascii="Microsoft New Tai Lue" w:hAnsi="Microsoft New Tai Lue" w:cs="Microsoft New Tai Lue"/>
          <w:color w:val="auto"/>
          <w:highlight w:val="none"/>
        </w:rPr>
        <w:t>17.招标文件的澄清或者修改</w:t>
      </w:r>
      <w:bookmarkEnd w:id="112"/>
      <w:bookmarkEnd w:id="113"/>
      <w:bookmarkEnd w:id="114"/>
      <w:bookmarkEnd w:id="115"/>
      <w:bookmarkEnd w:id="116"/>
    </w:p>
    <w:p w14:paraId="710E4982">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bookmarkStart w:id="117" w:name="_Toc100905219"/>
      <w:r>
        <w:rPr>
          <w:rFonts w:ascii="Microsoft New Tai Lue" w:hAnsi="Microsoft New Tai Lue" w:cs="Microsoft New Tai Lue"/>
          <w:color w:val="auto"/>
          <w:szCs w:val="21"/>
          <w:highlight w:val="none"/>
        </w:rPr>
        <w:t>17.1采购方可以对已发出的招标文件进行必要的澄清或者修改</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澄清或者修改应当在原公告发布媒体上发布澄清公告</w:t>
      </w:r>
      <w:r>
        <w:rPr>
          <w:rFonts w:hint="eastAsia" w:ascii="Microsoft New Tai Lue" w:hAnsi="Microsoft New Tai Lue" w:cs="Microsoft New Tai Lue"/>
          <w:color w:val="auto"/>
          <w:szCs w:val="21"/>
          <w:highlight w:val="none"/>
        </w:rPr>
        <w:t>，</w:t>
      </w:r>
      <w:r>
        <w:rPr>
          <w:color w:val="auto"/>
          <w:szCs w:val="21"/>
          <w:highlight w:val="none"/>
        </w:rPr>
        <w:t>任何口头答复、通知无效</w:t>
      </w:r>
      <w:r>
        <w:rPr>
          <w:rFonts w:ascii="Microsoft New Tai Lue" w:hAnsi="Microsoft New Tai Lue" w:cs="Microsoft New Tai Lue"/>
          <w:color w:val="auto"/>
          <w:szCs w:val="21"/>
          <w:highlight w:val="none"/>
        </w:rPr>
        <w:t>。澄清或者修改的内容为招标文件的组成部分</w:t>
      </w:r>
      <w:r>
        <w:rPr>
          <w:color w:val="auto"/>
          <w:szCs w:val="21"/>
          <w:highlight w:val="none"/>
        </w:rPr>
        <w:t>并具有法律效力，</w:t>
      </w:r>
      <w:r>
        <w:rPr>
          <w:rFonts w:hint="eastAsia"/>
          <w:color w:val="auto"/>
          <w:szCs w:val="21"/>
          <w:highlight w:val="none"/>
        </w:rPr>
        <w:t>招标</w:t>
      </w:r>
      <w:r>
        <w:rPr>
          <w:color w:val="auto"/>
          <w:szCs w:val="21"/>
          <w:highlight w:val="none"/>
        </w:rPr>
        <w:t>文件、澄清或修改在同一内容表述上不一致的，以日期后者的为准。</w:t>
      </w:r>
    </w:p>
    <w:p w14:paraId="4C26F44A">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17.2澄清或者修改的内容可能影响投标文件编制的，采购方应当在投标截止时间至少15日前，以书面形式通知所有获取招标文件的潜在</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；不足15日的，采购方应当顺延提交投标文件的截止时间。</w:t>
      </w:r>
    </w:p>
    <w:p w14:paraId="09641E87">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17.3投标人应在提交投标文件截止时间前，关注原公告媒体有关本项目的更正公告，根据更正公告内容自行决定是否需要重新制作和提交投标文件，并承担由此产生的相应责任。</w:t>
      </w:r>
    </w:p>
    <w:bookmarkEnd w:id="117"/>
    <w:p w14:paraId="0D76A2A9">
      <w:pPr>
        <w:pStyle w:val="2"/>
        <w:spacing w:line="360" w:lineRule="auto"/>
        <w:ind w:left="0" w:leftChars="0" w:right="210"/>
        <w:rPr>
          <w:rFonts w:ascii="Microsoft New Tai Lue" w:hAnsi="Microsoft New Tai Lue" w:cs="Microsoft New Tai Lue"/>
          <w:color w:val="auto"/>
          <w:highlight w:val="none"/>
        </w:rPr>
      </w:pPr>
      <w:bookmarkStart w:id="118" w:name="_Toc91836558"/>
      <w:bookmarkStart w:id="119" w:name="_Toc107246233"/>
      <w:bookmarkStart w:id="120" w:name="_Toc104560856"/>
      <w:bookmarkStart w:id="121" w:name="_Toc80264708"/>
      <w:r>
        <w:rPr>
          <w:rFonts w:ascii="Microsoft New Tai Lue" w:hAnsi="Microsoft New Tai Lue" w:cs="Microsoft New Tai Lue"/>
          <w:color w:val="auto"/>
          <w:highlight w:val="none"/>
        </w:rPr>
        <w:t>三．投标文件</w:t>
      </w:r>
      <w:bookmarkEnd w:id="118"/>
      <w:bookmarkEnd w:id="119"/>
      <w:bookmarkEnd w:id="120"/>
    </w:p>
    <w:p w14:paraId="1B4AF6D4">
      <w:pPr>
        <w:pStyle w:val="2"/>
        <w:spacing w:line="360" w:lineRule="auto"/>
        <w:ind w:left="0" w:leftChars="0" w:right="210"/>
        <w:rPr>
          <w:rFonts w:ascii="Microsoft New Tai Lue" w:hAnsi="Microsoft New Tai Lue" w:cs="Microsoft New Tai Lue"/>
          <w:color w:val="auto"/>
          <w:highlight w:val="none"/>
        </w:rPr>
      </w:pPr>
      <w:bookmarkStart w:id="122" w:name="_Toc104560857"/>
      <w:bookmarkStart w:id="123" w:name="_Toc103848543"/>
      <w:bookmarkStart w:id="124" w:name="_Toc107246234"/>
      <w:bookmarkStart w:id="125" w:name="_Toc96347875"/>
      <w:bookmarkStart w:id="126" w:name="_Toc100905221"/>
      <w:r>
        <w:rPr>
          <w:rFonts w:ascii="Microsoft New Tai Lue" w:hAnsi="Microsoft New Tai Lue" w:cs="Microsoft New Tai Lue"/>
          <w:color w:val="auto"/>
          <w:highlight w:val="none"/>
        </w:rPr>
        <w:t>18.投标文件的组成</w:t>
      </w:r>
      <w:bookmarkEnd w:id="122"/>
      <w:bookmarkEnd w:id="123"/>
      <w:bookmarkEnd w:id="124"/>
    </w:p>
    <w:p w14:paraId="25EBD6CB">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18.1投标文件由</w:t>
      </w:r>
      <w:r>
        <w:rPr>
          <w:rFonts w:hint="eastAsia" w:ascii="Microsoft New Tai Lue" w:hAnsi="Microsoft New Tai Lue" w:cs="Microsoft New Tai Lue"/>
          <w:color w:val="auto"/>
          <w:szCs w:val="21"/>
          <w:highlight w:val="none"/>
        </w:rPr>
        <w:t>价格</w:t>
      </w:r>
      <w:r>
        <w:rPr>
          <w:rFonts w:ascii="Microsoft New Tai Lue" w:hAnsi="Microsoft New Tai Lue" w:cs="Microsoft New Tai Lue"/>
          <w:color w:val="auto"/>
          <w:szCs w:val="21"/>
          <w:highlight w:val="none"/>
        </w:rPr>
        <w:t>及商务部分、技术部分以及其他部分组成</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格式见招标文件第六章《</w:t>
      </w:r>
      <w:r>
        <w:rPr>
          <w:rFonts w:hint="eastAsia" w:ascii="Microsoft New Tai Lue" w:hAnsi="Microsoft New Tai Lue" w:cs="Microsoft New Tai Lue"/>
          <w:color w:val="auto"/>
          <w:szCs w:val="21"/>
          <w:highlight w:val="none"/>
        </w:rPr>
        <w:t>投标文件格式</w:t>
      </w: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rPr>
        <w:t>。</w:t>
      </w:r>
    </w:p>
    <w:p w14:paraId="639BF0ED">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18.2</w:t>
      </w:r>
      <w:r>
        <w:rPr>
          <w:rFonts w:ascii="Arial" w:hAnsi="宋体" w:cs="Arial"/>
          <w:b/>
          <w:color w:val="auto"/>
          <w:kern w:val="0"/>
          <w:sz w:val="22"/>
          <w:szCs w:val="22"/>
          <w:highlight w:val="none"/>
        </w:rPr>
        <w:t>投标文件</w:t>
      </w:r>
      <w:r>
        <w:rPr>
          <w:rFonts w:hint="eastAsia" w:ascii="Arial" w:hAnsi="宋体" w:cs="Arial"/>
          <w:b/>
          <w:color w:val="auto"/>
          <w:kern w:val="0"/>
          <w:sz w:val="22"/>
          <w:szCs w:val="22"/>
          <w:highlight w:val="none"/>
        </w:rPr>
        <w:t>的价格</w:t>
      </w:r>
      <w:r>
        <w:rPr>
          <w:rFonts w:ascii="Arial" w:hAnsi="宋体" w:cs="Arial"/>
          <w:b/>
          <w:color w:val="auto"/>
          <w:kern w:val="0"/>
          <w:sz w:val="22"/>
          <w:szCs w:val="22"/>
          <w:highlight w:val="none"/>
        </w:rPr>
        <w:t>及商务部分</w:t>
      </w:r>
      <w:r>
        <w:rPr>
          <w:rFonts w:hint="eastAsia" w:ascii="Arial" w:hAnsi="宋体" w:cs="Arial"/>
          <w:b/>
          <w:color w:val="auto"/>
          <w:kern w:val="0"/>
          <w:sz w:val="22"/>
          <w:szCs w:val="22"/>
          <w:highlight w:val="none"/>
        </w:rPr>
        <w:t>，包括但不限于下列文件：</w:t>
      </w:r>
    </w:p>
    <w:p w14:paraId="7076A35D">
      <w:pPr>
        <w:spacing w:line="360" w:lineRule="auto"/>
        <w:ind w:firstLine="315" w:firstLineChars="150"/>
        <w:jc w:val="left"/>
        <w:rPr>
          <w:color w:val="auto"/>
          <w:szCs w:val="21"/>
          <w:highlight w:val="none"/>
        </w:rPr>
      </w:pPr>
      <w:r>
        <w:rPr>
          <w:rFonts w:hint="eastAsia"/>
          <w:color w:val="auto"/>
          <w:szCs w:val="21"/>
          <w:highlight w:val="none"/>
        </w:rPr>
        <w:t>（1）投标函，格式见附件。</w:t>
      </w:r>
    </w:p>
    <w:p w14:paraId="12661CE0">
      <w:pPr>
        <w:spacing w:line="360" w:lineRule="auto"/>
        <w:ind w:firstLine="315" w:firstLineChars="150"/>
        <w:jc w:val="left"/>
        <w:rPr>
          <w:color w:val="auto"/>
          <w:szCs w:val="21"/>
          <w:highlight w:val="none"/>
        </w:rPr>
      </w:pPr>
      <w:r>
        <w:rPr>
          <w:rFonts w:hint="eastAsia"/>
          <w:color w:val="auto"/>
          <w:szCs w:val="21"/>
          <w:highlight w:val="none"/>
        </w:rPr>
        <w:t>（2）法定代表人（单位负责人）身份证明，格式见附件。</w:t>
      </w:r>
    </w:p>
    <w:p w14:paraId="726E7B0A">
      <w:pPr>
        <w:spacing w:line="360" w:lineRule="auto"/>
        <w:ind w:firstLine="315" w:firstLineChars="150"/>
        <w:jc w:val="left"/>
        <w:rPr>
          <w:color w:val="auto"/>
          <w:szCs w:val="21"/>
          <w:highlight w:val="none"/>
        </w:rPr>
      </w:pPr>
      <w:r>
        <w:rPr>
          <w:rFonts w:hint="eastAsia"/>
          <w:color w:val="auto"/>
          <w:szCs w:val="21"/>
          <w:highlight w:val="none"/>
        </w:rPr>
        <w:t>（3）法定代表人（单位负责人）授权委托书（适用于法人/非法人），格式见附件。</w:t>
      </w:r>
    </w:p>
    <w:p w14:paraId="13731B48">
      <w:pPr>
        <w:spacing w:line="360" w:lineRule="auto"/>
        <w:ind w:firstLine="315" w:firstLineChars="150"/>
        <w:jc w:val="left"/>
        <w:rPr>
          <w:color w:val="auto"/>
          <w:szCs w:val="21"/>
          <w:highlight w:val="none"/>
        </w:rPr>
      </w:pPr>
      <w:r>
        <w:rPr>
          <w:rFonts w:hint="eastAsia"/>
          <w:color w:val="auto"/>
          <w:szCs w:val="21"/>
          <w:highlight w:val="none"/>
        </w:rPr>
        <w:t>（4）开标一览表，格式见附件。</w:t>
      </w:r>
    </w:p>
    <w:p w14:paraId="41EA5B51">
      <w:pPr>
        <w:spacing w:line="360" w:lineRule="auto"/>
        <w:ind w:firstLine="315" w:firstLineChars="150"/>
        <w:jc w:val="left"/>
        <w:rPr>
          <w:color w:val="auto"/>
          <w:szCs w:val="21"/>
          <w:highlight w:val="none"/>
        </w:rPr>
      </w:pPr>
      <w:r>
        <w:rPr>
          <w:rFonts w:hint="eastAsia"/>
          <w:color w:val="auto"/>
          <w:szCs w:val="21"/>
          <w:highlight w:val="none"/>
        </w:rPr>
        <w:t>（5）分项报价表，格式见附件。</w:t>
      </w:r>
    </w:p>
    <w:p w14:paraId="56BE1B2D">
      <w:pPr>
        <w:spacing w:line="360" w:lineRule="auto"/>
        <w:ind w:firstLine="315" w:firstLineChars="150"/>
        <w:jc w:val="left"/>
        <w:rPr>
          <w:color w:val="auto"/>
          <w:szCs w:val="21"/>
          <w:highlight w:val="none"/>
        </w:rPr>
      </w:pPr>
      <w:r>
        <w:rPr>
          <w:rFonts w:hint="eastAsia"/>
          <w:color w:val="auto"/>
          <w:szCs w:val="21"/>
          <w:highlight w:val="none"/>
        </w:rPr>
        <w:t>（6）商务条款偏离表，格式见附件。</w:t>
      </w:r>
    </w:p>
    <w:p w14:paraId="562564A3">
      <w:pPr>
        <w:spacing w:line="360" w:lineRule="auto"/>
        <w:ind w:firstLine="315" w:firstLineChars="150"/>
        <w:jc w:val="left"/>
        <w:rPr>
          <w:color w:val="auto"/>
          <w:szCs w:val="21"/>
          <w:highlight w:val="none"/>
        </w:rPr>
      </w:pPr>
      <w:r>
        <w:rPr>
          <w:rFonts w:hint="eastAsia"/>
          <w:color w:val="auto"/>
          <w:szCs w:val="21"/>
          <w:highlight w:val="none"/>
        </w:rPr>
        <w:t>（7）供应商具备投标资格的证明文件：</w:t>
      </w:r>
    </w:p>
    <w:p w14:paraId="7392B281">
      <w:pPr>
        <w:spacing w:line="360" w:lineRule="auto"/>
        <w:ind w:firstLine="315" w:firstLineChars="150"/>
        <w:jc w:val="left"/>
        <w:rPr>
          <w:color w:val="auto"/>
          <w:szCs w:val="21"/>
          <w:highlight w:val="none"/>
        </w:rPr>
      </w:pPr>
      <w:r>
        <w:rPr>
          <w:rFonts w:hint="eastAsia"/>
          <w:color w:val="auto"/>
          <w:szCs w:val="21"/>
          <w:highlight w:val="none"/>
        </w:rPr>
        <w:t>（7-1-1）营业执照复印件或自然人的身份证明复印件（或具有同等法律效力的证照）。</w:t>
      </w:r>
    </w:p>
    <w:p w14:paraId="5DD6F147">
      <w:pPr>
        <w:spacing w:line="360" w:lineRule="auto"/>
        <w:ind w:firstLine="315" w:firstLineChars="150"/>
        <w:jc w:val="left"/>
        <w:rPr>
          <w:color w:val="auto"/>
          <w:szCs w:val="21"/>
          <w:highlight w:val="none"/>
        </w:rPr>
      </w:pPr>
      <w:r>
        <w:rPr>
          <w:rFonts w:hint="eastAsia"/>
          <w:color w:val="auto"/>
          <w:szCs w:val="21"/>
          <w:highlight w:val="none"/>
        </w:rPr>
        <w:t>（a）供应商为企业（包括合伙企业）的，应提供有效的“营业执照”。</w:t>
      </w:r>
    </w:p>
    <w:p w14:paraId="19F318B9">
      <w:pPr>
        <w:spacing w:line="360" w:lineRule="auto"/>
        <w:ind w:firstLine="315" w:firstLineChars="150"/>
        <w:jc w:val="left"/>
        <w:rPr>
          <w:color w:val="auto"/>
          <w:szCs w:val="21"/>
          <w:highlight w:val="none"/>
        </w:rPr>
      </w:pPr>
      <w:r>
        <w:rPr>
          <w:rFonts w:hint="eastAsia"/>
          <w:color w:val="auto"/>
          <w:szCs w:val="21"/>
          <w:highlight w:val="none"/>
        </w:rPr>
        <w:t>（b）供应商为事业单位的，应提供有效的“事业单位法人证书”。</w:t>
      </w:r>
    </w:p>
    <w:p w14:paraId="1E082236">
      <w:pPr>
        <w:spacing w:line="360" w:lineRule="auto"/>
        <w:ind w:firstLine="315" w:firstLineChars="150"/>
        <w:jc w:val="left"/>
        <w:rPr>
          <w:color w:val="auto"/>
          <w:szCs w:val="21"/>
          <w:highlight w:val="none"/>
        </w:rPr>
      </w:pPr>
      <w:r>
        <w:rPr>
          <w:rFonts w:hint="eastAsia"/>
          <w:color w:val="auto"/>
          <w:szCs w:val="21"/>
          <w:highlight w:val="none"/>
        </w:rPr>
        <w:t>（c）供应商是非企业机构的，应提供有效的“执业许可证”、“登记证书”等证明文件。</w:t>
      </w:r>
    </w:p>
    <w:p w14:paraId="39154384">
      <w:pPr>
        <w:spacing w:line="360" w:lineRule="auto"/>
        <w:ind w:firstLine="315" w:firstLineChars="150"/>
        <w:jc w:val="left"/>
        <w:rPr>
          <w:color w:val="auto"/>
          <w:szCs w:val="21"/>
          <w:highlight w:val="none"/>
        </w:rPr>
      </w:pPr>
      <w:r>
        <w:rPr>
          <w:rFonts w:hint="eastAsia"/>
          <w:color w:val="auto"/>
          <w:szCs w:val="21"/>
          <w:highlight w:val="none"/>
        </w:rPr>
        <w:t>（d）供应商是个体工商户的，应提供有效的“个体工商户营业执照”。</w:t>
      </w:r>
    </w:p>
    <w:p w14:paraId="7FCBE6E1">
      <w:pPr>
        <w:spacing w:line="360" w:lineRule="auto"/>
        <w:ind w:firstLine="315" w:firstLineChars="150"/>
        <w:jc w:val="left"/>
        <w:rPr>
          <w:color w:val="auto"/>
          <w:szCs w:val="21"/>
          <w:highlight w:val="none"/>
        </w:rPr>
      </w:pPr>
      <w:r>
        <w:rPr>
          <w:rFonts w:hint="eastAsia"/>
          <w:color w:val="auto"/>
          <w:szCs w:val="21"/>
          <w:highlight w:val="none"/>
        </w:rPr>
        <w:t>（e）供应商是自然人的，应提供有效的自然人身份证明。</w:t>
      </w:r>
    </w:p>
    <w:p w14:paraId="4C655454">
      <w:pPr>
        <w:spacing w:line="360" w:lineRule="auto"/>
        <w:ind w:firstLine="315" w:firstLineChars="150"/>
        <w:jc w:val="left"/>
        <w:rPr>
          <w:color w:val="auto"/>
          <w:szCs w:val="21"/>
          <w:highlight w:val="none"/>
        </w:rPr>
      </w:pPr>
      <w:r>
        <w:rPr>
          <w:rFonts w:hint="eastAsia"/>
          <w:color w:val="auto"/>
          <w:szCs w:val="21"/>
          <w:highlight w:val="none"/>
        </w:rPr>
        <w:t>（f）若本项目允许分支机构参加投标，则分支机构参加投标的，此处可提供该分支机构或其所属法人或其他组织的相应证明文件。</w:t>
      </w:r>
    </w:p>
    <w:p w14:paraId="6660E777">
      <w:pPr>
        <w:spacing w:line="360" w:lineRule="auto"/>
        <w:ind w:firstLine="315" w:firstLineChars="150"/>
        <w:jc w:val="left"/>
        <w:rPr>
          <w:color w:val="auto"/>
          <w:szCs w:val="21"/>
          <w:highlight w:val="none"/>
        </w:rPr>
      </w:pPr>
      <w:r>
        <w:rPr>
          <w:rFonts w:hint="eastAsia"/>
          <w:color w:val="auto"/>
          <w:szCs w:val="21"/>
          <w:highlight w:val="none"/>
        </w:rPr>
        <w:t>（7-1-2）工商变更登记文件（如需），如发生了单位名称等变更的，需提供工商变更登记文件。</w:t>
      </w:r>
    </w:p>
    <w:p w14:paraId="2E9CAEFA">
      <w:pPr>
        <w:spacing w:line="360" w:lineRule="auto"/>
        <w:ind w:firstLine="315" w:firstLineChars="150"/>
        <w:jc w:val="left"/>
        <w:rPr>
          <w:color w:val="auto"/>
          <w:szCs w:val="21"/>
          <w:highlight w:val="none"/>
        </w:rPr>
      </w:pPr>
      <w:r>
        <w:rPr>
          <w:rFonts w:hint="eastAsia"/>
          <w:color w:val="auto"/>
          <w:szCs w:val="21"/>
          <w:highlight w:val="none"/>
        </w:rPr>
        <w:t>（7-2）财务报表。</w:t>
      </w:r>
    </w:p>
    <w:p w14:paraId="4BF17221">
      <w:pPr>
        <w:spacing w:line="360" w:lineRule="auto"/>
        <w:ind w:firstLine="315" w:firstLineChars="150"/>
        <w:jc w:val="left"/>
        <w:rPr>
          <w:color w:val="auto"/>
          <w:szCs w:val="21"/>
          <w:highlight w:val="none"/>
        </w:rPr>
      </w:pPr>
      <w:r>
        <w:rPr>
          <w:rFonts w:hint="eastAsia"/>
          <w:color w:val="auto"/>
          <w:szCs w:val="21"/>
          <w:highlight w:val="none"/>
        </w:rPr>
        <w:t>（7-3）具有履行合同所必需的设备和专业技术能力的相关证明材料或承诺函，格式见附件。</w:t>
      </w:r>
    </w:p>
    <w:p w14:paraId="08B43681">
      <w:pPr>
        <w:spacing w:line="360" w:lineRule="auto"/>
        <w:ind w:firstLine="315" w:firstLineChars="150"/>
        <w:jc w:val="left"/>
        <w:rPr>
          <w:color w:val="auto"/>
          <w:szCs w:val="21"/>
          <w:highlight w:val="none"/>
        </w:rPr>
      </w:pPr>
      <w:r>
        <w:rPr>
          <w:rFonts w:hint="eastAsia"/>
          <w:color w:val="auto"/>
          <w:szCs w:val="21"/>
          <w:highlight w:val="none"/>
        </w:rPr>
        <w:t>（7-4）依法缴纳税收的相关材料。</w:t>
      </w:r>
    </w:p>
    <w:p w14:paraId="049BB687">
      <w:pPr>
        <w:spacing w:line="360" w:lineRule="auto"/>
        <w:ind w:firstLine="315" w:firstLineChars="150"/>
        <w:jc w:val="left"/>
        <w:rPr>
          <w:color w:val="auto"/>
          <w:szCs w:val="21"/>
          <w:highlight w:val="none"/>
        </w:rPr>
      </w:pPr>
      <w:r>
        <w:rPr>
          <w:rFonts w:hint="eastAsia"/>
          <w:color w:val="auto"/>
          <w:szCs w:val="21"/>
          <w:highlight w:val="none"/>
        </w:rPr>
        <w:t>（7-5）依法缴纳社会保障资金的相关材料。</w:t>
      </w:r>
    </w:p>
    <w:p w14:paraId="64B60D57">
      <w:pPr>
        <w:spacing w:line="360" w:lineRule="auto"/>
        <w:ind w:firstLine="315" w:firstLineChars="150"/>
        <w:jc w:val="left"/>
        <w:rPr>
          <w:color w:val="auto"/>
          <w:szCs w:val="21"/>
          <w:highlight w:val="none"/>
        </w:rPr>
      </w:pPr>
      <w:r>
        <w:rPr>
          <w:rFonts w:hint="eastAsia"/>
          <w:color w:val="auto"/>
          <w:szCs w:val="21"/>
          <w:highlight w:val="none"/>
        </w:rPr>
        <w:t>（7-6）参加政府采购活动前三年内，在经营活动中没有重大违法记录，格式见附件。</w:t>
      </w:r>
    </w:p>
    <w:p w14:paraId="372ABA91">
      <w:pPr>
        <w:spacing w:line="360" w:lineRule="auto"/>
        <w:ind w:firstLine="315" w:firstLineChars="150"/>
        <w:jc w:val="left"/>
        <w:rPr>
          <w:color w:val="auto"/>
          <w:szCs w:val="21"/>
          <w:highlight w:val="none"/>
        </w:rPr>
      </w:pPr>
      <w:r>
        <w:rPr>
          <w:rFonts w:hint="eastAsia"/>
          <w:color w:val="auto"/>
          <w:szCs w:val="21"/>
          <w:highlight w:val="none"/>
        </w:rPr>
        <w:t>（7-7）无不良信用记录承诺函（供应商自行查询适用），格式见附件。</w:t>
      </w:r>
    </w:p>
    <w:p w14:paraId="7D441F18">
      <w:pPr>
        <w:spacing w:line="360" w:lineRule="auto"/>
        <w:ind w:firstLine="315" w:firstLineChars="150"/>
        <w:jc w:val="left"/>
        <w:rPr>
          <w:color w:val="auto"/>
          <w:szCs w:val="21"/>
          <w:highlight w:val="none"/>
        </w:rPr>
      </w:pPr>
      <w:r>
        <w:rPr>
          <w:rFonts w:hint="eastAsia"/>
          <w:color w:val="auto"/>
          <w:szCs w:val="21"/>
          <w:highlight w:val="none"/>
        </w:rPr>
        <w:t>（7-8）招标文件要求的其它实质性资格资信证明文件。</w:t>
      </w:r>
    </w:p>
    <w:p w14:paraId="3969D46E">
      <w:pPr>
        <w:spacing w:line="360" w:lineRule="auto"/>
        <w:ind w:firstLine="315" w:firstLineChars="150"/>
        <w:jc w:val="left"/>
        <w:rPr>
          <w:color w:val="auto"/>
          <w:szCs w:val="21"/>
          <w:highlight w:val="none"/>
        </w:rPr>
      </w:pPr>
      <w:r>
        <w:rPr>
          <w:rFonts w:hint="eastAsia"/>
          <w:color w:val="auto"/>
          <w:szCs w:val="21"/>
          <w:highlight w:val="none"/>
        </w:rPr>
        <w:t>（8）公章授权书（如需），格式见附件。</w:t>
      </w:r>
    </w:p>
    <w:p w14:paraId="2EE4F7FA">
      <w:pPr>
        <w:spacing w:line="360" w:lineRule="auto"/>
        <w:ind w:firstLine="315" w:firstLineChars="150"/>
        <w:jc w:val="left"/>
        <w:rPr>
          <w:color w:val="auto"/>
          <w:szCs w:val="21"/>
          <w:highlight w:val="none"/>
        </w:rPr>
      </w:pPr>
      <w:r>
        <w:rPr>
          <w:rFonts w:hint="eastAsia"/>
          <w:color w:val="auto"/>
          <w:szCs w:val="21"/>
          <w:highlight w:val="none"/>
        </w:rPr>
        <w:t>（</w:t>
      </w:r>
      <w:r>
        <w:rPr>
          <w:rFonts w:hint="eastAsia"/>
          <w:color w:val="auto"/>
          <w:szCs w:val="21"/>
          <w:highlight w:val="none"/>
          <w:lang w:val="en-US" w:eastAsia="zh-CN"/>
        </w:rPr>
        <w:t>9</w:t>
      </w:r>
      <w:r>
        <w:rPr>
          <w:rFonts w:hint="eastAsia"/>
          <w:color w:val="auto"/>
          <w:szCs w:val="21"/>
          <w:highlight w:val="none"/>
        </w:rPr>
        <w:t>）工作业绩，格式见附件。</w:t>
      </w:r>
    </w:p>
    <w:p w14:paraId="66F49336">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18.3</w:t>
      </w:r>
      <w:r>
        <w:rPr>
          <w:rFonts w:ascii="Arial" w:hAnsi="宋体" w:cs="Arial"/>
          <w:b/>
          <w:color w:val="auto"/>
          <w:sz w:val="22"/>
          <w:szCs w:val="22"/>
          <w:highlight w:val="none"/>
          <w:lang w:val="zh-CN"/>
        </w:rPr>
        <w:t>投标文件</w:t>
      </w:r>
      <w:r>
        <w:rPr>
          <w:rFonts w:hint="eastAsia" w:ascii="Arial" w:hAnsi="宋体" w:cs="Arial"/>
          <w:b/>
          <w:color w:val="auto"/>
          <w:sz w:val="22"/>
          <w:szCs w:val="22"/>
          <w:highlight w:val="none"/>
          <w:lang w:val="zh-CN"/>
        </w:rPr>
        <w:t>的技术</w:t>
      </w:r>
      <w:r>
        <w:rPr>
          <w:rFonts w:ascii="Arial" w:hAnsi="宋体" w:cs="Arial"/>
          <w:b/>
          <w:color w:val="auto"/>
          <w:sz w:val="22"/>
          <w:szCs w:val="22"/>
          <w:highlight w:val="none"/>
          <w:lang w:val="zh-CN"/>
        </w:rPr>
        <w:t>部分</w:t>
      </w:r>
      <w:r>
        <w:rPr>
          <w:rFonts w:hint="eastAsia" w:ascii="Arial" w:hAnsi="宋体" w:cs="Arial"/>
          <w:b/>
          <w:color w:val="auto"/>
          <w:sz w:val="22"/>
          <w:szCs w:val="22"/>
          <w:highlight w:val="none"/>
          <w:lang w:val="zh-CN"/>
        </w:rPr>
        <w:t>，包括但不限于下</w:t>
      </w:r>
      <w:r>
        <w:rPr>
          <w:rFonts w:hint="eastAsia" w:ascii="Arial" w:hAnsi="Arial" w:cs="Arial"/>
          <w:b/>
          <w:color w:val="auto"/>
          <w:sz w:val="22"/>
          <w:szCs w:val="22"/>
          <w:highlight w:val="none"/>
          <w:lang w:val="zh-CN"/>
        </w:rPr>
        <w:t>列文件：</w:t>
      </w:r>
    </w:p>
    <w:p w14:paraId="4FC075C1">
      <w:pPr>
        <w:spacing w:line="360" w:lineRule="auto"/>
        <w:ind w:firstLine="315" w:firstLineChars="150"/>
        <w:jc w:val="left"/>
        <w:rPr>
          <w:color w:val="auto"/>
          <w:szCs w:val="21"/>
          <w:highlight w:val="none"/>
        </w:rPr>
      </w:pPr>
      <w:r>
        <w:rPr>
          <w:rFonts w:hint="eastAsia"/>
          <w:color w:val="auto"/>
          <w:szCs w:val="21"/>
          <w:highlight w:val="none"/>
        </w:rPr>
        <w:t>（1）技术条款偏离表，格式见附件。</w:t>
      </w:r>
    </w:p>
    <w:p w14:paraId="7E4EBAA0">
      <w:pPr>
        <w:spacing w:line="360" w:lineRule="auto"/>
        <w:ind w:firstLine="315" w:firstLineChars="150"/>
        <w:jc w:val="left"/>
        <w:rPr>
          <w:color w:val="auto"/>
          <w:szCs w:val="21"/>
          <w:highlight w:val="none"/>
        </w:rPr>
      </w:pPr>
      <w:r>
        <w:rPr>
          <w:rFonts w:hint="eastAsia"/>
          <w:color w:val="auto"/>
          <w:szCs w:val="21"/>
          <w:highlight w:val="none"/>
        </w:rPr>
        <w:t>（2）人员团队，格式见附件。</w:t>
      </w:r>
    </w:p>
    <w:p w14:paraId="3D386AEF">
      <w:pPr>
        <w:spacing w:line="360" w:lineRule="auto"/>
        <w:ind w:firstLine="315" w:firstLineChars="150"/>
        <w:jc w:val="left"/>
        <w:rPr>
          <w:color w:val="auto"/>
          <w:szCs w:val="21"/>
          <w:highlight w:val="none"/>
        </w:rPr>
      </w:pPr>
      <w:r>
        <w:rPr>
          <w:rFonts w:hint="eastAsia"/>
          <w:color w:val="auto"/>
          <w:szCs w:val="21"/>
          <w:highlight w:val="none"/>
        </w:rPr>
        <w:t>（3）工作场所，格式见附件。</w:t>
      </w:r>
    </w:p>
    <w:p w14:paraId="6DA7D48E">
      <w:pPr>
        <w:spacing w:line="360" w:lineRule="auto"/>
        <w:ind w:firstLine="315" w:firstLineChars="150"/>
        <w:jc w:val="left"/>
        <w:rPr>
          <w:color w:val="auto"/>
          <w:szCs w:val="21"/>
          <w:highlight w:val="none"/>
        </w:rPr>
      </w:pPr>
      <w:r>
        <w:rPr>
          <w:rFonts w:hint="eastAsia"/>
          <w:color w:val="auto"/>
          <w:szCs w:val="21"/>
          <w:highlight w:val="none"/>
        </w:rPr>
        <w:t>（4）抽样设备，格式见附件。</w:t>
      </w:r>
    </w:p>
    <w:p w14:paraId="4FEDA5D2">
      <w:pPr>
        <w:spacing w:line="360" w:lineRule="auto"/>
        <w:ind w:firstLine="315" w:firstLineChars="150"/>
        <w:jc w:val="left"/>
        <w:rPr>
          <w:color w:val="auto"/>
          <w:szCs w:val="21"/>
          <w:highlight w:val="none"/>
        </w:rPr>
      </w:pPr>
      <w:r>
        <w:rPr>
          <w:rFonts w:hint="eastAsia"/>
          <w:color w:val="auto"/>
          <w:szCs w:val="21"/>
          <w:highlight w:val="none"/>
        </w:rPr>
        <w:t>（5）检验设备，格式见附件。</w:t>
      </w:r>
    </w:p>
    <w:p w14:paraId="1CA7A8E0">
      <w:pPr>
        <w:spacing w:line="360" w:lineRule="auto"/>
        <w:ind w:firstLine="315" w:firstLineChars="150"/>
        <w:jc w:val="left"/>
        <w:rPr>
          <w:color w:val="auto"/>
          <w:szCs w:val="21"/>
          <w:highlight w:val="none"/>
        </w:rPr>
      </w:pPr>
      <w:r>
        <w:rPr>
          <w:rFonts w:hint="eastAsia"/>
          <w:color w:val="auto"/>
          <w:szCs w:val="21"/>
          <w:highlight w:val="none"/>
        </w:rPr>
        <w:t>（6）质量控制，格式见附件。</w:t>
      </w:r>
    </w:p>
    <w:p w14:paraId="5E96FAA4">
      <w:pPr>
        <w:spacing w:line="360" w:lineRule="auto"/>
        <w:ind w:firstLine="315" w:firstLineChars="150"/>
        <w:jc w:val="left"/>
        <w:rPr>
          <w:color w:val="auto"/>
          <w:szCs w:val="21"/>
          <w:highlight w:val="none"/>
        </w:rPr>
      </w:pPr>
      <w:r>
        <w:rPr>
          <w:rFonts w:hint="eastAsia"/>
          <w:color w:val="auto"/>
          <w:szCs w:val="21"/>
          <w:highlight w:val="none"/>
        </w:rPr>
        <w:t>（7）复检能力，格式见附件。</w:t>
      </w:r>
    </w:p>
    <w:p w14:paraId="6CCC7686">
      <w:pPr>
        <w:spacing w:line="360" w:lineRule="auto"/>
        <w:ind w:firstLine="315" w:firstLineChars="150"/>
        <w:jc w:val="left"/>
        <w:rPr>
          <w:color w:val="auto"/>
          <w:szCs w:val="21"/>
          <w:highlight w:val="none"/>
        </w:rPr>
      </w:pPr>
      <w:r>
        <w:rPr>
          <w:rFonts w:hint="eastAsia"/>
          <w:color w:val="auto"/>
          <w:szCs w:val="21"/>
          <w:highlight w:val="none"/>
        </w:rPr>
        <w:t>（8）合格备份样品再利用工作情况，格式见附件。</w:t>
      </w:r>
    </w:p>
    <w:p w14:paraId="03A89BA6">
      <w:pPr>
        <w:spacing w:line="360" w:lineRule="auto"/>
        <w:ind w:firstLine="315" w:firstLineChars="150"/>
        <w:jc w:val="left"/>
        <w:rPr>
          <w:rFonts w:hint="eastAsia"/>
          <w:color w:val="auto"/>
          <w:szCs w:val="21"/>
          <w:highlight w:val="none"/>
        </w:rPr>
      </w:pPr>
      <w:r>
        <w:rPr>
          <w:rFonts w:hint="eastAsia"/>
          <w:color w:val="auto"/>
          <w:szCs w:val="21"/>
          <w:highlight w:val="none"/>
        </w:rPr>
        <w:t>（9）管理制度与工作质量。</w:t>
      </w:r>
    </w:p>
    <w:p w14:paraId="46969D29">
      <w:pPr>
        <w:spacing w:line="360" w:lineRule="auto"/>
        <w:ind w:firstLine="315" w:firstLineChars="150"/>
        <w:jc w:val="left"/>
        <w:rPr>
          <w:rFonts w:hint="eastAsia"/>
          <w:color w:val="auto"/>
          <w:szCs w:val="21"/>
          <w:highlight w:val="none"/>
        </w:rPr>
      </w:pPr>
      <w:r>
        <w:rPr>
          <w:rFonts w:hint="eastAsia"/>
          <w:color w:val="auto"/>
          <w:szCs w:val="21"/>
          <w:highlight w:val="none"/>
        </w:rPr>
        <w:t>（9-1）管理制度，格式见附件。</w:t>
      </w:r>
    </w:p>
    <w:p w14:paraId="542D5FF9">
      <w:pPr>
        <w:spacing w:line="360" w:lineRule="auto"/>
        <w:ind w:firstLine="315" w:firstLineChars="150"/>
        <w:jc w:val="left"/>
        <w:rPr>
          <w:color w:val="auto"/>
          <w:szCs w:val="21"/>
          <w:highlight w:val="none"/>
        </w:rPr>
      </w:pPr>
      <w:r>
        <w:rPr>
          <w:rFonts w:hint="eastAsia"/>
          <w:color w:val="auto"/>
          <w:szCs w:val="21"/>
          <w:highlight w:val="none"/>
        </w:rPr>
        <w:t>（9-2）管理制度落实和工作执行情况。</w:t>
      </w:r>
    </w:p>
    <w:p w14:paraId="26533A67">
      <w:pPr>
        <w:spacing w:line="360" w:lineRule="auto"/>
        <w:ind w:firstLine="315" w:firstLineChars="150"/>
        <w:jc w:val="left"/>
        <w:rPr>
          <w:color w:val="auto"/>
          <w:szCs w:val="21"/>
          <w:highlight w:val="none"/>
        </w:rPr>
      </w:pPr>
      <w:r>
        <w:rPr>
          <w:rFonts w:hint="eastAsia"/>
          <w:color w:val="auto"/>
          <w:szCs w:val="21"/>
          <w:highlight w:val="none"/>
        </w:rPr>
        <w:t>（10）快速响应服务时效。</w:t>
      </w:r>
    </w:p>
    <w:p w14:paraId="7682D5C1">
      <w:pPr>
        <w:spacing w:line="360" w:lineRule="auto"/>
        <w:ind w:firstLine="315" w:firstLineChars="150"/>
        <w:jc w:val="left"/>
        <w:rPr>
          <w:color w:val="auto"/>
          <w:szCs w:val="21"/>
          <w:highlight w:val="none"/>
        </w:rPr>
      </w:pPr>
      <w:r>
        <w:rPr>
          <w:rFonts w:hint="eastAsia"/>
          <w:color w:val="auto"/>
          <w:szCs w:val="21"/>
          <w:highlight w:val="none"/>
        </w:rPr>
        <w:t>（11）实施方案。</w:t>
      </w:r>
    </w:p>
    <w:p w14:paraId="55299887">
      <w:pPr>
        <w:spacing w:line="360" w:lineRule="auto"/>
        <w:ind w:firstLine="315" w:firstLineChars="150"/>
        <w:jc w:val="left"/>
        <w:rPr>
          <w:color w:val="auto"/>
          <w:szCs w:val="21"/>
          <w:highlight w:val="none"/>
        </w:rPr>
      </w:pPr>
      <w:r>
        <w:rPr>
          <w:rFonts w:hint="eastAsia"/>
          <w:color w:val="auto"/>
          <w:szCs w:val="21"/>
          <w:highlight w:val="none"/>
        </w:rPr>
        <w:t>（12）突发事件应急处置预案。</w:t>
      </w:r>
    </w:p>
    <w:p w14:paraId="3334A5C5">
      <w:pPr>
        <w:spacing w:line="360" w:lineRule="auto"/>
        <w:ind w:firstLine="315" w:firstLineChars="150"/>
        <w:jc w:val="left"/>
        <w:rPr>
          <w:color w:val="auto"/>
          <w:szCs w:val="21"/>
          <w:highlight w:val="none"/>
        </w:rPr>
      </w:pPr>
      <w:r>
        <w:rPr>
          <w:rFonts w:hint="eastAsia"/>
          <w:color w:val="auto"/>
          <w:szCs w:val="21"/>
          <w:highlight w:val="none"/>
        </w:rPr>
        <w:t>（13）分析报告。</w:t>
      </w:r>
    </w:p>
    <w:p w14:paraId="05C84C37">
      <w:pPr>
        <w:adjustRightInd w:val="0"/>
        <w:snapToGrid w:val="0"/>
        <w:spacing w:before="120" w:beforeLines="50" w:line="360" w:lineRule="auto"/>
        <w:ind w:firstLine="422" w:firstLineChars="200"/>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18.4投标文件</w:t>
      </w:r>
      <w:r>
        <w:rPr>
          <w:rFonts w:hint="eastAsia" w:ascii="Microsoft New Tai Lue" w:hAnsi="Microsoft New Tai Lue" w:cs="Microsoft New Tai Lue"/>
          <w:b/>
          <w:color w:val="auto"/>
          <w:szCs w:val="21"/>
          <w:highlight w:val="none"/>
        </w:rPr>
        <w:t>的其他</w:t>
      </w:r>
      <w:r>
        <w:rPr>
          <w:rFonts w:ascii="Microsoft New Tai Lue" w:hAnsi="Microsoft New Tai Lue" w:cs="Microsoft New Tai Lue"/>
          <w:b/>
          <w:color w:val="auto"/>
          <w:szCs w:val="21"/>
          <w:highlight w:val="none"/>
        </w:rPr>
        <w:t>部分</w:t>
      </w:r>
    </w:p>
    <w:p w14:paraId="70207EB1">
      <w:pPr>
        <w:adjustRightInd w:val="0"/>
        <w:snapToGrid w:val="0"/>
        <w:spacing w:before="120" w:beforeLines="50"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18.4.1投标文件的其他部分由投标人根据编制投标文件需要提供的其他相关文件组成。</w:t>
      </w:r>
    </w:p>
    <w:p w14:paraId="29A94CA8">
      <w:pPr>
        <w:pStyle w:val="2"/>
        <w:spacing w:line="360" w:lineRule="auto"/>
        <w:ind w:left="0" w:leftChars="0" w:right="210"/>
        <w:rPr>
          <w:rFonts w:ascii="Segoe UI Symbol" w:hAnsi="Segoe UI Symbol" w:cs="Segoe UI Symbol"/>
          <w:color w:val="auto"/>
          <w:szCs w:val="21"/>
          <w:highlight w:val="none"/>
        </w:rPr>
      </w:pPr>
      <w:bookmarkStart w:id="127" w:name="_Toc107246235"/>
      <w:bookmarkStart w:id="128" w:name="_Toc104560858"/>
      <w:r>
        <w:rPr>
          <w:rFonts w:hint="eastAsia" w:ascii="Microsoft New Tai Lue" w:hAnsi="Microsoft New Tai Lue" w:cs="Microsoft New Tai Lue"/>
          <w:color w:val="auto"/>
          <w:highlight w:val="none"/>
        </w:rPr>
        <w:t>1</w:t>
      </w:r>
      <w:r>
        <w:rPr>
          <w:rFonts w:ascii="Microsoft New Tai Lue" w:hAnsi="Microsoft New Tai Lue" w:cs="Microsoft New Tai Lue"/>
          <w:color w:val="auto"/>
          <w:highlight w:val="none"/>
        </w:rPr>
        <w:t>9</w:t>
      </w:r>
      <w:r>
        <w:rPr>
          <w:rFonts w:hint="eastAsia" w:ascii="Microsoft New Tai Lue" w:hAnsi="Microsoft New Tai Lue" w:cs="Microsoft New Tai Lue"/>
          <w:color w:val="auto"/>
          <w:highlight w:val="none"/>
        </w:rPr>
        <w:t>.投标文件编制的原则</w:t>
      </w:r>
      <w:bookmarkEnd w:id="127"/>
    </w:p>
    <w:bookmarkEnd w:id="128"/>
    <w:p w14:paraId="5EEE825A">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19.1</w:t>
      </w:r>
      <w:r>
        <w:rPr>
          <w:rFonts w:hint="eastAsia"/>
          <w:color w:val="auto"/>
          <w:szCs w:val="21"/>
          <w:highlight w:val="none"/>
        </w:rPr>
        <w:t>投标人</w:t>
      </w:r>
      <w:r>
        <w:rPr>
          <w:color w:val="auto"/>
          <w:szCs w:val="21"/>
          <w:highlight w:val="none"/>
        </w:rPr>
        <w:t>应在认真阅读</w:t>
      </w:r>
      <w:r>
        <w:rPr>
          <w:rFonts w:hint="eastAsia"/>
          <w:color w:val="auto"/>
          <w:szCs w:val="21"/>
          <w:highlight w:val="none"/>
        </w:rPr>
        <w:t>招标</w:t>
      </w:r>
      <w:r>
        <w:rPr>
          <w:color w:val="auto"/>
          <w:szCs w:val="21"/>
          <w:highlight w:val="none"/>
        </w:rPr>
        <w:t>文件所有内容的基础上，按照</w:t>
      </w:r>
      <w:r>
        <w:rPr>
          <w:rFonts w:hint="eastAsia"/>
          <w:color w:val="auto"/>
          <w:szCs w:val="21"/>
          <w:highlight w:val="none"/>
        </w:rPr>
        <w:t>招标</w:t>
      </w:r>
      <w:r>
        <w:rPr>
          <w:color w:val="auto"/>
          <w:szCs w:val="21"/>
          <w:highlight w:val="none"/>
        </w:rPr>
        <w:t>文件的要求编制完整的</w:t>
      </w:r>
      <w:r>
        <w:rPr>
          <w:rFonts w:hint="eastAsia"/>
          <w:color w:val="auto"/>
          <w:szCs w:val="21"/>
          <w:highlight w:val="none"/>
        </w:rPr>
        <w:t>投标</w:t>
      </w:r>
      <w:r>
        <w:rPr>
          <w:color w:val="auto"/>
          <w:szCs w:val="21"/>
          <w:highlight w:val="none"/>
        </w:rPr>
        <w:t>文件。</w:t>
      </w:r>
      <w:r>
        <w:rPr>
          <w:rFonts w:hint="eastAsia"/>
          <w:color w:val="auto"/>
          <w:szCs w:val="21"/>
          <w:highlight w:val="none"/>
        </w:rPr>
        <w:t>招标</w:t>
      </w:r>
      <w:r>
        <w:rPr>
          <w:color w:val="auto"/>
          <w:szCs w:val="21"/>
          <w:highlight w:val="none"/>
        </w:rPr>
        <w:t>文件中对</w:t>
      </w:r>
      <w:r>
        <w:rPr>
          <w:rFonts w:hint="eastAsia"/>
          <w:color w:val="auto"/>
          <w:szCs w:val="21"/>
          <w:highlight w:val="none"/>
        </w:rPr>
        <w:t>投标</w:t>
      </w:r>
      <w:r>
        <w:rPr>
          <w:color w:val="auto"/>
          <w:szCs w:val="21"/>
          <w:highlight w:val="none"/>
        </w:rPr>
        <w:t>文件格式有要求的，</w:t>
      </w:r>
      <w:r>
        <w:rPr>
          <w:rFonts w:hint="eastAsia"/>
          <w:color w:val="auto"/>
          <w:szCs w:val="21"/>
          <w:highlight w:val="none"/>
        </w:rPr>
        <w:t>投标人</w:t>
      </w:r>
      <w:r>
        <w:rPr>
          <w:color w:val="auto"/>
          <w:szCs w:val="21"/>
          <w:highlight w:val="none"/>
        </w:rPr>
        <w:t>应按格式逐项填写内容。</w:t>
      </w:r>
    </w:p>
    <w:p w14:paraId="7F0B8ECF">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19.2</w:t>
      </w:r>
      <w:r>
        <w:rPr>
          <w:rFonts w:hint="eastAsia"/>
          <w:color w:val="auto"/>
          <w:szCs w:val="21"/>
          <w:highlight w:val="none"/>
        </w:rPr>
        <w:t>投标人</w:t>
      </w:r>
      <w:r>
        <w:rPr>
          <w:color w:val="auto"/>
          <w:szCs w:val="21"/>
          <w:highlight w:val="none"/>
        </w:rPr>
        <w:t>必须保证</w:t>
      </w:r>
      <w:r>
        <w:rPr>
          <w:rFonts w:hint="eastAsia"/>
          <w:color w:val="auto"/>
          <w:szCs w:val="21"/>
          <w:highlight w:val="none"/>
        </w:rPr>
        <w:t>投标</w:t>
      </w:r>
      <w:r>
        <w:rPr>
          <w:color w:val="auto"/>
          <w:szCs w:val="21"/>
          <w:highlight w:val="none"/>
        </w:rPr>
        <w:t>文件所提供的全部资料真实可靠。</w:t>
      </w:r>
    </w:p>
    <w:p w14:paraId="79728C6A">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19.3</w:t>
      </w:r>
      <w:r>
        <w:rPr>
          <w:rFonts w:hint="eastAsia"/>
          <w:color w:val="auto"/>
          <w:szCs w:val="21"/>
          <w:highlight w:val="none"/>
        </w:rPr>
        <w:t>投标</w:t>
      </w:r>
      <w:r>
        <w:rPr>
          <w:color w:val="auto"/>
          <w:szCs w:val="21"/>
          <w:highlight w:val="none"/>
        </w:rPr>
        <w:t>文件须对</w:t>
      </w:r>
      <w:r>
        <w:rPr>
          <w:rFonts w:hint="eastAsia"/>
          <w:color w:val="auto"/>
          <w:szCs w:val="21"/>
          <w:highlight w:val="none"/>
        </w:rPr>
        <w:t>招标</w:t>
      </w:r>
      <w:r>
        <w:rPr>
          <w:color w:val="auto"/>
          <w:szCs w:val="21"/>
          <w:highlight w:val="none"/>
        </w:rPr>
        <w:t>文件中的内容做出实质性和完整的响应。</w:t>
      </w:r>
    </w:p>
    <w:p w14:paraId="3A81AA08">
      <w:pPr>
        <w:pStyle w:val="2"/>
        <w:spacing w:line="360" w:lineRule="auto"/>
        <w:ind w:left="0" w:leftChars="0" w:right="210"/>
        <w:rPr>
          <w:rFonts w:ascii="Segoe UI Symbol" w:hAnsi="Segoe UI Symbol" w:cs="Segoe UI Symbol"/>
          <w:color w:val="auto"/>
          <w:szCs w:val="21"/>
          <w:highlight w:val="none"/>
        </w:rPr>
      </w:pPr>
      <w:bookmarkStart w:id="129" w:name="_Toc107246236"/>
      <w:r>
        <w:rPr>
          <w:rFonts w:ascii="Microsoft New Tai Lue" w:hAnsi="Microsoft New Tai Lue" w:cs="Microsoft New Tai Lue"/>
          <w:color w:val="auto"/>
          <w:highlight w:val="none"/>
        </w:rPr>
        <w:t>20</w:t>
      </w:r>
      <w:r>
        <w:rPr>
          <w:rFonts w:hint="eastAsia" w:ascii="Microsoft New Tai Lue" w:hAnsi="Microsoft New Tai Lue" w:cs="Microsoft New Tai Lue"/>
          <w:color w:val="auto"/>
          <w:highlight w:val="none"/>
        </w:rPr>
        <w:t>.投标报价</w:t>
      </w:r>
      <w:bookmarkEnd w:id="129"/>
    </w:p>
    <w:p w14:paraId="3ACB291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0" w:firstLineChars="200"/>
        <w:jc w:val="left"/>
        <w:rPr>
          <w:rFonts w:hint="default" w:ascii="Segoe UI Symbol" w:hAnsi="Segoe UI Symbol" w:eastAsia="宋体" w:cs="Segoe UI Symbol"/>
          <w:b w:val="0"/>
          <w:bCs/>
          <w:color w:val="auto"/>
          <w:szCs w:val="21"/>
          <w:highlight w:val="none"/>
          <w:lang w:val="en-US" w:eastAsia="zh-CN"/>
        </w:rPr>
      </w:pPr>
      <w:r>
        <w:rPr>
          <w:rFonts w:hint="eastAsia" w:ascii="Segoe UI Symbol" w:hAnsi="Segoe UI Symbol" w:cs="Segoe UI Symbol"/>
          <w:b w:val="0"/>
          <w:bCs/>
          <w:color w:val="auto"/>
          <w:szCs w:val="21"/>
          <w:highlight w:val="none"/>
          <w:lang w:val="en-US" w:eastAsia="zh-CN"/>
        </w:rPr>
        <w:t>20.1所有投标均以人民币报价，应包括国家规定的增值税税金。</w:t>
      </w:r>
    </w:p>
    <w:p w14:paraId="1B64C18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22" w:firstLineChars="200"/>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20.</w:t>
      </w:r>
      <w:r>
        <w:rPr>
          <w:rFonts w:hint="eastAsia" w:ascii="Microsoft New Tai Lue" w:hAnsi="Microsoft New Tai Lue" w:cs="Microsoft New Tai Lue"/>
          <w:b/>
          <w:bCs/>
          <w:color w:val="auto"/>
          <w:szCs w:val="21"/>
          <w:highlight w:val="none"/>
          <w:lang w:val="en-US" w:eastAsia="zh-CN"/>
        </w:rPr>
        <w:t>2</w:t>
      </w:r>
      <w:r>
        <w:rPr>
          <w:rFonts w:ascii="Microsoft New Tai Lue" w:hAnsi="Microsoft New Tai Lue" w:cs="Microsoft New Tai Lue"/>
          <w:b/>
          <w:color w:val="auto"/>
          <w:szCs w:val="21"/>
          <w:highlight w:val="none"/>
        </w:rPr>
        <w:t>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color w:val="auto"/>
          <w:szCs w:val="21"/>
          <w:highlight w:val="none"/>
        </w:rPr>
        <w:t>。</w:t>
      </w:r>
    </w:p>
    <w:p w14:paraId="03625DD3">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3</w:t>
      </w:r>
      <w:r>
        <w:rPr>
          <w:rFonts w:hint="eastAsia"/>
          <w:color w:val="auto"/>
          <w:szCs w:val="21"/>
          <w:highlight w:val="none"/>
        </w:rPr>
        <w:t>投标人</w:t>
      </w:r>
      <w:r>
        <w:rPr>
          <w:color w:val="auto"/>
          <w:szCs w:val="21"/>
          <w:highlight w:val="none"/>
        </w:rPr>
        <w:t>应按照本项目要求的内容，报出总价与分项明细报价。</w:t>
      </w:r>
      <w:r>
        <w:rPr>
          <w:rFonts w:hint="eastAsia"/>
          <w:color w:val="auto"/>
          <w:szCs w:val="21"/>
          <w:highlight w:val="none"/>
        </w:rPr>
        <w:t>投标</w:t>
      </w:r>
      <w:r>
        <w:rPr>
          <w:color w:val="auto"/>
          <w:szCs w:val="21"/>
          <w:highlight w:val="none"/>
        </w:rPr>
        <w:t>报价应包括为完成本项目所发生的一切费用和税费，包括代垫费用（差旅费、住宿费、通讯费等）、增值税及其他附加税等杂项支出在内的一切费用和税费，</w:t>
      </w:r>
      <w:r>
        <w:rPr>
          <w:rFonts w:hint="eastAsia"/>
          <w:color w:val="auto"/>
          <w:szCs w:val="21"/>
          <w:highlight w:val="none"/>
        </w:rPr>
        <w:t>除招标</w:t>
      </w:r>
      <w:r>
        <w:rPr>
          <w:color w:val="auto"/>
          <w:szCs w:val="21"/>
          <w:highlight w:val="none"/>
        </w:rPr>
        <w:t>文件规定外，采购人将不再支付报价以外的任何费用。</w:t>
      </w:r>
      <w:r>
        <w:rPr>
          <w:rFonts w:hint="eastAsia"/>
          <w:color w:val="auto"/>
          <w:szCs w:val="21"/>
          <w:highlight w:val="none"/>
        </w:rPr>
        <w:t>如发生漏缺、少项，都被视为投标人的让利行为。投标人</w:t>
      </w:r>
      <w:r>
        <w:rPr>
          <w:color w:val="auto"/>
          <w:szCs w:val="21"/>
          <w:highlight w:val="none"/>
        </w:rPr>
        <w:t>估算错误的风险一律由</w:t>
      </w:r>
      <w:r>
        <w:rPr>
          <w:rFonts w:hint="eastAsia"/>
          <w:color w:val="auto"/>
          <w:szCs w:val="21"/>
          <w:highlight w:val="none"/>
        </w:rPr>
        <w:t>投标人</w:t>
      </w:r>
      <w:r>
        <w:rPr>
          <w:color w:val="auto"/>
          <w:szCs w:val="21"/>
          <w:highlight w:val="none"/>
        </w:rPr>
        <w:t>自行承担</w:t>
      </w:r>
      <w:r>
        <w:rPr>
          <w:rFonts w:hint="eastAsia"/>
          <w:color w:val="auto"/>
          <w:szCs w:val="21"/>
          <w:highlight w:val="none"/>
        </w:rPr>
        <w:t>。</w:t>
      </w:r>
    </w:p>
    <w:p w14:paraId="6FB61714">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4</w:t>
      </w:r>
      <w:r>
        <w:rPr>
          <w:rFonts w:hint="eastAsia"/>
          <w:color w:val="auto"/>
          <w:szCs w:val="21"/>
          <w:highlight w:val="none"/>
        </w:rPr>
        <w:t>投标人</w:t>
      </w:r>
      <w:r>
        <w:rPr>
          <w:color w:val="auto"/>
          <w:szCs w:val="21"/>
          <w:highlight w:val="none"/>
        </w:rPr>
        <w:t>要按</w:t>
      </w:r>
      <w:r>
        <w:rPr>
          <w:rFonts w:hint="eastAsia"/>
          <w:color w:val="auto"/>
          <w:szCs w:val="21"/>
          <w:highlight w:val="none"/>
        </w:rPr>
        <w:t>开标</w:t>
      </w:r>
      <w:r>
        <w:rPr>
          <w:color w:val="auto"/>
          <w:szCs w:val="21"/>
          <w:highlight w:val="none"/>
        </w:rPr>
        <w:t>一览表、分项报价表的内容填写</w:t>
      </w:r>
      <w:r>
        <w:rPr>
          <w:rFonts w:hint="eastAsia"/>
          <w:color w:val="auto"/>
          <w:szCs w:val="21"/>
          <w:highlight w:val="none"/>
        </w:rPr>
        <w:t>投标</w:t>
      </w:r>
      <w:r>
        <w:rPr>
          <w:color w:val="auto"/>
          <w:szCs w:val="21"/>
          <w:highlight w:val="none"/>
        </w:rPr>
        <w:t>报价及其它事项，并由法定代表人（单位负责人）或授权代表签署。分项报价表的总价应和</w:t>
      </w:r>
      <w:r>
        <w:rPr>
          <w:rFonts w:hint="eastAsia"/>
          <w:color w:val="auto"/>
          <w:szCs w:val="21"/>
          <w:highlight w:val="none"/>
        </w:rPr>
        <w:t>开标</w:t>
      </w:r>
      <w:r>
        <w:rPr>
          <w:color w:val="auto"/>
          <w:szCs w:val="21"/>
          <w:highlight w:val="none"/>
        </w:rPr>
        <w:t>一览表的</w:t>
      </w:r>
      <w:r>
        <w:rPr>
          <w:rFonts w:hint="eastAsia"/>
          <w:color w:val="auto"/>
          <w:szCs w:val="21"/>
          <w:highlight w:val="none"/>
        </w:rPr>
        <w:t>投标</w:t>
      </w:r>
      <w:r>
        <w:rPr>
          <w:color w:val="auto"/>
          <w:szCs w:val="21"/>
          <w:highlight w:val="none"/>
        </w:rPr>
        <w:t>总价相一致，包括</w:t>
      </w:r>
      <w:r>
        <w:rPr>
          <w:rFonts w:hint="eastAsia"/>
          <w:color w:val="auto"/>
          <w:szCs w:val="21"/>
          <w:highlight w:val="none"/>
        </w:rPr>
        <w:t>投标人</w:t>
      </w:r>
      <w:r>
        <w:rPr>
          <w:color w:val="auto"/>
          <w:szCs w:val="21"/>
          <w:highlight w:val="none"/>
        </w:rPr>
        <w:t>为完成本项目所发生的一切费用相关的所有税费。如分项报价表的总价和</w:t>
      </w:r>
      <w:r>
        <w:rPr>
          <w:rFonts w:hint="eastAsia"/>
          <w:color w:val="auto"/>
          <w:szCs w:val="21"/>
          <w:highlight w:val="none"/>
        </w:rPr>
        <w:t>开标</w:t>
      </w:r>
      <w:r>
        <w:rPr>
          <w:color w:val="auto"/>
          <w:szCs w:val="21"/>
          <w:highlight w:val="none"/>
        </w:rPr>
        <w:t>一览表的</w:t>
      </w:r>
      <w:r>
        <w:rPr>
          <w:rFonts w:hint="eastAsia"/>
          <w:color w:val="auto"/>
          <w:szCs w:val="21"/>
          <w:highlight w:val="none"/>
        </w:rPr>
        <w:t>投标</w:t>
      </w:r>
      <w:r>
        <w:rPr>
          <w:color w:val="auto"/>
          <w:szCs w:val="21"/>
          <w:highlight w:val="none"/>
        </w:rPr>
        <w:t>总价不一致的，按照本须知规定的内容执行。</w:t>
      </w:r>
    </w:p>
    <w:p w14:paraId="37A059A5">
      <w:pPr>
        <w:adjustRightInd w:val="0"/>
        <w:snapToGrid w:val="0"/>
        <w:spacing w:before="120" w:beforeLines="50" w:line="360" w:lineRule="auto"/>
        <w:ind w:firstLine="420" w:firstLineChars="200"/>
        <w:rPr>
          <w:color w:val="auto"/>
          <w:szCs w:val="21"/>
          <w:highlight w:val="none"/>
        </w:rPr>
      </w:pPr>
      <w:r>
        <w:rPr>
          <w:rFonts w:ascii="Microsoft New Tai Lue" w:hAnsi="Microsoft New Tai Lue" w:cs="Microsoft New Tai Lue"/>
          <w:bCs/>
          <w:color w:val="auto"/>
          <w:szCs w:val="21"/>
          <w:highlight w:val="none"/>
        </w:rPr>
        <w:t>20.</w:t>
      </w:r>
      <w:r>
        <w:rPr>
          <w:rFonts w:hint="eastAsia" w:ascii="Microsoft New Tai Lue" w:hAnsi="Microsoft New Tai Lue" w:cs="Microsoft New Tai Lue"/>
          <w:bCs/>
          <w:color w:val="auto"/>
          <w:szCs w:val="21"/>
          <w:highlight w:val="none"/>
          <w:lang w:val="en-US" w:eastAsia="zh-CN"/>
        </w:rPr>
        <w:t>5</w:t>
      </w:r>
      <w:r>
        <w:rPr>
          <w:rFonts w:hint="eastAsia"/>
          <w:color w:val="auto"/>
          <w:szCs w:val="21"/>
          <w:highlight w:val="none"/>
        </w:rPr>
        <w:t>投标</w:t>
      </w:r>
      <w:r>
        <w:rPr>
          <w:color w:val="auto"/>
          <w:szCs w:val="21"/>
          <w:highlight w:val="none"/>
        </w:rPr>
        <w:t>报价的其他要求见</w:t>
      </w:r>
      <w:r>
        <w:rPr>
          <w:rFonts w:hint="eastAsia"/>
          <w:b/>
          <w:color w:val="auto"/>
          <w:szCs w:val="21"/>
          <w:highlight w:val="none"/>
        </w:rPr>
        <w:t>投标人</w:t>
      </w:r>
      <w:r>
        <w:rPr>
          <w:b/>
          <w:color w:val="auto"/>
          <w:szCs w:val="21"/>
          <w:highlight w:val="none"/>
        </w:rPr>
        <w:t>须知前附表</w:t>
      </w:r>
      <w:r>
        <w:rPr>
          <w:color w:val="auto"/>
          <w:szCs w:val="21"/>
          <w:highlight w:val="none"/>
        </w:rPr>
        <w:t>。</w:t>
      </w:r>
    </w:p>
    <w:bookmarkEnd w:id="125"/>
    <w:bookmarkEnd w:id="126"/>
    <w:p w14:paraId="1D9BE0B1">
      <w:pPr>
        <w:pStyle w:val="2"/>
        <w:spacing w:line="360" w:lineRule="auto"/>
        <w:ind w:left="0" w:leftChars="0" w:right="210"/>
        <w:rPr>
          <w:rFonts w:ascii="Microsoft New Tai Lue" w:hAnsi="Microsoft New Tai Lue" w:cs="Microsoft New Tai Lue"/>
          <w:color w:val="auto"/>
          <w:highlight w:val="none"/>
        </w:rPr>
      </w:pPr>
      <w:bookmarkStart w:id="130" w:name="_Toc103848545"/>
      <w:bookmarkStart w:id="131" w:name="_Toc107246237"/>
      <w:bookmarkStart w:id="132" w:name="_Toc104560859"/>
      <w:bookmarkStart w:id="133" w:name="_Toc100905224"/>
      <w:bookmarkStart w:id="134" w:name="_Toc100905223"/>
      <w:bookmarkStart w:id="135" w:name="_Toc96347878"/>
      <w:bookmarkStart w:id="136" w:name="_Toc103848544"/>
      <w:r>
        <w:rPr>
          <w:rFonts w:ascii="Microsoft New Tai Lue" w:hAnsi="Microsoft New Tai Lue" w:cs="Microsoft New Tai Lue"/>
          <w:color w:val="auto"/>
          <w:highlight w:val="none"/>
        </w:rPr>
        <w:t>21.投标有效期</w:t>
      </w:r>
      <w:bookmarkEnd w:id="130"/>
      <w:bookmarkEnd w:id="131"/>
      <w:bookmarkEnd w:id="132"/>
      <w:bookmarkEnd w:id="133"/>
    </w:p>
    <w:p w14:paraId="0007A04D">
      <w:pPr>
        <w:adjustRightInd w:val="0"/>
        <w:snapToGrid w:val="0"/>
        <w:spacing w:before="120"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21.1投标有效期见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，在此期间投标文件对投标人具有法律约束力，以保证采购人有足够的时间完成评标、定标以及签订合同。投标有效期从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规定的投标截止之日起计算。</w:t>
      </w:r>
      <w:r>
        <w:rPr>
          <w:rFonts w:ascii="Microsoft New Tai Lue" w:hAnsi="Microsoft New Tai Lue" w:cs="Microsoft New Tai Lue"/>
          <w:b/>
          <w:bCs/>
          <w:color w:val="auto"/>
          <w:szCs w:val="21"/>
          <w:highlight w:val="none"/>
        </w:rPr>
        <w:t>投标有效期不足的，在评标时将其视为无效投标。</w:t>
      </w:r>
    </w:p>
    <w:p w14:paraId="3F9D4DB7">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10BB319D">
      <w:pPr>
        <w:pStyle w:val="2"/>
        <w:spacing w:line="360" w:lineRule="auto"/>
        <w:ind w:left="0" w:leftChars="0" w:right="210"/>
        <w:rPr>
          <w:rFonts w:ascii="Microsoft New Tai Lue" w:hAnsi="Microsoft New Tai Lue" w:cs="Microsoft New Tai Lue"/>
          <w:color w:val="auto"/>
          <w:highlight w:val="none"/>
        </w:rPr>
      </w:pPr>
      <w:bookmarkStart w:id="137" w:name="_Toc104560860"/>
      <w:bookmarkStart w:id="138" w:name="_Toc107246238"/>
      <w:r>
        <w:rPr>
          <w:rFonts w:ascii="Microsoft New Tai Lue" w:hAnsi="Microsoft New Tai Lue" w:cs="Microsoft New Tai Lue"/>
          <w:color w:val="auto"/>
          <w:highlight w:val="none"/>
        </w:rPr>
        <w:t>22.投标保证金</w:t>
      </w:r>
      <w:bookmarkEnd w:id="134"/>
      <w:bookmarkEnd w:id="135"/>
      <w:bookmarkEnd w:id="136"/>
      <w:bookmarkEnd w:id="137"/>
      <w:bookmarkEnd w:id="138"/>
    </w:p>
    <w:p w14:paraId="786B03C3">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bookmarkStart w:id="139" w:name="_Toc68159552"/>
      <w:bookmarkStart w:id="140" w:name="_Toc420487862"/>
      <w:bookmarkStart w:id="141" w:name="_Toc519241651"/>
      <w:bookmarkStart w:id="142" w:name="_Toc96347879"/>
      <w:bookmarkStart w:id="143" w:name="_Toc420657357"/>
      <w:bookmarkStart w:id="144" w:name="_Toc466452044"/>
      <w:r>
        <w:rPr>
          <w:rFonts w:ascii="Microsoft New Tai Lue" w:hAnsi="Microsoft New Tai Lue" w:cs="Microsoft New Tai Lue"/>
          <w:bCs/>
          <w:color w:val="auto"/>
          <w:szCs w:val="21"/>
          <w:highlight w:val="none"/>
        </w:rPr>
        <w:t>22.1本项目是否交纳投标保证金见</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w:t>
      </w:r>
    </w:p>
    <w:p w14:paraId="3C7C44BB">
      <w:pPr>
        <w:adjustRightInd w:val="0"/>
        <w:snapToGrid w:val="0"/>
        <w:spacing w:before="120" w:beforeLines="50" w:line="360" w:lineRule="auto"/>
        <w:ind w:firstLine="422" w:firstLineChars="200"/>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22.2</w:t>
      </w:r>
      <w:r>
        <w:rPr>
          <w:rFonts w:hint="eastAsia" w:ascii="Microsoft New Tai Lue" w:hAnsi="Microsoft New Tai Lue" w:cs="Microsoft New Tai Lue"/>
          <w:bCs/>
          <w:color w:val="auto"/>
          <w:szCs w:val="21"/>
          <w:highlight w:val="none"/>
        </w:rPr>
        <w:t>投标人按照</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要求的</w:t>
      </w:r>
      <w:r>
        <w:rPr>
          <w:rFonts w:ascii="Microsoft New Tai Lue" w:hAnsi="Microsoft New Tai Lue" w:cs="Microsoft New Tai Lue"/>
          <w:bCs/>
          <w:color w:val="auto"/>
          <w:szCs w:val="21"/>
          <w:highlight w:val="none"/>
        </w:rPr>
        <w:t>形式，在</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规定的投标截止时间前，向采购方提交</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规定的投标保证金(数额采用四舍五入，计算至元)。投标保证金有效期应与</w:t>
      </w:r>
      <w:r>
        <w:rPr>
          <w:rFonts w:ascii="Microsoft New Tai Lue" w:hAnsi="Microsoft New Tai Lue" w:cs="Microsoft New Tai Lue"/>
          <w:b/>
          <w:bCs/>
          <w:color w:val="auto"/>
          <w:szCs w:val="21"/>
          <w:highlight w:val="none"/>
        </w:rPr>
        <w:t>投标人须知前附表</w:t>
      </w:r>
      <w:r>
        <w:rPr>
          <w:rFonts w:ascii="Microsoft New Tai Lue" w:hAnsi="Microsoft New Tai Lue" w:cs="Microsoft New Tai Lue"/>
          <w:bCs/>
          <w:color w:val="auto"/>
          <w:szCs w:val="21"/>
          <w:highlight w:val="none"/>
        </w:rPr>
        <w:t>规定的投标有效期一致。</w:t>
      </w:r>
      <w:r>
        <w:rPr>
          <w:rFonts w:hint="eastAsia" w:ascii="Segoe UI Symbol" w:hAnsi="Segoe UI Symbol" w:cs="Segoe UI Symbol"/>
          <w:b/>
          <w:color w:val="auto"/>
          <w:szCs w:val="21"/>
          <w:highlight w:val="none"/>
        </w:rPr>
        <w:t>投标人未按规定缴纳投标保证金的或</w:t>
      </w:r>
      <w:r>
        <w:rPr>
          <w:rFonts w:hint="eastAsia" w:ascii="Microsoft New Tai Lue" w:hAnsi="Microsoft New Tai Lue" w:cs="Microsoft New Tai Lue"/>
          <w:b/>
          <w:bCs/>
          <w:color w:val="auto"/>
          <w:szCs w:val="21"/>
          <w:highlight w:val="none"/>
        </w:rPr>
        <w:t>由于到账时间晚于投标截止时间的，或者票据错误、印鉴不清等原因导致不能到账的，其投标无效。</w:t>
      </w:r>
    </w:p>
    <w:p w14:paraId="06657B33">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22.3联合体投标的，可以由联合体中的一方或者共同提交投标保证金。以一方名义提交投标保证金的，对联合体各方均具有约束力。</w:t>
      </w:r>
    </w:p>
    <w:p w14:paraId="7E340F04">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22.4未中标的投标人的投标保证金，将在中标通知书发出后5个工作日内退还，但因投标人自身原因导致无法及时退还的除外。</w:t>
      </w:r>
    </w:p>
    <w:p w14:paraId="2E311533">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22.5中标的投标人的投标保证金，将在政府采购合同签订后5个工作日内退还中标人。</w:t>
      </w:r>
    </w:p>
    <w:p w14:paraId="2C070C09">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22.6投标人有以下情形之一的，投标保证金可以不予退还：</w:t>
      </w:r>
    </w:p>
    <w:bookmarkEnd w:id="139"/>
    <w:bookmarkEnd w:id="140"/>
    <w:bookmarkEnd w:id="141"/>
    <w:bookmarkEnd w:id="142"/>
    <w:bookmarkEnd w:id="143"/>
    <w:bookmarkEnd w:id="144"/>
    <w:p w14:paraId="25658C30">
      <w:pPr>
        <w:spacing w:line="360" w:lineRule="auto"/>
        <w:ind w:firstLine="315" w:firstLineChars="150"/>
        <w:jc w:val="left"/>
        <w:rPr>
          <w:color w:val="auto"/>
          <w:szCs w:val="21"/>
          <w:highlight w:val="none"/>
        </w:rPr>
      </w:pPr>
      <w:bookmarkStart w:id="145" w:name="_Toc103848546"/>
      <w:bookmarkStart w:id="146" w:name="_Toc100905225"/>
      <w:bookmarkStart w:id="147" w:name="_Toc104560861"/>
      <w:bookmarkStart w:id="148" w:name="_Toc96347880"/>
      <w:r>
        <w:rPr>
          <w:color w:val="auto"/>
          <w:szCs w:val="21"/>
          <w:highlight w:val="none"/>
        </w:rPr>
        <w:t>（1）</w:t>
      </w:r>
      <w:r>
        <w:rPr>
          <w:rFonts w:hint="eastAsia"/>
          <w:color w:val="auto"/>
          <w:szCs w:val="21"/>
          <w:highlight w:val="none"/>
        </w:rPr>
        <w:t>投标人</w:t>
      </w:r>
      <w:r>
        <w:rPr>
          <w:color w:val="auto"/>
          <w:szCs w:val="21"/>
          <w:highlight w:val="none"/>
        </w:rPr>
        <w:t>在</w:t>
      </w:r>
      <w:r>
        <w:rPr>
          <w:rFonts w:hint="eastAsia"/>
          <w:color w:val="auto"/>
          <w:szCs w:val="21"/>
          <w:highlight w:val="none"/>
        </w:rPr>
        <w:t>招标</w:t>
      </w:r>
      <w:r>
        <w:rPr>
          <w:color w:val="auto"/>
          <w:szCs w:val="21"/>
          <w:highlight w:val="none"/>
        </w:rPr>
        <w:t>文件规定的</w:t>
      </w:r>
      <w:r>
        <w:rPr>
          <w:rFonts w:hint="eastAsia"/>
          <w:color w:val="auto"/>
          <w:szCs w:val="21"/>
          <w:highlight w:val="none"/>
        </w:rPr>
        <w:t>投标</w:t>
      </w:r>
      <w:r>
        <w:rPr>
          <w:color w:val="auto"/>
          <w:szCs w:val="21"/>
          <w:highlight w:val="none"/>
        </w:rPr>
        <w:t>有效期内撤销其</w:t>
      </w:r>
      <w:r>
        <w:rPr>
          <w:rFonts w:hint="eastAsia"/>
          <w:color w:val="auto"/>
          <w:szCs w:val="21"/>
          <w:highlight w:val="none"/>
        </w:rPr>
        <w:t>投标</w:t>
      </w:r>
      <w:r>
        <w:rPr>
          <w:color w:val="auto"/>
          <w:szCs w:val="21"/>
          <w:highlight w:val="none"/>
        </w:rPr>
        <w:t>文件；</w:t>
      </w:r>
    </w:p>
    <w:p w14:paraId="43BFDBE3">
      <w:pPr>
        <w:spacing w:line="360" w:lineRule="auto"/>
        <w:ind w:firstLine="315" w:firstLineChars="150"/>
        <w:jc w:val="left"/>
        <w:rPr>
          <w:color w:val="auto"/>
          <w:szCs w:val="21"/>
          <w:highlight w:val="none"/>
        </w:rPr>
      </w:pPr>
      <w:r>
        <w:rPr>
          <w:color w:val="auto"/>
          <w:szCs w:val="21"/>
          <w:highlight w:val="none"/>
        </w:rPr>
        <w:t>（2）</w:t>
      </w:r>
      <w:r>
        <w:rPr>
          <w:rFonts w:hint="eastAsia"/>
          <w:color w:val="auto"/>
          <w:szCs w:val="21"/>
          <w:highlight w:val="none"/>
        </w:rPr>
        <w:t>投标人在投标文件中提供</w:t>
      </w:r>
      <w:r>
        <w:rPr>
          <w:color w:val="auto"/>
          <w:szCs w:val="21"/>
          <w:highlight w:val="none"/>
        </w:rPr>
        <w:t>虚假材料</w:t>
      </w:r>
      <w:r>
        <w:rPr>
          <w:rFonts w:hint="eastAsia"/>
          <w:color w:val="auto"/>
          <w:szCs w:val="21"/>
          <w:highlight w:val="none"/>
        </w:rPr>
        <w:t>的</w:t>
      </w:r>
      <w:r>
        <w:rPr>
          <w:color w:val="auto"/>
          <w:szCs w:val="21"/>
          <w:highlight w:val="none"/>
        </w:rPr>
        <w:t>；</w:t>
      </w:r>
    </w:p>
    <w:p w14:paraId="32637420">
      <w:pPr>
        <w:spacing w:line="360" w:lineRule="auto"/>
        <w:ind w:firstLine="315" w:firstLineChars="150"/>
        <w:jc w:val="left"/>
        <w:rPr>
          <w:color w:val="auto"/>
          <w:szCs w:val="21"/>
          <w:highlight w:val="none"/>
        </w:rPr>
      </w:pPr>
      <w:r>
        <w:rPr>
          <w:rFonts w:hint="eastAsia"/>
          <w:color w:val="auto"/>
          <w:szCs w:val="21"/>
          <w:highlight w:val="none"/>
        </w:rPr>
        <w:t>（3）投标人在本次采购活动中存在</w:t>
      </w:r>
      <w:r>
        <w:rPr>
          <w:color w:val="auto"/>
          <w:szCs w:val="21"/>
          <w:highlight w:val="none"/>
        </w:rPr>
        <w:t>恶意串通</w:t>
      </w:r>
      <w:r>
        <w:rPr>
          <w:rFonts w:hint="eastAsia"/>
          <w:color w:val="auto"/>
          <w:szCs w:val="21"/>
          <w:highlight w:val="none"/>
        </w:rPr>
        <w:t>行为的</w:t>
      </w:r>
      <w:r>
        <w:rPr>
          <w:color w:val="auto"/>
          <w:szCs w:val="21"/>
          <w:highlight w:val="none"/>
        </w:rPr>
        <w:t>；</w:t>
      </w:r>
    </w:p>
    <w:p w14:paraId="2C6AAF3E">
      <w:pPr>
        <w:spacing w:line="360" w:lineRule="auto"/>
        <w:ind w:firstLine="315" w:firstLineChars="150"/>
        <w:jc w:val="left"/>
        <w:rPr>
          <w:color w:val="auto"/>
          <w:szCs w:val="21"/>
          <w:highlight w:val="none"/>
        </w:rPr>
      </w:pPr>
      <w:r>
        <w:rPr>
          <w:color w:val="auto"/>
          <w:szCs w:val="21"/>
          <w:highlight w:val="none"/>
        </w:rPr>
        <w:t>（4）</w:t>
      </w:r>
      <w:r>
        <w:rPr>
          <w:rFonts w:hint="eastAsia"/>
          <w:color w:val="auto"/>
          <w:szCs w:val="21"/>
          <w:highlight w:val="none"/>
        </w:rPr>
        <w:t>中标人</w:t>
      </w:r>
      <w:r>
        <w:rPr>
          <w:color w:val="auto"/>
          <w:szCs w:val="21"/>
          <w:highlight w:val="none"/>
        </w:rPr>
        <w:t>未能按规定交纳采购代理服务费；</w:t>
      </w:r>
    </w:p>
    <w:p w14:paraId="13D1992B">
      <w:pPr>
        <w:spacing w:line="360" w:lineRule="auto"/>
        <w:ind w:firstLine="315" w:firstLineChars="150"/>
        <w:jc w:val="left"/>
        <w:rPr>
          <w:color w:val="auto"/>
          <w:szCs w:val="21"/>
          <w:highlight w:val="none"/>
        </w:rPr>
      </w:pPr>
      <w:r>
        <w:rPr>
          <w:color w:val="auto"/>
          <w:szCs w:val="21"/>
          <w:highlight w:val="none"/>
        </w:rPr>
        <w:t>（5）</w:t>
      </w:r>
      <w:r>
        <w:rPr>
          <w:rFonts w:hint="eastAsia"/>
          <w:color w:val="auto"/>
          <w:szCs w:val="21"/>
          <w:highlight w:val="none"/>
        </w:rPr>
        <w:t>中标人</w:t>
      </w:r>
      <w:r>
        <w:rPr>
          <w:color w:val="auto"/>
          <w:szCs w:val="21"/>
          <w:highlight w:val="none"/>
        </w:rPr>
        <w:t>在收到</w:t>
      </w:r>
      <w:r>
        <w:rPr>
          <w:rFonts w:hint="eastAsia"/>
          <w:color w:val="auto"/>
          <w:szCs w:val="21"/>
          <w:highlight w:val="none"/>
        </w:rPr>
        <w:t>中标</w:t>
      </w:r>
      <w:r>
        <w:rPr>
          <w:color w:val="auto"/>
          <w:szCs w:val="21"/>
          <w:highlight w:val="none"/>
        </w:rPr>
        <w:t>通知书后，无正当理由不与采购人订立合同，在签订合同时向采购人提出附加条件，或者不按照</w:t>
      </w:r>
      <w:r>
        <w:rPr>
          <w:rFonts w:hint="eastAsia"/>
          <w:color w:val="auto"/>
          <w:szCs w:val="21"/>
          <w:highlight w:val="none"/>
        </w:rPr>
        <w:t>招标</w:t>
      </w:r>
      <w:r>
        <w:rPr>
          <w:color w:val="auto"/>
          <w:szCs w:val="21"/>
          <w:highlight w:val="none"/>
        </w:rPr>
        <w:t>文件要求提交履约保证金（如有）；</w:t>
      </w:r>
    </w:p>
    <w:p w14:paraId="6AEDD093">
      <w:pPr>
        <w:spacing w:line="360" w:lineRule="auto"/>
        <w:ind w:firstLine="315" w:firstLineChars="150"/>
        <w:jc w:val="left"/>
        <w:rPr>
          <w:color w:val="auto"/>
          <w:szCs w:val="21"/>
          <w:highlight w:val="none"/>
        </w:rPr>
      </w:pPr>
      <w:r>
        <w:rPr>
          <w:color w:val="auto"/>
          <w:szCs w:val="21"/>
          <w:highlight w:val="none"/>
        </w:rPr>
        <w:t>（6）</w:t>
      </w:r>
      <w:r>
        <w:rPr>
          <w:rFonts w:hint="eastAsia"/>
          <w:color w:val="auto"/>
          <w:szCs w:val="21"/>
          <w:highlight w:val="none"/>
        </w:rPr>
        <w:t>招标</w:t>
      </w:r>
      <w:r>
        <w:rPr>
          <w:color w:val="auto"/>
          <w:szCs w:val="21"/>
          <w:highlight w:val="none"/>
        </w:rPr>
        <w:t>文件规定的其他可以不予退还</w:t>
      </w:r>
      <w:r>
        <w:rPr>
          <w:rFonts w:hint="eastAsia"/>
          <w:color w:val="auto"/>
          <w:szCs w:val="21"/>
          <w:highlight w:val="none"/>
        </w:rPr>
        <w:t>投标</w:t>
      </w:r>
      <w:r>
        <w:rPr>
          <w:color w:val="auto"/>
          <w:szCs w:val="21"/>
          <w:highlight w:val="none"/>
        </w:rPr>
        <w:t>保证金的情形。</w:t>
      </w:r>
    </w:p>
    <w:p w14:paraId="40677BF5">
      <w:pPr>
        <w:pStyle w:val="2"/>
        <w:spacing w:line="360" w:lineRule="auto"/>
        <w:ind w:left="0" w:leftChars="0" w:right="210"/>
        <w:rPr>
          <w:rFonts w:ascii="Microsoft New Tai Lue" w:hAnsi="Microsoft New Tai Lue" w:cs="Microsoft New Tai Lue"/>
          <w:color w:val="auto"/>
          <w:highlight w:val="none"/>
        </w:rPr>
      </w:pPr>
      <w:bookmarkStart w:id="149" w:name="_Toc107246239"/>
      <w:r>
        <w:rPr>
          <w:rFonts w:ascii="Microsoft New Tai Lue" w:hAnsi="Microsoft New Tai Lue" w:cs="Microsoft New Tai Lue"/>
          <w:color w:val="auto"/>
          <w:highlight w:val="none"/>
        </w:rPr>
        <w:t>23.投标文件的</w:t>
      </w:r>
      <w:r>
        <w:rPr>
          <w:rFonts w:hint="eastAsia" w:ascii="Microsoft New Tai Lue" w:hAnsi="Microsoft New Tai Lue" w:cs="Microsoft New Tai Lue"/>
          <w:color w:val="auto"/>
          <w:highlight w:val="none"/>
        </w:rPr>
        <w:t>制作和</w:t>
      </w:r>
      <w:r>
        <w:rPr>
          <w:rFonts w:ascii="Microsoft New Tai Lue" w:hAnsi="Microsoft New Tai Lue" w:cs="Microsoft New Tai Lue"/>
          <w:color w:val="auto"/>
          <w:highlight w:val="none"/>
        </w:rPr>
        <w:t>签署</w:t>
      </w:r>
      <w:bookmarkEnd w:id="145"/>
      <w:bookmarkEnd w:id="146"/>
      <w:bookmarkEnd w:id="147"/>
      <w:bookmarkEnd w:id="148"/>
      <w:bookmarkEnd w:id="149"/>
    </w:p>
    <w:p w14:paraId="5D0B36DA">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23.1</w:t>
      </w:r>
      <w:r>
        <w:rPr>
          <w:rFonts w:hint="eastAsia" w:ascii="Microsoft New Tai Lue" w:hAnsi="Microsoft New Tai Lue" w:cs="Microsoft New Tai Lue"/>
          <w:bCs/>
          <w:color w:val="auto"/>
          <w:szCs w:val="21"/>
          <w:highlight w:val="none"/>
        </w:rPr>
        <w:t>投标人应当按照《操作手册》规定，在招标公告规定的投标截止时间前制作并上传电子投标文件。</w:t>
      </w:r>
      <w:r>
        <w:rPr>
          <w:rFonts w:hint="eastAsia" w:ascii="Microsoft New Tai Lue" w:hAnsi="Microsoft New Tai Lue" w:cs="Microsoft New Tai Lue"/>
          <w:bCs/>
          <w:color w:val="auto"/>
          <w:szCs w:val="21"/>
          <w:highlight w:val="none"/>
          <w:lang w:val="en-US" w:eastAsia="zh-CN"/>
        </w:rPr>
        <w:t>采购</w:t>
      </w:r>
      <w:r>
        <w:rPr>
          <w:rFonts w:hint="eastAsia" w:ascii="Microsoft New Tai Lue" w:hAnsi="Microsoft New Tai Lue" w:cs="Microsoft New Tai Lue"/>
          <w:bCs/>
          <w:color w:val="auto"/>
          <w:szCs w:val="21"/>
          <w:highlight w:val="none"/>
        </w:rPr>
        <w:t>代理机构拒绝接收提交投标文件截止时间后上传的任何电子投标文件</w:t>
      </w:r>
      <w:r>
        <w:rPr>
          <w:color w:val="auto"/>
          <w:szCs w:val="21"/>
          <w:highlight w:val="none"/>
        </w:rPr>
        <w:t>。</w:t>
      </w:r>
    </w:p>
    <w:p w14:paraId="124422AA">
      <w:pPr>
        <w:adjustRightInd w:val="0"/>
        <w:snapToGrid w:val="0"/>
        <w:spacing w:before="120" w:beforeLines="50" w:line="360" w:lineRule="auto"/>
        <w:ind w:firstLine="422" w:firstLineChars="200"/>
        <w:rPr>
          <w:rFonts w:ascii="Microsoft New Tai Lue" w:hAnsi="Microsoft New Tai Lue" w:cs="Microsoft New Tai Lue"/>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Cs/>
          <w:color w:val="auto"/>
          <w:szCs w:val="21"/>
          <w:highlight w:val="none"/>
        </w:rPr>
        <w:t>23.2</w:t>
      </w:r>
      <w:r>
        <w:rPr>
          <w:rFonts w:hint="eastAsia" w:ascii="Microsoft New Tai Lue" w:hAnsi="Microsoft New Tai Lue" w:cs="Microsoft New Tai Lue"/>
          <w:b/>
          <w:bCs w:val="0"/>
          <w:color w:val="auto"/>
          <w:szCs w:val="21"/>
          <w:highlight w:val="none"/>
        </w:rPr>
        <w:t>投标文件</w:t>
      </w:r>
      <w:r>
        <w:rPr>
          <w:rFonts w:ascii="Microsoft New Tai Lue" w:hAnsi="Microsoft New Tai Lue" w:cs="Microsoft New Tai Lue"/>
          <w:b/>
          <w:bCs/>
          <w:color w:val="auto"/>
          <w:szCs w:val="21"/>
          <w:highlight w:val="none"/>
        </w:rPr>
        <w:t>应加盖公章并由</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法定代表人</w:t>
      </w:r>
      <w:r>
        <w:rPr>
          <w:rFonts w:hint="eastAsia" w:ascii="Microsoft New Tai Lue" w:hAnsi="Microsoft New Tai Lue" w:cs="Microsoft New Tai Lue"/>
          <w:b/>
          <w:bCs/>
          <w:color w:val="auto"/>
          <w:szCs w:val="21"/>
          <w:highlight w:val="none"/>
        </w:rPr>
        <w:t>（单位</w:t>
      </w:r>
      <w:r>
        <w:rPr>
          <w:rFonts w:ascii="Microsoft New Tai Lue" w:hAnsi="Microsoft New Tai Lue" w:cs="Microsoft New Tai Lue"/>
          <w:b/>
          <w:bCs/>
          <w:color w:val="auto"/>
          <w:szCs w:val="21"/>
          <w:highlight w:val="none"/>
        </w:rPr>
        <w:t>负责人</w:t>
      </w:r>
      <w:r>
        <w:rPr>
          <w:rFonts w:hint="eastAsia" w:ascii="Microsoft New Tai Lue" w:hAnsi="Microsoft New Tai Lue" w:cs="Microsoft New Tai Lue"/>
          <w:b/>
          <w:bCs/>
          <w:color w:val="auto"/>
          <w:szCs w:val="21"/>
          <w:highlight w:val="none"/>
        </w:rPr>
        <w:t>）</w:t>
      </w:r>
      <w:r>
        <w:rPr>
          <w:rFonts w:ascii="Microsoft New Tai Lue" w:hAnsi="Microsoft New Tai Lue" w:cs="Microsoft New Tai Lue"/>
          <w:b/>
          <w:bCs/>
          <w:color w:val="auto"/>
          <w:szCs w:val="21"/>
          <w:highlight w:val="none"/>
        </w:rPr>
        <w:t>或其授权代表签字。授权代表须提供法定代表人以书面形式出具的</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
          <w:bCs/>
          <w:color w:val="auto"/>
          <w:szCs w:val="21"/>
          <w:highlight w:val="none"/>
        </w:rPr>
        <w:t>法定代表人授权书”（原件，由</w:t>
      </w:r>
      <w:r>
        <w:rPr>
          <w:rFonts w:hint="eastAsia" w:ascii="Microsoft New Tai Lue" w:hAnsi="Microsoft New Tai Lue" w:cs="Microsoft New Tai Lue"/>
          <w:b/>
          <w:bCs/>
          <w:color w:val="auto"/>
          <w:szCs w:val="21"/>
          <w:highlight w:val="none"/>
        </w:rPr>
        <w:t>法定代表人</w:t>
      </w:r>
      <w:r>
        <w:rPr>
          <w:rFonts w:ascii="Microsoft New Tai Lue" w:hAnsi="Microsoft New Tai Lue" w:cs="Microsoft New Tai Lue"/>
          <w:b/>
          <w:bCs/>
          <w:color w:val="auto"/>
          <w:szCs w:val="21"/>
          <w:highlight w:val="none"/>
        </w:rPr>
        <w:t>签章并加盖企业公章。）授权其负责本项目投标。</w:t>
      </w:r>
    </w:p>
    <w:p w14:paraId="5AF28296">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23.3投标文件规定盖章的地方，应盖单位公章（文件中的单位盖章、印章、公章等处均仅指与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名称全称相一致的标准公章</w:t>
      </w:r>
      <w:r>
        <w:rPr>
          <w:rFonts w:hint="eastAsia" w:ascii="Microsoft New Tai Lue" w:hAnsi="Microsoft New Tai Lue" w:cs="Microsoft New Tai Lue"/>
          <w:bCs/>
          <w:color w:val="auto"/>
          <w:szCs w:val="21"/>
          <w:highlight w:val="none"/>
        </w:rPr>
        <w:t>，如投标人为自然人可不加盖公章，仅由本人签字）。</w:t>
      </w:r>
    </w:p>
    <w:p w14:paraId="2488A27D">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w:t>
      </w:r>
      <w:r>
        <w:rPr>
          <w:rFonts w:ascii="Microsoft New Tai Lue" w:hAnsi="Microsoft New Tai Lue" w:cs="Microsoft New Tai Lue"/>
          <w:bCs/>
          <w:color w:val="auto"/>
          <w:szCs w:val="21"/>
          <w:highlight w:val="none"/>
        </w:rPr>
        <w:t>3.4如投标过程中投标人使用其他形式的印章（如电子印章、带有“专用章”等字样的印章），须提供</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公章授权书</w:t>
      </w:r>
      <w:r>
        <w:rPr>
          <w:rFonts w:hint="eastAsia" w:ascii="Microsoft New Tai Lue" w:hAnsi="Microsoft New Tai Lue" w:cs="Microsoft New Tai Lue"/>
          <w:bCs/>
          <w:color w:val="auto"/>
          <w:szCs w:val="21"/>
          <w:highlight w:val="none"/>
        </w:rPr>
        <w:t>”</w:t>
      </w:r>
      <w:r>
        <w:rPr>
          <w:color w:val="auto"/>
          <w:highlight w:val="none"/>
        </w:rPr>
        <w:t>（见附件）</w:t>
      </w:r>
      <w:r>
        <w:rPr>
          <w:rFonts w:ascii="Microsoft New Tai Lue" w:hAnsi="Microsoft New Tai Lue" w:cs="Microsoft New Tai Lue"/>
          <w:bCs/>
          <w:color w:val="auto"/>
          <w:szCs w:val="21"/>
          <w:highlight w:val="none"/>
        </w:rPr>
        <w:t>，明确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针对本次项目，该投标人电子印章或专用章作为直接参与投标时相关文件的签章，其效力等同于公章</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bCs/>
          <w:color w:val="auto"/>
          <w:szCs w:val="21"/>
          <w:highlight w:val="none"/>
        </w:rPr>
        <w:t>，特别说明函须同时加盖投标人公章及电子印章或专用章。</w:t>
      </w:r>
    </w:p>
    <w:p w14:paraId="28CE61C4">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23.5除</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auto"/>
          <w:szCs w:val="21"/>
          <w:highlight w:val="none"/>
        </w:rPr>
        <w:t>方有效</w:t>
      </w:r>
      <w:r>
        <w:rPr>
          <w:rFonts w:ascii="Microsoft New Tai Lue" w:hAnsi="Microsoft New Tai Lue" w:cs="Microsoft New Tai Lue"/>
          <w:bCs/>
          <w:color w:val="auto"/>
          <w:szCs w:val="21"/>
          <w:highlight w:val="none"/>
        </w:rPr>
        <w:t>。</w:t>
      </w:r>
    </w:p>
    <w:p w14:paraId="7F49B1CD">
      <w:pPr>
        <w:pStyle w:val="2"/>
        <w:spacing w:line="360" w:lineRule="auto"/>
        <w:ind w:left="0" w:leftChars="0" w:right="210"/>
        <w:rPr>
          <w:rFonts w:ascii="Microsoft New Tai Lue" w:hAnsi="Microsoft New Tai Lue" w:cs="Microsoft New Tai Lue"/>
          <w:color w:val="auto"/>
          <w:highlight w:val="none"/>
        </w:rPr>
      </w:pPr>
      <w:bookmarkStart w:id="150" w:name="_Toc107246240"/>
      <w:r>
        <w:rPr>
          <w:rFonts w:ascii="Microsoft New Tai Lue" w:hAnsi="Microsoft New Tai Lue" w:cs="Microsoft New Tai Lue"/>
          <w:color w:val="auto"/>
          <w:highlight w:val="none"/>
        </w:rPr>
        <w:t>四．投标文件的递交</w:t>
      </w:r>
      <w:bookmarkEnd w:id="150"/>
    </w:p>
    <w:p w14:paraId="4937035A">
      <w:pPr>
        <w:pStyle w:val="2"/>
        <w:spacing w:line="360" w:lineRule="auto"/>
        <w:ind w:left="0" w:leftChars="0" w:right="210"/>
        <w:rPr>
          <w:rFonts w:hint="eastAsia" w:ascii="Microsoft New Tai Lue" w:hAnsi="Microsoft New Tai Lue" w:eastAsia="宋体" w:cs="Microsoft New Tai Lue"/>
          <w:color w:val="auto"/>
          <w:highlight w:val="none"/>
          <w:lang w:val="en-US" w:eastAsia="zh-CN"/>
        </w:rPr>
      </w:pPr>
      <w:bookmarkStart w:id="151" w:name="_Toc107246241"/>
      <w:bookmarkStart w:id="152" w:name="_Toc104560863"/>
      <w:bookmarkStart w:id="153" w:name="_Toc103848548"/>
      <w:bookmarkStart w:id="154" w:name="_Toc100905226"/>
      <w:bookmarkStart w:id="155" w:name="_Toc96347881"/>
      <w:r>
        <w:rPr>
          <w:rFonts w:ascii="Microsoft New Tai Lue" w:hAnsi="Microsoft New Tai Lue" w:cs="Microsoft New Tai Lue"/>
          <w:color w:val="auto"/>
          <w:highlight w:val="none"/>
        </w:rPr>
        <w:t>24.投标文件的</w:t>
      </w:r>
      <w:bookmarkEnd w:id="151"/>
      <w:bookmarkEnd w:id="152"/>
      <w:bookmarkEnd w:id="153"/>
      <w:bookmarkEnd w:id="154"/>
      <w:bookmarkEnd w:id="155"/>
      <w:r>
        <w:rPr>
          <w:rFonts w:hint="eastAsia" w:ascii="Microsoft New Tai Lue" w:hAnsi="Microsoft New Tai Lue" w:cs="Microsoft New Tai Lue"/>
          <w:color w:val="auto"/>
          <w:highlight w:val="none"/>
          <w:lang w:val="en-US" w:eastAsia="zh-CN"/>
        </w:rPr>
        <w:t>递交</w:t>
      </w:r>
    </w:p>
    <w:p w14:paraId="002E7780">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bookmarkStart w:id="156" w:name="_Toc11952"/>
      <w:bookmarkStart w:id="157" w:name="_Toc4536"/>
      <w:bookmarkStart w:id="158" w:name="_Toc100905227"/>
      <w:bookmarkStart w:id="159" w:name="_Toc51928343"/>
      <w:bookmarkStart w:id="160" w:name="_Toc5042"/>
      <w:bookmarkStart w:id="161" w:name="_Toc38931800"/>
      <w:bookmarkStart w:id="162" w:name="_Toc50528805"/>
      <w:bookmarkStart w:id="163" w:name="_Toc97561941"/>
      <w:bookmarkStart w:id="164" w:name="_Toc48151397"/>
      <w:bookmarkStart w:id="165" w:name="_Toc103848549"/>
      <w:bookmarkStart w:id="166" w:name="_Toc46960670"/>
      <w:bookmarkStart w:id="167" w:name="_Toc38933357"/>
      <w:bookmarkStart w:id="168" w:name="_Toc96347882"/>
      <w:bookmarkStart w:id="169" w:name="_Toc40202948"/>
      <w:bookmarkStart w:id="170" w:name="_Toc469850063"/>
      <w:bookmarkStart w:id="171" w:name="_Toc11464"/>
      <w:bookmarkStart w:id="172" w:name="_Toc91399404"/>
      <w:bookmarkStart w:id="173" w:name="_Toc19963"/>
      <w:bookmarkStart w:id="174" w:name="_Toc89586904"/>
      <w:bookmarkStart w:id="175" w:name="_Toc38931614"/>
      <w:bookmarkStart w:id="176" w:name="_Toc46219699"/>
      <w:bookmarkStart w:id="177" w:name="_Toc46939510"/>
      <w:r>
        <w:rPr>
          <w:rFonts w:hint="eastAsia" w:ascii="Microsoft New Tai Lue" w:hAnsi="Microsoft New Tai Lue" w:cs="Microsoft New Tai Lue"/>
          <w:bCs/>
          <w:color w:val="auto"/>
          <w:szCs w:val="21"/>
          <w:highlight w:val="none"/>
        </w:rPr>
        <w:t>投标人应当按照《操作手册》规定，在招标公告规定的投标截止时间前制作并上传电子投标文件。招标代理机构拒绝接收提交投标文件截止时间后上传的任何电子投标文件。</w:t>
      </w:r>
      <w:bookmarkStart w:id="178" w:name="_Toc104560864"/>
    </w:p>
    <w:p w14:paraId="11AB2811">
      <w:pPr>
        <w:pStyle w:val="2"/>
        <w:spacing w:line="360" w:lineRule="auto"/>
        <w:ind w:left="0" w:leftChars="0" w:right="210"/>
        <w:rPr>
          <w:rFonts w:ascii="Microsoft New Tai Lue" w:hAnsi="Microsoft New Tai Lue" w:cs="Microsoft New Tai Lue"/>
          <w:color w:val="auto"/>
          <w:highlight w:val="none"/>
        </w:rPr>
      </w:pPr>
      <w:bookmarkStart w:id="179" w:name="_Toc107246242"/>
      <w:r>
        <w:rPr>
          <w:rFonts w:ascii="Microsoft New Tai Lue" w:hAnsi="Microsoft New Tai Lue" w:cs="Microsoft New Tai Lue"/>
          <w:color w:val="auto"/>
          <w:highlight w:val="none"/>
        </w:rPr>
        <w:t>25.</w:t>
      </w:r>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hint="eastAsia" w:ascii="Microsoft New Tai Lue" w:hAnsi="Microsoft New Tai Lue" w:cs="Microsoft New Tai Lue"/>
          <w:color w:val="auto"/>
          <w:highlight w:val="none"/>
        </w:rPr>
        <w:t>投标文件</w:t>
      </w:r>
      <w:r>
        <w:rPr>
          <w:rFonts w:hint="eastAsia" w:ascii="Microsoft New Tai Lue" w:hAnsi="Microsoft New Tai Lue" w:cs="Microsoft New Tai Lue"/>
          <w:color w:val="auto"/>
          <w:highlight w:val="none"/>
          <w:lang w:val="en-US" w:eastAsia="zh-CN"/>
        </w:rPr>
        <w:t>的</w:t>
      </w:r>
      <w:r>
        <w:rPr>
          <w:rFonts w:hint="eastAsia" w:ascii="Microsoft New Tai Lue" w:hAnsi="Microsoft New Tai Lue" w:cs="Microsoft New Tai Lue"/>
          <w:color w:val="auto"/>
          <w:highlight w:val="none"/>
        </w:rPr>
        <w:t>解密</w:t>
      </w:r>
      <w:bookmarkEnd w:id="179"/>
    </w:p>
    <w:p w14:paraId="3F410900">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bookmarkStart w:id="180" w:name="_Toc96347883"/>
      <w:r>
        <w:rPr>
          <w:rFonts w:hint="eastAsia" w:ascii="Microsoft New Tai Lue" w:hAnsi="Microsoft New Tai Lue" w:cs="Microsoft New Tai Lue"/>
          <w:bCs/>
          <w:color w:val="auto"/>
          <w:szCs w:val="21"/>
          <w:highlight w:val="none"/>
        </w:rPr>
        <w:t>25.1投标人应当按照《操作手册》规定，在“苏采云”系统规定的时间内对投标文件进行解密。</w:t>
      </w:r>
    </w:p>
    <w:p w14:paraId="4ACE2559">
      <w:pPr>
        <w:adjustRightInd w:val="0"/>
        <w:snapToGrid w:val="0"/>
        <w:spacing w:before="120" w:beforeLines="50" w:line="360" w:lineRule="auto"/>
        <w:ind w:firstLine="420" w:firstLineChars="200"/>
        <w:rPr>
          <w:rFonts w:ascii="Microsoft New Tai Lue" w:hAnsi="Microsoft New Tai Lue" w:cs="Microsoft New Tai Lue"/>
          <w:b/>
          <w:bCs/>
          <w:color w:val="auto"/>
          <w:szCs w:val="21"/>
          <w:highlight w:val="none"/>
        </w:rPr>
      </w:pPr>
      <w:r>
        <w:rPr>
          <w:rFonts w:hint="eastAsia" w:ascii="Microsoft New Tai Lue" w:hAnsi="Microsoft New Tai Lue" w:cs="Microsoft New Tai Lue"/>
          <w:bCs/>
          <w:color w:val="auto"/>
          <w:szCs w:val="21"/>
          <w:highlight w:val="none"/>
        </w:rPr>
        <w:t>25.2投标人应充分考虑网络环境、网络带宽等因素可能对投标产生的影响，如因投标人自身原因造成的电子投标文件解密不成功的，做无效投标处理。</w:t>
      </w:r>
    </w:p>
    <w:p w14:paraId="617BA9B6">
      <w:pPr>
        <w:pStyle w:val="2"/>
        <w:spacing w:line="360" w:lineRule="auto"/>
        <w:ind w:left="0" w:leftChars="0" w:right="210"/>
        <w:rPr>
          <w:rFonts w:ascii="Microsoft New Tai Lue" w:hAnsi="Microsoft New Tai Lue" w:cs="Microsoft New Tai Lue"/>
          <w:color w:val="auto"/>
          <w:highlight w:val="none"/>
        </w:rPr>
      </w:pPr>
      <w:bookmarkStart w:id="181" w:name="_Toc104560865"/>
      <w:bookmarkStart w:id="182" w:name="_Toc100905228"/>
      <w:bookmarkStart w:id="183" w:name="_Toc103848550"/>
      <w:bookmarkStart w:id="184" w:name="_Toc107246243"/>
      <w:r>
        <w:rPr>
          <w:rFonts w:ascii="Microsoft New Tai Lue" w:hAnsi="Microsoft New Tai Lue" w:cs="Microsoft New Tai Lue"/>
          <w:color w:val="auto"/>
          <w:highlight w:val="none"/>
        </w:rPr>
        <w:t>26.投标文件的修改和撤回</w:t>
      </w:r>
      <w:bookmarkEnd w:id="180"/>
      <w:bookmarkEnd w:id="181"/>
      <w:bookmarkEnd w:id="182"/>
      <w:bookmarkEnd w:id="183"/>
      <w:bookmarkEnd w:id="184"/>
    </w:p>
    <w:bookmarkEnd w:id="121"/>
    <w:p w14:paraId="602A97E9">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bookmarkStart w:id="185" w:name="_Toc80264714"/>
      <w:r>
        <w:rPr>
          <w:rFonts w:ascii="Microsoft New Tai Lue" w:hAnsi="Microsoft New Tai Lue" w:cs="Microsoft New Tai Lue"/>
          <w:bCs/>
          <w:color w:val="auto"/>
          <w:szCs w:val="21"/>
          <w:highlight w:val="none"/>
        </w:rPr>
        <w:t>26.1</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在递交投标文件后，可以修改或撤回其投标文件，但这种修改和撤回，必须在规定的投标截止时间前，以书面形式通知</w:t>
      </w:r>
      <w:r>
        <w:rPr>
          <w:rFonts w:hint="eastAsia" w:ascii="Microsoft New Tai Lue" w:hAnsi="Microsoft New Tai Lue" w:cs="Microsoft New Tai Lue"/>
          <w:bCs/>
          <w:color w:val="auto"/>
          <w:szCs w:val="21"/>
          <w:highlight w:val="none"/>
        </w:rPr>
        <w:t>采购方</w:t>
      </w:r>
      <w:r>
        <w:rPr>
          <w:rFonts w:ascii="Microsoft New Tai Lue" w:hAnsi="Microsoft New Tai Lue" w:cs="Microsoft New Tai Lue"/>
          <w:bCs/>
          <w:color w:val="auto"/>
          <w:szCs w:val="21"/>
          <w:highlight w:val="none"/>
        </w:rPr>
        <w:t>。</w:t>
      </w:r>
    </w:p>
    <w:p w14:paraId="5D12BBF4">
      <w:pPr>
        <w:spacing w:line="360" w:lineRule="auto"/>
        <w:ind w:firstLine="420" w:firstLineChars="200"/>
        <w:jc w:val="left"/>
        <w:rPr>
          <w:color w:val="auto"/>
          <w:szCs w:val="21"/>
          <w:highlight w:val="none"/>
        </w:rPr>
      </w:pPr>
      <w:r>
        <w:rPr>
          <w:rFonts w:ascii="Microsoft New Tai Lue" w:hAnsi="Microsoft New Tai Lue" w:cs="Microsoft New Tai Lue"/>
          <w:bCs/>
          <w:color w:val="auto"/>
          <w:szCs w:val="21"/>
          <w:highlight w:val="none"/>
        </w:rPr>
        <w:t>26.2</w:t>
      </w:r>
      <w:r>
        <w:rPr>
          <w:rFonts w:hint="eastAsia"/>
          <w:color w:val="auto"/>
          <w:szCs w:val="21"/>
          <w:highlight w:val="none"/>
        </w:rPr>
        <w:t>投标人</w:t>
      </w:r>
      <w:r>
        <w:rPr>
          <w:color w:val="auto"/>
          <w:szCs w:val="21"/>
          <w:highlight w:val="none"/>
        </w:rPr>
        <w:t>对</w:t>
      </w:r>
      <w:r>
        <w:rPr>
          <w:rFonts w:hint="eastAsia"/>
          <w:color w:val="auto"/>
          <w:szCs w:val="21"/>
          <w:highlight w:val="none"/>
        </w:rPr>
        <w:t>投标</w:t>
      </w:r>
      <w:r>
        <w:rPr>
          <w:color w:val="auto"/>
          <w:szCs w:val="21"/>
          <w:highlight w:val="none"/>
        </w:rPr>
        <w:t>文件的补充、修改的内容应当按照采购文件要求签署、盖章后，作为</w:t>
      </w:r>
      <w:r>
        <w:rPr>
          <w:rFonts w:hint="eastAsia"/>
          <w:color w:val="auto"/>
          <w:szCs w:val="21"/>
          <w:highlight w:val="none"/>
        </w:rPr>
        <w:t>投标</w:t>
      </w:r>
      <w:r>
        <w:rPr>
          <w:color w:val="auto"/>
          <w:szCs w:val="21"/>
          <w:highlight w:val="none"/>
        </w:rPr>
        <w:t>文件的组成部分。</w:t>
      </w:r>
    </w:p>
    <w:p w14:paraId="32C17893">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26.3 在投标截止时间之后，</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不得对其投标文件作任何修改。</w:t>
      </w:r>
    </w:p>
    <w:p w14:paraId="433B7FAF">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26.4 在投标截止时间至采购文件中规定的投标有效期满之间的这段时间内，</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不得撤回其投标。</w:t>
      </w:r>
    </w:p>
    <w:p w14:paraId="5C9E4612">
      <w:pPr>
        <w:pStyle w:val="2"/>
        <w:spacing w:line="360" w:lineRule="auto"/>
        <w:ind w:left="0" w:leftChars="0" w:right="210"/>
        <w:rPr>
          <w:rFonts w:ascii="Microsoft New Tai Lue" w:hAnsi="Microsoft New Tai Lue" w:cs="Microsoft New Tai Lue"/>
          <w:color w:val="auto"/>
          <w:highlight w:val="none"/>
        </w:rPr>
      </w:pPr>
      <w:bookmarkStart w:id="186" w:name="_Toc103848551"/>
      <w:bookmarkStart w:id="187" w:name="_Toc107246244"/>
      <w:bookmarkStart w:id="188" w:name="_Toc104560866"/>
      <w:r>
        <w:rPr>
          <w:rFonts w:ascii="Microsoft New Tai Lue" w:hAnsi="Microsoft New Tai Lue" w:cs="Microsoft New Tai Lue"/>
          <w:color w:val="auto"/>
          <w:highlight w:val="none"/>
        </w:rPr>
        <w:t>27.诚实信用</w:t>
      </w:r>
      <w:bookmarkEnd w:id="186"/>
      <w:bookmarkEnd w:id="187"/>
      <w:bookmarkEnd w:id="188"/>
    </w:p>
    <w:p w14:paraId="3EF31727">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27.1投标人应当遵循公平竞争的原则，不得恶意串通，不得妨碍其他投标人的竞争行为，不得损害采购人或者其他投标人的合法权益。</w:t>
      </w:r>
    </w:p>
    <w:p w14:paraId="0ECBFB41">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27.2在评标过程中发现投标人有上述情形的，评标委员会应当认定其投标无效，并书面报告本级财政部门。</w:t>
      </w:r>
    </w:p>
    <w:p w14:paraId="4272960C">
      <w:pPr>
        <w:pStyle w:val="2"/>
        <w:spacing w:line="360" w:lineRule="auto"/>
        <w:ind w:left="0" w:leftChars="0" w:right="210"/>
        <w:rPr>
          <w:rFonts w:ascii="Microsoft New Tai Lue" w:hAnsi="Microsoft New Tai Lue" w:cs="Microsoft New Tai Lue"/>
          <w:color w:val="auto"/>
          <w:highlight w:val="none"/>
        </w:rPr>
      </w:pPr>
      <w:bookmarkStart w:id="189" w:name="_Toc107246245"/>
      <w:r>
        <w:rPr>
          <w:rFonts w:ascii="Microsoft New Tai Lue" w:hAnsi="Microsoft New Tai Lue" w:cs="Microsoft New Tai Lue"/>
          <w:color w:val="auto"/>
          <w:highlight w:val="none"/>
        </w:rPr>
        <w:t>五．开标和评标</w:t>
      </w:r>
      <w:bookmarkEnd w:id="189"/>
      <w:bookmarkStart w:id="190" w:name="_Toc96347885"/>
    </w:p>
    <w:p w14:paraId="40F3355B">
      <w:pPr>
        <w:pStyle w:val="2"/>
        <w:spacing w:line="360" w:lineRule="auto"/>
        <w:ind w:left="0" w:leftChars="0" w:right="210"/>
        <w:rPr>
          <w:rFonts w:ascii="Microsoft New Tai Lue" w:hAnsi="Microsoft New Tai Lue" w:cs="Microsoft New Tai Lue"/>
          <w:color w:val="auto"/>
          <w:highlight w:val="none"/>
        </w:rPr>
      </w:pPr>
      <w:bookmarkStart w:id="191" w:name="_Toc103848553"/>
      <w:bookmarkStart w:id="192" w:name="_Toc100905230"/>
      <w:bookmarkStart w:id="193" w:name="_Toc107246246"/>
      <w:bookmarkStart w:id="194" w:name="_Toc104560868"/>
      <w:r>
        <w:rPr>
          <w:rFonts w:ascii="Microsoft New Tai Lue" w:hAnsi="Microsoft New Tai Lue" w:cs="Microsoft New Tai Lue"/>
          <w:color w:val="auto"/>
          <w:highlight w:val="none"/>
        </w:rPr>
        <w:t>28.开标</w:t>
      </w:r>
      <w:bookmarkEnd w:id="190"/>
      <w:bookmarkEnd w:id="191"/>
      <w:bookmarkEnd w:id="192"/>
      <w:bookmarkEnd w:id="193"/>
      <w:bookmarkEnd w:id="194"/>
    </w:p>
    <w:p w14:paraId="20652112">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bookmarkStart w:id="195" w:name="_Toc96347886"/>
      <w:r>
        <w:rPr>
          <w:rFonts w:hint="eastAsia" w:ascii="Microsoft New Tai Lue" w:hAnsi="Microsoft New Tai Lue" w:cs="Microsoft New Tai Lue"/>
          <w:bCs/>
          <w:color w:val="auto"/>
          <w:szCs w:val="21"/>
          <w:highlight w:val="none"/>
        </w:rPr>
        <w:t>28.1代理机构在招标公告中规定的时间和地点组织公开开标。投标人按照《操作手册》规定参加开标活动，并在“苏采云”系统规定的时间内对投标文件进行解密。“苏采云”系统公布各投标人名称和投标价格。</w:t>
      </w:r>
    </w:p>
    <w:p w14:paraId="520E2B11">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28.2 投标人在开标过程中涉及到的投标文件解密、开标结果确认等工作，应按照《操作手册》规定执行。</w:t>
      </w:r>
    </w:p>
    <w:p w14:paraId="18F07F7F">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28.3投标人不足3家的，不得开标。</w:t>
      </w:r>
    </w:p>
    <w:p w14:paraId="76B9935D">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28.4投标人如果对开标过程和开标结果有疑义，应当根据《操作手册》规定提出，“苏采云”系统中《开标记录表》公布后5分钟内未提出的，视同认可开标结果。</w:t>
      </w:r>
    </w:p>
    <w:p w14:paraId="41F4404E">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28.5公开招标数额标准以上的采购项目，投标截止后投标人不足3家或者通过资格审查或符合性审查的投标人不足3家的，除采购任务取消情形外，按照以下方式处理：</w:t>
      </w:r>
    </w:p>
    <w:p w14:paraId="04A4BBDB">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（1）招标文件存在不合理条款或者招标程序不符合规定的，采购人、采购代理机构改正后依法重新招标；</w:t>
      </w:r>
    </w:p>
    <w:p w14:paraId="7D76A570">
      <w:pPr>
        <w:adjustRightInd w:val="0"/>
        <w:snapToGrid w:val="0"/>
        <w:spacing w:before="120" w:beforeLines="50" w:line="360" w:lineRule="auto"/>
        <w:ind w:firstLine="420" w:firstLineChars="200"/>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（2）招标文件没有不合理条款、招标程序符合规定，需要采用其他采购方式采购的，采购人依法报财政部门批准，经批准后，可变更为其他采购方式采购。</w:t>
      </w:r>
    </w:p>
    <w:p w14:paraId="0B504E7E">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28.6投标人未参加开标的，视同认可开标结果。</w:t>
      </w:r>
      <w:bookmarkEnd w:id="195"/>
      <w:bookmarkStart w:id="196" w:name="_Toc100905231"/>
    </w:p>
    <w:p w14:paraId="22DFE22F">
      <w:pPr>
        <w:pStyle w:val="2"/>
        <w:spacing w:line="360" w:lineRule="auto"/>
        <w:ind w:left="0" w:leftChars="0" w:right="210"/>
        <w:rPr>
          <w:rFonts w:ascii="Microsoft New Tai Lue" w:hAnsi="Microsoft New Tai Lue" w:cs="Microsoft New Tai Lue"/>
          <w:color w:val="auto"/>
          <w:highlight w:val="none"/>
        </w:rPr>
      </w:pPr>
      <w:bookmarkStart w:id="197" w:name="_Toc107246247"/>
      <w:r>
        <w:rPr>
          <w:rFonts w:ascii="Microsoft New Tai Lue" w:hAnsi="Microsoft New Tai Lue" w:cs="Microsoft New Tai Lue"/>
          <w:color w:val="auto"/>
          <w:highlight w:val="none"/>
        </w:rPr>
        <w:t>29.</w:t>
      </w:r>
      <w:r>
        <w:rPr>
          <w:rFonts w:hint="eastAsia" w:ascii="Microsoft New Tai Lue" w:hAnsi="Microsoft New Tai Lue" w:cs="Microsoft New Tai Lue"/>
          <w:color w:val="auto"/>
          <w:highlight w:val="none"/>
        </w:rPr>
        <w:t>资格性审查</w:t>
      </w:r>
      <w:bookmarkEnd w:id="197"/>
    </w:p>
    <w:p w14:paraId="01F4F793">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bookmarkStart w:id="198" w:name="_Toc103848554"/>
      <w:bookmarkStart w:id="199" w:name="_Toc104560869"/>
      <w:r>
        <w:rPr>
          <w:rFonts w:ascii="Microsoft New Tai Lue" w:hAnsi="Microsoft New Tai Lue" w:cs="Microsoft New Tai Lue"/>
          <w:bCs/>
          <w:color w:val="auto"/>
          <w:szCs w:val="21"/>
          <w:highlight w:val="none"/>
        </w:rPr>
        <w:t>29.1投标文件的资格性检查。公开招标采购项目开标结束后，</w:t>
      </w:r>
      <w:r>
        <w:rPr>
          <w:rFonts w:hint="eastAsia" w:ascii="Microsoft New Tai Lue" w:hAnsi="Microsoft New Tai Lue" w:cs="Microsoft New Tai Lue"/>
          <w:bCs/>
          <w:color w:val="auto"/>
          <w:szCs w:val="21"/>
          <w:highlight w:val="none"/>
        </w:rPr>
        <w:t>采购人或采购代理机构</w:t>
      </w:r>
      <w:r>
        <w:rPr>
          <w:rFonts w:ascii="Microsoft New Tai Lue" w:hAnsi="Microsoft New Tai Lue" w:cs="Microsoft New Tai Lue"/>
          <w:bCs/>
          <w:color w:val="auto"/>
          <w:szCs w:val="21"/>
          <w:highlight w:val="none"/>
        </w:rPr>
        <w:t>应依法对投标人的资格进行审查。</w:t>
      </w:r>
      <w:r>
        <w:rPr>
          <w:rFonts w:hint="eastAsia" w:ascii="Microsoft New Tai Lue" w:hAnsi="Microsoft New Tai Lue" w:cs="Microsoft New Tai Lue"/>
          <w:bCs/>
          <w:color w:val="auto"/>
          <w:szCs w:val="21"/>
          <w:highlight w:val="none"/>
        </w:rPr>
        <w:t>资格审查合格的投标人不足3家的，不进行评标。</w:t>
      </w:r>
    </w:p>
    <w:p w14:paraId="2DCA755B">
      <w:pPr>
        <w:adjustRightInd w:val="0"/>
        <w:snapToGrid w:val="0"/>
        <w:spacing w:before="120"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29.2</w:t>
      </w:r>
      <w:r>
        <w:rPr>
          <w:rFonts w:ascii="Microsoft New Tai Lue" w:hAnsi="Microsoft New Tai Lue" w:cs="Microsoft New Tai Lue"/>
          <w:b/>
          <w:color w:val="auto"/>
          <w:szCs w:val="21"/>
          <w:highlight w:val="none"/>
        </w:rPr>
        <w:t>投标人不具备招标文件规定的投标人资格条件的</w:t>
      </w:r>
      <w:r>
        <w:rPr>
          <w:rFonts w:ascii="Microsoft New Tai Lue" w:hAnsi="Microsoft New Tai Lue" w:cs="Microsoft New Tai Lue"/>
          <w:b/>
          <w:bCs/>
          <w:color w:val="auto"/>
          <w:szCs w:val="21"/>
          <w:highlight w:val="none"/>
        </w:rPr>
        <w:t>，应在资格审查时按照无效投标处理</w:t>
      </w:r>
      <w:r>
        <w:rPr>
          <w:rFonts w:hint="eastAsia" w:ascii="Microsoft New Tai Lue" w:hAnsi="Microsoft New Tai Lue" w:cs="Microsoft New Tai Lue"/>
          <w:b/>
          <w:bCs/>
          <w:color w:val="auto"/>
          <w:szCs w:val="21"/>
          <w:highlight w:val="none"/>
        </w:rPr>
        <w:t>。</w:t>
      </w:r>
    </w:p>
    <w:p w14:paraId="4B04EB51">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29.3已经进行资格预审的，可以不再对</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资格进行审查，资格预审合格的</w:t>
      </w:r>
      <w:r>
        <w:rPr>
          <w:rFonts w:hint="eastAsia" w:ascii="Microsoft New Tai Lue" w:hAnsi="Microsoft New Tai Lue" w:cs="Microsoft New Tai Lue"/>
          <w:bCs/>
          <w:color w:val="auto"/>
          <w:szCs w:val="21"/>
          <w:highlight w:val="none"/>
        </w:rPr>
        <w:t>投标人</w:t>
      </w:r>
      <w:r>
        <w:rPr>
          <w:rFonts w:ascii="Microsoft New Tai Lue" w:hAnsi="Microsoft New Tai Lue" w:cs="Microsoft New Tai Lue"/>
          <w:bCs/>
          <w:color w:val="auto"/>
          <w:szCs w:val="21"/>
          <w:highlight w:val="none"/>
        </w:rPr>
        <w:t>在评</w:t>
      </w:r>
      <w:r>
        <w:rPr>
          <w:rFonts w:hint="eastAsia" w:ascii="Microsoft New Tai Lue" w:hAnsi="Microsoft New Tai Lue" w:cs="Microsoft New Tai Lue"/>
          <w:bCs/>
          <w:color w:val="auto"/>
          <w:szCs w:val="21"/>
          <w:highlight w:val="none"/>
        </w:rPr>
        <w:t>标</w:t>
      </w:r>
      <w:r>
        <w:rPr>
          <w:rFonts w:ascii="Microsoft New Tai Lue" w:hAnsi="Microsoft New Tai Lue" w:cs="Microsoft New Tai Lue"/>
          <w:bCs/>
          <w:color w:val="auto"/>
          <w:szCs w:val="21"/>
          <w:highlight w:val="none"/>
        </w:rPr>
        <w:t>阶段资格发生变化的，应当通知采购方。</w:t>
      </w:r>
    </w:p>
    <w:p w14:paraId="16C4694E">
      <w:pPr>
        <w:pStyle w:val="2"/>
        <w:spacing w:line="360" w:lineRule="auto"/>
        <w:ind w:left="0" w:leftChars="0" w:right="210"/>
        <w:rPr>
          <w:rFonts w:ascii="Microsoft New Tai Lue" w:hAnsi="Microsoft New Tai Lue" w:cs="Microsoft New Tai Lue"/>
          <w:color w:val="auto"/>
          <w:highlight w:val="none"/>
        </w:rPr>
      </w:pPr>
      <w:bookmarkStart w:id="200" w:name="_Toc107246248"/>
      <w:r>
        <w:rPr>
          <w:rFonts w:ascii="Microsoft New Tai Lue" w:hAnsi="Microsoft New Tai Lue" w:cs="Microsoft New Tai Lue"/>
          <w:color w:val="auto"/>
          <w:highlight w:val="none"/>
        </w:rPr>
        <w:t>30.评标</w:t>
      </w:r>
      <w:bookmarkEnd w:id="198"/>
      <w:bookmarkEnd w:id="199"/>
      <w:bookmarkEnd w:id="200"/>
    </w:p>
    <w:p w14:paraId="080897E0">
      <w:pPr>
        <w:pStyle w:val="2"/>
        <w:spacing w:line="360" w:lineRule="auto"/>
        <w:ind w:left="0" w:leftChars="0" w:right="210"/>
        <w:rPr>
          <w:rFonts w:ascii="Microsoft New Tai Lue" w:hAnsi="Microsoft New Tai Lue" w:cs="Microsoft New Tai Lue"/>
          <w:color w:val="auto"/>
          <w:highlight w:val="none"/>
        </w:rPr>
      </w:pPr>
      <w:bookmarkStart w:id="201" w:name="_Toc104560870"/>
      <w:bookmarkStart w:id="202" w:name="_Toc107246249"/>
      <w:bookmarkStart w:id="203" w:name="_Toc103848555"/>
      <w:r>
        <w:rPr>
          <w:rFonts w:ascii="Microsoft New Tai Lue" w:hAnsi="Microsoft New Tai Lue" w:cs="Microsoft New Tai Lue"/>
          <w:color w:val="auto"/>
          <w:highlight w:val="none"/>
        </w:rPr>
        <w:t>30.1评标委员会</w:t>
      </w:r>
      <w:bookmarkEnd w:id="201"/>
      <w:bookmarkEnd w:id="202"/>
      <w:bookmarkEnd w:id="203"/>
    </w:p>
    <w:p w14:paraId="4CB72B3D">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30.1.1评标委员会</w:t>
      </w:r>
      <w:r>
        <w:rPr>
          <w:rFonts w:hint="eastAsia" w:ascii="Microsoft New Tai Lue" w:hAnsi="Microsoft New Tai Lue" w:cs="Microsoft New Tai Lue"/>
          <w:bCs/>
          <w:color w:val="auto"/>
          <w:szCs w:val="21"/>
          <w:highlight w:val="none"/>
        </w:rPr>
        <w:t>成员组成</w:t>
      </w:r>
      <w:r>
        <w:rPr>
          <w:rFonts w:ascii="Microsoft New Tai Lue" w:hAnsi="Microsoft New Tai Lue" w:cs="Microsoft New Tai Lue"/>
          <w:bCs/>
          <w:color w:val="auto"/>
          <w:szCs w:val="21"/>
          <w:highlight w:val="none"/>
        </w:rPr>
        <w:t>见</w:t>
      </w:r>
      <w:r>
        <w:rPr>
          <w:rFonts w:ascii="Microsoft New Tai Lue" w:hAnsi="Microsoft New Tai Lue" w:cs="Microsoft New Tai Lue"/>
          <w:b/>
          <w:bCs/>
          <w:color w:val="auto"/>
          <w:szCs w:val="21"/>
          <w:highlight w:val="none"/>
        </w:rPr>
        <w:t>投标人须知前附表</w:t>
      </w:r>
      <w:r>
        <w:rPr>
          <w:rFonts w:hint="eastAsia" w:ascii="Microsoft New Tai Lue" w:hAnsi="Microsoft New Tai Lue" w:cs="Microsoft New Tai Lue"/>
          <w:bCs/>
          <w:color w:val="auto"/>
          <w:szCs w:val="21"/>
          <w:highlight w:val="none"/>
        </w:rPr>
        <w:t>，负责具体评标事务，并独立履行职责。</w:t>
      </w:r>
    </w:p>
    <w:p w14:paraId="2A02AC36">
      <w:pPr>
        <w:pStyle w:val="2"/>
        <w:spacing w:line="360" w:lineRule="auto"/>
        <w:ind w:left="0" w:leftChars="0" w:right="210"/>
        <w:rPr>
          <w:rFonts w:ascii="Microsoft New Tai Lue" w:hAnsi="Microsoft New Tai Lue" w:cs="Microsoft New Tai Lue"/>
          <w:color w:val="auto"/>
          <w:highlight w:val="none"/>
        </w:rPr>
      </w:pPr>
      <w:bookmarkStart w:id="204" w:name="_Toc104560871"/>
      <w:bookmarkStart w:id="205" w:name="_Toc103848556"/>
      <w:bookmarkStart w:id="206" w:name="_Toc107246250"/>
      <w:r>
        <w:rPr>
          <w:rFonts w:ascii="Microsoft New Tai Lue" w:hAnsi="Microsoft New Tai Lue" w:cs="Microsoft New Tai Lue"/>
          <w:color w:val="auto"/>
          <w:highlight w:val="none"/>
        </w:rPr>
        <w:t>30.2</w:t>
      </w:r>
      <w:bookmarkEnd w:id="204"/>
      <w:bookmarkEnd w:id="205"/>
      <w:r>
        <w:rPr>
          <w:rFonts w:hint="eastAsia" w:ascii="Microsoft New Tai Lue" w:hAnsi="Microsoft New Tai Lue" w:cs="Microsoft New Tai Lue"/>
          <w:color w:val="auto"/>
          <w:highlight w:val="none"/>
        </w:rPr>
        <w:t>符合性审查</w:t>
      </w:r>
      <w:bookmarkEnd w:id="206"/>
      <w:r>
        <w:rPr>
          <w:rFonts w:ascii="Microsoft New Tai Lue" w:hAnsi="Microsoft New Tai Lue" w:cs="Microsoft New Tai Lue"/>
          <w:color w:val="auto"/>
          <w:highlight w:val="none"/>
        </w:rPr>
        <w:t xml:space="preserve"> </w:t>
      </w:r>
    </w:p>
    <w:p w14:paraId="4395606B">
      <w:pPr>
        <w:adjustRightInd w:val="0"/>
        <w:snapToGrid w:val="0"/>
        <w:spacing w:before="120" w:beforeLines="50" w:line="360" w:lineRule="auto"/>
        <w:ind w:firstLine="420" w:firstLineChars="200"/>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54A0C9AD">
      <w:pPr>
        <w:adjustRightInd w:val="0"/>
        <w:snapToGrid w:val="0"/>
        <w:spacing w:before="120"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30.2.2如果投标文件没有响应</w:t>
      </w:r>
      <w:r>
        <w:rPr>
          <w:rFonts w:hint="eastAsia" w:ascii="Microsoft New Tai Lue" w:hAnsi="Microsoft New Tai Lue" w:cs="Microsoft New Tai Lue"/>
          <w:b/>
          <w:bCs/>
          <w:color w:val="auto"/>
          <w:szCs w:val="21"/>
          <w:highlight w:val="none"/>
        </w:rPr>
        <w:t>招标</w:t>
      </w:r>
      <w:r>
        <w:rPr>
          <w:rFonts w:ascii="Microsoft New Tai Lue" w:hAnsi="Microsoft New Tai Lue" w:cs="Microsoft New Tai Lue"/>
          <w:b/>
          <w:bCs/>
          <w:color w:val="auto"/>
          <w:szCs w:val="21"/>
          <w:highlight w:val="none"/>
        </w:rPr>
        <w:t>文件</w:t>
      </w:r>
      <w:r>
        <w:rPr>
          <w:rFonts w:hint="eastAsia" w:ascii="Microsoft New Tai Lue" w:hAnsi="Microsoft New Tai Lue" w:cs="Microsoft New Tai Lue"/>
          <w:b/>
          <w:bCs/>
          <w:color w:val="auto"/>
          <w:szCs w:val="21"/>
          <w:highlight w:val="none"/>
        </w:rPr>
        <w:t>实质性</w:t>
      </w:r>
      <w:r>
        <w:rPr>
          <w:rFonts w:ascii="Microsoft New Tai Lue" w:hAnsi="Microsoft New Tai Lue" w:cs="Microsoft New Tai Lue"/>
          <w:b/>
          <w:bCs/>
          <w:color w:val="auto"/>
          <w:szCs w:val="21"/>
          <w:highlight w:val="none"/>
        </w:rPr>
        <w:t>要求，</w:t>
      </w:r>
      <w:r>
        <w:rPr>
          <w:rFonts w:hint="eastAsia" w:ascii="Microsoft New Tai Lue" w:hAnsi="Microsoft New Tai Lue" w:cs="Microsoft New Tai Lue"/>
          <w:b/>
          <w:bCs/>
          <w:color w:val="auto"/>
          <w:szCs w:val="21"/>
          <w:highlight w:val="none"/>
        </w:rPr>
        <w:t>评标委员会</w:t>
      </w:r>
      <w:r>
        <w:rPr>
          <w:rFonts w:ascii="Microsoft New Tai Lue" w:hAnsi="Microsoft New Tai Lue" w:cs="Microsoft New Tai Lue"/>
          <w:b/>
          <w:bCs/>
          <w:color w:val="auto"/>
          <w:szCs w:val="21"/>
          <w:highlight w:val="none"/>
        </w:rPr>
        <w:t>将予以拒绝，</w:t>
      </w:r>
      <w:r>
        <w:rPr>
          <w:rFonts w:hint="eastAsia" w:ascii="Microsoft New Tai Lue" w:hAnsi="Microsoft New Tai Lue" w:cs="Microsoft New Tai Lue"/>
          <w:b/>
          <w:bCs/>
          <w:color w:val="auto"/>
          <w:szCs w:val="21"/>
          <w:highlight w:val="none"/>
        </w:rPr>
        <w:t>投标人</w:t>
      </w:r>
      <w:r>
        <w:rPr>
          <w:rFonts w:ascii="Microsoft New Tai Lue" w:hAnsi="Microsoft New Tai Lue" w:cs="Microsoft New Tai Lue"/>
          <w:b/>
          <w:bCs/>
          <w:color w:val="auto"/>
          <w:szCs w:val="21"/>
          <w:highlight w:val="none"/>
        </w:rPr>
        <w:t>不得通过修改或撤销不合要求的偏离或保留而使其投标成为实质性响应的投标。</w:t>
      </w:r>
    </w:p>
    <w:p w14:paraId="3765E5C3">
      <w:pPr>
        <w:adjustRightInd w:val="0"/>
        <w:snapToGrid w:val="0"/>
        <w:spacing w:before="120" w:beforeLines="50" w:line="360" w:lineRule="auto"/>
        <w:ind w:firstLine="422" w:firstLineChars="200"/>
        <w:rPr>
          <w:rFonts w:ascii="Microsoft New Tai Lue" w:hAnsi="Microsoft New Tai Lue" w:cs="Microsoft New Tai Lue"/>
          <w:b/>
          <w:bCs/>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bCs/>
          <w:color w:val="auto"/>
          <w:szCs w:val="21"/>
          <w:highlight w:val="none"/>
        </w:rPr>
        <w:t>30.2.3投标文件有下列情况之一的，在符合性检查时按照无效投标处理：</w:t>
      </w:r>
    </w:p>
    <w:p w14:paraId="07650AA5">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（1）投标人在“苏采云”系统规定的时间内未成功解密电子投标文件的；</w:t>
      </w:r>
    </w:p>
    <w:p w14:paraId="1CDA46CD">
      <w:pPr>
        <w:spacing w:line="360" w:lineRule="auto"/>
        <w:ind w:firstLine="315" w:firstLineChars="150"/>
        <w:jc w:val="left"/>
        <w:rPr>
          <w:rFonts w:ascii="Microsoft New Tai Lue" w:hAnsi="Microsoft New Tai Lue" w:cs="Microsoft New Tai Lue"/>
          <w:szCs w:val="21"/>
        </w:rPr>
      </w:pPr>
      <w:r>
        <w:rPr>
          <w:rFonts w:ascii="Microsoft New Tai Lue" w:hAnsi="Microsoft New Tai Lue" w:cs="Microsoft New Tai Lue"/>
          <w:szCs w:val="21"/>
        </w:rPr>
        <w:t>（2）投标人未按照招标文件要求上传电子投标文件的；</w:t>
      </w:r>
    </w:p>
    <w:p w14:paraId="32DB2EC8">
      <w:pPr>
        <w:spacing w:line="360" w:lineRule="auto"/>
        <w:ind w:firstLine="315" w:firstLineChars="150"/>
        <w:jc w:val="left"/>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szCs w:val="21"/>
        </w:rPr>
        <w:t>（3）同一投标人提交两个（含两个）以上不同的投标报价的</w:t>
      </w:r>
      <w:r>
        <w:rPr>
          <w:rFonts w:hint="eastAsia" w:ascii="Microsoft New Tai Lue" w:hAnsi="Microsoft New Tai Lue" w:cs="Microsoft New Tai Lue"/>
          <w:szCs w:val="21"/>
          <w:lang w:eastAsia="zh-CN"/>
        </w:rPr>
        <w:t>；</w:t>
      </w:r>
    </w:p>
    <w:p w14:paraId="5B2C439A">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4</w:t>
      </w:r>
      <w:r>
        <w:rPr>
          <w:rFonts w:ascii="Microsoft New Tai Lue" w:hAnsi="Microsoft New Tai Lue" w:cs="Microsoft New Tai Lue"/>
          <w:color w:val="auto"/>
          <w:szCs w:val="21"/>
          <w:highlight w:val="none"/>
        </w:rPr>
        <w:t>）未按照招标文件规定要求签署、盖章的；</w:t>
      </w:r>
    </w:p>
    <w:p w14:paraId="4C2A5C03">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5</w:t>
      </w:r>
      <w:r>
        <w:rPr>
          <w:rFonts w:ascii="Microsoft New Tai Lue" w:hAnsi="Microsoft New Tai Lue" w:cs="Microsoft New Tai Lue"/>
          <w:color w:val="auto"/>
          <w:szCs w:val="21"/>
          <w:highlight w:val="none"/>
        </w:rPr>
        <w:t>）报价超过招标文件中规定的预算金额或者最高限价的；</w:t>
      </w:r>
    </w:p>
    <w:p w14:paraId="1018BC9B">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6</w:t>
      </w:r>
      <w:r>
        <w:rPr>
          <w:rFonts w:hint="eastAsia" w:ascii="Microsoft New Tai Lue" w:hAnsi="Microsoft New Tai Lue" w:cs="Microsoft New Tai Lue"/>
          <w:color w:val="auto"/>
          <w:szCs w:val="21"/>
          <w:highlight w:val="none"/>
        </w:rPr>
        <w:t>）投标文件中承诺的投标有效期不满足招标文件中载明的投标有效期的；</w:t>
      </w:r>
    </w:p>
    <w:p w14:paraId="20082DCC">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7</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未按照招标文件规定提交投标保证金的；</w:t>
      </w:r>
    </w:p>
    <w:p w14:paraId="74D1BA61">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8</w:t>
      </w:r>
      <w:r>
        <w:rPr>
          <w:rFonts w:ascii="Microsoft New Tai Lue" w:hAnsi="Microsoft New Tai Lue" w:cs="Microsoft New Tai Lue"/>
          <w:color w:val="auto"/>
          <w:szCs w:val="21"/>
          <w:highlight w:val="none"/>
        </w:rPr>
        <w:t>）投标文件含有采购人不能接受的附加条件的；</w:t>
      </w:r>
    </w:p>
    <w:p w14:paraId="2CE82230">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9</w:t>
      </w:r>
      <w:r>
        <w:rPr>
          <w:rFonts w:ascii="Microsoft New Tai Lue" w:hAnsi="Microsoft New Tai Lue" w:cs="Microsoft New Tai Lue"/>
          <w:color w:val="auto"/>
          <w:szCs w:val="21"/>
          <w:highlight w:val="none"/>
        </w:rPr>
        <w:t>）投标文件不符合招标文件中规定的其它实质性要求的；</w:t>
      </w:r>
    </w:p>
    <w:p w14:paraId="60744428">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w:t>
      </w:r>
      <w:r>
        <w:rPr>
          <w:rFonts w:hint="eastAsia" w:ascii="Microsoft New Tai Lue" w:hAnsi="Microsoft New Tai Lue" w:cs="Microsoft New Tai Lue"/>
          <w:color w:val="auto"/>
          <w:szCs w:val="21"/>
          <w:highlight w:val="none"/>
          <w:lang w:val="en-US" w:eastAsia="zh-CN"/>
        </w:rPr>
        <w:t>10</w:t>
      </w:r>
      <w:r>
        <w:rPr>
          <w:rFonts w:ascii="Microsoft New Tai Lue" w:hAnsi="Microsoft New Tai Lue" w:cs="Microsoft New Tai Lue"/>
          <w:color w:val="auto"/>
          <w:szCs w:val="21"/>
          <w:highlight w:val="none"/>
        </w:rPr>
        <w:t>）现行法律、法规、规章和招标文件规定的其他无效情形。</w:t>
      </w:r>
    </w:p>
    <w:bookmarkEnd w:id="196"/>
    <w:p w14:paraId="67679FA0">
      <w:pPr>
        <w:pStyle w:val="2"/>
        <w:spacing w:line="360" w:lineRule="auto"/>
        <w:ind w:left="0" w:leftChars="0" w:right="210"/>
        <w:rPr>
          <w:rFonts w:ascii="Microsoft New Tai Lue" w:hAnsi="Microsoft New Tai Lue" w:cs="Microsoft New Tai Lue"/>
          <w:color w:val="auto"/>
          <w:highlight w:val="none"/>
        </w:rPr>
      </w:pPr>
      <w:bookmarkStart w:id="207" w:name="_Toc103848557"/>
      <w:bookmarkStart w:id="208" w:name="_Toc104560872"/>
      <w:bookmarkStart w:id="209" w:name="_Toc107246251"/>
      <w:r>
        <w:rPr>
          <w:rFonts w:ascii="Microsoft New Tai Lue" w:hAnsi="Microsoft New Tai Lue" w:cs="Microsoft New Tai Lue"/>
          <w:color w:val="auto"/>
          <w:highlight w:val="none"/>
        </w:rPr>
        <w:t>30.3投标文件澄清</w:t>
      </w:r>
      <w:bookmarkEnd w:id="207"/>
      <w:bookmarkEnd w:id="208"/>
      <w:bookmarkEnd w:id="209"/>
    </w:p>
    <w:p w14:paraId="0D63A8F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30.3.1对于投标文件中含义不明确、同类问题表述不一致或者有明显文字和计算错误的内容，评标委员会应当以书面形式要求投标人作出必要的澄清、说明或者补正。</w:t>
      </w:r>
    </w:p>
    <w:p w14:paraId="4355345D">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30.3.2投标人的澄清、说明或者补正应当采用书面形式，并加盖公章，或者由法定代表人或其授权的代表签字。投标人的澄清、说明或者补正不得超出投标文件的范围或者改变投标文件的实质性内容。</w:t>
      </w:r>
    </w:p>
    <w:p w14:paraId="36C6B591">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30.3.3评标委员会不接受投标人主动提出的澄清、说明。</w:t>
      </w:r>
    </w:p>
    <w:p w14:paraId="00305718">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30.3.4有效的书面澄清材料，是投标文件的补充材料，成为投标文件的组成部分。</w:t>
      </w:r>
    </w:p>
    <w:p w14:paraId="5989D7E8">
      <w:pPr>
        <w:pStyle w:val="2"/>
        <w:spacing w:line="360" w:lineRule="auto"/>
        <w:ind w:left="0" w:leftChars="0" w:right="210"/>
        <w:rPr>
          <w:rFonts w:ascii="Microsoft New Tai Lue" w:hAnsi="Microsoft New Tai Lue" w:cs="Microsoft New Tai Lue"/>
          <w:color w:val="auto"/>
          <w:highlight w:val="none"/>
        </w:rPr>
      </w:pPr>
      <w:bookmarkStart w:id="210" w:name="_Toc107246252"/>
      <w:r>
        <w:rPr>
          <w:rFonts w:ascii="Microsoft New Tai Lue" w:hAnsi="Microsoft New Tai Lue" w:cs="Microsoft New Tai Lue"/>
          <w:color w:val="auto"/>
          <w:highlight w:val="none"/>
        </w:rPr>
        <w:t>30.4</w:t>
      </w:r>
      <w:bookmarkEnd w:id="210"/>
      <w:r>
        <w:rPr>
          <w:rFonts w:hint="eastAsia" w:ascii="Microsoft New Tai Lue" w:hAnsi="Microsoft New Tai Lue" w:cs="Microsoft New Tai Lue"/>
          <w:color w:val="auto"/>
          <w:highlight w:val="none"/>
        </w:rPr>
        <w:t>报价修正</w:t>
      </w:r>
    </w:p>
    <w:p w14:paraId="182CD539">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30.4.1投标文件报价出现前后不一致的，除招标文件另有规定外，按照下列规定修正：</w:t>
      </w:r>
    </w:p>
    <w:p w14:paraId="0AFCA9D3">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（1）投标文件中开标一览表（报价表）内容与投标文件中相应内容不一致的，以开标一览表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报价表</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为准；</w:t>
      </w:r>
    </w:p>
    <w:p w14:paraId="1A0BCD62">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（2）大写金额和小写金额不一致的，以大写金额为准；</w:t>
      </w:r>
    </w:p>
    <w:p w14:paraId="51D2F840">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（3）单价金额小数点或者百分比有明显错位的，以开标一览表的总价为准，并修改单价；</w:t>
      </w:r>
    </w:p>
    <w:p w14:paraId="258A8C50">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（4）总价金额与按单价汇总金额不一致的，以单价金额计算结果为准。</w:t>
      </w:r>
    </w:p>
    <w:p w14:paraId="4F35A377">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同时出现两种以上不一致的，按照前款规定的顺序修正。修正后的报价按照上述规定经投标人确认后产生约束力，投标人不确认的，其投标无效。</w:t>
      </w:r>
    </w:p>
    <w:p w14:paraId="57CCF43B">
      <w:pPr>
        <w:pStyle w:val="2"/>
        <w:spacing w:line="360" w:lineRule="auto"/>
        <w:ind w:left="0" w:leftChars="0" w:right="210"/>
        <w:rPr>
          <w:rFonts w:ascii="Microsoft New Tai Lue" w:hAnsi="Microsoft New Tai Lue" w:cs="Microsoft New Tai Lue"/>
          <w:color w:val="auto"/>
          <w:highlight w:val="none"/>
        </w:rPr>
      </w:pPr>
      <w:bookmarkStart w:id="211" w:name="_Toc103848558"/>
      <w:bookmarkStart w:id="212" w:name="_Toc107246253"/>
      <w:bookmarkStart w:id="213" w:name="_Toc104560873"/>
      <w:r>
        <w:rPr>
          <w:rFonts w:ascii="Microsoft New Tai Lue" w:hAnsi="Microsoft New Tai Lue" w:cs="Microsoft New Tai Lue"/>
          <w:color w:val="auto"/>
          <w:highlight w:val="none"/>
        </w:rPr>
        <w:t>30.5同品牌多家投标人处理原则</w:t>
      </w:r>
      <w:bookmarkEnd w:id="211"/>
      <w:bookmarkEnd w:id="212"/>
      <w:bookmarkEnd w:id="213"/>
    </w:p>
    <w:p w14:paraId="6CC259C4">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76FAA857">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0919006E">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30.5.3非单一产品采购项目，根据采购项目技术构成、产品价格比重等合理确定核心产品，核心产品见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。多家投标人提供的核心产品品牌相同的，按前两款规定处理。</w:t>
      </w:r>
    </w:p>
    <w:p w14:paraId="1F3221F4">
      <w:pPr>
        <w:pStyle w:val="2"/>
        <w:spacing w:line="360" w:lineRule="auto"/>
        <w:ind w:left="0" w:leftChars="0" w:right="210"/>
        <w:rPr>
          <w:rFonts w:ascii="Microsoft New Tai Lue" w:hAnsi="Microsoft New Tai Lue" w:cs="Microsoft New Tai Lue"/>
          <w:color w:val="auto"/>
          <w:highlight w:val="none"/>
        </w:rPr>
      </w:pPr>
      <w:bookmarkStart w:id="214" w:name="_Toc104560874"/>
      <w:bookmarkStart w:id="215" w:name="_Toc107246254"/>
      <w:bookmarkStart w:id="216" w:name="_Toc103848559"/>
      <w:r>
        <w:rPr>
          <w:rFonts w:ascii="Microsoft New Tai Lue" w:hAnsi="Microsoft New Tai Lue" w:cs="Microsoft New Tai Lue"/>
          <w:color w:val="auto"/>
          <w:highlight w:val="none"/>
        </w:rPr>
        <w:t>30.6比较与评价</w:t>
      </w:r>
      <w:bookmarkEnd w:id="214"/>
      <w:bookmarkEnd w:id="215"/>
      <w:bookmarkEnd w:id="216"/>
    </w:p>
    <w:p w14:paraId="614D44A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30.6.1评标委员会应当按照招标文件中</w:t>
      </w:r>
      <w:r>
        <w:rPr>
          <w:rFonts w:hint="eastAsia" w:ascii="Microsoft New Tai Lue" w:hAnsi="Microsoft New Tai Lue" w:cs="Microsoft New Tai Lue"/>
          <w:color w:val="auto"/>
          <w:szCs w:val="21"/>
          <w:highlight w:val="none"/>
        </w:rPr>
        <w:t>第五章《</w:t>
      </w:r>
      <w:r>
        <w:rPr>
          <w:rFonts w:ascii="Microsoft New Tai Lue" w:hAnsi="Microsoft New Tai Lue" w:cs="Microsoft New Tai Lue"/>
          <w:color w:val="auto"/>
          <w:szCs w:val="21"/>
          <w:highlight w:val="none"/>
        </w:rPr>
        <w:t>评标</w:t>
      </w:r>
      <w:r>
        <w:rPr>
          <w:rFonts w:hint="eastAsia" w:ascii="Microsoft New Tai Lue" w:hAnsi="Microsoft New Tai Lue" w:cs="Microsoft New Tai Lue"/>
          <w:color w:val="auto"/>
          <w:szCs w:val="21"/>
          <w:highlight w:val="none"/>
        </w:rPr>
        <w:t>方法</w:t>
      </w:r>
      <w:r>
        <w:rPr>
          <w:rFonts w:ascii="Microsoft New Tai Lue" w:hAnsi="Microsoft New Tai Lue" w:cs="Microsoft New Tai Lue"/>
          <w:color w:val="auto"/>
          <w:szCs w:val="21"/>
          <w:highlight w:val="none"/>
        </w:rPr>
        <w:t>和</w:t>
      </w:r>
      <w:r>
        <w:rPr>
          <w:rFonts w:hint="eastAsia" w:ascii="Microsoft New Tai Lue" w:hAnsi="Microsoft New Tai Lue" w:cs="Microsoft New Tai Lue"/>
          <w:color w:val="auto"/>
          <w:szCs w:val="21"/>
          <w:highlight w:val="none"/>
        </w:rPr>
        <w:t>评标</w:t>
      </w:r>
      <w:r>
        <w:rPr>
          <w:rFonts w:ascii="Microsoft New Tai Lue" w:hAnsi="Microsoft New Tai Lue" w:cs="Microsoft New Tai Lue"/>
          <w:color w:val="auto"/>
          <w:szCs w:val="21"/>
          <w:highlight w:val="none"/>
        </w:rPr>
        <w:t>标准</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，对符合性审查合格的投标文件进行比较与评价。</w:t>
      </w:r>
    </w:p>
    <w:p w14:paraId="6C4F077D">
      <w:pPr>
        <w:pStyle w:val="2"/>
        <w:spacing w:line="360" w:lineRule="auto"/>
        <w:ind w:left="0" w:leftChars="0" w:right="210"/>
        <w:rPr>
          <w:rFonts w:ascii="Microsoft New Tai Lue" w:hAnsi="Microsoft New Tai Lue" w:cs="Microsoft New Tai Lue"/>
          <w:color w:val="auto"/>
          <w:highlight w:val="none"/>
        </w:rPr>
      </w:pPr>
      <w:bookmarkStart w:id="217" w:name="_Toc107246255"/>
      <w:r>
        <w:rPr>
          <w:rFonts w:ascii="Microsoft New Tai Lue" w:hAnsi="Microsoft New Tai Lue" w:cs="Microsoft New Tai Lue"/>
          <w:color w:val="auto"/>
          <w:highlight w:val="none"/>
        </w:rPr>
        <w:t>30.7</w:t>
      </w:r>
      <w:r>
        <w:rPr>
          <w:rFonts w:hint="eastAsia" w:ascii="Microsoft New Tai Lue" w:hAnsi="Microsoft New Tai Lue" w:cs="Microsoft New Tai Lue"/>
          <w:color w:val="auto"/>
          <w:highlight w:val="none"/>
        </w:rPr>
        <w:t>编写评标报告</w:t>
      </w:r>
      <w:bookmarkEnd w:id="217"/>
    </w:p>
    <w:p w14:paraId="2EDF444B">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0.7.1评标委员会根据全体评标成员签字的原始评标记录和评标结果编写评标报告</w:t>
      </w:r>
      <w:r>
        <w:rPr>
          <w:rFonts w:hint="eastAsia" w:ascii="Microsoft New Tai Lue" w:hAnsi="Microsoft New Tai Lue" w:cs="Microsoft New Tai Lue"/>
          <w:color w:val="auto"/>
          <w:szCs w:val="21"/>
          <w:highlight w:val="none"/>
        </w:rPr>
        <w:t>。</w:t>
      </w:r>
    </w:p>
    <w:p w14:paraId="464BAAB7">
      <w:pPr>
        <w:pStyle w:val="2"/>
        <w:tabs>
          <w:tab w:val="left" w:pos="5882"/>
        </w:tabs>
        <w:spacing w:line="360" w:lineRule="auto"/>
        <w:ind w:left="0" w:leftChars="0" w:right="210"/>
        <w:rPr>
          <w:rFonts w:ascii="Microsoft New Tai Lue" w:hAnsi="Microsoft New Tai Lue" w:cs="Microsoft New Tai Lue"/>
          <w:color w:val="auto"/>
          <w:highlight w:val="none"/>
        </w:rPr>
      </w:pPr>
      <w:bookmarkStart w:id="218" w:name="_Toc103848561"/>
      <w:bookmarkStart w:id="219" w:name="_Toc104560876"/>
      <w:bookmarkStart w:id="220" w:name="_Toc107246256"/>
      <w:r>
        <w:rPr>
          <w:rFonts w:ascii="Microsoft New Tai Lue" w:hAnsi="Microsoft New Tai Lue" w:cs="Microsoft New Tai Lue"/>
          <w:color w:val="auto"/>
          <w:highlight w:val="none"/>
        </w:rPr>
        <w:t>30.8评标过程的保密</w:t>
      </w:r>
      <w:bookmarkEnd w:id="218"/>
      <w:bookmarkEnd w:id="219"/>
      <w:bookmarkEnd w:id="220"/>
      <w:r>
        <w:rPr>
          <w:rFonts w:ascii="Microsoft New Tai Lue" w:hAnsi="Microsoft New Tai Lue" w:cs="Microsoft New Tai Lue"/>
          <w:color w:val="auto"/>
          <w:highlight w:val="none"/>
        </w:rPr>
        <w:tab/>
      </w:r>
    </w:p>
    <w:p w14:paraId="5FE11488">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30.8.1</w:t>
      </w:r>
      <w:r>
        <w:rPr>
          <w:rFonts w:hint="eastAsia" w:ascii="Microsoft New Tai Lue" w:hAnsi="Microsoft New Tai Lue" w:cs="Microsoft New Tai Lue"/>
          <w:color w:val="auto"/>
          <w:szCs w:val="21"/>
          <w:highlight w:val="none"/>
        </w:rPr>
        <w:t>评标委员会成员名单在评标结果公示前应当保密。</w:t>
      </w:r>
    </w:p>
    <w:p w14:paraId="58DD8E61">
      <w:pPr>
        <w:spacing w:line="360" w:lineRule="auto"/>
        <w:ind w:firstLine="315" w:firstLineChars="15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0.8.2</w:t>
      </w:r>
      <w:r>
        <w:rPr>
          <w:rFonts w:hint="eastAsia" w:ascii="Microsoft New Tai Lue" w:hAnsi="Microsoft New Tai Lue" w:cs="Microsoft New Tai Lue"/>
          <w:color w:val="auto"/>
          <w:szCs w:val="21"/>
          <w:highlight w:val="none"/>
        </w:rPr>
        <w:t>采购方应当</w:t>
      </w:r>
      <w:r>
        <w:rPr>
          <w:rFonts w:ascii="Microsoft New Tai Lue" w:hAnsi="Microsoft New Tai Lue" w:cs="Microsoft New Tai Lue"/>
          <w:color w:val="auto"/>
          <w:szCs w:val="21"/>
          <w:highlight w:val="none"/>
        </w:rPr>
        <w:t>采取必要</w:t>
      </w:r>
      <w:r>
        <w:rPr>
          <w:rFonts w:hint="eastAsia" w:ascii="Microsoft New Tai Lue" w:hAnsi="Microsoft New Tai Lue" w:cs="Microsoft New Tai Lue"/>
          <w:color w:val="auto"/>
          <w:szCs w:val="21"/>
          <w:highlight w:val="none"/>
        </w:rPr>
        <w:t>的</w:t>
      </w:r>
      <w:r>
        <w:rPr>
          <w:rFonts w:ascii="Microsoft New Tai Lue" w:hAnsi="Microsoft New Tai Lue" w:cs="Microsoft New Tai Lue"/>
          <w:color w:val="auto"/>
          <w:szCs w:val="21"/>
          <w:highlight w:val="none"/>
        </w:rPr>
        <w:t>措施，保证评标在严格保密的情况下进行。</w:t>
      </w:r>
    </w:p>
    <w:p w14:paraId="46AC0B6F">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30.8.3</w:t>
      </w:r>
      <w:r>
        <w:rPr>
          <w:rFonts w:hint="eastAsia" w:ascii="Microsoft New Tai Lue" w:hAnsi="Microsoft New Tai Lue" w:cs="Microsoft New Tai Lue"/>
          <w:color w:val="auto"/>
          <w:szCs w:val="21"/>
          <w:highlight w:val="none"/>
        </w:rPr>
        <w:t>有关人员对评标情况以及在评标过程中获悉的国家秘密、商业秘密负有保密责任。</w:t>
      </w:r>
    </w:p>
    <w:p w14:paraId="513F8640">
      <w:pPr>
        <w:pStyle w:val="2"/>
        <w:spacing w:line="360" w:lineRule="auto"/>
        <w:ind w:left="0" w:leftChars="0" w:right="210"/>
        <w:rPr>
          <w:rFonts w:ascii="Microsoft New Tai Lue" w:hAnsi="Microsoft New Tai Lue" w:cs="Microsoft New Tai Lue"/>
          <w:color w:val="auto"/>
          <w:highlight w:val="none"/>
        </w:rPr>
      </w:pPr>
      <w:bookmarkStart w:id="221" w:name="_Toc107246257"/>
      <w:r>
        <w:rPr>
          <w:rFonts w:ascii="Microsoft New Tai Lue" w:hAnsi="Microsoft New Tai Lue" w:cs="Microsoft New Tai Lue"/>
          <w:color w:val="auto"/>
          <w:highlight w:val="none"/>
        </w:rPr>
        <w:t>六．</w:t>
      </w:r>
      <w:r>
        <w:rPr>
          <w:rFonts w:hint="eastAsia" w:ascii="Microsoft New Tai Lue" w:hAnsi="Microsoft New Tai Lue" w:cs="Microsoft New Tai Lue"/>
          <w:color w:val="auto"/>
          <w:highlight w:val="none"/>
        </w:rPr>
        <w:t>确定中标</w:t>
      </w:r>
      <w:bookmarkEnd w:id="221"/>
    </w:p>
    <w:p w14:paraId="0D0E38CB">
      <w:pPr>
        <w:pStyle w:val="2"/>
        <w:spacing w:line="360" w:lineRule="auto"/>
        <w:ind w:left="0" w:leftChars="0" w:right="210"/>
        <w:rPr>
          <w:rFonts w:ascii="Microsoft New Tai Lue" w:hAnsi="Microsoft New Tai Lue" w:cs="Microsoft New Tai Lue"/>
          <w:color w:val="auto"/>
          <w:highlight w:val="none"/>
        </w:rPr>
      </w:pPr>
      <w:bookmarkStart w:id="222" w:name="_Toc103848563"/>
      <w:bookmarkStart w:id="223" w:name="_Toc104560878"/>
      <w:bookmarkStart w:id="224" w:name="_Toc107246258"/>
      <w:r>
        <w:rPr>
          <w:rFonts w:ascii="Microsoft New Tai Lue" w:hAnsi="Microsoft New Tai Lue" w:cs="Microsoft New Tai Lue"/>
          <w:color w:val="auto"/>
          <w:highlight w:val="none"/>
        </w:rPr>
        <w:t>31.确定中标</w:t>
      </w:r>
      <w:bookmarkEnd w:id="222"/>
      <w:bookmarkEnd w:id="223"/>
      <w:r>
        <w:rPr>
          <w:rFonts w:hint="eastAsia" w:ascii="Microsoft New Tai Lue" w:hAnsi="Microsoft New Tai Lue" w:cs="Microsoft New Tai Lue"/>
          <w:color w:val="auto"/>
          <w:highlight w:val="none"/>
        </w:rPr>
        <w:t>人</w:t>
      </w:r>
      <w:bookmarkEnd w:id="224"/>
    </w:p>
    <w:p w14:paraId="75A57AA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31.1采用最低评标价法的，评标结果按投标报价由低到高顺序排列。投标报价相同的并列。投标文件满足招标文件全部实质性要求且投标报价最低的投标人为排名第一的中标候选人。</w:t>
      </w:r>
    </w:p>
    <w:p w14:paraId="685FD16E">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EF24499">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w:t>
      </w:r>
      <w:r>
        <w:rPr>
          <w:rFonts w:hint="eastAsia" w:ascii="Microsoft New Tai Lue" w:hAnsi="Microsoft New Tai Lue" w:cs="Microsoft New Tai Lue"/>
          <w:color w:val="auto"/>
          <w:szCs w:val="21"/>
          <w:highlight w:val="none"/>
        </w:rPr>
        <w:t>.3中标候选人并列的，由采购人或者采购人委托评标委员会按照</w:t>
      </w:r>
      <w:r>
        <w:rPr>
          <w:rFonts w:hint="eastAsia" w:ascii="Microsoft New Tai Lue" w:hAnsi="Microsoft New Tai Lue" w:cs="Microsoft New Tai Lue"/>
          <w:b/>
          <w:color w:val="auto"/>
          <w:szCs w:val="21"/>
          <w:highlight w:val="none"/>
        </w:rPr>
        <w:t>投标人须知前附表</w:t>
      </w:r>
      <w:r>
        <w:rPr>
          <w:rFonts w:hint="eastAsia" w:ascii="Microsoft New Tai Lue" w:hAnsi="Microsoft New Tai Lue" w:cs="Microsoft New Tai Lue"/>
          <w:color w:val="auto"/>
          <w:szCs w:val="21"/>
          <w:highlight w:val="none"/>
        </w:rPr>
        <w:t>规定的方式确定中标人。</w:t>
      </w:r>
    </w:p>
    <w:p w14:paraId="6F3E810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31.4评审结束后，中标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名单将省级以上财政部门指定的媒体上公告中标结果，中标公告期为1个工作日</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公告媒体</w:t>
      </w:r>
      <w:r>
        <w:rPr>
          <w:rFonts w:hint="eastAsia" w:ascii="Microsoft New Tai Lue" w:hAnsi="Microsoft New Tai Lue" w:cs="Microsoft New Tai Lue"/>
          <w:color w:val="auto"/>
          <w:szCs w:val="21"/>
          <w:highlight w:val="none"/>
        </w:rPr>
        <w:t>见</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w:t>
      </w:r>
      <w:r>
        <w:rPr>
          <w:rFonts w:hint="eastAsia" w:ascii="Microsoft New Tai Lue" w:hAnsi="Microsoft New Tai Lue" w:cs="Microsoft New Tai Lue"/>
          <w:b/>
          <w:color w:val="auto"/>
          <w:szCs w:val="21"/>
          <w:highlight w:val="none"/>
        </w:rPr>
        <w:t>前附表。</w:t>
      </w:r>
    </w:p>
    <w:p w14:paraId="4BE94635">
      <w:pPr>
        <w:pStyle w:val="2"/>
        <w:spacing w:line="360" w:lineRule="auto"/>
        <w:ind w:left="0" w:leftChars="0" w:right="210"/>
        <w:rPr>
          <w:rFonts w:ascii="Microsoft New Tai Lue" w:hAnsi="Microsoft New Tai Lue" w:cs="Microsoft New Tai Lue"/>
          <w:color w:val="auto"/>
          <w:highlight w:val="none"/>
        </w:rPr>
      </w:pPr>
      <w:bookmarkStart w:id="225" w:name="_Toc107246259"/>
      <w:bookmarkStart w:id="226" w:name="_Toc103848564"/>
      <w:bookmarkStart w:id="227" w:name="_Toc104560879"/>
      <w:r>
        <w:rPr>
          <w:rFonts w:ascii="Microsoft New Tai Lue" w:hAnsi="Microsoft New Tai Lue" w:cs="Microsoft New Tai Lue"/>
          <w:color w:val="auto"/>
          <w:highlight w:val="none"/>
        </w:rPr>
        <w:t>32.中标通知书</w:t>
      </w:r>
      <w:bookmarkEnd w:id="225"/>
      <w:bookmarkEnd w:id="226"/>
      <w:bookmarkEnd w:id="227"/>
    </w:p>
    <w:p w14:paraId="4F37368B">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32.1采购代理机构将在中标公告发布的同时向中标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发出中标通知书。</w:t>
      </w:r>
    </w:p>
    <w:p w14:paraId="143463CA">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32.2中标通知书将是合同的组成部分。对采购人和中标</w:t>
      </w:r>
      <w:r>
        <w:rPr>
          <w:rFonts w:hint="eastAsia" w:ascii="Microsoft New Tai Lue" w:hAnsi="Microsoft New Tai Lue" w:cs="Microsoft New Tai Lue"/>
          <w:color w:val="auto"/>
          <w:szCs w:val="21"/>
          <w:highlight w:val="none"/>
        </w:rPr>
        <w:t>人</w:t>
      </w:r>
      <w:r>
        <w:rPr>
          <w:rFonts w:ascii="Microsoft New Tai Lue" w:hAnsi="Microsoft New Tai Lue" w:cs="Microsoft New Tai Lue"/>
          <w:color w:val="auto"/>
          <w:szCs w:val="21"/>
          <w:highlight w:val="none"/>
        </w:rPr>
        <w:t>均具有法律效力。</w:t>
      </w:r>
    </w:p>
    <w:p w14:paraId="38E5087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32.3</w:t>
      </w:r>
      <w:bookmarkStart w:id="228" w:name="_Toc104560875"/>
      <w:bookmarkStart w:id="229" w:name="_Toc103848560"/>
      <w:r>
        <w:rPr>
          <w:rFonts w:ascii="Microsoft New Tai Lue" w:hAnsi="Microsoft New Tai Lue" w:cs="Microsoft New Tai Lue"/>
          <w:color w:val="auto"/>
          <w:szCs w:val="21"/>
          <w:highlight w:val="none"/>
        </w:rPr>
        <w:t>中标通知书发出后</w:t>
      </w:r>
      <w:r>
        <w:rPr>
          <w:rFonts w:hint="eastAsia" w:ascii="Microsoft New Tai Lue" w:hAnsi="Microsoft New Tai Lue" w:cs="Microsoft New Tai Lue"/>
          <w:color w:val="auto"/>
          <w:szCs w:val="21"/>
          <w:highlight w:val="none"/>
        </w:rPr>
        <w:t>，中标人无正当理由不得放弃中标，否则将依法承担法律责任。</w:t>
      </w:r>
    </w:p>
    <w:p w14:paraId="4581722D">
      <w:pPr>
        <w:pStyle w:val="2"/>
        <w:spacing w:line="360" w:lineRule="auto"/>
        <w:ind w:left="0" w:leftChars="0" w:right="210"/>
        <w:rPr>
          <w:rFonts w:ascii="Microsoft New Tai Lue" w:hAnsi="Microsoft New Tai Lue" w:cs="Microsoft New Tai Lue"/>
          <w:color w:val="auto"/>
          <w:highlight w:val="none"/>
        </w:rPr>
      </w:pPr>
      <w:bookmarkStart w:id="230" w:name="_Toc107246260"/>
      <w:r>
        <w:rPr>
          <w:rFonts w:ascii="Microsoft New Tai Lue" w:hAnsi="Microsoft New Tai Lue" w:cs="Microsoft New Tai Lue"/>
          <w:color w:val="auto"/>
          <w:highlight w:val="none"/>
        </w:rPr>
        <w:t>33.废标</w:t>
      </w:r>
      <w:bookmarkEnd w:id="228"/>
      <w:bookmarkEnd w:id="229"/>
      <w:bookmarkEnd w:id="230"/>
    </w:p>
    <w:p w14:paraId="1205F8C0">
      <w:pPr>
        <w:spacing w:line="360" w:lineRule="auto"/>
        <w:ind w:firstLine="316" w:firstLineChars="150"/>
        <w:jc w:val="left"/>
        <w:rPr>
          <w:rFonts w:ascii="Microsoft New Tai Lue" w:hAnsi="Microsoft New Tai Lue" w:cs="Microsoft New Tai Lue"/>
          <w:b/>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b/>
          <w:color w:val="auto"/>
          <w:szCs w:val="21"/>
          <w:highlight w:val="none"/>
        </w:rPr>
        <w:t>33</w:t>
      </w:r>
      <w:r>
        <w:rPr>
          <w:rFonts w:hint="eastAsia" w:ascii="Microsoft New Tai Lue" w:hAnsi="Microsoft New Tai Lue" w:cs="Microsoft New Tai Lue"/>
          <w:b/>
          <w:color w:val="auto"/>
          <w:szCs w:val="21"/>
          <w:highlight w:val="none"/>
        </w:rPr>
        <w:t>.1出现下列情形之一的，应予废标：</w:t>
      </w:r>
    </w:p>
    <w:p w14:paraId="0A248D68">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（1）符合专业条件的投标人或者对招标文件作实质响应的投标人不足三家的；</w:t>
      </w:r>
    </w:p>
    <w:p w14:paraId="37519657">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（2）出现影响采购公正的违法、违规行为的；</w:t>
      </w:r>
    </w:p>
    <w:p w14:paraId="50014CFD">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（3）投标人的报价均超过了采购预算，采购人不能支付的；</w:t>
      </w:r>
    </w:p>
    <w:p w14:paraId="5CF36764">
      <w:pPr>
        <w:spacing w:line="360" w:lineRule="auto"/>
        <w:ind w:firstLine="315" w:firstLineChars="150"/>
        <w:jc w:val="left"/>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（4）因重大变故，采购任务取消的。</w:t>
      </w:r>
    </w:p>
    <w:p w14:paraId="00D24D3C">
      <w:pPr>
        <w:spacing w:line="360" w:lineRule="auto"/>
        <w:ind w:firstLine="315" w:firstLineChars="15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33.2</w:t>
      </w:r>
      <w:r>
        <w:rPr>
          <w:rFonts w:hint="eastAsia" w:ascii="Microsoft New Tai Lue" w:hAnsi="Microsoft New Tai Lue" w:cs="Microsoft New Tai Lue"/>
          <w:color w:val="auto"/>
          <w:szCs w:val="21"/>
          <w:highlight w:val="none"/>
        </w:rPr>
        <w:t>废标后，采购人将废标理由通知所有投标人。</w:t>
      </w:r>
    </w:p>
    <w:p w14:paraId="1EE9AB79">
      <w:pPr>
        <w:pStyle w:val="2"/>
        <w:spacing w:line="360" w:lineRule="auto"/>
        <w:ind w:left="0" w:leftChars="0" w:right="210"/>
        <w:rPr>
          <w:rFonts w:ascii="Microsoft New Tai Lue" w:hAnsi="Microsoft New Tai Lue" w:cs="Microsoft New Tai Lue"/>
          <w:color w:val="auto"/>
          <w:highlight w:val="none"/>
        </w:rPr>
      </w:pPr>
      <w:bookmarkStart w:id="231" w:name="_Toc104560880"/>
      <w:bookmarkStart w:id="232" w:name="_Toc103848565"/>
      <w:bookmarkStart w:id="233" w:name="_Toc107246261"/>
      <w:bookmarkStart w:id="234" w:name="_Toc20823309"/>
      <w:bookmarkStart w:id="235" w:name="_Toc16938553"/>
      <w:bookmarkStart w:id="236" w:name="_Toc513029237"/>
      <w:r>
        <w:rPr>
          <w:rFonts w:ascii="Microsoft New Tai Lue" w:hAnsi="Microsoft New Tai Lue" w:cs="Microsoft New Tai Lue"/>
          <w:color w:val="auto"/>
          <w:highlight w:val="none"/>
        </w:rPr>
        <w:t>34.签订合同</w:t>
      </w:r>
      <w:bookmarkEnd w:id="231"/>
      <w:bookmarkEnd w:id="232"/>
      <w:bookmarkEnd w:id="233"/>
    </w:p>
    <w:p w14:paraId="05640F0A">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4.1中标人、采购人应当自中标通知书发出之日起30日内，按照招标文件和中标人投标文件的规定签订书面合同。所签订的合同不得对招标文件确定的事项和中标人投标文件作实质性修改。</w:t>
      </w:r>
    </w:p>
    <w:p w14:paraId="6AA19596">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4.2中标人</w:t>
      </w:r>
      <w:r>
        <w:rPr>
          <w:rFonts w:hint="eastAsia" w:ascii="Microsoft New Tai Lue" w:hAnsi="Microsoft New Tai Lue" w:cs="Microsoft New Tai Lue"/>
          <w:color w:val="auto"/>
          <w:szCs w:val="21"/>
          <w:highlight w:val="none"/>
        </w:rPr>
        <w:t>拒绝</w:t>
      </w:r>
      <w:r>
        <w:rPr>
          <w:rFonts w:ascii="Microsoft New Tai Lue" w:hAnsi="Microsoft New Tai Lue" w:cs="Microsoft New Tai Lue"/>
          <w:color w:val="auto"/>
          <w:szCs w:val="21"/>
          <w:highlight w:val="none"/>
        </w:rPr>
        <w:t>与采购人签订合同的，采购人</w:t>
      </w:r>
      <w:r>
        <w:rPr>
          <w:rFonts w:hint="eastAsia" w:ascii="Microsoft New Tai Lue" w:hAnsi="Microsoft New Tai Lue" w:cs="Microsoft New Tai Lue"/>
          <w:color w:val="auto"/>
          <w:szCs w:val="21"/>
          <w:highlight w:val="none"/>
        </w:rPr>
        <w:t>可以</w:t>
      </w:r>
      <w:r>
        <w:rPr>
          <w:rFonts w:ascii="Microsoft New Tai Lue" w:hAnsi="Microsoft New Tai Lue" w:cs="Microsoft New Tai Lue"/>
          <w:color w:val="auto"/>
          <w:szCs w:val="21"/>
          <w:highlight w:val="none"/>
        </w:rPr>
        <w:t>按照评</w:t>
      </w:r>
      <w:r>
        <w:rPr>
          <w:rFonts w:hint="eastAsia" w:ascii="Microsoft New Tai Lue" w:hAnsi="Microsoft New Tai Lue" w:cs="Microsoft New Tai Lue"/>
          <w:color w:val="auto"/>
          <w:szCs w:val="21"/>
          <w:highlight w:val="none"/>
        </w:rPr>
        <w:t>标</w:t>
      </w:r>
      <w:r>
        <w:rPr>
          <w:rFonts w:ascii="Microsoft New Tai Lue" w:hAnsi="Microsoft New Tai Lue" w:cs="Microsoft New Tai Lue"/>
          <w:color w:val="auto"/>
          <w:szCs w:val="21"/>
          <w:highlight w:val="none"/>
        </w:rPr>
        <w:t>报告推荐的中标候选人名单排序，确定下一候选人为中标人，</w:t>
      </w:r>
      <w:r>
        <w:rPr>
          <w:rFonts w:hint="eastAsia" w:ascii="Microsoft New Tai Lue" w:hAnsi="Microsoft New Tai Lue" w:cs="Microsoft New Tai Lue"/>
          <w:color w:val="auto"/>
          <w:szCs w:val="21"/>
          <w:highlight w:val="none"/>
        </w:rPr>
        <w:t>也可以</w:t>
      </w:r>
      <w:r>
        <w:rPr>
          <w:rFonts w:ascii="Microsoft New Tai Lue" w:hAnsi="Microsoft New Tai Lue" w:cs="Microsoft New Tai Lue"/>
          <w:color w:val="auto"/>
          <w:szCs w:val="21"/>
          <w:highlight w:val="none"/>
        </w:rPr>
        <w:t>重新开展政府采购活动。</w:t>
      </w:r>
    </w:p>
    <w:p w14:paraId="53F47E5C">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34.3联合体中标的，联合体各方应当共同与采购人签订合同，就中标项目向采购人承担连带责任。</w:t>
      </w:r>
    </w:p>
    <w:p w14:paraId="65A06FED">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34.4</w:t>
      </w:r>
      <w:r>
        <w:rPr>
          <w:rFonts w:hint="eastAsia" w:ascii="Microsoft New Tai Lue" w:hAnsi="Microsoft New Tai Lue" w:cs="Microsoft New Tai Lue"/>
          <w:color w:val="auto"/>
          <w:szCs w:val="21"/>
          <w:highlight w:val="none"/>
        </w:rPr>
        <w:t>政府采购合同不能转包</w:t>
      </w:r>
      <w:r>
        <w:rPr>
          <w:rFonts w:ascii="Microsoft New Tai Lue" w:hAnsi="Microsoft New Tai Lue" w:cs="Microsoft New Tai Lue"/>
          <w:color w:val="auto"/>
          <w:szCs w:val="21"/>
          <w:highlight w:val="none"/>
        </w:rPr>
        <w:t>。未经采购人同意，中标人也不得采用分包的形式履行合同，否则采购人有权终止合同。转包或分包造成采购人损失的，中标人应承担相应赔偿责任。</w:t>
      </w:r>
    </w:p>
    <w:p w14:paraId="56F2D580">
      <w:pPr>
        <w:pStyle w:val="2"/>
        <w:spacing w:line="360" w:lineRule="auto"/>
        <w:ind w:left="0" w:leftChars="0" w:right="210"/>
        <w:rPr>
          <w:rFonts w:ascii="Microsoft New Tai Lue" w:hAnsi="Microsoft New Tai Lue" w:cs="Microsoft New Tai Lue"/>
          <w:color w:val="auto"/>
          <w:szCs w:val="21"/>
          <w:highlight w:val="none"/>
        </w:rPr>
      </w:pPr>
      <w:bookmarkStart w:id="237" w:name="_Toc107246262"/>
      <w:bookmarkStart w:id="238" w:name="_Toc104560881"/>
      <w:bookmarkStart w:id="239" w:name="_Toc103848567"/>
      <w:r>
        <w:rPr>
          <w:rFonts w:ascii="Microsoft New Tai Lue" w:hAnsi="Microsoft New Tai Lue" w:cs="Microsoft New Tai Lue"/>
          <w:color w:val="auto"/>
          <w:szCs w:val="21"/>
          <w:highlight w:val="none"/>
        </w:rPr>
        <w:t>35.履约保证金</w:t>
      </w:r>
      <w:bookmarkEnd w:id="237"/>
      <w:bookmarkEnd w:id="238"/>
      <w:bookmarkEnd w:id="239"/>
    </w:p>
    <w:p w14:paraId="3CF579C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35.1本项目是否缴纳履约保证金见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304C83F5">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35.2</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规定交纳履约保证金的，中标人在签订采购合同前，向采购人提交履约保证金。联合体成交的，履约保证金以联合体各方或联合体中牵头人的名义提交。</w:t>
      </w:r>
    </w:p>
    <w:p w14:paraId="026F133E">
      <w:pPr>
        <w:spacing w:line="360" w:lineRule="auto"/>
        <w:ind w:firstLine="422" w:firstLineChars="200"/>
        <w:jc w:val="left"/>
        <w:rPr>
          <w:rFonts w:ascii="Microsoft New Tai Lue" w:hAnsi="Microsoft New Tai Lue" w:cs="Microsoft New Tai Lue"/>
          <w:color w:val="auto"/>
          <w:szCs w:val="21"/>
          <w:highlight w:val="none"/>
        </w:rPr>
      </w:pPr>
      <w:r>
        <w:rPr>
          <w:rFonts w:ascii="Segoe UI Symbol" w:hAnsi="Segoe UI Symbol" w:cs="Segoe UI Symbol"/>
          <w:b/>
          <w:color w:val="auto"/>
          <w:szCs w:val="21"/>
          <w:highlight w:val="none"/>
        </w:rPr>
        <w:t>★</w:t>
      </w:r>
      <w:r>
        <w:rPr>
          <w:rFonts w:ascii="Microsoft New Tai Lue" w:hAnsi="Microsoft New Tai Lue" w:cs="Microsoft New Tai Lue"/>
          <w:color w:val="auto"/>
          <w:szCs w:val="21"/>
          <w:highlight w:val="none"/>
        </w:rPr>
        <w:t>35.3中标人没有按照</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的规定提交履约保证金的，视为放弃中标，其投标保证金不予退还。</w:t>
      </w:r>
    </w:p>
    <w:bookmarkEnd w:id="234"/>
    <w:bookmarkEnd w:id="235"/>
    <w:bookmarkEnd w:id="236"/>
    <w:p w14:paraId="7A41DEB4">
      <w:pPr>
        <w:pStyle w:val="2"/>
        <w:spacing w:line="360" w:lineRule="auto"/>
        <w:ind w:left="0" w:leftChars="0" w:right="210"/>
        <w:rPr>
          <w:rFonts w:ascii="Microsoft New Tai Lue" w:hAnsi="Microsoft New Tai Lue" w:cs="Microsoft New Tai Lue"/>
          <w:color w:val="auto"/>
          <w:highlight w:val="none"/>
        </w:rPr>
      </w:pPr>
      <w:bookmarkStart w:id="240" w:name="_Toc107246263"/>
      <w:r>
        <w:rPr>
          <w:rFonts w:ascii="Microsoft New Tai Lue" w:hAnsi="Microsoft New Tai Lue" w:cs="Microsoft New Tai Lue"/>
          <w:color w:val="auto"/>
          <w:highlight w:val="none"/>
        </w:rPr>
        <w:t>七．</w:t>
      </w:r>
      <w:bookmarkStart w:id="241" w:name="_Toc103848569"/>
      <w:r>
        <w:rPr>
          <w:rFonts w:hint="eastAsia" w:ascii="Microsoft New Tai Lue" w:hAnsi="Microsoft New Tai Lue" w:cs="Microsoft New Tai Lue"/>
          <w:color w:val="auto"/>
          <w:highlight w:val="none"/>
        </w:rPr>
        <w:t>询问与质疑</w:t>
      </w:r>
      <w:bookmarkEnd w:id="240"/>
    </w:p>
    <w:bookmarkEnd w:id="241"/>
    <w:p w14:paraId="4C098D8A">
      <w:pPr>
        <w:pStyle w:val="2"/>
        <w:spacing w:line="360" w:lineRule="auto"/>
        <w:ind w:left="0" w:leftChars="0" w:right="210"/>
        <w:rPr>
          <w:rFonts w:ascii="Microsoft New Tai Lue" w:hAnsi="Microsoft New Tai Lue" w:cs="Microsoft New Tai Lue"/>
          <w:color w:val="auto"/>
          <w:szCs w:val="21"/>
          <w:highlight w:val="none"/>
        </w:rPr>
      </w:pPr>
      <w:bookmarkStart w:id="242" w:name="_Toc102117305"/>
      <w:bookmarkStart w:id="243" w:name="_Toc104560883"/>
      <w:bookmarkStart w:id="244" w:name="_Toc107246264"/>
      <w:r>
        <w:rPr>
          <w:rFonts w:ascii="Microsoft New Tai Lue" w:hAnsi="Microsoft New Tai Lue" w:cs="Microsoft New Tai Lue"/>
          <w:color w:val="auto"/>
          <w:szCs w:val="21"/>
          <w:highlight w:val="none"/>
        </w:rPr>
        <w:t>36.询问</w:t>
      </w:r>
      <w:bookmarkEnd w:id="242"/>
      <w:bookmarkEnd w:id="243"/>
      <w:bookmarkEnd w:id="244"/>
    </w:p>
    <w:p w14:paraId="2587B223">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36.1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对政府采购活动事项有疑问的，可依法提出询问，并按</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载明的形式通知采购方。</w:t>
      </w:r>
    </w:p>
    <w:p w14:paraId="61C9BBBC">
      <w:pPr>
        <w:spacing w:line="360" w:lineRule="auto"/>
        <w:ind w:firstLine="420" w:firstLineChars="200"/>
        <w:jc w:val="left"/>
        <w:rPr>
          <w:color w:val="auto"/>
          <w:szCs w:val="21"/>
          <w:highlight w:val="none"/>
        </w:rPr>
      </w:pPr>
      <w:r>
        <w:rPr>
          <w:rFonts w:ascii="Microsoft New Tai Lue" w:hAnsi="Microsoft New Tai Lue" w:cs="Microsoft New Tai Lue"/>
          <w:color w:val="auto"/>
          <w:szCs w:val="21"/>
          <w:highlight w:val="none"/>
        </w:rPr>
        <w:t>36.2采购方对</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依法提出的询问，在3个工作日内作出答复，但答复的内容不得涉及商</w:t>
      </w:r>
      <w:r>
        <w:rPr>
          <w:color w:val="auto"/>
          <w:szCs w:val="21"/>
          <w:highlight w:val="none"/>
        </w:rPr>
        <w:t>业秘密。</w:t>
      </w:r>
    </w:p>
    <w:p w14:paraId="1333FF08">
      <w:pPr>
        <w:pStyle w:val="2"/>
        <w:spacing w:line="360" w:lineRule="auto"/>
        <w:ind w:left="0" w:leftChars="0" w:right="210"/>
        <w:rPr>
          <w:rFonts w:ascii="Microsoft New Tai Lue" w:hAnsi="Microsoft New Tai Lue" w:cs="Microsoft New Tai Lue"/>
          <w:color w:val="auto"/>
          <w:szCs w:val="21"/>
          <w:highlight w:val="none"/>
        </w:rPr>
      </w:pPr>
      <w:bookmarkStart w:id="245" w:name="_Toc102117306"/>
      <w:bookmarkStart w:id="246" w:name="_Toc107246265"/>
      <w:bookmarkStart w:id="247" w:name="_Toc104560884"/>
      <w:r>
        <w:rPr>
          <w:rFonts w:ascii="Microsoft New Tai Lue" w:hAnsi="Microsoft New Tai Lue" w:cs="Microsoft New Tai Lue"/>
          <w:color w:val="auto"/>
          <w:szCs w:val="21"/>
          <w:highlight w:val="none"/>
        </w:rPr>
        <w:t>37.质疑</w:t>
      </w:r>
      <w:bookmarkEnd w:id="245"/>
      <w:bookmarkEnd w:id="246"/>
      <w:bookmarkEnd w:id="247"/>
    </w:p>
    <w:p w14:paraId="4CCB8051">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37.1</w:t>
      </w:r>
      <w:r>
        <w:rPr>
          <w:rFonts w:hint="eastAsia" w:ascii="Microsoft New Tai Lue" w:hAnsi="Microsoft New Tai Lue" w:cs="Microsoft New Tai Lue"/>
          <w:color w:val="auto"/>
          <w:szCs w:val="21"/>
          <w:highlight w:val="none"/>
        </w:rPr>
        <w:t>供应商</w:t>
      </w:r>
      <w:r>
        <w:rPr>
          <w:rFonts w:ascii="Microsoft New Tai Lue" w:hAnsi="Microsoft New Tai Lue" w:cs="Microsoft New Tai Lue"/>
          <w:color w:val="auto"/>
          <w:szCs w:val="21"/>
          <w:highlight w:val="none"/>
        </w:rPr>
        <w:t>认为采购文件、采购过程和成交结果使自己的权益受到损害的，可以在知道或者应知其权益受到损害之日起7个工作日内，以</w:t>
      </w:r>
      <w:r>
        <w:rPr>
          <w:rFonts w:hint="eastAsia" w:ascii="Microsoft New Tai Lue" w:hAnsi="Microsoft New Tai Lue" w:cs="Microsoft New Tai Lue"/>
          <w:b/>
          <w:color w:val="auto"/>
          <w:szCs w:val="21"/>
          <w:highlight w:val="none"/>
        </w:rPr>
        <w:t>投标人</w:t>
      </w:r>
      <w:r>
        <w:rPr>
          <w:rFonts w:ascii="Microsoft New Tai Lue" w:hAnsi="Microsoft New Tai Lue" w:cs="Microsoft New Tai Lue"/>
          <w:b/>
          <w:color w:val="auto"/>
          <w:szCs w:val="21"/>
          <w:highlight w:val="none"/>
        </w:rPr>
        <w:t>须知前附表</w:t>
      </w:r>
      <w:r>
        <w:rPr>
          <w:rFonts w:ascii="Microsoft New Tai Lue" w:hAnsi="Microsoft New Tai Lue" w:cs="Microsoft New Tai Lue"/>
          <w:color w:val="auto"/>
          <w:szCs w:val="21"/>
          <w:highlight w:val="none"/>
        </w:rPr>
        <w:t>的要求向采购方提出质疑。采购方将以书面形式答复质疑供应商，但答复的内容不涉及商业秘密。</w:t>
      </w:r>
      <w:r>
        <w:rPr>
          <w:rFonts w:hint="eastAsia" w:ascii="Microsoft New Tai Lue" w:hAnsi="Microsoft New Tai Lue" w:cs="Microsoft New Tai Lue"/>
          <w:color w:val="auto"/>
          <w:szCs w:val="21"/>
          <w:highlight w:val="none"/>
        </w:rPr>
        <w:t>投标人</w:t>
      </w:r>
      <w:r>
        <w:rPr>
          <w:rFonts w:ascii="Microsoft New Tai Lue" w:hAnsi="Microsoft New Tai Lue" w:cs="Microsoft New Tai Lue"/>
          <w:color w:val="auto"/>
          <w:szCs w:val="21"/>
          <w:highlight w:val="none"/>
        </w:rPr>
        <w:t>在法定质疑期内针对同一采购程序环节的质疑必须一次性提出。</w:t>
      </w:r>
    </w:p>
    <w:p w14:paraId="360675EC">
      <w:pPr>
        <w:spacing w:line="360" w:lineRule="auto"/>
        <w:ind w:firstLine="420" w:firstLineChars="200"/>
        <w:jc w:val="left"/>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7</w:t>
      </w:r>
      <w:r>
        <w:rPr>
          <w:rFonts w:hint="eastAsia" w:ascii="Microsoft New Tai Lue" w:hAnsi="Microsoft New Tai Lue" w:cs="Microsoft New Tai Lue"/>
          <w:color w:val="auto"/>
          <w:szCs w:val="21"/>
          <w:highlight w:val="none"/>
        </w:rPr>
        <w:t>.2</w:t>
      </w:r>
      <w:r>
        <w:rPr>
          <w:rFonts w:ascii="Microsoft New Tai Lue" w:hAnsi="Microsoft New Tai Lue" w:cs="Microsoft New Tai Lue"/>
          <w:color w:val="auto"/>
          <w:szCs w:val="21"/>
          <w:highlight w:val="none"/>
        </w:rPr>
        <w:t>以联合体形式参加</w:t>
      </w:r>
      <w:r>
        <w:rPr>
          <w:rFonts w:hint="eastAsia" w:ascii="Microsoft New Tai Lue" w:hAnsi="Microsoft New Tai Lue" w:cs="Microsoft New Tai Lue"/>
          <w:color w:val="auto"/>
          <w:szCs w:val="21"/>
          <w:highlight w:val="none"/>
        </w:rPr>
        <w:t>投标</w:t>
      </w:r>
      <w:r>
        <w:rPr>
          <w:rFonts w:ascii="Microsoft New Tai Lue" w:hAnsi="Microsoft New Tai Lue" w:cs="Microsoft New Tai Lue"/>
          <w:color w:val="auto"/>
          <w:szCs w:val="21"/>
          <w:highlight w:val="none"/>
        </w:rPr>
        <w:t>的，应当由组成联合体的所有供应商共同提出</w:t>
      </w:r>
      <w:r>
        <w:rPr>
          <w:rFonts w:hint="eastAsia" w:ascii="Microsoft New Tai Lue" w:hAnsi="Microsoft New Tai Lue" w:cs="Microsoft New Tai Lue"/>
          <w:color w:val="auto"/>
          <w:szCs w:val="21"/>
          <w:highlight w:val="none"/>
        </w:rPr>
        <w:t>。</w:t>
      </w:r>
    </w:p>
    <w:p w14:paraId="30E6B80D">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37.</w:t>
      </w:r>
      <w:r>
        <w:rPr>
          <w:rFonts w:hint="eastAsia" w:ascii="Microsoft New Tai Lue" w:hAnsi="Microsoft New Tai Lue" w:cs="Microsoft New Tai Lue"/>
          <w:color w:val="auto"/>
          <w:szCs w:val="21"/>
          <w:highlight w:val="none"/>
        </w:rPr>
        <w:t>3</w:t>
      </w:r>
      <w:r>
        <w:rPr>
          <w:rFonts w:ascii="Microsoft New Tai Lue" w:hAnsi="Microsoft New Tai Lue" w:cs="Microsoft New Tai Lue"/>
          <w:color w:val="auto"/>
          <w:szCs w:val="21"/>
          <w:highlight w:val="none"/>
        </w:rPr>
        <w:t>质疑函</w:t>
      </w:r>
      <w:r>
        <w:rPr>
          <w:rFonts w:hint="eastAsia" w:ascii="Microsoft New Tai Lue" w:hAnsi="Microsoft New Tai Lue" w:cs="Microsoft New Tai Lue"/>
          <w:color w:val="auto"/>
          <w:szCs w:val="21"/>
          <w:highlight w:val="none"/>
        </w:rPr>
        <w:t>应</w:t>
      </w:r>
      <w:r>
        <w:rPr>
          <w:rFonts w:ascii="Microsoft New Tai Lue" w:hAnsi="Microsoft New Tai Lue" w:cs="Microsoft New Tai Lue"/>
          <w:color w:val="auto"/>
          <w:szCs w:val="21"/>
          <w:highlight w:val="none"/>
        </w:rPr>
        <w:t>使用财政部制定的范本文件。</w:t>
      </w:r>
    </w:p>
    <w:p w14:paraId="1E2F91FB">
      <w:pPr>
        <w:pStyle w:val="2"/>
        <w:spacing w:line="360" w:lineRule="auto"/>
        <w:ind w:left="0" w:leftChars="0" w:right="210"/>
        <w:rPr>
          <w:rFonts w:ascii="Microsoft New Tai Lue" w:hAnsi="Microsoft New Tai Lue" w:cs="Microsoft New Tai Lue"/>
          <w:color w:val="auto"/>
          <w:highlight w:val="none"/>
        </w:rPr>
      </w:pPr>
      <w:bookmarkStart w:id="248" w:name="_Toc107246266"/>
      <w:r>
        <w:rPr>
          <w:rFonts w:ascii="Microsoft New Tai Lue" w:hAnsi="Microsoft New Tai Lue" w:cs="Microsoft New Tai Lue"/>
          <w:color w:val="auto"/>
          <w:highlight w:val="none"/>
        </w:rPr>
        <w:t>八．其他</w:t>
      </w:r>
      <w:bookmarkEnd w:id="248"/>
    </w:p>
    <w:p w14:paraId="22001A0F">
      <w:pPr>
        <w:pStyle w:val="2"/>
        <w:spacing w:line="360" w:lineRule="auto"/>
        <w:ind w:left="0" w:leftChars="0" w:right="210"/>
        <w:rPr>
          <w:rFonts w:ascii="Microsoft New Tai Lue" w:hAnsi="Microsoft New Tai Lue" w:cs="Microsoft New Tai Lue"/>
          <w:color w:val="auto"/>
          <w:szCs w:val="21"/>
          <w:highlight w:val="none"/>
        </w:rPr>
      </w:pPr>
      <w:bookmarkStart w:id="249" w:name="_Toc104560886"/>
      <w:bookmarkStart w:id="250" w:name="_Toc103848572"/>
      <w:bookmarkStart w:id="251" w:name="_Toc107246267"/>
      <w:r>
        <w:rPr>
          <w:rFonts w:ascii="Microsoft New Tai Lue" w:hAnsi="Microsoft New Tai Lue" w:cs="Microsoft New Tai Lue"/>
          <w:color w:val="auto"/>
          <w:szCs w:val="21"/>
          <w:highlight w:val="none"/>
        </w:rPr>
        <w:t>38.招标代理服务费</w:t>
      </w:r>
      <w:bookmarkEnd w:id="249"/>
      <w:bookmarkEnd w:id="250"/>
      <w:bookmarkEnd w:id="251"/>
    </w:p>
    <w:p w14:paraId="78F47D0C">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38.1中标人是否交纳投招标代理服务费及相关要求见</w:t>
      </w:r>
      <w:r>
        <w:rPr>
          <w:rFonts w:ascii="Microsoft New Tai Lue" w:hAnsi="Microsoft New Tai Lue" w:cs="Microsoft New Tai Lue"/>
          <w:b/>
          <w:color w:val="auto"/>
          <w:szCs w:val="21"/>
          <w:highlight w:val="none"/>
        </w:rPr>
        <w:t>投标人须知前附表</w:t>
      </w:r>
      <w:r>
        <w:rPr>
          <w:rFonts w:ascii="Microsoft New Tai Lue" w:hAnsi="Microsoft New Tai Lue" w:cs="Microsoft New Tai Lue"/>
          <w:color w:val="auto"/>
          <w:szCs w:val="21"/>
          <w:highlight w:val="none"/>
        </w:rPr>
        <w:t>。</w:t>
      </w:r>
    </w:p>
    <w:p w14:paraId="566E4020">
      <w:pPr>
        <w:pStyle w:val="2"/>
        <w:spacing w:line="360" w:lineRule="auto"/>
        <w:ind w:left="0" w:leftChars="0" w:right="210"/>
        <w:rPr>
          <w:rFonts w:ascii="Microsoft New Tai Lue" w:hAnsi="Microsoft New Tai Lue" w:cs="Microsoft New Tai Lue"/>
          <w:color w:val="auto"/>
          <w:szCs w:val="21"/>
          <w:highlight w:val="none"/>
        </w:rPr>
      </w:pPr>
      <w:bookmarkStart w:id="252" w:name="_Toc104560887"/>
      <w:bookmarkStart w:id="253" w:name="_Toc107246268"/>
      <w:bookmarkStart w:id="254" w:name="_Toc103848573"/>
      <w:r>
        <w:rPr>
          <w:rFonts w:ascii="Microsoft New Tai Lue" w:hAnsi="Microsoft New Tai Lue" w:cs="Microsoft New Tai Lue"/>
          <w:color w:val="auto"/>
          <w:szCs w:val="21"/>
          <w:highlight w:val="none"/>
        </w:rPr>
        <w:t>39.其他规定</w:t>
      </w:r>
      <w:bookmarkEnd w:id="252"/>
      <w:bookmarkEnd w:id="253"/>
      <w:bookmarkEnd w:id="254"/>
    </w:p>
    <w:p w14:paraId="5E9EF4BF">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39.1投标文件的其他规定见</w:t>
      </w:r>
      <w:r>
        <w:rPr>
          <w:rFonts w:ascii="Microsoft New Tai Lue" w:hAnsi="Microsoft New Tai Lue" w:cs="Microsoft New Tai Lue"/>
          <w:b/>
          <w:color w:val="auto"/>
          <w:szCs w:val="21"/>
          <w:highlight w:val="none"/>
        </w:rPr>
        <w:t>投标人须知前附</w:t>
      </w:r>
      <w:r>
        <w:rPr>
          <w:rFonts w:ascii="Microsoft New Tai Lue" w:hAnsi="Microsoft New Tai Lue" w:cs="Microsoft New Tai Lue"/>
          <w:color w:val="auto"/>
          <w:szCs w:val="21"/>
          <w:highlight w:val="none"/>
        </w:rPr>
        <w:t>表。</w:t>
      </w:r>
    </w:p>
    <w:p w14:paraId="13203D86">
      <w:pPr>
        <w:pStyle w:val="2"/>
        <w:spacing w:line="360" w:lineRule="auto"/>
        <w:ind w:left="0" w:leftChars="0" w:right="210"/>
        <w:rPr>
          <w:rFonts w:ascii="Microsoft New Tai Lue" w:hAnsi="Microsoft New Tai Lue" w:cs="Microsoft New Tai Lue"/>
          <w:color w:val="auto"/>
          <w:szCs w:val="21"/>
          <w:highlight w:val="none"/>
        </w:rPr>
      </w:pPr>
      <w:bookmarkStart w:id="255" w:name="_Toc103848574"/>
      <w:bookmarkStart w:id="256" w:name="_Toc104560888"/>
      <w:bookmarkStart w:id="257" w:name="_Toc107246269"/>
      <w:r>
        <w:rPr>
          <w:rFonts w:ascii="Microsoft New Tai Lue" w:hAnsi="Microsoft New Tai Lue" w:cs="Microsoft New Tai Lue"/>
          <w:color w:val="auto"/>
          <w:szCs w:val="21"/>
          <w:highlight w:val="none"/>
        </w:rPr>
        <w:t>40.文件解释权</w:t>
      </w:r>
      <w:bookmarkEnd w:id="255"/>
      <w:bookmarkEnd w:id="256"/>
      <w:bookmarkEnd w:id="257"/>
    </w:p>
    <w:p w14:paraId="56E4F400">
      <w:pPr>
        <w:spacing w:line="360" w:lineRule="auto"/>
        <w:ind w:firstLine="420" w:firstLineChars="2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40.1本招标文件的解释权归采购人（或采购代理机构）所有。</w:t>
      </w:r>
    </w:p>
    <w:bookmarkEnd w:id="185"/>
    <w:p w14:paraId="2871984A">
      <w:pPr>
        <w:pStyle w:val="31"/>
        <w:rPr>
          <w:rFonts w:ascii="Microsoft New Tai Lue" w:hAnsi="Microsoft New Tai Lue" w:cs="Microsoft New Tai Lue"/>
          <w:color w:val="auto"/>
          <w:highlight w:val="none"/>
        </w:rPr>
      </w:pPr>
      <w:bookmarkStart w:id="258" w:name="_Toc91836563"/>
      <w:r>
        <w:rPr>
          <w:rFonts w:ascii="Microsoft New Tai Lue" w:hAnsi="Microsoft New Tai Lue" w:cs="Microsoft New Tai Lue"/>
          <w:color w:val="auto"/>
          <w:highlight w:val="none"/>
        </w:rPr>
        <w:br w:type="page"/>
      </w:r>
      <w:bookmarkStart w:id="259" w:name="_Toc107246270"/>
      <w:r>
        <w:rPr>
          <w:rFonts w:ascii="Microsoft New Tai Lue" w:hAnsi="Microsoft New Tai Lue" w:cs="Microsoft New Tai Lue"/>
          <w:color w:val="auto"/>
          <w:highlight w:val="none"/>
        </w:rPr>
        <w:t>第三章 政府采购合同条款</w:t>
      </w:r>
      <w:bookmarkEnd w:id="258"/>
      <w:r>
        <w:rPr>
          <w:rFonts w:ascii="Microsoft New Tai Lue" w:hAnsi="Microsoft New Tai Lue" w:cs="Microsoft New Tai Lue"/>
          <w:color w:val="auto"/>
          <w:highlight w:val="none"/>
        </w:rPr>
        <w:t>及格式</w:t>
      </w:r>
      <w:bookmarkEnd w:id="259"/>
    </w:p>
    <w:p w14:paraId="23A8B5A8">
      <w:pPr>
        <w:keepNext w:val="0"/>
        <w:keepLines w:val="0"/>
        <w:pageBreakBefore w:val="0"/>
        <w:widowControl/>
        <w:shd w:val="clear" w:color="auto" w:fill="FFFFFF"/>
        <w:kinsoku/>
        <w:wordWrap/>
        <w:overflowPunct/>
        <w:topLinePunct w:val="0"/>
        <w:autoSpaceDE/>
        <w:autoSpaceDN/>
        <w:bidi w:val="0"/>
        <w:adjustRightInd/>
        <w:snapToGrid/>
        <w:spacing w:line="560" w:lineRule="exact"/>
        <w:ind w:firstLine="1918"/>
        <w:textAlignment w:val="auto"/>
        <w:rPr>
          <w:rFonts w:ascii="Times New Roman"/>
          <w:sz w:val="20"/>
        </w:rPr>
      </w:pPr>
      <w:r>
        <w:rPr>
          <w:rFonts w:hint="eastAsia" w:ascii="宋体" w:hAnsi="宋体"/>
          <w:b/>
          <w:bCs/>
          <w:color w:val="000000"/>
          <w:kern w:val="0"/>
          <w:sz w:val="36"/>
          <w:szCs w:val="36"/>
        </w:rPr>
        <w:t xml:space="preserve"> </w:t>
      </w:r>
    </w:p>
    <w:p w14:paraId="0701776E">
      <w:pPr>
        <w:pStyle w:val="13"/>
        <w:keepNext w:val="0"/>
        <w:keepLines w:val="0"/>
        <w:pageBreakBefore w:val="0"/>
        <w:kinsoku/>
        <w:wordWrap/>
        <w:overflowPunct/>
        <w:topLinePunct w:val="0"/>
        <w:autoSpaceDE/>
        <w:autoSpaceDN/>
        <w:bidi w:val="0"/>
        <w:adjustRightInd/>
        <w:snapToGrid/>
        <w:spacing w:line="560" w:lineRule="exact"/>
        <w:textAlignment w:val="auto"/>
        <w:rPr>
          <w:rFonts w:ascii="Times New Roman"/>
          <w:sz w:val="20"/>
        </w:rPr>
      </w:pPr>
    </w:p>
    <w:p w14:paraId="3E5C04A0">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09DF8577">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1CB1D808">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方正小标宋_GBK" w:hAnsi="方正小标宋_GBK" w:eastAsia="方正小标宋_GBK" w:cs="方正小标宋_GBK"/>
          <w:b w:val="0"/>
          <w:bCs w:val="0"/>
          <w:sz w:val="44"/>
          <w:szCs w:val="44"/>
        </w:rPr>
      </w:pPr>
    </w:p>
    <w:p w14:paraId="2FD7FF8B">
      <w:pPr>
        <w:pStyle w:val="13"/>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江苏省市场监督管理局</w:t>
      </w:r>
    </w:p>
    <w:p w14:paraId="2BFA129C">
      <w:pPr>
        <w:pStyle w:val="13"/>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lang w:eastAsia="zh-CN"/>
        </w:rPr>
      </w:pPr>
      <w:r>
        <w:rPr>
          <w:rFonts w:hint="eastAsia" w:ascii="方正小标宋_GBK" w:hAnsi="方正小标宋_GBK" w:eastAsia="方正小标宋_GBK" w:cs="方正小标宋_GBK"/>
          <w:b w:val="0"/>
          <w:bCs w:val="0"/>
          <w:sz w:val="44"/>
          <w:szCs w:val="44"/>
        </w:rPr>
        <w:t>食品安全抽检</w:t>
      </w:r>
      <w:r>
        <w:rPr>
          <w:rFonts w:hint="eastAsia" w:ascii="方正小标宋_GBK" w:hAnsi="方正小标宋_GBK" w:eastAsia="方正小标宋_GBK" w:cs="方正小标宋_GBK"/>
          <w:b w:val="0"/>
          <w:bCs w:val="0"/>
          <w:sz w:val="44"/>
          <w:szCs w:val="44"/>
          <w:lang w:val="en-US" w:eastAsia="zh-CN"/>
        </w:rPr>
        <w:t>技术</w:t>
      </w:r>
      <w:r>
        <w:rPr>
          <w:rFonts w:hint="eastAsia" w:ascii="方正小标宋_GBK" w:hAnsi="方正小标宋_GBK" w:eastAsia="方正小标宋_GBK" w:cs="方正小标宋_GBK"/>
          <w:b w:val="0"/>
          <w:bCs w:val="0"/>
          <w:sz w:val="44"/>
          <w:szCs w:val="44"/>
        </w:rPr>
        <w:t>服务合同</w:t>
      </w:r>
      <w:r>
        <w:rPr>
          <w:rFonts w:hint="eastAsia" w:ascii="方正小标宋_GBK" w:hAnsi="方正小标宋_GBK" w:eastAsia="方正小标宋_GBK" w:cs="方正小标宋_GBK"/>
          <w:b w:val="0"/>
          <w:bCs w:val="0"/>
          <w:sz w:val="44"/>
          <w:szCs w:val="44"/>
          <w:lang w:eastAsia="zh-CN"/>
        </w:rPr>
        <w:t>（</w:t>
      </w:r>
      <w:r>
        <w:rPr>
          <w:rFonts w:hint="eastAsia" w:ascii="方正小标宋_GBK" w:hAnsi="方正小标宋_GBK" w:eastAsia="方正小标宋_GBK" w:cs="方正小标宋_GBK"/>
          <w:b w:val="0"/>
          <w:bCs w:val="0"/>
          <w:sz w:val="44"/>
          <w:szCs w:val="44"/>
          <w:lang w:val="en-US" w:eastAsia="zh-CN"/>
        </w:rPr>
        <w:t>省抽</w:t>
      </w:r>
      <w:r>
        <w:rPr>
          <w:rFonts w:hint="eastAsia" w:ascii="方正小标宋_GBK" w:hAnsi="方正小标宋_GBK" w:eastAsia="方正小标宋_GBK" w:cs="方正小标宋_GBK"/>
          <w:b w:val="0"/>
          <w:bCs w:val="0"/>
          <w:sz w:val="44"/>
          <w:szCs w:val="44"/>
          <w:lang w:eastAsia="zh-CN"/>
        </w:rPr>
        <w:t>）</w:t>
      </w:r>
    </w:p>
    <w:p w14:paraId="4BB44544">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06A199F7">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78A76D7D">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40B0BFBC">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3E56D79C">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pPr>
    </w:p>
    <w:p w14:paraId="00F560B2">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1"/>
          <w:szCs w:val="21"/>
        </w:rPr>
      </w:pPr>
    </w:p>
    <w:p w14:paraId="539C5602">
      <w:pPr>
        <w:pStyle w:val="83"/>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1"/>
          <w:szCs w:val="21"/>
        </w:rPr>
      </w:pPr>
    </w:p>
    <w:p w14:paraId="197D92B6">
      <w:pPr>
        <w:pStyle w:val="83"/>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p>
    <w:p w14:paraId="35162DAA">
      <w:pPr>
        <w:pStyle w:val="13"/>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val="0"/>
          <w:bCs w:val="0"/>
          <w:sz w:val="32"/>
          <w:szCs w:val="32"/>
        </w:rPr>
      </w:pPr>
    </w:p>
    <w:p w14:paraId="34AC64E7">
      <w:pPr>
        <w:pStyle w:val="13"/>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20</w:t>
      </w:r>
      <w:r>
        <w:rPr>
          <w:rFonts w:hint="default" w:ascii="Times New Roman" w:hAnsi="Times New Roman" w:eastAsia="方正仿宋_GBK" w:cs="Times New Roman"/>
          <w:b w:val="0"/>
          <w:bCs w:val="0"/>
          <w:sz w:val="32"/>
          <w:szCs w:val="32"/>
          <w:lang w:val="en-US" w:eastAsia="zh-CN"/>
        </w:rPr>
        <w:t>2</w:t>
      </w:r>
      <w:r>
        <w:rPr>
          <w:rFonts w:hint="eastAsia" w:eastAsia="方正仿宋_GBK" w:cs="Times New Roman"/>
          <w:b w:val="0"/>
          <w:bCs w:val="0"/>
          <w:sz w:val="32"/>
          <w:szCs w:val="32"/>
          <w:lang w:val="en-US" w:eastAsia="zh-CN"/>
        </w:rPr>
        <w:t>6</w:t>
      </w:r>
      <w:r>
        <w:rPr>
          <w:rFonts w:hint="default" w:ascii="Times New Roman" w:hAnsi="Times New Roman" w:eastAsia="方正仿宋_GBK" w:cs="Times New Roman"/>
          <w:b w:val="0"/>
          <w:bCs w:val="0"/>
          <w:sz w:val="32"/>
          <w:szCs w:val="32"/>
        </w:rPr>
        <w:t xml:space="preserve"> 年</w:t>
      </w:r>
      <w:r>
        <w:rPr>
          <w:rFonts w:hint="eastAsia" w:eastAsia="方正仿宋_GBK" w:cs="Times New Roman"/>
          <w:b w:val="0"/>
          <w:bCs w:val="0"/>
          <w:sz w:val="32"/>
          <w:szCs w:val="32"/>
          <w:lang w:val="en-US" w:eastAsia="zh-CN"/>
        </w:rPr>
        <w:t xml:space="preserve">  </w:t>
      </w:r>
      <w:r>
        <w:rPr>
          <w:rFonts w:hint="default" w:ascii="Times New Roman" w:hAnsi="Times New Roman" w:eastAsia="方正仿宋_GBK" w:cs="Times New Roman"/>
          <w:b w:val="0"/>
          <w:bCs w:val="0"/>
          <w:sz w:val="32"/>
          <w:szCs w:val="32"/>
        </w:rPr>
        <w:t>月</w:t>
      </w:r>
    </w:p>
    <w:p w14:paraId="6A01D97A">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sz w:val="21"/>
          <w:szCs w:val="21"/>
        </w:rPr>
        <w:sectPr>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0" w:charSpace="0"/>
        </w:sectPr>
      </w:pPr>
    </w:p>
    <w:p w14:paraId="3C07033B">
      <w:pPr>
        <w:pStyle w:val="13"/>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合同说明</w:t>
      </w:r>
    </w:p>
    <w:p w14:paraId="4D7A98EF">
      <w:pPr>
        <w:pStyle w:val="1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b w:val="0"/>
          <w:bCs w:val="0"/>
          <w:sz w:val="32"/>
          <w:szCs w:val="32"/>
        </w:rPr>
      </w:pPr>
    </w:p>
    <w:p w14:paraId="64688782">
      <w:pPr>
        <w:pStyle w:val="1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1．本合同是根据《中华人民共和国</w:t>
      </w:r>
      <w:r>
        <w:rPr>
          <w:rFonts w:hint="eastAsia" w:ascii="Times New Roman" w:hAnsi="Times New Roman" w:eastAsia="方正仿宋_GBK" w:cs="Times New Roman"/>
          <w:b w:val="0"/>
          <w:bCs w:val="0"/>
          <w:sz w:val="32"/>
          <w:szCs w:val="32"/>
          <w:lang w:val="en-US" w:eastAsia="zh-CN"/>
        </w:rPr>
        <w:t>民法典</w:t>
      </w:r>
      <w:r>
        <w:rPr>
          <w:rFonts w:hint="default" w:ascii="Times New Roman" w:hAnsi="Times New Roman" w:eastAsia="方正仿宋_GBK" w:cs="Times New Roman"/>
          <w:b w:val="0"/>
          <w:bCs w:val="0"/>
          <w:sz w:val="32"/>
          <w:szCs w:val="32"/>
        </w:rPr>
        <w:t>》和江苏省市场监督管理局有关规定制定，旨在加强对项目的管理，保证项目</w:t>
      </w:r>
      <w:r>
        <w:rPr>
          <w:rFonts w:hint="eastAsia" w:ascii="Times New Roman" w:hAnsi="Times New Roman" w:eastAsia="方正仿宋_GBK" w:cs="Times New Roman"/>
          <w:b w:val="0"/>
          <w:bCs w:val="0"/>
          <w:sz w:val="32"/>
          <w:szCs w:val="32"/>
          <w:lang w:val="en-US" w:eastAsia="zh-CN"/>
        </w:rPr>
        <w:t>实施</w:t>
      </w:r>
      <w:r>
        <w:rPr>
          <w:rFonts w:hint="default" w:ascii="Times New Roman" w:hAnsi="Times New Roman" w:eastAsia="方正仿宋_GBK" w:cs="Times New Roman"/>
          <w:b w:val="0"/>
          <w:bCs w:val="0"/>
          <w:sz w:val="32"/>
          <w:szCs w:val="32"/>
        </w:rPr>
        <w:t>。</w:t>
      </w:r>
    </w:p>
    <w:p w14:paraId="273072B7">
      <w:pPr>
        <w:pStyle w:val="1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2．本合同由江苏省市场监督管理局（简称甲方）和项目受托方负责人（简称乙方）共同签订。</w:t>
      </w:r>
    </w:p>
    <w:p w14:paraId="045F3D68">
      <w:pPr>
        <w:pStyle w:val="1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3．本合同未尽事项，可由当事人附页另行约定，并作为本合同的组成部分。</w:t>
      </w:r>
    </w:p>
    <w:p w14:paraId="2EFD1C28">
      <w:pPr>
        <w:pStyle w:val="1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4．当事人使用本合同时约定无需填写的条款，应在该条款处注明</w:t>
      </w:r>
      <w:r>
        <w:rPr>
          <w:rFonts w:hint="eastAsia" w:ascii="方正仿宋_GBK" w:hAnsi="方正仿宋_GBK" w:eastAsia="方正仿宋_GBK" w:cs="方正仿宋_GBK"/>
          <w:b w:val="0"/>
          <w:bCs w:val="0"/>
          <w:sz w:val="32"/>
          <w:szCs w:val="32"/>
        </w:rPr>
        <w:t>“无”</w:t>
      </w:r>
      <w:r>
        <w:rPr>
          <w:rFonts w:hint="default" w:ascii="Times New Roman" w:hAnsi="Times New Roman" w:eastAsia="方正仿宋_GBK" w:cs="Times New Roman"/>
          <w:b w:val="0"/>
          <w:bCs w:val="0"/>
          <w:sz w:val="32"/>
          <w:szCs w:val="32"/>
        </w:rPr>
        <w:t>等字样。</w:t>
      </w:r>
    </w:p>
    <w:p w14:paraId="0E3A6B51">
      <w:pPr>
        <w:pStyle w:val="13"/>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方正仿宋_GBK" w:cs="Times New Roman"/>
          <w:b w:val="0"/>
          <w:bCs w:val="0"/>
          <w:sz w:val="32"/>
          <w:szCs w:val="32"/>
        </w:rPr>
        <w:sectPr>
          <w:footerReference r:id="rId5" w:type="default"/>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0" w:charSpace="0"/>
        </w:sectPr>
      </w:pPr>
      <w:r>
        <w:rPr>
          <w:rFonts w:hint="default" w:ascii="Times New Roman" w:hAnsi="Times New Roman" w:eastAsia="方正仿宋_GBK" w:cs="Times New Roman"/>
          <w:b w:val="0"/>
          <w:bCs w:val="0"/>
          <w:sz w:val="32"/>
          <w:szCs w:val="32"/>
        </w:rPr>
        <w:t>5．本合同一式</w:t>
      </w:r>
      <w:r>
        <w:rPr>
          <w:rFonts w:hint="eastAsia" w:eastAsia="方正仿宋_GBK" w:cs="Times New Roman"/>
          <w:b w:val="0"/>
          <w:bCs w:val="0"/>
          <w:sz w:val="32"/>
          <w:szCs w:val="32"/>
          <w:lang w:val="en-US" w:eastAsia="zh-CN"/>
        </w:rPr>
        <w:t>叁</w:t>
      </w:r>
      <w:r>
        <w:rPr>
          <w:rFonts w:hint="default" w:ascii="Times New Roman" w:hAnsi="Times New Roman" w:eastAsia="方正仿宋_GBK" w:cs="Times New Roman"/>
          <w:b w:val="0"/>
          <w:bCs w:val="0"/>
          <w:sz w:val="32"/>
          <w:szCs w:val="32"/>
        </w:rPr>
        <w:t>份，具有同等法律效力，甲方</w:t>
      </w:r>
      <w:r>
        <w:rPr>
          <w:rFonts w:hint="eastAsia" w:eastAsia="方正仿宋_GBK" w:cs="Times New Roman"/>
          <w:b w:val="0"/>
          <w:bCs w:val="0"/>
          <w:sz w:val="32"/>
          <w:szCs w:val="32"/>
          <w:lang w:val="en-US" w:eastAsia="zh-CN"/>
        </w:rPr>
        <w:t>贰</w:t>
      </w:r>
      <w:r>
        <w:rPr>
          <w:rFonts w:hint="default" w:ascii="Times New Roman" w:hAnsi="Times New Roman" w:eastAsia="方正仿宋_GBK" w:cs="Times New Roman"/>
          <w:b w:val="0"/>
          <w:bCs w:val="0"/>
          <w:sz w:val="32"/>
          <w:szCs w:val="32"/>
        </w:rPr>
        <w:t>份、乙方</w:t>
      </w:r>
      <w:r>
        <w:rPr>
          <w:rFonts w:hint="eastAsia" w:eastAsia="方正仿宋_GBK" w:cs="Times New Roman"/>
          <w:b w:val="0"/>
          <w:bCs w:val="0"/>
          <w:sz w:val="32"/>
          <w:szCs w:val="32"/>
          <w:lang w:val="en-US" w:eastAsia="zh-CN"/>
        </w:rPr>
        <w:t>壹</w:t>
      </w:r>
      <w:r>
        <w:rPr>
          <w:rFonts w:hint="default" w:ascii="Times New Roman" w:hAnsi="Times New Roman" w:eastAsia="方正仿宋_GBK" w:cs="Times New Roman"/>
          <w:b w:val="0"/>
          <w:bCs w:val="0"/>
          <w:sz w:val="32"/>
          <w:szCs w:val="32"/>
        </w:rPr>
        <w:t>份。</w:t>
      </w:r>
    </w:p>
    <w:p w14:paraId="4DAAAD16">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both"/>
        <w:textAlignment w:val="auto"/>
        <w:rPr>
          <w:rFonts w:hint="eastAsia" w:ascii="宋体" w:hAnsi="宋体" w:eastAsia="宋体" w:cs="宋体"/>
          <w:b w:val="0"/>
          <w:bCs w:val="0"/>
          <w:spacing w:val="-28"/>
          <w:sz w:val="21"/>
          <w:szCs w:val="21"/>
        </w:rPr>
      </w:pPr>
      <w:r>
        <w:rPr>
          <w:rFonts w:hint="eastAsia" w:ascii="宋体" w:hAnsi="宋体" w:eastAsia="宋体" w:cs="宋体"/>
          <w:b w:val="0"/>
          <w:bCs w:val="0"/>
          <w:sz w:val="21"/>
          <w:szCs w:val="21"/>
        </w:rPr>
        <w:t>项目名称：</w:t>
      </w:r>
    </w:p>
    <w:p w14:paraId="2809EF44">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rPr>
        <w:t>项目编号：</w:t>
      </w:r>
      <w:r>
        <w:rPr>
          <w:rFonts w:hint="eastAsia" w:ascii="宋体" w:hAnsi="宋体" w:eastAsia="宋体" w:cs="宋体"/>
          <w:b w:val="0"/>
          <w:bCs w:val="0"/>
          <w:sz w:val="21"/>
          <w:szCs w:val="21"/>
          <w:highlight w:val="none"/>
        </w:rPr>
        <w:tab/>
      </w:r>
    </w:p>
    <w:p w14:paraId="1E84E9C2">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项目委托单位（甲方）：江苏省市场监督管理局</w:t>
      </w:r>
      <w:r>
        <w:rPr>
          <w:rFonts w:hint="eastAsia" w:ascii="宋体" w:hAnsi="宋体" w:eastAsia="宋体" w:cs="宋体"/>
          <w:b w:val="0"/>
          <w:bCs w:val="0"/>
          <w:sz w:val="21"/>
          <w:szCs w:val="21"/>
        </w:rPr>
        <w:tab/>
      </w:r>
    </w:p>
    <w:p w14:paraId="45C14D47">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地址：南京市鼓楼区草场门大街107号</w:t>
      </w:r>
    </w:p>
    <w:p w14:paraId="7A324916">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邮编：</w:t>
      </w:r>
      <w:r>
        <w:rPr>
          <w:rFonts w:hint="eastAsia" w:ascii="宋体" w:hAnsi="宋体" w:eastAsia="宋体" w:cs="宋体"/>
          <w:b w:val="0"/>
          <w:bCs w:val="0"/>
          <w:sz w:val="21"/>
          <w:szCs w:val="21"/>
          <w:lang w:val="en-US" w:eastAsia="zh-CN"/>
        </w:rPr>
        <w:t>210036</w:t>
      </w:r>
    </w:p>
    <w:p w14:paraId="2F410626">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甲方负责人：</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rPr>
        <w:t>联系电话：</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rPr>
        <w:t xml:space="preserve"> </w:t>
      </w:r>
    </w:p>
    <w:p w14:paraId="332CA36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p>
    <w:p w14:paraId="30BF6A9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rPr>
      </w:pPr>
    </w:p>
    <w:p w14:paraId="5862D9D7">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项目承担单位（乙方）：</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rPr>
        <w:t xml:space="preserve"> </w:t>
      </w:r>
    </w:p>
    <w:p w14:paraId="3DCF973B">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地址：</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rPr>
        <w:t xml:space="preserve"> </w:t>
      </w:r>
    </w:p>
    <w:p w14:paraId="299A90F7">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u w:val="single"/>
          <w:lang w:val="en-US" w:eastAsia="zh-CN"/>
        </w:rPr>
      </w:pPr>
      <w:r>
        <w:rPr>
          <w:rFonts w:hint="eastAsia" w:ascii="宋体" w:hAnsi="宋体" w:eastAsia="宋体" w:cs="宋体"/>
          <w:b w:val="0"/>
          <w:bCs w:val="0"/>
          <w:sz w:val="21"/>
          <w:szCs w:val="21"/>
        </w:rPr>
        <w:t>单位开户名：</w:t>
      </w:r>
      <w:r>
        <w:rPr>
          <w:rFonts w:hint="eastAsia" w:ascii="宋体" w:hAnsi="宋体" w:eastAsia="宋体" w:cs="宋体"/>
          <w:b w:val="0"/>
          <w:bCs w:val="0"/>
          <w:sz w:val="21"/>
          <w:szCs w:val="21"/>
          <w:u w:val="single"/>
          <w:lang w:val="en-US" w:eastAsia="zh-CN"/>
        </w:rPr>
        <w:t xml:space="preserve">                                                </w:t>
      </w:r>
    </w:p>
    <w:p w14:paraId="381C2C2F">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开户银行（全称）：</w:t>
      </w:r>
      <w:r>
        <w:rPr>
          <w:rFonts w:hint="eastAsia" w:ascii="宋体" w:hAnsi="宋体" w:eastAsia="宋体" w:cs="宋体"/>
          <w:b w:val="0"/>
          <w:bCs w:val="0"/>
          <w:sz w:val="21"/>
          <w:szCs w:val="21"/>
          <w:u w:val="single"/>
          <w:lang w:val="en-US" w:eastAsia="zh-CN"/>
        </w:rPr>
        <w:t xml:space="preserve">                                          </w:t>
      </w:r>
    </w:p>
    <w:p w14:paraId="12BD260C">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u w:val="single"/>
          <w:lang w:val="en-US" w:eastAsia="zh-CN"/>
        </w:rPr>
      </w:pPr>
      <w:r>
        <w:rPr>
          <w:rFonts w:hint="eastAsia" w:ascii="宋体" w:hAnsi="宋体" w:eastAsia="宋体" w:cs="宋体"/>
          <w:b w:val="0"/>
          <w:bCs w:val="0"/>
          <w:sz w:val="21"/>
          <w:szCs w:val="21"/>
        </w:rPr>
        <w:t>银行账号：</w:t>
      </w:r>
      <w:r>
        <w:rPr>
          <w:rFonts w:hint="eastAsia" w:ascii="宋体" w:hAnsi="宋体" w:eastAsia="宋体" w:cs="宋体"/>
          <w:b w:val="0"/>
          <w:bCs w:val="0"/>
          <w:sz w:val="21"/>
          <w:szCs w:val="21"/>
          <w:u w:val="single"/>
          <w:lang w:val="en-US" w:eastAsia="zh-CN"/>
        </w:rPr>
        <w:t xml:space="preserve">                                                  </w:t>
      </w:r>
    </w:p>
    <w:p w14:paraId="43899553">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乙方负责人：</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rPr>
        <w:t>身份证号：</w:t>
      </w:r>
      <w:r>
        <w:rPr>
          <w:rFonts w:hint="eastAsia" w:ascii="宋体" w:hAnsi="宋体" w:eastAsia="宋体" w:cs="宋体"/>
          <w:b w:val="0"/>
          <w:bCs w:val="0"/>
          <w:sz w:val="21"/>
          <w:szCs w:val="21"/>
          <w:u w:val="single"/>
          <w:lang w:val="en-US" w:eastAsia="zh-CN"/>
        </w:rPr>
        <w:t xml:space="preserve">                          </w:t>
      </w:r>
    </w:p>
    <w:p w14:paraId="048F74DE">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固定电话：</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rPr>
        <w:t>移动电话：</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single"/>
        </w:rPr>
        <w:t xml:space="preserve"> </w:t>
      </w:r>
    </w:p>
    <w:p w14:paraId="39527BF0">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传真：</w:t>
      </w:r>
      <w:r>
        <w:rPr>
          <w:rFonts w:hint="eastAsia" w:ascii="宋体" w:hAnsi="宋体" w:eastAsia="宋体" w:cs="宋体"/>
          <w:b w:val="0"/>
          <w:bCs w:val="0"/>
          <w:sz w:val="21"/>
          <w:szCs w:val="21"/>
          <w:u w:val="single"/>
          <w:lang w:val="en-US" w:eastAsia="zh-CN"/>
        </w:rPr>
        <w:t xml:space="preserve">                                                     </w:t>
      </w:r>
      <w:r>
        <w:rPr>
          <w:rFonts w:hint="eastAsia" w:ascii="宋体" w:hAnsi="宋体" w:eastAsia="宋体" w:cs="宋体"/>
          <w:b w:val="0"/>
          <w:bCs w:val="0"/>
          <w:sz w:val="21"/>
          <w:szCs w:val="21"/>
          <w:u w:val="single"/>
        </w:rPr>
        <w:t xml:space="preserve"> </w:t>
      </w:r>
    </w:p>
    <w:p w14:paraId="04CA3E48">
      <w:pPr>
        <w:pStyle w:val="13"/>
        <w:keepNext w:val="0"/>
        <w:keepLines w:val="0"/>
        <w:pageBreakBefore w:val="0"/>
        <w:widowControl w:val="0"/>
        <w:kinsoku/>
        <w:wordWrap/>
        <w:overflowPunct/>
        <w:topLinePunct w:val="0"/>
        <w:autoSpaceDE/>
        <w:autoSpaceDN/>
        <w:bidi w:val="0"/>
        <w:adjustRightInd/>
        <w:snapToGrid/>
        <w:spacing w:after="0" w:line="360" w:lineRule="auto"/>
        <w:ind w:firstLine="420" w:firstLineChars="200"/>
        <w:jc w:val="left"/>
        <w:textAlignment w:val="auto"/>
        <w:rPr>
          <w:rFonts w:hint="eastAsia" w:ascii="宋体" w:hAnsi="宋体" w:eastAsia="宋体" w:cs="宋体"/>
          <w:b w:val="0"/>
          <w:bCs w:val="0"/>
          <w:sz w:val="21"/>
          <w:szCs w:val="21"/>
        </w:rPr>
        <w:sectPr>
          <w:footerReference r:id="rId6" w:type="default"/>
          <w:footerReference r:id="rId7" w:type="even"/>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0" w:charSpace="0"/>
        </w:sectPr>
      </w:pPr>
    </w:p>
    <w:p w14:paraId="36CB60EC">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双方经过平等协商，在真实、充分地表达各自意愿的基础上，根据《中华人民共和国</w:t>
      </w:r>
      <w:r>
        <w:rPr>
          <w:rFonts w:hint="eastAsia" w:ascii="宋体" w:hAnsi="宋体" w:eastAsia="宋体" w:cs="宋体"/>
          <w:b w:val="0"/>
          <w:bCs w:val="0"/>
          <w:sz w:val="21"/>
          <w:szCs w:val="21"/>
          <w:lang w:val="en-US" w:eastAsia="zh-CN"/>
        </w:rPr>
        <w:t>民法典</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合同编</w:t>
      </w:r>
      <w:r>
        <w:rPr>
          <w:rFonts w:hint="eastAsia" w:ascii="宋体" w:hAnsi="宋体" w:eastAsia="宋体" w:cs="宋体"/>
          <w:b w:val="0"/>
          <w:bCs w:val="0"/>
          <w:sz w:val="21"/>
          <w:szCs w:val="21"/>
        </w:rPr>
        <w:t>的规定，签订本合同，并由双方共同恪守：</w:t>
      </w:r>
    </w:p>
    <w:p w14:paraId="4F33A5CB">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一、服务内容</w:t>
      </w:r>
    </w:p>
    <w:p w14:paraId="26ABCAC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rPr>
        <w:t>（一）抽检</w:t>
      </w:r>
      <w:r>
        <w:rPr>
          <w:rFonts w:hint="eastAsia" w:ascii="宋体" w:hAnsi="宋体" w:eastAsia="宋体" w:cs="宋体"/>
          <w:b w:val="0"/>
          <w:bCs w:val="0"/>
          <w:sz w:val="21"/>
          <w:szCs w:val="21"/>
          <w:lang w:val="en-US" w:eastAsia="zh-CN"/>
        </w:rPr>
        <w:t>地区、类型及批次</w:t>
      </w:r>
      <w:r>
        <w:rPr>
          <w:rFonts w:hint="eastAsia" w:ascii="宋体" w:hAnsi="宋体" w:eastAsia="宋体" w:cs="宋体"/>
          <w:b w:val="0"/>
          <w:bCs w:val="0"/>
          <w:sz w:val="21"/>
          <w:szCs w:val="21"/>
        </w:rPr>
        <w:t xml:space="preserve">: </w:t>
      </w:r>
      <w:r>
        <w:rPr>
          <w:rFonts w:hint="eastAsia" w:ascii="宋体" w:hAnsi="宋体" w:eastAsia="宋体" w:cs="宋体"/>
          <w:b w:val="0"/>
          <w:bCs w:val="0"/>
          <w:sz w:val="21"/>
          <w:szCs w:val="21"/>
          <w:u w:val="single"/>
          <w:lang w:val="en-US" w:eastAsia="zh-CN"/>
        </w:rPr>
        <w:t xml:space="preserve">                                               </w:t>
      </w:r>
    </w:p>
    <w:p w14:paraId="69A3D563">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（二）抽检对象：根据</w:t>
      </w:r>
      <w:r>
        <w:rPr>
          <w:rFonts w:hint="eastAsia" w:ascii="宋体" w:hAnsi="宋体" w:eastAsia="宋体" w:cs="宋体"/>
          <w:b w:val="0"/>
          <w:bCs w:val="0"/>
          <w:sz w:val="21"/>
          <w:szCs w:val="21"/>
          <w:lang w:val="en-US" w:eastAsia="zh-CN"/>
        </w:rPr>
        <w:t>江苏</w:t>
      </w:r>
      <w:r>
        <w:rPr>
          <w:rFonts w:hint="eastAsia" w:ascii="宋体" w:hAnsi="宋体" w:eastAsia="宋体" w:cs="宋体"/>
          <w:b w:val="0"/>
          <w:bCs w:val="0"/>
          <w:sz w:val="21"/>
          <w:szCs w:val="21"/>
        </w:rPr>
        <w:t>省市场</w:t>
      </w:r>
      <w:r>
        <w:rPr>
          <w:rFonts w:hint="eastAsia" w:ascii="宋体" w:hAnsi="宋体" w:eastAsia="宋体" w:cs="宋体"/>
          <w:b w:val="0"/>
          <w:bCs w:val="0"/>
          <w:sz w:val="21"/>
          <w:szCs w:val="21"/>
          <w:lang w:val="en-US" w:eastAsia="zh-CN"/>
        </w:rPr>
        <w:t>监督管理局</w:t>
      </w:r>
      <w:r>
        <w:rPr>
          <w:rFonts w:hint="eastAsia" w:ascii="宋体" w:hAnsi="宋体" w:eastAsia="宋体" w:cs="宋体"/>
          <w:b w:val="0"/>
          <w:bCs w:val="0"/>
          <w:sz w:val="21"/>
          <w:szCs w:val="21"/>
        </w:rPr>
        <w:t>食品安全抽检任务安排及相关要求</w:t>
      </w:r>
      <w:r>
        <w:rPr>
          <w:rFonts w:hint="eastAsia" w:ascii="宋体" w:hAnsi="宋体" w:eastAsia="宋体" w:cs="宋体"/>
          <w:b w:val="0"/>
          <w:bCs w:val="0"/>
          <w:sz w:val="21"/>
          <w:szCs w:val="21"/>
          <w:lang w:val="en-US" w:eastAsia="zh-CN"/>
        </w:rPr>
        <w:t>确定</w:t>
      </w:r>
      <w:r>
        <w:rPr>
          <w:rFonts w:hint="eastAsia" w:ascii="宋体" w:hAnsi="宋体" w:eastAsia="宋体" w:cs="宋体"/>
          <w:b w:val="0"/>
          <w:bCs w:val="0"/>
          <w:sz w:val="21"/>
          <w:szCs w:val="21"/>
        </w:rPr>
        <w:t>。</w:t>
      </w:r>
    </w:p>
    <w:p w14:paraId="08EB1066">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kern w:val="2"/>
          <w:sz w:val="21"/>
          <w:szCs w:val="21"/>
          <w:u w:val="none"/>
          <w:lang w:val="en-US" w:eastAsia="zh-CN" w:bidi="ar-SA"/>
        </w:rPr>
      </w:pPr>
      <w:r>
        <w:rPr>
          <w:rFonts w:hint="eastAsia" w:ascii="宋体" w:hAnsi="宋体" w:eastAsia="宋体" w:cs="宋体"/>
          <w:b w:val="0"/>
          <w:bCs w:val="0"/>
          <w:sz w:val="21"/>
          <w:szCs w:val="21"/>
        </w:rPr>
        <w:t>（三）抽检任务</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u w:val="single"/>
          <w:lang w:val="en-US" w:eastAsia="zh-CN"/>
        </w:rPr>
        <w:t xml:space="preserve">                                                           </w:t>
      </w:r>
    </w:p>
    <w:p w14:paraId="38E5467C">
      <w:pPr>
        <w:pStyle w:val="13"/>
        <w:keepNext w:val="0"/>
        <w:keepLines w:val="0"/>
        <w:pageBreakBefore w:val="0"/>
        <w:widowControl w:val="0"/>
        <w:kinsoku/>
        <w:wordWrap/>
        <w:overflowPunct/>
        <w:topLinePunct w:val="0"/>
        <w:autoSpaceDE/>
        <w:autoSpaceDN/>
        <w:bidi w:val="0"/>
        <w:adjustRightInd/>
        <w:snapToGrid w:val="0"/>
        <w:spacing w:after="0" w:line="560" w:lineRule="exact"/>
        <w:ind w:firstLine="420" w:firstLineChars="2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（四</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抽检要求</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乙方根据甲方相关要求完成抽检样品的抽样、运输、储存以及检验工作，按时上报检验数据，并对抽检质量负责。</w:t>
      </w:r>
    </w:p>
    <w:p w14:paraId="7BAAE2DB">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（五）</w:t>
      </w:r>
      <w:r>
        <w:rPr>
          <w:rFonts w:hint="eastAsia" w:ascii="宋体" w:hAnsi="宋体" w:eastAsia="宋体" w:cs="宋体"/>
          <w:b w:val="0"/>
          <w:bCs w:val="0"/>
          <w:sz w:val="21"/>
          <w:szCs w:val="21"/>
          <w:lang w:val="en-US" w:eastAsia="zh-CN"/>
        </w:rPr>
        <w:t>检验报告</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乙方</w:t>
      </w:r>
      <w:r>
        <w:rPr>
          <w:rFonts w:hint="eastAsia" w:ascii="宋体" w:hAnsi="宋体" w:eastAsia="宋体" w:cs="宋体"/>
          <w:b w:val="0"/>
          <w:bCs w:val="0"/>
          <w:sz w:val="21"/>
          <w:szCs w:val="21"/>
        </w:rPr>
        <w:t>严格</w:t>
      </w:r>
      <w:r>
        <w:rPr>
          <w:rFonts w:hint="eastAsia" w:ascii="宋体" w:hAnsi="宋体" w:eastAsia="宋体" w:cs="宋体"/>
          <w:b w:val="0"/>
          <w:bCs w:val="0"/>
          <w:sz w:val="21"/>
          <w:szCs w:val="21"/>
          <w:lang w:val="en-US" w:eastAsia="zh-CN"/>
        </w:rPr>
        <w:t>按照法律法规规定及</w:t>
      </w:r>
      <w:r>
        <w:rPr>
          <w:rFonts w:hint="eastAsia" w:ascii="宋体" w:hAnsi="宋体" w:eastAsia="宋体" w:cs="宋体"/>
          <w:b w:val="0"/>
          <w:bCs w:val="0"/>
          <w:sz w:val="21"/>
          <w:szCs w:val="21"/>
        </w:rPr>
        <w:t>甲方相关要求进行</w:t>
      </w:r>
      <w:r>
        <w:rPr>
          <w:rFonts w:hint="eastAsia" w:ascii="宋体" w:hAnsi="宋体" w:eastAsia="宋体" w:cs="宋体"/>
          <w:b w:val="0"/>
          <w:bCs w:val="0"/>
          <w:sz w:val="21"/>
          <w:szCs w:val="21"/>
          <w:lang w:val="en-US" w:eastAsia="zh-CN"/>
        </w:rPr>
        <w:t>检验</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并对出具的检验报告负责</w:t>
      </w:r>
      <w:r>
        <w:rPr>
          <w:rFonts w:hint="eastAsia" w:ascii="宋体" w:hAnsi="宋体" w:eastAsia="宋体" w:cs="宋体"/>
          <w:b w:val="0"/>
          <w:bCs w:val="0"/>
          <w:sz w:val="21"/>
          <w:szCs w:val="21"/>
        </w:rPr>
        <w:t>。</w:t>
      </w:r>
    </w:p>
    <w:p w14:paraId="041E054F">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（六）抽检及结果报送时限要求：</w:t>
      </w:r>
      <w:r>
        <w:rPr>
          <w:rFonts w:hint="eastAsia" w:ascii="宋体" w:hAnsi="宋体" w:eastAsia="宋体" w:cs="宋体"/>
          <w:b w:val="0"/>
          <w:bCs w:val="0"/>
          <w:sz w:val="21"/>
          <w:szCs w:val="21"/>
          <w:lang w:val="en-US" w:eastAsia="zh-CN"/>
        </w:rPr>
        <w:t>乙方</w:t>
      </w:r>
      <w:r>
        <w:rPr>
          <w:rFonts w:hint="eastAsia" w:ascii="宋体" w:hAnsi="宋体" w:eastAsia="宋体" w:cs="宋体"/>
          <w:b w:val="0"/>
          <w:bCs w:val="0"/>
          <w:sz w:val="21"/>
          <w:szCs w:val="21"/>
        </w:rPr>
        <w:t>按照</w:t>
      </w:r>
      <w:r>
        <w:rPr>
          <w:rFonts w:hint="eastAsia" w:ascii="宋体" w:hAnsi="宋体" w:eastAsia="宋体" w:cs="宋体"/>
          <w:b w:val="0"/>
          <w:bCs w:val="0"/>
          <w:sz w:val="21"/>
          <w:szCs w:val="21"/>
          <w:lang w:val="en-US" w:eastAsia="zh-CN"/>
        </w:rPr>
        <w:t>法律法规规定及</w:t>
      </w:r>
      <w:r>
        <w:rPr>
          <w:rFonts w:hint="eastAsia" w:ascii="宋体" w:hAnsi="宋体" w:eastAsia="宋体" w:cs="宋体"/>
          <w:b w:val="0"/>
          <w:bCs w:val="0"/>
          <w:sz w:val="21"/>
          <w:szCs w:val="21"/>
        </w:rPr>
        <w:t>甲方相关要求进行报送。</w:t>
      </w:r>
    </w:p>
    <w:p w14:paraId="2E0EC630">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（七）项目验收：甲方对乙方抽检工作完成进度</w:t>
      </w:r>
      <w:r>
        <w:rPr>
          <w:rFonts w:hint="eastAsia" w:ascii="宋体" w:hAnsi="宋体" w:eastAsia="宋体" w:cs="宋体"/>
          <w:b w:val="0"/>
          <w:bCs w:val="0"/>
          <w:sz w:val="21"/>
          <w:szCs w:val="21"/>
          <w:lang w:val="en-US" w:eastAsia="zh-CN"/>
        </w:rPr>
        <w:t>和完成质量</w:t>
      </w:r>
      <w:r>
        <w:rPr>
          <w:rFonts w:hint="eastAsia" w:ascii="宋体" w:hAnsi="宋体" w:eastAsia="宋体" w:cs="宋体"/>
          <w:b w:val="0"/>
          <w:bCs w:val="0"/>
          <w:sz w:val="21"/>
          <w:szCs w:val="21"/>
        </w:rPr>
        <w:t>、检验结果和检验报告的规范性</w:t>
      </w:r>
      <w:r>
        <w:rPr>
          <w:rFonts w:hint="eastAsia" w:ascii="宋体" w:hAnsi="宋体" w:eastAsia="宋体" w:cs="宋体"/>
          <w:b w:val="0"/>
          <w:bCs w:val="0"/>
          <w:sz w:val="21"/>
          <w:szCs w:val="21"/>
          <w:lang w:val="en-US" w:eastAsia="zh-CN"/>
        </w:rPr>
        <w:t>等</w:t>
      </w:r>
      <w:r>
        <w:rPr>
          <w:rFonts w:hint="eastAsia" w:ascii="宋体" w:hAnsi="宋体" w:eastAsia="宋体" w:cs="宋体"/>
          <w:b w:val="0"/>
          <w:bCs w:val="0"/>
          <w:sz w:val="21"/>
          <w:szCs w:val="21"/>
        </w:rPr>
        <w:t>进行审查验收。</w:t>
      </w:r>
    </w:p>
    <w:p w14:paraId="08AFDF91">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二、甲方的权利和义务</w:t>
      </w:r>
    </w:p>
    <w:p w14:paraId="316C05A5">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一</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负责工作任务的下达和资金的及时拨付。</w:t>
      </w:r>
    </w:p>
    <w:p w14:paraId="3818549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二</w:t>
      </w:r>
      <w:r>
        <w:rPr>
          <w:rFonts w:hint="eastAsia" w:ascii="宋体" w:hAnsi="宋体" w:eastAsia="宋体" w:cs="宋体"/>
          <w:b w:val="0"/>
          <w:bCs w:val="0"/>
          <w:sz w:val="21"/>
          <w:szCs w:val="21"/>
          <w:lang w:eastAsia="zh-CN"/>
        </w:rPr>
        <w:t>）提供食品安全抽检工作中涉及的非标准检验方法。</w:t>
      </w:r>
    </w:p>
    <w:p w14:paraId="6BE15EF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三</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提供抽检工作所需相关文书。</w:t>
      </w:r>
    </w:p>
    <w:p w14:paraId="7237A3F5">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lang w:val="en-US" w:eastAsia="zh-CN"/>
        </w:rPr>
        <w:t>四</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对乙方完成任务情况及抽检工作质量进行检查考核，并依规定采取相应的处理措施。</w:t>
      </w:r>
    </w:p>
    <w:p w14:paraId="3268F3BD">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三、乙方的权利和义务</w:t>
      </w:r>
    </w:p>
    <w:p w14:paraId="73BD66ED">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（一）</w:t>
      </w:r>
      <w:r>
        <w:rPr>
          <w:rFonts w:hint="eastAsia" w:ascii="宋体" w:hAnsi="宋体" w:eastAsia="宋体" w:cs="宋体"/>
          <w:b w:val="0"/>
          <w:bCs w:val="0"/>
          <w:sz w:val="21"/>
          <w:szCs w:val="21"/>
          <w:lang w:val="en-US" w:eastAsia="zh-CN"/>
        </w:rPr>
        <w:t>按照法律法规及《食品安全抽样检验管理办法》的规定规范开展食品安全抽检检验任务。</w:t>
      </w:r>
      <w:r>
        <w:rPr>
          <w:rFonts w:hint="eastAsia" w:ascii="宋体" w:hAnsi="宋体" w:eastAsia="宋体" w:cs="宋体"/>
          <w:b w:val="0"/>
          <w:bCs w:val="0"/>
          <w:sz w:val="21"/>
          <w:szCs w:val="21"/>
        </w:rPr>
        <w:t>遵守工作规定</w:t>
      </w:r>
      <w:r>
        <w:rPr>
          <w:rFonts w:hint="eastAsia" w:ascii="宋体" w:hAnsi="宋体" w:eastAsia="宋体" w:cs="宋体"/>
          <w:b w:val="0"/>
          <w:bCs w:val="0"/>
          <w:sz w:val="21"/>
          <w:szCs w:val="21"/>
          <w:lang w:val="en-US" w:eastAsia="zh-CN"/>
        </w:rPr>
        <w:t>及</w:t>
      </w:r>
      <w:r>
        <w:rPr>
          <w:rFonts w:hint="eastAsia" w:ascii="宋体" w:hAnsi="宋体" w:eastAsia="宋体" w:cs="宋体"/>
          <w:b w:val="0"/>
          <w:bCs w:val="0"/>
          <w:sz w:val="21"/>
          <w:szCs w:val="21"/>
        </w:rPr>
        <w:t>相关要求，确保具备所承担抽检任务涉及食品以及检验项目的检验能力和相关资质（非标准检验方法除外），能够对检验结论进行准确判定。本合同范围的抽样检验服务，应由乙方直接供应，不得转让他人供应；乙方不得租赁或借用他人检验设备完成所承担的</w:t>
      </w:r>
      <w:r>
        <w:rPr>
          <w:rFonts w:hint="eastAsia" w:ascii="宋体" w:hAnsi="宋体" w:eastAsia="宋体" w:cs="宋体"/>
          <w:b w:val="0"/>
          <w:bCs w:val="0"/>
          <w:sz w:val="21"/>
          <w:szCs w:val="21"/>
          <w:lang w:val="en-US" w:eastAsia="zh-CN"/>
        </w:rPr>
        <w:t>抽检任务</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未经</w:t>
      </w:r>
      <w:r>
        <w:rPr>
          <w:rFonts w:hint="eastAsia" w:ascii="宋体" w:hAnsi="宋体" w:eastAsia="宋体" w:cs="宋体"/>
          <w:b w:val="0"/>
          <w:bCs w:val="0"/>
          <w:sz w:val="21"/>
          <w:szCs w:val="21"/>
        </w:rPr>
        <w:t>甲方书面同意，不得分包。</w:t>
      </w:r>
    </w:p>
    <w:p w14:paraId="6CE3000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rPr>
        <w:t>（二）具备保证完成抽检检验任务所需的仪器设备、实验室环境、技术人员等工作条件，并在任务实施过程中予以保持。</w:t>
      </w:r>
    </w:p>
    <w:p w14:paraId="6FBA740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（三）按照甲方要求，及时完成</w:t>
      </w:r>
      <w:r>
        <w:rPr>
          <w:rFonts w:hint="eastAsia" w:ascii="宋体" w:hAnsi="宋体" w:eastAsia="宋体" w:cs="宋体"/>
          <w:b w:val="0"/>
          <w:bCs w:val="0"/>
          <w:color w:val="auto"/>
          <w:sz w:val="21"/>
          <w:szCs w:val="21"/>
          <w:highlight w:val="none"/>
          <w:lang w:eastAsia="zh-CN"/>
        </w:rPr>
        <w:t>符合要求的</w:t>
      </w:r>
      <w:r>
        <w:rPr>
          <w:rFonts w:hint="eastAsia" w:ascii="宋体" w:hAnsi="宋体" w:eastAsia="宋体" w:cs="宋体"/>
          <w:b w:val="0"/>
          <w:bCs w:val="0"/>
          <w:color w:val="auto"/>
          <w:sz w:val="21"/>
          <w:szCs w:val="21"/>
          <w:highlight w:val="none"/>
        </w:rPr>
        <w:t>抽样地点、抽检单位类型的样品采集工作。</w:t>
      </w:r>
    </w:p>
    <w:p w14:paraId="084F4C40">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rPr>
        <w:t>（四）拥有安全有效的实验室信息化管理系统和信息分析汇总人员，保证</w:t>
      </w:r>
      <w:r>
        <w:rPr>
          <w:rFonts w:hint="eastAsia" w:ascii="宋体" w:hAnsi="宋体" w:eastAsia="宋体" w:cs="宋体"/>
          <w:b w:val="0"/>
          <w:bCs w:val="0"/>
          <w:color w:val="auto"/>
          <w:sz w:val="21"/>
          <w:szCs w:val="21"/>
          <w:highlight w:val="none"/>
          <w:lang w:eastAsia="zh-CN"/>
        </w:rPr>
        <w:t>按时</w:t>
      </w:r>
      <w:r>
        <w:rPr>
          <w:rFonts w:hint="eastAsia" w:ascii="宋体" w:hAnsi="宋体" w:eastAsia="宋体" w:cs="宋体"/>
          <w:b w:val="0"/>
          <w:bCs w:val="0"/>
          <w:color w:val="auto"/>
          <w:sz w:val="21"/>
          <w:szCs w:val="21"/>
          <w:highlight w:val="none"/>
        </w:rPr>
        <w:t>完成</w:t>
      </w:r>
      <w:r>
        <w:rPr>
          <w:rFonts w:hint="eastAsia" w:ascii="宋体" w:hAnsi="宋体" w:eastAsia="宋体" w:cs="宋体"/>
          <w:b w:val="0"/>
          <w:bCs w:val="0"/>
          <w:color w:val="auto"/>
          <w:sz w:val="21"/>
          <w:szCs w:val="21"/>
          <w:highlight w:val="none"/>
          <w:lang w:eastAsia="zh-CN"/>
        </w:rPr>
        <w:t>高质量的</w:t>
      </w:r>
      <w:r>
        <w:rPr>
          <w:rFonts w:hint="eastAsia" w:ascii="宋体" w:hAnsi="宋体" w:eastAsia="宋体" w:cs="宋体"/>
          <w:b w:val="0"/>
          <w:bCs w:val="0"/>
          <w:color w:val="auto"/>
          <w:sz w:val="21"/>
          <w:szCs w:val="21"/>
          <w:highlight w:val="none"/>
        </w:rPr>
        <w:t>食品</w:t>
      </w:r>
      <w:r>
        <w:rPr>
          <w:rFonts w:hint="eastAsia" w:ascii="宋体" w:hAnsi="宋体" w:eastAsia="宋体" w:cs="宋体"/>
          <w:b w:val="0"/>
          <w:bCs w:val="0"/>
          <w:sz w:val="21"/>
          <w:szCs w:val="21"/>
        </w:rPr>
        <w:t>安全抽检数据上报工作。</w:t>
      </w:r>
    </w:p>
    <w:p w14:paraId="65E9F09B">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（五）</w:t>
      </w:r>
      <w:r>
        <w:rPr>
          <w:rFonts w:hint="eastAsia" w:ascii="宋体" w:hAnsi="宋体" w:eastAsia="宋体" w:cs="宋体"/>
          <w:b w:val="0"/>
          <w:bCs w:val="0"/>
          <w:sz w:val="21"/>
          <w:szCs w:val="21"/>
          <w:lang w:val="en-US" w:eastAsia="zh-CN"/>
        </w:rPr>
        <w:t>按时</w:t>
      </w:r>
      <w:r>
        <w:rPr>
          <w:rFonts w:hint="eastAsia" w:ascii="宋体" w:hAnsi="宋体" w:eastAsia="宋体" w:cs="宋体"/>
          <w:b w:val="0"/>
          <w:bCs w:val="0"/>
          <w:sz w:val="21"/>
          <w:szCs w:val="21"/>
        </w:rPr>
        <w:t>上报样品信息、</w:t>
      </w:r>
      <w:r>
        <w:rPr>
          <w:rFonts w:hint="eastAsia" w:ascii="宋体" w:hAnsi="宋体" w:eastAsia="宋体" w:cs="宋体"/>
          <w:b w:val="0"/>
          <w:bCs w:val="0"/>
          <w:sz w:val="21"/>
          <w:szCs w:val="21"/>
          <w:lang w:val="en-US" w:eastAsia="zh-CN"/>
        </w:rPr>
        <w:t>如实报告</w:t>
      </w:r>
      <w:r>
        <w:rPr>
          <w:rFonts w:hint="eastAsia" w:ascii="宋体" w:hAnsi="宋体" w:eastAsia="宋体" w:cs="宋体"/>
          <w:b w:val="0"/>
          <w:bCs w:val="0"/>
          <w:sz w:val="21"/>
          <w:szCs w:val="21"/>
        </w:rPr>
        <w:t>检验结果和抽检工作总结。对检验工作负责，确保所承担的抽样、检验等相关工作科学、公正、准确。检验过程中发现被检样品存在严重安全问题的，或检验出现明显异常情况的（如食品中检出三聚氰胺等、检出非法添加非食用物质、可能危及人体健康的重要安全问题、以及其他重大异常情况等），应当按照甲方相关要求</w:t>
      </w:r>
      <w:r>
        <w:rPr>
          <w:rFonts w:hint="eastAsia" w:ascii="宋体" w:hAnsi="宋体" w:eastAsia="宋体" w:cs="宋体"/>
          <w:b w:val="0"/>
          <w:bCs w:val="0"/>
          <w:sz w:val="21"/>
          <w:szCs w:val="21"/>
          <w:lang w:val="en-US" w:eastAsia="zh-CN"/>
        </w:rPr>
        <w:t>及时</w:t>
      </w:r>
      <w:r>
        <w:rPr>
          <w:rFonts w:hint="eastAsia" w:ascii="宋体" w:hAnsi="宋体" w:eastAsia="宋体" w:cs="宋体"/>
          <w:b w:val="0"/>
          <w:bCs w:val="0"/>
          <w:sz w:val="21"/>
          <w:szCs w:val="21"/>
        </w:rPr>
        <w:t>报告。</w:t>
      </w:r>
    </w:p>
    <w:p w14:paraId="37E8079A">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（六）严格遵守甲方关于抽检工作各环节的时间进度安排，及时将检验报告和规定的材料及有关情况报送甲方。对于无法按时上报的情况要事先向甲方书面说明情况。</w:t>
      </w:r>
    </w:p>
    <w:p w14:paraId="20C64DA7">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val="en-US"/>
        </w:rPr>
      </w:pPr>
      <w:r>
        <w:rPr>
          <w:rFonts w:hint="eastAsia" w:ascii="宋体" w:hAnsi="宋体" w:eastAsia="宋体" w:cs="宋体"/>
          <w:b w:val="0"/>
          <w:bCs w:val="0"/>
          <w:sz w:val="21"/>
          <w:szCs w:val="21"/>
        </w:rPr>
        <w:t>（七）</w:t>
      </w:r>
      <w:r>
        <w:rPr>
          <w:rFonts w:hint="eastAsia" w:ascii="宋体" w:hAnsi="宋体" w:eastAsia="宋体" w:cs="宋体"/>
          <w:b w:val="0"/>
          <w:bCs w:val="0"/>
          <w:sz w:val="21"/>
          <w:szCs w:val="21"/>
          <w:lang w:val="en-US" w:eastAsia="zh-CN"/>
        </w:rPr>
        <w:t>按时完成所承担任务抽检数据的小结分析工作，及时提交至任务牵头机构，牵头机构做好分析总结并按照甲方要求报告。</w:t>
      </w:r>
    </w:p>
    <w:p w14:paraId="733012D7">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（八）按照经费使用的各项规定进行资金的管理，严格按预算开支范围列支，专款专用，提高资金使用有效性。</w:t>
      </w:r>
    </w:p>
    <w:p w14:paraId="17545B00">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（九）接受甲方对抽检工作质量和经费使用情况的监督检查和考核。</w:t>
      </w:r>
    </w:p>
    <w:p w14:paraId="291D5FD4">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（十）检验报告出具单位名称应与投标法人单位一致，不一致时，需提供报告出具单位合法性证明材料，以及与投标法人单位之间的关系证明。</w:t>
      </w:r>
    </w:p>
    <w:p w14:paraId="2C26A4BC">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（十一）严格遵守法律法规的规定和抽检工作有关纪律要求。</w:t>
      </w:r>
    </w:p>
    <w:p w14:paraId="7FDB7C48">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不得在</w:t>
      </w:r>
      <w:r>
        <w:rPr>
          <w:rFonts w:hint="eastAsia" w:ascii="宋体" w:hAnsi="宋体" w:eastAsia="宋体" w:cs="宋体"/>
          <w:b w:val="0"/>
          <w:bCs w:val="0"/>
          <w:color w:val="auto"/>
          <w:sz w:val="21"/>
          <w:szCs w:val="21"/>
          <w:highlight w:val="none"/>
        </w:rPr>
        <w:t>开展抽样工作前事先通知被抽检食品生产经营单位；</w:t>
      </w:r>
    </w:p>
    <w:p w14:paraId="2F713217">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不得以承担抽检任务的名义向被抽检食品生产经营单位和其他单位承揽业务；</w:t>
      </w:r>
    </w:p>
    <w:p w14:paraId="664B875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rPr>
        <w:t>在承担抽检任务期间，不与食品生产经营单位签订同类食品的有偿服务协议及其它与本单位利益相关的工作；</w:t>
      </w:r>
    </w:p>
    <w:p w14:paraId="20645764">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不得接受被抽检企业的馈赠，不发生利用抽检工作牟取利益的其它行为；</w:t>
      </w:r>
    </w:p>
    <w:p w14:paraId="4AEDC3A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开展抽检工作，不得收取被抽检食品生产经营单位费用；</w:t>
      </w:r>
    </w:p>
    <w:p w14:paraId="2ED88DA7">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不得以各种形式利用抽检结果参与有偿活动，不开展食品推荐、评比活动，不向受检食品生产经营单位发放抽检合格证书或牌匾；</w:t>
      </w:r>
    </w:p>
    <w:p w14:paraId="72FF9635">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7、</w:t>
      </w:r>
      <w:r>
        <w:rPr>
          <w:rFonts w:hint="eastAsia" w:ascii="宋体" w:hAnsi="宋体" w:eastAsia="宋体" w:cs="宋体"/>
          <w:b w:val="0"/>
          <w:bCs w:val="0"/>
          <w:sz w:val="21"/>
          <w:szCs w:val="21"/>
        </w:rPr>
        <w:t>如与食品生产、经营企业存在股权、期权持有或被持有关系，或与食品生产经营企业存在长期有偿服务合同等可能影响食品安全抽检公平、公正情况的，应向甲方报告并主动回避相应食品大类的抽检工作。</w:t>
      </w:r>
    </w:p>
    <w:p w14:paraId="47EC6BEE">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遵守保密纪律要求。未经甲方同意，不得以任何方式向被抽检食品生产经营单位或其他单位、人员以及公众透露任何与检验任务、检验结果有关的信息。</w:t>
      </w:r>
    </w:p>
    <w:p w14:paraId="260001BD">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（十二）未经甲方同意，不得单方面拒绝或放弃履行承检义务。</w:t>
      </w:r>
    </w:p>
    <w:p w14:paraId="5FEEEE8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四、</w:t>
      </w:r>
      <w:r>
        <w:rPr>
          <w:rFonts w:hint="eastAsia" w:ascii="宋体" w:hAnsi="宋体" w:eastAsia="宋体" w:cs="宋体"/>
          <w:b w:val="0"/>
          <w:bCs w:val="0"/>
          <w:sz w:val="21"/>
          <w:szCs w:val="21"/>
          <w:lang w:val="en-US" w:eastAsia="zh-CN"/>
        </w:rPr>
        <w:t>合同</w:t>
      </w:r>
      <w:r>
        <w:rPr>
          <w:rFonts w:hint="eastAsia" w:ascii="宋体" w:hAnsi="宋体" w:eastAsia="宋体" w:cs="宋体"/>
          <w:b w:val="0"/>
          <w:bCs w:val="0"/>
          <w:sz w:val="21"/>
          <w:szCs w:val="21"/>
        </w:rPr>
        <w:t>金额</w:t>
      </w:r>
    </w:p>
    <w:p w14:paraId="058D992D">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合同</w:t>
      </w:r>
      <w:r>
        <w:rPr>
          <w:rFonts w:hint="eastAsia" w:ascii="宋体" w:hAnsi="宋体" w:eastAsia="宋体" w:cs="宋体"/>
          <w:b w:val="0"/>
          <w:bCs w:val="0"/>
          <w:sz w:val="21"/>
          <w:szCs w:val="21"/>
          <w:lang w:val="en-US" w:eastAsia="zh-CN"/>
        </w:rPr>
        <w:t>金额</w:t>
      </w:r>
      <w:r>
        <w:rPr>
          <w:rFonts w:hint="eastAsia" w:ascii="宋体" w:hAnsi="宋体" w:eastAsia="宋体" w:cs="宋体"/>
          <w:b w:val="0"/>
          <w:bCs w:val="0"/>
          <w:sz w:val="21"/>
          <w:szCs w:val="21"/>
        </w:rPr>
        <w:t>为</w:t>
      </w:r>
      <w:r>
        <w:rPr>
          <w:rFonts w:hint="eastAsia" w:ascii="宋体" w:hAnsi="宋体" w:eastAsia="宋体" w:cs="宋体"/>
          <w:b w:val="0"/>
          <w:bCs w:val="0"/>
          <w:sz w:val="21"/>
          <w:szCs w:val="21"/>
          <w:lang w:val="en-US" w:eastAsia="zh-CN"/>
        </w:rPr>
        <w:t>中标金额：人民币</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元</w:t>
      </w:r>
      <w:r>
        <w:rPr>
          <w:rFonts w:hint="eastAsia" w:ascii="宋体" w:hAnsi="宋体" w:eastAsia="宋体" w:cs="宋体"/>
          <w:b w:val="0"/>
          <w:bCs w:val="0"/>
          <w:sz w:val="21"/>
          <w:szCs w:val="21"/>
          <w:lang w:val="en-US" w:eastAsia="zh-CN"/>
        </w:rPr>
        <w:t>整</w:t>
      </w:r>
      <w:r>
        <w:rPr>
          <w:rFonts w:hint="eastAsia" w:ascii="宋体" w:hAnsi="宋体" w:eastAsia="宋体" w:cs="宋体"/>
          <w:b w:val="0"/>
          <w:bCs w:val="0"/>
          <w:sz w:val="21"/>
          <w:szCs w:val="21"/>
        </w:rPr>
        <w:t>。</w:t>
      </w:r>
    </w:p>
    <w:p w14:paraId="796717C9">
      <w:pPr>
        <w:keepNext w:val="0"/>
        <w:keepLines w:val="0"/>
        <w:pageBreakBefore w:val="0"/>
        <w:widowControl w:val="0"/>
        <w:numPr>
          <w:ilvl w:val="0"/>
          <w:numId w:val="0"/>
        </w:numPr>
        <w:kinsoku/>
        <w:wordWrap/>
        <w:overflowPunct/>
        <w:topLinePunct w:val="0"/>
        <w:autoSpaceDE/>
        <w:autoSpaceDN/>
        <w:bidi w:val="0"/>
        <w:adjustRightInd/>
        <w:spacing w:line="560" w:lineRule="exact"/>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五、项目验收</w:t>
      </w:r>
    </w:p>
    <w:p w14:paraId="1F17C6A8">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1、验收主体：</w:t>
      </w:r>
      <w:r>
        <w:rPr>
          <w:rFonts w:hint="eastAsia" w:ascii="宋体" w:hAnsi="宋体" w:eastAsia="宋体" w:cs="宋体"/>
          <w:color w:val="000000" w:themeColor="text1"/>
          <w:sz w:val="21"/>
          <w:szCs w:val="21"/>
          <w:lang w:val="en-US" w:eastAsia="zh-CN"/>
          <w14:textFill>
            <w14:solidFill>
              <w14:schemeClr w14:val="tx1"/>
            </w14:solidFill>
          </w14:textFill>
        </w:rPr>
        <w:t>甲方组织</w:t>
      </w:r>
      <w:r>
        <w:rPr>
          <w:rFonts w:hint="eastAsia" w:ascii="宋体" w:hAnsi="宋体" w:eastAsia="宋体" w:cs="宋体"/>
          <w:color w:val="000000" w:themeColor="text1"/>
          <w:sz w:val="21"/>
          <w:szCs w:val="21"/>
          <w14:textFill>
            <w14:solidFill>
              <w14:schemeClr w14:val="tx1"/>
            </w14:solidFill>
          </w14:textFill>
        </w:rPr>
        <w:t>开展</w:t>
      </w:r>
      <w:r>
        <w:rPr>
          <w:rFonts w:hint="eastAsia" w:ascii="宋体" w:hAnsi="宋体" w:eastAsia="宋体" w:cs="宋体"/>
          <w:color w:val="000000" w:themeColor="text1"/>
          <w:sz w:val="21"/>
          <w:szCs w:val="21"/>
          <w:lang w:val="en-US" w:eastAsia="zh-CN"/>
          <w14:textFill>
            <w14:solidFill>
              <w14:schemeClr w14:val="tx1"/>
            </w14:solidFill>
          </w14:textFill>
        </w:rPr>
        <w:t>项目</w:t>
      </w:r>
      <w:r>
        <w:rPr>
          <w:rFonts w:hint="eastAsia" w:ascii="宋体" w:hAnsi="宋体" w:eastAsia="宋体" w:cs="宋体"/>
          <w:color w:val="000000" w:themeColor="text1"/>
          <w:sz w:val="21"/>
          <w:szCs w:val="21"/>
          <w14:textFill>
            <w14:solidFill>
              <w14:schemeClr w14:val="tx1"/>
            </w14:solidFill>
          </w14:textFill>
        </w:rPr>
        <w:t>验收。</w:t>
      </w:r>
    </w:p>
    <w:p w14:paraId="0B82B452">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2、验收时间：在约定的服务内容全部完成后。</w:t>
      </w:r>
    </w:p>
    <w:p w14:paraId="12634EA5">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3、验收方式：包括但不限于</w:t>
      </w:r>
      <w:r>
        <w:rPr>
          <w:rFonts w:hint="eastAsia" w:ascii="宋体" w:hAnsi="宋体" w:eastAsia="宋体" w:cs="宋体"/>
          <w:color w:val="000000" w:themeColor="text1"/>
          <w:sz w:val="21"/>
          <w:szCs w:val="21"/>
          <w:lang w:val="en-US" w:eastAsia="zh-CN"/>
          <w14:textFill>
            <w14:solidFill>
              <w14:schemeClr w14:val="tx1"/>
            </w14:solidFill>
          </w14:textFill>
        </w:rPr>
        <w:t>甲方召开</w:t>
      </w:r>
      <w:r>
        <w:rPr>
          <w:rFonts w:hint="eastAsia" w:ascii="宋体" w:hAnsi="宋体" w:eastAsia="宋体" w:cs="宋体"/>
          <w:color w:val="000000" w:themeColor="text1"/>
          <w:sz w:val="21"/>
          <w:szCs w:val="21"/>
          <w14:textFill>
            <w14:solidFill>
              <w14:schemeClr w14:val="tx1"/>
            </w14:solidFill>
          </w14:textFill>
        </w:rPr>
        <w:t>项目验收会、要求</w:t>
      </w:r>
      <w:r>
        <w:rPr>
          <w:rFonts w:hint="eastAsia" w:ascii="宋体" w:hAnsi="宋体" w:eastAsia="宋体" w:cs="宋体"/>
          <w:color w:val="000000" w:themeColor="text1"/>
          <w:sz w:val="21"/>
          <w:szCs w:val="21"/>
          <w:lang w:val="en-US" w:eastAsia="zh-CN"/>
          <w14:textFill>
            <w14:solidFill>
              <w14:schemeClr w14:val="tx1"/>
            </w14:solidFill>
          </w14:textFill>
        </w:rPr>
        <w:t>乙方</w:t>
      </w:r>
      <w:r>
        <w:rPr>
          <w:rFonts w:hint="eastAsia" w:ascii="宋体" w:hAnsi="宋体" w:eastAsia="宋体" w:cs="宋体"/>
          <w:color w:val="000000" w:themeColor="text1"/>
          <w:sz w:val="21"/>
          <w:szCs w:val="21"/>
          <w14:textFill>
            <w14:solidFill>
              <w14:schemeClr w14:val="tx1"/>
            </w14:solidFill>
          </w14:textFill>
        </w:rPr>
        <w:t>提供自查报告、审阅书面证明材料等。</w:t>
      </w:r>
    </w:p>
    <w:p w14:paraId="7A2C5F6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4、验收评价：包括但不限于尾款结算、下阶段招标等。</w:t>
      </w:r>
    </w:p>
    <w:p w14:paraId="07EF3024">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5、验收程序：按照验收通知、机构自查、报告提交、验收评审、作出评价、工作指导的流程组织验收。</w:t>
      </w:r>
    </w:p>
    <w:p w14:paraId="28171B6C">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6、验收内容：包括但不限于整体任务情况、均衡推进度、数据质量、结果准确性、报告规范性、分析报告的科学性等。</w:t>
      </w:r>
    </w:p>
    <w:p w14:paraId="4035693C">
      <w:pPr>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br w:type="page"/>
      </w:r>
    </w:p>
    <w:p w14:paraId="16CB529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b w:val="0"/>
          <w:bCs w:val="0"/>
          <w:kern w:val="2"/>
          <w:sz w:val="21"/>
          <w:szCs w:val="21"/>
          <w:lang w:val="en-US" w:eastAsia="zh-CN" w:bidi="ar-SA"/>
        </w:rPr>
      </w:pPr>
      <w:r>
        <w:rPr>
          <w:rFonts w:hint="eastAsia" w:ascii="宋体" w:hAnsi="宋体" w:eastAsia="宋体" w:cs="宋体"/>
          <w:b w:val="0"/>
          <w:bCs w:val="0"/>
          <w:kern w:val="2"/>
          <w:sz w:val="21"/>
          <w:szCs w:val="21"/>
          <w:lang w:val="en-US" w:eastAsia="zh-CN" w:bidi="ar-SA"/>
        </w:rPr>
        <w:t>六、经费支付</w:t>
      </w:r>
    </w:p>
    <w:p w14:paraId="32BBAC55">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合同生效后一个月内，甲方先行向乙方支付合同金额的50%。2026年8月15日前，乙方应完成任务，经甲方验收通过后，甲方及时向乙方支付剩余费用。</w:t>
      </w:r>
    </w:p>
    <w:p w14:paraId="0A9965B3">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1"/>
          <w:szCs w:val="21"/>
          <w:lang w:val="en-US" w:eastAsia="zh-CN" w:bidi="ar-SA"/>
          <w14:textFill>
            <w14:solidFill>
              <w14:schemeClr w14:val="tx1"/>
            </w14:solidFill>
          </w14:textFill>
        </w:rPr>
        <w:t xml:space="preserve">乙方银行账号：                                          </w:t>
      </w:r>
    </w:p>
    <w:p w14:paraId="3905FF35">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七</w:t>
      </w:r>
      <w:r>
        <w:rPr>
          <w:rFonts w:hint="eastAsia" w:ascii="宋体" w:hAnsi="宋体" w:eastAsia="宋体" w:cs="宋体"/>
          <w:b w:val="0"/>
          <w:bCs w:val="0"/>
          <w:sz w:val="21"/>
          <w:szCs w:val="21"/>
        </w:rPr>
        <w:t>、违约责任</w:t>
      </w:r>
    </w:p>
    <w:p w14:paraId="1D699F58">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（一）甲方如出现未提供抽检计划或未拨付相关经费等行为，乙方可停止执行甲方提出的抽检检验任务。</w:t>
      </w:r>
    </w:p>
    <w:p w14:paraId="5D8E6BE1">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（二）对乙方出现的如下情形，甲方有权扣除其</w:t>
      </w:r>
      <w:r>
        <w:rPr>
          <w:rFonts w:hint="eastAsia" w:ascii="宋体" w:hAnsi="宋体" w:eastAsia="宋体" w:cs="宋体"/>
          <w:b w:val="0"/>
          <w:bCs w:val="0"/>
          <w:sz w:val="21"/>
          <w:szCs w:val="21"/>
          <w:lang w:val="en-US" w:eastAsia="zh-CN"/>
        </w:rPr>
        <w:t>部分或全部</w:t>
      </w:r>
      <w:r>
        <w:rPr>
          <w:rFonts w:hint="eastAsia" w:ascii="宋体" w:hAnsi="宋体" w:eastAsia="宋体" w:cs="宋体"/>
          <w:b w:val="0"/>
          <w:bCs w:val="0"/>
          <w:sz w:val="21"/>
          <w:szCs w:val="21"/>
        </w:rPr>
        <w:t>检验费用、解除合同并取消检验资格：</w:t>
      </w:r>
    </w:p>
    <w:p w14:paraId="479083D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未经许可分包抽样或检验任务的；</w:t>
      </w:r>
    </w:p>
    <w:p w14:paraId="7CD0AE00">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拒绝、阻挠、逃避甲方对抽检工作质量和经费使用情况开展的监督检查和考核；</w:t>
      </w:r>
    </w:p>
    <w:p w14:paraId="7C8773CC">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未按时完成承检工作、数据上报、工作总结以及其他抽检检验等资料，并未向甲方提出合理说明的；</w:t>
      </w:r>
    </w:p>
    <w:p w14:paraId="27B6E7C3">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未经甲方许可减少或调换抽样检验品种、批次、项目或抽样区域、环节的</w:t>
      </w:r>
      <w:r>
        <w:rPr>
          <w:rFonts w:hint="eastAsia" w:ascii="宋体" w:hAnsi="宋体" w:eastAsia="宋体" w:cs="宋体"/>
          <w:b w:val="0"/>
          <w:bCs w:val="0"/>
          <w:sz w:val="21"/>
          <w:szCs w:val="21"/>
          <w:lang w:eastAsia="zh-CN"/>
        </w:rPr>
        <w:t>；</w:t>
      </w:r>
    </w:p>
    <w:p w14:paraId="2DCCC630">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5、未通过甲方验收。</w:t>
      </w:r>
    </w:p>
    <w:p w14:paraId="64695A6B">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（三）对乙方出现的如下情形，造成不良结果的，甲方将不再委托检验任务、解除合同直至追究法律责任：</w:t>
      </w:r>
    </w:p>
    <w:p w14:paraId="35C0FA8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出具虚假、错误检验数据和报告的；</w:t>
      </w:r>
    </w:p>
    <w:p w14:paraId="32AAE50D">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违反保密规定，向甲方以外单位或被抽检方泄露检验结果；</w:t>
      </w:r>
    </w:p>
    <w:p w14:paraId="157279A0">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3、</w:t>
      </w:r>
      <w:r>
        <w:rPr>
          <w:rFonts w:hint="eastAsia" w:ascii="宋体" w:hAnsi="宋体" w:eastAsia="宋体" w:cs="宋体"/>
          <w:b w:val="0"/>
          <w:bCs w:val="0"/>
          <w:sz w:val="21"/>
          <w:szCs w:val="21"/>
        </w:rPr>
        <w:t>超资质范围出具检验报告、未按照规定时限出具检验报告；</w:t>
      </w:r>
    </w:p>
    <w:p w14:paraId="538D57E6">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w:t>
      </w:r>
      <w:r>
        <w:rPr>
          <w:rFonts w:hint="eastAsia" w:ascii="宋体" w:hAnsi="宋体" w:eastAsia="宋体" w:cs="宋体"/>
          <w:b w:val="0"/>
          <w:bCs w:val="0"/>
          <w:sz w:val="21"/>
          <w:szCs w:val="21"/>
        </w:rPr>
        <w:t>因运输、保存不当导致备份样品丢失或损毁的；</w:t>
      </w:r>
    </w:p>
    <w:p w14:paraId="4EFB89F2">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乙方持有食品生产、经营企业股权、期权或与食品生产经营企业存在长期有偿服务合同等可能影响食品安全抽检公平、公正情况而未向甲方备案；</w:t>
      </w:r>
    </w:p>
    <w:p w14:paraId="04F36AF4">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6、</w:t>
      </w:r>
      <w:r>
        <w:rPr>
          <w:rFonts w:hint="eastAsia" w:ascii="宋体" w:hAnsi="宋体" w:eastAsia="宋体" w:cs="宋体"/>
          <w:b w:val="0"/>
          <w:bCs w:val="0"/>
          <w:sz w:val="21"/>
          <w:szCs w:val="21"/>
        </w:rPr>
        <w:t>乙方出具的检验报告单位名称与投标法人不一致，又未提供相关证明文件的。</w:t>
      </w:r>
    </w:p>
    <w:p w14:paraId="0C111CF3">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八、争议解决</w:t>
      </w:r>
    </w:p>
    <w:p w14:paraId="264ECFB9">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因合同产生的争议，由甲乙双方友好协商解决。</w:t>
      </w:r>
      <w:r>
        <w:rPr>
          <w:rFonts w:hint="eastAsia" w:ascii="宋体" w:hAnsi="宋体" w:eastAsia="宋体" w:cs="宋体"/>
          <w:b w:val="0"/>
          <w:bCs w:val="0"/>
          <w:sz w:val="21"/>
          <w:szCs w:val="21"/>
        </w:rPr>
        <w:t>协商不成时</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双方均有权向</w:t>
      </w:r>
      <w:r>
        <w:rPr>
          <w:rFonts w:hint="eastAsia" w:ascii="宋体" w:hAnsi="宋体" w:eastAsia="宋体" w:cs="宋体"/>
          <w:b w:val="0"/>
          <w:bCs w:val="0"/>
          <w:sz w:val="21"/>
          <w:szCs w:val="21"/>
          <w:lang w:val="en-US" w:eastAsia="zh-CN"/>
        </w:rPr>
        <w:t>甲方所在地</w:t>
      </w:r>
      <w:r>
        <w:rPr>
          <w:rFonts w:hint="eastAsia" w:ascii="宋体" w:hAnsi="宋体" w:eastAsia="宋体" w:cs="宋体"/>
          <w:b w:val="0"/>
          <w:bCs w:val="0"/>
          <w:sz w:val="21"/>
          <w:szCs w:val="21"/>
        </w:rPr>
        <w:t>人民法院提起诉讼。</w:t>
      </w:r>
    </w:p>
    <w:p w14:paraId="6D5C81EF">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lang w:val="en-US" w:eastAsia="zh-CN"/>
        </w:rPr>
        <w:t>九</w:t>
      </w:r>
      <w:r>
        <w:rPr>
          <w:rFonts w:hint="eastAsia" w:ascii="宋体" w:hAnsi="宋体" w:eastAsia="宋体" w:cs="宋体"/>
          <w:b w:val="0"/>
          <w:bCs w:val="0"/>
          <w:sz w:val="21"/>
          <w:szCs w:val="21"/>
        </w:rPr>
        <w:t>、合同</w:t>
      </w:r>
      <w:r>
        <w:rPr>
          <w:rFonts w:hint="eastAsia" w:ascii="宋体" w:hAnsi="宋体" w:eastAsia="宋体" w:cs="宋体"/>
          <w:b w:val="0"/>
          <w:bCs w:val="0"/>
          <w:sz w:val="21"/>
          <w:szCs w:val="21"/>
          <w:lang w:val="en-US" w:eastAsia="zh-CN"/>
        </w:rPr>
        <w:t>生效</w:t>
      </w:r>
    </w:p>
    <w:p w14:paraId="0BC5AE8B">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合同经双方法定代表人或授权代表人签字</w:t>
      </w:r>
      <w:r>
        <w:rPr>
          <w:rFonts w:hint="eastAsia" w:ascii="宋体" w:hAnsi="宋体" w:eastAsia="宋体" w:cs="宋体"/>
          <w:b w:val="0"/>
          <w:bCs w:val="0"/>
          <w:sz w:val="21"/>
          <w:szCs w:val="21"/>
          <w:lang w:val="en-US" w:eastAsia="zh-CN"/>
        </w:rPr>
        <w:t>并</w:t>
      </w:r>
      <w:r>
        <w:rPr>
          <w:rFonts w:hint="eastAsia" w:ascii="宋体" w:hAnsi="宋体" w:eastAsia="宋体" w:cs="宋体"/>
          <w:b w:val="0"/>
          <w:bCs w:val="0"/>
          <w:sz w:val="21"/>
          <w:szCs w:val="21"/>
        </w:rPr>
        <w:t>加盖单位公章后生效。</w:t>
      </w:r>
    </w:p>
    <w:p w14:paraId="0DA93E94">
      <w:pPr>
        <w:pStyle w:val="13"/>
        <w:keepNext w:val="0"/>
        <w:keepLines w:val="0"/>
        <w:pageBreakBefore w:val="0"/>
        <w:widowControl w:val="0"/>
        <w:kinsoku/>
        <w:wordWrap/>
        <w:overflowPunct/>
        <w:topLinePunct w:val="0"/>
        <w:autoSpaceDE/>
        <w:autoSpaceDN/>
        <w:bidi w:val="0"/>
        <w:adjustRightInd/>
        <w:snapToGrid/>
        <w:spacing w:after="0" w:line="560" w:lineRule="exact"/>
        <w:ind w:firstLine="420" w:firstLineChars="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本项目合同期限为：合同签订之日起至</w:t>
      </w:r>
      <w:r>
        <w:rPr>
          <w:rFonts w:hint="eastAsia" w:ascii="宋体" w:hAnsi="宋体" w:eastAsia="宋体" w:cs="宋体"/>
          <w:b w:val="0"/>
          <w:bCs w:val="0"/>
          <w:sz w:val="21"/>
          <w:szCs w:val="21"/>
          <w:lang w:val="en-US" w:eastAsia="zh-CN"/>
        </w:rPr>
        <w:t>2026</w:t>
      </w:r>
      <w:r>
        <w:rPr>
          <w:rFonts w:hint="eastAsia" w:ascii="宋体" w:hAnsi="宋体" w:eastAsia="宋体" w:cs="宋体"/>
          <w:b w:val="0"/>
          <w:bCs w:val="0"/>
          <w:sz w:val="21"/>
          <w:szCs w:val="21"/>
        </w:rPr>
        <w:t>年</w:t>
      </w: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月</w:t>
      </w:r>
      <w:r>
        <w:rPr>
          <w:rFonts w:hint="eastAsia" w:ascii="宋体" w:hAnsi="宋体" w:eastAsia="宋体" w:cs="宋体"/>
          <w:b w:val="0"/>
          <w:bCs w:val="0"/>
          <w:sz w:val="21"/>
          <w:szCs w:val="21"/>
          <w:lang w:val="en-US" w:eastAsia="zh-CN"/>
        </w:rPr>
        <w:t>15</w:t>
      </w:r>
      <w:r>
        <w:rPr>
          <w:rFonts w:hint="eastAsia" w:ascii="宋体" w:hAnsi="宋体" w:eastAsia="宋体" w:cs="宋体"/>
          <w:b w:val="0"/>
          <w:bCs w:val="0"/>
          <w:sz w:val="21"/>
          <w:szCs w:val="21"/>
        </w:rPr>
        <w:t>日。在合同执行过程中，如需变更合同内容，应由甲乙双方共同协商，签订补充文件。补充签订的文件与本合同具有同等法律效力。</w:t>
      </w:r>
    </w:p>
    <w:p w14:paraId="2C749B48">
      <w:pPr>
        <w:pStyle w:val="13"/>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val="0"/>
          <w:bCs w:val="0"/>
          <w:sz w:val="21"/>
          <w:szCs w:val="21"/>
        </w:rPr>
        <w:sectPr>
          <w:footerReference r:id="rId8" w:type="default"/>
          <w:pgSz w:w="11911" w:h="16838"/>
          <w:pgMar w:top="1440" w:right="1803" w:bottom="1440" w:left="1803" w:header="720" w:footer="720" w:gutter="0"/>
          <w:pgBorders>
            <w:top w:val="none" w:sz="0" w:space="0"/>
            <w:left w:val="none" w:sz="0" w:space="0"/>
            <w:bottom w:val="none" w:sz="0" w:space="0"/>
            <w:right w:val="none" w:sz="0" w:space="0"/>
          </w:pgBorders>
          <w:pgNumType w:fmt="decimal"/>
          <w:cols w:space="0" w:num="1"/>
          <w:rtlGutter w:val="0"/>
          <w:docGrid w:linePitch="0" w:charSpace="0"/>
        </w:sectPr>
      </w:pPr>
    </w:p>
    <w:p w14:paraId="4DEB8FF1">
      <w:pPr>
        <w:pStyle w:val="13"/>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val="0"/>
          <w:bCs w:val="0"/>
          <w:sz w:val="21"/>
          <w:szCs w:val="21"/>
        </w:rPr>
      </w:pPr>
      <w:bookmarkStart w:id="260" w:name="_Toc43902853"/>
      <w:bookmarkEnd w:id="260"/>
    </w:p>
    <w:p w14:paraId="4534579C">
      <w:pPr>
        <w:pStyle w:val="13"/>
        <w:keepNext w:val="0"/>
        <w:keepLines w:val="0"/>
        <w:pageBreakBefore w:val="0"/>
        <w:kinsoku/>
        <w:wordWrap/>
        <w:overflowPunct/>
        <w:topLinePunct w:val="0"/>
        <w:autoSpaceDE/>
        <w:autoSpaceDN/>
        <w:bidi w:val="0"/>
        <w:adjustRightInd/>
        <w:snapToGrid/>
        <w:spacing w:line="560" w:lineRule="exact"/>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甲方：江苏省市场监督管理局（单位盖章） </w:t>
      </w:r>
    </w:p>
    <w:p w14:paraId="012D9082">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22510D6F">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法定代表人或授权代表</w:t>
      </w:r>
      <w:r>
        <w:rPr>
          <w:rFonts w:hint="eastAsia" w:ascii="宋体" w:hAnsi="宋体" w:eastAsia="宋体" w:cs="宋体"/>
          <w:b w:val="0"/>
          <w:bCs w:val="0"/>
          <w:sz w:val="21"/>
          <w:szCs w:val="21"/>
          <w:lang w:val="en-US" w:eastAsia="zh-CN"/>
        </w:rPr>
        <w:t>人</w:t>
      </w:r>
      <w:r>
        <w:rPr>
          <w:rFonts w:hint="eastAsia" w:ascii="宋体" w:hAnsi="宋体" w:eastAsia="宋体" w:cs="宋体"/>
          <w:b w:val="0"/>
          <w:bCs w:val="0"/>
          <w:sz w:val="21"/>
          <w:szCs w:val="21"/>
        </w:rPr>
        <w:t>：</w:t>
      </w:r>
    </w:p>
    <w:p w14:paraId="012540D5">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459F42C1">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44428FC6">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1BEF0B3D">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3613B8F8">
      <w:pPr>
        <w:pStyle w:val="13"/>
        <w:keepNext w:val="0"/>
        <w:keepLines w:val="0"/>
        <w:pageBreakBefore w:val="0"/>
        <w:kinsoku/>
        <w:wordWrap/>
        <w:overflowPunct/>
        <w:topLinePunct w:val="0"/>
        <w:autoSpaceDE/>
        <w:autoSpaceDN/>
        <w:bidi w:val="0"/>
        <w:adjustRightInd/>
        <w:snapToGrid/>
        <w:spacing w:line="560" w:lineRule="exact"/>
        <w:ind w:firstLine="2520" w:firstLineChars="1200"/>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2026</w:t>
      </w:r>
      <w:r>
        <w:rPr>
          <w:rFonts w:hint="eastAsia" w:ascii="宋体" w:hAnsi="宋体" w:eastAsia="宋体" w:cs="宋体"/>
          <w:b w:val="0"/>
          <w:bCs w:val="0"/>
          <w:sz w:val="21"/>
          <w:szCs w:val="21"/>
        </w:rPr>
        <w:t>年</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月</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日</w:t>
      </w:r>
    </w:p>
    <w:p w14:paraId="172AE52B">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5C473D7F">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3054CC98">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乙方：</w:t>
      </w:r>
    </w:p>
    <w:p w14:paraId="78DEC3D0">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1B4EDD5E">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法定代表人或授权代表</w:t>
      </w:r>
      <w:r>
        <w:rPr>
          <w:rFonts w:hint="eastAsia" w:ascii="宋体" w:hAnsi="宋体" w:eastAsia="宋体" w:cs="宋体"/>
          <w:b w:val="0"/>
          <w:bCs w:val="0"/>
          <w:sz w:val="21"/>
          <w:szCs w:val="21"/>
          <w:lang w:val="en-US" w:eastAsia="zh-CN"/>
        </w:rPr>
        <w:t>人</w:t>
      </w:r>
      <w:r>
        <w:rPr>
          <w:rFonts w:hint="eastAsia" w:ascii="宋体" w:hAnsi="宋体" w:eastAsia="宋体" w:cs="宋体"/>
          <w:b w:val="0"/>
          <w:bCs w:val="0"/>
          <w:sz w:val="21"/>
          <w:szCs w:val="21"/>
        </w:rPr>
        <w:t>：</w:t>
      </w:r>
    </w:p>
    <w:p w14:paraId="003FC3F4">
      <w:pPr>
        <w:pStyle w:val="13"/>
        <w:keepNext w:val="0"/>
        <w:keepLines w:val="0"/>
        <w:pageBreakBefore w:val="0"/>
        <w:kinsoku/>
        <w:wordWrap/>
        <w:overflowPunct/>
        <w:topLinePunct w:val="0"/>
        <w:autoSpaceDE/>
        <w:autoSpaceDN/>
        <w:bidi w:val="0"/>
        <w:adjustRightInd/>
        <w:snapToGrid/>
        <w:spacing w:line="560" w:lineRule="exact"/>
        <w:ind w:firstLine="2520" w:firstLineChars="1200"/>
        <w:jc w:val="both"/>
        <w:textAlignment w:val="auto"/>
        <w:rPr>
          <w:rFonts w:hint="eastAsia" w:ascii="宋体" w:hAnsi="宋体" w:eastAsia="宋体" w:cs="宋体"/>
          <w:b w:val="0"/>
          <w:bCs w:val="0"/>
          <w:sz w:val="21"/>
          <w:szCs w:val="21"/>
        </w:rPr>
      </w:pPr>
    </w:p>
    <w:p w14:paraId="0525E422">
      <w:pPr>
        <w:pStyle w:val="13"/>
        <w:keepNext w:val="0"/>
        <w:keepLines w:val="0"/>
        <w:pageBreakBefore w:val="0"/>
        <w:kinsoku/>
        <w:wordWrap/>
        <w:overflowPunct/>
        <w:topLinePunct w:val="0"/>
        <w:autoSpaceDE/>
        <w:autoSpaceDN/>
        <w:bidi w:val="0"/>
        <w:adjustRightInd/>
        <w:snapToGrid/>
        <w:spacing w:line="560" w:lineRule="exact"/>
        <w:ind w:firstLine="2520" w:firstLineChars="1200"/>
        <w:jc w:val="both"/>
        <w:textAlignment w:val="auto"/>
        <w:rPr>
          <w:rFonts w:hint="eastAsia" w:ascii="宋体" w:hAnsi="宋体" w:eastAsia="宋体" w:cs="宋体"/>
          <w:b w:val="0"/>
          <w:bCs w:val="0"/>
          <w:sz w:val="21"/>
          <w:szCs w:val="21"/>
        </w:rPr>
      </w:pPr>
    </w:p>
    <w:p w14:paraId="266F0447">
      <w:pPr>
        <w:pStyle w:val="13"/>
        <w:keepNext w:val="0"/>
        <w:keepLines w:val="0"/>
        <w:pageBreakBefore w:val="0"/>
        <w:kinsoku/>
        <w:wordWrap/>
        <w:overflowPunct/>
        <w:topLinePunct w:val="0"/>
        <w:autoSpaceDE/>
        <w:autoSpaceDN/>
        <w:bidi w:val="0"/>
        <w:adjustRightInd/>
        <w:snapToGrid/>
        <w:spacing w:line="560" w:lineRule="exact"/>
        <w:ind w:firstLine="2520" w:firstLineChars="1200"/>
        <w:jc w:val="both"/>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（单位盖章） </w:t>
      </w:r>
    </w:p>
    <w:p w14:paraId="7B93D036">
      <w:pPr>
        <w:pStyle w:val="13"/>
        <w:keepNext w:val="0"/>
        <w:keepLines w:val="0"/>
        <w:pageBreakBefore w:val="0"/>
        <w:kinsoku/>
        <w:wordWrap/>
        <w:overflowPunct/>
        <w:topLinePunct w:val="0"/>
        <w:autoSpaceDE/>
        <w:autoSpaceDN/>
        <w:bidi w:val="0"/>
        <w:adjustRightInd/>
        <w:snapToGrid/>
        <w:spacing w:line="560" w:lineRule="exact"/>
        <w:jc w:val="left"/>
        <w:textAlignment w:val="auto"/>
        <w:rPr>
          <w:rFonts w:hint="eastAsia" w:ascii="宋体" w:hAnsi="宋体" w:eastAsia="宋体" w:cs="宋体"/>
          <w:b w:val="0"/>
          <w:bCs w:val="0"/>
          <w:sz w:val="21"/>
          <w:szCs w:val="21"/>
        </w:rPr>
      </w:pPr>
    </w:p>
    <w:p w14:paraId="14021137">
      <w:pPr>
        <w:pStyle w:val="13"/>
        <w:keepNext w:val="0"/>
        <w:keepLines w:val="0"/>
        <w:pageBreakBefore w:val="0"/>
        <w:kinsoku/>
        <w:wordWrap/>
        <w:overflowPunct/>
        <w:topLinePunct w:val="0"/>
        <w:autoSpaceDE/>
        <w:autoSpaceDN/>
        <w:bidi w:val="0"/>
        <w:adjustRightInd/>
        <w:snapToGrid/>
        <w:spacing w:line="560" w:lineRule="exact"/>
        <w:ind w:firstLine="2520" w:firstLineChars="1200"/>
        <w:jc w:val="left"/>
        <w:textAlignment w:val="auto"/>
        <w:rPr>
          <w:rFonts w:hint="eastAsia" w:ascii="方正仿宋_GBK" w:hAnsi="方正仿宋_GBK" w:eastAsia="方正仿宋_GBK" w:cs="方正仿宋_GBK"/>
          <w:b w:val="0"/>
          <w:bCs w:val="0"/>
          <w:sz w:val="32"/>
          <w:szCs w:val="32"/>
        </w:rPr>
      </w:pPr>
      <w:r>
        <w:rPr>
          <w:rFonts w:hint="eastAsia" w:ascii="宋体" w:hAnsi="宋体" w:eastAsia="宋体" w:cs="宋体"/>
          <w:b w:val="0"/>
          <w:bCs w:val="0"/>
          <w:sz w:val="21"/>
          <w:szCs w:val="21"/>
          <w:lang w:val="en-US" w:eastAsia="zh-CN"/>
        </w:rPr>
        <w:t>2026</w:t>
      </w:r>
      <w:r>
        <w:rPr>
          <w:rFonts w:hint="eastAsia" w:ascii="宋体" w:hAnsi="宋体" w:eastAsia="宋体" w:cs="宋体"/>
          <w:b w:val="0"/>
          <w:bCs w:val="0"/>
          <w:sz w:val="21"/>
          <w:szCs w:val="21"/>
        </w:rPr>
        <w:t>年</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月</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日</w:t>
      </w:r>
    </w:p>
    <w:p w14:paraId="3D306BEE">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r>
    </w:p>
    <w:p w14:paraId="0C03D47E">
      <w:pPr>
        <w:pStyle w:val="31"/>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第四章 </w:t>
      </w:r>
      <w:bookmarkStart w:id="261" w:name="_Toc91836564"/>
      <w:bookmarkStart w:id="262" w:name="_Toc107246271"/>
      <w:r>
        <w:rPr>
          <w:rFonts w:ascii="Microsoft New Tai Lue" w:hAnsi="Microsoft New Tai Lue" w:cs="Microsoft New Tai Lue"/>
          <w:color w:val="auto"/>
          <w:highlight w:val="none"/>
        </w:rPr>
        <w:t>采购需求</w:t>
      </w:r>
      <w:bookmarkEnd w:id="261"/>
      <w:bookmarkEnd w:id="262"/>
    </w:p>
    <w:p w14:paraId="10AA6679">
      <w:pPr>
        <w:spacing w:line="360" w:lineRule="auto"/>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1</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项目概况</w:t>
      </w:r>
    </w:p>
    <w:p w14:paraId="4CDA771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为高质量完成年度食品安全抽检检验任务，现向全国范围内进行检验机构公开招标，承担2026年省级食品安全抽检技术服务（第一批）。</w:t>
      </w:r>
    </w:p>
    <w:p w14:paraId="63FCB17C">
      <w:pPr>
        <w:spacing w:line="360" w:lineRule="auto"/>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2</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项目基本情况</w:t>
      </w:r>
    </w:p>
    <w:p w14:paraId="1D53845A">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rPr>
        <w:t>2026年省级食品安全抽检技术服务（第一批）</w:t>
      </w:r>
    </w:p>
    <w:p w14:paraId="41C39F4C">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一）抽检批次。依据总局2026年食品安全抽检工作导向，统筹运用监督抽检与风险抽检两大手段，强化全链条风险预警与闭环处置，上半年计划抽检18600批次，其中监督抽检（含专项）10200批次，风险抽检8400批次。</w:t>
      </w:r>
    </w:p>
    <w:p w14:paraId="23A7CF63">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监督抽检7200批次，涵盖39个食品大类、28</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个食品细类；专项监督抽检围绕重点工作任务拟计划抽检3000批次，其中校园专项（省政府民生实事）1300批次，“你点我检”1500批次（外卖餐饮500批次，网络直播带货500批次，节日500批次）和肉制品专项200批次。风险抽检8400批次，涵盖3</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lang w:eastAsia="zh-CN"/>
        </w:rPr>
        <w:t>个食品大类、</w:t>
      </w:r>
      <w:r>
        <w:rPr>
          <w:rFonts w:hint="default" w:ascii="宋体" w:hAnsi="宋体" w:cs="宋体"/>
          <w:color w:val="auto"/>
          <w:szCs w:val="21"/>
          <w:highlight w:val="none"/>
          <w:lang w:val="en-US" w:eastAsia="zh-CN"/>
        </w:rPr>
        <w:t>149</w:t>
      </w:r>
      <w:r>
        <w:rPr>
          <w:rFonts w:hint="eastAsia" w:ascii="宋体" w:hAnsi="宋体" w:cs="宋体"/>
          <w:color w:val="auto"/>
          <w:szCs w:val="21"/>
          <w:highlight w:val="none"/>
          <w:lang w:eastAsia="zh-CN"/>
        </w:rPr>
        <w:t>个食品细类。</w:t>
      </w:r>
    </w:p>
    <w:p w14:paraId="23B90BB3">
      <w:pPr>
        <w:spacing w:line="360" w:lineRule="auto"/>
        <w:ind w:firstLine="420" w:firstLineChars="200"/>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（二）抽检经费。按照支出标准，监督抽检1750元/批次，监督抽检（含专项监督抽检）共10200批次，需经费1785万元；风险抽检1600元/批次，风险抽检共8400批次，需经费1344万元。共计需经费3129万元。</w:t>
      </w:r>
    </w:p>
    <w:p w14:paraId="13A61018">
      <w:pPr>
        <w:adjustRightInd/>
        <w:snapToGrid/>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eastAsia="zh-CN"/>
        </w:rPr>
        <w:t>（三）区域及依据。抽样区域覆盖13个设区市。综合考量各地食品生产经营主体数、辖区人口数和往年抽检情况等确定批次数，品种和项目按照《食品安全抽检实施细则》（2026年）执行。</w:t>
      </w:r>
    </w:p>
    <w:p w14:paraId="7D7E7C66">
      <w:pPr>
        <w:spacing w:line="360" w:lineRule="auto"/>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3</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基本需求</w:t>
      </w:r>
    </w:p>
    <w:p w14:paraId="26C51729">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3.1食品抽检服务任务类型</w:t>
      </w:r>
    </w:p>
    <w:p w14:paraId="105DD49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2026年省级食品安全抽检技术服务（第一批）</w:t>
      </w:r>
      <w:r>
        <w:rPr>
          <w:rFonts w:hint="eastAsia" w:ascii="宋体" w:hAnsi="宋体" w:cs="宋体"/>
          <w:color w:val="auto"/>
          <w:szCs w:val="21"/>
          <w:highlight w:val="none"/>
        </w:rPr>
        <w:t>任务类型见附件1。</w:t>
      </w:r>
    </w:p>
    <w:p w14:paraId="6D288533">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3.2食品抽检服务内容</w:t>
      </w:r>
    </w:p>
    <w:p w14:paraId="7320D93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采购人</w:t>
      </w:r>
      <w:r>
        <w:rPr>
          <w:rFonts w:hint="eastAsia" w:ascii="宋体" w:hAnsi="宋体" w:cs="宋体"/>
          <w:color w:val="auto"/>
          <w:szCs w:val="21"/>
          <w:highlight w:val="none"/>
          <w:lang w:eastAsia="zh-CN"/>
        </w:rPr>
        <w:t>2026年省级食品安全抽检技术服务（第一批）</w:t>
      </w:r>
      <w:r>
        <w:rPr>
          <w:rFonts w:hint="eastAsia" w:ascii="宋体" w:hAnsi="宋体" w:cs="宋体"/>
          <w:color w:val="auto"/>
          <w:szCs w:val="21"/>
          <w:highlight w:val="none"/>
        </w:rPr>
        <w:t>的内容见附件2。</w:t>
      </w:r>
    </w:p>
    <w:p w14:paraId="3A712EE9">
      <w:pPr>
        <w:spacing w:line="360" w:lineRule="auto"/>
        <w:ind w:firstLine="420" w:firstLineChars="200"/>
        <w:rPr>
          <w:rFonts w:hint="eastAsia" w:ascii="宋体" w:hAnsi="宋体" w:cs="宋体"/>
          <w:b/>
          <w:bCs/>
          <w:color w:val="auto"/>
          <w:szCs w:val="21"/>
          <w:highlight w:val="none"/>
        </w:rPr>
      </w:pPr>
      <w:r>
        <w:rPr>
          <w:rFonts w:hint="eastAsia" w:ascii="宋体" w:hAnsi="宋体" w:cs="宋体"/>
          <w:bCs/>
          <w:color w:val="auto"/>
          <w:szCs w:val="21"/>
          <w:highlight w:val="none"/>
        </w:rPr>
        <w:t>3.3食品抽检服务</w:t>
      </w:r>
      <w:r>
        <w:rPr>
          <w:rFonts w:hint="eastAsia" w:ascii="宋体" w:hAnsi="宋体" w:cs="宋体"/>
          <w:color w:val="auto"/>
          <w:szCs w:val="21"/>
          <w:highlight w:val="none"/>
          <w:lang w:eastAsia="zh-CN"/>
        </w:rPr>
        <w:t>品种、项目</w:t>
      </w:r>
    </w:p>
    <w:p w14:paraId="2391E86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eastAsia="zh-CN"/>
        </w:rPr>
        <w:t>2026年省级食品安全抽检技术服务（第一批）监督抽检品种、项目表</w:t>
      </w:r>
      <w:r>
        <w:rPr>
          <w:rFonts w:hint="eastAsia" w:ascii="宋体" w:hAnsi="宋体" w:cs="宋体"/>
          <w:color w:val="auto"/>
          <w:szCs w:val="21"/>
          <w:highlight w:val="none"/>
        </w:rPr>
        <w:t>见附件</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-1；</w:t>
      </w:r>
    </w:p>
    <w:p w14:paraId="5B7347D8">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lang w:eastAsia="zh-CN"/>
        </w:rPr>
        <w:t>2026年省级食品安全抽检技术服务（第一批）风险</w:t>
      </w:r>
      <w:r>
        <w:rPr>
          <w:rFonts w:hint="eastAsia" w:ascii="宋体" w:hAnsi="宋体" w:cs="宋体"/>
          <w:color w:val="auto"/>
          <w:sz w:val="21"/>
          <w:szCs w:val="21"/>
          <w:highlight w:val="none"/>
          <w:lang w:eastAsia="zh-CN"/>
        </w:rPr>
        <w:t>抽检</w:t>
      </w:r>
      <w:r>
        <w:rPr>
          <w:rFonts w:hint="eastAsia" w:ascii="宋体" w:hAnsi="宋体" w:cs="宋体"/>
          <w:color w:val="auto"/>
          <w:szCs w:val="21"/>
          <w:highlight w:val="none"/>
          <w:lang w:eastAsia="zh-CN"/>
        </w:rPr>
        <w:t>品种、项目表</w:t>
      </w:r>
      <w:r>
        <w:rPr>
          <w:rFonts w:hint="eastAsia" w:ascii="宋体" w:hAnsi="宋体" w:cs="宋体"/>
          <w:color w:val="auto"/>
          <w:szCs w:val="21"/>
          <w:highlight w:val="none"/>
        </w:rPr>
        <w:t>见附件</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-2。</w:t>
      </w:r>
    </w:p>
    <w:p w14:paraId="3D632CA5">
      <w:pPr>
        <w:spacing w:line="360" w:lineRule="auto"/>
        <w:ind w:firstLine="422" w:firstLineChars="200"/>
        <w:outlineLvl w:val="0"/>
        <w:rPr>
          <w:rFonts w:hint="eastAsia" w:ascii="宋体" w:hAnsi="宋体" w:cs="宋体"/>
          <w:b/>
          <w:color w:val="auto"/>
          <w:szCs w:val="21"/>
          <w:highlight w:val="none"/>
        </w:rPr>
      </w:pPr>
      <w:bookmarkStart w:id="263" w:name="_Hlk192061515"/>
      <w:r>
        <w:rPr>
          <w:rFonts w:hint="eastAsia" w:ascii="宋体" w:hAnsi="宋体" w:cs="宋体"/>
          <w:b/>
          <w:color w:val="auto"/>
          <w:szCs w:val="21"/>
          <w:highlight w:val="none"/>
        </w:rPr>
        <w:t>4</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技术要求</w:t>
      </w:r>
      <w:bookmarkEnd w:id="263"/>
    </w:p>
    <w:p w14:paraId="46C7B145">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4.1法律法规和技术规范</w:t>
      </w:r>
    </w:p>
    <w:p w14:paraId="136073A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（1）《中华人民共和国食品安全法》（中华人民共和国主席令 第二十一号）</w:t>
      </w:r>
    </w:p>
    <w:p w14:paraId="5C5EA941">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（2）《中华人民共和国食品安全法实施条例》（中华人民共和国国务院令 第721号）</w:t>
      </w:r>
    </w:p>
    <w:p w14:paraId="26AF3D5D">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（3）《食品安全抽样检验管理办法》（国家市场监督管理总局令 第15号）</w:t>
      </w:r>
    </w:p>
    <w:p w14:paraId="6B5A0BCC">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（4）《食品安全抽样检验工作规范》（市监食检发〔2023〕76号）</w:t>
      </w:r>
    </w:p>
    <w:p w14:paraId="7962620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（5）《食用农产品抽样检验和核查处置规定》（国市监食检〔2020〕184 号）</w:t>
      </w:r>
    </w:p>
    <w:p w14:paraId="4E5807DA">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（6）《市场监管总局办公厅关于推进食品抽检合格备份样品合理利用的通知》（市监食检发〔2021〕106 号）</w:t>
      </w:r>
    </w:p>
    <w:p w14:paraId="4083E167">
      <w:pPr>
        <w:spacing w:line="360" w:lineRule="auto"/>
        <w:ind w:firstLine="420" w:firstLineChars="200"/>
        <w:jc w:val="left"/>
        <w:rPr>
          <w:rFonts w:hint="eastAsia" w:ascii="宋体" w:hAnsi="宋体" w:cs="宋体"/>
          <w:color w:val="auto"/>
          <w:szCs w:val="21"/>
          <w:highlight w:val="none"/>
        </w:rPr>
      </w:pPr>
      <w:r>
        <w:rPr>
          <w:rFonts w:hint="eastAsia" w:ascii="宋体" w:hAnsi="宋体" w:cs="宋体"/>
          <w:color w:val="auto"/>
          <w:szCs w:val="21"/>
          <w:highlight w:val="none"/>
        </w:rPr>
        <w:t>（7）《江苏省食品安全条例》（2024年1月26日江苏省第十四届人民代表大会第二次会议通过）</w:t>
      </w:r>
    </w:p>
    <w:p w14:paraId="432988FB">
      <w:pPr>
        <w:spacing w:line="360" w:lineRule="auto"/>
        <w:ind w:firstLine="420" w:firstLineChars="200"/>
        <w:jc w:val="left"/>
        <w:rPr>
          <w:rFonts w:hint="eastAsia" w:ascii="宋体" w:hAnsi="宋体" w:cs="宋体"/>
          <w:color w:val="auto"/>
          <w:szCs w:val="21"/>
          <w:highlight w:val="none"/>
        </w:rPr>
      </w:pPr>
      <w:bookmarkStart w:id="264" w:name="_Hlk192061577"/>
      <w:r>
        <w:rPr>
          <w:rFonts w:hint="eastAsia" w:ascii="宋体" w:hAnsi="宋体" w:cs="宋体"/>
          <w:color w:val="auto"/>
          <w:szCs w:val="21"/>
          <w:highlight w:val="none"/>
        </w:rPr>
        <w:t>（8）《全国食品安全监督抽检实施细则》（202</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年版）（市监食检（司）函【2026】32号）</w:t>
      </w:r>
    </w:p>
    <w:bookmarkEnd w:id="264"/>
    <w:p w14:paraId="38EB5D3D">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注：以上标准如有更新，按最新标准执行。</w:t>
      </w:r>
    </w:p>
    <w:p w14:paraId="03E24EF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4.2主要技术要求</w:t>
      </w:r>
    </w:p>
    <w:p w14:paraId="039A29A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4.2.1抽样环节</w:t>
      </w:r>
    </w:p>
    <w:p w14:paraId="708CEF69">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表1 抽样环节主要技术内容和标准</w:t>
      </w:r>
    </w:p>
    <w:tbl>
      <w:tblPr>
        <w:tblStyle w:val="34"/>
        <w:tblW w:w="8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724"/>
        <w:gridCol w:w="970"/>
        <w:gridCol w:w="5692"/>
      </w:tblGrid>
      <w:tr w14:paraId="211E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749" w:type="dxa"/>
            <w:shd w:val="clear" w:color="auto" w:fill="auto"/>
            <w:vAlign w:val="center"/>
          </w:tcPr>
          <w:p w14:paraId="730A6587">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694" w:type="dxa"/>
            <w:gridSpan w:val="2"/>
            <w:vAlign w:val="center"/>
          </w:tcPr>
          <w:p w14:paraId="72956F70">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692" w:type="dxa"/>
            <w:shd w:val="clear" w:color="auto" w:fill="auto"/>
            <w:vAlign w:val="center"/>
          </w:tcPr>
          <w:p w14:paraId="78C18D86">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428D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749" w:type="dxa"/>
            <w:shd w:val="clear" w:color="auto" w:fill="auto"/>
            <w:vAlign w:val="center"/>
          </w:tcPr>
          <w:p w14:paraId="3D8025C7">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694" w:type="dxa"/>
            <w:gridSpan w:val="2"/>
            <w:vAlign w:val="center"/>
          </w:tcPr>
          <w:p w14:paraId="3F9064F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抽样单位确定</w:t>
            </w:r>
          </w:p>
        </w:tc>
        <w:tc>
          <w:tcPr>
            <w:tcW w:w="5692" w:type="dxa"/>
            <w:shd w:val="clear" w:color="auto" w:fill="auto"/>
            <w:vAlign w:val="center"/>
          </w:tcPr>
          <w:p w14:paraId="177571BF">
            <w:pPr>
              <w:widowControl/>
              <w:spacing w:line="320" w:lineRule="exact"/>
              <w:jc w:val="left"/>
              <w:textAlignment w:val="center"/>
              <w:rPr>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采购人自行抽样或者委托供应商抽样。</w:t>
            </w:r>
          </w:p>
        </w:tc>
      </w:tr>
      <w:tr w14:paraId="3B32B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446CCE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694" w:type="dxa"/>
            <w:gridSpan w:val="2"/>
            <w:vAlign w:val="center"/>
          </w:tcPr>
          <w:p w14:paraId="52D7B954">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抽样前准备</w:t>
            </w:r>
          </w:p>
        </w:tc>
        <w:tc>
          <w:tcPr>
            <w:tcW w:w="5692" w:type="dxa"/>
            <w:shd w:val="clear" w:color="auto" w:fill="auto"/>
            <w:vAlign w:val="center"/>
          </w:tcPr>
          <w:p w14:paraId="3252102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抽样单位应当建立食品抽样管理制度，明确岗位职责、抽样流程和工作纪律。</w:t>
            </w:r>
          </w:p>
        </w:tc>
      </w:tr>
      <w:tr w14:paraId="688A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749" w:type="dxa"/>
            <w:shd w:val="clear" w:color="auto" w:fill="auto"/>
            <w:vAlign w:val="center"/>
          </w:tcPr>
          <w:p w14:paraId="19B24B2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694" w:type="dxa"/>
            <w:gridSpan w:val="2"/>
            <w:vAlign w:val="center"/>
          </w:tcPr>
          <w:p w14:paraId="182F1F87">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抽样人员确定</w:t>
            </w:r>
          </w:p>
        </w:tc>
        <w:tc>
          <w:tcPr>
            <w:tcW w:w="5692" w:type="dxa"/>
            <w:shd w:val="clear" w:color="auto" w:fill="auto"/>
            <w:vAlign w:val="center"/>
          </w:tcPr>
          <w:p w14:paraId="59EB4CD4">
            <w:pPr>
              <w:widowControl/>
              <w:numPr>
                <w:ilvl w:val="0"/>
                <w:numId w:val="1"/>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独立的食品抽样人员数量、能力等要求与服务需求相匹配。</w:t>
            </w:r>
          </w:p>
          <w:p w14:paraId="027BA1A9">
            <w:pPr>
              <w:widowControl/>
              <w:numPr>
                <w:ilvl w:val="0"/>
                <w:numId w:val="1"/>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实施抽检分离，随机确定抽样人员，抽样人员与检验人员不得为同一人。</w:t>
            </w:r>
          </w:p>
          <w:p w14:paraId="7A1F15BD">
            <w:pPr>
              <w:widowControl/>
              <w:numPr>
                <w:ilvl w:val="0"/>
                <w:numId w:val="1"/>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抽样人员执行抽样任务时不得少于两人。</w:t>
            </w:r>
          </w:p>
          <w:p w14:paraId="61F732D1">
            <w:pPr>
              <w:widowControl/>
              <w:numPr>
                <w:ilvl w:val="0"/>
                <w:numId w:val="1"/>
              </w:numPr>
              <w:spacing w:line="320" w:lineRule="exact"/>
              <w:jc w:val="left"/>
              <w:textAlignment w:val="center"/>
              <w:rPr>
                <w:rFonts w:hint="default" w:eastAsia="宋体"/>
                <w:lang w:val="en-US" w:eastAsia="zh-CN"/>
              </w:rPr>
            </w:pPr>
            <w:r>
              <w:rPr>
                <w:rStyle w:val="85"/>
                <w:rFonts w:hint="eastAsia" w:ascii="宋体" w:hAnsi="宋体" w:eastAsia="宋体" w:cs="宋体"/>
                <w:color w:val="auto"/>
                <w:sz w:val="21"/>
                <w:szCs w:val="21"/>
                <w:highlight w:val="none"/>
              </w:rPr>
              <w:t>在集中交易市场、商场、超市、便利店等销售场所开展的食用农产品监督抽检工作，委托抽样的应当不少于两名监管人员参与抽样。</w:t>
            </w:r>
          </w:p>
        </w:tc>
      </w:tr>
      <w:tr w14:paraId="2A55D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749" w:type="dxa"/>
            <w:shd w:val="clear" w:color="auto" w:fill="auto"/>
            <w:vAlign w:val="center"/>
          </w:tcPr>
          <w:p w14:paraId="6D8F41E0">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694" w:type="dxa"/>
            <w:gridSpan w:val="2"/>
            <w:vAlign w:val="center"/>
          </w:tcPr>
          <w:p w14:paraId="1D054D82">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抽样前培训</w:t>
            </w:r>
          </w:p>
        </w:tc>
        <w:tc>
          <w:tcPr>
            <w:tcW w:w="5692" w:type="dxa"/>
            <w:shd w:val="clear" w:color="auto" w:fill="auto"/>
            <w:vAlign w:val="center"/>
          </w:tcPr>
          <w:p w14:paraId="70D9291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抽样前应当对抽样人员进行培训，并做好相关记录。抽样人员应当熟悉食品安全法律、法规、规章和食品安全标准等的相关规定，熟练使用国家食品安全抽样检验信息系统。</w:t>
            </w:r>
          </w:p>
        </w:tc>
      </w:tr>
      <w:tr w14:paraId="57216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B85C0A3">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724" w:type="dxa"/>
            <w:vMerge w:val="restart"/>
            <w:vAlign w:val="center"/>
          </w:tcPr>
          <w:p w14:paraId="052CB51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现场抽样</w:t>
            </w:r>
          </w:p>
        </w:tc>
        <w:tc>
          <w:tcPr>
            <w:tcW w:w="970" w:type="dxa"/>
            <w:vAlign w:val="center"/>
          </w:tcPr>
          <w:p w14:paraId="43C1E34B">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w:t>
            </w:r>
          </w:p>
          <w:p w14:paraId="15A45612">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告知</w:t>
            </w:r>
          </w:p>
        </w:tc>
        <w:tc>
          <w:tcPr>
            <w:tcW w:w="5692" w:type="dxa"/>
            <w:shd w:val="clear" w:color="auto" w:fill="auto"/>
            <w:vAlign w:val="center"/>
          </w:tcPr>
          <w:p w14:paraId="518A7661">
            <w:pPr>
              <w:widowControl/>
              <w:numPr>
                <w:ilvl w:val="0"/>
                <w:numId w:val="2"/>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抽样工作不得预先通知食品生产经营者。</w:t>
            </w:r>
          </w:p>
          <w:p w14:paraId="45846977">
            <w:pPr>
              <w:widowControl/>
              <w:numPr>
                <w:ilvl w:val="0"/>
                <w:numId w:val="2"/>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抽样人员应当按规定向被抽样单位出示有效身份证明文件、《食品安全抽样检验告知书》、《食品安全抽样检验任务委托书》，告知其依法享有的权利和应当承担的义务，并使用规范用语。</w:t>
            </w:r>
          </w:p>
        </w:tc>
      </w:tr>
      <w:tr w14:paraId="3241B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D883520">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724" w:type="dxa"/>
            <w:vMerge w:val="continue"/>
            <w:vAlign w:val="center"/>
          </w:tcPr>
          <w:p w14:paraId="5BF70BC0">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3C71B235">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信息</w:t>
            </w:r>
          </w:p>
          <w:p w14:paraId="44C5B36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核查</w:t>
            </w:r>
          </w:p>
        </w:tc>
        <w:tc>
          <w:tcPr>
            <w:tcW w:w="5692" w:type="dxa"/>
            <w:shd w:val="clear" w:color="auto" w:fill="auto"/>
            <w:vAlign w:val="center"/>
          </w:tcPr>
          <w:p w14:paraId="7D53C41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抽样人员应当核查被抽样单位提供的营业执照、许可证等相关证件。必要时，可核查进货查验记录、合法进货凭证等可追溯信息。</w:t>
            </w:r>
          </w:p>
        </w:tc>
      </w:tr>
      <w:tr w14:paraId="11A0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6" w:hRule="atLeast"/>
          <w:jc w:val="center"/>
        </w:trPr>
        <w:tc>
          <w:tcPr>
            <w:tcW w:w="749" w:type="dxa"/>
            <w:shd w:val="clear" w:color="auto" w:fill="auto"/>
            <w:vAlign w:val="center"/>
          </w:tcPr>
          <w:p w14:paraId="34212CB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724" w:type="dxa"/>
            <w:vMerge w:val="continue"/>
            <w:vAlign w:val="center"/>
          </w:tcPr>
          <w:p w14:paraId="0AA3ACFD">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14AFD03">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4DFB0ADF">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抽取</w:t>
            </w:r>
          </w:p>
        </w:tc>
        <w:tc>
          <w:tcPr>
            <w:tcW w:w="5692" w:type="dxa"/>
            <w:shd w:val="clear" w:color="auto" w:fill="auto"/>
            <w:vAlign w:val="center"/>
          </w:tcPr>
          <w:p w14:paraId="02BCC2B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（1）抽样人员可以从食品经营者的经营场所、仓库以及食品生产者的成品库待销产品中随机抽取样品，不得由被抽样单位自行提供样品。</w:t>
            </w:r>
          </w:p>
          <w:p w14:paraId="02A5E13A">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（2）抽样数量原则上应当满足检验和复检的要求。</w:t>
            </w:r>
          </w:p>
          <w:p w14:paraId="58878A1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（3）对易腐烂变质的蔬菜、水果等食用农产品样品，需进行均质备份样品的，应当在现场抽样时主动向被抽样单位告知确认，在现场或实验室进行均质备份样品时，采取拍照或摄像等方式进行记录。</w:t>
            </w:r>
          </w:p>
          <w:p w14:paraId="54CA9F99">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抽样现场的设备，包括平板、打印机、无菌袋、测温枪等类似设备应能满足项目需求。</w:t>
            </w:r>
          </w:p>
        </w:tc>
      </w:tr>
      <w:tr w14:paraId="1E63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34F6B991">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724" w:type="dxa"/>
            <w:vMerge w:val="continue"/>
            <w:vAlign w:val="center"/>
          </w:tcPr>
          <w:p w14:paraId="4FB47B41">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1D9A5D4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封样</w:t>
            </w:r>
          </w:p>
          <w:p w14:paraId="2FC1AD20">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签字</w:t>
            </w:r>
          </w:p>
        </w:tc>
        <w:tc>
          <w:tcPr>
            <w:tcW w:w="5692" w:type="dxa"/>
            <w:shd w:val="clear" w:color="auto" w:fill="auto"/>
            <w:vAlign w:val="center"/>
          </w:tcPr>
          <w:p w14:paraId="04FEEBEC">
            <w:pPr>
              <w:widowControl/>
              <w:spacing w:line="320" w:lineRule="exact"/>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Style w:val="85"/>
                <w:rFonts w:hint="eastAsia" w:ascii="宋体" w:hAnsi="宋体" w:eastAsia="宋体" w:cs="宋体"/>
                <w:color w:val="auto"/>
                <w:sz w:val="21"/>
                <w:szCs w:val="21"/>
                <w:highlight w:val="none"/>
              </w:rPr>
              <w:t>抽样人员应当采取有效的防拆封措施，对检验样品和复检备份样品分别封样，并贴上《食品安全抽样检验封条》。</w:t>
            </w:r>
          </w:p>
          <w:p w14:paraId="7C53D146">
            <w:pPr>
              <w:widowControl/>
              <w:spacing w:line="320" w:lineRule="exact"/>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Style w:val="85"/>
                <w:rFonts w:hint="eastAsia" w:ascii="宋体" w:hAnsi="宋体" w:eastAsia="宋体" w:cs="宋体"/>
                <w:color w:val="auto"/>
                <w:sz w:val="21"/>
                <w:szCs w:val="21"/>
                <w:highlight w:val="none"/>
              </w:rPr>
              <w:t>封条上应当由抽样人员(含参与抽样的监管人员)和被抽样单位签字或者盖章确认。</w:t>
            </w:r>
          </w:p>
          <w:p w14:paraId="0DA6C148">
            <w:pPr>
              <w:widowControl/>
              <w:spacing w:line="320" w:lineRule="exact"/>
              <w:jc w:val="left"/>
              <w:textAlignment w:val="center"/>
              <w:rPr>
                <w:rStyle w:val="85"/>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Style w:val="85"/>
                <w:rFonts w:hint="eastAsia" w:ascii="宋体" w:hAnsi="宋体" w:eastAsia="宋体" w:cs="宋体"/>
                <w:color w:val="auto"/>
                <w:sz w:val="21"/>
                <w:szCs w:val="21"/>
                <w:highlight w:val="none"/>
              </w:rPr>
              <w:t>食用农产品需在实验室均质后留存复检备份样品的，现场还应当填写一份信息完整、签字或者盖章确认的封条，用于封存均质后的备份样品。</w:t>
            </w:r>
          </w:p>
        </w:tc>
      </w:tr>
      <w:tr w14:paraId="5B7C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409CD32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724" w:type="dxa"/>
            <w:vMerge w:val="continue"/>
            <w:vAlign w:val="center"/>
          </w:tcPr>
          <w:p w14:paraId="63C56370">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15BB8B5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抽样单填写</w:t>
            </w:r>
          </w:p>
        </w:tc>
        <w:tc>
          <w:tcPr>
            <w:tcW w:w="5692" w:type="dxa"/>
            <w:shd w:val="clear" w:color="auto" w:fill="auto"/>
            <w:vAlign w:val="center"/>
          </w:tcPr>
          <w:p w14:paraId="6ECBC1AF">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抽样人员应当使用《食品安全抽样检验抽样单》，详细记录抽样信息，记录保存期限不得少于两年。</w:t>
            </w:r>
          </w:p>
          <w:p w14:paraId="35CAD838">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抽样文书应当字迹工整、清晰，容易辨认，不得随意更改。</w:t>
            </w:r>
          </w:p>
          <w:p w14:paraId="2FAF6511">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抽样单填写完毕后，应当由抽样人员（含参与抽样的监管人员)和被抽样单位签字或盖章确认。</w:t>
            </w:r>
          </w:p>
          <w:p w14:paraId="0F63D4A8">
            <w:pPr>
              <w:widowControl/>
              <w:numPr>
                <w:ilvl w:val="0"/>
                <w:numId w:val="3"/>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如需更改信息应当由被抽样单位确认，其中营业执照、经营许可证、生产许可证等证照信息以及样品标称信息如需更改，由两名抽样人员签字或抽样单位盖章确认即可。</w:t>
            </w:r>
          </w:p>
        </w:tc>
      </w:tr>
      <w:tr w14:paraId="62BC7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9" w:type="dxa"/>
            <w:shd w:val="clear" w:color="auto" w:fill="auto"/>
            <w:vAlign w:val="center"/>
          </w:tcPr>
          <w:p w14:paraId="57BC2CC1">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724" w:type="dxa"/>
            <w:vMerge w:val="continue"/>
            <w:vAlign w:val="center"/>
          </w:tcPr>
          <w:p w14:paraId="3ACFF9DF">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55D13F7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现场信息采集</w:t>
            </w:r>
          </w:p>
        </w:tc>
        <w:tc>
          <w:tcPr>
            <w:tcW w:w="5692" w:type="dxa"/>
            <w:shd w:val="clear" w:color="auto" w:fill="auto"/>
            <w:vAlign w:val="center"/>
          </w:tcPr>
          <w:p w14:paraId="5548F802">
            <w:pPr>
              <w:widowControl/>
              <w:numPr>
                <w:ilvl w:val="0"/>
                <w:numId w:val="4"/>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抽样人员应当通过拍照等方式对抽样场所、证照信息、贮存环境、样品信息、农产品票证（如有）、防护措施等进行现场信息采集。</w:t>
            </w:r>
          </w:p>
          <w:p w14:paraId="353AD4ED">
            <w:pPr>
              <w:widowControl/>
              <w:numPr>
                <w:ilvl w:val="0"/>
                <w:numId w:val="4"/>
              </w:numPr>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信息采集的设备，包括执法记录仪、相机等类似设备应能满足项目需求，完整记录抽样现场过程（视频、音频、清晰照片）。</w:t>
            </w:r>
          </w:p>
        </w:tc>
      </w:tr>
      <w:tr w14:paraId="69462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49" w:type="dxa"/>
            <w:shd w:val="clear" w:color="auto" w:fill="auto"/>
            <w:vAlign w:val="center"/>
          </w:tcPr>
          <w:p w14:paraId="65B45475">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724" w:type="dxa"/>
            <w:vMerge w:val="continue"/>
            <w:vAlign w:val="center"/>
          </w:tcPr>
          <w:p w14:paraId="36F28E2E">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2B75478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费用</w:t>
            </w:r>
          </w:p>
          <w:p w14:paraId="76843DCD">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支付</w:t>
            </w:r>
          </w:p>
        </w:tc>
        <w:tc>
          <w:tcPr>
            <w:tcW w:w="5692" w:type="dxa"/>
            <w:shd w:val="clear" w:color="auto" w:fill="auto"/>
            <w:vAlign w:val="center"/>
          </w:tcPr>
          <w:p w14:paraId="383B436B">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抽样人员应当向被抽样单位支付样品购置费并索取发票（或相关购物凭证）及所购样品明细，可现场支付费用或先出具《食品安全抽样检验样品购置费用告知书》随后支付费用。 </w:t>
            </w:r>
          </w:p>
        </w:tc>
      </w:tr>
      <w:tr w14:paraId="2A74A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49" w:type="dxa"/>
            <w:shd w:val="clear" w:color="auto" w:fill="auto"/>
            <w:vAlign w:val="center"/>
          </w:tcPr>
          <w:p w14:paraId="232037C1">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12</w:t>
            </w:r>
          </w:p>
        </w:tc>
        <w:tc>
          <w:tcPr>
            <w:tcW w:w="724" w:type="dxa"/>
            <w:vMerge w:val="continue"/>
            <w:vAlign w:val="center"/>
          </w:tcPr>
          <w:p w14:paraId="2CA0DBB6">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7C85E0F9">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文书</w:t>
            </w:r>
          </w:p>
          <w:p w14:paraId="1FDF473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交付</w:t>
            </w:r>
          </w:p>
        </w:tc>
        <w:tc>
          <w:tcPr>
            <w:tcW w:w="5692" w:type="dxa"/>
            <w:shd w:val="clear" w:color="auto" w:fill="auto"/>
            <w:vAlign w:val="center"/>
          </w:tcPr>
          <w:p w14:paraId="61A83AE9">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样人员应当将填写完整的《食品安全抽样检验告知书》《食品安全抽样检验抽样单》《食品安全抽样检验样品购置费用告知书》（如有）和《食品安全抽样检验工作质量及工作纪律反馈单》交付被抽样单位。</w:t>
            </w:r>
          </w:p>
          <w:p w14:paraId="417D50DE">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（2）应将被抽样单位在《食品安全抽样检验工作质量及工作纪律反馈单》上填写完整的回执单收回。</w:t>
            </w:r>
          </w:p>
        </w:tc>
      </w:tr>
      <w:tr w14:paraId="6D31F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39B85BA5">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13</w:t>
            </w:r>
          </w:p>
        </w:tc>
        <w:tc>
          <w:tcPr>
            <w:tcW w:w="724" w:type="dxa"/>
            <w:vMerge w:val="continue"/>
            <w:vAlign w:val="center"/>
          </w:tcPr>
          <w:p w14:paraId="7690693A">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7DBA5E73">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51AA300D">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运输</w:t>
            </w:r>
          </w:p>
        </w:tc>
        <w:tc>
          <w:tcPr>
            <w:tcW w:w="5692" w:type="dxa"/>
            <w:shd w:val="clear" w:color="auto" w:fill="auto"/>
            <w:vAlign w:val="center"/>
          </w:tcPr>
          <w:p w14:paraId="05CBE414">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p>
          <w:p w14:paraId="49D8123D">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（2）抽样人员应当根据样品特性和检验目的进行合理贮存、运输。</w:t>
            </w:r>
          </w:p>
          <w:p w14:paraId="46872394">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（3）对于易碎，冷藏、冷冻或有其他特殊贮运条件等要求的样品，抽样人员应当采取适当措施，保证样品运输过程符合标准或样品标示要求的运输条件。</w:t>
            </w:r>
          </w:p>
          <w:p w14:paraId="18DD940A">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用于样品运输的设备，如普通车辆、冷链运输车辆、车载冰箱、保温箱等类似设备，其设备类型、运载能力和数量应能满足项目需求。</w:t>
            </w:r>
          </w:p>
        </w:tc>
      </w:tr>
      <w:tr w14:paraId="7437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58F2D78F">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14</w:t>
            </w:r>
          </w:p>
        </w:tc>
        <w:tc>
          <w:tcPr>
            <w:tcW w:w="724" w:type="dxa"/>
            <w:vMerge w:val="continue"/>
            <w:vAlign w:val="center"/>
          </w:tcPr>
          <w:p w14:paraId="7C1004FE">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38AFAAF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特殊情形处理</w:t>
            </w:r>
          </w:p>
        </w:tc>
        <w:tc>
          <w:tcPr>
            <w:tcW w:w="5692" w:type="dxa"/>
            <w:shd w:val="clear" w:color="auto" w:fill="auto"/>
            <w:vAlign w:val="center"/>
          </w:tcPr>
          <w:p w14:paraId="1ACAABD9">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抽样人员应当按照食品安全抽样检验相关工作规范，对拒绝抽样、不予抽样、特殊情况等情形及时处置或报告。</w:t>
            </w:r>
          </w:p>
        </w:tc>
      </w:tr>
      <w:tr w14:paraId="4FC9B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749" w:type="dxa"/>
            <w:shd w:val="clear" w:color="auto" w:fill="auto"/>
            <w:vAlign w:val="center"/>
          </w:tcPr>
          <w:p w14:paraId="764C80CC">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15</w:t>
            </w:r>
          </w:p>
        </w:tc>
        <w:tc>
          <w:tcPr>
            <w:tcW w:w="724" w:type="dxa"/>
            <w:vMerge w:val="restart"/>
            <w:vAlign w:val="center"/>
          </w:tcPr>
          <w:p w14:paraId="244CAA88">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网络抽样</w:t>
            </w:r>
          </w:p>
        </w:tc>
        <w:tc>
          <w:tcPr>
            <w:tcW w:w="970" w:type="dxa"/>
            <w:vAlign w:val="center"/>
          </w:tcPr>
          <w:p w14:paraId="25AB578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信息</w:t>
            </w:r>
          </w:p>
          <w:p w14:paraId="7D5ED0B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核查</w:t>
            </w:r>
          </w:p>
        </w:tc>
        <w:tc>
          <w:tcPr>
            <w:tcW w:w="5692" w:type="dxa"/>
            <w:shd w:val="clear" w:color="auto" w:fill="auto"/>
            <w:vAlign w:val="center"/>
          </w:tcPr>
          <w:p w14:paraId="652BF9F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抽样人员应当确认网络食品交易经营者或食品生产企业（含委托加工方、受委托加工方）中至少有一方处于采购人监管辖区内，同时核查营业执照、许可证等相关证件。</w:t>
            </w:r>
          </w:p>
        </w:tc>
      </w:tr>
      <w:tr w14:paraId="14B73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749" w:type="dxa"/>
            <w:shd w:val="clear" w:color="auto" w:fill="auto"/>
            <w:vAlign w:val="center"/>
          </w:tcPr>
          <w:p w14:paraId="04FDB2C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16</w:t>
            </w:r>
          </w:p>
        </w:tc>
        <w:tc>
          <w:tcPr>
            <w:tcW w:w="724" w:type="dxa"/>
            <w:vMerge w:val="continue"/>
            <w:vAlign w:val="center"/>
          </w:tcPr>
          <w:p w14:paraId="1D8CDD21">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5205F675">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w:t>
            </w:r>
          </w:p>
          <w:p w14:paraId="753648CD">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购买</w:t>
            </w:r>
          </w:p>
        </w:tc>
        <w:tc>
          <w:tcPr>
            <w:tcW w:w="5692" w:type="dxa"/>
            <w:shd w:val="clear" w:color="auto" w:fill="auto"/>
            <w:vAlign w:val="center"/>
          </w:tcPr>
          <w:p w14:paraId="4083E58E">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使用已备案的账户登录网络交易平台，检索平台内的拟抽检食品，以消费者身份购买样品，使用已备案的付款账户向被抽样单位支付费用（含样品费、打包费、运输费等），索要支付凭证（发票或收据）。被抽样单位无法提供发票或收据的，网络支付截图和订单明细可作为购样凭证。</w:t>
            </w:r>
          </w:p>
        </w:tc>
      </w:tr>
      <w:tr w14:paraId="0EA9A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jc w:val="center"/>
        </w:trPr>
        <w:tc>
          <w:tcPr>
            <w:tcW w:w="749" w:type="dxa"/>
            <w:shd w:val="clear" w:color="auto" w:fill="auto"/>
            <w:vAlign w:val="center"/>
          </w:tcPr>
          <w:p w14:paraId="6A4D8135">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17</w:t>
            </w:r>
          </w:p>
        </w:tc>
        <w:tc>
          <w:tcPr>
            <w:tcW w:w="724" w:type="dxa"/>
            <w:vMerge w:val="continue"/>
            <w:vAlign w:val="center"/>
          </w:tcPr>
          <w:p w14:paraId="0CBADE4B">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0D09A6A7">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购买过程的信息采集</w:t>
            </w:r>
          </w:p>
        </w:tc>
        <w:tc>
          <w:tcPr>
            <w:tcW w:w="5692" w:type="dxa"/>
            <w:shd w:val="clear" w:color="auto" w:fill="auto"/>
            <w:vAlign w:val="center"/>
          </w:tcPr>
          <w:p w14:paraId="239525C5">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购买样品过程中应当通过截图、拍照或者录像等方式采集样品展示页信息、网页上被抽样单位的证照、支付记录、成功下单后的订单信息等。</w:t>
            </w:r>
          </w:p>
        </w:tc>
      </w:tr>
      <w:tr w14:paraId="12E06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6D0D941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18</w:t>
            </w:r>
          </w:p>
        </w:tc>
        <w:tc>
          <w:tcPr>
            <w:tcW w:w="724" w:type="dxa"/>
            <w:vMerge w:val="continue"/>
            <w:vAlign w:val="center"/>
          </w:tcPr>
          <w:p w14:paraId="18C8B12F">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6B3FB7D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拆包、查验及封样过程的信息采集</w:t>
            </w:r>
          </w:p>
        </w:tc>
        <w:tc>
          <w:tcPr>
            <w:tcW w:w="5692" w:type="dxa"/>
            <w:shd w:val="clear" w:color="auto" w:fill="auto"/>
            <w:vAlign w:val="center"/>
          </w:tcPr>
          <w:p w14:paraId="0131BCAB">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（1）收到物流包裹后，由不少于两名抽样人员共同对物流单据记载的订单信息进行核对，确认无误后拆包、查验，对检验样品和复检备份样品分别封样。</w:t>
            </w:r>
          </w:p>
          <w:p w14:paraId="0E6BD3BA">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（2）拆包、查验、封样过程应当拍照及录像，留存足以证明样品来源的关键影像资料。</w:t>
            </w:r>
          </w:p>
        </w:tc>
      </w:tr>
      <w:tr w14:paraId="6C9F1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49" w:type="dxa"/>
            <w:shd w:val="clear" w:color="auto" w:fill="auto"/>
            <w:vAlign w:val="center"/>
          </w:tcPr>
          <w:p w14:paraId="02B4962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19</w:t>
            </w:r>
          </w:p>
        </w:tc>
        <w:tc>
          <w:tcPr>
            <w:tcW w:w="724" w:type="dxa"/>
            <w:vMerge w:val="continue"/>
            <w:vAlign w:val="center"/>
          </w:tcPr>
          <w:p w14:paraId="562C9575">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0424DF6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文书填写及交付</w:t>
            </w:r>
          </w:p>
        </w:tc>
        <w:tc>
          <w:tcPr>
            <w:tcW w:w="5692" w:type="dxa"/>
            <w:shd w:val="clear" w:color="auto" w:fill="auto"/>
            <w:vAlign w:val="center"/>
          </w:tcPr>
          <w:p w14:paraId="0CE156A7">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抽样人员应当完整填写《食品安全抽样检验抽样单》。《食品安全抽样检验抽样单》和《食品安全抽样检验封条》不需要被抽样单位签字或盖章确认，也不需要交付被抽样单位，如需更改信息可由两名抽样人员签名确认或抽样单位盖章确认。</w:t>
            </w:r>
          </w:p>
        </w:tc>
      </w:tr>
      <w:tr w14:paraId="6CC38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49" w:type="dxa"/>
            <w:shd w:val="clear" w:color="auto" w:fill="auto"/>
            <w:vAlign w:val="center"/>
          </w:tcPr>
          <w:p w14:paraId="243BAFD4">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20</w:t>
            </w:r>
          </w:p>
        </w:tc>
        <w:tc>
          <w:tcPr>
            <w:tcW w:w="724" w:type="dxa"/>
            <w:vMerge w:val="continue"/>
            <w:vAlign w:val="center"/>
          </w:tcPr>
          <w:p w14:paraId="7A5661D9">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70" w:type="dxa"/>
            <w:vAlign w:val="center"/>
          </w:tcPr>
          <w:p w14:paraId="478C1ED1">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特殊情况处理</w:t>
            </w:r>
          </w:p>
        </w:tc>
        <w:tc>
          <w:tcPr>
            <w:tcW w:w="5692" w:type="dxa"/>
            <w:shd w:val="clear" w:color="auto" w:fill="auto"/>
            <w:vAlign w:val="center"/>
          </w:tcPr>
          <w:p w14:paraId="6A2AD896">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（1）对于收到的食品为不同生产批次的，选取其中满足检验及复检要求的某一批次食品为抽检样品，其余不同批次食品应当单独封样，同复检备份样品一并管理，并在抽样单备注栏说明。</w:t>
            </w:r>
          </w:p>
          <w:p w14:paraId="6D262400">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（2）若无任何一批次满足检验及复检要求的，抽样单位可向采购人申请调整检验项目等，经同意后可对某一批次样品进行检验。</w:t>
            </w:r>
          </w:p>
        </w:tc>
      </w:tr>
    </w:tbl>
    <w:p w14:paraId="04272CC1">
      <w:pPr>
        <w:spacing w:line="560" w:lineRule="exact"/>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4.2.2检验环节</w:t>
      </w:r>
    </w:p>
    <w:p w14:paraId="23E634DC">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表2 检验环节主要技术内容和标准</w:t>
      </w:r>
    </w:p>
    <w:tbl>
      <w:tblPr>
        <w:tblStyle w:val="34"/>
        <w:tblW w:w="8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700"/>
        <w:gridCol w:w="5767"/>
      </w:tblGrid>
      <w:tr w14:paraId="24413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7" w:type="dxa"/>
            <w:shd w:val="clear" w:color="auto" w:fill="auto"/>
            <w:vAlign w:val="center"/>
          </w:tcPr>
          <w:p w14:paraId="4AA3FEFB">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700" w:type="dxa"/>
            <w:vAlign w:val="center"/>
          </w:tcPr>
          <w:p w14:paraId="4E4CFBB1">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767" w:type="dxa"/>
            <w:shd w:val="clear" w:color="auto" w:fill="auto"/>
            <w:vAlign w:val="center"/>
          </w:tcPr>
          <w:p w14:paraId="509DB5CC">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5B55E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7B4CD2C7">
            <w:pPr>
              <w:widowControl/>
              <w:spacing w:line="320" w:lineRule="exact"/>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1</w:t>
            </w:r>
          </w:p>
        </w:tc>
        <w:tc>
          <w:tcPr>
            <w:tcW w:w="1700" w:type="dxa"/>
            <w:vAlign w:val="center"/>
          </w:tcPr>
          <w:p w14:paraId="6ED97DD2">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供应商确定</w:t>
            </w:r>
          </w:p>
        </w:tc>
        <w:tc>
          <w:tcPr>
            <w:tcW w:w="5767" w:type="dxa"/>
            <w:shd w:val="clear" w:color="auto" w:fill="auto"/>
            <w:vAlign w:val="center"/>
          </w:tcPr>
          <w:p w14:paraId="426504D1">
            <w:pPr>
              <w:widowControl/>
              <w:numPr>
                <w:ilvl w:val="0"/>
                <w:numId w:val="5"/>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采购人根据政府采购、食品安全等法律法规要求确定供应商。</w:t>
            </w:r>
          </w:p>
          <w:p w14:paraId="4CADA28E">
            <w:pPr>
              <w:widowControl/>
              <w:spacing w:line="320" w:lineRule="exact"/>
              <w:jc w:val="left"/>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（2）未经采购人同意，供应商不得分包或者转包检验任务。</w:t>
            </w:r>
          </w:p>
        </w:tc>
      </w:tr>
      <w:tr w14:paraId="167EA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817" w:type="dxa"/>
            <w:shd w:val="clear" w:color="auto" w:fill="auto"/>
            <w:vAlign w:val="center"/>
          </w:tcPr>
          <w:p w14:paraId="166C83ED">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700" w:type="dxa"/>
            <w:vAlign w:val="center"/>
          </w:tcPr>
          <w:p w14:paraId="3347A12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检验人员管理</w:t>
            </w:r>
          </w:p>
        </w:tc>
        <w:tc>
          <w:tcPr>
            <w:tcW w:w="5767" w:type="dxa"/>
            <w:shd w:val="clear" w:color="auto" w:fill="auto"/>
            <w:vAlign w:val="center"/>
          </w:tcPr>
          <w:p w14:paraId="7AF0B99A">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（1）食品检验人员数量、专业领域、工作年限等要求与服务需求相匹配。</w:t>
            </w:r>
          </w:p>
          <w:p w14:paraId="2F44F2C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（2）建立检验人员持证上岗制度，加强食品安全法律法规、标准规范、质量控制要求、实验室安全与防护知识等方面的培训考核，确保检验人员能力持续满足承检工作需求。</w:t>
            </w:r>
          </w:p>
        </w:tc>
      </w:tr>
      <w:tr w14:paraId="2AA78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817" w:type="dxa"/>
            <w:shd w:val="clear" w:color="auto" w:fill="auto"/>
            <w:vAlign w:val="center"/>
          </w:tcPr>
          <w:p w14:paraId="1807304D">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1700" w:type="dxa"/>
            <w:vAlign w:val="center"/>
          </w:tcPr>
          <w:p w14:paraId="72441EF3">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样品接收与保存</w:t>
            </w:r>
          </w:p>
        </w:tc>
        <w:tc>
          <w:tcPr>
            <w:tcW w:w="5767" w:type="dxa"/>
            <w:shd w:val="clear" w:color="auto" w:fill="auto"/>
            <w:vAlign w:val="center"/>
          </w:tcPr>
          <w:p w14:paraId="3B2063F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供应商接收样品时，应当查验、记录样品的外观、状态、封条有无破损以及其他可能对检验结论产生影响的情况，并核对样品与抽样文书信息。样品移交时，规范填写《食品安全抽样检验样品移交确认单》。</w:t>
            </w:r>
          </w:p>
          <w:p w14:paraId="42CE3629">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（2）对符合要求的样品，供应商应当在抽样后五个工作日内完成样品接收工作，将检验样品和复检备份样品分别加贴相应标识后，按照要求入库存放。</w:t>
            </w:r>
          </w:p>
          <w:p w14:paraId="5EA5CC3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p>
          <w:p w14:paraId="52602DD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（3）抽样检验的样品由供应商保存。供应商应当建立样品保管制度，严禁样品被随意调换、拆封。对于复检备份样品的调取或使用，应当经相关负责人签字确认后方可进行。</w:t>
            </w:r>
          </w:p>
          <w:p w14:paraId="1100D28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w:t>
            </w:r>
            <w:r>
              <w:rPr>
                <w:rFonts w:hint="eastAsia" w:ascii="宋体" w:hAnsi="宋体" w:eastAsia="宋体" w:cs="宋体"/>
                <w:color w:val="auto"/>
                <w:kern w:val="0"/>
                <w:sz w:val="21"/>
                <w:szCs w:val="21"/>
                <w:highlight w:val="none"/>
              </w:rPr>
              <w:t>样品储存场所容量、环境、温度控制等与服务需求相匹配。</w:t>
            </w:r>
          </w:p>
        </w:tc>
      </w:tr>
      <w:tr w14:paraId="361E2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17" w:type="dxa"/>
            <w:shd w:val="clear" w:color="auto" w:fill="auto"/>
            <w:vAlign w:val="center"/>
          </w:tcPr>
          <w:p w14:paraId="4DF60C9C">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1700" w:type="dxa"/>
            <w:vAlign w:val="center"/>
          </w:tcPr>
          <w:p w14:paraId="77E8ECA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w:t>
            </w:r>
          </w:p>
        </w:tc>
        <w:tc>
          <w:tcPr>
            <w:tcW w:w="5767" w:type="dxa"/>
            <w:shd w:val="clear" w:color="auto" w:fill="auto"/>
            <w:vAlign w:val="center"/>
          </w:tcPr>
          <w:p w14:paraId="7451C84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（1）监督抽检应当按照食品安全标准、注册或者备案的特殊食品产品技术要求以及国家有关规定确定的检验项目和检验方法进行。</w:t>
            </w:r>
          </w:p>
          <w:p w14:paraId="175ED1B5">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（2）风险</w:t>
            </w:r>
            <w:r>
              <w:rPr>
                <w:rStyle w:val="85"/>
                <w:rFonts w:ascii="宋体" w:hAnsi="宋体" w:eastAsia="宋体" w:cs="宋体"/>
                <w:color w:val="auto"/>
                <w:sz w:val="21"/>
                <w:szCs w:val="21"/>
                <w:highlight w:val="none"/>
              </w:rPr>
              <w:t>抽检</w:t>
            </w:r>
            <w:r>
              <w:rPr>
                <w:rStyle w:val="85"/>
                <w:rFonts w:hint="eastAsia" w:ascii="宋体" w:hAnsi="宋体" w:eastAsia="宋体" w:cs="宋体"/>
                <w:color w:val="auto"/>
                <w:sz w:val="21"/>
                <w:szCs w:val="21"/>
                <w:highlight w:val="none"/>
              </w:rPr>
              <w:t>工作中，在没有前款规定的检验方法的情况下，可以采用其他检验方法。</w:t>
            </w:r>
          </w:p>
          <w:p w14:paraId="7B6A40C9">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（3）在不影响样品检验结果的前提下，供应商应当对检验样品采取相应的措施（如分装或者重新包装编号），以保证不会发生人为原因导致不公正的情况。</w:t>
            </w:r>
          </w:p>
          <w:p w14:paraId="55629F3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（4）供应商应当按照标准或相关规定制备样品，必要时制定作业指导书，认真记录制样过程关键信息。</w:t>
            </w:r>
          </w:p>
          <w:p w14:paraId="19FB5BC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（5）供应商应当建立检验结果复验程序（微生物、螨、寄生虫项目除外），在检验结果不合格或存疑等情况时，应当对同批次样品进行再次检验并保存原始记录，确保数据准确可靠。</w:t>
            </w:r>
          </w:p>
          <w:p w14:paraId="28FD3561">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（6）微生物项目不合格的，应当由微生物检验领域关键技术人员（与样品检验人员非同一人）对检验过程中影响结果的关键因素进行复核。</w:t>
            </w:r>
          </w:p>
          <w:p w14:paraId="71C1F0EF">
            <w:pPr>
              <w:widowControl/>
              <w:spacing w:line="320" w:lineRule="exact"/>
              <w:jc w:val="left"/>
              <w:textAlignment w:val="center"/>
              <w:rPr>
                <w:rFonts w:hint="eastAsia" w:ascii="宋体" w:hAnsi="宋体" w:eastAsia="宋体" w:cs="宋体"/>
                <w:color w:val="auto"/>
                <w:kern w:val="0"/>
                <w:sz w:val="21"/>
                <w:szCs w:val="21"/>
                <w:highlight w:val="none"/>
              </w:rPr>
            </w:pPr>
            <w:r>
              <w:rPr>
                <w:rStyle w:val="85"/>
                <w:rFonts w:hint="eastAsia" w:ascii="宋体" w:hAnsi="宋体" w:eastAsia="宋体" w:cs="宋体"/>
                <w:color w:val="auto"/>
                <w:sz w:val="21"/>
                <w:szCs w:val="21"/>
                <w:highlight w:val="none"/>
              </w:rPr>
              <w:t>（7）</w:t>
            </w:r>
            <w:r>
              <w:rPr>
                <w:rFonts w:hint="eastAsia" w:ascii="宋体" w:hAnsi="宋体" w:eastAsia="宋体" w:cs="宋体"/>
                <w:color w:val="auto"/>
                <w:kern w:val="0"/>
                <w:sz w:val="21"/>
                <w:szCs w:val="21"/>
                <w:highlight w:val="none"/>
              </w:rPr>
              <w:t>拟用于开展食品检验工作的实验场所面积、环境、布局和组成部分等与服务需求相匹配。</w:t>
            </w:r>
          </w:p>
          <w:p w14:paraId="7119A1CA">
            <w:pPr>
              <w:widowControl/>
              <w:spacing w:line="320" w:lineRule="exact"/>
              <w:jc w:val="left"/>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（8）检验设备的仪器型号、等级、精密度、运行状况和数量应能满足项目需求。</w:t>
            </w:r>
          </w:p>
        </w:tc>
      </w:tr>
      <w:tr w14:paraId="297FA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17" w:type="dxa"/>
            <w:shd w:val="clear" w:color="auto" w:fill="auto"/>
            <w:vAlign w:val="center"/>
          </w:tcPr>
          <w:p w14:paraId="5BFC836A">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1700" w:type="dxa"/>
            <w:vAlign w:val="center"/>
          </w:tcPr>
          <w:p w14:paraId="0206294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检验记录</w:t>
            </w:r>
          </w:p>
        </w:tc>
        <w:tc>
          <w:tcPr>
            <w:tcW w:w="5767" w:type="dxa"/>
            <w:shd w:val="clear" w:color="auto" w:fill="auto"/>
            <w:vAlign w:val="center"/>
          </w:tcPr>
          <w:p w14:paraId="66A1AB9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（1）检验原始记录必须如实填写，保证真实、准确、完整、清晰、可溯源，不得随意更改。</w:t>
            </w:r>
          </w:p>
          <w:p w14:paraId="5356BDB8">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（2）确有必要更改的，更改处应当经检验人员签字或盖章确认，采用电子化原始记录的，应当保留更改痕迹。</w:t>
            </w:r>
          </w:p>
        </w:tc>
      </w:tr>
      <w:tr w14:paraId="1BE09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817" w:type="dxa"/>
            <w:shd w:val="clear" w:color="auto" w:fill="auto"/>
            <w:vAlign w:val="center"/>
          </w:tcPr>
          <w:p w14:paraId="08D8B12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1700" w:type="dxa"/>
            <w:vAlign w:val="center"/>
          </w:tcPr>
          <w:p w14:paraId="58FCDB88">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结果质量控制</w:t>
            </w:r>
          </w:p>
        </w:tc>
        <w:tc>
          <w:tcPr>
            <w:tcW w:w="5767" w:type="dxa"/>
            <w:shd w:val="clear" w:color="auto" w:fill="auto"/>
            <w:vAlign w:val="center"/>
          </w:tcPr>
          <w:p w14:paraId="5B413595">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供应商应当选取加标回收、人员比对、设备比对或实验室间比对等质控方式确保数据的准确性。</w:t>
            </w:r>
          </w:p>
        </w:tc>
      </w:tr>
      <w:tr w14:paraId="639A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8" w:hRule="atLeast"/>
          <w:jc w:val="center"/>
        </w:trPr>
        <w:tc>
          <w:tcPr>
            <w:tcW w:w="817" w:type="dxa"/>
            <w:shd w:val="clear" w:color="auto" w:fill="auto"/>
            <w:vAlign w:val="center"/>
          </w:tcPr>
          <w:p w14:paraId="32AF2080">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1700" w:type="dxa"/>
            <w:vAlign w:val="center"/>
          </w:tcPr>
          <w:p w14:paraId="5B25A01A">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检验报告</w:t>
            </w:r>
          </w:p>
        </w:tc>
        <w:tc>
          <w:tcPr>
            <w:tcW w:w="5767" w:type="dxa"/>
            <w:shd w:val="clear" w:color="auto" w:fill="auto"/>
            <w:vAlign w:val="center"/>
          </w:tcPr>
          <w:p w14:paraId="0D61294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（1）供应商应当按规定格式出具检验报告，检验报告应当内容真实完整、数据准确。</w:t>
            </w:r>
          </w:p>
          <w:p w14:paraId="64306ECD">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（2）供应商应当自收到样品之日起二十个工作日内出具检验报告。采购人与供应商另有约定的，从其约定。</w:t>
            </w:r>
          </w:p>
          <w:p w14:paraId="6318F29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（3）食品安全抽样检验实行供应商与检验人负责制。供应商出具的食品安全检验报告应当加盖机构公章或检验检测专用章，并有检验人的签名或者盖章。供应商和检验人对出具的检验报告负责。</w:t>
            </w:r>
          </w:p>
        </w:tc>
      </w:tr>
      <w:tr w14:paraId="3FD3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1" w:hRule="atLeast"/>
          <w:jc w:val="center"/>
        </w:trPr>
        <w:tc>
          <w:tcPr>
            <w:tcW w:w="817" w:type="dxa"/>
            <w:shd w:val="clear" w:color="auto" w:fill="auto"/>
            <w:vAlign w:val="center"/>
          </w:tcPr>
          <w:p w14:paraId="6E4AD30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1700" w:type="dxa"/>
            <w:vAlign w:val="center"/>
          </w:tcPr>
          <w:p w14:paraId="2B44B6BE">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检验过程特殊情况</w:t>
            </w:r>
          </w:p>
        </w:tc>
        <w:tc>
          <w:tcPr>
            <w:tcW w:w="5767" w:type="dxa"/>
            <w:shd w:val="clear" w:color="auto" w:fill="auto"/>
            <w:vAlign w:val="center"/>
          </w:tcPr>
          <w:p w14:paraId="6C4C481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检验过程中遇有样品失效或者其他情况致使检验无法进行的，供应商必须如实记录有关情况，提供充分的证明材料，并将有关情况报告采购人。</w:t>
            </w:r>
          </w:p>
        </w:tc>
      </w:tr>
      <w:tr w14:paraId="02A93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17" w:type="dxa"/>
            <w:shd w:val="clear" w:color="auto" w:fill="auto"/>
            <w:vAlign w:val="center"/>
          </w:tcPr>
          <w:p w14:paraId="2B9914AF">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w:t>
            </w:r>
          </w:p>
        </w:tc>
        <w:tc>
          <w:tcPr>
            <w:tcW w:w="1700" w:type="dxa"/>
            <w:vAlign w:val="center"/>
          </w:tcPr>
          <w:p w14:paraId="0B53E780">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风险信息限时报送</w:t>
            </w:r>
          </w:p>
        </w:tc>
        <w:tc>
          <w:tcPr>
            <w:tcW w:w="5767" w:type="dxa"/>
            <w:shd w:val="clear" w:color="auto" w:fill="auto"/>
            <w:vAlign w:val="center"/>
          </w:tcPr>
          <w:p w14:paraId="6C94A0EF">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供应商在检验过程中发现严重食品安全风险情形的，应当立即对样品信息、检验结果等进行核实，在十二个小时内填写《食品安全抽样检验限时报告情况表》上传</w:t>
            </w:r>
            <w:r>
              <w:rPr>
                <w:rStyle w:val="85"/>
                <w:rFonts w:hint="eastAsia" w:ascii="宋体" w:hAnsi="宋体" w:eastAsia="宋体" w:cs="宋体"/>
                <w:color w:val="auto"/>
                <w:sz w:val="21"/>
                <w:szCs w:val="21"/>
                <w:highlight w:val="none"/>
                <w:lang w:val="en-US"/>
              </w:rPr>
              <w:t>国抽</w:t>
            </w:r>
            <w:r>
              <w:rPr>
                <w:rStyle w:val="85"/>
                <w:rFonts w:hint="eastAsia" w:ascii="宋体" w:hAnsi="宋体" w:eastAsia="宋体" w:cs="宋体"/>
                <w:color w:val="auto"/>
                <w:sz w:val="21"/>
                <w:szCs w:val="21"/>
                <w:highlight w:val="none"/>
              </w:rPr>
              <w:t>信息系统，同时向采购人书面或电话报告，确认对方收悉并记录备查。供应商要按“急事急办”原则，尽快出具完整的检验报告。</w:t>
            </w:r>
          </w:p>
        </w:tc>
      </w:tr>
      <w:tr w14:paraId="4D08D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817" w:type="dxa"/>
            <w:shd w:val="clear" w:color="auto" w:fill="auto"/>
            <w:vAlign w:val="center"/>
          </w:tcPr>
          <w:p w14:paraId="77C4287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w:t>
            </w:r>
          </w:p>
        </w:tc>
        <w:tc>
          <w:tcPr>
            <w:tcW w:w="1700" w:type="dxa"/>
            <w:vAlign w:val="center"/>
          </w:tcPr>
          <w:p w14:paraId="355AA939">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合格样品、未发现问题样品检验报告的报送</w:t>
            </w:r>
          </w:p>
        </w:tc>
        <w:tc>
          <w:tcPr>
            <w:tcW w:w="5767" w:type="dxa"/>
            <w:shd w:val="clear" w:color="auto" w:fill="auto"/>
            <w:vAlign w:val="center"/>
          </w:tcPr>
          <w:p w14:paraId="07F8B68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供应商应当在检验结论作出后七个工作日内将检验结论报送采购人。</w:t>
            </w:r>
          </w:p>
        </w:tc>
      </w:tr>
      <w:tr w14:paraId="1F9E1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17" w:type="dxa"/>
            <w:shd w:val="clear" w:color="auto" w:fill="auto"/>
            <w:vAlign w:val="center"/>
          </w:tcPr>
          <w:p w14:paraId="3E30000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w:t>
            </w:r>
          </w:p>
        </w:tc>
        <w:tc>
          <w:tcPr>
            <w:tcW w:w="1700" w:type="dxa"/>
            <w:vAlign w:val="center"/>
          </w:tcPr>
          <w:p w14:paraId="231136DC">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不合格样品、问题样品检验报告的报送</w:t>
            </w:r>
          </w:p>
        </w:tc>
        <w:tc>
          <w:tcPr>
            <w:tcW w:w="5767" w:type="dxa"/>
            <w:shd w:val="clear" w:color="auto" w:fill="auto"/>
            <w:vAlign w:val="center"/>
          </w:tcPr>
          <w:p w14:paraId="23613ED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供应商应当在检验结论作出后两个工作日内将检验报告及《食品安全抽样检验告知书》《食品安全抽样检验抽样单》《食品安全抽样检验结果通知书》《食品安全风险抽检结果通知书》等有关材料报送采购人，并按照相关规定及时配合通报。</w:t>
            </w:r>
          </w:p>
        </w:tc>
      </w:tr>
    </w:tbl>
    <w:p w14:paraId="584B8C7B">
      <w:pPr>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br w:type="page"/>
      </w:r>
    </w:p>
    <w:p w14:paraId="754ECF02">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表2-2 主要仪器设备表</w:t>
      </w:r>
    </w:p>
    <w:tbl>
      <w:tblPr>
        <w:tblStyle w:val="34"/>
        <w:tblW w:w="7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268"/>
        <w:gridCol w:w="2694"/>
        <w:gridCol w:w="709"/>
      </w:tblGrid>
      <w:tr w14:paraId="6D4FB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04" w:type="dxa"/>
            <w:vAlign w:val="center"/>
          </w:tcPr>
          <w:p w14:paraId="76F88725">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14:paraId="24CFA7CF">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268" w:type="dxa"/>
            <w:vAlign w:val="center"/>
          </w:tcPr>
          <w:p w14:paraId="0AF43749">
            <w:pPr>
              <w:jc w:val="center"/>
              <w:rPr>
                <w:rFonts w:hint="eastAsia" w:ascii="宋体" w:hAnsi="宋体" w:cs="宋体"/>
                <w:color w:val="auto"/>
                <w:szCs w:val="21"/>
                <w:highlight w:val="none"/>
              </w:rPr>
            </w:pPr>
            <w:r>
              <w:rPr>
                <w:rFonts w:hint="eastAsia" w:ascii="宋体" w:hAnsi="宋体" w:cs="宋体"/>
                <w:color w:val="auto"/>
                <w:szCs w:val="21"/>
                <w:highlight w:val="none"/>
              </w:rPr>
              <w:t>设备</w:t>
            </w:r>
            <w:r>
              <w:rPr>
                <w:rFonts w:ascii="宋体" w:hAnsi="宋体" w:cs="宋体"/>
                <w:color w:val="auto"/>
                <w:szCs w:val="21"/>
                <w:highlight w:val="none"/>
              </w:rPr>
              <w:t>名称</w:t>
            </w:r>
          </w:p>
        </w:tc>
        <w:tc>
          <w:tcPr>
            <w:tcW w:w="2694" w:type="dxa"/>
            <w:vAlign w:val="center"/>
          </w:tcPr>
          <w:p w14:paraId="7E6E2AA4">
            <w:pPr>
              <w:jc w:val="center"/>
              <w:rPr>
                <w:rFonts w:hint="eastAsia" w:ascii="宋体" w:hAnsi="宋体" w:eastAsia="宋体" w:cs="宋体"/>
                <w:color w:val="auto"/>
                <w:szCs w:val="21"/>
                <w:highlight w:val="none"/>
                <w:lang w:eastAsia="zh-CN"/>
              </w:rPr>
            </w:pPr>
            <w:r>
              <w:rPr>
                <w:rFonts w:hint="eastAsia" w:ascii="Microsoft New Tai Lue" w:hAnsi="Microsoft New Tai Lue" w:cs="Microsoft New Tai Lue"/>
                <w:color w:val="auto"/>
                <w:szCs w:val="21"/>
                <w:highlight w:val="none"/>
                <w:lang w:val="en-US" w:eastAsia="zh-CN"/>
              </w:rPr>
              <w:t>台数</w:t>
            </w:r>
          </w:p>
        </w:tc>
        <w:tc>
          <w:tcPr>
            <w:tcW w:w="709" w:type="dxa"/>
            <w:vAlign w:val="center"/>
          </w:tcPr>
          <w:p w14:paraId="09E513D1">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8855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438FC92">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vMerge w:val="restart"/>
            <w:vAlign w:val="center"/>
          </w:tcPr>
          <w:p w14:paraId="1ADE086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供应商应配备满足采购人检验检测项目需求的检验设备</w:t>
            </w:r>
          </w:p>
        </w:tc>
        <w:tc>
          <w:tcPr>
            <w:tcW w:w="2268" w:type="dxa"/>
            <w:vAlign w:val="center"/>
          </w:tcPr>
          <w:p w14:paraId="713B79CE">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液相色谱串联质谱联用仪</w:t>
            </w:r>
          </w:p>
        </w:tc>
        <w:tc>
          <w:tcPr>
            <w:tcW w:w="2694" w:type="dxa"/>
            <w:vMerge w:val="restart"/>
            <w:vAlign w:val="center"/>
          </w:tcPr>
          <w:p w14:paraId="457CD462">
            <w:pPr>
              <w:jc w:val="center"/>
              <w:rPr>
                <w:rFonts w:hint="default" w:ascii="宋体" w:hAnsi="宋体" w:eastAsia="宋体" w:cs="宋体"/>
                <w:color w:val="auto"/>
                <w:szCs w:val="21"/>
                <w:highlight w:val="none"/>
                <w:lang w:val="en-US" w:eastAsia="zh-CN"/>
              </w:rPr>
            </w:pPr>
            <w:r>
              <w:rPr>
                <w:rFonts w:hint="eastAsia" w:ascii="宋体" w:hAnsi="宋体" w:cs="宋体"/>
                <w:color w:val="auto"/>
                <w:highlight w:val="none"/>
              </w:rPr>
              <w:t>具备</w:t>
            </w:r>
            <w:r>
              <w:rPr>
                <w:rFonts w:hint="eastAsia" w:ascii="宋体" w:hAnsi="宋体" w:cs="宋体"/>
                <w:color w:val="auto"/>
                <w:highlight w:val="none"/>
                <w:lang w:val="en-US" w:eastAsia="zh-CN"/>
              </w:rPr>
              <w:t>至少6类设备，每类</w:t>
            </w:r>
            <w:r>
              <w:rPr>
                <w:rFonts w:hint="eastAsia" w:ascii="宋体" w:hAnsi="宋体" w:cs="宋体"/>
                <w:color w:val="auto"/>
                <w:highlight w:val="none"/>
              </w:rPr>
              <w:t>同时配备至少</w:t>
            </w:r>
            <w:r>
              <w:rPr>
                <w:rFonts w:hint="eastAsia" w:ascii="宋体" w:hAnsi="宋体" w:cs="宋体"/>
                <w:color w:val="auto"/>
                <w:highlight w:val="none"/>
                <w:lang w:val="en-US" w:eastAsia="zh-CN"/>
              </w:rPr>
              <w:t>1台</w:t>
            </w:r>
          </w:p>
        </w:tc>
        <w:tc>
          <w:tcPr>
            <w:tcW w:w="709" w:type="dxa"/>
            <w:vAlign w:val="center"/>
          </w:tcPr>
          <w:p w14:paraId="45F2D85F">
            <w:pPr>
              <w:jc w:val="center"/>
              <w:rPr>
                <w:rFonts w:hint="eastAsia" w:ascii="宋体" w:hAnsi="宋体" w:cs="宋体"/>
                <w:color w:val="auto"/>
                <w:szCs w:val="21"/>
                <w:highlight w:val="none"/>
              </w:rPr>
            </w:pPr>
          </w:p>
        </w:tc>
      </w:tr>
      <w:tr w14:paraId="7FCF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1D059DDC">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vMerge w:val="continue"/>
            <w:vAlign w:val="center"/>
          </w:tcPr>
          <w:p w14:paraId="178300D7">
            <w:pPr>
              <w:jc w:val="center"/>
              <w:rPr>
                <w:rFonts w:hint="eastAsia" w:ascii="宋体" w:hAnsi="宋体" w:cs="宋体"/>
                <w:color w:val="auto"/>
                <w:szCs w:val="21"/>
                <w:highlight w:val="none"/>
              </w:rPr>
            </w:pPr>
          </w:p>
        </w:tc>
        <w:tc>
          <w:tcPr>
            <w:tcW w:w="2268" w:type="dxa"/>
            <w:vAlign w:val="center"/>
          </w:tcPr>
          <w:p w14:paraId="07C33A5C">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气相色谱质谱联用仪</w:t>
            </w:r>
          </w:p>
        </w:tc>
        <w:tc>
          <w:tcPr>
            <w:tcW w:w="2694" w:type="dxa"/>
            <w:vMerge w:val="continue"/>
            <w:vAlign w:val="center"/>
          </w:tcPr>
          <w:p w14:paraId="0ED499C9">
            <w:pPr>
              <w:jc w:val="center"/>
              <w:rPr>
                <w:rFonts w:hint="eastAsia" w:ascii="宋体" w:hAnsi="宋体" w:cs="宋体"/>
                <w:color w:val="auto"/>
                <w:szCs w:val="21"/>
                <w:highlight w:val="none"/>
              </w:rPr>
            </w:pPr>
          </w:p>
        </w:tc>
        <w:tc>
          <w:tcPr>
            <w:tcW w:w="709" w:type="dxa"/>
            <w:vAlign w:val="center"/>
          </w:tcPr>
          <w:p w14:paraId="5C8B7270">
            <w:pPr>
              <w:jc w:val="center"/>
              <w:rPr>
                <w:rFonts w:hint="eastAsia" w:ascii="宋体" w:hAnsi="宋体" w:cs="宋体"/>
                <w:color w:val="auto"/>
                <w:szCs w:val="21"/>
                <w:highlight w:val="none"/>
              </w:rPr>
            </w:pPr>
          </w:p>
        </w:tc>
      </w:tr>
      <w:tr w14:paraId="5E3BE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555CEAA">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vMerge w:val="continue"/>
            <w:vAlign w:val="center"/>
          </w:tcPr>
          <w:p w14:paraId="20E69D31">
            <w:pPr>
              <w:jc w:val="center"/>
              <w:rPr>
                <w:rFonts w:hint="eastAsia" w:ascii="宋体" w:hAnsi="宋体" w:cs="宋体"/>
                <w:color w:val="auto"/>
                <w:szCs w:val="21"/>
                <w:highlight w:val="none"/>
              </w:rPr>
            </w:pPr>
          </w:p>
        </w:tc>
        <w:tc>
          <w:tcPr>
            <w:tcW w:w="2268" w:type="dxa"/>
            <w:vAlign w:val="center"/>
          </w:tcPr>
          <w:p w14:paraId="6BACA309">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电感耦合等离子体质谱仪</w:t>
            </w:r>
          </w:p>
        </w:tc>
        <w:tc>
          <w:tcPr>
            <w:tcW w:w="2694" w:type="dxa"/>
            <w:vMerge w:val="continue"/>
            <w:vAlign w:val="center"/>
          </w:tcPr>
          <w:p w14:paraId="3D72993A">
            <w:pPr>
              <w:jc w:val="center"/>
              <w:rPr>
                <w:rFonts w:hint="eastAsia" w:ascii="宋体" w:hAnsi="宋体" w:cs="宋体"/>
                <w:color w:val="auto"/>
                <w:szCs w:val="21"/>
                <w:highlight w:val="none"/>
              </w:rPr>
            </w:pPr>
          </w:p>
        </w:tc>
        <w:tc>
          <w:tcPr>
            <w:tcW w:w="709" w:type="dxa"/>
            <w:vAlign w:val="center"/>
          </w:tcPr>
          <w:p w14:paraId="5D3F801C">
            <w:pPr>
              <w:jc w:val="center"/>
              <w:rPr>
                <w:rFonts w:hint="eastAsia" w:ascii="宋体" w:hAnsi="宋体" w:cs="宋体"/>
                <w:color w:val="auto"/>
                <w:szCs w:val="21"/>
                <w:highlight w:val="none"/>
              </w:rPr>
            </w:pPr>
          </w:p>
        </w:tc>
      </w:tr>
      <w:tr w14:paraId="185A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4" w:type="dxa"/>
            <w:vAlign w:val="center"/>
          </w:tcPr>
          <w:p w14:paraId="38FFACCF">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vMerge w:val="continue"/>
            <w:vAlign w:val="center"/>
          </w:tcPr>
          <w:p w14:paraId="59714F35">
            <w:pPr>
              <w:jc w:val="center"/>
              <w:rPr>
                <w:rFonts w:hint="eastAsia" w:ascii="宋体" w:hAnsi="宋体" w:cs="宋体"/>
                <w:color w:val="auto"/>
                <w:szCs w:val="21"/>
                <w:highlight w:val="none"/>
              </w:rPr>
            </w:pPr>
          </w:p>
        </w:tc>
        <w:tc>
          <w:tcPr>
            <w:tcW w:w="2268" w:type="dxa"/>
            <w:vAlign w:val="center"/>
          </w:tcPr>
          <w:p w14:paraId="677ED83E">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离子色谱仪</w:t>
            </w:r>
          </w:p>
        </w:tc>
        <w:tc>
          <w:tcPr>
            <w:tcW w:w="2694" w:type="dxa"/>
            <w:vMerge w:val="continue"/>
            <w:vAlign w:val="center"/>
          </w:tcPr>
          <w:p w14:paraId="23C5C957">
            <w:pPr>
              <w:jc w:val="center"/>
              <w:rPr>
                <w:rFonts w:hint="eastAsia" w:ascii="宋体" w:hAnsi="宋体" w:cs="宋体"/>
                <w:color w:val="auto"/>
                <w:szCs w:val="21"/>
                <w:highlight w:val="none"/>
              </w:rPr>
            </w:pPr>
          </w:p>
        </w:tc>
        <w:tc>
          <w:tcPr>
            <w:tcW w:w="709" w:type="dxa"/>
            <w:vAlign w:val="center"/>
          </w:tcPr>
          <w:p w14:paraId="38CFF46B">
            <w:pPr>
              <w:jc w:val="center"/>
              <w:rPr>
                <w:rFonts w:hint="eastAsia" w:ascii="宋体" w:hAnsi="宋体" w:cs="宋体"/>
                <w:color w:val="auto"/>
                <w:szCs w:val="21"/>
                <w:highlight w:val="none"/>
              </w:rPr>
            </w:pPr>
          </w:p>
        </w:tc>
      </w:tr>
      <w:tr w14:paraId="00CE3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0CFD471F">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59" w:type="dxa"/>
            <w:vMerge w:val="continue"/>
            <w:vAlign w:val="center"/>
          </w:tcPr>
          <w:p w14:paraId="27A3B4EB">
            <w:pPr>
              <w:jc w:val="center"/>
              <w:rPr>
                <w:rFonts w:hint="eastAsia" w:ascii="宋体" w:hAnsi="宋体" w:cs="宋体"/>
                <w:color w:val="auto"/>
                <w:szCs w:val="21"/>
                <w:highlight w:val="none"/>
              </w:rPr>
            </w:pPr>
          </w:p>
        </w:tc>
        <w:tc>
          <w:tcPr>
            <w:tcW w:w="2268" w:type="dxa"/>
            <w:vAlign w:val="center"/>
          </w:tcPr>
          <w:p w14:paraId="1A76CF35">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高效液相色谱仪</w:t>
            </w:r>
          </w:p>
        </w:tc>
        <w:tc>
          <w:tcPr>
            <w:tcW w:w="2694" w:type="dxa"/>
            <w:vMerge w:val="continue"/>
            <w:vAlign w:val="center"/>
          </w:tcPr>
          <w:p w14:paraId="6361DC7F">
            <w:pPr>
              <w:jc w:val="center"/>
              <w:rPr>
                <w:rFonts w:hint="eastAsia" w:ascii="宋体" w:hAnsi="宋体" w:cs="宋体"/>
                <w:color w:val="auto"/>
                <w:szCs w:val="21"/>
                <w:highlight w:val="none"/>
              </w:rPr>
            </w:pPr>
          </w:p>
        </w:tc>
        <w:tc>
          <w:tcPr>
            <w:tcW w:w="709" w:type="dxa"/>
            <w:vAlign w:val="center"/>
          </w:tcPr>
          <w:p w14:paraId="45B03E65">
            <w:pPr>
              <w:jc w:val="center"/>
              <w:rPr>
                <w:rFonts w:hint="eastAsia" w:ascii="宋体" w:hAnsi="宋体" w:cs="宋体"/>
                <w:color w:val="auto"/>
                <w:szCs w:val="21"/>
                <w:highlight w:val="none"/>
              </w:rPr>
            </w:pPr>
          </w:p>
        </w:tc>
      </w:tr>
      <w:tr w14:paraId="61A1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4" w:type="dxa"/>
            <w:vAlign w:val="center"/>
          </w:tcPr>
          <w:p w14:paraId="70913F60">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559" w:type="dxa"/>
            <w:vMerge w:val="continue"/>
            <w:vAlign w:val="center"/>
          </w:tcPr>
          <w:p w14:paraId="03702464">
            <w:pPr>
              <w:jc w:val="center"/>
              <w:rPr>
                <w:rFonts w:hint="eastAsia" w:ascii="宋体" w:hAnsi="宋体" w:cs="宋体"/>
                <w:color w:val="auto"/>
                <w:szCs w:val="21"/>
                <w:highlight w:val="none"/>
              </w:rPr>
            </w:pPr>
          </w:p>
        </w:tc>
        <w:tc>
          <w:tcPr>
            <w:tcW w:w="2268" w:type="dxa"/>
            <w:vAlign w:val="center"/>
          </w:tcPr>
          <w:p w14:paraId="7A37911D">
            <w:pPr>
              <w:jc w:val="center"/>
              <w:rPr>
                <w:rFonts w:hint="eastAsia" w:ascii="宋体" w:hAnsi="宋体" w:cs="宋体"/>
                <w:color w:val="auto"/>
                <w:szCs w:val="21"/>
                <w:highlight w:val="none"/>
              </w:rPr>
            </w:pPr>
            <w:r>
              <w:rPr>
                <w:rFonts w:hint="eastAsia" w:ascii="宋体" w:hAnsi="宋体" w:cs="宋体"/>
                <w:color w:val="auto"/>
                <w:szCs w:val="21"/>
                <w:highlight w:val="none"/>
              </w:rPr>
              <w:t>气相色谱仪</w:t>
            </w:r>
          </w:p>
        </w:tc>
        <w:tc>
          <w:tcPr>
            <w:tcW w:w="2694" w:type="dxa"/>
            <w:vMerge w:val="continue"/>
            <w:vAlign w:val="center"/>
          </w:tcPr>
          <w:p w14:paraId="3B3645A6">
            <w:pPr>
              <w:jc w:val="center"/>
              <w:rPr>
                <w:rFonts w:hint="eastAsia" w:ascii="宋体" w:hAnsi="宋体" w:cs="宋体"/>
                <w:color w:val="auto"/>
                <w:szCs w:val="21"/>
                <w:highlight w:val="none"/>
              </w:rPr>
            </w:pPr>
          </w:p>
        </w:tc>
        <w:tc>
          <w:tcPr>
            <w:tcW w:w="709" w:type="dxa"/>
            <w:vAlign w:val="center"/>
          </w:tcPr>
          <w:p w14:paraId="4C00F54A">
            <w:pPr>
              <w:jc w:val="center"/>
              <w:rPr>
                <w:rFonts w:hint="eastAsia" w:ascii="宋体" w:hAnsi="宋体" w:cs="宋体"/>
                <w:color w:val="auto"/>
                <w:szCs w:val="21"/>
                <w:highlight w:val="none"/>
              </w:rPr>
            </w:pPr>
          </w:p>
        </w:tc>
      </w:tr>
      <w:tr w14:paraId="28DB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4" w:type="dxa"/>
            <w:vAlign w:val="center"/>
          </w:tcPr>
          <w:p w14:paraId="20B64C42">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559" w:type="dxa"/>
            <w:vMerge w:val="continue"/>
            <w:vAlign w:val="center"/>
          </w:tcPr>
          <w:p w14:paraId="3E6E6B0E">
            <w:pPr>
              <w:jc w:val="center"/>
              <w:rPr>
                <w:rFonts w:hint="eastAsia" w:ascii="宋体" w:hAnsi="宋体" w:cs="宋体"/>
                <w:color w:val="auto"/>
                <w:szCs w:val="21"/>
                <w:highlight w:val="none"/>
              </w:rPr>
            </w:pPr>
          </w:p>
        </w:tc>
        <w:tc>
          <w:tcPr>
            <w:tcW w:w="2268" w:type="dxa"/>
            <w:vAlign w:val="center"/>
          </w:tcPr>
          <w:p w14:paraId="62D58A77">
            <w:pPr>
              <w:jc w:val="center"/>
              <w:rPr>
                <w:rFonts w:hint="eastAsia" w:ascii="宋体" w:hAnsi="宋体" w:cs="宋体"/>
                <w:color w:val="auto"/>
                <w:szCs w:val="21"/>
                <w:highlight w:val="none"/>
              </w:rPr>
            </w:pPr>
            <w:r>
              <w:rPr>
                <w:rFonts w:hint="eastAsia" w:ascii="宋体" w:hAnsi="宋体" w:cs="宋体"/>
                <w:color w:val="auto"/>
                <w:szCs w:val="21"/>
                <w:highlight w:val="none"/>
              </w:rPr>
              <w:t>原子吸收光谱仪</w:t>
            </w:r>
          </w:p>
        </w:tc>
        <w:tc>
          <w:tcPr>
            <w:tcW w:w="2694" w:type="dxa"/>
            <w:vMerge w:val="continue"/>
            <w:vAlign w:val="center"/>
          </w:tcPr>
          <w:p w14:paraId="3E69B37C">
            <w:pPr>
              <w:jc w:val="center"/>
              <w:rPr>
                <w:rFonts w:hint="eastAsia" w:ascii="宋体" w:hAnsi="宋体" w:cs="宋体"/>
                <w:color w:val="auto"/>
                <w:szCs w:val="21"/>
                <w:highlight w:val="none"/>
              </w:rPr>
            </w:pPr>
          </w:p>
        </w:tc>
        <w:tc>
          <w:tcPr>
            <w:tcW w:w="709" w:type="dxa"/>
            <w:vAlign w:val="center"/>
          </w:tcPr>
          <w:p w14:paraId="6255D18A">
            <w:pPr>
              <w:jc w:val="center"/>
              <w:rPr>
                <w:rFonts w:hint="eastAsia" w:ascii="宋体" w:hAnsi="宋体" w:cs="宋体"/>
                <w:color w:val="auto"/>
                <w:szCs w:val="21"/>
                <w:highlight w:val="none"/>
              </w:rPr>
            </w:pPr>
          </w:p>
        </w:tc>
      </w:tr>
      <w:tr w14:paraId="55788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477C4229">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559" w:type="dxa"/>
            <w:vMerge w:val="continue"/>
            <w:vAlign w:val="center"/>
          </w:tcPr>
          <w:p w14:paraId="4129590D">
            <w:pPr>
              <w:jc w:val="center"/>
              <w:rPr>
                <w:rFonts w:hint="eastAsia" w:ascii="宋体" w:hAnsi="宋体" w:cs="宋体"/>
                <w:color w:val="auto"/>
                <w:szCs w:val="21"/>
                <w:highlight w:val="none"/>
              </w:rPr>
            </w:pPr>
          </w:p>
        </w:tc>
        <w:tc>
          <w:tcPr>
            <w:tcW w:w="2268" w:type="dxa"/>
            <w:vAlign w:val="center"/>
          </w:tcPr>
          <w:p w14:paraId="20E6653F">
            <w:pPr>
              <w:jc w:val="center"/>
              <w:rPr>
                <w:rFonts w:hint="eastAsia" w:ascii="宋体" w:hAnsi="宋体" w:cs="宋体"/>
                <w:color w:val="auto"/>
                <w:szCs w:val="21"/>
                <w:highlight w:val="none"/>
              </w:rPr>
            </w:pPr>
            <w:r>
              <w:rPr>
                <w:rFonts w:hint="eastAsia" w:ascii="宋体" w:hAnsi="宋体" w:cs="宋体"/>
                <w:color w:val="auto"/>
                <w:szCs w:val="21"/>
                <w:highlight w:val="none"/>
              </w:rPr>
              <w:t>原子荧光光谱仪</w:t>
            </w:r>
          </w:p>
        </w:tc>
        <w:tc>
          <w:tcPr>
            <w:tcW w:w="2694" w:type="dxa"/>
            <w:vMerge w:val="continue"/>
            <w:vAlign w:val="center"/>
          </w:tcPr>
          <w:p w14:paraId="6FFDC33C">
            <w:pPr>
              <w:jc w:val="center"/>
              <w:rPr>
                <w:rFonts w:hint="eastAsia" w:ascii="宋体" w:hAnsi="宋体" w:cs="宋体"/>
                <w:color w:val="auto"/>
                <w:szCs w:val="21"/>
                <w:highlight w:val="none"/>
              </w:rPr>
            </w:pPr>
          </w:p>
        </w:tc>
        <w:tc>
          <w:tcPr>
            <w:tcW w:w="709" w:type="dxa"/>
            <w:vAlign w:val="center"/>
          </w:tcPr>
          <w:p w14:paraId="6A26FE6E">
            <w:pPr>
              <w:jc w:val="center"/>
              <w:rPr>
                <w:rFonts w:hint="eastAsia" w:ascii="宋体" w:hAnsi="宋体" w:cs="宋体"/>
                <w:color w:val="auto"/>
                <w:szCs w:val="21"/>
                <w:highlight w:val="none"/>
              </w:rPr>
            </w:pPr>
          </w:p>
        </w:tc>
      </w:tr>
      <w:tr w14:paraId="0F26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57882A94">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559" w:type="dxa"/>
            <w:vMerge w:val="continue"/>
            <w:vAlign w:val="center"/>
          </w:tcPr>
          <w:p w14:paraId="72897259">
            <w:pPr>
              <w:jc w:val="center"/>
              <w:rPr>
                <w:rFonts w:hint="eastAsia" w:ascii="宋体" w:hAnsi="宋体" w:cs="宋体"/>
                <w:color w:val="auto"/>
                <w:szCs w:val="21"/>
                <w:highlight w:val="none"/>
              </w:rPr>
            </w:pPr>
          </w:p>
        </w:tc>
        <w:tc>
          <w:tcPr>
            <w:tcW w:w="2268" w:type="dxa"/>
            <w:vAlign w:val="center"/>
          </w:tcPr>
          <w:p w14:paraId="18AB2EAA">
            <w:pPr>
              <w:jc w:val="center"/>
              <w:rPr>
                <w:rFonts w:hint="eastAsia" w:ascii="宋体" w:hAnsi="宋体" w:cs="宋体"/>
                <w:color w:val="auto"/>
                <w:szCs w:val="21"/>
                <w:highlight w:val="none"/>
              </w:rPr>
            </w:pPr>
            <w:r>
              <w:rPr>
                <w:rFonts w:hint="eastAsia" w:ascii="宋体" w:hAnsi="宋体" w:cs="宋体"/>
                <w:color w:val="auto"/>
                <w:szCs w:val="21"/>
                <w:highlight w:val="none"/>
              </w:rPr>
              <w:t>PCR检测仪</w:t>
            </w:r>
          </w:p>
        </w:tc>
        <w:tc>
          <w:tcPr>
            <w:tcW w:w="2694" w:type="dxa"/>
            <w:vMerge w:val="continue"/>
            <w:vAlign w:val="center"/>
          </w:tcPr>
          <w:p w14:paraId="086A5EEC">
            <w:pPr>
              <w:jc w:val="center"/>
              <w:rPr>
                <w:rFonts w:hint="eastAsia" w:ascii="宋体" w:hAnsi="宋体" w:cs="宋体"/>
                <w:color w:val="auto"/>
                <w:szCs w:val="21"/>
                <w:highlight w:val="none"/>
              </w:rPr>
            </w:pPr>
          </w:p>
        </w:tc>
        <w:tc>
          <w:tcPr>
            <w:tcW w:w="709" w:type="dxa"/>
            <w:vAlign w:val="center"/>
          </w:tcPr>
          <w:p w14:paraId="1D7DB534">
            <w:pPr>
              <w:jc w:val="center"/>
              <w:rPr>
                <w:rFonts w:hint="eastAsia" w:ascii="宋体" w:hAnsi="宋体" w:cs="宋体"/>
                <w:color w:val="auto"/>
                <w:szCs w:val="21"/>
                <w:highlight w:val="none"/>
              </w:rPr>
            </w:pPr>
          </w:p>
        </w:tc>
      </w:tr>
    </w:tbl>
    <w:p w14:paraId="3BC8D2E6">
      <w:pPr>
        <w:rPr>
          <w:rFonts w:hint="eastAsia" w:ascii="宋体" w:hAnsi="宋体" w:cs="宋体"/>
          <w:color w:val="auto"/>
          <w:szCs w:val="21"/>
          <w:highlight w:val="none"/>
        </w:rPr>
      </w:pPr>
    </w:p>
    <w:p w14:paraId="4AA0C252">
      <w:pPr>
        <w:widowControl/>
        <w:spacing w:line="560" w:lineRule="exact"/>
        <w:jc w:val="center"/>
        <w:rPr>
          <w:rFonts w:hint="eastAsia" w:ascii="宋体" w:hAnsi="宋体" w:cs="宋体"/>
          <w:color w:val="auto"/>
          <w:szCs w:val="21"/>
          <w:highlight w:val="none"/>
        </w:rPr>
      </w:pPr>
    </w:p>
    <w:p w14:paraId="62B10289">
      <w:pPr>
        <w:rPr>
          <w:rFonts w:hint="eastAsia" w:ascii="宋体" w:hAnsi="宋体" w:cs="宋体"/>
          <w:color w:val="auto"/>
          <w:szCs w:val="21"/>
          <w:highlight w:val="none"/>
        </w:rPr>
      </w:pPr>
      <w:r>
        <w:rPr>
          <w:rFonts w:hint="eastAsia" w:ascii="宋体" w:hAnsi="宋体" w:cs="宋体"/>
          <w:color w:val="auto"/>
          <w:szCs w:val="21"/>
          <w:highlight w:val="none"/>
        </w:rPr>
        <w:br w:type="page"/>
      </w:r>
    </w:p>
    <w:p w14:paraId="53D45F1B">
      <w:pPr>
        <w:spacing w:line="240" w:lineRule="auto"/>
        <w:ind w:left="0"/>
        <w:rPr>
          <w:rFonts w:hint="eastAsia" w:ascii="宋体" w:hAnsi="宋体" w:cs="宋体"/>
          <w:color w:val="auto"/>
          <w:szCs w:val="21"/>
          <w:highlight w:val="none"/>
        </w:rPr>
      </w:pPr>
      <w:r>
        <w:rPr>
          <w:rFonts w:hint="eastAsia" w:ascii="宋体" w:hAnsi="宋体" w:cs="宋体"/>
          <w:color w:val="auto"/>
          <w:szCs w:val="21"/>
          <w:highlight w:val="none"/>
        </w:rPr>
        <w:t>4.2.3数据汇总、分析报告与复检环节</w:t>
      </w:r>
    </w:p>
    <w:p w14:paraId="701D5CBA">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表3 数据处理上报、分析报告与复检环节主要技术内容和标准</w:t>
      </w:r>
    </w:p>
    <w:tbl>
      <w:tblPr>
        <w:tblStyle w:val="34"/>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724"/>
        <w:gridCol w:w="993"/>
        <w:gridCol w:w="5800"/>
      </w:tblGrid>
      <w:tr w14:paraId="65376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33" w:type="dxa"/>
            <w:shd w:val="clear" w:color="auto" w:fill="auto"/>
            <w:vAlign w:val="center"/>
          </w:tcPr>
          <w:p w14:paraId="731528CD">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717" w:type="dxa"/>
            <w:gridSpan w:val="2"/>
            <w:vAlign w:val="center"/>
          </w:tcPr>
          <w:p w14:paraId="240E295B">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800" w:type="dxa"/>
            <w:shd w:val="clear" w:color="auto" w:fill="auto"/>
            <w:vAlign w:val="center"/>
          </w:tcPr>
          <w:p w14:paraId="07CC80EC">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7B2BD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8" w:hRule="atLeast"/>
          <w:jc w:val="center"/>
        </w:trPr>
        <w:tc>
          <w:tcPr>
            <w:tcW w:w="833" w:type="dxa"/>
            <w:shd w:val="clear" w:color="auto" w:fill="auto"/>
            <w:vAlign w:val="center"/>
          </w:tcPr>
          <w:p w14:paraId="5ECCD23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717" w:type="dxa"/>
            <w:gridSpan w:val="2"/>
            <w:vAlign w:val="center"/>
          </w:tcPr>
          <w:p w14:paraId="73DCA12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数据汇总</w:t>
            </w:r>
          </w:p>
        </w:tc>
        <w:tc>
          <w:tcPr>
            <w:tcW w:w="5800" w:type="dxa"/>
            <w:shd w:val="clear" w:color="auto" w:fill="auto"/>
            <w:vAlign w:val="center"/>
          </w:tcPr>
          <w:p w14:paraId="68AD837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数据统计分析、结果信息报送人员数量、能力等要求与服务需求相匹配。</w:t>
            </w:r>
          </w:p>
          <w:p w14:paraId="216394DF">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根据采购人要求按时完成抽检数据的统计汇总和及时上报，并对数据质量负责。</w:t>
            </w:r>
          </w:p>
        </w:tc>
      </w:tr>
      <w:tr w14:paraId="571C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33" w:type="dxa"/>
            <w:shd w:val="clear" w:color="auto" w:fill="auto"/>
            <w:vAlign w:val="center"/>
          </w:tcPr>
          <w:p w14:paraId="45F5F688">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1717" w:type="dxa"/>
            <w:gridSpan w:val="2"/>
            <w:vAlign w:val="center"/>
          </w:tcPr>
          <w:p w14:paraId="35E0503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分析报告</w:t>
            </w:r>
          </w:p>
        </w:tc>
        <w:tc>
          <w:tcPr>
            <w:tcW w:w="5800" w:type="dxa"/>
            <w:shd w:val="clear" w:color="auto" w:fill="auto"/>
            <w:vAlign w:val="center"/>
          </w:tcPr>
          <w:p w14:paraId="121F6242">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在检验工作完成后按采购人要求提供分析报告，包含但不限于任务抽检情况、结果分析、风险警示、工作建议等方面内容。</w:t>
            </w:r>
          </w:p>
        </w:tc>
      </w:tr>
      <w:tr w14:paraId="027E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33" w:type="dxa"/>
            <w:shd w:val="clear" w:color="auto" w:fill="auto"/>
            <w:vAlign w:val="center"/>
          </w:tcPr>
          <w:p w14:paraId="4CE3BB52">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724" w:type="dxa"/>
            <w:vMerge w:val="restart"/>
            <w:vAlign w:val="center"/>
          </w:tcPr>
          <w:p w14:paraId="3FC98489">
            <w:pPr>
              <w:widowControl/>
              <w:spacing w:line="320" w:lineRule="exac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复检处理</w:t>
            </w:r>
          </w:p>
        </w:tc>
        <w:tc>
          <w:tcPr>
            <w:tcW w:w="993" w:type="dxa"/>
            <w:vAlign w:val="center"/>
          </w:tcPr>
          <w:p w14:paraId="46B9DC40">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复检备份样品移交</w:t>
            </w:r>
          </w:p>
        </w:tc>
        <w:tc>
          <w:tcPr>
            <w:tcW w:w="5800" w:type="dxa"/>
            <w:shd w:val="clear" w:color="auto" w:fill="auto"/>
            <w:vAlign w:val="center"/>
          </w:tcPr>
          <w:p w14:paraId="72330E8C">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（1）初检机构应当自复检机构确定之日起三个工作日内，将备份样品移交至复检机构并填写《复检备份样品确认单》。因客观原因不能按时移交的，经受理复检的市场监管部门同意，可以延长三个工作日。</w:t>
            </w:r>
          </w:p>
          <w:p w14:paraId="6FFB92C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p>
        </w:tc>
      </w:tr>
      <w:tr w14:paraId="38C5E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833" w:type="dxa"/>
            <w:shd w:val="clear" w:color="auto" w:fill="auto"/>
            <w:vAlign w:val="center"/>
          </w:tcPr>
          <w:p w14:paraId="13D05B2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724" w:type="dxa"/>
            <w:vMerge w:val="continue"/>
            <w:vAlign w:val="center"/>
          </w:tcPr>
          <w:p w14:paraId="4D38879E">
            <w:pPr>
              <w:widowControl/>
              <w:spacing w:line="320" w:lineRule="exact"/>
              <w:jc w:val="center"/>
              <w:textAlignment w:val="center"/>
              <w:rPr>
                <w:rStyle w:val="85"/>
                <w:rFonts w:hint="eastAsia" w:ascii="宋体" w:hAnsi="宋体" w:eastAsia="宋体" w:cs="宋体"/>
                <w:color w:val="auto"/>
                <w:sz w:val="21"/>
                <w:szCs w:val="21"/>
                <w:highlight w:val="none"/>
              </w:rPr>
            </w:pPr>
          </w:p>
        </w:tc>
        <w:tc>
          <w:tcPr>
            <w:tcW w:w="993" w:type="dxa"/>
            <w:vAlign w:val="center"/>
          </w:tcPr>
          <w:p w14:paraId="1D882457">
            <w:pPr>
              <w:widowControl/>
              <w:spacing w:line="320" w:lineRule="exact"/>
              <w:jc w:val="center"/>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复检实施</w:t>
            </w:r>
          </w:p>
        </w:tc>
        <w:tc>
          <w:tcPr>
            <w:tcW w:w="5800" w:type="dxa"/>
            <w:shd w:val="clear" w:color="auto" w:fill="auto"/>
            <w:vAlign w:val="center"/>
          </w:tcPr>
          <w:p w14:paraId="1FFCB1F1">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 xml:space="preserve">初检机构可以派员观察复检实施过程，复检机构应当予以配合。初检机构派出观察复检过程的人员，应当遵守复检机构的相关规定，不得干扰复检工作。 </w:t>
            </w:r>
          </w:p>
        </w:tc>
      </w:tr>
    </w:tbl>
    <w:p w14:paraId="5CB37910">
      <w:pPr>
        <w:spacing w:line="560" w:lineRule="exact"/>
        <w:ind w:left="641"/>
        <w:rPr>
          <w:rFonts w:hint="eastAsia" w:ascii="宋体" w:hAnsi="宋体" w:cs="宋体"/>
          <w:color w:val="auto"/>
          <w:szCs w:val="21"/>
          <w:highlight w:val="none"/>
        </w:rPr>
      </w:pPr>
      <w:r>
        <w:rPr>
          <w:rFonts w:hint="eastAsia" w:ascii="宋体" w:hAnsi="宋体" w:cs="宋体"/>
          <w:color w:val="auto"/>
          <w:szCs w:val="21"/>
          <w:highlight w:val="none"/>
        </w:rPr>
        <w:t>4.2.4其他服务要求</w:t>
      </w:r>
    </w:p>
    <w:p w14:paraId="578EBEB1">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表4 其他服务内容和标准</w:t>
      </w:r>
    </w:p>
    <w:tbl>
      <w:tblPr>
        <w:tblStyle w:val="34"/>
        <w:tblW w:w="8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50"/>
        <w:gridCol w:w="5450"/>
      </w:tblGrid>
      <w:tr w14:paraId="684EE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4B5C3B1C">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2150" w:type="dxa"/>
            <w:vAlign w:val="center"/>
          </w:tcPr>
          <w:p w14:paraId="04D01913">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服务名称</w:t>
            </w:r>
          </w:p>
        </w:tc>
        <w:tc>
          <w:tcPr>
            <w:tcW w:w="5450" w:type="dxa"/>
            <w:shd w:val="clear" w:color="auto" w:fill="auto"/>
            <w:vAlign w:val="center"/>
          </w:tcPr>
          <w:p w14:paraId="56A7EA40">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服务内容和标准</w:t>
            </w:r>
          </w:p>
        </w:tc>
      </w:tr>
      <w:tr w14:paraId="4269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819" w:type="dxa"/>
            <w:shd w:val="clear" w:color="auto" w:fill="auto"/>
            <w:vAlign w:val="center"/>
          </w:tcPr>
          <w:p w14:paraId="183B8178">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2150" w:type="dxa"/>
            <w:vAlign w:val="center"/>
          </w:tcPr>
          <w:p w14:paraId="4957E106">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人员团队配置</w:t>
            </w:r>
          </w:p>
        </w:tc>
        <w:tc>
          <w:tcPr>
            <w:tcW w:w="5450" w:type="dxa"/>
            <w:shd w:val="clear" w:color="auto" w:fill="auto"/>
            <w:vAlign w:val="center"/>
          </w:tcPr>
          <w:p w14:paraId="421900DB">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（1）岗位配置合理、分工明确，团队人员稳定、专业符合项目需求。</w:t>
            </w:r>
          </w:p>
          <w:p w14:paraId="75766FFE">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（2）项目负责人的学历、职称、工作年限、工作经验等与服务需求相匹配。</w:t>
            </w:r>
          </w:p>
          <w:p w14:paraId="5EA286D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（3）食品领域高水平检验和技术管理人员数量、职称、工作年限、工作经验等与服务需求相匹配。</w:t>
            </w:r>
          </w:p>
          <w:p w14:paraId="0B614D47">
            <w:pPr>
              <w:widowControl/>
              <w:spacing w:line="320" w:lineRule="exact"/>
              <w:jc w:val="left"/>
              <w:textAlignment w:val="center"/>
              <w:rPr>
                <w:rFonts w:hint="default" w:eastAsia="宋体"/>
                <w:lang w:val="en-US" w:eastAsia="zh-CN"/>
              </w:rPr>
            </w:pPr>
            <w:r>
              <w:rPr>
                <w:rStyle w:val="85"/>
                <w:rFonts w:hint="eastAsia" w:ascii="宋体" w:hAnsi="宋体" w:eastAsia="宋体" w:cs="宋体"/>
                <w:color w:val="auto"/>
                <w:sz w:val="21"/>
                <w:szCs w:val="21"/>
                <w:highlight w:val="none"/>
                <w:lang w:eastAsia="zh-CN"/>
              </w:rPr>
              <w:t>（</w:t>
            </w:r>
            <w:r>
              <w:rPr>
                <w:rStyle w:val="85"/>
                <w:rFonts w:hint="eastAsia" w:ascii="宋体" w:hAnsi="宋体" w:eastAsia="宋体" w:cs="宋体"/>
                <w:color w:val="auto"/>
                <w:sz w:val="21"/>
                <w:szCs w:val="21"/>
                <w:highlight w:val="none"/>
                <w:lang w:val="en-US" w:eastAsia="zh-CN"/>
              </w:rPr>
              <w:t>4</w:t>
            </w:r>
            <w:r>
              <w:rPr>
                <w:rStyle w:val="85"/>
                <w:rFonts w:hint="eastAsia" w:ascii="宋体" w:hAnsi="宋体" w:eastAsia="宋体" w:cs="宋体"/>
                <w:color w:val="auto"/>
                <w:sz w:val="21"/>
                <w:szCs w:val="21"/>
                <w:highlight w:val="none"/>
                <w:lang w:eastAsia="zh-CN"/>
              </w:rPr>
              <w:t>）项目组成员一旦确定，</w:t>
            </w:r>
            <w:r>
              <w:rPr>
                <w:rStyle w:val="85"/>
                <w:rFonts w:hint="eastAsia" w:ascii="宋体" w:hAnsi="宋体" w:eastAsia="宋体" w:cs="宋体"/>
                <w:color w:val="auto"/>
                <w:sz w:val="21"/>
                <w:szCs w:val="21"/>
                <w:highlight w:val="none"/>
                <w:lang w:val="en-US" w:eastAsia="zh-CN"/>
              </w:rPr>
              <w:t>中标</w:t>
            </w:r>
            <w:r>
              <w:rPr>
                <w:rStyle w:val="85"/>
                <w:rFonts w:hint="eastAsia" w:ascii="宋体" w:hAnsi="宋体" w:eastAsia="宋体" w:cs="宋体"/>
                <w:color w:val="auto"/>
                <w:sz w:val="21"/>
                <w:szCs w:val="21"/>
                <w:highlight w:val="none"/>
                <w:lang w:eastAsia="zh-CN"/>
              </w:rPr>
              <w:t>后原则上不再变更，若变更，须征得</w:t>
            </w:r>
            <w:r>
              <w:rPr>
                <w:rStyle w:val="85"/>
                <w:rFonts w:hint="eastAsia" w:ascii="宋体" w:hAnsi="宋体" w:eastAsia="宋体" w:cs="宋体"/>
                <w:color w:val="auto"/>
                <w:sz w:val="21"/>
                <w:szCs w:val="21"/>
                <w:highlight w:val="none"/>
                <w:lang w:val="en-US" w:eastAsia="zh-CN"/>
              </w:rPr>
              <w:t>采购</w:t>
            </w:r>
            <w:r>
              <w:rPr>
                <w:rStyle w:val="85"/>
                <w:rFonts w:hint="eastAsia" w:ascii="宋体" w:hAnsi="宋体" w:eastAsia="宋体" w:cs="宋体"/>
                <w:color w:val="auto"/>
                <w:sz w:val="21"/>
                <w:szCs w:val="21"/>
                <w:highlight w:val="none"/>
                <w:lang w:eastAsia="zh-CN"/>
              </w:rPr>
              <w:t>人同意</w:t>
            </w:r>
            <w:r>
              <w:rPr>
                <w:rStyle w:val="85"/>
                <w:rFonts w:hint="eastAsia" w:ascii="宋体" w:hAnsi="宋体" w:eastAsia="宋体" w:cs="宋体"/>
                <w:color w:val="auto"/>
                <w:sz w:val="21"/>
                <w:szCs w:val="21"/>
                <w:highlight w:val="none"/>
              </w:rPr>
              <w:t>。</w:t>
            </w:r>
          </w:p>
        </w:tc>
      </w:tr>
      <w:tr w14:paraId="644F7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19" w:type="dxa"/>
            <w:shd w:val="clear" w:color="auto" w:fill="auto"/>
            <w:vAlign w:val="center"/>
          </w:tcPr>
          <w:p w14:paraId="7EB9E607">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2150" w:type="dxa"/>
            <w:vAlign w:val="center"/>
          </w:tcPr>
          <w:p w14:paraId="6164FDB7">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合格备份样品再利用工作</w:t>
            </w:r>
          </w:p>
        </w:tc>
        <w:tc>
          <w:tcPr>
            <w:tcW w:w="5450" w:type="dxa"/>
            <w:shd w:val="clear" w:color="auto" w:fill="auto"/>
            <w:vAlign w:val="center"/>
          </w:tcPr>
          <w:p w14:paraId="5DCD8B7E">
            <w:pPr>
              <w:widowControl/>
              <w:spacing w:line="320" w:lineRule="exact"/>
              <w:jc w:val="left"/>
              <w:textAlignment w:val="center"/>
              <w:rPr>
                <w:rStyle w:val="85"/>
                <w:rFonts w:hint="default" w:ascii="宋体" w:hAnsi="宋体" w:cs="宋体"/>
                <w:color w:val="auto"/>
                <w:szCs w:val="21"/>
                <w:highlight w:val="none"/>
              </w:rPr>
            </w:pPr>
            <w:r>
              <w:rPr>
                <w:rStyle w:val="85"/>
                <w:rFonts w:hint="eastAsia" w:ascii="宋体" w:hAnsi="宋体" w:eastAsia="宋体" w:cs="宋体"/>
                <w:color w:val="auto"/>
                <w:sz w:val="21"/>
                <w:szCs w:val="21"/>
                <w:highlight w:val="none"/>
                <w:lang w:eastAsia="zh-CN"/>
              </w:rPr>
              <w:t>（</w:t>
            </w:r>
            <w:r>
              <w:rPr>
                <w:rStyle w:val="85"/>
                <w:rFonts w:hint="eastAsia" w:ascii="宋体" w:hAnsi="宋体" w:cs="宋体"/>
                <w:color w:val="auto"/>
                <w:sz w:val="21"/>
                <w:szCs w:val="21"/>
                <w:highlight w:val="none"/>
                <w:lang w:val="en-US" w:eastAsia="zh-CN"/>
              </w:rPr>
              <w:t>1</w:t>
            </w:r>
            <w:r>
              <w:rPr>
                <w:rStyle w:val="85"/>
                <w:rFonts w:hint="eastAsia" w:ascii="宋体" w:hAnsi="宋体" w:eastAsia="宋体" w:cs="宋体"/>
                <w:color w:val="auto"/>
                <w:sz w:val="21"/>
                <w:szCs w:val="21"/>
                <w:highlight w:val="none"/>
                <w:lang w:eastAsia="zh-CN"/>
              </w:rPr>
              <w:t>）按照样品标识的保存条件和法定时限要求，提供样品保管服务，并按照要求开展合格备份样品再利用工作</w:t>
            </w:r>
            <w:r>
              <w:rPr>
                <w:rStyle w:val="85"/>
                <w:rFonts w:hint="eastAsia" w:ascii="宋体" w:hAnsi="宋体" w:eastAsia="宋体" w:cs="宋体"/>
                <w:color w:val="auto"/>
                <w:sz w:val="21"/>
                <w:szCs w:val="21"/>
                <w:highlight w:val="none"/>
              </w:rPr>
              <w:t>。</w:t>
            </w:r>
          </w:p>
          <w:p w14:paraId="34D2EEEA">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2</w:t>
            </w:r>
            <w:r>
              <w:rPr>
                <w:rStyle w:val="85"/>
                <w:rFonts w:hint="eastAsia" w:ascii="宋体" w:hAnsi="宋体" w:eastAsia="宋体" w:cs="宋体"/>
                <w:color w:val="auto"/>
                <w:sz w:val="21"/>
                <w:szCs w:val="21"/>
                <w:highlight w:val="none"/>
              </w:rPr>
              <w:t>）积极配合采购人按规范程序和有关要求，对合格备份样品开展合理再利用。</w:t>
            </w:r>
            <w:r>
              <w:rPr>
                <w:rStyle w:val="85"/>
                <w:rFonts w:hint="eastAsia" w:ascii="宋体" w:hAnsi="宋体" w:eastAsia="宋体" w:cs="宋体"/>
                <w:color w:val="auto"/>
                <w:sz w:val="21"/>
                <w:szCs w:val="21"/>
                <w:highlight w:val="none"/>
                <w:lang w:eastAsia="zh-CN"/>
              </w:rPr>
              <w:t>合格备份样品的所有权归</w:t>
            </w:r>
            <w:r>
              <w:rPr>
                <w:rStyle w:val="85"/>
                <w:rFonts w:hint="eastAsia" w:ascii="宋体" w:hAnsi="宋体" w:eastAsia="宋体" w:cs="宋体"/>
                <w:color w:val="auto"/>
                <w:sz w:val="21"/>
                <w:szCs w:val="21"/>
                <w:highlight w:val="none"/>
                <w:lang w:val="en-US" w:eastAsia="zh-CN"/>
              </w:rPr>
              <w:t>采购</w:t>
            </w:r>
            <w:r>
              <w:rPr>
                <w:rStyle w:val="85"/>
                <w:rFonts w:hint="eastAsia" w:ascii="宋体" w:hAnsi="宋体" w:eastAsia="宋体" w:cs="宋体"/>
                <w:color w:val="auto"/>
                <w:sz w:val="21"/>
                <w:szCs w:val="21"/>
                <w:highlight w:val="none"/>
                <w:lang w:eastAsia="zh-CN"/>
              </w:rPr>
              <w:t>人所有</w:t>
            </w:r>
            <w:r>
              <w:rPr>
                <w:rStyle w:val="85"/>
                <w:rFonts w:hint="eastAsia" w:ascii="宋体" w:hAnsi="宋体" w:eastAsia="宋体" w:cs="宋体"/>
                <w:color w:val="auto"/>
                <w:sz w:val="21"/>
                <w:szCs w:val="21"/>
                <w:highlight w:val="none"/>
              </w:rPr>
              <w:t>。</w:t>
            </w:r>
          </w:p>
          <w:p w14:paraId="79AA7074">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w:t>
            </w:r>
            <w:r>
              <w:rPr>
                <w:rStyle w:val="85"/>
                <w:rFonts w:hint="eastAsia" w:ascii="宋体" w:hAnsi="宋体" w:cs="宋体"/>
                <w:color w:val="auto"/>
                <w:sz w:val="21"/>
                <w:szCs w:val="21"/>
                <w:highlight w:val="none"/>
                <w:lang w:val="en-US" w:eastAsia="zh-CN"/>
              </w:rPr>
              <w:t>3</w:t>
            </w:r>
            <w:r>
              <w:rPr>
                <w:rStyle w:val="85"/>
                <w:rFonts w:hint="eastAsia" w:ascii="宋体" w:hAnsi="宋体" w:eastAsia="宋体" w:cs="宋体"/>
                <w:color w:val="auto"/>
                <w:sz w:val="21"/>
                <w:szCs w:val="21"/>
                <w:highlight w:val="none"/>
              </w:rPr>
              <w:t>）</w:t>
            </w:r>
            <w:r>
              <w:rPr>
                <w:rStyle w:val="85"/>
                <w:rFonts w:hint="eastAsia" w:ascii="宋体" w:hAnsi="宋体" w:eastAsia="宋体" w:cs="宋体"/>
                <w:color w:val="auto"/>
                <w:sz w:val="21"/>
                <w:szCs w:val="21"/>
                <w:highlight w:val="none"/>
                <w:lang w:val="en-US" w:eastAsia="zh-CN"/>
              </w:rPr>
              <w:t>积极配合采购人</w:t>
            </w:r>
            <w:r>
              <w:rPr>
                <w:rStyle w:val="85"/>
                <w:rFonts w:hint="eastAsia" w:ascii="宋体" w:hAnsi="宋体" w:eastAsia="宋体" w:cs="宋体"/>
                <w:color w:val="auto"/>
                <w:sz w:val="21"/>
                <w:szCs w:val="21"/>
                <w:highlight w:val="none"/>
              </w:rPr>
              <w:t>对结论不合格的备份样品进行保存及处理，并保留样品保存和处理记录。</w:t>
            </w:r>
          </w:p>
          <w:p w14:paraId="7A6CF370">
            <w:pPr>
              <w:widowControl/>
              <w:spacing w:line="320" w:lineRule="exact"/>
              <w:jc w:val="left"/>
              <w:textAlignment w:val="center"/>
              <w:rPr>
                <w:rStyle w:val="85"/>
                <w:rFonts w:hint="default" w:ascii="宋体" w:hAnsi="宋体" w:eastAsia="宋体" w:cs="宋体"/>
                <w:color w:val="auto"/>
                <w:sz w:val="21"/>
                <w:szCs w:val="21"/>
                <w:highlight w:val="none"/>
                <w:lang w:val="en-US" w:eastAsia="zh-CN"/>
              </w:rPr>
            </w:pPr>
          </w:p>
        </w:tc>
      </w:tr>
      <w:tr w14:paraId="4236D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819" w:type="dxa"/>
            <w:shd w:val="clear" w:color="auto" w:fill="auto"/>
            <w:vAlign w:val="center"/>
          </w:tcPr>
          <w:p w14:paraId="214357B4">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2150" w:type="dxa"/>
            <w:vAlign w:val="center"/>
          </w:tcPr>
          <w:p w14:paraId="21C5FFB3">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管理制度</w:t>
            </w:r>
          </w:p>
        </w:tc>
        <w:tc>
          <w:tcPr>
            <w:tcW w:w="5450" w:type="dxa"/>
            <w:shd w:val="clear" w:color="auto" w:fill="auto"/>
            <w:vAlign w:val="center"/>
          </w:tcPr>
          <w:p w14:paraId="787741A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管理制度具备人员工作规范、抽样、检验、样品管理、复验、结果上报等全流程工作的具体要求。</w:t>
            </w:r>
          </w:p>
        </w:tc>
      </w:tr>
      <w:tr w14:paraId="5157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819" w:type="dxa"/>
            <w:shd w:val="clear" w:color="auto" w:fill="auto"/>
            <w:vAlign w:val="center"/>
          </w:tcPr>
          <w:p w14:paraId="7502FA2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p>
        </w:tc>
        <w:tc>
          <w:tcPr>
            <w:tcW w:w="2150" w:type="dxa"/>
            <w:vAlign w:val="center"/>
          </w:tcPr>
          <w:p w14:paraId="6926A203">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快速响应服务时效</w:t>
            </w:r>
          </w:p>
        </w:tc>
        <w:tc>
          <w:tcPr>
            <w:tcW w:w="5450" w:type="dxa"/>
            <w:shd w:val="clear" w:color="auto" w:fill="auto"/>
            <w:vAlign w:val="center"/>
          </w:tcPr>
          <w:p w14:paraId="45DE85C0">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具备在项目需要时到达</w:t>
            </w:r>
            <w:r>
              <w:rPr>
                <w:rFonts w:hint="eastAsia" w:ascii="宋体" w:hAnsi="宋体" w:cs="宋体"/>
                <w:color w:val="auto"/>
                <w:szCs w:val="21"/>
                <w:highlight w:val="none"/>
              </w:rPr>
              <w:t>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地区（以</w:t>
            </w:r>
            <w:r>
              <w:rPr>
                <w:rFonts w:hint="eastAsia" w:ascii="宋体" w:hAnsi="宋体" w:cs="宋体"/>
                <w:color w:val="auto"/>
                <w:szCs w:val="21"/>
                <w:highlight w:val="none"/>
                <w:lang w:val="en-US" w:eastAsia="zh-CN"/>
              </w:rPr>
              <w:t>抽样地区</w:t>
            </w:r>
            <w:r>
              <w:rPr>
                <w:rFonts w:hint="eastAsia" w:ascii="宋体" w:hAnsi="宋体" w:cs="宋体"/>
                <w:color w:val="auto"/>
                <w:szCs w:val="21"/>
                <w:highlight w:val="none"/>
              </w:rPr>
              <w:t>地级市人民政府所在地为准）</w:t>
            </w:r>
            <w:r>
              <w:rPr>
                <w:rStyle w:val="85"/>
                <w:rFonts w:hint="eastAsia" w:ascii="宋体" w:hAnsi="宋体" w:eastAsia="宋体" w:cs="宋体"/>
                <w:color w:val="auto"/>
                <w:sz w:val="21"/>
                <w:szCs w:val="21"/>
                <w:highlight w:val="none"/>
              </w:rPr>
              <w:t>进行应急抽</w:t>
            </w:r>
            <w:r>
              <w:rPr>
                <w:rStyle w:val="85"/>
                <w:rFonts w:hint="eastAsia" w:ascii="宋体" w:hAnsi="宋体" w:eastAsia="宋体" w:cs="宋体"/>
                <w:color w:val="auto"/>
                <w:sz w:val="21"/>
                <w:szCs w:val="21"/>
                <w:highlight w:val="none"/>
                <w:lang w:val="en-US"/>
              </w:rPr>
              <w:t>样</w:t>
            </w:r>
            <w:r>
              <w:rPr>
                <w:rStyle w:val="85"/>
                <w:rFonts w:hint="eastAsia" w:ascii="宋体" w:hAnsi="宋体" w:eastAsia="宋体" w:cs="宋体"/>
                <w:color w:val="auto"/>
                <w:sz w:val="21"/>
                <w:szCs w:val="21"/>
                <w:highlight w:val="none"/>
              </w:rPr>
              <w:t>的快速响应服务时效。</w:t>
            </w:r>
          </w:p>
        </w:tc>
      </w:tr>
      <w:tr w14:paraId="1EC46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819" w:type="dxa"/>
            <w:shd w:val="clear" w:color="auto" w:fill="auto"/>
            <w:vAlign w:val="center"/>
          </w:tcPr>
          <w:p w14:paraId="7FF1A14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p>
        </w:tc>
        <w:tc>
          <w:tcPr>
            <w:tcW w:w="2150" w:type="dxa"/>
            <w:vAlign w:val="center"/>
          </w:tcPr>
          <w:p w14:paraId="41AB815B">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实施方案</w:t>
            </w:r>
          </w:p>
        </w:tc>
        <w:tc>
          <w:tcPr>
            <w:tcW w:w="5450" w:type="dxa"/>
            <w:shd w:val="clear" w:color="auto" w:fill="auto"/>
            <w:vAlign w:val="center"/>
          </w:tcPr>
          <w:p w14:paraId="307CE6E6">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实施方案应当包括但不限于抽样、检验、数据填报与分析汇总、质量控制、特色服务等各项内容。</w:t>
            </w:r>
          </w:p>
        </w:tc>
      </w:tr>
      <w:tr w14:paraId="2A104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819" w:type="dxa"/>
            <w:shd w:val="clear" w:color="auto" w:fill="auto"/>
            <w:vAlign w:val="center"/>
          </w:tcPr>
          <w:p w14:paraId="03AE1137">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p>
        </w:tc>
        <w:tc>
          <w:tcPr>
            <w:tcW w:w="2150" w:type="dxa"/>
            <w:vAlign w:val="center"/>
          </w:tcPr>
          <w:p w14:paraId="7674C099">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突发事件应急处置预案</w:t>
            </w:r>
          </w:p>
        </w:tc>
        <w:tc>
          <w:tcPr>
            <w:tcW w:w="5450" w:type="dxa"/>
            <w:shd w:val="clear" w:color="auto" w:fill="auto"/>
            <w:vAlign w:val="center"/>
          </w:tcPr>
          <w:p w14:paraId="73915AA7">
            <w:pPr>
              <w:widowControl/>
              <w:numPr>
                <w:ilvl w:val="-1"/>
                <w:numId w:val="0"/>
              </w:numPr>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应具有专门应对突发事件且符合项目需求的专业人员、专业设备和应急处置预案。</w:t>
            </w:r>
          </w:p>
        </w:tc>
      </w:tr>
      <w:tr w14:paraId="2766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819" w:type="dxa"/>
            <w:shd w:val="clear" w:color="auto" w:fill="auto"/>
            <w:vAlign w:val="center"/>
          </w:tcPr>
          <w:p w14:paraId="2E51334E">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p>
        </w:tc>
        <w:tc>
          <w:tcPr>
            <w:tcW w:w="2150" w:type="dxa"/>
            <w:vAlign w:val="center"/>
          </w:tcPr>
          <w:p w14:paraId="30335948">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工作业绩</w:t>
            </w:r>
          </w:p>
        </w:tc>
        <w:tc>
          <w:tcPr>
            <w:tcW w:w="5450" w:type="dxa"/>
            <w:shd w:val="clear" w:color="auto" w:fill="auto"/>
            <w:vAlign w:val="center"/>
          </w:tcPr>
          <w:p w14:paraId="6E63BE53">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（1）承担食品安全抽样检验工作任务及类似项目情况，包括常规任务、应急及专项任务。</w:t>
            </w:r>
          </w:p>
          <w:p w14:paraId="2F17464F">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（2）工作业绩应能证明供应商的服务能力。</w:t>
            </w:r>
          </w:p>
        </w:tc>
      </w:tr>
      <w:tr w14:paraId="412A2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19" w:type="dxa"/>
            <w:shd w:val="clear" w:color="auto" w:fill="auto"/>
            <w:vAlign w:val="center"/>
          </w:tcPr>
          <w:p w14:paraId="31688BD6">
            <w:pPr>
              <w:widowControl/>
              <w:spacing w:line="320" w:lineRule="exact"/>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w:t>
            </w:r>
          </w:p>
        </w:tc>
        <w:tc>
          <w:tcPr>
            <w:tcW w:w="2150" w:type="dxa"/>
            <w:vAlign w:val="center"/>
          </w:tcPr>
          <w:p w14:paraId="419F874A">
            <w:pPr>
              <w:snapToGrid w:val="0"/>
              <w:spacing w:line="32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工作质量状况</w:t>
            </w:r>
          </w:p>
        </w:tc>
        <w:tc>
          <w:tcPr>
            <w:tcW w:w="5450" w:type="dxa"/>
            <w:shd w:val="clear" w:color="auto" w:fill="auto"/>
            <w:vAlign w:val="center"/>
          </w:tcPr>
          <w:p w14:paraId="13885C17">
            <w:pPr>
              <w:widowControl/>
              <w:spacing w:line="320" w:lineRule="exact"/>
              <w:jc w:val="left"/>
              <w:textAlignment w:val="center"/>
              <w:rPr>
                <w:rStyle w:val="85"/>
                <w:rFonts w:hint="eastAsia" w:ascii="宋体" w:hAnsi="宋体" w:eastAsia="宋体" w:cs="宋体"/>
                <w:color w:val="auto"/>
                <w:sz w:val="21"/>
                <w:szCs w:val="21"/>
                <w:highlight w:val="none"/>
              </w:rPr>
            </w:pPr>
            <w:r>
              <w:rPr>
                <w:rStyle w:val="85"/>
                <w:rFonts w:hint="eastAsia" w:ascii="宋体" w:hAnsi="宋体" w:eastAsia="宋体" w:cs="宋体"/>
                <w:color w:val="auto"/>
                <w:sz w:val="21"/>
                <w:szCs w:val="21"/>
                <w:highlight w:val="none"/>
              </w:rPr>
              <w:t>在承担食品安全抽检任务中，因工作质量问题被通报的情况。</w:t>
            </w:r>
          </w:p>
        </w:tc>
      </w:tr>
    </w:tbl>
    <w:p w14:paraId="7EC1F6CA">
      <w:pPr>
        <w:widowControl/>
        <w:spacing w:line="560" w:lineRule="exact"/>
        <w:jc w:val="center"/>
        <w:rPr>
          <w:rFonts w:hint="eastAsia" w:ascii="宋体" w:hAnsi="宋体" w:cs="宋体"/>
          <w:color w:val="auto"/>
          <w:szCs w:val="21"/>
          <w:highlight w:val="none"/>
        </w:rPr>
      </w:pPr>
    </w:p>
    <w:p w14:paraId="6D80141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4.2.5管理考核</w:t>
      </w:r>
    </w:p>
    <w:p w14:paraId="1429AB18">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在服务周期内，供应商应确保其能力水平持续满足法律、法规、标准、规范性文件和采购人的要求，并接受采购人组织的数据质量考核、日常考核和技术考核等。</w:t>
      </w:r>
    </w:p>
    <w:p w14:paraId="25934EE8">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4.2.5.1 数据质量考核</w:t>
      </w:r>
    </w:p>
    <w:p w14:paraId="65908669">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采购人对供应商在国家食品安全抽样检验信息系统中填报的抽样检验数据的准确性、规范性、及时性等进行抽查。</w:t>
      </w:r>
    </w:p>
    <w:p w14:paraId="061D24C2">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4.2.5.2 日常考核</w:t>
      </w:r>
    </w:p>
    <w:p w14:paraId="0D280F2A">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采购人对供应商在任务执行过程中开展的管理考核，包括任务完成时效、均衡推进、问题发现率、复检异议认可、抽样覆盖率、抽样方案和分析报告质量、重大问题及时报告、应急服务响应等相关情况。</w:t>
      </w:r>
    </w:p>
    <w:p w14:paraId="59616BAB">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4.2.5.3 技术考核</w:t>
      </w:r>
    </w:p>
    <w:p w14:paraId="450F9CD3">
      <w:pPr>
        <w:pStyle w:val="33"/>
        <w:spacing w:after="0" w:line="360" w:lineRule="auto"/>
        <w:ind w:left="0" w:leftChars="0"/>
        <w:rPr>
          <w:rFonts w:hint="eastAsia" w:ascii="宋体" w:hAnsi="宋体" w:cs="宋体"/>
          <w:color w:val="auto"/>
          <w:szCs w:val="21"/>
          <w:highlight w:val="none"/>
        </w:rPr>
      </w:pPr>
      <w:r>
        <w:rPr>
          <w:rFonts w:hint="eastAsia" w:ascii="宋体" w:hAnsi="宋体" w:cs="宋体"/>
          <w:color w:val="auto"/>
          <w:szCs w:val="21"/>
          <w:highlight w:val="none"/>
        </w:rPr>
        <w:t>采购人对供应商在任务执行过程中开展的专项考核，包括盲样考核、留样复核、报告考核、现场检查、飞行检查等。</w:t>
      </w:r>
    </w:p>
    <w:p w14:paraId="428CA944">
      <w:pPr>
        <w:spacing w:line="360" w:lineRule="auto"/>
        <w:ind w:firstLine="422" w:firstLineChars="200"/>
        <w:outlineLvl w:val="0"/>
        <w:rPr>
          <w:rFonts w:hint="eastAsia" w:ascii="宋体" w:hAnsi="宋体" w:cs="宋体"/>
          <w:b/>
          <w:color w:val="auto"/>
          <w:szCs w:val="21"/>
          <w:highlight w:val="none"/>
        </w:rPr>
      </w:pPr>
      <w:r>
        <w:rPr>
          <w:rFonts w:hint="eastAsia" w:ascii="宋体" w:hAnsi="宋体" w:cs="宋体"/>
          <w:b/>
          <w:color w:val="auto"/>
          <w:szCs w:val="21"/>
          <w:highlight w:val="none"/>
        </w:rPr>
        <w:t>5</w:t>
      </w:r>
      <w:r>
        <w:rPr>
          <w:rFonts w:hint="eastAsia" w:ascii="宋体" w:hAnsi="宋体" w:cs="宋体"/>
          <w:b/>
          <w:color w:val="auto"/>
          <w:szCs w:val="21"/>
          <w:highlight w:val="none"/>
          <w:lang w:val="en-US" w:eastAsia="zh-CN"/>
        </w:rPr>
        <w:t>.</w:t>
      </w:r>
      <w:r>
        <w:rPr>
          <w:rFonts w:hint="eastAsia" w:ascii="宋体" w:hAnsi="宋体" w:cs="宋体"/>
          <w:b/>
          <w:color w:val="auto"/>
          <w:szCs w:val="21"/>
          <w:highlight w:val="none"/>
        </w:rPr>
        <w:t>商务要求</w:t>
      </w:r>
    </w:p>
    <w:p w14:paraId="7D0A5703">
      <w:pPr>
        <w:pStyle w:val="77"/>
        <w:spacing w:line="360" w:lineRule="auto"/>
        <w:textAlignment w:val="baseline"/>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 服务期限：自合同签订之日起至202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15</w:t>
      </w:r>
      <w:r>
        <w:rPr>
          <w:rFonts w:hint="eastAsia" w:ascii="宋体" w:hAnsi="宋体" w:eastAsia="宋体" w:cs="宋体"/>
          <w:color w:val="auto"/>
          <w:sz w:val="21"/>
          <w:szCs w:val="21"/>
          <w:highlight w:val="none"/>
        </w:rPr>
        <w:t>日完成。</w:t>
      </w:r>
    </w:p>
    <w:p w14:paraId="01248F6D">
      <w:pPr>
        <w:pStyle w:val="77"/>
        <w:spacing w:line="360" w:lineRule="auto"/>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5.2 服务范围：</w:t>
      </w:r>
      <w:r>
        <w:rPr>
          <w:rFonts w:hint="eastAsia" w:ascii="宋体" w:hAnsi="宋体" w:eastAsia="宋体" w:cs="宋体"/>
          <w:color w:val="auto"/>
          <w:sz w:val="21"/>
          <w:szCs w:val="21"/>
          <w:highlight w:val="none"/>
          <w:lang w:eastAsia="zh-CN"/>
        </w:rPr>
        <w:t>2026年省级食品安全抽检技术服务（第一批）</w:t>
      </w:r>
    </w:p>
    <w:p w14:paraId="379347C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5.3 付款进度和方式</w:t>
      </w:r>
    </w:p>
    <w:p w14:paraId="5A2B4510">
      <w:pPr>
        <w:spacing w:line="360" w:lineRule="auto"/>
        <w:ind w:firstLine="420" w:firstLineChars="200"/>
        <w:rPr>
          <w:rFonts w:hint="eastAsia" w:ascii="宋体" w:hAnsi="宋体" w:cs="方正仿宋_GBK"/>
          <w:color w:val="auto"/>
          <w:szCs w:val="21"/>
          <w:highlight w:val="none"/>
        </w:rPr>
      </w:pPr>
      <w:r>
        <w:rPr>
          <w:rFonts w:hint="eastAsia" w:ascii="宋体" w:hAnsi="宋体" w:cs="方正仿宋_GBK"/>
          <w:color w:val="auto"/>
          <w:szCs w:val="21"/>
          <w:highlight w:val="none"/>
        </w:rPr>
        <w:t>合同生效后一个月内，采购人向供应商支付</w:t>
      </w:r>
      <w:r>
        <w:rPr>
          <w:rFonts w:hint="eastAsia" w:ascii="宋体" w:hAnsi="宋体" w:cs="方正仿宋_GBK"/>
          <w:color w:val="auto"/>
          <w:szCs w:val="21"/>
          <w:highlight w:val="none"/>
          <w:lang w:val="en-US" w:eastAsia="zh-CN"/>
        </w:rPr>
        <w:t>合同金额</w:t>
      </w:r>
      <w:r>
        <w:rPr>
          <w:rFonts w:hint="eastAsia" w:ascii="宋体" w:hAnsi="宋体" w:cs="方正仿宋_GBK"/>
          <w:color w:val="auto"/>
          <w:szCs w:val="21"/>
          <w:highlight w:val="none"/>
        </w:rPr>
        <w:t>的50%。</w:t>
      </w:r>
      <w:r>
        <w:rPr>
          <w:rFonts w:hint="eastAsia" w:ascii="宋体" w:hAnsi="宋体" w:cs="方正仿宋_GBK"/>
          <w:color w:val="auto"/>
          <w:szCs w:val="21"/>
          <w:highlight w:val="none"/>
          <w:lang w:eastAsia="zh-CN"/>
        </w:rPr>
        <w:t>2026</w:t>
      </w:r>
      <w:r>
        <w:rPr>
          <w:rFonts w:hint="eastAsia" w:ascii="宋体" w:hAnsi="宋体" w:cs="方正仿宋_GBK"/>
          <w:color w:val="auto"/>
          <w:szCs w:val="21"/>
          <w:highlight w:val="none"/>
        </w:rPr>
        <w:t>年</w:t>
      </w:r>
      <w:r>
        <w:rPr>
          <w:rFonts w:hint="eastAsia" w:ascii="宋体" w:hAnsi="宋体" w:cs="方正仿宋_GBK"/>
          <w:color w:val="auto"/>
          <w:szCs w:val="21"/>
          <w:highlight w:val="none"/>
          <w:lang w:val="en-US" w:eastAsia="zh-CN"/>
        </w:rPr>
        <w:t>8</w:t>
      </w:r>
      <w:r>
        <w:rPr>
          <w:rFonts w:hint="eastAsia" w:ascii="宋体" w:hAnsi="宋体" w:cs="方正仿宋_GBK"/>
          <w:color w:val="auto"/>
          <w:szCs w:val="21"/>
          <w:highlight w:val="none"/>
        </w:rPr>
        <w:t>月</w:t>
      </w:r>
      <w:r>
        <w:rPr>
          <w:rFonts w:hint="eastAsia" w:ascii="宋体" w:hAnsi="宋体" w:cs="方正仿宋_GBK"/>
          <w:color w:val="auto"/>
          <w:szCs w:val="21"/>
          <w:highlight w:val="none"/>
          <w:lang w:val="en-US" w:eastAsia="zh-CN"/>
        </w:rPr>
        <w:t>15</w:t>
      </w:r>
      <w:r>
        <w:rPr>
          <w:rFonts w:hint="eastAsia" w:ascii="宋体" w:hAnsi="宋体" w:cs="方正仿宋_GBK"/>
          <w:color w:val="auto"/>
          <w:szCs w:val="21"/>
          <w:highlight w:val="none"/>
        </w:rPr>
        <w:t>日前，供应商应完成任务，</w:t>
      </w:r>
      <w:r>
        <w:rPr>
          <w:rFonts w:hint="eastAsia" w:ascii="宋体" w:hAnsi="宋体" w:cs="方正仿宋_GBK"/>
          <w:color w:val="auto"/>
          <w:szCs w:val="21"/>
          <w:highlight w:val="none"/>
          <w:lang w:val="en-US" w:eastAsia="zh-CN"/>
        </w:rPr>
        <w:t>经采购人验收通过后，采购人及时向供应商支付剩余费用</w:t>
      </w:r>
      <w:r>
        <w:rPr>
          <w:rFonts w:hint="eastAsia" w:ascii="宋体" w:hAnsi="宋体" w:cs="方正仿宋_GBK"/>
          <w:color w:val="auto"/>
          <w:szCs w:val="21"/>
          <w:highlight w:val="none"/>
        </w:rPr>
        <w:t>。</w:t>
      </w:r>
    </w:p>
    <w:p w14:paraId="366261E7">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 履约验收</w:t>
      </w:r>
    </w:p>
    <w:p w14:paraId="6071C96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5.4.1验收程序</w:t>
      </w:r>
    </w:p>
    <w:p w14:paraId="4A94AE9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原则上按照通知验收、机构自查、验收评审、综合评价、整改复查的流程组织开展验收工作。</w:t>
      </w:r>
    </w:p>
    <w:p w14:paraId="7F239233">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5.4.2验收内容</w:t>
      </w:r>
    </w:p>
    <w:p w14:paraId="54CA90A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验收内容包括：计划执行情况、任务完成质量、分析报告质量、机构综合考核情况以及合同规定的其他履约情况等。履约验收的内容和标准</w:t>
      </w:r>
      <w:r>
        <w:rPr>
          <w:rFonts w:hint="eastAsia" w:ascii="宋体" w:hAnsi="宋体" w:cs="宋体"/>
          <w:color w:val="auto"/>
          <w:szCs w:val="21"/>
          <w:highlight w:val="none"/>
          <w:lang w:val="en-US" w:eastAsia="zh-CN"/>
        </w:rPr>
        <w:t>详见下表</w:t>
      </w:r>
      <w:r>
        <w:rPr>
          <w:rFonts w:hint="eastAsia" w:ascii="宋体" w:hAnsi="宋体" w:cs="宋体"/>
          <w:color w:val="auto"/>
          <w:szCs w:val="21"/>
          <w:highlight w:val="none"/>
        </w:rPr>
        <w:t>。</w:t>
      </w:r>
    </w:p>
    <w:p w14:paraId="6F0C08BA">
      <w:pPr>
        <w:widowControl/>
        <w:spacing w:line="560" w:lineRule="exact"/>
        <w:jc w:val="center"/>
        <w:rPr>
          <w:rFonts w:hint="eastAsia" w:ascii="宋体" w:hAnsi="宋体" w:cs="宋体"/>
          <w:color w:val="auto"/>
          <w:szCs w:val="21"/>
          <w:highlight w:val="none"/>
        </w:rPr>
      </w:pPr>
      <w:r>
        <w:rPr>
          <w:rFonts w:hint="eastAsia" w:ascii="宋体" w:hAnsi="宋体" w:cs="宋体"/>
          <w:color w:val="auto"/>
          <w:szCs w:val="21"/>
          <w:highlight w:val="none"/>
        </w:rPr>
        <w:t>表5 履约验收项目表</w:t>
      </w:r>
    </w:p>
    <w:tbl>
      <w:tblPr>
        <w:tblStyle w:val="34"/>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1"/>
        <w:gridCol w:w="806"/>
        <w:gridCol w:w="1459"/>
        <w:gridCol w:w="4253"/>
        <w:gridCol w:w="1185"/>
      </w:tblGrid>
      <w:tr w14:paraId="3F09E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821" w:type="dxa"/>
            <w:vAlign w:val="center"/>
          </w:tcPr>
          <w:p w14:paraId="4E3F18B9">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265" w:type="dxa"/>
            <w:gridSpan w:val="2"/>
            <w:vAlign w:val="center"/>
          </w:tcPr>
          <w:p w14:paraId="7A46AB6C">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验收内容</w:t>
            </w:r>
          </w:p>
        </w:tc>
        <w:tc>
          <w:tcPr>
            <w:tcW w:w="4253" w:type="dxa"/>
            <w:vAlign w:val="center"/>
          </w:tcPr>
          <w:p w14:paraId="532499FE">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验收标准</w:t>
            </w:r>
          </w:p>
        </w:tc>
        <w:tc>
          <w:tcPr>
            <w:tcW w:w="1185" w:type="dxa"/>
            <w:vAlign w:val="center"/>
          </w:tcPr>
          <w:p w14:paraId="13D42451">
            <w:pPr>
              <w:spacing w:line="320" w:lineRule="exact"/>
              <w:jc w:val="center"/>
              <w:rPr>
                <w:rFonts w:hint="eastAsia" w:ascii="宋体" w:hAnsi="宋体" w:cs="宋体"/>
                <w:color w:val="auto"/>
                <w:szCs w:val="21"/>
                <w:highlight w:val="none"/>
              </w:rPr>
            </w:pPr>
            <w:r>
              <w:rPr>
                <w:rFonts w:hint="eastAsia" w:ascii="宋体" w:hAnsi="宋体" w:cs="宋体"/>
                <w:color w:val="auto"/>
                <w:szCs w:val="21"/>
                <w:highlight w:val="none"/>
              </w:rPr>
              <w:t>证明材料</w:t>
            </w:r>
          </w:p>
        </w:tc>
      </w:tr>
      <w:tr w14:paraId="3743E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821" w:type="dxa"/>
            <w:vAlign w:val="center"/>
          </w:tcPr>
          <w:p w14:paraId="3ED202F1">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w:t>
            </w:r>
          </w:p>
        </w:tc>
        <w:tc>
          <w:tcPr>
            <w:tcW w:w="2265" w:type="dxa"/>
            <w:gridSpan w:val="2"/>
            <w:vAlign w:val="center"/>
          </w:tcPr>
          <w:p w14:paraId="7B26C88F">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计划执行情况</w:t>
            </w:r>
          </w:p>
        </w:tc>
        <w:tc>
          <w:tcPr>
            <w:tcW w:w="4253" w:type="dxa"/>
            <w:vAlign w:val="center"/>
          </w:tcPr>
          <w:p w14:paraId="1C02A6CD">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抽检的类型、品种、批次、区域、环节、场所等符合采购人的要求。</w:t>
            </w:r>
          </w:p>
        </w:tc>
        <w:tc>
          <w:tcPr>
            <w:tcW w:w="1185" w:type="dxa"/>
            <w:vAlign w:val="center"/>
          </w:tcPr>
          <w:p w14:paraId="6AA419B1">
            <w:pPr>
              <w:widowControl/>
              <w:adjustRightInd w:val="0"/>
              <w:snapToGrid w:val="0"/>
              <w:spacing w:line="320" w:lineRule="exact"/>
              <w:jc w:val="center"/>
              <w:rPr>
                <w:rFonts w:hint="eastAsia" w:ascii="宋体" w:hAnsi="宋体" w:cs="宋体"/>
                <w:color w:val="auto"/>
                <w:kern w:val="0"/>
                <w:szCs w:val="21"/>
                <w:highlight w:val="none"/>
              </w:rPr>
            </w:pPr>
          </w:p>
        </w:tc>
      </w:tr>
      <w:tr w14:paraId="35D6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jc w:val="center"/>
        </w:trPr>
        <w:tc>
          <w:tcPr>
            <w:tcW w:w="821" w:type="dxa"/>
            <w:vAlign w:val="center"/>
          </w:tcPr>
          <w:p w14:paraId="7DEF56BD">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w:t>
            </w:r>
          </w:p>
        </w:tc>
        <w:tc>
          <w:tcPr>
            <w:tcW w:w="2265" w:type="dxa"/>
            <w:gridSpan w:val="2"/>
            <w:vAlign w:val="center"/>
          </w:tcPr>
          <w:p w14:paraId="5419E685">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任务完成时限</w:t>
            </w:r>
          </w:p>
        </w:tc>
        <w:tc>
          <w:tcPr>
            <w:tcW w:w="4253" w:type="dxa"/>
            <w:vAlign w:val="center"/>
          </w:tcPr>
          <w:p w14:paraId="6D017707">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任务完成时限和均衡推进度符合采购人的要求。</w:t>
            </w:r>
          </w:p>
        </w:tc>
        <w:tc>
          <w:tcPr>
            <w:tcW w:w="1185" w:type="dxa"/>
            <w:vAlign w:val="center"/>
          </w:tcPr>
          <w:p w14:paraId="42999532">
            <w:pPr>
              <w:widowControl/>
              <w:adjustRightInd w:val="0"/>
              <w:snapToGrid w:val="0"/>
              <w:spacing w:line="320" w:lineRule="exact"/>
              <w:jc w:val="center"/>
              <w:rPr>
                <w:rFonts w:hint="eastAsia" w:ascii="宋体" w:hAnsi="宋体" w:cs="宋体"/>
                <w:color w:val="auto"/>
                <w:kern w:val="0"/>
                <w:szCs w:val="21"/>
                <w:highlight w:val="none"/>
              </w:rPr>
            </w:pPr>
          </w:p>
        </w:tc>
      </w:tr>
      <w:tr w14:paraId="4D9F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21" w:type="dxa"/>
            <w:vAlign w:val="center"/>
          </w:tcPr>
          <w:p w14:paraId="4E7BA774">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w:t>
            </w:r>
          </w:p>
        </w:tc>
        <w:tc>
          <w:tcPr>
            <w:tcW w:w="806" w:type="dxa"/>
            <w:vMerge w:val="restart"/>
            <w:vAlign w:val="center"/>
          </w:tcPr>
          <w:p w14:paraId="54FFB467">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任务完成质量</w:t>
            </w:r>
          </w:p>
        </w:tc>
        <w:tc>
          <w:tcPr>
            <w:tcW w:w="1459" w:type="dxa"/>
            <w:vAlign w:val="center"/>
          </w:tcPr>
          <w:p w14:paraId="45F1463A">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问题发现率</w:t>
            </w:r>
          </w:p>
        </w:tc>
        <w:tc>
          <w:tcPr>
            <w:tcW w:w="4253" w:type="dxa"/>
            <w:vAlign w:val="center"/>
          </w:tcPr>
          <w:p w14:paraId="6124E5E6">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不合格/问题样品发现率符合采购人的要求。</w:t>
            </w:r>
          </w:p>
        </w:tc>
        <w:tc>
          <w:tcPr>
            <w:tcW w:w="1185" w:type="dxa"/>
            <w:vAlign w:val="center"/>
          </w:tcPr>
          <w:p w14:paraId="6FEEF0E4">
            <w:pPr>
              <w:widowControl/>
              <w:adjustRightInd w:val="0"/>
              <w:snapToGrid w:val="0"/>
              <w:spacing w:line="320" w:lineRule="exact"/>
              <w:jc w:val="center"/>
              <w:rPr>
                <w:rFonts w:hint="eastAsia" w:ascii="宋体" w:hAnsi="宋体" w:cs="宋体"/>
                <w:color w:val="auto"/>
                <w:kern w:val="0"/>
                <w:szCs w:val="21"/>
                <w:highlight w:val="none"/>
              </w:rPr>
            </w:pPr>
          </w:p>
        </w:tc>
      </w:tr>
      <w:tr w14:paraId="3D2BB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821" w:type="dxa"/>
            <w:vAlign w:val="center"/>
          </w:tcPr>
          <w:p w14:paraId="1DCAA50B">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w:t>
            </w:r>
          </w:p>
        </w:tc>
        <w:tc>
          <w:tcPr>
            <w:tcW w:w="806" w:type="dxa"/>
            <w:vMerge w:val="continue"/>
            <w:vAlign w:val="center"/>
          </w:tcPr>
          <w:p w14:paraId="2D3DDE25">
            <w:pPr>
              <w:widowControl/>
              <w:spacing w:line="320" w:lineRule="exact"/>
              <w:ind w:firstLine="562"/>
              <w:jc w:val="center"/>
              <w:rPr>
                <w:rFonts w:hint="eastAsia" w:ascii="宋体" w:hAnsi="宋体" w:cs="宋体"/>
                <w:color w:val="auto"/>
                <w:kern w:val="0"/>
                <w:szCs w:val="21"/>
                <w:highlight w:val="none"/>
              </w:rPr>
            </w:pPr>
          </w:p>
        </w:tc>
        <w:tc>
          <w:tcPr>
            <w:tcW w:w="1459" w:type="dxa"/>
            <w:vAlign w:val="center"/>
          </w:tcPr>
          <w:p w14:paraId="5175B330">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数据质量</w:t>
            </w:r>
          </w:p>
        </w:tc>
        <w:tc>
          <w:tcPr>
            <w:tcW w:w="4253" w:type="dxa"/>
            <w:vAlign w:val="center"/>
          </w:tcPr>
          <w:p w14:paraId="3B1B3164">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被抽查数据的准确性、规范性以及数据退修率等符合采购人的要求。</w:t>
            </w:r>
          </w:p>
        </w:tc>
        <w:tc>
          <w:tcPr>
            <w:tcW w:w="1185" w:type="dxa"/>
            <w:vAlign w:val="center"/>
          </w:tcPr>
          <w:p w14:paraId="6E175191">
            <w:pPr>
              <w:widowControl/>
              <w:adjustRightInd w:val="0"/>
              <w:snapToGrid w:val="0"/>
              <w:spacing w:line="320" w:lineRule="exact"/>
              <w:jc w:val="center"/>
              <w:rPr>
                <w:rFonts w:hint="eastAsia" w:ascii="宋体" w:hAnsi="宋体" w:cs="宋体"/>
                <w:color w:val="auto"/>
                <w:kern w:val="0"/>
                <w:szCs w:val="21"/>
                <w:highlight w:val="none"/>
              </w:rPr>
            </w:pPr>
          </w:p>
        </w:tc>
      </w:tr>
      <w:tr w14:paraId="4927C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821" w:type="dxa"/>
            <w:vAlign w:val="center"/>
          </w:tcPr>
          <w:p w14:paraId="7D4A90B4">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w:t>
            </w:r>
          </w:p>
        </w:tc>
        <w:tc>
          <w:tcPr>
            <w:tcW w:w="806" w:type="dxa"/>
            <w:vMerge w:val="continue"/>
            <w:vAlign w:val="center"/>
          </w:tcPr>
          <w:p w14:paraId="65D5D396">
            <w:pPr>
              <w:widowControl/>
              <w:spacing w:line="320" w:lineRule="exact"/>
              <w:ind w:firstLine="562"/>
              <w:jc w:val="center"/>
              <w:rPr>
                <w:rFonts w:hint="eastAsia" w:ascii="宋体" w:hAnsi="宋体" w:cs="宋体"/>
                <w:color w:val="auto"/>
                <w:kern w:val="0"/>
                <w:szCs w:val="21"/>
                <w:highlight w:val="none"/>
              </w:rPr>
            </w:pPr>
          </w:p>
        </w:tc>
        <w:tc>
          <w:tcPr>
            <w:tcW w:w="1459" w:type="dxa"/>
            <w:vAlign w:val="center"/>
          </w:tcPr>
          <w:p w14:paraId="0E3F8FBD">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复检异议</w:t>
            </w:r>
          </w:p>
        </w:tc>
        <w:tc>
          <w:tcPr>
            <w:tcW w:w="4253" w:type="dxa"/>
            <w:vAlign w:val="center"/>
          </w:tcPr>
          <w:p w14:paraId="17A434B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复检被推翻原结论、异议被认可的情况。</w:t>
            </w:r>
          </w:p>
        </w:tc>
        <w:tc>
          <w:tcPr>
            <w:tcW w:w="1185" w:type="dxa"/>
            <w:vAlign w:val="center"/>
          </w:tcPr>
          <w:p w14:paraId="035F4A8C">
            <w:pPr>
              <w:widowControl/>
              <w:adjustRightInd w:val="0"/>
              <w:snapToGrid w:val="0"/>
              <w:spacing w:line="320" w:lineRule="exact"/>
              <w:jc w:val="center"/>
              <w:rPr>
                <w:rFonts w:hint="eastAsia" w:ascii="宋体" w:hAnsi="宋体" w:cs="宋体"/>
                <w:color w:val="auto"/>
                <w:kern w:val="0"/>
                <w:szCs w:val="21"/>
                <w:highlight w:val="none"/>
              </w:rPr>
            </w:pPr>
          </w:p>
        </w:tc>
      </w:tr>
      <w:tr w14:paraId="46AB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821" w:type="dxa"/>
            <w:vAlign w:val="center"/>
          </w:tcPr>
          <w:p w14:paraId="02B3316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w:t>
            </w:r>
          </w:p>
        </w:tc>
        <w:tc>
          <w:tcPr>
            <w:tcW w:w="2265" w:type="dxa"/>
            <w:gridSpan w:val="2"/>
            <w:vAlign w:val="center"/>
          </w:tcPr>
          <w:p w14:paraId="0D56BB34">
            <w:pPr>
              <w:widowControl/>
              <w:spacing w:line="320" w:lineRule="exact"/>
              <w:jc w:val="center"/>
              <w:rPr>
                <w:rFonts w:hint="eastAsia" w:ascii="宋体" w:hAnsi="宋体" w:cs="宋体"/>
                <w:color w:val="auto"/>
                <w:kern w:val="0"/>
                <w:szCs w:val="21"/>
                <w:highlight w:val="none"/>
              </w:rPr>
            </w:pPr>
            <w:r>
              <w:rPr>
                <w:rStyle w:val="85"/>
                <w:rFonts w:ascii="宋体" w:hAnsi="宋体" w:eastAsia="宋体" w:cs="宋体"/>
                <w:color w:val="auto"/>
                <w:sz w:val="21"/>
                <w:szCs w:val="21"/>
                <w:highlight w:val="none"/>
              </w:rPr>
              <w:t>分析报告质量</w:t>
            </w:r>
          </w:p>
        </w:tc>
        <w:tc>
          <w:tcPr>
            <w:tcW w:w="4253" w:type="dxa"/>
            <w:vAlign w:val="center"/>
          </w:tcPr>
          <w:p w14:paraId="0EF9794B">
            <w:pPr>
              <w:widowControl/>
              <w:adjustRightInd w:val="0"/>
              <w:snapToGrid w:val="0"/>
              <w:spacing w:line="320" w:lineRule="exact"/>
              <w:jc w:val="center"/>
              <w:rPr>
                <w:rFonts w:hint="eastAsia" w:ascii="宋体" w:hAnsi="宋体" w:cs="宋体"/>
                <w:color w:val="auto"/>
                <w:kern w:val="0"/>
                <w:szCs w:val="21"/>
                <w:highlight w:val="none"/>
              </w:rPr>
            </w:pPr>
            <w:r>
              <w:rPr>
                <w:rStyle w:val="85"/>
                <w:rFonts w:ascii="宋体" w:hAnsi="宋体" w:eastAsia="宋体" w:cs="宋体"/>
                <w:color w:val="auto"/>
                <w:sz w:val="21"/>
                <w:szCs w:val="21"/>
                <w:highlight w:val="none"/>
              </w:rPr>
              <w:t>分析报告全面、详实、有针对性，风险提示清晰明确、建议切实可行，</w:t>
            </w:r>
            <w:r>
              <w:rPr>
                <w:rFonts w:hint="eastAsia" w:ascii="宋体" w:hAnsi="宋体" w:cs="宋体"/>
                <w:color w:val="auto"/>
                <w:kern w:val="0"/>
                <w:szCs w:val="21"/>
                <w:highlight w:val="none"/>
              </w:rPr>
              <w:t>符合采购人的要求。</w:t>
            </w:r>
          </w:p>
        </w:tc>
        <w:tc>
          <w:tcPr>
            <w:tcW w:w="1185" w:type="dxa"/>
            <w:vAlign w:val="center"/>
          </w:tcPr>
          <w:p w14:paraId="38806BAF">
            <w:pPr>
              <w:widowControl/>
              <w:adjustRightInd w:val="0"/>
              <w:snapToGrid w:val="0"/>
              <w:spacing w:line="320" w:lineRule="exact"/>
              <w:jc w:val="center"/>
              <w:rPr>
                <w:rFonts w:hint="eastAsia" w:ascii="宋体" w:hAnsi="宋体" w:cs="宋体"/>
                <w:color w:val="auto"/>
                <w:kern w:val="0"/>
                <w:szCs w:val="21"/>
                <w:highlight w:val="none"/>
              </w:rPr>
            </w:pPr>
          </w:p>
        </w:tc>
      </w:tr>
      <w:tr w14:paraId="1251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18EF288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7</w:t>
            </w:r>
          </w:p>
        </w:tc>
        <w:tc>
          <w:tcPr>
            <w:tcW w:w="2265" w:type="dxa"/>
            <w:gridSpan w:val="2"/>
            <w:vAlign w:val="center"/>
          </w:tcPr>
          <w:p w14:paraId="018B27E3">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服务保障支撑监管的情况</w:t>
            </w:r>
          </w:p>
        </w:tc>
        <w:tc>
          <w:tcPr>
            <w:tcW w:w="4253" w:type="dxa"/>
            <w:vAlign w:val="center"/>
          </w:tcPr>
          <w:p w14:paraId="314C0BB8">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bidi="ar"/>
              </w:rPr>
              <w:t>应急响应、服务保障等监管特殊要求</w:t>
            </w:r>
            <w:r>
              <w:rPr>
                <w:rFonts w:hint="eastAsia" w:ascii="宋体" w:hAnsi="宋体" w:cs="宋体"/>
                <w:color w:val="auto"/>
                <w:kern w:val="0"/>
                <w:szCs w:val="21"/>
                <w:highlight w:val="none"/>
              </w:rPr>
              <w:t>符合采购人的要求。</w:t>
            </w:r>
          </w:p>
        </w:tc>
        <w:tc>
          <w:tcPr>
            <w:tcW w:w="1185" w:type="dxa"/>
            <w:vAlign w:val="center"/>
          </w:tcPr>
          <w:p w14:paraId="154FA24D">
            <w:pPr>
              <w:widowControl/>
              <w:adjustRightInd w:val="0"/>
              <w:snapToGrid w:val="0"/>
              <w:spacing w:line="320" w:lineRule="exact"/>
              <w:jc w:val="center"/>
              <w:rPr>
                <w:rFonts w:hint="eastAsia" w:ascii="宋体" w:hAnsi="宋体" w:cs="宋体"/>
                <w:color w:val="auto"/>
                <w:kern w:val="0"/>
                <w:szCs w:val="21"/>
                <w:highlight w:val="none"/>
              </w:rPr>
            </w:pPr>
          </w:p>
        </w:tc>
      </w:tr>
      <w:tr w14:paraId="5145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821" w:type="dxa"/>
            <w:vAlign w:val="center"/>
          </w:tcPr>
          <w:p w14:paraId="138D2C03">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8</w:t>
            </w:r>
          </w:p>
        </w:tc>
        <w:tc>
          <w:tcPr>
            <w:tcW w:w="2265" w:type="dxa"/>
            <w:gridSpan w:val="2"/>
            <w:vAlign w:val="center"/>
          </w:tcPr>
          <w:p w14:paraId="5EAA1B67">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工作纪律情况</w:t>
            </w:r>
          </w:p>
        </w:tc>
        <w:tc>
          <w:tcPr>
            <w:tcW w:w="4253" w:type="dxa"/>
            <w:vAlign w:val="center"/>
          </w:tcPr>
          <w:p w14:paraId="374C7BD9">
            <w:pPr>
              <w:widowControl/>
              <w:adjustRightInd w:val="0"/>
              <w:snapToGrid w:val="0"/>
              <w:spacing w:line="320" w:lineRule="exact"/>
              <w:jc w:val="center"/>
              <w:rPr>
                <w:rFonts w:hint="eastAsia"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遵守法律法规、抽样和检验纪律等符合采购人的要求。</w:t>
            </w:r>
          </w:p>
        </w:tc>
        <w:tc>
          <w:tcPr>
            <w:tcW w:w="1185" w:type="dxa"/>
            <w:vAlign w:val="center"/>
          </w:tcPr>
          <w:p w14:paraId="4FD5E519">
            <w:pPr>
              <w:widowControl/>
              <w:adjustRightInd w:val="0"/>
              <w:snapToGrid w:val="0"/>
              <w:spacing w:line="320" w:lineRule="exact"/>
              <w:jc w:val="center"/>
              <w:rPr>
                <w:rFonts w:hint="eastAsia" w:ascii="宋体" w:hAnsi="宋体" w:cs="宋体"/>
                <w:color w:val="auto"/>
                <w:kern w:val="0"/>
                <w:szCs w:val="21"/>
                <w:highlight w:val="none"/>
              </w:rPr>
            </w:pPr>
          </w:p>
        </w:tc>
      </w:tr>
      <w:tr w14:paraId="53060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821" w:type="dxa"/>
            <w:vAlign w:val="center"/>
          </w:tcPr>
          <w:p w14:paraId="32E1254C">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9</w:t>
            </w:r>
          </w:p>
        </w:tc>
        <w:tc>
          <w:tcPr>
            <w:tcW w:w="2265" w:type="dxa"/>
            <w:gridSpan w:val="2"/>
            <w:vAlign w:val="center"/>
          </w:tcPr>
          <w:p w14:paraId="6C01A7A4">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合同规定的其他履约情况</w:t>
            </w:r>
          </w:p>
        </w:tc>
        <w:tc>
          <w:tcPr>
            <w:tcW w:w="4253" w:type="dxa"/>
            <w:vAlign w:val="center"/>
          </w:tcPr>
          <w:p w14:paraId="56E4BD1B">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符合合同书要求。</w:t>
            </w:r>
          </w:p>
        </w:tc>
        <w:tc>
          <w:tcPr>
            <w:tcW w:w="1185" w:type="dxa"/>
            <w:vAlign w:val="center"/>
          </w:tcPr>
          <w:p w14:paraId="0C2A1C23">
            <w:pPr>
              <w:widowControl/>
              <w:adjustRightInd w:val="0"/>
              <w:snapToGrid w:val="0"/>
              <w:spacing w:line="320" w:lineRule="exact"/>
              <w:jc w:val="center"/>
              <w:rPr>
                <w:rFonts w:hint="eastAsia" w:ascii="宋体" w:hAnsi="宋体" w:cs="宋体"/>
                <w:color w:val="auto"/>
                <w:kern w:val="0"/>
                <w:szCs w:val="21"/>
                <w:highlight w:val="none"/>
              </w:rPr>
            </w:pPr>
          </w:p>
        </w:tc>
      </w:tr>
      <w:tr w14:paraId="6938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1" w:type="dxa"/>
            <w:vAlign w:val="center"/>
          </w:tcPr>
          <w:p w14:paraId="0D996BF6">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w:t>
            </w:r>
          </w:p>
        </w:tc>
        <w:tc>
          <w:tcPr>
            <w:tcW w:w="2265" w:type="dxa"/>
            <w:gridSpan w:val="2"/>
            <w:vAlign w:val="center"/>
          </w:tcPr>
          <w:p w14:paraId="509ADAC0">
            <w:pPr>
              <w:widowControl/>
              <w:spacing w:line="320" w:lineRule="exact"/>
              <w:jc w:val="center"/>
              <w:rPr>
                <w:rFonts w:hint="eastAsia" w:ascii="宋体" w:hAnsi="宋体" w:cs="宋体"/>
                <w:color w:val="auto"/>
                <w:kern w:val="0"/>
                <w:szCs w:val="21"/>
                <w:highlight w:val="none"/>
              </w:rPr>
            </w:pPr>
            <w:r>
              <w:rPr>
                <w:rFonts w:hint="eastAsia" w:ascii="宋体" w:hAnsi="宋体" w:cs="宋体"/>
                <w:color w:val="auto"/>
                <w:spacing w:val="-10"/>
                <w:kern w:val="0"/>
                <w:szCs w:val="21"/>
                <w:highlight w:val="none"/>
              </w:rPr>
              <w:t>采购人认为需要的其他验收内容</w:t>
            </w:r>
          </w:p>
        </w:tc>
        <w:tc>
          <w:tcPr>
            <w:tcW w:w="4253" w:type="dxa"/>
            <w:vAlign w:val="center"/>
          </w:tcPr>
          <w:p w14:paraId="7E1112C8">
            <w:pPr>
              <w:widowControl/>
              <w:adjustRightInd w:val="0"/>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w:t>
            </w:r>
          </w:p>
        </w:tc>
        <w:tc>
          <w:tcPr>
            <w:tcW w:w="1185" w:type="dxa"/>
            <w:vAlign w:val="center"/>
          </w:tcPr>
          <w:p w14:paraId="79951336">
            <w:pPr>
              <w:widowControl/>
              <w:adjustRightInd w:val="0"/>
              <w:snapToGrid w:val="0"/>
              <w:spacing w:line="320" w:lineRule="exact"/>
              <w:jc w:val="center"/>
              <w:rPr>
                <w:rFonts w:hint="eastAsia" w:ascii="宋体" w:hAnsi="宋体" w:cs="宋体"/>
                <w:color w:val="auto"/>
                <w:kern w:val="0"/>
                <w:szCs w:val="21"/>
                <w:highlight w:val="none"/>
              </w:rPr>
            </w:pPr>
          </w:p>
        </w:tc>
      </w:tr>
    </w:tbl>
    <w:p w14:paraId="149D68D3">
      <w:pPr>
        <w:spacing w:line="24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br w:type="page"/>
      </w:r>
    </w:p>
    <w:p w14:paraId="77E11504">
      <w:pPr>
        <w:spacing w:line="36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t>附件：</w:t>
      </w:r>
    </w:p>
    <w:p w14:paraId="56770A1A">
      <w:pPr>
        <w:spacing w:line="36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t>1.2026年省级食品安全抽检技术服务（第一批）政府采购预算明细表</w:t>
      </w:r>
    </w:p>
    <w:p w14:paraId="6792502B">
      <w:pPr>
        <w:spacing w:line="36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rPr>
        <w:t>2</w:t>
      </w:r>
      <w:r>
        <w:rPr>
          <w:rFonts w:hint="eastAsia" w:ascii="宋体" w:hAnsi="宋体" w:cs="方正黑体_GBK"/>
          <w:b/>
          <w:color w:val="auto"/>
          <w:szCs w:val="21"/>
          <w:highlight w:val="none"/>
          <w:lang w:val="en-US" w:eastAsia="zh-CN"/>
        </w:rPr>
        <w:t>-1</w:t>
      </w:r>
      <w:r>
        <w:rPr>
          <w:rFonts w:hint="eastAsia" w:ascii="宋体" w:hAnsi="宋体" w:cs="方正黑体_GBK"/>
          <w:b/>
          <w:color w:val="auto"/>
          <w:szCs w:val="21"/>
          <w:highlight w:val="none"/>
        </w:rPr>
        <w:t>.2026年省级食品安全抽检技术服务（第一批）政府采购任务明细表</w:t>
      </w:r>
    </w:p>
    <w:p w14:paraId="3445C416">
      <w:pPr>
        <w:spacing w:line="360" w:lineRule="auto"/>
        <w:ind w:firstLine="0" w:firstLineChars="0"/>
        <w:rPr>
          <w:rFonts w:hint="eastAsia" w:ascii="宋体" w:hAnsi="宋体" w:cs="方正黑体_GBK"/>
          <w:b/>
          <w:color w:val="auto"/>
          <w:szCs w:val="21"/>
          <w:highlight w:val="none"/>
        </w:rPr>
      </w:pPr>
      <w:r>
        <w:rPr>
          <w:rFonts w:hint="eastAsia" w:ascii="宋体" w:hAnsi="宋体" w:cs="方正黑体_GBK"/>
          <w:b/>
          <w:color w:val="auto"/>
          <w:szCs w:val="21"/>
          <w:highlight w:val="none"/>
          <w:lang w:val="en-US" w:eastAsia="zh-CN"/>
        </w:rPr>
        <w:t>2-2</w:t>
      </w:r>
      <w:r>
        <w:rPr>
          <w:rFonts w:hint="eastAsia" w:ascii="宋体" w:hAnsi="宋体" w:cs="方正黑体_GBK"/>
          <w:b/>
          <w:color w:val="auto"/>
          <w:szCs w:val="21"/>
          <w:highlight w:val="none"/>
        </w:rPr>
        <w:t>.2026年省级食品安全抽检技术服务（第一批）分包计划表</w:t>
      </w:r>
    </w:p>
    <w:p w14:paraId="06D0DB0D">
      <w:pPr>
        <w:spacing w:line="360" w:lineRule="auto"/>
        <w:rPr>
          <w:rFonts w:hint="eastAsia" w:ascii="宋体" w:hAnsi="宋体" w:eastAsia="宋体" w:cs="方正黑体_GBK"/>
          <w:b/>
          <w:color w:val="auto"/>
          <w:szCs w:val="21"/>
          <w:highlight w:val="none"/>
          <w:lang w:val="en-US" w:eastAsia="zh-CN"/>
        </w:rPr>
      </w:pPr>
      <w:r>
        <w:rPr>
          <w:rFonts w:hint="eastAsia" w:ascii="宋体" w:hAnsi="宋体" w:eastAsia="宋体" w:cs="方正黑体_GBK"/>
          <w:b/>
          <w:color w:val="auto"/>
          <w:szCs w:val="21"/>
          <w:highlight w:val="none"/>
          <w:lang w:val="en-US" w:eastAsia="zh-CN"/>
        </w:rPr>
        <w:t>3-1 2026年省级食品安全监督抽检品种、项目表</w:t>
      </w:r>
    </w:p>
    <w:p w14:paraId="1760BE92">
      <w:pPr>
        <w:spacing w:line="360" w:lineRule="auto"/>
        <w:rPr>
          <w:rFonts w:hint="default" w:ascii="宋体" w:hAnsi="宋体" w:eastAsia="宋体" w:cs="方正黑体_GBK"/>
          <w:b/>
          <w:color w:val="auto"/>
          <w:szCs w:val="21"/>
          <w:highlight w:val="none"/>
          <w:lang w:val="en-US" w:eastAsia="zh-CN"/>
        </w:rPr>
      </w:pPr>
      <w:r>
        <w:rPr>
          <w:rFonts w:hint="eastAsia" w:ascii="宋体" w:hAnsi="宋体" w:eastAsia="宋体" w:cs="方正黑体_GBK"/>
          <w:b/>
          <w:color w:val="auto"/>
          <w:szCs w:val="21"/>
          <w:highlight w:val="none"/>
          <w:lang w:val="en-US" w:eastAsia="zh-CN"/>
        </w:rPr>
        <w:t>3-2 2026年省级食品安全风险抽检品种、项目表</w:t>
      </w:r>
    </w:p>
    <w:p w14:paraId="2BC1DD4A">
      <w:pPr>
        <w:spacing w:line="360" w:lineRule="auto"/>
        <w:ind w:firstLine="0" w:firstLineChars="0"/>
        <w:rPr>
          <w:rFonts w:hint="eastAsia" w:ascii="宋体" w:hAnsi="宋体" w:eastAsia="宋体" w:cs="方正黑体_GBK"/>
          <w:b/>
          <w:color w:val="auto"/>
          <w:szCs w:val="21"/>
          <w:highlight w:val="none"/>
        </w:rPr>
        <w:sectPr>
          <w:footerReference r:id="rId9" w:type="default"/>
          <w:pgSz w:w="11911" w:h="16838"/>
          <w:pgMar w:top="1440" w:right="1803" w:bottom="1440" w:left="1803" w:header="720" w:footer="720" w:gutter="0"/>
          <w:pgNumType w:fmt="decimal"/>
          <w:cols w:space="0" w:num="1"/>
          <w:rtlGutter w:val="0"/>
          <w:docGrid w:linePitch="317" w:charSpace="0"/>
        </w:sectPr>
      </w:pPr>
    </w:p>
    <w:p w14:paraId="4FBDB172">
      <w:pPr>
        <w:spacing w:line="560" w:lineRule="exact"/>
        <w:jc w:val="both"/>
        <w:outlineLvl w:val="1"/>
        <w:rPr>
          <w:rFonts w:hint="eastAsia" w:ascii="宋体" w:hAnsi="宋体" w:eastAsia="宋体" w:cs="宋体"/>
          <w:sz w:val="21"/>
          <w:szCs w:val="21"/>
        </w:rPr>
      </w:pPr>
      <w:bookmarkStart w:id="265" w:name="OLE_LINK6"/>
      <w:r>
        <w:rPr>
          <w:rFonts w:hint="eastAsia" w:ascii="宋体" w:hAnsi="宋体" w:eastAsia="宋体" w:cs="宋体"/>
          <w:sz w:val="21"/>
          <w:szCs w:val="21"/>
        </w:rPr>
        <w:t>附件1</w:t>
      </w:r>
    </w:p>
    <w:p w14:paraId="0139E5E6">
      <w:pPr>
        <w:adjustRightInd w:val="0"/>
        <w:snapToGrid w:val="0"/>
        <w:spacing w:line="590" w:lineRule="exact"/>
        <w:ind w:left="1481" w:leftChars="304" w:hanging="843" w:hangingChars="400"/>
        <w:jc w:val="center"/>
        <w:rPr>
          <w:rFonts w:hint="eastAsia" w:ascii="宋体" w:hAnsi="宋体" w:eastAsia="宋体" w:cs="宋体"/>
          <w:b/>
          <w:bCs/>
          <w:i w:val="0"/>
          <w:iCs w:val="0"/>
          <w:sz w:val="21"/>
          <w:szCs w:val="21"/>
        </w:rPr>
      </w:pPr>
      <w:r>
        <w:rPr>
          <w:rFonts w:hint="eastAsia" w:ascii="宋体" w:hAnsi="宋体" w:eastAsia="宋体" w:cs="宋体"/>
          <w:b/>
          <w:bCs/>
          <w:i w:val="0"/>
          <w:iCs w:val="0"/>
          <w:sz w:val="21"/>
          <w:szCs w:val="21"/>
        </w:rPr>
        <w:t>2026年省级食品安全抽检技术服务（第一批）政府采购预算明细表</w:t>
      </w:r>
    </w:p>
    <w:bookmarkEnd w:id="265"/>
    <w:p w14:paraId="4BFA9E61">
      <w:pPr>
        <w:jc w:val="center"/>
        <w:rPr>
          <w:rFonts w:hint="eastAsia" w:ascii="宋体" w:hAnsi="宋体" w:eastAsia="宋体" w:cs="宋体"/>
          <w:szCs w:val="21"/>
        </w:rPr>
      </w:pP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2352"/>
        <w:gridCol w:w="2895"/>
        <w:gridCol w:w="5331"/>
      </w:tblGrid>
      <w:tr w14:paraId="7A535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2460" w:type="dxa"/>
            <w:noWrap w:val="0"/>
            <w:vAlign w:val="center"/>
          </w:tcPr>
          <w:p w14:paraId="6EB189F4">
            <w:pPr>
              <w:jc w:val="center"/>
              <w:rPr>
                <w:rFonts w:hint="eastAsia" w:ascii="宋体" w:hAnsi="宋体" w:eastAsia="宋体" w:cs="宋体"/>
                <w:b/>
                <w:bCs/>
                <w:sz w:val="21"/>
                <w:szCs w:val="21"/>
              </w:rPr>
            </w:pPr>
            <w:r>
              <w:rPr>
                <w:rFonts w:hint="eastAsia" w:ascii="宋体" w:hAnsi="宋体" w:eastAsia="宋体" w:cs="宋体"/>
                <w:b/>
                <w:bCs/>
                <w:sz w:val="21"/>
                <w:szCs w:val="21"/>
              </w:rPr>
              <w:t>类 型</w:t>
            </w:r>
          </w:p>
        </w:tc>
        <w:tc>
          <w:tcPr>
            <w:tcW w:w="2352" w:type="dxa"/>
            <w:noWrap w:val="0"/>
            <w:vAlign w:val="center"/>
          </w:tcPr>
          <w:p w14:paraId="53656152">
            <w:pPr>
              <w:jc w:val="center"/>
              <w:rPr>
                <w:rFonts w:hint="eastAsia" w:ascii="宋体" w:hAnsi="宋体" w:eastAsia="宋体" w:cs="宋体"/>
                <w:b/>
                <w:bCs/>
                <w:sz w:val="21"/>
                <w:szCs w:val="21"/>
              </w:rPr>
            </w:pPr>
            <w:r>
              <w:rPr>
                <w:rFonts w:hint="eastAsia" w:ascii="宋体" w:hAnsi="宋体" w:eastAsia="宋体" w:cs="宋体"/>
                <w:b/>
                <w:bCs/>
                <w:sz w:val="21"/>
                <w:szCs w:val="21"/>
              </w:rPr>
              <w:t>批次</w:t>
            </w:r>
          </w:p>
        </w:tc>
        <w:tc>
          <w:tcPr>
            <w:tcW w:w="2895" w:type="dxa"/>
            <w:noWrap w:val="0"/>
            <w:vAlign w:val="center"/>
          </w:tcPr>
          <w:p w14:paraId="7709F689">
            <w:pPr>
              <w:jc w:val="center"/>
              <w:rPr>
                <w:rFonts w:hint="eastAsia" w:ascii="宋体" w:hAnsi="宋体" w:eastAsia="宋体" w:cs="宋体"/>
                <w:b/>
                <w:bCs/>
                <w:sz w:val="21"/>
                <w:szCs w:val="21"/>
              </w:rPr>
            </w:pPr>
            <w:r>
              <w:rPr>
                <w:rFonts w:hint="eastAsia" w:ascii="宋体" w:hAnsi="宋体" w:eastAsia="宋体" w:cs="宋体"/>
                <w:b/>
                <w:bCs/>
                <w:sz w:val="21"/>
                <w:szCs w:val="21"/>
              </w:rPr>
              <w:t>采购预算（万元）</w:t>
            </w:r>
          </w:p>
        </w:tc>
        <w:tc>
          <w:tcPr>
            <w:tcW w:w="5331" w:type="dxa"/>
            <w:noWrap w:val="0"/>
            <w:vAlign w:val="center"/>
          </w:tcPr>
          <w:p w14:paraId="085148ED">
            <w:pPr>
              <w:jc w:val="center"/>
              <w:rPr>
                <w:rFonts w:hint="eastAsia" w:ascii="宋体" w:hAnsi="宋体" w:eastAsia="宋体" w:cs="宋体"/>
                <w:b/>
                <w:bCs/>
                <w:sz w:val="21"/>
                <w:szCs w:val="21"/>
              </w:rPr>
            </w:pPr>
            <w:r>
              <w:rPr>
                <w:rFonts w:hint="eastAsia" w:ascii="宋体" w:hAnsi="宋体" w:eastAsia="宋体" w:cs="宋体"/>
                <w:b/>
                <w:bCs/>
                <w:sz w:val="21"/>
                <w:szCs w:val="21"/>
              </w:rPr>
              <w:t>备  注</w:t>
            </w:r>
          </w:p>
        </w:tc>
      </w:tr>
      <w:tr w14:paraId="6814F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atLeast"/>
          <w:jc w:val="center"/>
        </w:trPr>
        <w:tc>
          <w:tcPr>
            <w:tcW w:w="2460" w:type="dxa"/>
            <w:noWrap w:val="0"/>
            <w:vAlign w:val="center"/>
          </w:tcPr>
          <w:p w14:paraId="1B217142">
            <w:pPr>
              <w:jc w:val="center"/>
              <w:rPr>
                <w:rFonts w:hint="eastAsia" w:ascii="宋体" w:hAnsi="宋体" w:eastAsia="宋体" w:cs="宋体"/>
                <w:sz w:val="21"/>
                <w:szCs w:val="21"/>
              </w:rPr>
            </w:pPr>
            <w:r>
              <w:rPr>
                <w:rFonts w:hint="eastAsia" w:ascii="宋体" w:hAnsi="宋体" w:eastAsia="宋体" w:cs="宋体"/>
                <w:sz w:val="21"/>
                <w:szCs w:val="21"/>
              </w:rPr>
              <w:t>监督抽检（含专项）</w:t>
            </w:r>
          </w:p>
        </w:tc>
        <w:tc>
          <w:tcPr>
            <w:tcW w:w="2352" w:type="dxa"/>
            <w:noWrap w:val="0"/>
            <w:vAlign w:val="center"/>
          </w:tcPr>
          <w:p w14:paraId="63CAA7BF">
            <w:pPr>
              <w:jc w:val="center"/>
              <w:rPr>
                <w:rFonts w:hint="eastAsia" w:ascii="宋体" w:hAnsi="宋体" w:eastAsia="宋体" w:cs="宋体"/>
                <w:sz w:val="21"/>
                <w:szCs w:val="21"/>
              </w:rPr>
            </w:pPr>
            <w:r>
              <w:rPr>
                <w:rFonts w:hint="eastAsia" w:ascii="宋体" w:hAnsi="宋体" w:eastAsia="宋体" w:cs="宋体"/>
                <w:sz w:val="21"/>
                <w:szCs w:val="21"/>
              </w:rPr>
              <w:t>10200</w:t>
            </w:r>
          </w:p>
        </w:tc>
        <w:tc>
          <w:tcPr>
            <w:tcW w:w="2895" w:type="dxa"/>
            <w:noWrap w:val="0"/>
            <w:vAlign w:val="center"/>
          </w:tcPr>
          <w:p w14:paraId="35C531B3">
            <w:pPr>
              <w:jc w:val="center"/>
              <w:rPr>
                <w:rFonts w:hint="eastAsia" w:ascii="宋体" w:hAnsi="宋体" w:eastAsia="宋体" w:cs="宋体"/>
                <w:sz w:val="21"/>
                <w:szCs w:val="21"/>
              </w:rPr>
            </w:pPr>
            <w:r>
              <w:rPr>
                <w:rFonts w:hint="eastAsia" w:ascii="宋体" w:hAnsi="宋体" w:eastAsia="宋体" w:cs="宋体"/>
                <w:sz w:val="21"/>
                <w:szCs w:val="21"/>
              </w:rPr>
              <w:t>1785</w:t>
            </w:r>
          </w:p>
        </w:tc>
        <w:tc>
          <w:tcPr>
            <w:tcW w:w="5331" w:type="dxa"/>
            <w:vMerge w:val="restart"/>
            <w:noWrap w:val="0"/>
            <w:vAlign w:val="center"/>
          </w:tcPr>
          <w:p w14:paraId="7CC4F9CC">
            <w:pPr>
              <w:spacing w:line="590" w:lineRule="exact"/>
              <w:jc w:val="center"/>
              <w:rPr>
                <w:rFonts w:hint="eastAsia" w:ascii="宋体" w:hAnsi="宋体" w:eastAsia="宋体" w:cs="宋体"/>
                <w:kern w:val="0"/>
                <w:sz w:val="21"/>
                <w:szCs w:val="21"/>
              </w:rPr>
            </w:pPr>
            <w:r>
              <w:rPr>
                <w:rFonts w:hint="eastAsia" w:ascii="宋体" w:hAnsi="宋体" w:eastAsia="宋体" w:cs="宋体"/>
                <w:bCs/>
                <w:kern w:val="0"/>
                <w:sz w:val="21"/>
                <w:szCs w:val="21"/>
              </w:rPr>
              <w:t>监督抽检：1750元/批次；</w:t>
            </w:r>
          </w:p>
          <w:p w14:paraId="79BB3FAE">
            <w:pPr>
              <w:spacing w:line="590" w:lineRule="exact"/>
              <w:jc w:val="center"/>
              <w:rPr>
                <w:rFonts w:hint="eastAsia" w:ascii="宋体" w:hAnsi="宋体" w:eastAsia="宋体" w:cs="宋体"/>
                <w:sz w:val="21"/>
                <w:szCs w:val="21"/>
              </w:rPr>
            </w:pPr>
            <w:r>
              <w:rPr>
                <w:rFonts w:hint="eastAsia" w:ascii="宋体" w:hAnsi="宋体" w:eastAsia="宋体" w:cs="宋体"/>
                <w:bCs/>
                <w:kern w:val="0"/>
                <w:sz w:val="21"/>
                <w:szCs w:val="21"/>
              </w:rPr>
              <w:t>风险抽检：1600元/批次。</w:t>
            </w:r>
          </w:p>
        </w:tc>
      </w:tr>
      <w:tr w14:paraId="3C5CE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2460" w:type="dxa"/>
            <w:noWrap w:val="0"/>
            <w:vAlign w:val="center"/>
          </w:tcPr>
          <w:p w14:paraId="566EC79C">
            <w:pPr>
              <w:jc w:val="center"/>
              <w:rPr>
                <w:rFonts w:hint="eastAsia" w:ascii="宋体" w:hAnsi="宋体" w:eastAsia="宋体" w:cs="宋体"/>
                <w:sz w:val="21"/>
                <w:szCs w:val="21"/>
              </w:rPr>
            </w:pPr>
            <w:r>
              <w:rPr>
                <w:rFonts w:hint="eastAsia" w:ascii="宋体" w:hAnsi="宋体" w:eastAsia="宋体" w:cs="宋体"/>
                <w:sz w:val="21"/>
                <w:szCs w:val="21"/>
              </w:rPr>
              <w:t>风险抽检</w:t>
            </w:r>
          </w:p>
        </w:tc>
        <w:tc>
          <w:tcPr>
            <w:tcW w:w="2352" w:type="dxa"/>
            <w:noWrap w:val="0"/>
            <w:vAlign w:val="center"/>
          </w:tcPr>
          <w:p w14:paraId="5C5207EC">
            <w:pPr>
              <w:jc w:val="center"/>
              <w:rPr>
                <w:rFonts w:hint="eastAsia" w:ascii="宋体" w:hAnsi="宋体" w:eastAsia="宋体" w:cs="宋体"/>
                <w:sz w:val="21"/>
                <w:szCs w:val="21"/>
              </w:rPr>
            </w:pPr>
            <w:r>
              <w:rPr>
                <w:rFonts w:hint="eastAsia" w:ascii="宋体" w:hAnsi="宋体" w:eastAsia="宋体" w:cs="宋体"/>
                <w:sz w:val="21"/>
                <w:szCs w:val="21"/>
              </w:rPr>
              <w:t>8400</w:t>
            </w:r>
          </w:p>
        </w:tc>
        <w:tc>
          <w:tcPr>
            <w:tcW w:w="2895" w:type="dxa"/>
            <w:noWrap w:val="0"/>
            <w:vAlign w:val="center"/>
          </w:tcPr>
          <w:p w14:paraId="452F6E57">
            <w:pPr>
              <w:jc w:val="center"/>
              <w:rPr>
                <w:rFonts w:hint="eastAsia" w:ascii="宋体" w:hAnsi="宋体" w:eastAsia="宋体" w:cs="宋体"/>
                <w:sz w:val="21"/>
                <w:szCs w:val="21"/>
              </w:rPr>
            </w:pPr>
            <w:r>
              <w:rPr>
                <w:rFonts w:hint="eastAsia" w:ascii="宋体" w:hAnsi="宋体" w:eastAsia="宋体" w:cs="宋体"/>
                <w:sz w:val="21"/>
                <w:szCs w:val="21"/>
              </w:rPr>
              <w:t>1344</w:t>
            </w:r>
          </w:p>
        </w:tc>
        <w:tc>
          <w:tcPr>
            <w:tcW w:w="5331" w:type="dxa"/>
            <w:vMerge w:val="continue"/>
            <w:noWrap w:val="0"/>
            <w:vAlign w:val="center"/>
          </w:tcPr>
          <w:p w14:paraId="2280B895">
            <w:pPr>
              <w:jc w:val="center"/>
              <w:rPr>
                <w:rFonts w:hint="eastAsia" w:ascii="宋体" w:hAnsi="宋体" w:eastAsia="宋体" w:cs="宋体"/>
                <w:sz w:val="21"/>
                <w:szCs w:val="21"/>
              </w:rPr>
            </w:pPr>
          </w:p>
        </w:tc>
      </w:tr>
      <w:tr w14:paraId="262E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jc w:val="center"/>
        </w:trPr>
        <w:tc>
          <w:tcPr>
            <w:tcW w:w="2460" w:type="dxa"/>
            <w:noWrap w:val="0"/>
            <w:vAlign w:val="center"/>
          </w:tcPr>
          <w:p w14:paraId="2FD2EAA6">
            <w:pPr>
              <w:jc w:val="center"/>
              <w:rPr>
                <w:rFonts w:hint="eastAsia" w:ascii="宋体" w:hAnsi="宋体" w:eastAsia="宋体" w:cs="宋体"/>
                <w:sz w:val="21"/>
                <w:szCs w:val="21"/>
              </w:rPr>
            </w:pPr>
            <w:r>
              <w:rPr>
                <w:rFonts w:hint="eastAsia" w:ascii="宋体" w:hAnsi="宋体" w:eastAsia="宋体" w:cs="宋体"/>
                <w:sz w:val="21"/>
                <w:szCs w:val="21"/>
              </w:rPr>
              <w:t>合  计</w:t>
            </w:r>
          </w:p>
        </w:tc>
        <w:tc>
          <w:tcPr>
            <w:tcW w:w="2352" w:type="dxa"/>
            <w:noWrap w:val="0"/>
            <w:vAlign w:val="center"/>
          </w:tcPr>
          <w:p w14:paraId="33C2572A">
            <w:pPr>
              <w:jc w:val="center"/>
              <w:rPr>
                <w:rFonts w:hint="eastAsia" w:ascii="宋体" w:hAnsi="宋体" w:eastAsia="宋体" w:cs="宋体"/>
                <w:sz w:val="21"/>
                <w:szCs w:val="21"/>
              </w:rPr>
            </w:pPr>
            <w:r>
              <w:rPr>
                <w:rFonts w:hint="eastAsia" w:ascii="宋体" w:hAnsi="宋体" w:eastAsia="宋体" w:cs="宋体"/>
                <w:sz w:val="21"/>
                <w:szCs w:val="21"/>
              </w:rPr>
              <w:t>18600</w:t>
            </w:r>
          </w:p>
        </w:tc>
        <w:tc>
          <w:tcPr>
            <w:tcW w:w="2895" w:type="dxa"/>
            <w:noWrap w:val="0"/>
            <w:vAlign w:val="center"/>
          </w:tcPr>
          <w:p w14:paraId="3DC008FB">
            <w:pPr>
              <w:jc w:val="center"/>
              <w:rPr>
                <w:rFonts w:hint="eastAsia" w:ascii="宋体" w:hAnsi="宋体" w:eastAsia="宋体" w:cs="宋体"/>
                <w:sz w:val="21"/>
                <w:szCs w:val="21"/>
              </w:rPr>
            </w:pPr>
            <w:r>
              <w:rPr>
                <w:rFonts w:hint="eastAsia" w:ascii="宋体" w:hAnsi="宋体" w:eastAsia="宋体" w:cs="宋体"/>
                <w:sz w:val="21"/>
                <w:szCs w:val="21"/>
              </w:rPr>
              <w:t>3129</w:t>
            </w:r>
          </w:p>
        </w:tc>
        <w:tc>
          <w:tcPr>
            <w:tcW w:w="5331" w:type="dxa"/>
            <w:vMerge w:val="continue"/>
            <w:noWrap w:val="0"/>
            <w:vAlign w:val="center"/>
          </w:tcPr>
          <w:p w14:paraId="060A6CE2">
            <w:pPr>
              <w:jc w:val="center"/>
              <w:rPr>
                <w:rFonts w:hint="eastAsia" w:ascii="宋体" w:hAnsi="宋体" w:eastAsia="宋体" w:cs="宋体"/>
                <w:sz w:val="21"/>
                <w:szCs w:val="21"/>
              </w:rPr>
            </w:pPr>
          </w:p>
        </w:tc>
      </w:tr>
    </w:tbl>
    <w:p w14:paraId="749E0B82">
      <w:pPr>
        <w:pStyle w:val="15"/>
        <w:ind w:left="0" w:leftChars="0"/>
        <w:rPr>
          <w:rFonts w:hint="eastAsia"/>
        </w:rPr>
        <w:sectPr>
          <w:pgSz w:w="16838" w:h="11911" w:orient="landscape"/>
          <w:pgMar w:top="1803" w:right="1440" w:bottom="1803" w:left="1440" w:header="720" w:footer="720" w:gutter="0"/>
          <w:pgNumType w:fmt="decimal"/>
          <w:cols w:space="0" w:num="1"/>
          <w:rtlGutter w:val="0"/>
          <w:docGrid w:linePitch="317" w:charSpace="0"/>
        </w:sectPr>
      </w:pPr>
    </w:p>
    <w:p w14:paraId="1ADEB95F">
      <w:pPr>
        <w:spacing w:line="560" w:lineRule="exact"/>
        <w:jc w:val="left"/>
        <w:outlineLvl w:val="1"/>
        <w:rPr>
          <w:rFonts w:hint="eastAsia" w:ascii="宋体" w:hAnsi="宋体" w:eastAsia="宋体" w:cs="宋体"/>
          <w:sz w:val="21"/>
          <w:szCs w:val="21"/>
        </w:rPr>
      </w:pPr>
      <w:r>
        <w:rPr>
          <w:rFonts w:hint="eastAsia" w:ascii="宋体" w:hAnsi="宋体" w:eastAsia="宋体" w:cs="宋体"/>
          <w:sz w:val="21"/>
          <w:szCs w:val="21"/>
        </w:rPr>
        <w:t>附件2</w:t>
      </w:r>
    </w:p>
    <w:p w14:paraId="1FF0B908">
      <w:pPr>
        <w:adjustRightInd w:val="0"/>
        <w:snapToGrid w:val="0"/>
        <w:spacing w:line="590" w:lineRule="exact"/>
        <w:ind w:left="1481" w:leftChars="304" w:hanging="843" w:hangingChars="400"/>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2-1 </w:t>
      </w:r>
      <w:r>
        <w:rPr>
          <w:rFonts w:hint="eastAsia" w:ascii="宋体" w:hAnsi="宋体" w:eastAsia="宋体" w:cs="宋体"/>
          <w:b/>
          <w:bCs/>
          <w:sz w:val="21"/>
          <w:szCs w:val="21"/>
        </w:rPr>
        <w:t>2026年省级食品安全抽检技术服务（第一批）政府采购任务明细表</w:t>
      </w:r>
    </w:p>
    <w:p w14:paraId="5E7004BA">
      <w:pPr>
        <w:rPr>
          <w:rFonts w:hint="eastAsia" w:ascii="宋体" w:hAnsi="宋体" w:eastAsia="宋体" w:cs="宋体"/>
          <w:szCs w:val="21"/>
        </w:rPr>
      </w:pPr>
    </w:p>
    <w:tbl>
      <w:tblPr>
        <w:tblStyle w:val="34"/>
        <w:tblW w:w="12847" w:type="dxa"/>
        <w:jc w:val="center"/>
        <w:tblLayout w:type="fixed"/>
        <w:tblCellMar>
          <w:top w:w="0" w:type="dxa"/>
          <w:left w:w="108" w:type="dxa"/>
          <w:bottom w:w="0" w:type="dxa"/>
          <w:right w:w="108" w:type="dxa"/>
        </w:tblCellMar>
      </w:tblPr>
      <w:tblGrid>
        <w:gridCol w:w="2323"/>
        <w:gridCol w:w="718"/>
        <w:gridCol w:w="719"/>
        <w:gridCol w:w="719"/>
        <w:gridCol w:w="719"/>
        <w:gridCol w:w="719"/>
        <w:gridCol w:w="719"/>
        <w:gridCol w:w="949"/>
        <w:gridCol w:w="719"/>
        <w:gridCol w:w="719"/>
        <w:gridCol w:w="719"/>
        <w:gridCol w:w="719"/>
        <w:gridCol w:w="719"/>
        <w:gridCol w:w="753"/>
        <w:gridCol w:w="914"/>
      </w:tblGrid>
      <w:tr w14:paraId="027E5A1B">
        <w:tblPrEx>
          <w:tblCellMar>
            <w:top w:w="0" w:type="dxa"/>
            <w:left w:w="108" w:type="dxa"/>
            <w:bottom w:w="0" w:type="dxa"/>
            <w:right w:w="108" w:type="dxa"/>
          </w:tblCellMar>
        </w:tblPrEx>
        <w:trPr>
          <w:trHeight w:val="1082" w:hRule="atLeast"/>
          <w:jc w:val="center"/>
        </w:trPr>
        <w:tc>
          <w:tcPr>
            <w:tcW w:w="2323" w:type="dxa"/>
            <w:tcBorders>
              <w:top w:val="single" w:color="000000" w:sz="4" w:space="0"/>
              <w:left w:val="single" w:color="000000" w:sz="4" w:space="0"/>
              <w:bottom w:val="single" w:color="000000" w:sz="4" w:space="0"/>
              <w:right w:val="single" w:color="000000" w:sz="4" w:space="0"/>
              <w:tl2br w:val="single" w:color="auto" w:sz="4" w:space="0"/>
            </w:tcBorders>
            <w:noWrap w:val="0"/>
            <w:vAlign w:val="center"/>
          </w:tcPr>
          <w:p w14:paraId="12632D2B">
            <w:pPr>
              <w:ind w:firstLine="564"/>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地区</w:t>
            </w:r>
          </w:p>
          <w:p w14:paraId="5DF89D9E">
            <w:pPr>
              <w:ind w:firstLine="211" w:firstLineChars="100"/>
              <w:textAlignment w:val="center"/>
              <w:rPr>
                <w:rFonts w:hint="eastAsia" w:ascii="宋体" w:hAnsi="宋体" w:eastAsia="宋体" w:cs="宋体"/>
                <w:b/>
                <w:bCs w:val="0"/>
                <w:sz w:val="21"/>
                <w:szCs w:val="21"/>
                <w:lang w:val="en-US" w:eastAsia="zh-CN"/>
              </w:rPr>
            </w:pPr>
            <w:r>
              <w:rPr>
                <w:rFonts w:hint="eastAsia" w:ascii="宋体" w:hAnsi="宋体" w:eastAsia="宋体" w:cs="宋体"/>
                <w:b/>
                <w:bCs w:val="0"/>
                <w:kern w:val="0"/>
                <w:sz w:val="21"/>
                <w:szCs w:val="21"/>
                <w:lang w:bidi="ar"/>
              </w:rPr>
              <w:t>任务</w:t>
            </w:r>
            <w:r>
              <w:rPr>
                <w:rFonts w:hint="eastAsia" w:ascii="宋体" w:hAnsi="宋体" w:cs="宋体"/>
                <w:b/>
                <w:bCs w:val="0"/>
                <w:kern w:val="0"/>
                <w:sz w:val="21"/>
                <w:szCs w:val="21"/>
                <w:lang w:val="en-US" w:eastAsia="zh-CN" w:bidi="ar"/>
              </w:rPr>
              <w:t>类型</w:t>
            </w:r>
          </w:p>
        </w:tc>
        <w:tc>
          <w:tcPr>
            <w:tcW w:w="718" w:type="dxa"/>
            <w:tcBorders>
              <w:top w:val="single" w:color="000000" w:sz="4" w:space="0"/>
              <w:left w:val="single" w:color="000000" w:sz="4" w:space="0"/>
              <w:bottom w:val="single" w:color="000000" w:sz="4" w:space="0"/>
              <w:right w:val="single" w:color="000000" w:sz="4" w:space="0"/>
            </w:tcBorders>
            <w:noWrap w:val="0"/>
            <w:vAlign w:val="center"/>
          </w:tcPr>
          <w:p w14:paraId="5C1F26D7">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南京</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E14E3A2">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无锡</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DCED71E">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徐州</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4D0BF898">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常州</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36F6A4A">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苏州</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D5DF4A7">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南通</w:t>
            </w:r>
          </w:p>
        </w:tc>
        <w:tc>
          <w:tcPr>
            <w:tcW w:w="949" w:type="dxa"/>
            <w:tcBorders>
              <w:top w:val="single" w:color="000000" w:sz="4" w:space="0"/>
              <w:left w:val="single" w:color="000000" w:sz="4" w:space="0"/>
              <w:bottom w:val="single" w:color="000000" w:sz="4" w:space="0"/>
              <w:right w:val="single" w:color="000000" w:sz="4" w:space="0"/>
            </w:tcBorders>
            <w:noWrap w:val="0"/>
            <w:vAlign w:val="center"/>
          </w:tcPr>
          <w:p w14:paraId="295A215D">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连云港</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51E4FA95">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淮安</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DF08E5E">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盐城</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37A71019">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扬州</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319AD02C">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镇江</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645379C">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泰州</w:t>
            </w: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5349F524">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宿迁</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14:paraId="610BC596">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合计</w:t>
            </w:r>
          </w:p>
        </w:tc>
      </w:tr>
      <w:tr w14:paraId="172F53FF">
        <w:tblPrEx>
          <w:tblCellMar>
            <w:top w:w="0" w:type="dxa"/>
            <w:left w:w="108" w:type="dxa"/>
            <w:bottom w:w="0" w:type="dxa"/>
            <w:right w:w="108" w:type="dxa"/>
          </w:tblCellMar>
        </w:tblPrEx>
        <w:trPr>
          <w:trHeight w:val="549" w:hRule="atLeast"/>
          <w:jc w:val="center"/>
        </w:trPr>
        <w:tc>
          <w:tcPr>
            <w:tcW w:w="2323" w:type="dxa"/>
            <w:tcBorders>
              <w:top w:val="single" w:color="000000" w:sz="4" w:space="0"/>
              <w:left w:val="single" w:color="000000" w:sz="4" w:space="0"/>
              <w:bottom w:val="single" w:color="000000" w:sz="4" w:space="0"/>
              <w:right w:val="single" w:color="000000" w:sz="4" w:space="0"/>
            </w:tcBorders>
            <w:noWrap w:val="0"/>
            <w:vAlign w:val="center"/>
          </w:tcPr>
          <w:p w14:paraId="46E3024C">
            <w:pPr>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监督抽检</w:t>
            </w:r>
          </w:p>
        </w:tc>
        <w:tc>
          <w:tcPr>
            <w:tcW w:w="718" w:type="dxa"/>
            <w:tcBorders>
              <w:top w:val="single" w:color="000000" w:sz="4" w:space="0"/>
              <w:left w:val="single" w:color="000000" w:sz="4" w:space="0"/>
              <w:bottom w:val="single" w:color="000000" w:sz="4" w:space="0"/>
              <w:right w:val="single" w:color="000000" w:sz="4" w:space="0"/>
            </w:tcBorders>
            <w:noWrap w:val="0"/>
            <w:vAlign w:val="center"/>
          </w:tcPr>
          <w:p w14:paraId="4682DA3D">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648</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E13C2D2">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557</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E091DC0">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648</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4A64499">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531</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6274B369">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751</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30BB11A">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645</w:t>
            </w:r>
          </w:p>
        </w:tc>
        <w:tc>
          <w:tcPr>
            <w:tcW w:w="949" w:type="dxa"/>
            <w:tcBorders>
              <w:top w:val="single" w:color="000000" w:sz="4" w:space="0"/>
              <w:left w:val="single" w:color="000000" w:sz="4" w:space="0"/>
              <w:bottom w:val="single" w:color="000000" w:sz="4" w:space="0"/>
              <w:right w:val="single" w:color="000000" w:sz="4" w:space="0"/>
            </w:tcBorders>
            <w:noWrap w:val="0"/>
            <w:vAlign w:val="center"/>
          </w:tcPr>
          <w:p w14:paraId="3E445D9E">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496</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45BD5161">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491</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3A62D062">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505</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44356CE">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491</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4B615F5F">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446</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ACC8411">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510</w:t>
            </w: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6101B295">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481</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14:paraId="382BD076">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7200</w:t>
            </w:r>
          </w:p>
        </w:tc>
      </w:tr>
      <w:tr w14:paraId="56FD70CE">
        <w:tblPrEx>
          <w:tblCellMar>
            <w:top w:w="0" w:type="dxa"/>
            <w:left w:w="108" w:type="dxa"/>
            <w:bottom w:w="0" w:type="dxa"/>
            <w:right w:w="108" w:type="dxa"/>
          </w:tblCellMar>
        </w:tblPrEx>
        <w:trPr>
          <w:trHeight w:val="549" w:hRule="atLeast"/>
          <w:jc w:val="center"/>
        </w:trPr>
        <w:tc>
          <w:tcPr>
            <w:tcW w:w="2323" w:type="dxa"/>
            <w:tcBorders>
              <w:top w:val="single" w:color="000000" w:sz="4" w:space="0"/>
              <w:left w:val="single" w:color="000000" w:sz="4" w:space="0"/>
              <w:bottom w:val="single" w:color="000000" w:sz="4" w:space="0"/>
              <w:right w:val="single" w:color="000000" w:sz="4" w:space="0"/>
            </w:tcBorders>
            <w:noWrap w:val="0"/>
            <w:vAlign w:val="center"/>
          </w:tcPr>
          <w:p w14:paraId="491CAC4A">
            <w:pPr>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监督抽检（专项）</w:t>
            </w:r>
          </w:p>
        </w:tc>
        <w:tc>
          <w:tcPr>
            <w:tcW w:w="9610" w:type="dxa"/>
            <w:gridSpan w:val="13"/>
            <w:tcBorders>
              <w:top w:val="single" w:color="000000" w:sz="4" w:space="0"/>
              <w:left w:val="single" w:color="000000" w:sz="4" w:space="0"/>
              <w:bottom w:val="single" w:color="000000" w:sz="4" w:space="0"/>
              <w:right w:val="single" w:color="000000" w:sz="4" w:space="0"/>
            </w:tcBorders>
            <w:noWrap w:val="0"/>
            <w:vAlign w:val="center"/>
          </w:tcPr>
          <w:p w14:paraId="4FE9CE3F">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bCs/>
                <w:kern w:val="0"/>
                <w:sz w:val="21"/>
                <w:szCs w:val="21"/>
                <w:lang w:bidi="ar"/>
              </w:rPr>
              <w:t>全  省</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14:paraId="315B928B">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3000</w:t>
            </w:r>
          </w:p>
        </w:tc>
      </w:tr>
      <w:tr w14:paraId="70B53D60">
        <w:tblPrEx>
          <w:tblCellMar>
            <w:top w:w="0" w:type="dxa"/>
            <w:left w:w="108" w:type="dxa"/>
            <w:bottom w:w="0" w:type="dxa"/>
            <w:right w:w="108" w:type="dxa"/>
          </w:tblCellMar>
        </w:tblPrEx>
        <w:trPr>
          <w:trHeight w:val="549" w:hRule="atLeast"/>
          <w:jc w:val="center"/>
        </w:trPr>
        <w:tc>
          <w:tcPr>
            <w:tcW w:w="2323" w:type="dxa"/>
            <w:tcBorders>
              <w:top w:val="single" w:color="000000" w:sz="4" w:space="0"/>
              <w:left w:val="single" w:color="000000" w:sz="4" w:space="0"/>
              <w:bottom w:val="single" w:color="000000" w:sz="4" w:space="0"/>
              <w:right w:val="single" w:color="000000" w:sz="4" w:space="0"/>
            </w:tcBorders>
            <w:noWrap w:val="0"/>
            <w:vAlign w:val="center"/>
          </w:tcPr>
          <w:p w14:paraId="7BE86173">
            <w:pPr>
              <w:jc w:val="center"/>
              <w:textAlignment w:val="center"/>
              <w:rPr>
                <w:rFonts w:hint="eastAsia" w:ascii="宋体" w:hAnsi="宋体" w:eastAsia="宋体" w:cs="宋体"/>
                <w:b/>
                <w:bCs w:val="0"/>
                <w:kern w:val="0"/>
                <w:sz w:val="21"/>
                <w:szCs w:val="21"/>
                <w:lang w:bidi="ar"/>
              </w:rPr>
            </w:pPr>
            <w:r>
              <w:rPr>
                <w:rFonts w:hint="eastAsia" w:ascii="宋体" w:hAnsi="宋体" w:eastAsia="宋体" w:cs="宋体"/>
                <w:b/>
                <w:bCs w:val="0"/>
                <w:kern w:val="0"/>
                <w:sz w:val="21"/>
                <w:szCs w:val="21"/>
                <w:lang w:bidi="ar"/>
              </w:rPr>
              <w:t>风险抽检</w:t>
            </w:r>
          </w:p>
        </w:tc>
        <w:tc>
          <w:tcPr>
            <w:tcW w:w="718" w:type="dxa"/>
            <w:tcBorders>
              <w:top w:val="single" w:color="000000" w:sz="4" w:space="0"/>
              <w:left w:val="single" w:color="000000" w:sz="4" w:space="0"/>
              <w:bottom w:val="single" w:color="000000" w:sz="4" w:space="0"/>
              <w:right w:val="single" w:color="000000" w:sz="4" w:space="0"/>
            </w:tcBorders>
            <w:noWrap w:val="0"/>
            <w:vAlign w:val="center"/>
          </w:tcPr>
          <w:p w14:paraId="6BFD9144">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720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758F317A">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625</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7BCF9ECC">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750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0B105A5A">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610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02F4190">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805</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48E5759D">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630</w:t>
            </w:r>
          </w:p>
        </w:tc>
        <w:tc>
          <w:tcPr>
            <w:tcW w:w="949" w:type="dxa"/>
            <w:tcBorders>
              <w:top w:val="single" w:color="000000" w:sz="4" w:space="0"/>
              <w:left w:val="single" w:color="000000" w:sz="4" w:space="0"/>
              <w:bottom w:val="single" w:color="000000" w:sz="4" w:space="0"/>
              <w:right w:val="single" w:color="000000" w:sz="4" w:space="0"/>
            </w:tcBorders>
            <w:noWrap w:val="0"/>
            <w:vAlign w:val="center"/>
          </w:tcPr>
          <w:p w14:paraId="5C608643">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630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3701107">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590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F73F7AB">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2C001FBF">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600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570682A0">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550</w:t>
            </w:r>
          </w:p>
        </w:tc>
        <w:tc>
          <w:tcPr>
            <w:tcW w:w="719" w:type="dxa"/>
            <w:tcBorders>
              <w:top w:val="single" w:color="000000" w:sz="4" w:space="0"/>
              <w:left w:val="single" w:color="000000" w:sz="4" w:space="0"/>
              <w:bottom w:val="single" w:color="000000" w:sz="4" w:space="0"/>
              <w:right w:val="single" w:color="000000" w:sz="4" w:space="0"/>
            </w:tcBorders>
            <w:noWrap w:val="0"/>
            <w:vAlign w:val="center"/>
          </w:tcPr>
          <w:p w14:paraId="16131C60">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640</w:t>
            </w:r>
          </w:p>
        </w:tc>
        <w:tc>
          <w:tcPr>
            <w:tcW w:w="753" w:type="dxa"/>
            <w:tcBorders>
              <w:top w:val="single" w:color="000000" w:sz="4" w:space="0"/>
              <w:left w:val="single" w:color="000000" w:sz="4" w:space="0"/>
              <w:bottom w:val="single" w:color="000000" w:sz="4" w:space="0"/>
              <w:right w:val="single" w:color="000000" w:sz="4" w:space="0"/>
            </w:tcBorders>
            <w:noWrap w:val="0"/>
            <w:vAlign w:val="center"/>
          </w:tcPr>
          <w:p w14:paraId="56680DE4">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610</w:t>
            </w:r>
          </w:p>
        </w:tc>
        <w:tc>
          <w:tcPr>
            <w:tcW w:w="914" w:type="dxa"/>
            <w:tcBorders>
              <w:top w:val="single" w:color="000000" w:sz="4" w:space="0"/>
              <w:left w:val="single" w:color="000000" w:sz="4" w:space="0"/>
              <w:bottom w:val="single" w:color="000000" w:sz="4" w:space="0"/>
              <w:right w:val="single" w:color="000000" w:sz="4" w:space="0"/>
            </w:tcBorders>
            <w:noWrap w:val="0"/>
            <w:vAlign w:val="center"/>
          </w:tcPr>
          <w:p w14:paraId="1B367F2F">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color w:val="000000"/>
                <w:kern w:val="0"/>
                <w:sz w:val="21"/>
                <w:szCs w:val="21"/>
                <w:lang w:bidi="ar"/>
              </w:rPr>
              <w:t>8400</w:t>
            </w:r>
          </w:p>
        </w:tc>
      </w:tr>
      <w:tr w14:paraId="5090816F">
        <w:tblPrEx>
          <w:tblCellMar>
            <w:top w:w="0" w:type="dxa"/>
            <w:left w:w="108" w:type="dxa"/>
            <w:bottom w:w="0" w:type="dxa"/>
            <w:right w:w="108" w:type="dxa"/>
          </w:tblCellMar>
        </w:tblPrEx>
        <w:trPr>
          <w:trHeight w:val="565" w:hRule="atLeast"/>
          <w:jc w:val="center"/>
        </w:trPr>
        <w:tc>
          <w:tcPr>
            <w:tcW w:w="11933" w:type="dxa"/>
            <w:gridSpan w:val="14"/>
            <w:tcBorders>
              <w:top w:val="single" w:color="000000" w:sz="4" w:space="0"/>
              <w:left w:val="single" w:color="000000" w:sz="4" w:space="0"/>
              <w:bottom w:val="single" w:color="000000" w:sz="4" w:space="0"/>
              <w:right w:val="single" w:color="000000" w:sz="4" w:space="0"/>
            </w:tcBorders>
            <w:noWrap w:val="0"/>
            <w:vAlign w:val="center"/>
          </w:tcPr>
          <w:p w14:paraId="24197356">
            <w:pPr>
              <w:jc w:val="center"/>
              <w:textAlignment w:val="center"/>
              <w:rPr>
                <w:rFonts w:hint="eastAsia" w:ascii="宋体" w:hAnsi="宋体" w:eastAsia="宋体" w:cs="宋体"/>
                <w:bCs/>
                <w:sz w:val="21"/>
                <w:szCs w:val="21"/>
              </w:rPr>
            </w:pPr>
            <w:r>
              <w:rPr>
                <w:rFonts w:hint="eastAsia" w:ascii="宋体" w:hAnsi="宋体" w:eastAsia="宋体" w:cs="宋体"/>
                <w:bCs/>
                <w:kern w:val="0"/>
                <w:sz w:val="21"/>
                <w:szCs w:val="21"/>
                <w:lang w:bidi="ar"/>
              </w:rPr>
              <w:t>合   计</w:t>
            </w:r>
          </w:p>
        </w:tc>
        <w:tc>
          <w:tcPr>
            <w:tcW w:w="914" w:type="dxa"/>
            <w:tcBorders>
              <w:top w:val="nil"/>
              <w:left w:val="nil"/>
              <w:bottom w:val="single" w:color="000000" w:sz="4" w:space="0"/>
              <w:right w:val="single" w:color="000000" w:sz="4" w:space="0"/>
            </w:tcBorders>
            <w:noWrap w:val="0"/>
            <w:vAlign w:val="center"/>
          </w:tcPr>
          <w:p w14:paraId="245BF54E">
            <w:pPr>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18600</w:t>
            </w:r>
          </w:p>
        </w:tc>
      </w:tr>
    </w:tbl>
    <w:p w14:paraId="44BFA5B2"/>
    <w:p w14:paraId="6F1BB0BC">
      <w:pPr>
        <w:rPr>
          <w:rFonts w:eastAsia="方正小标宋_GBK"/>
          <w:sz w:val="44"/>
          <w:szCs w:val="44"/>
        </w:rPr>
      </w:pPr>
    </w:p>
    <w:p w14:paraId="020C8CFD">
      <w:pPr>
        <w:pStyle w:val="15"/>
        <w:ind w:left="1260"/>
        <w:sectPr>
          <w:footerReference r:id="rId10" w:type="default"/>
          <w:pgSz w:w="16838" w:h="11911" w:orient="landscape"/>
          <w:pgMar w:top="1803" w:right="1440" w:bottom="1803" w:left="1440" w:header="720" w:footer="720" w:gutter="0"/>
          <w:pgNumType w:fmt="decimal"/>
          <w:cols w:space="0" w:num="1"/>
          <w:rtlGutter w:val="0"/>
          <w:docGrid w:linePitch="317" w:charSpace="0"/>
        </w:sectPr>
      </w:pPr>
    </w:p>
    <w:p w14:paraId="50FAB211">
      <w:pPr>
        <w:adjustRightInd w:val="0"/>
        <w:snapToGrid w:val="0"/>
        <w:spacing w:line="590" w:lineRule="exact"/>
        <w:jc w:val="center"/>
        <w:rPr>
          <w:rFonts w:eastAsia="方正小标宋_GBK"/>
          <w:b/>
          <w:bCs/>
          <w:sz w:val="21"/>
          <w:szCs w:val="21"/>
        </w:rPr>
      </w:pPr>
      <w:r>
        <w:rPr>
          <w:rFonts w:hint="eastAsia" w:ascii="宋体" w:hAnsi="宋体" w:eastAsia="宋体" w:cs="宋体"/>
          <w:b/>
          <w:bCs/>
          <w:sz w:val="21"/>
          <w:szCs w:val="21"/>
          <w:lang w:val="en-US" w:eastAsia="zh-CN"/>
        </w:rPr>
        <w:t xml:space="preserve">2-2 </w:t>
      </w:r>
      <w:r>
        <w:rPr>
          <w:rFonts w:hint="eastAsia" w:ascii="宋体" w:hAnsi="宋体" w:eastAsia="宋体" w:cs="宋体"/>
          <w:b/>
          <w:bCs/>
          <w:sz w:val="21"/>
          <w:szCs w:val="21"/>
        </w:rPr>
        <w:t>2026年省级食品安全抽检技术服务（第一批）分包计划表</w:t>
      </w:r>
    </w:p>
    <w:tbl>
      <w:tblPr>
        <w:tblStyle w:val="34"/>
        <w:tblW w:w="9299" w:type="dxa"/>
        <w:jc w:val="center"/>
        <w:tblLayout w:type="fixed"/>
        <w:tblCellMar>
          <w:top w:w="0" w:type="dxa"/>
          <w:left w:w="108" w:type="dxa"/>
          <w:bottom w:w="0" w:type="dxa"/>
          <w:right w:w="108" w:type="dxa"/>
        </w:tblCellMar>
      </w:tblPr>
      <w:tblGrid>
        <w:gridCol w:w="814"/>
        <w:gridCol w:w="6201"/>
        <w:gridCol w:w="979"/>
        <w:gridCol w:w="1305"/>
      </w:tblGrid>
      <w:tr w14:paraId="79F6D392">
        <w:tblPrEx>
          <w:tblCellMar>
            <w:top w:w="0" w:type="dxa"/>
            <w:left w:w="108" w:type="dxa"/>
            <w:bottom w:w="0" w:type="dxa"/>
            <w:right w:w="108" w:type="dxa"/>
          </w:tblCellMar>
        </w:tblPrEx>
        <w:trPr>
          <w:trHeight w:val="900" w:hRule="atLeast"/>
          <w:tblHeader/>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782CEE40">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分包</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6C2ABD1C">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采购内容（抽检地区及类型）</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44E0B1DB">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批次</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7A17B62A">
            <w:pPr>
              <w:spacing w:line="320" w:lineRule="exact"/>
              <w:jc w:val="center"/>
              <w:textAlignment w:val="center"/>
              <w:rPr>
                <w:rFonts w:hint="eastAsia" w:ascii="宋体" w:hAnsi="宋体" w:eastAsia="宋体" w:cs="宋体"/>
                <w:b/>
                <w:bCs w:val="0"/>
                <w:sz w:val="21"/>
                <w:szCs w:val="21"/>
              </w:rPr>
            </w:pPr>
            <w:r>
              <w:rPr>
                <w:rFonts w:hint="eastAsia" w:ascii="宋体" w:hAnsi="宋体" w:eastAsia="宋体" w:cs="宋体"/>
                <w:b/>
                <w:bCs w:val="0"/>
                <w:kern w:val="0"/>
                <w:sz w:val="21"/>
                <w:szCs w:val="21"/>
                <w:lang w:bidi="ar"/>
              </w:rPr>
              <w:t>采购金额</w:t>
            </w:r>
            <w:r>
              <w:rPr>
                <w:rFonts w:hint="eastAsia" w:ascii="宋体" w:hAnsi="宋体" w:eastAsia="宋体" w:cs="宋体"/>
                <w:b/>
                <w:bCs w:val="0"/>
                <w:kern w:val="0"/>
                <w:sz w:val="21"/>
                <w:szCs w:val="21"/>
                <w:lang w:bidi="ar"/>
              </w:rPr>
              <w:br w:type="textWrapping"/>
            </w:r>
            <w:r>
              <w:rPr>
                <w:rFonts w:hint="eastAsia" w:ascii="宋体" w:hAnsi="宋体" w:eastAsia="宋体" w:cs="宋体"/>
                <w:b/>
                <w:bCs w:val="0"/>
                <w:kern w:val="0"/>
                <w:sz w:val="21"/>
                <w:szCs w:val="21"/>
                <w:lang w:bidi="ar"/>
              </w:rPr>
              <w:t>（万元）</w:t>
            </w:r>
          </w:p>
        </w:tc>
      </w:tr>
      <w:tr w14:paraId="6D3C7360">
        <w:tblPrEx>
          <w:tblCellMar>
            <w:top w:w="0" w:type="dxa"/>
            <w:left w:w="108" w:type="dxa"/>
            <w:bottom w:w="0" w:type="dxa"/>
            <w:right w:w="108" w:type="dxa"/>
          </w:tblCellMar>
        </w:tblPrEx>
        <w:trPr>
          <w:trHeight w:val="788"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1E44A5D6">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799B8E13">
            <w:pPr>
              <w:widowControl/>
              <w:spacing w:line="320" w:lineRule="exact"/>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苏州监督抽检751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；风险抽检805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；校园专项650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2C133CD9">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2206</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00EF33F4">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373.975</w:t>
            </w:r>
          </w:p>
        </w:tc>
      </w:tr>
      <w:tr w14:paraId="25BE4C5B">
        <w:tblPrEx>
          <w:tblCellMar>
            <w:top w:w="0" w:type="dxa"/>
            <w:left w:w="108" w:type="dxa"/>
            <w:bottom w:w="0" w:type="dxa"/>
            <w:right w:w="108" w:type="dxa"/>
          </w:tblCellMar>
        </w:tblPrEx>
        <w:trPr>
          <w:trHeight w:val="746"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593AA70E">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包2</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7C59C7B3">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徐州监督抽检648</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；风险抽检750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；校园专项650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65EBEAC8">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2048</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D7A7307">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347.15</w:t>
            </w:r>
          </w:p>
        </w:tc>
      </w:tr>
      <w:tr w14:paraId="36BE5E7E">
        <w:tblPrEx>
          <w:tblCellMar>
            <w:top w:w="0" w:type="dxa"/>
            <w:left w:w="108" w:type="dxa"/>
            <w:bottom w:w="0" w:type="dxa"/>
            <w:right w:w="108" w:type="dxa"/>
          </w:tblCellMar>
        </w:tblPrEx>
        <w:trPr>
          <w:trHeight w:val="705"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1EC16353">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包3</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0EC8142C">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南京监督抽检648</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；风险抽检720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；外卖餐饮专项500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3EA16164">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1868</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E8816EA">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316.1</w:t>
            </w:r>
          </w:p>
        </w:tc>
      </w:tr>
      <w:tr w14:paraId="63367155">
        <w:tblPrEx>
          <w:tblCellMar>
            <w:top w:w="0" w:type="dxa"/>
            <w:left w:w="108" w:type="dxa"/>
            <w:bottom w:w="0" w:type="dxa"/>
            <w:right w:w="108" w:type="dxa"/>
          </w:tblCellMar>
        </w:tblPrEx>
        <w:trPr>
          <w:trHeight w:val="778"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5C40818F">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包4</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57C5140A">
            <w:pPr>
              <w:widowControl/>
              <w:spacing w:line="320" w:lineRule="exact"/>
              <w:jc w:val="left"/>
              <w:textAlignment w:val="center"/>
              <w:rPr>
                <w:rFonts w:hint="eastAsia" w:ascii="宋体" w:hAnsi="宋体" w:eastAsia="宋体" w:cs="宋体"/>
                <w:b w:val="0"/>
                <w:bCs/>
                <w:color w:val="000000"/>
                <w:kern w:val="0"/>
                <w:sz w:val="21"/>
                <w:szCs w:val="21"/>
                <w:lang w:bidi="ar"/>
              </w:rPr>
            </w:pPr>
            <w:r>
              <w:rPr>
                <w:rFonts w:hint="eastAsia" w:ascii="宋体" w:hAnsi="宋体" w:eastAsia="宋体" w:cs="宋体"/>
                <w:b w:val="0"/>
                <w:bCs/>
                <w:sz w:val="21"/>
                <w:szCs w:val="21"/>
              </w:rPr>
              <w:t>南通监督抽检645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；风险抽检630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；网络直播带货专项500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5DE5A37C">
            <w:pPr>
              <w:widowControl/>
              <w:spacing w:line="320" w:lineRule="exact"/>
              <w:jc w:val="center"/>
              <w:textAlignment w:val="center"/>
              <w:rPr>
                <w:rFonts w:hint="eastAsia" w:ascii="宋体" w:hAnsi="宋体" w:eastAsia="宋体" w:cs="宋体"/>
                <w:b w:val="0"/>
                <w:bCs/>
                <w:color w:val="000000"/>
                <w:kern w:val="0"/>
                <w:sz w:val="21"/>
                <w:szCs w:val="21"/>
                <w:lang w:bidi="ar"/>
              </w:rPr>
            </w:pPr>
            <w:r>
              <w:rPr>
                <w:rFonts w:hint="eastAsia" w:ascii="宋体" w:hAnsi="宋体" w:eastAsia="宋体" w:cs="宋体"/>
                <w:b w:val="0"/>
                <w:bCs/>
                <w:color w:val="000000"/>
                <w:kern w:val="0"/>
                <w:sz w:val="21"/>
                <w:szCs w:val="21"/>
                <w:lang w:bidi="ar"/>
              </w:rPr>
              <w:t>1775</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3B5A718">
            <w:pPr>
              <w:widowControl/>
              <w:spacing w:line="320" w:lineRule="exact"/>
              <w:jc w:val="center"/>
              <w:textAlignment w:val="center"/>
              <w:rPr>
                <w:rFonts w:hint="eastAsia" w:ascii="宋体" w:hAnsi="宋体" w:eastAsia="宋体" w:cs="宋体"/>
                <w:b w:val="0"/>
                <w:bCs/>
                <w:color w:val="000000"/>
                <w:kern w:val="0"/>
                <w:sz w:val="21"/>
                <w:szCs w:val="21"/>
                <w:lang w:bidi="ar"/>
              </w:rPr>
            </w:pPr>
            <w:r>
              <w:rPr>
                <w:rFonts w:hint="eastAsia" w:ascii="宋体" w:hAnsi="宋体" w:eastAsia="宋体" w:cs="宋体"/>
                <w:b w:val="0"/>
                <w:bCs/>
                <w:color w:val="000000"/>
                <w:kern w:val="0"/>
                <w:sz w:val="21"/>
                <w:szCs w:val="21"/>
                <w:lang w:bidi="ar"/>
              </w:rPr>
              <w:t>301.175</w:t>
            </w:r>
          </w:p>
        </w:tc>
      </w:tr>
      <w:tr w14:paraId="3F244376">
        <w:tblPrEx>
          <w:tblCellMar>
            <w:top w:w="0" w:type="dxa"/>
            <w:left w:w="108" w:type="dxa"/>
            <w:bottom w:w="0" w:type="dxa"/>
            <w:right w:w="108" w:type="dxa"/>
          </w:tblCellMar>
        </w:tblPrEx>
        <w:trPr>
          <w:trHeight w:val="765"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6F7B1BEA">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包5</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3CA8B512">
            <w:pPr>
              <w:widowControl/>
              <w:spacing w:line="320" w:lineRule="exact"/>
              <w:jc w:val="left"/>
              <w:textAlignment w:val="center"/>
              <w:rPr>
                <w:rFonts w:hint="eastAsia" w:ascii="宋体" w:hAnsi="宋体" w:eastAsia="宋体" w:cs="宋体"/>
                <w:b w:val="0"/>
                <w:bCs/>
                <w:sz w:val="21"/>
                <w:szCs w:val="21"/>
              </w:rPr>
            </w:pPr>
            <w:r>
              <w:rPr>
                <w:rFonts w:hint="eastAsia" w:ascii="宋体" w:hAnsi="宋体" w:eastAsia="宋体" w:cs="宋体"/>
                <w:b w:val="0"/>
                <w:bCs/>
                <w:sz w:val="21"/>
                <w:szCs w:val="21"/>
              </w:rPr>
              <w:t>无锡监督抽检557</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；风险抽检625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；节日专项500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07642EF4">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1682</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25F7292">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284.975</w:t>
            </w:r>
          </w:p>
        </w:tc>
      </w:tr>
      <w:tr w14:paraId="636E3B47">
        <w:tblPrEx>
          <w:tblCellMar>
            <w:top w:w="0" w:type="dxa"/>
            <w:left w:w="108" w:type="dxa"/>
            <w:bottom w:w="0" w:type="dxa"/>
            <w:right w:w="108" w:type="dxa"/>
          </w:tblCellMar>
        </w:tblPrEx>
        <w:trPr>
          <w:trHeight w:val="724"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323DA008">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包6</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07BF03EF">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泰州监督抽检510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；风险抽检640</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；肉制品专项200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6B4B9EE3">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1350</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6A2CAFD2">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226.65</w:t>
            </w:r>
          </w:p>
        </w:tc>
      </w:tr>
      <w:tr w14:paraId="5D673585">
        <w:tblPrEx>
          <w:tblCellMar>
            <w:top w:w="0" w:type="dxa"/>
            <w:left w:w="108" w:type="dxa"/>
            <w:bottom w:w="0" w:type="dxa"/>
            <w:right w:w="108" w:type="dxa"/>
          </w:tblCellMar>
        </w:tblPrEx>
        <w:trPr>
          <w:trHeight w:val="842"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78377327">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包7</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1D287FF7">
            <w:pPr>
              <w:pStyle w:val="15"/>
              <w:ind w:left="0" w:leftChars="0"/>
              <w:rPr>
                <w:rFonts w:hint="eastAsia" w:ascii="宋体" w:hAnsi="宋体" w:eastAsia="宋体" w:cs="宋体"/>
                <w:b w:val="0"/>
                <w:bCs/>
                <w:sz w:val="21"/>
                <w:szCs w:val="21"/>
              </w:rPr>
            </w:pPr>
            <w:r>
              <w:rPr>
                <w:rFonts w:hint="eastAsia" w:ascii="宋体" w:hAnsi="宋体" w:eastAsia="宋体" w:cs="宋体"/>
                <w:b w:val="0"/>
                <w:bCs/>
                <w:sz w:val="21"/>
                <w:szCs w:val="21"/>
              </w:rPr>
              <w:t>盐城监督抽检505</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；风险抽检640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17C3E516">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1145</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1A1349E1">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190.775</w:t>
            </w:r>
          </w:p>
        </w:tc>
      </w:tr>
      <w:tr w14:paraId="055086B3">
        <w:tblPrEx>
          <w:tblCellMar>
            <w:top w:w="0" w:type="dxa"/>
            <w:left w:w="108" w:type="dxa"/>
            <w:bottom w:w="0" w:type="dxa"/>
            <w:right w:w="108" w:type="dxa"/>
          </w:tblCellMar>
        </w:tblPrEx>
        <w:trPr>
          <w:trHeight w:val="689"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0D713B78">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包8</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76B0DF9B">
            <w:pPr>
              <w:widowControl/>
              <w:spacing w:line="320" w:lineRule="exact"/>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常州监督抽检531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；风险抽检610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66661547">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1141</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691A4C1">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190.525</w:t>
            </w:r>
          </w:p>
        </w:tc>
      </w:tr>
      <w:tr w14:paraId="7F09A886">
        <w:tblPrEx>
          <w:tblCellMar>
            <w:top w:w="0" w:type="dxa"/>
            <w:left w:w="108" w:type="dxa"/>
            <w:bottom w:w="0" w:type="dxa"/>
            <w:right w:w="108" w:type="dxa"/>
          </w:tblCellMar>
        </w:tblPrEx>
        <w:trPr>
          <w:trHeight w:val="892"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4BAA2B69">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包9</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2A76654F">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连云港监督抽检496</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；风险抽检630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1987698B">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1126</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B863E7C">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187.6</w:t>
            </w:r>
          </w:p>
        </w:tc>
      </w:tr>
      <w:tr w14:paraId="5864C8C3">
        <w:tblPrEx>
          <w:tblCellMar>
            <w:top w:w="0" w:type="dxa"/>
            <w:left w:w="108" w:type="dxa"/>
            <w:bottom w:w="0" w:type="dxa"/>
            <w:right w:w="108" w:type="dxa"/>
          </w:tblCellMar>
        </w:tblPrEx>
        <w:trPr>
          <w:trHeight w:val="832"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5DC738BF">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包10</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582F80CD">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扬州监督抽检491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；风险抽检600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12EF4C17">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1091</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46DB4CA1">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181.925</w:t>
            </w:r>
          </w:p>
        </w:tc>
      </w:tr>
      <w:tr w14:paraId="5077DDDA">
        <w:tblPrEx>
          <w:tblCellMar>
            <w:top w:w="0" w:type="dxa"/>
            <w:left w:w="108" w:type="dxa"/>
            <w:bottom w:w="0" w:type="dxa"/>
            <w:right w:w="108" w:type="dxa"/>
          </w:tblCellMar>
        </w:tblPrEx>
        <w:trPr>
          <w:trHeight w:val="903"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60EA8699">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包11</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3D007608">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宿迁监督抽检481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；风险抽检610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36AE13F4">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1091</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519B3808">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181.775</w:t>
            </w:r>
          </w:p>
        </w:tc>
      </w:tr>
      <w:tr w14:paraId="5FFEAA26">
        <w:tblPrEx>
          <w:tblCellMar>
            <w:top w:w="0" w:type="dxa"/>
            <w:left w:w="108" w:type="dxa"/>
            <w:bottom w:w="0" w:type="dxa"/>
            <w:right w:w="108" w:type="dxa"/>
          </w:tblCellMar>
        </w:tblPrEx>
        <w:trPr>
          <w:trHeight w:val="882"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76F1ED6B">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包12</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2D264748">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淮安监督抽检491</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；风险抽检590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72FF7B8D">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1081</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0292EDF9">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180.325</w:t>
            </w:r>
          </w:p>
        </w:tc>
      </w:tr>
      <w:tr w14:paraId="0764D35A">
        <w:tblPrEx>
          <w:tblCellMar>
            <w:top w:w="0" w:type="dxa"/>
            <w:left w:w="108" w:type="dxa"/>
            <w:bottom w:w="0" w:type="dxa"/>
            <w:right w:w="108" w:type="dxa"/>
          </w:tblCellMar>
        </w:tblPrEx>
        <w:trPr>
          <w:trHeight w:val="833" w:hRule="atLeast"/>
          <w:jc w:val="center"/>
        </w:trPr>
        <w:tc>
          <w:tcPr>
            <w:tcW w:w="814" w:type="dxa"/>
            <w:tcBorders>
              <w:top w:val="single" w:color="000000" w:sz="4" w:space="0"/>
              <w:left w:val="single" w:color="000000" w:sz="4" w:space="0"/>
              <w:bottom w:val="single" w:color="000000" w:sz="4" w:space="0"/>
              <w:right w:val="single" w:color="000000" w:sz="4" w:space="0"/>
            </w:tcBorders>
            <w:noWrap w:val="0"/>
            <w:vAlign w:val="center"/>
          </w:tcPr>
          <w:p w14:paraId="17F6014E">
            <w:pPr>
              <w:widowControl/>
              <w:spacing w:line="320" w:lineRule="exact"/>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color w:val="000000"/>
                <w:kern w:val="0"/>
                <w:sz w:val="21"/>
                <w:szCs w:val="21"/>
                <w:lang w:bidi="ar"/>
              </w:rPr>
              <w:t>包13</w:t>
            </w:r>
          </w:p>
        </w:tc>
        <w:tc>
          <w:tcPr>
            <w:tcW w:w="6201" w:type="dxa"/>
            <w:tcBorders>
              <w:top w:val="single" w:color="000000" w:sz="4" w:space="0"/>
              <w:left w:val="single" w:color="000000" w:sz="4" w:space="0"/>
              <w:bottom w:val="single" w:color="000000" w:sz="4" w:space="0"/>
              <w:right w:val="single" w:color="000000" w:sz="4" w:space="0"/>
            </w:tcBorders>
            <w:noWrap w:val="0"/>
            <w:vAlign w:val="center"/>
          </w:tcPr>
          <w:p w14:paraId="1E72595D">
            <w:pPr>
              <w:widowControl/>
              <w:jc w:val="left"/>
              <w:textAlignment w:val="center"/>
              <w:rPr>
                <w:rFonts w:hint="eastAsia" w:ascii="宋体" w:hAnsi="宋体" w:eastAsia="宋体" w:cs="宋体"/>
                <w:b w:val="0"/>
                <w:bCs/>
                <w:kern w:val="0"/>
                <w:sz w:val="21"/>
                <w:szCs w:val="21"/>
                <w:lang w:bidi="ar"/>
              </w:rPr>
            </w:pPr>
            <w:r>
              <w:rPr>
                <w:rFonts w:hint="eastAsia" w:ascii="宋体" w:hAnsi="宋体" w:eastAsia="宋体" w:cs="宋体"/>
                <w:b w:val="0"/>
                <w:bCs/>
                <w:sz w:val="21"/>
                <w:szCs w:val="21"/>
              </w:rPr>
              <w:t>镇江监督抽检446</w:t>
            </w:r>
            <w:r>
              <w:rPr>
                <w:rFonts w:hint="eastAsia" w:ascii="宋体" w:hAnsi="宋体" w:cs="宋体"/>
                <w:b w:val="0"/>
                <w:bCs/>
                <w:sz w:val="21"/>
                <w:szCs w:val="21"/>
                <w:lang w:val="en-US" w:eastAsia="zh-CN"/>
              </w:rPr>
              <w:t>批次</w:t>
            </w:r>
            <w:r>
              <w:rPr>
                <w:rFonts w:hint="eastAsia" w:ascii="宋体" w:hAnsi="宋体" w:eastAsia="宋体" w:cs="宋体"/>
                <w:b w:val="0"/>
                <w:bCs/>
                <w:sz w:val="21"/>
                <w:szCs w:val="21"/>
              </w:rPr>
              <w:t>；风险抽检550</w:t>
            </w:r>
            <w:r>
              <w:rPr>
                <w:rFonts w:hint="eastAsia" w:ascii="宋体" w:hAnsi="宋体" w:cs="宋体"/>
                <w:b w:val="0"/>
                <w:bCs/>
                <w:sz w:val="21"/>
                <w:szCs w:val="21"/>
                <w:lang w:val="en-US" w:eastAsia="zh-CN"/>
              </w:rPr>
              <w:t>批次</w:t>
            </w:r>
          </w:p>
        </w:tc>
        <w:tc>
          <w:tcPr>
            <w:tcW w:w="979" w:type="dxa"/>
            <w:tcBorders>
              <w:top w:val="single" w:color="000000" w:sz="4" w:space="0"/>
              <w:left w:val="single" w:color="000000" w:sz="4" w:space="0"/>
              <w:bottom w:val="single" w:color="000000" w:sz="4" w:space="0"/>
              <w:right w:val="single" w:color="000000" w:sz="4" w:space="0"/>
            </w:tcBorders>
            <w:noWrap w:val="0"/>
            <w:vAlign w:val="center"/>
          </w:tcPr>
          <w:p w14:paraId="30D19EB6">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996</w:t>
            </w:r>
          </w:p>
        </w:tc>
        <w:tc>
          <w:tcPr>
            <w:tcW w:w="1305" w:type="dxa"/>
            <w:tcBorders>
              <w:top w:val="single" w:color="000000" w:sz="4" w:space="0"/>
              <w:left w:val="single" w:color="000000" w:sz="4" w:space="0"/>
              <w:bottom w:val="single" w:color="000000" w:sz="4" w:space="0"/>
              <w:right w:val="single" w:color="000000" w:sz="4" w:space="0"/>
            </w:tcBorders>
            <w:noWrap w:val="0"/>
            <w:vAlign w:val="center"/>
          </w:tcPr>
          <w:p w14:paraId="3AC4D371">
            <w:pPr>
              <w:widowControl/>
              <w:jc w:val="center"/>
              <w:textAlignment w:val="center"/>
              <w:rPr>
                <w:rFonts w:hint="eastAsia" w:ascii="宋体" w:hAnsi="宋体" w:eastAsia="宋体" w:cs="宋体"/>
                <w:b w:val="0"/>
                <w:bCs/>
                <w:kern w:val="0"/>
                <w:sz w:val="21"/>
                <w:szCs w:val="21"/>
                <w:lang w:bidi="ar"/>
              </w:rPr>
            </w:pPr>
            <w:r>
              <w:rPr>
                <w:rFonts w:hint="eastAsia" w:ascii="宋体" w:hAnsi="宋体" w:eastAsia="宋体" w:cs="宋体"/>
                <w:b w:val="0"/>
                <w:bCs/>
                <w:kern w:val="0"/>
                <w:sz w:val="21"/>
                <w:szCs w:val="21"/>
                <w:lang w:bidi="ar"/>
              </w:rPr>
              <w:t>166.05</w:t>
            </w:r>
          </w:p>
        </w:tc>
      </w:tr>
    </w:tbl>
    <w:p w14:paraId="0889B9A7">
      <w:pPr>
        <w:rPr>
          <w:rFonts w:hint="eastAsia" w:ascii="方正仿宋_GBK" w:eastAsia="方正仿宋_GBK"/>
          <w:sz w:val="24"/>
          <w:szCs w:val="24"/>
        </w:rPr>
      </w:pPr>
    </w:p>
    <w:p w14:paraId="3D2CD2C5">
      <w:pPr>
        <w:rPr>
          <w:rFonts w:hint="eastAsia"/>
        </w:rPr>
      </w:pPr>
    </w:p>
    <w:p w14:paraId="04E14488">
      <w:pPr>
        <w:spacing w:line="360" w:lineRule="auto"/>
        <w:ind w:firstLine="0" w:firstLineChars="0"/>
        <w:rPr>
          <w:rFonts w:hint="eastAsia" w:ascii="宋体" w:hAnsi="宋体" w:cs="方正黑体_GBK"/>
          <w:b/>
          <w:color w:val="auto"/>
          <w:szCs w:val="21"/>
          <w:highlight w:val="none"/>
        </w:rPr>
        <w:sectPr>
          <w:pgSz w:w="11911" w:h="16838"/>
          <w:pgMar w:top="1440" w:right="1803" w:bottom="1440" w:left="1803" w:header="720" w:footer="720" w:gutter="0"/>
          <w:pgNumType w:fmt="decimal"/>
          <w:cols w:space="0" w:num="1"/>
          <w:rtlGutter w:val="0"/>
          <w:docGrid w:linePitch="317" w:charSpace="0"/>
        </w:sectPr>
      </w:pPr>
    </w:p>
    <w:p w14:paraId="23627F1B">
      <w:pPr>
        <w:widowControl/>
        <w:spacing w:line="560" w:lineRule="exact"/>
        <w:jc w:val="left"/>
        <w:outlineLvl w:val="1"/>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附件3</w:t>
      </w:r>
    </w:p>
    <w:p w14:paraId="5BDDE224">
      <w:pPr>
        <w:adjustRightInd w:val="0"/>
        <w:snapToGrid w:val="0"/>
        <w:spacing w:line="590" w:lineRule="exact"/>
        <w:ind w:left="1481" w:leftChars="304" w:hanging="843" w:hangingChars="400"/>
        <w:jc w:val="center"/>
        <w:rPr>
          <w:rFonts w:hint="eastAsia" w:ascii="宋体" w:hAnsi="宋体" w:eastAsia="宋体" w:cs="宋体"/>
          <w:b/>
          <w:bCs/>
          <w:i w:val="0"/>
          <w:iCs w:val="0"/>
          <w:sz w:val="21"/>
          <w:szCs w:val="21"/>
          <w:lang w:eastAsia="zh-CN"/>
        </w:rPr>
      </w:pPr>
      <w:r>
        <w:rPr>
          <w:rFonts w:hint="eastAsia" w:ascii="宋体" w:hAnsi="宋体" w:eastAsia="宋体" w:cs="宋体"/>
          <w:b/>
          <w:bCs/>
          <w:i w:val="0"/>
          <w:iCs w:val="0"/>
          <w:sz w:val="21"/>
          <w:szCs w:val="21"/>
          <w:lang w:val="en-US" w:eastAsia="zh-CN"/>
        </w:rPr>
        <w:t xml:space="preserve">3-1 </w:t>
      </w:r>
      <w:r>
        <w:rPr>
          <w:rFonts w:hint="eastAsia" w:ascii="宋体" w:hAnsi="宋体" w:eastAsia="宋体" w:cs="宋体"/>
          <w:b/>
          <w:bCs/>
          <w:i w:val="0"/>
          <w:iCs w:val="0"/>
          <w:sz w:val="21"/>
          <w:szCs w:val="21"/>
          <w:lang w:eastAsia="zh-CN"/>
        </w:rPr>
        <w:t>202</w:t>
      </w:r>
      <w:r>
        <w:rPr>
          <w:rFonts w:hint="eastAsia" w:ascii="宋体" w:hAnsi="宋体" w:eastAsia="宋体" w:cs="宋体"/>
          <w:b/>
          <w:bCs/>
          <w:i w:val="0"/>
          <w:iCs w:val="0"/>
          <w:sz w:val="21"/>
          <w:szCs w:val="21"/>
          <w:lang w:val="en-US" w:eastAsia="zh-CN"/>
        </w:rPr>
        <w:t>6</w:t>
      </w:r>
      <w:r>
        <w:rPr>
          <w:rFonts w:hint="eastAsia" w:ascii="宋体" w:hAnsi="宋体" w:eastAsia="宋体" w:cs="宋体"/>
          <w:b/>
          <w:bCs/>
          <w:i w:val="0"/>
          <w:iCs w:val="0"/>
          <w:sz w:val="21"/>
          <w:szCs w:val="21"/>
          <w:lang w:eastAsia="zh-CN"/>
        </w:rPr>
        <w:t>年</w:t>
      </w:r>
      <w:r>
        <w:rPr>
          <w:rFonts w:hint="eastAsia" w:ascii="宋体" w:hAnsi="宋体" w:eastAsia="宋体" w:cs="宋体"/>
          <w:b/>
          <w:bCs/>
          <w:i w:val="0"/>
          <w:iCs w:val="0"/>
          <w:sz w:val="21"/>
          <w:szCs w:val="21"/>
          <w:lang w:val="en-US" w:eastAsia="zh-CN"/>
        </w:rPr>
        <w:t>省级</w:t>
      </w:r>
      <w:r>
        <w:rPr>
          <w:rFonts w:hint="eastAsia" w:ascii="宋体" w:hAnsi="宋体" w:eastAsia="宋体" w:cs="宋体"/>
          <w:b/>
          <w:bCs/>
          <w:i w:val="0"/>
          <w:iCs w:val="0"/>
          <w:sz w:val="21"/>
          <w:szCs w:val="21"/>
          <w:lang w:eastAsia="zh-CN"/>
        </w:rPr>
        <w:t>食品安全监督抽检品种、项目表</w:t>
      </w:r>
    </w:p>
    <w:tbl>
      <w:tblPr>
        <w:tblStyle w:val="3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1"/>
        <w:gridCol w:w="1072"/>
        <w:gridCol w:w="1171"/>
        <w:gridCol w:w="1154"/>
        <w:gridCol w:w="1315"/>
        <w:gridCol w:w="635"/>
        <w:gridCol w:w="8170"/>
      </w:tblGrid>
      <w:tr w14:paraId="29C8A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tblHeader/>
          <w:jc w:val="center"/>
        </w:trPr>
        <w:tc>
          <w:tcPr>
            <w:tcW w:w="230" w:type="pct"/>
            <w:noWrap w:val="0"/>
            <w:vAlign w:val="center"/>
          </w:tcPr>
          <w:p w14:paraId="6A03B127">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序号</w:t>
            </w:r>
          </w:p>
        </w:tc>
        <w:tc>
          <w:tcPr>
            <w:tcW w:w="378" w:type="pct"/>
            <w:noWrap w:val="0"/>
            <w:vAlign w:val="center"/>
          </w:tcPr>
          <w:p w14:paraId="02BF9D52">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食品大类</w:t>
            </w:r>
            <w:r>
              <w:rPr>
                <w:rFonts w:hint="eastAsia" w:ascii="宋体" w:hAnsi="宋体" w:eastAsia="宋体" w:cs="宋体"/>
                <w:b/>
                <w:bCs/>
                <w:kern w:val="0"/>
                <w:sz w:val="21"/>
                <w:szCs w:val="21"/>
                <w:lang w:bidi="ar"/>
              </w:rPr>
              <w:br w:type="textWrapping"/>
            </w:r>
            <w:r>
              <w:rPr>
                <w:rFonts w:hint="eastAsia" w:ascii="宋体" w:hAnsi="宋体" w:eastAsia="宋体" w:cs="宋体"/>
                <w:b/>
                <w:bCs/>
                <w:kern w:val="0"/>
                <w:sz w:val="21"/>
                <w:szCs w:val="21"/>
                <w:lang w:bidi="ar"/>
              </w:rPr>
              <w:t>（一级）</w:t>
            </w:r>
          </w:p>
        </w:tc>
        <w:tc>
          <w:tcPr>
            <w:tcW w:w="413" w:type="pct"/>
            <w:noWrap w:val="0"/>
            <w:vAlign w:val="center"/>
          </w:tcPr>
          <w:p w14:paraId="774CB322">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食品亚类</w:t>
            </w:r>
            <w:r>
              <w:rPr>
                <w:rFonts w:hint="eastAsia" w:ascii="宋体" w:hAnsi="宋体" w:eastAsia="宋体" w:cs="宋体"/>
                <w:b/>
                <w:bCs/>
                <w:kern w:val="0"/>
                <w:sz w:val="21"/>
                <w:szCs w:val="21"/>
                <w:lang w:bidi="ar"/>
              </w:rPr>
              <w:br w:type="textWrapping"/>
            </w:r>
            <w:r>
              <w:rPr>
                <w:rFonts w:hint="eastAsia" w:ascii="宋体" w:hAnsi="宋体" w:eastAsia="宋体" w:cs="宋体"/>
                <w:b/>
                <w:bCs/>
                <w:kern w:val="0"/>
                <w:sz w:val="21"/>
                <w:szCs w:val="21"/>
                <w:lang w:bidi="ar"/>
              </w:rPr>
              <w:t>（二级）</w:t>
            </w:r>
          </w:p>
        </w:tc>
        <w:tc>
          <w:tcPr>
            <w:tcW w:w="407" w:type="pct"/>
            <w:noWrap w:val="0"/>
            <w:vAlign w:val="center"/>
          </w:tcPr>
          <w:p w14:paraId="69C8A8F9">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食品品种</w:t>
            </w:r>
            <w:r>
              <w:rPr>
                <w:rFonts w:hint="eastAsia" w:ascii="宋体" w:hAnsi="宋体" w:eastAsia="宋体" w:cs="宋体"/>
                <w:b/>
                <w:bCs/>
                <w:kern w:val="0"/>
                <w:sz w:val="21"/>
                <w:szCs w:val="21"/>
                <w:lang w:bidi="ar"/>
              </w:rPr>
              <w:br w:type="textWrapping"/>
            </w:r>
            <w:r>
              <w:rPr>
                <w:rFonts w:hint="eastAsia" w:ascii="宋体" w:hAnsi="宋体" w:eastAsia="宋体" w:cs="宋体"/>
                <w:b/>
                <w:bCs/>
                <w:kern w:val="0"/>
                <w:sz w:val="21"/>
                <w:szCs w:val="21"/>
                <w:lang w:bidi="ar"/>
              </w:rPr>
              <w:t>（三级）</w:t>
            </w:r>
          </w:p>
        </w:tc>
        <w:tc>
          <w:tcPr>
            <w:tcW w:w="464" w:type="pct"/>
            <w:noWrap w:val="0"/>
            <w:vAlign w:val="center"/>
          </w:tcPr>
          <w:p w14:paraId="62871DF1">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食品细类</w:t>
            </w:r>
            <w:r>
              <w:rPr>
                <w:rFonts w:hint="eastAsia" w:ascii="宋体" w:hAnsi="宋体" w:eastAsia="宋体" w:cs="宋体"/>
                <w:b/>
                <w:bCs/>
                <w:kern w:val="0"/>
                <w:sz w:val="21"/>
                <w:szCs w:val="21"/>
                <w:lang w:bidi="ar"/>
              </w:rPr>
              <w:br w:type="textWrapping"/>
            </w:r>
            <w:r>
              <w:rPr>
                <w:rFonts w:hint="eastAsia" w:ascii="宋体" w:hAnsi="宋体" w:eastAsia="宋体" w:cs="宋体"/>
                <w:b/>
                <w:bCs/>
                <w:kern w:val="0"/>
                <w:sz w:val="21"/>
                <w:szCs w:val="21"/>
                <w:lang w:bidi="ar"/>
              </w:rPr>
              <w:t>（四级）</w:t>
            </w:r>
          </w:p>
        </w:tc>
        <w:tc>
          <w:tcPr>
            <w:tcW w:w="224" w:type="pct"/>
            <w:noWrap w:val="0"/>
            <w:vAlign w:val="center"/>
          </w:tcPr>
          <w:p w14:paraId="22C1298D">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风险</w:t>
            </w:r>
            <w:r>
              <w:rPr>
                <w:rFonts w:hint="eastAsia" w:ascii="宋体" w:hAnsi="宋体" w:eastAsia="宋体" w:cs="宋体"/>
                <w:b/>
                <w:bCs/>
                <w:kern w:val="0"/>
                <w:sz w:val="21"/>
                <w:szCs w:val="21"/>
                <w:lang w:bidi="ar"/>
              </w:rPr>
              <w:br w:type="textWrapping"/>
            </w:r>
            <w:r>
              <w:rPr>
                <w:rFonts w:hint="eastAsia" w:ascii="宋体" w:hAnsi="宋体" w:eastAsia="宋体" w:cs="宋体"/>
                <w:b/>
                <w:bCs/>
                <w:kern w:val="0"/>
                <w:sz w:val="21"/>
                <w:szCs w:val="21"/>
                <w:lang w:bidi="ar"/>
              </w:rPr>
              <w:t>等级</w:t>
            </w:r>
          </w:p>
        </w:tc>
        <w:tc>
          <w:tcPr>
            <w:tcW w:w="2882" w:type="pct"/>
            <w:noWrap w:val="0"/>
            <w:vAlign w:val="center"/>
          </w:tcPr>
          <w:p w14:paraId="0CB4A40F">
            <w:pPr>
              <w:widowControl/>
              <w:spacing w:line="230" w:lineRule="exact"/>
              <w:jc w:val="center"/>
              <w:textAlignment w:val="center"/>
              <w:rPr>
                <w:rFonts w:hint="eastAsia" w:ascii="宋体" w:hAnsi="宋体" w:eastAsia="宋体" w:cs="宋体"/>
                <w:b/>
                <w:bCs/>
                <w:sz w:val="21"/>
                <w:szCs w:val="21"/>
              </w:rPr>
            </w:pPr>
            <w:r>
              <w:rPr>
                <w:rFonts w:hint="eastAsia" w:ascii="宋体" w:hAnsi="宋体" w:eastAsia="宋体" w:cs="宋体"/>
                <w:b/>
                <w:bCs/>
                <w:kern w:val="0"/>
                <w:sz w:val="21"/>
                <w:szCs w:val="21"/>
                <w:lang w:bidi="ar"/>
              </w:rPr>
              <w:t>抽检项目</w:t>
            </w:r>
          </w:p>
        </w:tc>
      </w:tr>
      <w:tr w14:paraId="62A36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230" w:type="pct"/>
            <w:vMerge w:val="restart"/>
            <w:noWrap w:val="0"/>
            <w:vAlign w:val="center"/>
          </w:tcPr>
          <w:p w14:paraId="41F97C8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w:t>
            </w:r>
          </w:p>
          <w:p w14:paraId="06849BEA">
            <w:pPr>
              <w:widowControl/>
              <w:spacing w:line="230" w:lineRule="exact"/>
              <w:jc w:val="center"/>
              <w:textAlignment w:val="center"/>
              <w:rPr>
                <w:rFonts w:hint="eastAsia" w:ascii="宋体" w:hAnsi="宋体" w:eastAsia="宋体" w:cs="宋体"/>
                <w:sz w:val="21"/>
                <w:szCs w:val="21"/>
              </w:rPr>
            </w:pPr>
          </w:p>
        </w:tc>
        <w:tc>
          <w:tcPr>
            <w:tcW w:w="378" w:type="pct"/>
            <w:vMerge w:val="restart"/>
            <w:noWrap w:val="0"/>
            <w:vAlign w:val="center"/>
          </w:tcPr>
          <w:p w14:paraId="0CCF3F9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粮食加工品</w:t>
            </w:r>
          </w:p>
          <w:p w14:paraId="0488690B">
            <w:pPr>
              <w:widowControl/>
              <w:spacing w:line="230" w:lineRule="exact"/>
              <w:jc w:val="center"/>
              <w:textAlignment w:val="center"/>
              <w:rPr>
                <w:rFonts w:hint="eastAsia" w:ascii="宋体" w:hAnsi="宋体" w:eastAsia="宋体" w:cs="宋体"/>
                <w:sz w:val="21"/>
                <w:szCs w:val="21"/>
              </w:rPr>
            </w:pPr>
          </w:p>
        </w:tc>
        <w:tc>
          <w:tcPr>
            <w:tcW w:w="413" w:type="pct"/>
            <w:noWrap w:val="0"/>
            <w:vAlign w:val="center"/>
          </w:tcPr>
          <w:p w14:paraId="6E67C52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小麦粉</w:t>
            </w:r>
          </w:p>
        </w:tc>
        <w:tc>
          <w:tcPr>
            <w:tcW w:w="407" w:type="pct"/>
            <w:noWrap w:val="0"/>
            <w:vAlign w:val="center"/>
          </w:tcPr>
          <w:p w14:paraId="4AB8950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小麦粉</w:t>
            </w:r>
          </w:p>
        </w:tc>
        <w:tc>
          <w:tcPr>
            <w:tcW w:w="464" w:type="pct"/>
            <w:noWrap w:val="0"/>
            <w:vAlign w:val="center"/>
          </w:tcPr>
          <w:p w14:paraId="7FD972F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小麦粉</w:t>
            </w:r>
          </w:p>
        </w:tc>
        <w:tc>
          <w:tcPr>
            <w:tcW w:w="224" w:type="pct"/>
            <w:noWrap w:val="0"/>
            <w:vAlign w:val="center"/>
          </w:tcPr>
          <w:p w14:paraId="2D615EF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B7B145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铅（以Pb计）、镉（以Cd计）、苯并[a]芘、玉米赤霉烯酮、脱氧雪腐镰刀菌烯醇、赭曲霉毒素A、黄曲霉毒素B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、偶氮甲酰胺、过氧化苯甲酰</w:t>
            </w:r>
          </w:p>
        </w:tc>
      </w:tr>
      <w:tr w14:paraId="78167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 w:hRule="atLeast"/>
          <w:jc w:val="center"/>
        </w:trPr>
        <w:tc>
          <w:tcPr>
            <w:tcW w:w="230" w:type="pct"/>
            <w:vMerge w:val="continue"/>
            <w:noWrap w:val="0"/>
            <w:vAlign w:val="center"/>
          </w:tcPr>
          <w:p w14:paraId="34A4F146">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5B00F48">
            <w:pPr>
              <w:widowControl/>
              <w:spacing w:line="230" w:lineRule="exact"/>
              <w:jc w:val="center"/>
              <w:rPr>
                <w:rFonts w:hint="eastAsia" w:ascii="宋体" w:hAnsi="宋体" w:eastAsia="宋体" w:cs="宋体"/>
                <w:sz w:val="21"/>
                <w:szCs w:val="21"/>
              </w:rPr>
            </w:pPr>
          </w:p>
        </w:tc>
        <w:tc>
          <w:tcPr>
            <w:tcW w:w="413" w:type="pct"/>
            <w:noWrap w:val="0"/>
            <w:vAlign w:val="center"/>
          </w:tcPr>
          <w:p w14:paraId="40A391F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大米</w:t>
            </w:r>
          </w:p>
        </w:tc>
        <w:tc>
          <w:tcPr>
            <w:tcW w:w="407" w:type="pct"/>
            <w:noWrap w:val="0"/>
            <w:vAlign w:val="center"/>
          </w:tcPr>
          <w:p w14:paraId="673DF7F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大米</w:t>
            </w:r>
          </w:p>
        </w:tc>
        <w:tc>
          <w:tcPr>
            <w:tcW w:w="464" w:type="pct"/>
            <w:noWrap w:val="0"/>
            <w:vAlign w:val="center"/>
          </w:tcPr>
          <w:p w14:paraId="24B0D31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大米</w:t>
            </w:r>
          </w:p>
        </w:tc>
        <w:tc>
          <w:tcPr>
            <w:tcW w:w="224" w:type="pct"/>
            <w:noWrap w:val="0"/>
            <w:vAlign w:val="center"/>
          </w:tcPr>
          <w:p w14:paraId="22F0C9D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CF79E6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铅（以Pb计）、镉（以Cd计）、无机砷（以As计）、苯并[a]芘、</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、赭曲霉毒素A</w:t>
            </w:r>
          </w:p>
        </w:tc>
      </w:tr>
      <w:tr w14:paraId="57F64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9" w:hRule="atLeast"/>
          <w:jc w:val="center"/>
        </w:trPr>
        <w:tc>
          <w:tcPr>
            <w:tcW w:w="230" w:type="pct"/>
            <w:vMerge w:val="continue"/>
            <w:noWrap w:val="0"/>
            <w:vAlign w:val="center"/>
          </w:tcPr>
          <w:p w14:paraId="7C414A7B">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D50DB7E">
            <w:pPr>
              <w:widowControl/>
              <w:spacing w:line="230" w:lineRule="exact"/>
              <w:jc w:val="center"/>
              <w:rPr>
                <w:rFonts w:hint="eastAsia" w:ascii="宋体" w:hAnsi="宋体" w:eastAsia="宋体" w:cs="宋体"/>
                <w:sz w:val="21"/>
                <w:szCs w:val="21"/>
              </w:rPr>
            </w:pPr>
          </w:p>
        </w:tc>
        <w:tc>
          <w:tcPr>
            <w:tcW w:w="413" w:type="pct"/>
            <w:noWrap w:val="0"/>
            <w:vAlign w:val="center"/>
          </w:tcPr>
          <w:p w14:paraId="4AA66DC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挂面</w:t>
            </w:r>
          </w:p>
        </w:tc>
        <w:tc>
          <w:tcPr>
            <w:tcW w:w="407" w:type="pct"/>
            <w:noWrap w:val="0"/>
            <w:vAlign w:val="center"/>
          </w:tcPr>
          <w:p w14:paraId="0E30AF7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挂面</w:t>
            </w:r>
          </w:p>
        </w:tc>
        <w:tc>
          <w:tcPr>
            <w:tcW w:w="464" w:type="pct"/>
            <w:noWrap w:val="0"/>
            <w:vAlign w:val="center"/>
          </w:tcPr>
          <w:p w14:paraId="4619673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挂面</w:t>
            </w:r>
          </w:p>
        </w:tc>
        <w:tc>
          <w:tcPr>
            <w:tcW w:w="224" w:type="pct"/>
            <w:noWrap w:val="0"/>
            <w:vAlign w:val="center"/>
          </w:tcPr>
          <w:p w14:paraId="394728C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9B4348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、脱氢乙酸及其钠盐（以脱氢乙酸计）、合成着色剂（柠檬黄、日落黄、胭脂红、苋菜红、诱惑红、亮蓝）</w:t>
            </w:r>
          </w:p>
        </w:tc>
      </w:tr>
      <w:tr w14:paraId="40009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6" w:hRule="atLeast"/>
          <w:jc w:val="center"/>
        </w:trPr>
        <w:tc>
          <w:tcPr>
            <w:tcW w:w="230" w:type="pct"/>
            <w:vMerge w:val="continue"/>
            <w:noWrap w:val="0"/>
            <w:vAlign w:val="center"/>
          </w:tcPr>
          <w:p w14:paraId="5FEF7EDD">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30344EE">
            <w:pPr>
              <w:widowControl/>
              <w:spacing w:line="230" w:lineRule="exact"/>
              <w:jc w:val="center"/>
              <w:rPr>
                <w:rFonts w:hint="eastAsia" w:ascii="宋体" w:hAnsi="宋体" w:eastAsia="宋体" w:cs="宋体"/>
                <w:sz w:val="21"/>
                <w:szCs w:val="21"/>
              </w:rPr>
            </w:pPr>
          </w:p>
        </w:tc>
        <w:tc>
          <w:tcPr>
            <w:tcW w:w="413" w:type="pct"/>
            <w:vMerge w:val="restart"/>
            <w:noWrap w:val="0"/>
            <w:vAlign w:val="center"/>
          </w:tcPr>
          <w:p w14:paraId="42071FF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其他粮食加工品</w:t>
            </w:r>
          </w:p>
          <w:p w14:paraId="2BF60EC7">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4D3619F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谷物加工品</w:t>
            </w:r>
          </w:p>
        </w:tc>
        <w:tc>
          <w:tcPr>
            <w:tcW w:w="464" w:type="pct"/>
            <w:noWrap w:val="0"/>
            <w:vAlign w:val="center"/>
          </w:tcPr>
          <w:p w14:paraId="03E6C9F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谷物加工品</w:t>
            </w:r>
          </w:p>
        </w:tc>
        <w:tc>
          <w:tcPr>
            <w:tcW w:w="224" w:type="pct"/>
            <w:noWrap w:val="0"/>
            <w:vAlign w:val="center"/>
          </w:tcPr>
          <w:p w14:paraId="7152172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728D1C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 Pb 计）、镉（以Cd计）、</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、赭曲霉毒素A</w:t>
            </w:r>
          </w:p>
        </w:tc>
      </w:tr>
      <w:tr w14:paraId="7AB55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1" w:hRule="atLeast"/>
          <w:jc w:val="center"/>
        </w:trPr>
        <w:tc>
          <w:tcPr>
            <w:tcW w:w="230" w:type="pct"/>
            <w:vMerge w:val="continue"/>
            <w:noWrap w:val="0"/>
            <w:vAlign w:val="center"/>
          </w:tcPr>
          <w:p w14:paraId="416BE8A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F6CF77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E7B6273">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496AABC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谷物碾磨加工品</w:t>
            </w:r>
          </w:p>
          <w:p w14:paraId="6C44CF75">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5F2D5D6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玉米粉</w:t>
            </w:r>
          </w:p>
          <w:p w14:paraId="6904DF4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（片、渣）</w:t>
            </w:r>
          </w:p>
        </w:tc>
        <w:tc>
          <w:tcPr>
            <w:tcW w:w="224" w:type="pct"/>
            <w:noWrap w:val="0"/>
            <w:vAlign w:val="center"/>
          </w:tcPr>
          <w:p w14:paraId="4D04702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4E25B3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苯并[a]芘、</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、赭曲霉毒素A、玉米赤霉烯酮、脱氧雪腐镰刀菌烯醇</w:t>
            </w:r>
          </w:p>
        </w:tc>
      </w:tr>
      <w:tr w14:paraId="2D28B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230" w:type="pct"/>
            <w:vMerge w:val="continue"/>
            <w:noWrap w:val="0"/>
            <w:vAlign w:val="center"/>
          </w:tcPr>
          <w:p w14:paraId="358B200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46DA4D4">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EED5F89">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283F438">
            <w:pPr>
              <w:widowControl/>
              <w:spacing w:line="230" w:lineRule="exact"/>
              <w:jc w:val="center"/>
              <w:rPr>
                <w:rFonts w:hint="eastAsia" w:ascii="宋体" w:hAnsi="宋体" w:eastAsia="宋体" w:cs="宋体"/>
                <w:sz w:val="21"/>
                <w:szCs w:val="21"/>
              </w:rPr>
            </w:pPr>
          </w:p>
        </w:tc>
        <w:tc>
          <w:tcPr>
            <w:tcW w:w="464" w:type="pct"/>
            <w:noWrap w:val="0"/>
            <w:vAlign w:val="center"/>
          </w:tcPr>
          <w:p w14:paraId="77E9EBE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米粉</w:t>
            </w:r>
          </w:p>
        </w:tc>
        <w:tc>
          <w:tcPr>
            <w:tcW w:w="224" w:type="pct"/>
            <w:noWrap w:val="0"/>
            <w:vAlign w:val="center"/>
          </w:tcPr>
          <w:p w14:paraId="5F0973E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72EA1C8">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铅（以Pb计）、镉（以Cd计）、总汞（以Hg计）、无机砷（以As计）</w:t>
            </w:r>
          </w:p>
        </w:tc>
      </w:tr>
      <w:tr w14:paraId="536FA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continue"/>
            <w:noWrap w:val="0"/>
            <w:vAlign w:val="center"/>
          </w:tcPr>
          <w:p w14:paraId="7CBE65DF">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D4513BF">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20DA4E6">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7AD5F3B3">
            <w:pPr>
              <w:widowControl/>
              <w:spacing w:line="230" w:lineRule="exact"/>
              <w:jc w:val="center"/>
              <w:rPr>
                <w:rFonts w:hint="eastAsia" w:ascii="宋体" w:hAnsi="宋体" w:eastAsia="宋体" w:cs="宋体"/>
                <w:sz w:val="21"/>
                <w:szCs w:val="21"/>
              </w:rPr>
            </w:pPr>
          </w:p>
        </w:tc>
        <w:tc>
          <w:tcPr>
            <w:tcW w:w="464" w:type="pct"/>
            <w:noWrap w:val="0"/>
            <w:vAlign w:val="center"/>
          </w:tcPr>
          <w:p w14:paraId="7945570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其他谷物碾磨加工品</w:t>
            </w:r>
          </w:p>
        </w:tc>
        <w:tc>
          <w:tcPr>
            <w:tcW w:w="224" w:type="pct"/>
            <w:noWrap w:val="0"/>
            <w:vAlign w:val="center"/>
          </w:tcPr>
          <w:p w14:paraId="01FEC18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50F70D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铅（以Pb计）、铬（以Cr计）、赭曲霉毒素A</w:t>
            </w:r>
          </w:p>
        </w:tc>
      </w:tr>
      <w:tr w14:paraId="6460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230" w:type="pct"/>
            <w:vMerge w:val="continue"/>
            <w:noWrap w:val="0"/>
            <w:vAlign w:val="center"/>
          </w:tcPr>
          <w:p w14:paraId="54378FB1">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0368746E">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5840C46C">
            <w:pPr>
              <w:widowControl/>
              <w:spacing w:line="230" w:lineRule="exact"/>
              <w:jc w:val="center"/>
              <w:textAlignment w:val="center"/>
              <w:rPr>
                <w:rFonts w:hint="eastAsia" w:ascii="宋体" w:hAnsi="宋体" w:eastAsia="宋体" w:cs="宋体"/>
                <w:sz w:val="21"/>
                <w:szCs w:val="21"/>
              </w:rPr>
            </w:pPr>
          </w:p>
        </w:tc>
        <w:tc>
          <w:tcPr>
            <w:tcW w:w="407" w:type="pct"/>
            <w:vMerge w:val="restart"/>
            <w:noWrap w:val="0"/>
            <w:vAlign w:val="center"/>
          </w:tcPr>
          <w:p w14:paraId="10E5E34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谷物粉类制成品</w:t>
            </w:r>
          </w:p>
          <w:p w14:paraId="2C2021E1">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3FAD890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生湿面制品</w:t>
            </w:r>
          </w:p>
        </w:tc>
        <w:tc>
          <w:tcPr>
            <w:tcW w:w="224" w:type="pct"/>
            <w:noWrap w:val="0"/>
            <w:vAlign w:val="center"/>
          </w:tcPr>
          <w:p w14:paraId="2593110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64E95A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铅（以Pb计）、苯甲酸及其钠盐（以苯甲酸计）、山梨酸及其钾盐（以山梨酸计）、脱氢乙酸及其钠盐（以脱氢乙酸计）、二氧化硫残留量、合成着色剂（柠檬黄）</w:t>
            </w:r>
          </w:p>
        </w:tc>
      </w:tr>
      <w:tr w14:paraId="362E8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2" w:hRule="atLeast"/>
          <w:jc w:val="center"/>
        </w:trPr>
        <w:tc>
          <w:tcPr>
            <w:tcW w:w="230" w:type="pct"/>
            <w:vMerge w:val="continue"/>
            <w:noWrap w:val="0"/>
            <w:vAlign w:val="center"/>
          </w:tcPr>
          <w:p w14:paraId="7A889E7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689FDBA">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DDF2B0F">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454E95B">
            <w:pPr>
              <w:widowControl/>
              <w:spacing w:line="230" w:lineRule="exact"/>
              <w:jc w:val="center"/>
              <w:rPr>
                <w:rFonts w:hint="eastAsia" w:ascii="宋体" w:hAnsi="宋体" w:eastAsia="宋体" w:cs="宋体"/>
                <w:sz w:val="21"/>
                <w:szCs w:val="21"/>
              </w:rPr>
            </w:pPr>
          </w:p>
        </w:tc>
        <w:tc>
          <w:tcPr>
            <w:tcW w:w="464" w:type="pct"/>
            <w:noWrap w:val="0"/>
            <w:vAlign w:val="center"/>
          </w:tcPr>
          <w:p w14:paraId="01A04F6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发酵面制品</w:t>
            </w:r>
          </w:p>
        </w:tc>
        <w:tc>
          <w:tcPr>
            <w:tcW w:w="224" w:type="pct"/>
            <w:noWrap w:val="0"/>
            <w:vAlign w:val="center"/>
          </w:tcPr>
          <w:p w14:paraId="2DE5FB6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88C290C">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糖精钠（以糖精计）、甜蜜素（以环己基氨基磺酸计）、安赛蜜、合成着色剂（柠檬黄、胭脂红）、菌落总数、大肠菌群</w:t>
            </w:r>
          </w:p>
        </w:tc>
      </w:tr>
      <w:tr w14:paraId="1D4C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230" w:type="pct"/>
            <w:vMerge w:val="continue"/>
            <w:noWrap w:val="0"/>
            <w:vAlign w:val="center"/>
          </w:tcPr>
          <w:p w14:paraId="32774F47">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F3CCD4B">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F9E7AE8">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74DF2F3F">
            <w:pPr>
              <w:widowControl/>
              <w:spacing w:line="230" w:lineRule="exact"/>
              <w:jc w:val="center"/>
              <w:rPr>
                <w:rFonts w:hint="eastAsia" w:ascii="宋体" w:hAnsi="宋体" w:eastAsia="宋体" w:cs="宋体"/>
                <w:sz w:val="21"/>
                <w:szCs w:val="21"/>
              </w:rPr>
            </w:pPr>
          </w:p>
        </w:tc>
        <w:tc>
          <w:tcPr>
            <w:tcW w:w="464" w:type="pct"/>
            <w:noWrap w:val="0"/>
            <w:vAlign w:val="center"/>
          </w:tcPr>
          <w:p w14:paraId="49A2710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米粉制品</w:t>
            </w:r>
          </w:p>
        </w:tc>
        <w:tc>
          <w:tcPr>
            <w:tcW w:w="224" w:type="pct"/>
            <w:noWrap w:val="0"/>
            <w:vAlign w:val="center"/>
          </w:tcPr>
          <w:p w14:paraId="2042737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CBED8A5">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二氧化硫残留量、合成着色剂（柠檬黄、日落黄、喹啉黄、亮蓝、靛蓝）、甜蜜素（以环己基氨基磺酸计）、菌落总数、大肠菌群</w:t>
            </w:r>
          </w:p>
        </w:tc>
      </w:tr>
      <w:tr w14:paraId="7D9A9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2" w:hRule="atLeast"/>
          <w:jc w:val="center"/>
        </w:trPr>
        <w:tc>
          <w:tcPr>
            <w:tcW w:w="230" w:type="pct"/>
            <w:vMerge w:val="continue"/>
            <w:noWrap w:val="0"/>
            <w:vAlign w:val="center"/>
          </w:tcPr>
          <w:p w14:paraId="56F0D71B">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2F088F3">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3E378E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2B743E58">
            <w:pPr>
              <w:widowControl/>
              <w:spacing w:line="230" w:lineRule="exact"/>
              <w:jc w:val="center"/>
              <w:rPr>
                <w:rFonts w:hint="eastAsia" w:ascii="宋体" w:hAnsi="宋体" w:eastAsia="宋体" w:cs="宋体"/>
                <w:sz w:val="21"/>
                <w:szCs w:val="21"/>
              </w:rPr>
            </w:pPr>
          </w:p>
        </w:tc>
        <w:tc>
          <w:tcPr>
            <w:tcW w:w="464" w:type="pct"/>
            <w:noWrap w:val="0"/>
            <w:vAlign w:val="center"/>
          </w:tcPr>
          <w:p w14:paraId="7FB5BE4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其他谷物粉类制成品</w:t>
            </w:r>
          </w:p>
        </w:tc>
        <w:tc>
          <w:tcPr>
            <w:tcW w:w="224" w:type="pct"/>
            <w:noWrap w:val="0"/>
            <w:vAlign w:val="center"/>
          </w:tcPr>
          <w:p w14:paraId="46A8018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D53C584">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、苯甲酸及其钠盐（以苯甲酸计）、山梨酸及其钾盐（以山梨酸计）、脱氢乙酸及其钠盐（以脱氢乙酸计）、合成着色剂（柠檬黄、日落黄、胭脂红、苋菜红、亮蓝）、菌落总数、大肠菌群</w:t>
            </w:r>
          </w:p>
        </w:tc>
      </w:tr>
      <w:tr w14:paraId="54EDC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0D6D6FA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378" w:type="pct"/>
            <w:vMerge w:val="restart"/>
            <w:noWrap w:val="0"/>
            <w:vAlign w:val="center"/>
          </w:tcPr>
          <w:p w14:paraId="6118B8F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食用油、油脂及其制品</w:t>
            </w:r>
          </w:p>
        </w:tc>
        <w:tc>
          <w:tcPr>
            <w:tcW w:w="413" w:type="pct"/>
            <w:vMerge w:val="restart"/>
            <w:noWrap w:val="0"/>
            <w:vAlign w:val="center"/>
          </w:tcPr>
          <w:p w14:paraId="58741C6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食用植物油</w:t>
            </w:r>
          </w:p>
        </w:tc>
        <w:tc>
          <w:tcPr>
            <w:tcW w:w="407" w:type="pct"/>
            <w:vMerge w:val="restart"/>
            <w:noWrap w:val="0"/>
            <w:vAlign w:val="center"/>
          </w:tcPr>
          <w:p w14:paraId="65A6C04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食用植物油</w:t>
            </w:r>
          </w:p>
        </w:tc>
        <w:tc>
          <w:tcPr>
            <w:tcW w:w="464" w:type="pct"/>
            <w:noWrap w:val="0"/>
            <w:vAlign w:val="center"/>
          </w:tcPr>
          <w:p w14:paraId="68B289E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花生油</w:t>
            </w:r>
          </w:p>
        </w:tc>
        <w:tc>
          <w:tcPr>
            <w:tcW w:w="224" w:type="pct"/>
            <w:noWrap w:val="0"/>
            <w:vAlign w:val="center"/>
          </w:tcPr>
          <w:p w14:paraId="43D9D90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3AC2E9C">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、苯并[a]芘、溶剂残留量、特丁基对苯二酚（TBHQ）、铅（以Pb计）</w:t>
            </w:r>
          </w:p>
        </w:tc>
      </w:tr>
      <w:tr w14:paraId="353D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230" w:type="pct"/>
            <w:vMerge w:val="continue"/>
            <w:noWrap w:val="0"/>
            <w:vAlign w:val="center"/>
          </w:tcPr>
          <w:p w14:paraId="2C3A298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D2CAE9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E2A93CD">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A95C492">
            <w:pPr>
              <w:widowControl/>
              <w:spacing w:line="230" w:lineRule="exact"/>
              <w:jc w:val="center"/>
              <w:rPr>
                <w:rFonts w:hint="eastAsia" w:ascii="宋体" w:hAnsi="宋体" w:eastAsia="宋体" w:cs="宋体"/>
                <w:sz w:val="21"/>
                <w:szCs w:val="21"/>
              </w:rPr>
            </w:pPr>
          </w:p>
        </w:tc>
        <w:tc>
          <w:tcPr>
            <w:tcW w:w="464" w:type="pct"/>
            <w:noWrap w:val="0"/>
            <w:vAlign w:val="center"/>
          </w:tcPr>
          <w:p w14:paraId="3C2B833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玉米油</w:t>
            </w:r>
          </w:p>
        </w:tc>
        <w:tc>
          <w:tcPr>
            <w:tcW w:w="224" w:type="pct"/>
            <w:noWrap w:val="0"/>
            <w:vAlign w:val="center"/>
          </w:tcPr>
          <w:p w14:paraId="5E07179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45299647">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、苯并[a]芘、特丁基对苯二酚（TBHQ）</w:t>
            </w:r>
          </w:p>
        </w:tc>
      </w:tr>
      <w:tr w14:paraId="14455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7" w:hRule="atLeast"/>
          <w:jc w:val="center"/>
        </w:trPr>
        <w:tc>
          <w:tcPr>
            <w:tcW w:w="230" w:type="pct"/>
            <w:vMerge w:val="restart"/>
            <w:noWrap w:val="0"/>
            <w:vAlign w:val="center"/>
          </w:tcPr>
          <w:p w14:paraId="09133F1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w:t>
            </w:r>
          </w:p>
        </w:tc>
        <w:tc>
          <w:tcPr>
            <w:tcW w:w="378" w:type="pct"/>
            <w:vMerge w:val="restart"/>
            <w:noWrap w:val="0"/>
            <w:vAlign w:val="center"/>
          </w:tcPr>
          <w:p w14:paraId="5A60792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食用油、油脂及其制品</w:t>
            </w:r>
          </w:p>
        </w:tc>
        <w:tc>
          <w:tcPr>
            <w:tcW w:w="413" w:type="pct"/>
            <w:vMerge w:val="restart"/>
            <w:noWrap w:val="0"/>
            <w:vAlign w:val="center"/>
          </w:tcPr>
          <w:p w14:paraId="4F6A6DF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食用植物油</w:t>
            </w:r>
          </w:p>
        </w:tc>
        <w:tc>
          <w:tcPr>
            <w:tcW w:w="407" w:type="pct"/>
            <w:vMerge w:val="restart"/>
            <w:noWrap w:val="0"/>
            <w:vAlign w:val="center"/>
          </w:tcPr>
          <w:p w14:paraId="3188630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食用植物油</w:t>
            </w:r>
          </w:p>
        </w:tc>
        <w:tc>
          <w:tcPr>
            <w:tcW w:w="464" w:type="pct"/>
            <w:noWrap w:val="0"/>
            <w:vAlign w:val="center"/>
          </w:tcPr>
          <w:p w14:paraId="45CD29D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芝麻油</w:t>
            </w:r>
          </w:p>
        </w:tc>
        <w:tc>
          <w:tcPr>
            <w:tcW w:w="224" w:type="pct"/>
            <w:noWrap w:val="0"/>
            <w:vAlign w:val="center"/>
          </w:tcPr>
          <w:p w14:paraId="126FE77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96E3D6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酸值/酸价、过氧化值、苯并[a]芘、溶剂残留量、乙基麦芽酚</w:t>
            </w:r>
          </w:p>
        </w:tc>
      </w:tr>
      <w:tr w14:paraId="3A2F7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30" w:type="pct"/>
            <w:vMerge w:val="continue"/>
            <w:noWrap w:val="0"/>
            <w:vAlign w:val="center"/>
          </w:tcPr>
          <w:p w14:paraId="6C2BCF45">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AD17A09">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5568869">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0D8645D9">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7DD4BBE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橄榄油、油橄榄果渣油</w:t>
            </w:r>
          </w:p>
        </w:tc>
        <w:tc>
          <w:tcPr>
            <w:tcW w:w="224" w:type="pct"/>
            <w:noWrap w:val="0"/>
            <w:vAlign w:val="center"/>
          </w:tcPr>
          <w:p w14:paraId="47F59ED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2C0139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酸值/酸价、过氧化值、溶剂残留量、特丁基对苯二酚（TBHQ）</w:t>
            </w:r>
          </w:p>
        </w:tc>
      </w:tr>
      <w:tr w14:paraId="1EA1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230" w:type="pct"/>
            <w:vMerge w:val="continue"/>
            <w:noWrap w:val="0"/>
            <w:vAlign w:val="center"/>
          </w:tcPr>
          <w:p w14:paraId="18C4351D">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8F9B974">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778CE88E">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6D826900">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5957908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菜籽油</w:t>
            </w:r>
          </w:p>
        </w:tc>
        <w:tc>
          <w:tcPr>
            <w:tcW w:w="224" w:type="pct"/>
            <w:noWrap w:val="0"/>
            <w:vAlign w:val="center"/>
          </w:tcPr>
          <w:p w14:paraId="2980A5C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695F35A">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酸值/酸价、过氧化值、苯并[a]芘、溶剂残留量、特丁基对苯二酚（TBHQ）、乙基麦芽酚、铅（以Pb计）</w:t>
            </w:r>
          </w:p>
        </w:tc>
      </w:tr>
      <w:tr w14:paraId="2D41C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230" w:type="pct"/>
            <w:vMerge w:val="continue"/>
            <w:noWrap w:val="0"/>
            <w:vAlign w:val="center"/>
          </w:tcPr>
          <w:p w14:paraId="2C4E640B">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CD8AC12">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2EDC6754">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5916A2D3">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4ABE740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大豆油</w:t>
            </w:r>
          </w:p>
        </w:tc>
        <w:tc>
          <w:tcPr>
            <w:tcW w:w="224" w:type="pct"/>
            <w:noWrap w:val="0"/>
            <w:vAlign w:val="center"/>
          </w:tcPr>
          <w:p w14:paraId="413D081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578E13F">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酸值/酸价、过氧化值、苯并[a]芘、溶剂残留量、特丁基对苯二酚（TBHQ）、铅（以Pb计）</w:t>
            </w:r>
          </w:p>
        </w:tc>
      </w:tr>
      <w:tr w14:paraId="34BE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230" w:type="pct"/>
            <w:vMerge w:val="continue"/>
            <w:noWrap w:val="0"/>
            <w:vAlign w:val="center"/>
          </w:tcPr>
          <w:p w14:paraId="5BCA4856">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49053E1">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C8029F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0EFD54B1">
            <w:pPr>
              <w:widowControl/>
              <w:spacing w:line="230" w:lineRule="exact"/>
              <w:jc w:val="center"/>
              <w:rPr>
                <w:rFonts w:hint="eastAsia" w:ascii="宋体" w:hAnsi="宋体" w:eastAsia="宋体" w:cs="宋体"/>
                <w:sz w:val="21"/>
                <w:szCs w:val="21"/>
              </w:rPr>
            </w:pPr>
          </w:p>
        </w:tc>
        <w:tc>
          <w:tcPr>
            <w:tcW w:w="464" w:type="pct"/>
            <w:noWrap w:val="0"/>
            <w:vAlign w:val="center"/>
          </w:tcPr>
          <w:p w14:paraId="303287F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食用植物调和油</w:t>
            </w:r>
          </w:p>
        </w:tc>
        <w:tc>
          <w:tcPr>
            <w:tcW w:w="224" w:type="pct"/>
            <w:noWrap w:val="0"/>
            <w:vAlign w:val="center"/>
          </w:tcPr>
          <w:p w14:paraId="06B39D7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4F023D3">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酸价、过氧化值、苯并[a]芘、溶剂残留量、特丁基对苯二酚（TBHQ）、乙基麦芽酚、铅（以Pb计）</w:t>
            </w:r>
          </w:p>
        </w:tc>
      </w:tr>
      <w:tr w14:paraId="525A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1" w:hRule="atLeast"/>
          <w:jc w:val="center"/>
        </w:trPr>
        <w:tc>
          <w:tcPr>
            <w:tcW w:w="230" w:type="pct"/>
            <w:vMerge w:val="continue"/>
            <w:noWrap w:val="0"/>
            <w:vAlign w:val="center"/>
          </w:tcPr>
          <w:p w14:paraId="2A17BC2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946FDB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8C8563A">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6FA34530">
            <w:pPr>
              <w:widowControl/>
              <w:spacing w:line="230" w:lineRule="exact"/>
              <w:jc w:val="center"/>
              <w:rPr>
                <w:rFonts w:hint="eastAsia" w:ascii="宋体" w:hAnsi="宋体" w:eastAsia="宋体" w:cs="宋体"/>
                <w:sz w:val="21"/>
                <w:szCs w:val="21"/>
              </w:rPr>
            </w:pPr>
          </w:p>
        </w:tc>
        <w:tc>
          <w:tcPr>
            <w:tcW w:w="464" w:type="pct"/>
            <w:noWrap w:val="0"/>
            <w:vAlign w:val="center"/>
          </w:tcPr>
          <w:p w14:paraId="69E1247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油茶籽油</w:t>
            </w:r>
          </w:p>
        </w:tc>
        <w:tc>
          <w:tcPr>
            <w:tcW w:w="224" w:type="pct"/>
            <w:noWrap w:val="0"/>
            <w:vAlign w:val="center"/>
          </w:tcPr>
          <w:p w14:paraId="0C0FA79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0EF3417">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酸值/酸价、过氧化值、苯并[a]芘、溶剂残留量、特丁基对苯二酚（TBHQ）、铅（以Pb计）</w:t>
            </w:r>
          </w:p>
        </w:tc>
      </w:tr>
      <w:tr w14:paraId="276B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5" w:hRule="atLeast"/>
          <w:jc w:val="center"/>
        </w:trPr>
        <w:tc>
          <w:tcPr>
            <w:tcW w:w="230" w:type="pct"/>
            <w:vMerge w:val="continue"/>
            <w:noWrap w:val="0"/>
            <w:vAlign w:val="center"/>
          </w:tcPr>
          <w:p w14:paraId="1BE4857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F5E953E">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2E3628D">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B28BBD7">
            <w:pPr>
              <w:widowControl/>
              <w:spacing w:line="230" w:lineRule="exact"/>
              <w:jc w:val="center"/>
              <w:rPr>
                <w:rFonts w:hint="eastAsia" w:ascii="宋体" w:hAnsi="宋体" w:eastAsia="宋体" w:cs="宋体"/>
                <w:sz w:val="21"/>
                <w:szCs w:val="21"/>
              </w:rPr>
            </w:pPr>
          </w:p>
        </w:tc>
        <w:tc>
          <w:tcPr>
            <w:tcW w:w="464" w:type="pct"/>
            <w:noWrap w:val="0"/>
            <w:vAlign w:val="center"/>
          </w:tcPr>
          <w:p w14:paraId="47E0226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其他食用植物油</w:t>
            </w:r>
          </w:p>
        </w:tc>
        <w:tc>
          <w:tcPr>
            <w:tcW w:w="224" w:type="pct"/>
            <w:noWrap w:val="0"/>
            <w:vAlign w:val="center"/>
          </w:tcPr>
          <w:p w14:paraId="1BB8549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A877E1A">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酸值/酸价、过氧化值、苯并[a]芘、溶剂残留量、特丁基对苯二酚（TBHQ）</w:t>
            </w:r>
          </w:p>
        </w:tc>
      </w:tr>
      <w:tr w14:paraId="2FE0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8" w:hRule="atLeast"/>
          <w:jc w:val="center"/>
        </w:trPr>
        <w:tc>
          <w:tcPr>
            <w:tcW w:w="230" w:type="pct"/>
            <w:vMerge w:val="continue"/>
            <w:noWrap w:val="0"/>
            <w:vAlign w:val="center"/>
          </w:tcPr>
          <w:p w14:paraId="0C36CE61">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7AEDFC2">
            <w:pPr>
              <w:widowControl/>
              <w:spacing w:line="230" w:lineRule="exact"/>
              <w:jc w:val="center"/>
              <w:rPr>
                <w:rFonts w:hint="eastAsia" w:ascii="宋体" w:hAnsi="宋体" w:eastAsia="宋体" w:cs="宋体"/>
                <w:sz w:val="21"/>
                <w:szCs w:val="21"/>
              </w:rPr>
            </w:pPr>
          </w:p>
        </w:tc>
        <w:tc>
          <w:tcPr>
            <w:tcW w:w="413" w:type="pct"/>
            <w:noWrap w:val="0"/>
            <w:vAlign w:val="center"/>
          </w:tcPr>
          <w:p w14:paraId="49EEE25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食用动物油脂</w:t>
            </w:r>
          </w:p>
        </w:tc>
        <w:tc>
          <w:tcPr>
            <w:tcW w:w="407" w:type="pct"/>
            <w:noWrap w:val="0"/>
            <w:vAlign w:val="center"/>
          </w:tcPr>
          <w:p w14:paraId="68E7A3A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食用动物油脂</w:t>
            </w:r>
          </w:p>
        </w:tc>
        <w:tc>
          <w:tcPr>
            <w:tcW w:w="464" w:type="pct"/>
            <w:noWrap w:val="0"/>
            <w:vAlign w:val="center"/>
          </w:tcPr>
          <w:p w14:paraId="284F8BA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食用动物油脂</w:t>
            </w:r>
          </w:p>
        </w:tc>
        <w:tc>
          <w:tcPr>
            <w:tcW w:w="224" w:type="pct"/>
            <w:noWrap w:val="0"/>
            <w:vAlign w:val="center"/>
          </w:tcPr>
          <w:p w14:paraId="39E8371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7C3594A">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酸价、过氧化值、丙二醛、苯并[a]芘、铅（以Pb计）</w:t>
            </w:r>
          </w:p>
        </w:tc>
      </w:tr>
      <w:tr w14:paraId="6D261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7E78C80">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D6A88A7">
            <w:pPr>
              <w:widowControl/>
              <w:spacing w:line="230" w:lineRule="exact"/>
              <w:jc w:val="center"/>
              <w:rPr>
                <w:rFonts w:hint="eastAsia" w:ascii="宋体" w:hAnsi="宋体" w:eastAsia="宋体" w:cs="宋体"/>
                <w:sz w:val="21"/>
                <w:szCs w:val="21"/>
              </w:rPr>
            </w:pPr>
          </w:p>
        </w:tc>
        <w:tc>
          <w:tcPr>
            <w:tcW w:w="413" w:type="pct"/>
            <w:noWrap w:val="0"/>
            <w:vAlign w:val="center"/>
          </w:tcPr>
          <w:p w14:paraId="2D07F51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食用油脂制品</w:t>
            </w:r>
          </w:p>
        </w:tc>
        <w:tc>
          <w:tcPr>
            <w:tcW w:w="407" w:type="pct"/>
            <w:noWrap w:val="0"/>
            <w:vAlign w:val="center"/>
          </w:tcPr>
          <w:p w14:paraId="40A3557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食用油脂制品</w:t>
            </w:r>
          </w:p>
        </w:tc>
        <w:tc>
          <w:tcPr>
            <w:tcW w:w="464" w:type="pct"/>
            <w:noWrap w:val="0"/>
            <w:vAlign w:val="center"/>
          </w:tcPr>
          <w:p w14:paraId="6E2B22F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食用油脂制品</w:t>
            </w:r>
          </w:p>
        </w:tc>
        <w:tc>
          <w:tcPr>
            <w:tcW w:w="224" w:type="pct"/>
            <w:noWrap w:val="0"/>
            <w:vAlign w:val="center"/>
          </w:tcPr>
          <w:p w14:paraId="7D692A6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AA9C46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酸价（以脂肪计）、过氧化值（以脂肪计）、大肠菌群、霉菌</w:t>
            </w:r>
          </w:p>
        </w:tc>
      </w:tr>
      <w:tr w14:paraId="3F38F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32F11D4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w:t>
            </w:r>
          </w:p>
        </w:tc>
        <w:tc>
          <w:tcPr>
            <w:tcW w:w="378" w:type="pct"/>
            <w:vMerge w:val="restart"/>
            <w:noWrap w:val="0"/>
            <w:vAlign w:val="center"/>
          </w:tcPr>
          <w:p w14:paraId="1BAB81A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调味品</w:t>
            </w:r>
          </w:p>
        </w:tc>
        <w:tc>
          <w:tcPr>
            <w:tcW w:w="413" w:type="pct"/>
            <w:noWrap w:val="0"/>
            <w:vAlign w:val="center"/>
          </w:tcPr>
          <w:p w14:paraId="5EF2D51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酱油</w:t>
            </w:r>
          </w:p>
        </w:tc>
        <w:tc>
          <w:tcPr>
            <w:tcW w:w="407" w:type="pct"/>
            <w:noWrap w:val="0"/>
            <w:vAlign w:val="center"/>
          </w:tcPr>
          <w:p w14:paraId="29461ED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酱油</w:t>
            </w:r>
          </w:p>
        </w:tc>
        <w:tc>
          <w:tcPr>
            <w:tcW w:w="464" w:type="pct"/>
            <w:noWrap w:val="0"/>
            <w:vAlign w:val="center"/>
          </w:tcPr>
          <w:p w14:paraId="5509077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酱油</w:t>
            </w:r>
          </w:p>
        </w:tc>
        <w:tc>
          <w:tcPr>
            <w:tcW w:w="224" w:type="pct"/>
            <w:noWrap w:val="0"/>
            <w:vAlign w:val="center"/>
          </w:tcPr>
          <w:p w14:paraId="5E6CD4F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FC5C4F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甜蜜素（以环己基氨基磺酸计）、菌落总数、大肠菌群</w:t>
            </w:r>
          </w:p>
        </w:tc>
      </w:tr>
      <w:tr w14:paraId="42C3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61" w:hRule="atLeast"/>
          <w:jc w:val="center"/>
        </w:trPr>
        <w:tc>
          <w:tcPr>
            <w:tcW w:w="230" w:type="pct"/>
            <w:vMerge w:val="continue"/>
            <w:noWrap w:val="0"/>
            <w:vAlign w:val="center"/>
          </w:tcPr>
          <w:p w14:paraId="6306EFD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6A75C3E">
            <w:pPr>
              <w:widowControl/>
              <w:spacing w:line="230" w:lineRule="exact"/>
              <w:jc w:val="center"/>
              <w:rPr>
                <w:rFonts w:hint="eastAsia" w:ascii="宋体" w:hAnsi="宋体" w:eastAsia="宋体" w:cs="宋体"/>
                <w:sz w:val="21"/>
                <w:szCs w:val="21"/>
              </w:rPr>
            </w:pPr>
          </w:p>
        </w:tc>
        <w:tc>
          <w:tcPr>
            <w:tcW w:w="413" w:type="pct"/>
            <w:noWrap w:val="0"/>
            <w:vAlign w:val="center"/>
          </w:tcPr>
          <w:p w14:paraId="69A5DD7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食醋</w:t>
            </w:r>
          </w:p>
        </w:tc>
        <w:tc>
          <w:tcPr>
            <w:tcW w:w="407" w:type="pct"/>
            <w:noWrap w:val="0"/>
            <w:vAlign w:val="center"/>
          </w:tcPr>
          <w:p w14:paraId="442FCCE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食醋</w:t>
            </w:r>
          </w:p>
        </w:tc>
        <w:tc>
          <w:tcPr>
            <w:tcW w:w="464" w:type="pct"/>
            <w:noWrap w:val="0"/>
            <w:vAlign w:val="center"/>
          </w:tcPr>
          <w:p w14:paraId="77C0754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食醋</w:t>
            </w:r>
          </w:p>
        </w:tc>
        <w:tc>
          <w:tcPr>
            <w:tcW w:w="224" w:type="pct"/>
            <w:noWrap w:val="0"/>
            <w:vAlign w:val="center"/>
          </w:tcPr>
          <w:p w14:paraId="0946A7B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7F6253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总酸（以乙酸计）、不挥发酸（以乳酸计）、苯甲酸及其钠盐（以苯甲酸计）、山梨酸及其钾盐（以山梨酸计）、脱氢乙酸及其钠盐（以脱氢乙酸计）、对羟基苯甲酸酯类及其钠盐（以对羟基苯甲酸计）、防腐剂混合使用时各自用量占其最大使用量的比例之和、糖精钠（以糖精计）、甜蜜素（以环己基氨基磺酸计）、三氯蔗糖、菌落总数</w:t>
            </w:r>
          </w:p>
        </w:tc>
      </w:tr>
      <w:tr w14:paraId="0FE85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D19EA23">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0F13C11E">
            <w:pPr>
              <w:widowControl/>
              <w:spacing w:line="230" w:lineRule="exact"/>
              <w:jc w:val="center"/>
              <w:textAlignment w:val="center"/>
              <w:rPr>
                <w:rFonts w:hint="eastAsia" w:ascii="宋体" w:hAnsi="宋体" w:eastAsia="宋体" w:cs="宋体"/>
                <w:sz w:val="21"/>
                <w:szCs w:val="21"/>
              </w:rPr>
            </w:pPr>
          </w:p>
        </w:tc>
        <w:tc>
          <w:tcPr>
            <w:tcW w:w="413" w:type="pct"/>
            <w:noWrap w:val="0"/>
            <w:vAlign w:val="center"/>
          </w:tcPr>
          <w:p w14:paraId="1A045DA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酱类</w:t>
            </w:r>
          </w:p>
        </w:tc>
        <w:tc>
          <w:tcPr>
            <w:tcW w:w="407" w:type="pct"/>
            <w:noWrap w:val="0"/>
            <w:vAlign w:val="center"/>
          </w:tcPr>
          <w:p w14:paraId="588695F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酿造酱</w:t>
            </w:r>
          </w:p>
        </w:tc>
        <w:tc>
          <w:tcPr>
            <w:tcW w:w="464" w:type="pct"/>
            <w:noWrap w:val="0"/>
            <w:vAlign w:val="center"/>
          </w:tcPr>
          <w:p w14:paraId="0917BA6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黄豆酱、甜面酱等</w:t>
            </w:r>
          </w:p>
        </w:tc>
        <w:tc>
          <w:tcPr>
            <w:tcW w:w="224" w:type="pct"/>
            <w:noWrap w:val="0"/>
            <w:vAlign w:val="center"/>
          </w:tcPr>
          <w:p w14:paraId="5C6FB75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C9303C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氨基酸态氮、</w:t>
            </w:r>
            <w:r>
              <w:rPr>
                <w:rFonts w:hint="eastAsia" w:ascii="宋体" w:hAnsi="宋体" w:eastAsia="宋体" w:cs="宋体"/>
                <w:spacing w:val="-1"/>
                <w:sz w:val="21"/>
                <w:szCs w:val="21"/>
              </w:rPr>
              <w:t>黄曲霉毒素B</w:t>
            </w:r>
            <w:r>
              <w:rPr>
                <w:rFonts w:hint="eastAsia" w:ascii="宋体" w:hAnsi="宋体" w:eastAsia="宋体" w:cs="宋体"/>
                <w:spacing w:val="-1"/>
                <w:position w:val="-3"/>
                <w:sz w:val="21"/>
                <w:szCs w:val="21"/>
              </w:rPr>
              <w:t>1</w:t>
            </w:r>
            <w:r>
              <w:rPr>
                <w:rFonts w:hint="eastAsia" w:ascii="宋体" w:hAnsi="宋体" w:eastAsia="宋体" w:cs="宋体"/>
                <w:sz w:val="21"/>
                <w:szCs w:val="21"/>
              </w:rPr>
              <w:t>、苯甲酸及其钠盐（以苯甲酸计）、山梨酸及其钾盐（以山梨酸计）、脱氢乙酸及其钠盐（以脱氢乙酸计）、防腐剂混合使用时各自用量占其最大使用量的比例之和、糖精钠（以糖精计）、甜蜜素（以环己基氨基磺酸计）、安赛蜜、大肠菌群</w:t>
            </w:r>
          </w:p>
        </w:tc>
      </w:tr>
      <w:tr w14:paraId="1DBDF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575166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FA9074A">
            <w:pPr>
              <w:widowControl/>
              <w:spacing w:line="230" w:lineRule="exact"/>
              <w:jc w:val="center"/>
              <w:rPr>
                <w:rFonts w:hint="eastAsia" w:ascii="宋体" w:hAnsi="宋体" w:eastAsia="宋体" w:cs="宋体"/>
                <w:sz w:val="21"/>
                <w:szCs w:val="21"/>
              </w:rPr>
            </w:pPr>
          </w:p>
        </w:tc>
        <w:tc>
          <w:tcPr>
            <w:tcW w:w="413" w:type="pct"/>
            <w:noWrap w:val="0"/>
            <w:vAlign w:val="center"/>
          </w:tcPr>
          <w:p w14:paraId="22EAD6E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调味料酒</w:t>
            </w:r>
          </w:p>
        </w:tc>
        <w:tc>
          <w:tcPr>
            <w:tcW w:w="407" w:type="pct"/>
            <w:noWrap w:val="0"/>
            <w:vAlign w:val="center"/>
          </w:tcPr>
          <w:p w14:paraId="5436E9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调味料酒</w:t>
            </w:r>
          </w:p>
        </w:tc>
        <w:tc>
          <w:tcPr>
            <w:tcW w:w="464" w:type="pct"/>
            <w:noWrap w:val="0"/>
            <w:vAlign w:val="center"/>
          </w:tcPr>
          <w:p w14:paraId="38B850A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料酒</w:t>
            </w:r>
          </w:p>
        </w:tc>
        <w:tc>
          <w:tcPr>
            <w:tcW w:w="224" w:type="pct"/>
            <w:noWrap w:val="0"/>
            <w:vAlign w:val="center"/>
          </w:tcPr>
          <w:p w14:paraId="59C6775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08384D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氨基酸态氮（以氮计）、苯甲酸及其钠盐（以苯甲酸计）、山梨酸及其钾盐（以山梨酸计）、脱氢乙酸及其钠盐（以脱氢乙酸计）、甜蜜素（以环己基氨基磺酸计）、三氯蔗糖</w:t>
            </w:r>
          </w:p>
        </w:tc>
      </w:tr>
      <w:tr w14:paraId="6E437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tcBorders>
              <w:left w:val="single" w:color="auto" w:sz="4" w:space="0"/>
            </w:tcBorders>
            <w:noWrap w:val="0"/>
            <w:vAlign w:val="center"/>
          </w:tcPr>
          <w:p w14:paraId="2556C785">
            <w:pPr>
              <w:widowControl/>
              <w:spacing w:line="23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378" w:type="pct"/>
            <w:vMerge w:val="restart"/>
            <w:noWrap w:val="0"/>
            <w:vAlign w:val="center"/>
          </w:tcPr>
          <w:p w14:paraId="334986AD">
            <w:pPr>
              <w:widowControl/>
              <w:spacing w:line="230" w:lineRule="exact"/>
              <w:jc w:val="center"/>
              <w:rPr>
                <w:rFonts w:hint="eastAsia" w:ascii="宋体" w:hAnsi="宋体" w:eastAsia="宋体" w:cs="宋体"/>
                <w:sz w:val="21"/>
                <w:szCs w:val="21"/>
              </w:rPr>
            </w:pPr>
            <w:r>
              <w:rPr>
                <w:rFonts w:hint="eastAsia" w:ascii="宋体" w:hAnsi="宋体" w:eastAsia="宋体" w:cs="宋体"/>
                <w:kern w:val="0"/>
                <w:sz w:val="21"/>
                <w:szCs w:val="21"/>
                <w:lang w:bidi="ar"/>
              </w:rPr>
              <w:t>调味品</w:t>
            </w:r>
          </w:p>
        </w:tc>
        <w:tc>
          <w:tcPr>
            <w:tcW w:w="413" w:type="pct"/>
            <w:vMerge w:val="restart"/>
            <w:noWrap w:val="0"/>
            <w:vAlign w:val="center"/>
          </w:tcPr>
          <w:p w14:paraId="54870B7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香辛料类</w:t>
            </w:r>
          </w:p>
        </w:tc>
        <w:tc>
          <w:tcPr>
            <w:tcW w:w="407" w:type="pct"/>
            <w:vMerge w:val="restart"/>
            <w:noWrap w:val="0"/>
            <w:vAlign w:val="center"/>
          </w:tcPr>
          <w:p w14:paraId="18269D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香辛料类</w:t>
            </w:r>
          </w:p>
        </w:tc>
        <w:tc>
          <w:tcPr>
            <w:tcW w:w="464" w:type="pct"/>
            <w:noWrap w:val="0"/>
            <w:vAlign w:val="center"/>
          </w:tcPr>
          <w:p w14:paraId="0CB8DE1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香辛料调味油</w:t>
            </w:r>
          </w:p>
        </w:tc>
        <w:tc>
          <w:tcPr>
            <w:tcW w:w="224" w:type="pct"/>
            <w:noWrap w:val="0"/>
            <w:vAlign w:val="center"/>
          </w:tcPr>
          <w:p w14:paraId="77CF9B2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0BC38F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酸价/酸值、过氧化值</w:t>
            </w:r>
          </w:p>
        </w:tc>
      </w:tr>
      <w:tr w14:paraId="42FD1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4D9939E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9206767">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1390B5E">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228C0B42">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58FED44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辣椒、花椒、辣椒粉、花椒粉</w:t>
            </w:r>
          </w:p>
        </w:tc>
        <w:tc>
          <w:tcPr>
            <w:tcW w:w="224" w:type="pct"/>
            <w:noWrap w:val="0"/>
            <w:vAlign w:val="center"/>
          </w:tcPr>
          <w:p w14:paraId="5BE891E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236312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铅（以Pb计）、罗丹明B、苏丹红Ⅰ、苏丹红Ⅱ、苏丹红Ⅲ、苏丹红Ⅳ、脱氢乙酸及其钠盐（以脱氢乙酸计）、山梨酸及其钾盐（以山梨酸计）、二氧化硫残留量、合成着色剂（柠檬黄、日落黄、胭脂红）</w:t>
            </w:r>
          </w:p>
        </w:tc>
      </w:tr>
      <w:tr w14:paraId="6A40F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5B7FCB0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59264DA">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FD51EC1">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77150339">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4E477A0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其他香辛料调味品</w:t>
            </w:r>
          </w:p>
        </w:tc>
        <w:tc>
          <w:tcPr>
            <w:tcW w:w="224" w:type="pct"/>
            <w:noWrap w:val="0"/>
            <w:vAlign w:val="center"/>
          </w:tcPr>
          <w:p w14:paraId="40FB20F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56A7AE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脱氢乙酸及其钠盐（以脱氢乙酸计）、二氧化硫残留量、甜蜜素（以环己基氨基磺酸计）、合成着色剂（柠檬黄、日落黄、苋菜红、胭脂红、亮蓝）、丙溴磷、氯氰菊酯和高效氯氰菊酯、多菌灵、毒死蜱、克百威、沙门氏菌</w:t>
            </w:r>
          </w:p>
        </w:tc>
      </w:tr>
      <w:tr w14:paraId="4B1AD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2B041DD8">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FA4960C">
            <w:pPr>
              <w:widowControl/>
              <w:spacing w:line="230" w:lineRule="exact"/>
              <w:jc w:val="center"/>
              <w:rPr>
                <w:rFonts w:hint="eastAsia" w:ascii="宋体" w:hAnsi="宋体" w:eastAsia="宋体" w:cs="宋体"/>
                <w:sz w:val="21"/>
                <w:szCs w:val="21"/>
              </w:rPr>
            </w:pPr>
          </w:p>
        </w:tc>
        <w:tc>
          <w:tcPr>
            <w:tcW w:w="413" w:type="pct"/>
            <w:vMerge w:val="restart"/>
            <w:noWrap w:val="0"/>
            <w:vAlign w:val="center"/>
          </w:tcPr>
          <w:p w14:paraId="2BF428D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调味料</w:t>
            </w:r>
          </w:p>
        </w:tc>
        <w:tc>
          <w:tcPr>
            <w:tcW w:w="407" w:type="pct"/>
            <w:vMerge w:val="restart"/>
            <w:noWrap w:val="0"/>
            <w:vAlign w:val="center"/>
          </w:tcPr>
          <w:p w14:paraId="02AAA0D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固体复合调味料</w:t>
            </w:r>
          </w:p>
        </w:tc>
        <w:tc>
          <w:tcPr>
            <w:tcW w:w="464" w:type="pct"/>
            <w:noWrap w:val="0"/>
            <w:vAlign w:val="center"/>
          </w:tcPr>
          <w:p w14:paraId="46F69A5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鸡粉、鸡精调味料</w:t>
            </w:r>
          </w:p>
        </w:tc>
        <w:tc>
          <w:tcPr>
            <w:tcW w:w="224" w:type="pct"/>
            <w:noWrap w:val="0"/>
            <w:vAlign w:val="center"/>
          </w:tcPr>
          <w:p w14:paraId="1C5E2DC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E268E4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谷氨酸钠、呈味核苷酸二钠、总氮（以N计）、铅（以Pb计）、糖精钠（以糖精计）、甜蜜素（以环己基氨基磺酸计）、菌落总数、大肠菌群、安赛蜜</w:t>
            </w:r>
          </w:p>
        </w:tc>
      </w:tr>
      <w:tr w14:paraId="286C1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044024F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5BCD3F8">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0DB4868">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CDCDB6D">
            <w:pPr>
              <w:widowControl/>
              <w:spacing w:line="230" w:lineRule="exact"/>
              <w:jc w:val="center"/>
              <w:rPr>
                <w:rFonts w:hint="eastAsia" w:ascii="宋体" w:hAnsi="宋体" w:eastAsia="宋体" w:cs="宋体"/>
                <w:sz w:val="21"/>
                <w:szCs w:val="21"/>
              </w:rPr>
            </w:pPr>
          </w:p>
        </w:tc>
        <w:tc>
          <w:tcPr>
            <w:tcW w:w="464" w:type="pct"/>
            <w:noWrap w:val="0"/>
            <w:vAlign w:val="center"/>
          </w:tcPr>
          <w:p w14:paraId="2A54C8B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其他固体调味料</w:t>
            </w:r>
          </w:p>
        </w:tc>
        <w:tc>
          <w:tcPr>
            <w:tcW w:w="224" w:type="pct"/>
            <w:noWrap w:val="0"/>
            <w:vAlign w:val="center"/>
          </w:tcPr>
          <w:p w14:paraId="15BAB50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F9C1E5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苏丹红Ⅰ、苏丹红Ⅱ、苏丹红Ⅲ、苏丹红Ⅳ、罂粟碱、吗啡、可待因、那可丁、苯甲酸及其钠盐（以苯甲酸计）、山梨酸及其钾盐（以山梨酸计）、脱氢乙酸及其钠盐（以脱氢乙酸计）、防腐剂混合使用时各自用量占其最大使用量的比例之和、糖精钠（以糖精计）、甜蜜素（以环己基氨基磺酸计）、安赛蜜、阿斯巴甜、二氧化硫残留量</w:t>
            </w:r>
          </w:p>
        </w:tc>
      </w:tr>
      <w:tr w14:paraId="32FA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258D5AC1">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3AF4D1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BEA4781">
            <w:pPr>
              <w:widowControl/>
              <w:spacing w:line="230" w:lineRule="exact"/>
              <w:jc w:val="center"/>
              <w:textAlignment w:val="center"/>
              <w:rPr>
                <w:rFonts w:hint="eastAsia" w:ascii="宋体" w:hAnsi="宋体" w:eastAsia="宋体" w:cs="宋体"/>
                <w:sz w:val="21"/>
                <w:szCs w:val="21"/>
              </w:rPr>
            </w:pPr>
          </w:p>
        </w:tc>
        <w:tc>
          <w:tcPr>
            <w:tcW w:w="407" w:type="pct"/>
            <w:vMerge w:val="restart"/>
            <w:noWrap w:val="0"/>
            <w:vAlign w:val="center"/>
          </w:tcPr>
          <w:p w14:paraId="160B934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半固体复合调味料</w:t>
            </w:r>
          </w:p>
        </w:tc>
        <w:tc>
          <w:tcPr>
            <w:tcW w:w="464" w:type="pct"/>
            <w:noWrap w:val="0"/>
            <w:vAlign w:val="center"/>
          </w:tcPr>
          <w:p w14:paraId="78BE387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蛋黄酱、沙拉酱</w:t>
            </w:r>
          </w:p>
        </w:tc>
        <w:tc>
          <w:tcPr>
            <w:tcW w:w="224" w:type="pct"/>
            <w:noWrap w:val="0"/>
            <w:vAlign w:val="center"/>
          </w:tcPr>
          <w:p w14:paraId="233D42E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EAF8ED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二氧化钛</w:t>
            </w:r>
          </w:p>
        </w:tc>
      </w:tr>
      <w:tr w14:paraId="7EBBA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6AA857B0">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36268C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41A7C31">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0C7446C6">
            <w:pPr>
              <w:widowControl/>
              <w:spacing w:line="230" w:lineRule="exact"/>
              <w:jc w:val="center"/>
              <w:rPr>
                <w:rFonts w:hint="eastAsia" w:ascii="宋体" w:hAnsi="宋体" w:eastAsia="宋体" w:cs="宋体"/>
                <w:sz w:val="21"/>
                <w:szCs w:val="21"/>
              </w:rPr>
            </w:pPr>
          </w:p>
        </w:tc>
        <w:tc>
          <w:tcPr>
            <w:tcW w:w="464" w:type="pct"/>
            <w:noWrap w:val="0"/>
            <w:vAlign w:val="center"/>
          </w:tcPr>
          <w:p w14:paraId="329C8D9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坚果与籽类的泥（酱）</w:t>
            </w:r>
          </w:p>
        </w:tc>
        <w:tc>
          <w:tcPr>
            <w:tcW w:w="224" w:type="pct"/>
            <w:noWrap w:val="0"/>
            <w:vAlign w:val="center"/>
          </w:tcPr>
          <w:p w14:paraId="5029000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4AF8F8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酸价/酸值、过氧化值、铅（以Pb计）、黄曲霉毒素B</w:t>
            </w:r>
            <w:r>
              <w:rPr>
                <w:rFonts w:hint="eastAsia" w:ascii="宋体" w:hAnsi="宋体" w:eastAsia="宋体" w:cs="宋体"/>
                <w:kern w:val="0"/>
                <w:sz w:val="21"/>
                <w:szCs w:val="21"/>
                <w:vertAlign w:val="subscript"/>
                <w:lang w:bidi="ar"/>
              </w:rPr>
              <w:t>1</w:t>
            </w:r>
          </w:p>
        </w:tc>
      </w:tr>
      <w:tr w14:paraId="24164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0" w:hRule="atLeast"/>
          <w:jc w:val="center"/>
        </w:trPr>
        <w:tc>
          <w:tcPr>
            <w:tcW w:w="230" w:type="pct"/>
            <w:vMerge w:val="continue"/>
            <w:tcBorders>
              <w:left w:val="single" w:color="auto" w:sz="4" w:space="0"/>
            </w:tcBorders>
            <w:noWrap w:val="0"/>
            <w:vAlign w:val="center"/>
          </w:tcPr>
          <w:p w14:paraId="1D32A5B8">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85BE496">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89355E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42CC5F53">
            <w:pPr>
              <w:widowControl/>
              <w:spacing w:line="230" w:lineRule="exact"/>
              <w:jc w:val="center"/>
              <w:rPr>
                <w:rFonts w:hint="eastAsia" w:ascii="宋体" w:hAnsi="宋体" w:eastAsia="宋体" w:cs="宋体"/>
                <w:sz w:val="21"/>
                <w:szCs w:val="21"/>
              </w:rPr>
            </w:pPr>
          </w:p>
        </w:tc>
        <w:tc>
          <w:tcPr>
            <w:tcW w:w="464" w:type="pct"/>
            <w:noWrap w:val="0"/>
            <w:vAlign w:val="center"/>
          </w:tcPr>
          <w:p w14:paraId="46AB132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辣椒酱</w:t>
            </w:r>
          </w:p>
        </w:tc>
        <w:tc>
          <w:tcPr>
            <w:tcW w:w="224" w:type="pct"/>
            <w:noWrap w:val="0"/>
            <w:vAlign w:val="center"/>
          </w:tcPr>
          <w:p w14:paraId="7CCCA21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603F38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防腐剂混合使用时各自用量占其最大使用量的比例之和、甜蜜素（以环己基氨基磺酸计）、二氧化硫残留量</w:t>
            </w:r>
          </w:p>
        </w:tc>
      </w:tr>
      <w:tr w14:paraId="6EC6A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7" w:hRule="atLeast"/>
          <w:jc w:val="center"/>
        </w:trPr>
        <w:tc>
          <w:tcPr>
            <w:tcW w:w="230" w:type="pct"/>
            <w:vMerge w:val="continue"/>
            <w:tcBorders>
              <w:left w:val="single" w:color="auto" w:sz="4" w:space="0"/>
            </w:tcBorders>
            <w:noWrap w:val="0"/>
            <w:vAlign w:val="center"/>
          </w:tcPr>
          <w:p w14:paraId="76A07DD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6673CC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EA61E1D">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5D06E73">
            <w:pPr>
              <w:widowControl/>
              <w:spacing w:line="230" w:lineRule="exact"/>
              <w:jc w:val="center"/>
              <w:rPr>
                <w:rFonts w:hint="eastAsia" w:ascii="宋体" w:hAnsi="宋体" w:eastAsia="宋体" w:cs="宋体"/>
                <w:sz w:val="21"/>
                <w:szCs w:val="21"/>
              </w:rPr>
            </w:pPr>
          </w:p>
        </w:tc>
        <w:tc>
          <w:tcPr>
            <w:tcW w:w="464" w:type="pct"/>
            <w:noWrap w:val="0"/>
            <w:vAlign w:val="center"/>
          </w:tcPr>
          <w:p w14:paraId="5B4DE4C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火锅底料、麻辣烫底料</w:t>
            </w:r>
          </w:p>
        </w:tc>
        <w:tc>
          <w:tcPr>
            <w:tcW w:w="224" w:type="pct"/>
            <w:noWrap w:val="0"/>
            <w:vAlign w:val="center"/>
          </w:tcPr>
          <w:p w14:paraId="212BC2F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463EDC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罂粟碱、吗啡、可待因、那可丁、苯甲酸及其钠盐（以苯甲酸计）、山梨酸及其钾盐（以山梨酸计）、脱氢乙酸及其钠盐（以脱氢乙酸计）、防腐剂混合使用时各自用量占其最大使用量的比例之和</w:t>
            </w:r>
          </w:p>
        </w:tc>
      </w:tr>
      <w:tr w14:paraId="005FB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0DE10849">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3E4244C">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48B1196">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B450D90">
            <w:pPr>
              <w:widowControl/>
              <w:spacing w:line="230" w:lineRule="exact"/>
              <w:jc w:val="center"/>
              <w:rPr>
                <w:rFonts w:hint="eastAsia" w:ascii="宋体" w:hAnsi="宋体" w:eastAsia="宋体" w:cs="宋体"/>
                <w:sz w:val="21"/>
                <w:szCs w:val="21"/>
              </w:rPr>
            </w:pPr>
          </w:p>
        </w:tc>
        <w:tc>
          <w:tcPr>
            <w:tcW w:w="464" w:type="pct"/>
            <w:noWrap w:val="0"/>
            <w:vAlign w:val="center"/>
          </w:tcPr>
          <w:p w14:paraId="64D8EB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其他半固体调味料</w:t>
            </w:r>
          </w:p>
        </w:tc>
        <w:tc>
          <w:tcPr>
            <w:tcW w:w="224" w:type="pct"/>
            <w:noWrap w:val="0"/>
            <w:vAlign w:val="center"/>
          </w:tcPr>
          <w:p w14:paraId="7A24027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D0E6E8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罗丹明B、罂粟碱、吗啡、可待因、那可丁、苯甲酸及其钠盐（以苯甲酸计）、山梨酸及其钾盐（以山梨酸计）、脱氢乙酸及其钠盐（以脱氢乙酸计）、防腐剂混合使用时各自用量占其最大使用量的比例之和、甜蜜素（以环己基氨基磺酸计）、安赛蜜</w:t>
            </w:r>
          </w:p>
        </w:tc>
      </w:tr>
      <w:tr w14:paraId="09F0D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6245A07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006EFAB">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2E1F0EB">
            <w:pPr>
              <w:widowControl/>
              <w:spacing w:line="230" w:lineRule="exact"/>
              <w:jc w:val="center"/>
              <w:rPr>
                <w:rFonts w:hint="eastAsia" w:ascii="宋体" w:hAnsi="宋体" w:eastAsia="宋体" w:cs="宋体"/>
                <w:sz w:val="21"/>
                <w:szCs w:val="21"/>
              </w:rPr>
            </w:pPr>
          </w:p>
        </w:tc>
        <w:tc>
          <w:tcPr>
            <w:tcW w:w="407" w:type="pct"/>
            <w:noWrap w:val="0"/>
            <w:vAlign w:val="center"/>
          </w:tcPr>
          <w:p w14:paraId="4618C09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液体复合调味料</w:t>
            </w:r>
          </w:p>
        </w:tc>
        <w:tc>
          <w:tcPr>
            <w:tcW w:w="464" w:type="pct"/>
            <w:noWrap w:val="0"/>
            <w:vAlign w:val="center"/>
          </w:tcPr>
          <w:p w14:paraId="63FE6B4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蚝油、虾油、鱼露</w:t>
            </w:r>
          </w:p>
        </w:tc>
        <w:tc>
          <w:tcPr>
            <w:tcW w:w="224" w:type="pct"/>
            <w:noWrap w:val="0"/>
            <w:vAlign w:val="center"/>
          </w:tcPr>
          <w:p w14:paraId="2522368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6AC3C6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氨基酸态氮、苯甲酸及其钠盐（以苯甲酸计）、山梨酸及其钾盐（以山梨酸计）、脱氢乙酸及其钠盐（以脱氢乙酸计）、防腐剂混合使用时各自用量占其最大使用量的比例之和、菌落总数</w:t>
            </w:r>
          </w:p>
        </w:tc>
      </w:tr>
      <w:tr w14:paraId="680B7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tcBorders>
              <w:top w:val="single" w:color="auto" w:sz="4" w:space="0"/>
              <w:left w:val="single" w:color="auto" w:sz="4" w:space="0"/>
            </w:tcBorders>
            <w:noWrap w:val="0"/>
            <w:vAlign w:val="center"/>
          </w:tcPr>
          <w:p w14:paraId="4F6BAC66">
            <w:pPr>
              <w:widowControl/>
              <w:spacing w:line="23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378" w:type="pct"/>
            <w:vMerge w:val="restart"/>
            <w:tcBorders>
              <w:top w:val="single" w:color="auto" w:sz="4" w:space="0"/>
            </w:tcBorders>
            <w:noWrap w:val="0"/>
            <w:vAlign w:val="center"/>
          </w:tcPr>
          <w:p w14:paraId="6BE84D44">
            <w:pPr>
              <w:widowControl/>
              <w:spacing w:line="230" w:lineRule="exact"/>
              <w:jc w:val="center"/>
              <w:rPr>
                <w:rFonts w:hint="eastAsia" w:ascii="宋体" w:hAnsi="宋体" w:eastAsia="宋体" w:cs="宋体"/>
                <w:sz w:val="21"/>
                <w:szCs w:val="21"/>
              </w:rPr>
            </w:pPr>
            <w:r>
              <w:rPr>
                <w:rFonts w:hint="eastAsia" w:ascii="宋体" w:hAnsi="宋体" w:eastAsia="宋体" w:cs="宋体"/>
                <w:kern w:val="0"/>
                <w:sz w:val="21"/>
                <w:szCs w:val="21"/>
                <w:lang w:bidi="ar"/>
              </w:rPr>
              <w:t>调味品</w:t>
            </w:r>
          </w:p>
        </w:tc>
        <w:tc>
          <w:tcPr>
            <w:tcW w:w="413" w:type="pct"/>
            <w:tcBorders>
              <w:top w:val="single" w:color="auto" w:sz="4" w:space="0"/>
            </w:tcBorders>
            <w:noWrap w:val="0"/>
            <w:vAlign w:val="center"/>
          </w:tcPr>
          <w:p w14:paraId="7FF4B71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调味料</w:t>
            </w:r>
          </w:p>
        </w:tc>
        <w:tc>
          <w:tcPr>
            <w:tcW w:w="407" w:type="pct"/>
            <w:tcBorders>
              <w:top w:val="single" w:color="auto" w:sz="4" w:space="0"/>
            </w:tcBorders>
            <w:noWrap w:val="0"/>
            <w:vAlign w:val="center"/>
          </w:tcPr>
          <w:p w14:paraId="37371EE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液体复合调味料</w:t>
            </w:r>
          </w:p>
        </w:tc>
        <w:tc>
          <w:tcPr>
            <w:tcW w:w="464" w:type="pct"/>
            <w:tcBorders>
              <w:top w:val="single" w:color="auto" w:sz="4" w:space="0"/>
            </w:tcBorders>
            <w:noWrap w:val="0"/>
            <w:vAlign w:val="center"/>
          </w:tcPr>
          <w:p w14:paraId="134DC35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其他液体调味料</w:t>
            </w:r>
          </w:p>
        </w:tc>
        <w:tc>
          <w:tcPr>
            <w:tcW w:w="224" w:type="pct"/>
            <w:tcBorders>
              <w:top w:val="single" w:color="auto" w:sz="4" w:space="0"/>
            </w:tcBorders>
            <w:noWrap w:val="0"/>
            <w:vAlign w:val="center"/>
          </w:tcPr>
          <w:p w14:paraId="396BF84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tcBorders>
              <w:top w:val="single" w:color="auto" w:sz="4" w:space="0"/>
            </w:tcBorders>
            <w:noWrap w:val="0"/>
            <w:vAlign w:val="center"/>
          </w:tcPr>
          <w:p w14:paraId="40705DB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p>
        </w:tc>
      </w:tr>
      <w:tr w14:paraId="05C4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27ED46A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BEDD541">
            <w:pPr>
              <w:widowControl/>
              <w:spacing w:line="230" w:lineRule="exact"/>
              <w:jc w:val="center"/>
              <w:rPr>
                <w:rFonts w:hint="eastAsia" w:ascii="宋体" w:hAnsi="宋体" w:eastAsia="宋体" w:cs="宋体"/>
                <w:sz w:val="21"/>
                <w:szCs w:val="21"/>
              </w:rPr>
            </w:pPr>
          </w:p>
        </w:tc>
        <w:tc>
          <w:tcPr>
            <w:tcW w:w="413" w:type="pct"/>
            <w:tcBorders>
              <w:top w:val="single" w:color="auto" w:sz="4" w:space="0"/>
            </w:tcBorders>
            <w:noWrap w:val="0"/>
            <w:vAlign w:val="center"/>
          </w:tcPr>
          <w:p w14:paraId="49A3F12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味精</w:t>
            </w:r>
          </w:p>
        </w:tc>
        <w:tc>
          <w:tcPr>
            <w:tcW w:w="407" w:type="pct"/>
            <w:tcBorders>
              <w:top w:val="single" w:color="auto" w:sz="4" w:space="0"/>
            </w:tcBorders>
            <w:noWrap w:val="0"/>
            <w:vAlign w:val="center"/>
          </w:tcPr>
          <w:p w14:paraId="590A5D2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味精</w:t>
            </w:r>
          </w:p>
        </w:tc>
        <w:tc>
          <w:tcPr>
            <w:tcW w:w="464" w:type="pct"/>
            <w:tcBorders>
              <w:top w:val="single" w:color="auto" w:sz="4" w:space="0"/>
            </w:tcBorders>
            <w:noWrap w:val="0"/>
            <w:vAlign w:val="center"/>
          </w:tcPr>
          <w:p w14:paraId="789CE40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味精</w:t>
            </w:r>
          </w:p>
        </w:tc>
        <w:tc>
          <w:tcPr>
            <w:tcW w:w="224" w:type="pct"/>
            <w:tcBorders>
              <w:top w:val="single" w:color="auto" w:sz="4" w:space="0"/>
            </w:tcBorders>
            <w:noWrap w:val="0"/>
            <w:vAlign w:val="center"/>
          </w:tcPr>
          <w:p w14:paraId="38F22EE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tcBorders>
              <w:top w:val="single" w:color="auto" w:sz="4" w:space="0"/>
            </w:tcBorders>
            <w:noWrap w:val="0"/>
            <w:vAlign w:val="center"/>
          </w:tcPr>
          <w:p w14:paraId="35C9096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谷氨酸钠</w:t>
            </w:r>
          </w:p>
        </w:tc>
      </w:tr>
      <w:tr w14:paraId="5FCDC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6E2A846D">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E289E58">
            <w:pPr>
              <w:widowControl/>
              <w:spacing w:line="230" w:lineRule="exact"/>
              <w:jc w:val="center"/>
              <w:textAlignment w:val="center"/>
              <w:rPr>
                <w:rFonts w:hint="eastAsia" w:ascii="宋体" w:hAnsi="宋体" w:eastAsia="宋体" w:cs="宋体"/>
                <w:sz w:val="21"/>
                <w:szCs w:val="21"/>
              </w:rPr>
            </w:pPr>
          </w:p>
        </w:tc>
        <w:tc>
          <w:tcPr>
            <w:tcW w:w="413" w:type="pct"/>
            <w:vMerge w:val="restart"/>
            <w:noWrap w:val="0"/>
            <w:vAlign w:val="center"/>
          </w:tcPr>
          <w:p w14:paraId="3C058B9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食盐</w:t>
            </w:r>
          </w:p>
        </w:tc>
        <w:tc>
          <w:tcPr>
            <w:tcW w:w="407" w:type="pct"/>
            <w:vMerge w:val="restart"/>
            <w:noWrap w:val="0"/>
            <w:vAlign w:val="center"/>
          </w:tcPr>
          <w:p w14:paraId="5E9C211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食用盐</w:t>
            </w:r>
          </w:p>
        </w:tc>
        <w:tc>
          <w:tcPr>
            <w:tcW w:w="464" w:type="pct"/>
            <w:noWrap w:val="0"/>
            <w:vAlign w:val="center"/>
          </w:tcPr>
          <w:p w14:paraId="1E3C657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普通食用盐</w:t>
            </w:r>
          </w:p>
        </w:tc>
        <w:tc>
          <w:tcPr>
            <w:tcW w:w="224" w:type="pct"/>
            <w:noWrap w:val="0"/>
            <w:vAlign w:val="center"/>
          </w:tcPr>
          <w:p w14:paraId="326C7FA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7A33DD2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氯化钠、钡（以Ba计）、碘（以I计）、铅（以Pb计）、总砷（以As计）、镉（以Cd计）、总汞（以Hg计）、亚铁氰化钾/亚铁氰化钠（以亚铁氰根计）</w:t>
            </w:r>
          </w:p>
        </w:tc>
      </w:tr>
      <w:tr w14:paraId="11240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6" w:hRule="atLeast"/>
          <w:jc w:val="center"/>
        </w:trPr>
        <w:tc>
          <w:tcPr>
            <w:tcW w:w="230" w:type="pct"/>
            <w:vMerge w:val="continue"/>
            <w:tcBorders>
              <w:left w:val="single" w:color="auto" w:sz="4" w:space="0"/>
            </w:tcBorders>
            <w:noWrap w:val="0"/>
            <w:vAlign w:val="center"/>
          </w:tcPr>
          <w:p w14:paraId="10ABAAC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9FABF04">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2E7E0C6">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6BB04A6">
            <w:pPr>
              <w:widowControl/>
              <w:spacing w:line="230" w:lineRule="exact"/>
              <w:jc w:val="center"/>
              <w:rPr>
                <w:rFonts w:hint="eastAsia" w:ascii="宋体" w:hAnsi="宋体" w:eastAsia="宋体" w:cs="宋体"/>
                <w:sz w:val="21"/>
                <w:szCs w:val="21"/>
              </w:rPr>
            </w:pPr>
          </w:p>
        </w:tc>
        <w:tc>
          <w:tcPr>
            <w:tcW w:w="464" w:type="pct"/>
            <w:noWrap w:val="0"/>
            <w:vAlign w:val="center"/>
          </w:tcPr>
          <w:p w14:paraId="030BA6F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低钠食用盐</w:t>
            </w:r>
          </w:p>
        </w:tc>
        <w:tc>
          <w:tcPr>
            <w:tcW w:w="224" w:type="pct"/>
            <w:noWrap w:val="0"/>
            <w:vAlign w:val="center"/>
          </w:tcPr>
          <w:p w14:paraId="34B3736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7A1A8F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氯化钾、钡（以Ba计）、碘（以I计）、铅（以Pb计）、总砷（以As计）、镉（以Cd计）、总汞（以Hg计）、亚铁氰化钾/亚铁氰化钠（以亚铁氰根计）</w:t>
            </w:r>
          </w:p>
        </w:tc>
      </w:tr>
      <w:tr w14:paraId="08157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0084C47B">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C4ED122">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346D770">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1C9D2A3D">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7EE796E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风味食用盐</w:t>
            </w:r>
          </w:p>
        </w:tc>
        <w:tc>
          <w:tcPr>
            <w:tcW w:w="224" w:type="pct"/>
            <w:noWrap w:val="0"/>
            <w:vAlign w:val="center"/>
          </w:tcPr>
          <w:p w14:paraId="1677304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E01C48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钡（以Ba计）、铅（以Pb计）、总砷（以As计）、镉（以Cd计）、总汞（以Hg计）、亚铁氰化钾/亚铁氰化钠（以亚铁氰根计）</w:t>
            </w:r>
          </w:p>
        </w:tc>
      </w:tr>
      <w:tr w14:paraId="23B13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0D19F59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377A9F4">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1E13430">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7EE0407E">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4410FD4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特殊工艺食用盐</w:t>
            </w:r>
          </w:p>
        </w:tc>
        <w:tc>
          <w:tcPr>
            <w:tcW w:w="224" w:type="pct"/>
            <w:noWrap w:val="0"/>
            <w:vAlign w:val="center"/>
          </w:tcPr>
          <w:p w14:paraId="713943B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D84CDD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氯化钠、钡（以Ba计）、碘（以I计）、铅（以Pb计）、总砷（以As计）、镉（以Cd计）、总汞（以Hg计）、亚铁氰化钾/亚铁氰化钠（以亚铁氰根计）</w:t>
            </w:r>
          </w:p>
        </w:tc>
      </w:tr>
      <w:tr w14:paraId="0F216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tcBorders>
              <w:left w:val="single" w:color="auto" w:sz="4" w:space="0"/>
            </w:tcBorders>
            <w:noWrap w:val="0"/>
            <w:vAlign w:val="center"/>
          </w:tcPr>
          <w:p w14:paraId="3BD68DA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5C152A7">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B0EB179">
            <w:pPr>
              <w:widowControl/>
              <w:spacing w:line="230" w:lineRule="exact"/>
              <w:jc w:val="center"/>
              <w:rPr>
                <w:rFonts w:hint="eastAsia" w:ascii="宋体" w:hAnsi="宋体" w:eastAsia="宋体" w:cs="宋体"/>
                <w:sz w:val="21"/>
                <w:szCs w:val="21"/>
              </w:rPr>
            </w:pPr>
          </w:p>
        </w:tc>
        <w:tc>
          <w:tcPr>
            <w:tcW w:w="407" w:type="pct"/>
            <w:noWrap w:val="0"/>
            <w:vAlign w:val="center"/>
          </w:tcPr>
          <w:p w14:paraId="0A03A36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食品生产加工用盐</w:t>
            </w:r>
          </w:p>
        </w:tc>
        <w:tc>
          <w:tcPr>
            <w:tcW w:w="464" w:type="pct"/>
            <w:noWrap w:val="0"/>
            <w:vAlign w:val="center"/>
          </w:tcPr>
          <w:p w14:paraId="05F8BE4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食品生产加工用盐</w:t>
            </w:r>
          </w:p>
        </w:tc>
        <w:tc>
          <w:tcPr>
            <w:tcW w:w="224" w:type="pct"/>
            <w:noWrap w:val="0"/>
            <w:vAlign w:val="center"/>
          </w:tcPr>
          <w:p w14:paraId="2E3E598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B51F73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铅（以Pb计）、总砷（以As计）、镉（以Cd计）、总汞（以Hg计）、亚铁</w:t>
            </w:r>
            <w:r>
              <w:rPr>
                <w:rFonts w:hint="eastAsia" w:ascii="宋体" w:hAnsi="宋体" w:eastAsia="宋体" w:cs="宋体"/>
                <w:spacing w:val="-1"/>
                <w:sz w:val="21"/>
                <w:szCs w:val="21"/>
              </w:rPr>
              <w:t>氰化钾/亚铁氰化钠（以亚铁氰根计）、亚硝酸盐（以NaNO</w:t>
            </w:r>
            <w:r>
              <w:rPr>
                <w:rFonts w:hint="eastAsia" w:ascii="宋体" w:hAnsi="宋体" w:eastAsia="宋体" w:cs="宋体"/>
                <w:spacing w:val="-1"/>
                <w:position w:val="-3"/>
                <w:sz w:val="21"/>
                <w:szCs w:val="21"/>
              </w:rPr>
              <w:t>2</w:t>
            </w:r>
            <w:r>
              <w:rPr>
                <w:rFonts w:hint="eastAsia" w:ascii="宋体" w:hAnsi="宋体" w:eastAsia="宋体" w:cs="宋体"/>
                <w:spacing w:val="-1"/>
                <w:sz w:val="21"/>
                <w:szCs w:val="21"/>
              </w:rPr>
              <w:t>计）</w:t>
            </w:r>
          </w:p>
        </w:tc>
      </w:tr>
      <w:tr w14:paraId="14341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jc w:val="center"/>
        </w:trPr>
        <w:tc>
          <w:tcPr>
            <w:tcW w:w="230" w:type="pct"/>
            <w:vMerge w:val="restart"/>
            <w:noWrap w:val="0"/>
            <w:vAlign w:val="center"/>
          </w:tcPr>
          <w:p w14:paraId="64E43AE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4</w:t>
            </w:r>
          </w:p>
        </w:tc>
        <w:tc>
          <w:tcPr>
            <w:tcW w:w="378" w:type="pct"/>
            <w:vMerge w:val="restart"/>
            <w:noWrap w:val="0"/>
            <w:vAlign w:val="center"/>
          </w:tcPr>
          <w:p w14:paraId="7197CBD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肉制品</w:t>
            </w:r>
          </w:p>
        </w:tc>
        <w:tc>
          <w:tcPr>
            <w:tcW w:w="413" w:type="pct"/>
            <w:vMerge w:val="restart"/>
            <w:noWrap w:val="0"/>
            <w:vAlign w:val="center"/>
          </w:tcPr>
          <w:p w14:paraId="2E6956B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预制肉制品</w:t>
            </w:r>
          </w:p>
        </w:tc>
        <w:tc>
          <w:tcPr>
            <w:tcW w:w="407" w:type="pct"/>
            <w:noWrap w:val="0"/>
            <w:vAlign w:val="center"/>
          </w:tcPr>
          <w:p w14:paraId="7D16E7D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调理肉制品</w:t>
            </w:r>
          </w:p>
        </w:tc>
        <w:tc>
          <w:tcPr>
            <w:tcW w:w="464" w:type="pct"/>
            <w:noWrap w:val="0"/>
            <w:vAlign w:val="center"/>
          </w:tcPr>
          <w:p w14:paraId="46DA929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调理肉制品（非速冻）</w:t>
            </w:r>
          </w:p>
        </w:tc>
        <w:tc>
          <w:tcPr>
            <w:tcW w:w="224" w:type="pct"/>
            <w:noWrap w:val="0"/>
            <w:vAlign w:val="center"/>
          </w:tcPr>
          <w:p w14:paraId="0309A67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5C41549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w:t>
            </w:r>
          </w:p>
        </w:tc>
      </w:tr>
      <w:tr w14:paraId="1D9D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78BEC80">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506EE49">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9E2012C">
            <w:pPr>
              <w:widowControl/>
              <w:spacing w:line="230" w:lineRule="exact"/>
              <w:jc w:val="center"/>
              <w:rPr>
                <w:rFonts w:hint="eastAsia" w:ascii="宋体" w:hAnsi="宋体" w:eastAsia="宋体" w:cs="宋体"/>
                <w:sz w:val="21"/>
                <w:szCs w:val="21"/>
              </w:rPr>
            </w:pPr>
          </w:p>
        </w:tc>
        <w:tc>
          <w:tcPr>
            <w:tcW w:w="407" w:type="pct"/>
            <w:noWrap w:val="0"/>
            <w:vAlign w:val="center"/>
          </w:tcPr>
          <w:p w14:paraId="27B1032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腌腊肉制品</w:t>
            </w:r>
          </w:p>
        </w:tc>
        <w:tc>
          <w:tcPr>
            <w:tcW w:w="464" w:type="pct"/>
            <w:noWrap w:val="0"/>
            <w:vAlign w:val="center"/>
          </w:tcPr>
          <w:p w14:paraId="6AB65A0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腌腊肉制品</w:t>
            </w:r>
          </w:p>
        </w:tc>
        <w:tc>
          <w:tcPr>
            <w:tcW w:w="224" w:type="pct"/>
            <w:noWrap w:val="0"/>
            <w:vAlign w:val="center"/>
          </w:tcPr>
          <w:p w14:paraId="0F743D0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4D3BACD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铅（以Pb计）、总砷（以As计）、亚硝酸盐（以亚硝酸钠计）、苯甲酸及其钠盐（以苯甲酸计）、山梨酸及其钾盐（以山梨酸计）、脱氢乙酸及其钠盐（以脱氢乙酸计）、合成着色剂（柠檬黄、日落黄、胭脂红、诱惑红、苋菜红、酸性红）、红2G、氯霉素</w:t>
            </w:r>
          </w:p>
        </w:tc>
      </w:tr>
      <w:tr w14:paraId="7C0D8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040497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6DE2A97">
            <w:pPr>
              <w:widowControl/>
              <w:spacing w:line="230" w:lineRule="exact"/>
              <w:jc w:val="center"/>
              <w:rPr>
                <w:rFonts w:hint="eastAsia" w:ascii="宋体" w:hAnsi="宋体" w:eastAsia="宋体" w:cs="宋体"/>
                <w:sz w:val="21"/>
                <w:szCs w:val="21"/>
              </w:rPr>
            </w:pPr>
          </w:p>
        </w:tc>
        <w:tc>
          <w:tcPr>
            <w:tcW w:w="413" w:type="pct"/>
            <w:vMerge w:val="restart"/>
            <w:noWrap w:val="0"/>
            <w:vAlign w:val="center"/>
          </w:tcPr>
          <w:p w14:paraId="288B849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熟肉制品</w:t>
            </w:r>
          </w:p>
        </w:tc>
        <w:tc>
          <w:tcPr>
            <w:tcW w:w="407" w:type="pct"/>
            <w:noWrap w:val="0"/>
            <w:vAlign w:val="center"/>
          </w:tcPr>
          <w:p w14:paraId="6901A0C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发酵肉制品</w:t>
            </w:r>
          </w:p>
        </w:tc>
        <w:tc>
          <w:tcPr>
            <w:tcW w:w="464" w:type="pct"/>
            <w:noWrap w:val="0"/>
            <w:vAlign w:val="center"/>
          </w:tcPr>
          <w:p w14:paraId="133AE84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发酵肉制品</w:t>
            </w:r>
          </w:p>
        </w:tc>
        <w:tc>
          <w:tcPr>
            <w:tcW w:w="224" w:type="pct"/>
            <w:noWrap w:val="0"/>
            <w:vAlign w:val="center"/>
          </w:tcPr>
          <w:p w14:paraId="05E3697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5EAAD6E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亚硝酸盐（以亚硝酸钠计）、沙门氏菌、金黄色葡萄球菌、单核细胞增生李斯特氏菌、致泻大肠埃希氏菌</w:t>
            </w:r>
          </w:p>
        </w:tc>
      </w:tr>
      <w:tr w14:paraId="6CAD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46" w:hRule="atLeast"/>
          <w:jc w:val="center"/>
        </w:trPr>
        <w:tc>
          <w:tcPr>
            <w:tcW w:w="230" w:type="pct"/>
            <w:vMerge w:val="continue"/>
            <w:noWrap w:val="0"/>
            <w:vAlign w:val="center"/>
          </w:tcPr>
          <w:p w14:paraId="140AC43D">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D4F374B">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3F25313">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4445BB3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酱卤肉制品</w:t>
            </w:r>
          </w:p>
        </w:tc>
        <w:tc>
          <w:tcPr>
            <w:tcW w:w="464" w:type="pct"/>
            <w:noWrap w:val="0"/>
            <w:vAlign w:val="center"/>
          </w:tcPr>
          <w:p w14:paraId="5237E82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酱卤肉制品</w:t>
            </w:r>
          </w:p>
        </w:tc>
        <w:tc>
          <w:tcPr>
            <w:tcW w:w="224" w:type="pct"/>
            <w:noWrap w:val="0"/>
            <w:vAlign w:val="center"/>
          </w:tcPr>
          <w:p w14:paraId="78F97EB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ED800D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镉（以Cd计）、铬（以Cr计）、总砷（以As计）、N-二甲基亚硝胺、亚硝酸盐（以亚硝酸钠计）、苯甲酸及其钠盐（以苯甲酸计）、山梨酸及其钾盐（以山梨酸计）、脱氢乙酸及其钠盐（以脱氢乙酸计）、纳他霉素、防腐剂混合使用时各自用量占其最大使用量的比例之和、糖精钠（以糖精计）、合成着色剂（柠檬黄、日落黄、胭脂红、诱惑红）、氯霉素、菌落总数、大肠菌群、沙门氏菌、金黄色葡萄球菌、单核细胞增生李斯特氏菌、致泻大肠埃希氏菌</w:t>
            </w:r>
          </w:p>
        </w:tc>
      </w:tr>
      <w:tr w14:paraId="5FB2C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2" w:hRule="atLeast"/>
          <w:jc w:val="center"/>
        </w:trPr>
        <w:tc>
          <w:tcPr>
            <w:tcW w:w="230" w:type="pct"/>
            <w:vMerge w:val="continue"/>
            <w:noWrap w:val="0"/>
            <w:vAlign w:val="center"/>
          </w:tcPr>
          <w:p w14:paraId="7D72A4D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6058AE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A277717">
            <w:pPr>
              <w:widowControl/>
              <w:spacing w:line="230" w:lineRule="exact"/>
              <w:jc w:val="center"/>
              <w:rPr>
                <w:rFonts w:hint="eastAsia" w:ascii="宋体" w:hAnsi="宋体" w:eastAsia="宋体" w:cs="宋体"/>
                <w:sz w:val="21"/>
                <w:szCs w:val="21"/>
              </w:rPr>
            </w:pPr>
          </w:p>
        </w:tc>
        <w:tc>
          <w:tcPr>
            <w:tcW w:w="407" w:type="pct"/>
            <w:noWrap w:val="0"/>
            <w:vAlign w:val="center"/>
          </w:tcPr>
          <w:p w14:paraId="6345E5D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油炸肉制品</w:t>
            </w:r>
          </w:p>
        </w:tc>
        <w:tc>
          <w:tcPr>
            <w:tcW w:w="464" w:type="pct"/>
            <w:noWrap w:val="0"/>
            <w:vAlign w:val="center"/>
          </w:tcPr>
          <w:p w14:paraId="2DF6A83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油炸肉制品</w:t>
            </w:r>
          </w:p>
        </w:tc>
        <w:tc>
          <w:tcPr>
            <w:tcW w:w="224" w:type="pct"/>
            <w:noWrap w:val="0"/>
            <w:vAlign w:val="center"/>
          </w:tcPr>
          <w:p w14:paraId="19DFA3E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17D551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N-二甲基亚硝胺、亚硝酸盐（以亚硝酸钠计）、苯甲酸及其钠盐（以苯甲酸计）、山梨酸及其钾盐（以山梨酸计）、沙门氏菌、金黄色葡萄球菌、单核细胞增生李斯特氏菌、致泻大肠埃希氏菌</w:t>
            </w:r>
          </w:p>
        </w:tc>
      </w:tr>
      <w:tr w14:paraId="721BA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2" w:hRule="atLeast"/>
          <w:jc w:val="center"/>
        </w:trPr>
        <w:tc>
          <w:tcPr>
            <w:tcW w:w="230" w:type="pct"/>
            <w:vMerge w:val="restart"/>
            <w:noWrap w:val="0"/>
            <w:vAlign w:val="center"/>
          </w:tcPr>
          <w:p w14:paraId="6FDD013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4</w:t>
            </w:r>
          </w:p>
        </w:tc>
        <w:tc>
          <w:tcPr>
            <w:tcW w:w="378" w:type="pct"/>
            <w:vMerge w:val="restart"/>
            <w:noWrap w:val="0"/>
            <w:vAlign w:val="center"/>
          </w:tcPr>
          <w:p w14:paraId="6E8771E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肉制品</w:t>
            </w:r>
          </w:p>
        </w:tc>
        <w:tc>
          <w:tcPr>
            <w:tcW w:w="413" w:type="pct"/>
            <w:vMerge w:val="restart"/>
            <w:noWrap w:val="0"/>
            <w:vAlign w:val="center"/>
          </w:tcPr>
          <w:p w14:paraId="1DD4D7E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熟肉制品</w:t>
            </w:r>
          </w:p>
        </w:tc>
        <w:tc>
          <w:tcPr>
            <w:tcW w:w="407" w:type="pct"/>
            <w:noWrap w:val="0"/>
            <w:vAlign w:val="center"/>
          </w:tcPr>
          <w:p w14:paraId="681DC15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熟肉干制品</w:t>
            </w:r>
          </w:p>
        </w:tc>
        <w:tc>
          <w:tcPr>
            <w:tcW w:w="464" w:type="pct"/>
            <w:noWrap w:val="0"/>
            <w:vAlign w:val="center"/>
          </w:tcPr>
          <w:p w14:paraId="129CF50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熟肉干制品</w:t>
            </w:r>
          </w:p>
        </w:tc>
        <w:tc>
          <w:tcPr>
            <w:tcW w:w="224" w:type="pct"/>
            <w:noWrap w:val="0"/>
            <w:vAlign w:val="center"/>
          </w:tcPr>
          <w:p w14:paraId="32D6FF0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1920F4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N-二甲基亚硝胺、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p>
        </w:tc>
      </w:tr>
      <w:tr w14:paraId="1EFEA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230" w:type="pct"/>
            <w:vMerge w:val="continue"/>
            <w:noWrap w:val="0"/>
            <w:vAlign w:val="center"/>
          </w:tcPr>
          <w:p w14:paraId="1FEA02C9">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17B96E73">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39DFFFAB">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6C7F8FC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熏烧烤肉制品</w:t>
            </w:r>
          </w:p>
        </w:tc>
        <w:tc>
          <w:tcPr>
            <w:tcW w:w="464" w:type="pct"/>
            <w:noWrap w:val="0"/>
            <w:vAlign w:val="center"/>
          </w:tcPr>
          <w:p w14:paraId="3FC9053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熏烧烤肉</w:t>
            </w:r>
          </w:p>
          <w:p w14:paraId="2404074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制品</w:t>
            </w:r>
          </w:p>
        </w:tc>
        <w:tc>
          <w:tcPr>
            <w:tcW w:w="224" w:type="pct"/>
            <w:noWrap w:val="0"/>
            <w:vAlign w:val="center"/>
          </w:tcPr>
          <w:p w14:paraId="7DE34A8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1904B7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并[a]芘、N-二甲基亚硝胺、亚硝酸盐（以亚硝酸钠计）、苯甲酸及其钠盐（以苯甲酸计）、山梨酸及其钾盐（以山梨酸计）、纳他霉素、合成着色剂（柠檬黄、日落黄、胭脂红）、氯霉素、菌落总数、大肠菌群、沙门氏菌、金黄色葡萄球菌、单核细胞增生李斯特氏菌、致泻大肠埃希氏菌</w:t>
            </w:r>
          </w:p>
        </w:tc>
      </w:tr>
      <w:tr w14:paraId="4C9FD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5" w:hRule="atLeast"/>
          <w:jc w:val="center"/>
        </w:trPr>
        <w:tc>
          <w:tcPr>
            <w:tcW w:w="230" w:type="pct"/>
            <w:vMerge w:val="continue"/>
            <w:noWrap w:val="0"/>
            <w:vAlign w:val="center"/>
          </w:tcPr>
          <w:p w14:paraId="53D05DE9">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B62EBC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2E1C024F">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737EE87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熏煮香肠火腿制品</w:t>
            </w:r>
          </w:p>
        </w:tc>
        <w:tc>
          <w:tcPr>
            <w:tcW w:w="464" w:type="pct"/>
            <w:noWrap w:val="0"/>
            <w:vAlign w:val="center"/>
          </w:tcPr>
          <w:p w14:paraId="7D3FEBE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熏煮香肠</w:t>
            </w:r>
          </w:p>
          <w:p w14:paraId="7E25B68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火腿制品</w:t>
            </w:r>
          </w:p>
        </w:tc>
        <w:tc>
          <w:tcPr>
            <w:tcW w:w="224" w:type="pct"/>
            <w:noWrap w:val="0"/>
            <w:vAlign w:val="center"/>
          </w:tcPr>
          <w:p w14:paraId="2F24218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036572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亚硝酸盐（以亚硝酸钠计）、苯甲酸及其钠盐（以苯甲酸计）、山梨酸及其钾盐（以山梨酸计）、脱氢乙酸及其钠盐（以脱氢乙酸计）、防腐剂混合使用时各自用量占其最大使用量的比例之和、合成着色剂（胭脂红、诱惑红）、氯霉素、菌落总数、大肠菌群、沙门氏菌、金黄色葡萄球菌、单核细胞增生李斯特氏菌、致泻大肠埃希氏菌</w:t>
            </w:r>
          </w:p>
        </w:tc>
      </w:tr>
      <w:tr w14:paraId="71451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restart"/>
            <w:noWrap w:val="0"/>
            <w:vAlign w:val="center"/>
          </w:tcPr>
          <w:p w14:paraId="5B7BB62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w:t>
            </w:r>
          </w:p>
          <w:p w14:paraId="44838B96">
            <w:pPr>
              <w:widowControl/>
              <w:spacing w:line="230" w:lineRule="exact"/>
              <w:jc w:val="center"/>
              <w:textAlignment w:val="center"/>
              <w:rPr>
                <w:rFonts w:hint="eastAsia" w:ascii="宋体" w:hAnsi="宋体" w:eastAsia="宋体" w:cs="宋体"/>
                <w:sz w:val="21"/>
                <w:szCs w:val="21"/>
              </w:rPr>
            </w:pPr>
          </w:p>
        </w:tc>
        <w:tc>
          <w:tcPr>
            <w:tcW w:w="378" w:type="pct"/>
            <w:vMerge w:val="restart"/>
            <w:noWrap w:val="0"/>
            <w:vAlign w:val="center"/>
          </w:tcPr>
          <w:p w14:paraId="11AD5D7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乳制品</w:t>
            </w:r>
          </w:p>
          <w:p w14:paraId="04F6665B">
            <w:pPr>
              <w:widowControl/>
              <w:spacing w:line="230" w:lineRule="exact"/>
              <w:jc w:val="center"/>
              <w:textAlignment w:val="center"/>
              <w:rPr>
                <w:rFonts w:hint="eastAsia" w:ascii="宋体" w:hAnsi="宋体" w:eastAsia="宋体" w:cs="宋体"/>
                <w:sz w:val="21"/>
                <w:szCs w:val="21"/>
              </w:rPr>
            </w:pPr>
          </w:p>
        </w:tc>
        <w:tc>
          <w:tcPr>
            <w:tcW w:w="413" w:type="pct"/>
            <w:vMerge w:val="restart"/>
            <w:noWrap w:val="0"/>
            <w:vAlign w:val="center"/>
          </w:tcPr>
          <w:p w14:paraId="6C53348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乳制品</w:t>
            </w:r>
          </w:p>
          <w:p w14:paraId="758D9C20">
            <w:pPr>
              <w:widowControl/>
              <w:spacing w:line="230" w:lineRule="exact"/>
              <w:jc w:val="center"/>
              <w:textAlignment w:val="center"/>
              <w:rPr>
                <w:rFonts w:hint="eastAsia" w:ascii="宋体" w:hAnsi="宋体" w:eastAsia="宋体" w:cs="宋体"/>
                <w:sz w:val="21"/>
                <w:szCs w:val="21"/>
              </w:rPr>
            </w:pPr>
          </w:p>
        </w:tc>
        <w:tc>
          <w:tcPr>
            <w:tcW w:w="407" w:type="pct"/>
            <w:vMerge w:val="restart"/>
            <w:noWrap w:val="0"/>
            <w:vAlign w:val="center"/>
          </w:tcPr>
          <w:p w14:paraId="027DF0A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液体乳</w:t>
            </w:r>
          </w:p>
          <w:p w14:paraId="306701C6">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5D31070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灭菌乳</w:t>
            </w:r>
          </w:p>
        </w:tc>
        <w:tc>
          <w:tcPr>
            <w:tcW w:w="224" w:type="pct"/>
            <w:noWrap w:val="0"/>
            <w:vAlign w:val="center"/>
          </w:tcPr>
          <w:p w14:paraId="651DA38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EBD03F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蛋白质、非脂乳固体、酸度、脂肪、三聚氰胺、铅（以Pb计）、</w:t>
            </w:r>
            <w:r>
              <w:rPr>
                <w:rFonts w:hint="eastAsia" w:ascii="宋体" w:hAnsi="宋体" w:eastAsia="宋体" w:cs="宋体"/>
                <w:spacing w:val="-2"/>
                <w:sz w:val="21"/>
                <w:szCs w:val="21"/>
              </w:rPr>
              <w:t>黄曲霉毒素M</w:t>
            </w:r>
            <w:r>
              <w:rPr>
                <w:rFonts w:hint="eastAsia" w:ascii="宋体" w:hAnsi="宋体" w:eastAsia="宋体" w:cs="宋体"/>
                <w:spacing w:val="-2"/>
                <w:position w:val="-3"/>
                <w:sz w:val="21"/>
                <w:szCs w:val="21"/>
              </w:rPr>
              <w:t>1</w:t>
            </w:r>
            <w:r>
              <w:rPr>
                <w:rFonts w:hint="eastAsia" w:ascii="宋体" w:hAnsi="宋体" w:eastAsia="宋体" w:cs="宋体"/>
                <w:sz w:val="21"/>
                <w:szCs w:val="21"/>
              </w:rPr>
              <w:t>、丙二醇、商业无菌</w:t>
            </w:r>
          </w:p>
        </w:tc>
      </w:tr>
      <w:tr w14:paraId="7946C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230" w:type="pct"/>
            <w:vMerge w:val="continue"/>
            <w:noWrap w:val="0"/>
            <w:vAlign w:val="center"/>
          </w:tcPr>
          <w:p w14:paraId="33024786">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112D2F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599B474">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59A41F5A">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2942F27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巴氏杀菌乳</w:t>
            </w:r>
          </w:p>
        </w:tc>
        <w:tc>
          <w:tcPr>
            <w:tcW w:w="224" w:type="pct"/>
            <w:noWrap w:val="0"/>
            <w:vAlign w:val="center"/>
          </w:tcPr>
          <w:p w14:paraId="272FDB9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D79941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蛋白质、酸度、三聚氰胺、铅（以Pb计）、</w:t>
            </w:r>
            <w:r>
              <w:rPr>
                <w:rFonts w:hint="eastAsia" w:ascii="宋体" w:hAnsi="宋体" w:eastAsia="宋体" w:cs="宋体"/>
                <w:spacing w:val="-2"/>
                <w:sz w:val="21"/>
                <w:szCs w:val="21"/>
              </w:rPr>
              <w:t>黄曲霉毒素M</w:t>
            </w:r>
            <w:r>
              <w:rPr>
                <w:rFonts w:hint="eastAsia" w:ascii="宋体" w:hAnsi="宋体" w:eastAsia="宋体" w:cs="宋体"/>
                <w:spacing w:val="-2"/>
                <w:position w:val="-3"/>
                <w:sz w:val="21"/>
                <w:szCs w:val="21"/>
              </w:rPr>
              <w:t>1</w:t>
            </w:r>
            <w:r>
              <w:rPr>
                <w:rFonts w:hint="eastAsia" w:ascii="宋体" w:hAnsi="宋体" w:eastAsia="宋体" w:cs="宋体"/>
                <w:sz w:val="21"/>
                <w:szCs w:val="21"/>
              </w:rPr>
              <w:t>、丙二醇、沙门氏菌、金黄色葡萄球菌、菌落总数、大肠菌群</w:t>
            </w:r>
          </w:p>
        </w:tc>
      </w:tr>
      <w:tr w14:paraId="7422F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0" w:hRule="atLeast"/>
          <w:jc w:val="center"/>
        </w:trPr>
        <w:tc>
          <w:tcPr>
            <w:tcW w:w="230" w:type="pct"/>
            <w:vMerge w:val="continue"/>
            <w:noWrap w:val="0"/>
            <w:vAlign w:val="center"/>
          </w:tcPr>
          <w:p w14:paraId="3FA7F9CC">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EF98FD2">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3AB011CC">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084D7147">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1EDE6BD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调制乳</w:t>
            </w:r>
          </w:p>
        </w:tc>
        <w:tc>
          <w:tcPr>
            <w:tcW w:w="224" w:type="pct"/>
            <w:noWrap w:val="0"/>
            <w:vAlign w:val="center"/>
          </w:tcPr>
          <w:p w14:paraId="02AC295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6D2FA8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蛋白质、三聚氰胺、铅（以Pb计）、</w:t>
            </w:r>
            <w:r>
              <w:rPr>
                <w:rFonts w:hint="eastAsia" w:ascii="宋体" w:hAnsi="宋体" w:eastAsia="宋体" w:cs="宋体"/>
                <w:spacing w:val="-2"/>
                <w:sz w:val="21"/>
                <w:szCs w:val="21"/>
              </w:rPr>
              <w:t>黄曲霉毒素M</w:t>
            </w:r>
            <w:r>
              <w:rPr>
                <w:rFonts w:hint="eastAsia" w:ascii="宋体" w:hAnsi="宋体" w:eastAsia="宋体" w:cs="宋体"/>
                <w:spacing w:val="-2"/>
                <w:position w:val="-3"/>
                <w:sz w:val="21"/>
                <w:szCs w:val="21"/>
              </w:rPr>
              <w:t>1</w:t>
            </w:r>
            <w:r>
              <w:rPr>
                <w:rFonts w:hint="eastAsia" w:ascii="宋体" w:hAnsi="宋体" w:eastAsia="宋体" w:cs="宋体"/>
                <w:sz w:val="21"/>
                <w:szCs w:val="21"/>
              </w:rPr>
              <w:t>、商业无菌、菌落总数、大肠菌群</w:t>
            </w:r>
          </w:p>
        </w:tc>
      </w:tr>
      <w:tr w14:paraId="573C2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jc w:val="center"/>
        </w:trPr>
        <w:tc>
          <w:tcPr>
            <w:tcW w:w="230" w:type="pct"/>
            <w:vMerge w:val="continue"/>
            <w:noWrap w:val="0"/>
            <w:vAlign w:val="center"/>
          </w:tcPr>
          <w:p w14:paraId="1B163F6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0B5EA4A">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DE98988">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1201E40E">
            <w:pPr>
              <w:widowControl/>
              <w:spacing w:line="230" w:lineRule="exact"/>
              <w:jc w:val="center"/>
              <w:rPr>
                <w:rFonts w:hint="eastAsia" w:ascii="宋体" w:hAnsi="宋体" w:eastAsia="宋体" w:cs="宋体"/>
                <w:sz w:val="21"/>
                <w:szCs w:val="21"/>
              </w:rPr>
            </w:pPr>
          </w:p>
        </w:tc>
        <w:tc>
          <w:tcPr>
            <w:tcW w:w="464" w:type="pct"/>
            <w:noWrap w:val="0"/>
            <w:vAlign w:val="center"/>
          </w:tcPr>
          <w:p w14:paraId="1E5D4FE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发酵乳</w:t>
            </w:r>
          </w:p>
        </w:tc>
        <w:tc>
          <w:tcPr>
            <w:tcW w:w="224" w:type="pct"/>
            <w:noWrap w:val="0"/>
            <w:vAlign w:val="center"/>
          </w:tcPr>
          <w:p w14:paraId="0772C9E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5A909CA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蛋白质、脂肪、酸度、三聚氰胺、铅（以Pb计）、</w:t>
            </w:r>
            <w:r>
              <w:rPr>
                <w:rFonts w:hint="eastAsia" w:ascii="宋体" w:hAnsi="宋体" w:eastAsia="宋体" w:cs="宋体"/>
                <w:spacing w:val="-2"/>
                <w:sz w:val="21"/>
                <w:szCs w:val="21"/>
              </w:rPr>
              <w:t>黄曲霉毒素M</w:t>
            </w:r>
            <w:r>
              <w:rPr>
                <w:rFonts w:hint="eastAsia" w:ascii="宋体" w:hAnsi="宋体" w:eastAsia="宋体" w:cs="宋体"/>
                <w:spacing w:val="-2"/>
                <w:position w:val="-3"/>
                <w:sz w:val="21"/>
                <w:szCs w:val="21"/>
              </w:rPr>
              <w:t>1</w:t>
            </w:r>
            <w:r>
              <w:rPr>
                <w:rFonts w:hint="eastAsia" w:ascii="宋体" w:hAnsi="宋体" w:eastAsia="宋体" w:cs="宋体"/>
                <w:sz w:val="21"/>
                <w:szCs w:val="21"/>
              </w:rPr>
              <w:t>、山梨酸及其钾盐（以山梨酸计）、甜蜜素（以环己基氨基磺酸计）、阿斯巴甜、安赛蜜、沙门氏菌、金黄色葡萄球菌、大肠菌群、霉菌</w:t>
            </w:r>
          </w:p>
        </w:tc>
      </w:tr>
      <w:tr w14:paraId="6EB03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230" w:type="pct"/>
            <w:vMerge w:val="continue"/>
            <w:noWrap w:val="0"/>
            <w:vAlign w:val="center"/>
          </w:tcPr>
          <w:p w14:paraId="25C38A8C">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85C513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9CC38E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53E60B7">
            <w:pPr>
              <w:widowControl/>
              <w:spacing w:line="230" w:lineRule="exact"/>
              <w:jc w:val="center"/>
              <w:rPr>
                <w:rFonts w:hint="eastAsia" w:ascii="宋体" w:hAnsi="宋体" w:eastAsia="宋体" w:cs="宋体"/>
                <w:sz w:val="21"/>
                <w:szCs w:val="21"/>
              </w:rPr>
            </w:pPr>
          </w:p>
        </w:tc>
        <w:tc>
          <w:tcPr>
            <w:tcW w:w="464" w:type="pct"/>
            <w:noWrap w:val="0"/>
            <w:vAlign w:val="center"/>
          </w:tcPr>
          <w:p w14:paraId="1586413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高温杀菌乳</w:t>
            </w:r>
          </w:p>
        </w:tc>
        <w:tc>
          <w:tcPr>
            <w:tcW w:w="224" w:type="pct"/>
            <w:noWrap w:val="0"/>
            <w:vAlign w:val="center"/>
          </w:tcPr>
          <w:p w14:paraId="2FA29AB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629792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蛋白质、酸度、三聚氰胺、铅（以Pb计）、</w:t>
            </w:r>
            <w:r>
              <w:rPr>
                <w:rFonts w:hint="eastAsia" w:ascii="宋体" w:hAnsi="宋体" w:eastAsia="宋体" w:cs="宋体"/>
                <w:spacing w:val="-2"/>
                <w:sz w:val="21"/>
                <w:szCs w:val="21"/>
              </w:rPr>
              <w:t>黄曲霉毒素M</w:t>
            </w:r>
            <w:r>
              <w:rPr>
                <w:rFonts w:hint="eastAsia" w:ascii="宋体" w:hAnsi="宋体" w:eastAsia="宋体" w:cs="宋体"/>
                <w:spacing w:val="-2"/>
                <w:position w:val="-3"/>
                <w:sz w:val="21"/>
                <w:szCs w:val="21"/>
              </w:rPr>
              <w:t>1</w:t>
            </w:r>
            <w:r>
              <w:rPr>
                <w:rFonts w:hint="eastAsia" w:ascii="宋体" w:hAnsi="宋体" w:eastAsia="宋体" w:cs="宋体"/>
                <w:sz w:val="21"/>
                <w:szCs w:val="21"/>
              </w:rPr>
              <w:t>、丙二醇、沙门氏菌、菌落总数、大肠菌群</w:t>
            </w:r>
          </w:p>
        </w:tc>
      </w:tr>
      <w:tr w14:paraId="4D460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53D13B9">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DA07733">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69A692E">
            <w:pPr>
              <w:widowControl/>
              <w:spacing w:line="230" w:lineRule="exact"/>
              <w:jc w:val="center"/>
              <w:rPr>
                <w:rFonts w:hint="eastAsia" w:ascii="宋体" w:hAnsi="宋体" w:eastAsia="宋体" w:cs="宋体"/>
                <w:sz w:val="21"/>
                <w:szCs w:val="21"/>
              </w:rPr>
            </w:pPr>
          </w:p>
        </w:tc>
        <w:tc>
          <w:tcPr>
            <w:tcW w:w="407" w:type="pct"/>
            <w:noWrap w:val="0"/>
            <w:vAlign w:val="center"/>
          </w:tcPr>
          <w:p w14:paraId="2873D2A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乳粉</w:t>
            </w:r>
          </w:p>
        </w:tc>
        <w:tc>
          <w:tcPr>
            <w:tcW w:w="464" w:type="pct"/>
            <w:noWrap w:val="0"/>
            <w:vAlign w:val="center"/>
          </w:tcPr>
          <w:p w14:paraId="4321ABC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乳粉（全脂、脱脂、部分脱脂）和调制乳粉</w:t>
            </w:r>
          </w:p>
        </w:tc>
        <w:tc>
          <w:tcPr>
            <w:tcW w:w="224" w:type="pct"/>
            <w:noWrap w:val="0"/>
            <w:vAlign w:val="center"/>
          </w:tcPr>
          <w:p w14:paraId="0BF88A1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491965D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蛋白质、脂肪、复原乳酸度、杂质度、水分、三聚氰胺、铅（以Pb计）、菌落总数、大肠菌群</w:t>
            </w:r>
          </w:p>
        </w:tc>
      </w:tr>
      <w:tr w14:paraId="0DA06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3FAC477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w:t>
            </w:r>
          </w:p>
        </w:tc>
        <w:tc>
          <w:tcPr>
            <w:tcW w:w="378" w:type="pct"/>
            <w:vMerge w:val="restart"/>
            <w:noWrap w:val="0"/>
            <w:vAlign w:val="center"/>
          </w:tcPr>
          <w:p w14:paraId="15EA40F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乳制品</w:t>
            </w:r>
          </w:p>
        </w:tc>
        <w:tc>
          <w:tcPr>
            <w:tcW w:w="413" w:type="pct"/>
            <w:vMerge w:val="restart"/>
            <w:noWrap w:val="0"/>
            <w:vAlign w:val="center"/>
          </w:tcPr>
          <w:p w14:paraId="4F35A5E7">
            <w:pPr>
              <w:widowControl/>
              <w:spacing w:line="24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乳制品</w:t>
            </w:r>
          </w:p>
        </w:tc>
        <w:tc>
          <w:tcPr>
            <w:tcW w:w="407" w:type="pct"/>
            <w:noWrap w:val="0"/>
            <w:vAlign w:val="center"/>
          </w:tcPr>
          <w:p w14:paraId="74C20155">
            <w:pPr>
              <w:widowControl/>
              <w:spacing w:line="24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乳清粉和乳清蛋白粉（企业原料）</w:t>
            </w:r>
          </w:p>
        </w:tc>
        <w:tc>
          <w:tcPr>
            <w:tcW w:w="464" w:type="pct"/>
            <w:noWrap w:val="0"/>
            <w:vAlign w:val="center"/>
          </w:tcPr>
          <w:p w14:paraId="68B6A76A">
            <w:pPr>
              <w:widowControl/>
              <w:spacing w:line="24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脱盐乳清粉、非脱盐乳清粉、浓缩乳清蛋白粉、分离乳清蛋白粉</w:t>
            </w:r>
          </w:p>
        </w:tc>
        <w:tc>
          <w:tcPr>
            <w:tcW w:w="224" w:type="pct"/>
            <w:noWrap w:val="0"/>
            <w:vAlign w:val="center"/>
          </w:tcPr>
          <w:p w14:paraId="6CA2DB0F">
            <w:pPr>
              <w:widowControl/>
              <w:spacing w:line="24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高</w:t>
            </w:r>
          </w:p>
        </w:tc>
        <w:tc>
          <w:tcPr>
            <w:tcW w:w="2882" w:type="pct"/>
            <w:noWrap w:val="0"/>
            <w:vAlign w:val="center"/>
          </w:tcPr>
          <w:p w14:paraId="624078DA">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蛋白质、三聚氰胺</w:t>
            </w:r>
          </w:p>
        </w:tc>
      </w:tr>
      <w:tr w14:paraId="79FB1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continue"/>
            <w:noWrap w:val="0"/>
            <w:vAlign w:val="center"/>
          </w:tcPr>
          <w:p w14:paraId="2D047CB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133F9D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409E9C0">
            <w:pPr>
              <w:widowControl/>
              <w:spacing w:line="24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27001A5E">
            <w:pPr>
              <w:widowControl/>
              <w:spacing w:line="24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其他乳制品（浓缩乳制品、奶油、干酪、固态成型产品）</w:t>
            </w:r>
          </w:p>
        </w:tc>
        <w:tc>
          <w:tcPr>
            <w:tcW w:w="464" w:type="pct"/>
            <w:noWrap w:val="0"/>
            <w:vAlign w:val="center"/>
          </w:tcPr>
          <w:p w14:paraId="51C3EEB8">
            <w:pPr>
              <w:widowControl/>
              <w:spacing w:line="24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稀奶油、奶油和无水奶油</w:t>
            </w:r>
          </w:p>
        </w:tc>
        <w:tc>
          <w:tcPr>
            <w:tcW w:w="224" w:type="pct"/>
            <w:noWrap w:val="0"/>
            <w:vAlign w:val="center"/>
          </w:tcPr>
          <w:p w14:paraId="109A34C1">
            <w:pPr>
              <w:widowControl/>
              <w:spacing w:line="24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95DE538">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脂肪、酸度、三聚氰胺、脱氢乙酸及其钠盐（以脱氢乙酸计）、商业无菌、沙门氏菌、菌落总数、大肠菌群、霉菌</w:t>
            </w:r>
          </w:p>
        </w:tc>
      </w:tr>
      <w:tr w14:paraId="305E7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9" w:hRule="atLeast"/>
          <w:jc w:val="center"/>
        </w:trPr>
        <w:tc>
          <w:tcPr>
            <w:tcW w:w="230" w:type="pct"/>
            <w:vMerge w:val="continue"/>
            <w:noWrap w:val="0"/>
            <w:vAlign w:val="center"/>
          </w:tcPr>
          <w:p w14:paraId="2C06BD75">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D464C8D">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394B553">
            <w:pPr>
              <w:widowControl/>
              <w:spacing w:line="24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58BF19B3">
            <w:pPr>
              <w:widowControl/>
              <w:spacing w:line="24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2DFB23A">
            <w:pPr>
              <w:widowControl/>
              <w:spacing w:line="24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干酪、再制干酪、干酪制品</w:t>
            </w:r>
          </w:p>
        </w:tc>
        <w:tc>
          <w:tcPr>
            <w:tcW w:w="224" w:type="pct"/>
            <w:noWrap w:val="0"/>
            <w:vAlign w:val="center"/>
          </w:tcPr>
          <w:p w14:paraId="44A66E98">
            <w:pPr>
              <w:widowControl/>
              <w:spacing w:line="24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D220DD4">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三聚氰胺、金黄色葡萄球菌、沙门氏菌、单核细胞增生李斯特氏菌、菌落总数、大肠菌群、霉菌</w:t>
            </w:r>
          </w:p>
        </w:tc>
      </w:tr>
      <w:tr w14:paraId="41CCE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230" w:type="pct"/>
            <w:vMerge w:val="continue"/>
            <w:noWrap w:val="0"/>
            <w:vAlign w:val="center"/>
          </w:tcPr>
          <w:p w14:paraId="32FC6A98">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66B529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FE5A99B">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738D13B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D32BC4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奶片、奶条等固态成型产品</w:t>
            </w:r>
          </w:p>
        </w:tc>
        <w:tc>
          <w:tcPr>
            <w:tcW w:w="224" w:type="pct"/>
            <w:noWrap w:val="0"/>
            <w:vAlign w:val="center"/>
          </w:tcPr>
          <w:p w14:paraId="4308485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4435D10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蛋白质、三聚氰胺、脱氢乙酸及其钠盐（以脱氢乙酸计）、沙门氏菌</w:t>
            </w:r>
          </w:p>
        </w:tc>
      </w:tr>
      <w:tr w14:paraId="4721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230" w:type="pct"/>
            <w:vMerge w:val="restart"/>
            <w:noWrap w:val="0"/>
            <w:vAlign w:val="center"/>
          </w:tcPr>
          <w:p w14:paraId="5172EE7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6</w:t>
            </w:r>
          </w:p>
        </w:tc>
        <w:tc>
          <w:tcPr>
            <w:tcW w:w="378" w:type="pct"/>
            <w:vMerge w:val="restart"/>
            <w:noWrap w:val="0"/>
            <w:vAlign w:val="center"/>
          </w:tcPr>
          <w:p w14:paraId="23417E5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饮料</w:t>
            </w:r>
          </w:p>
        </w:tc>
        <w:tc>
          <w:tcPr>
            <w:tcW w:w="413" w:type="pct"/>
            <w:vMerge w:val="restart"/>
            <w:noWrap w:val="0"/>
            <w:vAlign w:val="center"/>
          </w:tcPr>
          <w:p w14:paraId="3F8822A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饮料</w:t>
            </w:r>
          </w:p>
        </w:tc>
        <w:tc>
          <w:tcPr>
            <w:tcW w:w="407" w:type="pct"/>
            <w:vMerge w:val="restart"/>
            <w:noWrap w:val="0"/>
            <w:vAlign w:val="center"/>
          </w:tcPr>
          <w:p w14:paraId="2626B04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包装饮用水</w:t>
            </w:r>
          </w:p>
        </w:tc>
        <w:tc>
          <w:tcPr>
            <w:tcW w:w="464" w:type="pct"/>
            <w:noWrap w:val="0"/>
            <w:vAlign w:val="center"/>
          </w:tcPr>
          <w:p w14:paraId="061C13D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饮用天然矿泉水</w:t>
            </w:r>
          </w:p>
        </w:tc>
        <w:tc>
          <w:tcPr>
            <w:tcW w:w="224" w:type="pct"/>
            <w:noWrap w:val="0"/>
            <w:vAlign w:val="center"/>
          </w:tcPr>
          <w:p w14:paraId="0E17F8B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387D66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界限指标、铅（以Pb计）、总砷（以As计）、镉（以Cd计）、总</w:t>
            </w:r>
            <w:r>
              <w:rPr>
                <w:rFonts w:hint="eastAsia" w:ascii="宋体" w:hAnsi="宋体" w:eastAsia="宋体" w:cs="宋体"/>
                <w:spacing w:val="-1"/>
                <w:sz w:val="21"/>
                <w:szCs w:val="21"/>
              </w:rPr>
              <w:t>汞（以Hg计）、镍、溴酸</w:t>
            </w:r>
            <w:r>
              <w:rPr>
                <w:rFonts w:hint="eastAsia" w:ascii="宋体" w:hAnsi="宋体" w:eastAsia="宋体" w:cs="宋体"/>
                <w:sz w:val="21"/>
                <w:szCs w:val="21"/>
              </w:rPr>
              <w:t>盐、硝酸盐（以NO</w:t>
            </w:r>
            <w:r>
              <w:rPr>
                <w:rFonts w:hint="eastAsia" w:ascii="宋体" w:hAnsi="宋体" w:eastAsia="宋体" w:cs="宋体"/>
                <w:position w:val="-3"/>
                <w:sz w:val="21"/>
                <w:szCs w:val="21"/>
              </w:rPr>
              <w:t>3</w:t>
            </w:r>
            <w:r>
              <w:rPr>
                <w:rFonts w:hint="eastAsia" w:ascii="宋体" w:hAnsi="宋体" w:eastAsia="宋体" w:cs="宋体"/>
                <w:position w:val="8"/>
                <w:sz w:val="21"/>
                <w:szCs w:val="21"/>
              </w:rPr>
              <w:t>-</w:t>
            </w:r>
            <w:r>
              <w:rPr>
                <w:rFonts w:hint="eastAsia" w:ascii="宋体" w:hAnsi="宋体" w:eastAsia="宋体" w:cs="宋体"/>
                <w:sz w:val="21"/>
                <w:szCs w:val="21"/>
              </w:rPr>
              <w:t>计）、亚硝酸盐（以NO</w:t>
            </w:r>
            <w:r>
              <w:rPr>
                <w:rFonts w:hint="eastAsia" w:ascii="宋体" w:hAnsi="宋体" w:eastAsia="宋体" w:cs="宋体"/>
                <w:position w:val="-3"/>
                <w:sz w:val="21"/>
                <w:szCs w:val="21"/>
              </w:rPr>
              <w:t>2</w:t>
            </w:r>
            <w:r>
              <w:rPr>
                <w:rFonts w:hint="eastAsia" w:ascii="宋体" w:hAnsi="宋体" w:eastAsia="宋体" w:cs="宋体"/>
                <w:position w:val="8"/>
                <w:sz w:val="21"/>
                <w:szCs w:val="21"/>
              </w:rPr>
              <w:t>-</w:t>
            </w:r>
            <w:r>
              <w:rPr>
                <w:rFonts w:hint="eastAsia" w:ascii="宋体" w:hAnsi="宋体" w:eastAsia="宋体" w:cs="宋体"/>
                <w:sz w:val="21"/>
                <w:szCs w:val="21"/>
              </w:rPr>
              <w:t>计）、大肠菌群、铜绿假单胞菌</w:t>
            </w:r>
          </w:p>
        </w:tc>
      </w:tr>
      <w:tr w14:paraId="28D4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7" w:hRule="atLeast"/>
          <w:jc w:val="center"/>
        </w:trPr>
        <w:tc>
          <w:tcPr>
            <w:tcW w:w="230" w:type="pct"/>
            <w:vMerge w:val="continue"/>
            <w:noWrap w:val="0"/>
            <w:vAlign w:val="center"/>
          </w:tcPr>
          <w:p w14:paraId="62A5429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16816A9">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D315C5C">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81FED8E">
            <w:pPr>
              <w:widowControl/>
              <w:spacing w:line="230" w:lineRule="exact"/>
              <w:jc w:val="center"/>
              <w:rPr>
                <w:rFonts w:hint="eastAsia" w:ascii="宋体" w:hAnsi="宋体" w:eastAsia="宋体" w:cs="宋体"/>
                <w:sz w:val="21"/>
                <w:szCs w:val="21"/>
              </w:rPr>
            </w:pPr>
          </w:p>
        </w:tc>
        <w:tc>
          <w:tcPr>
            <w:tcW w:w="464" w:type="pct"/>
            <w:noWrap w:val="0"/>
            <w:vAlign w:val="center"/>
          </w:tcPr>
          <w:p w14:paraId="7BF3FC3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饮用纯净水</w:t>
            </w:r>
          </w:p>
        </w:tc>
        <w:tc>
          <w:tcPr>
            <w:tcW w:w="224" w:type="pct"/>
            <w:noWrap w:val="0"/>
            <w:vAlign w:val="center"/>
          </w:tcPr>
          <w:p w14:paraId="3872C6C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302234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电导率、耗氧量（以O</w:t>
            </w:r>
            <w:r>
              <w:rPr>
                <w:rFonts w:hint="eastAsia" w:ascii="宋体" w:hAnsi="宋体" w:eastAsia="宋体" w:cs="宋体"/>
                <w:position w:val="-3"/>
                <w:sz w:val="21"/>
                <w:szCs w:val="21"/>
              </w:rPr>
              <w:t>2</w:t>
            </w:r>
            <w:r>
              <w:rPr>
                <w:rFonts w:hint="eastAsia" w:ascii="宋体" w:hAnsi="宋体" w:eastAsia="宋体" w:cs="宋体"/>
                <w:sz w:val="21"/>
                <w:szCs w:val="21"/>
              </w:rPr>
              <w:t>计）、铅（以Pb计</w:t>
            </w:r>
            <w:r>
              <w:rPr>
                <w:rFonts w:hint="eastAsia" w:ascii="宋体" w:hAnsi="宋体" w:eastAsia="宋体" w:cs="宋体"/>
                <w:spacing w:val="-1"/>
                <w:sz w:val="21"/>
                <w:szCs w:val="21"/>
              </w:rPr>
              <w:t>）、总砷（以As计）、镉（以Cd计）、亚硝酸盐</w:t>
            </w:r>
            <w:r>
              <w:rPr>
                <w:rFonts w:hint="eastAsia" w:ascii="宋体" w:hAnsi="宋体" w:eastAsia="宋体" w:cs="宋体"/>
                <w:sz w:val="21"/>
                <w:szCs w:val="21"/>
              </w:rPr>
              <w:t>（以NO</w:t>
            </w:r>
            <w:r>
              <w:rPr>
                <w:rFonts w:hint="eastAsia" w:ascii="宋体" w:hAnsi="宋体" w:eastAsia="宋体" w:cs="宋体"/>
                <w:position w:val="-3"/>
                <w:sz w:val="21"/>
                <w:szCs w:val="21"/>
              </w:rPr>
              <w:t>2</w:t>
            </w:r>
            <w:r>
              <w:rPr>
                <w:rFonts w:hint="eastAsia" w:ascii="宋体" w:hAnsi="宋体" w:eastAsia="宋体" w:cs="宋体"/>
                <w:position w:val="8"/>
                <w:sz w:val="21"/>
                <w:szCs w:val="21"/>
              </w:rPr>
              <w:t>-</w:t>
            </w:r>
            <w:r>
              <w:rPr>
                <w:rFonts w:hint="eastAsia" w:ascii="宋体" w:hAnsi="宋体" w:eastAsia="宋体" w:cs="宋体"/>
                <w:sz w:val="21"/>
                <w:szCs w:val="21"/>
              </w:rPr>
              <w:t>计）、余氯（游离氯）、溴酸盐、三氯甲烷</w:t>
            </w:r>
            <w:r>
              <w:rPr>
                <w:rFonts w:hint="eastAsia" w:ascii="宋体" w:hAnsi="宋体" w:eastAsia="宋体" w:cs="宋体"/>
                <w:spacing w:val="-1"/>
                <w:sz w:val="21"/>
                <w:szCs w:val="21"/>
              </w:rPr>
              <w:t>、大肠菌群、铜绿假单胞菌</w:t>
            </w:r>
          </w:p>
        </w:tc>
      </w:tr>
      <w:tr w14:paraId="6FE2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230" w:type="pct"/>
            <w:vMerge w:val="continue"/>
            <w:noWrap w:val="0"/>
            <w:vAlign w:val="center"/>
          </w:tcPr>
          <w:p w14:paraId="2372D886">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1F15B8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D3FF7DC">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3B9EFB7">
            <w:pPr>
              <w:widowControl/>
              <w:spacing w:line="230" w:lineRule="exact"/>
              <w:jc w:val="center"/>
              <w:rPr>
                <w:rFonts w:hint="eastAsia" w:ascii="宋体" w:hAnsi="宋体" w:eastAsia="宋体" w:cs="宋体"/>
                <w:sz w:val="21"/>
                <w:szCs w:val="21"/>
              </w:rPr>
            </w:pPr>
          </w:p>
        </w:tc>
        <w:tc>
          <w:tcPr>
            <w:tcW w:w="464" w:type="pct"/>
            <w:noWrap w:val="0"/>
            <w:vAlign w:val="center"/>
          </w:tcPr>
          <w:p w14:paraId="252917B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其他类饮用水</w:t>
            </w:r>
          </w:p>
        </w:tc>
        <w:tc>
          <w:tcPr>
            <w:tcW w:w="224" w:type="pct"/>
            <w:noWrap w:val="0"/>
            <w:vAlign w:val="center"/>
          </w:tcPr>
          <w:p w14:paraId="1194F4C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BC35FC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耗氧量（以O</w:t>
            </w:r>
            <w:r>
              <w:rPr>
                <w:rFonts w:hint="eastAsia" w:ascii="宋体" w:hAnsi="宋体" w:eastAsia="宋体" w:cs="宋体"/>
                <w:position w:val="-3"/>
                <w:sz w:val="21"/>
                <w:szCs w:val="21"/>
              </w:rPr>
              <w:t>2</w:t>
            </w:r>
            <w:r>
              <w:rPr>
                <w:rFonts w:hint="eastAsia" w:ascii="宋体" w:hAnsi="宋体" w:eastAsia="宋体" w:cs="宋体"/>
                <w:sz w:val="21"/>
                <w:szCs w:val="21"/>
              </w:rPr>
              <w:t>计）、铅（以Pb计）、总砷（以As计）、镉（以Cd计）、亚硝酸盐（以NO</w:t>
            </w:r>
            <w:r>
              <w:rPr>
                <w:rFonts w:hint="eastAsia" w:ascii="宋体" w:hAnsi="宋体" w:eastAsia="宋体" w:cs="宋体"/>
                <w:position w:val="-3"/>
                <w:sz w:val="21"/>
                <w:szCs w:val="21"/>
              </w:rPr>
              <w:t>2</w:t>
            </w:r>
            <w:r>
              <w:rPr>
                <w:rFonts w:hint="eastAsia" w:ascii="宋体" w:hAnsi="宋体" w:eastAsia="宋体" w:cs="宋体"/>
                <w:position w:val="8"/>
                <w:sz w:val="21"/>
                <w:szCs w:val="21"/>
              </w:rPr>
              <w:t>-</w:t>
            </w:r>
            <w:r>
              <w:rPr>
                <w:rFonts w:hint="eastAsia" w:ascii="宋体" w:hAnsi="宋体" w:eastAsia="宋体" w:cs="宋体"/>
                <w:sz w:val="21"/>
                <w:szCs w:val="21"/>
              </w:rPr>
              <w:t>计）、余氯（游离氯）、溴酸盐、三氯甲烷、大肠</w:t>
            </w:r>
            <w:r>
              <w:rPr>
                <w:rFonts w:hint="eastAsia" w:ascii="宋体" w:hAnsi="宋体" w:eastAsia="宋体" w:cs="宋体"/>
                <w:spacing w:val="-1"/>
                <w:sz w:val="21"/>
                <w:szCs w:val="21"/>
              </w:rPr>
              <w:t>菌群、铜绿假单胞菌</w:t>
            </w:r>
          </w:p>
        </w:tc>
      </w:tr>
      <w:tr w14:paraId="47CA1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8" w:hRule="atLeast"/>
          <w:jc w:val="center"/>
        </w:trPr>
        <w:tc>
          <w:tcPr>
            <w:tcW w:w="230" w:type="pct"/>
            <w:vMerge w:val="continue"/>
            <w:noWrap w:val="0"/>
            <w:vAlign w:val="center"/>
          </w:tcPr>
          <w:p w14:paraId="1161A001">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A7DA15C">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A0999D5">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1858C04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果蔬汁类及其饮料</w:t>
            </w:r>
          </w:p>
        </w:tc>
        <w:tc>
          <w:tcPr>
            <w:tcW w:w="464" w:type="pct"/>
            <w:noWrap w:val="0"/>
            <w:vAlign w:val="center"/>
          </w:tcPr>
          <w:p w14:paraId="3E77F4D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果蔬汁类及其饮料</w:t>
            </w:r>
          </w:p>
        </w:tc>
        <w:tc>
          <w:tcPr>
            <w:tcW w:w="224" w:type="pct"/>
            <w:noWrap w:val="0"/>
            <w:vAlign w:val="center"/>
          </w:tcPr>
          <w:p w14:paraId="4F8FAD3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5C1485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展青霉素、苯甲酸及其钠盐（以苯甲酸计）、山梨酸及其钾盐（以山梨酸计）、脱氢乙酸及其钠盐（以脱氢乙酸计）、纳他霉素、防腐剂混合使用时各自用量占其最大使用量的比例之和、安赛蜜、甜蜜素（以环己基氨基磺酸计）、阿斯巴甜、合成着色剂（柠檬黄、新红、苋菜红、靛蓝、胭脂红、日落黄、诱惑红、亮蓝、酸性红、喹啉黄、赤藓红）、菌落总数、大肠菌群、霉菌、酵母</w:t>
            </w:r>
          </w:p>
        </w:tc>
      </w:tr>
      <w:tr w14:paraId="7556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atLeast"/>
          <w:jc w:val="center"/>
        </w:trPr>
        <w:tc>
          <w:tcPr>
            <w:tcW w:w="230" w:type="pct"/>
            <w:vMerge w:val="continue"/>
            <w:noWrap w:val="0"/>
            <w:vAlign w:val="center"/>
          </w:tcPr>
          <w:p w14:paraId="10F792E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E56C797">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4769172">
            <w:pPr>
              <w:widowControl/>
              <w:spacing w:line="230" w:lineRule="exact"/>
              <w:jc w:val="center"/>
              <w:rPr>
                <w:rFonts w:hint="eastAsia" w:ascii="宋体" w:hAnsi="宋体" w:eastAsia="宋体" w:cs="宋体"/>
                <w:sz w:val="21"/>
                <w:szCs w:val="21"/>
              </w:rPr>
            </w:pPr>
          </w:p>
        </w:tc>
        <w:tc>
          <w:tcPr>
            <w:tcW w:w="407" w:type="pct"/>
            <w:noWrap w:val="0"/>
            <w:vAlign w:val="center"/>
          </w:tcPr>
          <w:p w14:paraId="5448896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蛋白饮料</w:t>
            </w:r>
          </w:p>
        </w:tc>
        <w:tc>
          <w:tcPr>
            <w:tcW w:w="464" w:type="pct"/>
            <w:noWrap w:val="0"/>
            <w:vAlign w:val="center"/>
          </w:tcPr>
          <w:p w14:paraId="7A3E085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蛋白饮料</w:t>
            </w:r>
          </w:p>
        </w:tc>
        <w:tc>
          <w:tcPr>
            <w:tcW w:w="224" w:type="pct"/>
            <w:noWrap w:val="0"/>
            <w:vAlign w:val="center"/>
          </w:tcPr>
          <w:p w14:paraId="7CED7FB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149886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蛋白质、乳酸菌数、氰化物（以HCN计）、三聚氰胺、脱氢乙酸及其钠盐（以脱氢乙酸计）、安赛蜜、甜蜜素（以环己基氨基磺酸计）、阿斯巴甜、菌落总数、大肠菌群、霉菌、酵母、商业无菌</w:t>
            </w:r>
          </w:p>
        </w:tc>
      </w:tr>
      <w:tr w14:paraId="15A6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30" w:type="pct"/>
            <w:vMerge w:val="restart"/>
            <w:noWrap w:val="0"/>
            <w:vAlign w:val="center"/>
          </w:tcPr>
          <w:p w14:paraId="7296A34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w:t>
            </w:r>
          </w:p>
        </w:tc>
        <w:tc>
          <w:tcPr>
            <w:tcW w:w="378" w:type="pct"/>
            <w:vMerge w:val="restart"/>
            <w:noWrap w:val="0"/>
            <w:vAlign w:val="center"/>
          </w:tcPr>
          <w:p w14:paraId="757D273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饮料</w:t>
            </w:r>
          </w:p>
        </w:tc>
        <w:tc>
          <w:tcPr>
            <w:tcW w:w="413" w:type="pct"/>
            <w:vMerge w:val="restart"/>
            <w:noWrap w:val="0"/>
            <w:vAlign w:val="center"/>
          </w:tcPr>
          <w:p w14:paraId="59CFFC8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饮料</w:t>
            </w:r>
          </w:p>
        </w:tc>
        <w:tc>
          <w:tcPr>
            <w:tcW w:w="407" w:type="pct"/>
            <w:noWrap w:val="0"/>
            <w:vAlign w:val="center"/>
          </w:tcPr>
          <w:p w14:paraId="75BA1FB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碳酸饮料（汽水）</w:t>
            </w:r>
          </w:p>
        </w:tc>
        <w:tc>
          <w:tcPr>
            <w:tcW w:w="464" w:type="pct"/>
            <w:noWrap w:val="0"/>
            <w:vAlign w:val="center"/>
          </w:tcPr>
          <w:p w14:paraId="051FDA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碳酸饮料（汽水）</w:t>
            </w:r>
          </w:p>
        </w:tc>
        <w:tc>
          <w:tcPr>
            <w:tcW w:w="224" w:type="pct"/>
            <w:noWrap w:val="0"/>
            <w:vAlign w:val="center"/>
          </w:tcPr>
          <w:p w14:paraId="07239E6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37042B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二氧化碳气容量、苯甲酸及其钠盐（以苯甲酸计）、山梨酸及其钾盐（以山梨酸计）、防腐剂混合使用时各自用量占其最大使用量的比例之和、安赛蜜、甜蜜素（以环己基氨基磺酸计）、阿斯巴甜、菌落总数、霉菌、酵母</w:t>
            </w:r>
          </w:p>
        </w:tc>
      </w:tr>
      <w:tr w14:paraId="47CC3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30" w:type="pct"/>
            <w:vMerge w:val="continue"/>
            <w:noWrap w:val="0"/>
            <w:vAlign w:val="center"/>
          </w:tcPr>
          <w:p w14:paraId="0B9C9960">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538C290">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9CA0B41">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7B5CA27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茶饮料</w:t>
            </w:r>
          </w:p>
        </w:tc>
        <w:tc>
          <w:tcPr>
            <w:tcW w:w="464" w:type="pct"/>
            <w:noWrap w:val="0"/>
            <w:vAlign w:val="center"/>
          </w:tcPr>
          <w:p w14:paraId="60AE8FC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茶饮料</w:t>
            </w:r>
          </w:p>
        </w:tc>
        <w:tc>
          <w:tcPr>
            <w:tcW w:w="224" w:type="pct"/>
            <w:noWrap w:val="0"/>
            <w:vAlign w:val="center"/>
          </w:tcPr>
          <w:p w14:paraId="3255432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6ACB7B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茶多酚、咖啡因、脱氢乙酸及其钠盐（以脱氢乙酸计）、安赛蜜、甜蜜素（以环己基氨基磺酸计）、阿斯巴甜、菌落总数</w:t>
            </w:r>
          </w:p>
        </w:tc>
      </w:tr>
      <w:tr w14:paraId="1E48D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30" w:type="pct"/>
            <w:vMerge w:val="continue"/>
            <w:noWrap w:val="0"/>
            <w:vAlign w:val="center"/>
          </w:tcPr>
          <w:p w14:paraId="3822AB52">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2A5B730">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71774FD">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0528C6C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固体饮料</w:t>
            </w:r>
          </w:p>
        </w:tc>
        <w:tc>
          <w:tcPr>
            <w:tcW w:w="464" w:type="pct"/>
            <w:noWrap w:val="0"/>
            <w:vAlign w:val="center"/>
          </w:tcPr>
          <w:p w14:paraId="3B2497E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固体饮料</w:t>
            </w:r>
          </w:p>
        </w:tc>
        <w:tc>
          <w:tcPr>
            <w:tcW w:w="224" w:type="pct"/>
            <w:noWrap w:val="0"/>
            <w:vAlign w:val="center"/>
          </w:tcPr>
          <w:p w14:paraId="687C64D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E4CBC5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乳酸菌数、西地那非、他达拉非、西布曲明、比沙可啶、铅（以Pb计）、氰化物（以HCN计）、苯甲酸及其钠盐（以苯甲酸计）、山梨酸及其钾盐（以山梨酸计）、防腐剂混合使用时各自用量占其最大使用量的比例之和、糖精钠（以糖精计）、安赛蜜、甜蜜素（以环己基氨基磺酸计）、阿斯巴甜、合成着色剂（柠檬黄、新红、苋菜红、靛蓝、胭脂红、日落黄、诱惑红、亮蓝、酸性红、喹啉黄、赤藓红）、相同色泽着色剂混合使用时各自用量占其最大使用量的比例之和、菌落总数、大肠菌群、霉菌</w:t>
            </w:r>
          </w:p>
        </w:tc>
      </w:tr>
      <w:tr w14:paraId="5E609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30" w:type="pct"/>
            <w:vMerge w:val="continue"/>
            <w:noWrap w:val="0"/>
            <w:vAlign w:val="center"/>
          </w:tcPr>
          <w:p w14:paraId="508D1966">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187EAC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B400157">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41BA7FE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其他饮料</w:t>
            </w:r>
          </w:p>
        </w:tc>
        <w:tc>
          <w:tcPr>
            <w:tcW w:w="464" w:type="pct"/>
            <w:noWrap w:val="0"/>
            <w:vAlign w:val="center"/>
          </w:tcPr>
          <w:p w14:paraId="6D50010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其他饮料</w:t>
            </w:r>
          </w:p>
        </w:tc>
        <w:tc>
          <w:tcPr>
            <w:tcW w:w="224" w:type="pct"/>
            <w:noWrap w:val="0"/>
            <w:vAlign w:val="center"/>
          </w:tcPr>
          <w:p w14:paraId="48ECE69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5D0DB9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防腐剂混合使用时各自用量占其最大使用量的比例之和、糖精钠（以糖精计）、安赛蜜、甜蜜素（以环己基氨基磺酸计）、阿斯巴甜、合成着色剂（柠檬黄、新红、苋菜红、靛蓝、胭脂红、日落黄、诱惑红、亮蓝、酸性红、喹啉黄、赤藓红）、菌落总数、大肠菌群、霉菌、酵母</w:t>
            </w:r>
          </w:p>
        </w:tc>
      </w:tr>
      <w:tr w14:paraId="75A7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30" w:type="pct"/>
            <w:vMerge w:val="restart"/>
            <w:noWrap w:val="0"/>
            <w:vAlign w:val="center"/>
          </w:tcPr>
          <w:p w14:paraId="5B0898A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7</w:t>
            </w:r>
          </w:p>
        </w:tc>
        <w:tc>
          <w:tcPr>
            <w:tcW w:w="378" w:type="pct"/>
            <w:vMerge w:val="restart"/>
            <w:noWrap w:val="0"/>
            <w:vAlign w:val="center"/>
          </w:tcPr>
          <w:p w14:paraId="4440B73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方便食品</w:t>
            </w:r>
          </w:p>
        </w:tc>
        <w:tc>
          <w:tcPr>
            <w:tcW w:w="413" w:type="pct"/>
            <w:vMerge w:val="restart"/>
            <w:noWrap w:val="0"/>
            <w:vAlign w:val="center"/>
          </w:tcPr>
          <w:p w14:paraId="277985E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方便食品</w:t>
            </w:r>
          </w:p>
        </w:tc>
        <w:tc>
          <w:tcPr>
            <w:tcW w:w="407" w:type="pct"/>
            <w:vMerge w:val="restart"/>
            <w:noWrap w:val="0"/>
            <w:vAlign w:val="center"/>
          </w:tcPr>
          <w:p w14:paraId="32D3512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方便面</w:t>
            </w:r>
          </w:p>
          <w:p w14:paraId="607DE46A">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0369CCF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油炸面、非油炸面</w:t>
            </w:r>
          </w:p>
        </w:tc>
        <w:tc>
          <w:tcPr>
            <w:tcW w:w="224" w:type="pct"/>
            <w:noWrap w:val="0"/>
            <w:vAlign w:val="center"/>
          </w:tcPr>
          <w:p w14:paraId="68AEF5C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431888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水分、酸价（以脂肪计）（KOH）、过氧化值（以脂肪计）、菌落总数、大肠菌群、霉菌</w:t>
            </w:r>
          </w:p>
        </w:tc>
      </w:tr>
      <w:tr w14:paraId="4558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2" w:hRule="atLeast"/>
          <w:jc w:val="center"/>
        </w:trPr>
        <w:tc>
          <w:tcPr>
            <w:tcW w:w="230" w:type="pct"/>
            <w:vMerge w:val="continue"/>
            <w:noWrap w:val="0"/>
            <w:vAlign w:val="center"/>
          </w:tcPr>
          <w:p w14:paraId="2AA4FFD8">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E8880C5">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F8B2FB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0018614E">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A2AA83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方便米粉（米线）</w:t>
            </w:r>
          </w:p>
        </w:tc>
        <w:tc>
          <w:tcPr>
            <w:tcW w:w="224" w:type="pct"/>
            <w:noWrap w:val="0"/>
            <w:vAlign w:val="center"/>
          </w:tcPr>
          <w:p w14:paraId="391C0ED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6E34A3C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水分、菌落总数、大肠菌群、霉菌</w:t>
            </w:r>
          </w:p>
        </w:tc>
      </w:tr>
      <w:tr w14:paraId="2E37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6" w:hRule="atLeast"/>
          <w:jc w:val="center"/>
        </w:trPr>
        <w:tc>
          <w:tcPr>
            <w:tcW w:w="230" w:type="pct"/>
            <w:vMerge w:val="continue"/>
            <w:noWrap w:val="0"/>
            <w:vAlign w:val="center"/>
          </w:tcPr>
          <w:p w14:paraId="7F97617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1388FD0">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BE975A1">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5BF8AD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253EA00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方便粉丝</w:t>
            </w:r>
          </w:p>
        </w:tc>
        <w:tc>
          <w:tcPr>
            <w:tcW w:w="224" w:type="pct"/>
            <w:noWrap w:val="0"/>
            <w:vAlign w:val="center"/>
          </w:tcPr>
          <w:p w14:paraId="3A914B9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7C707A1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水分、菌落总数、大肠菌群、霉菌</w:t>
            </w:r>
          </w:p>
        </w:tc>
      </w:tr>
      <w:tr w14:paraId="4BC32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4" w:hRule="atLeast"/>
          <w:jc w:val="center"/>
        </w:trPr>
        <w:tc>
          <w:tcPr>
            <w:tcW w:w="230" w:type="pct"/>
            <w:vMerge w:val="continue"/>
            <w:noWrap w:val="0"/>
            <w:vAlign w:val="center"/>
          </w:tcPr>
          <w:p w14:paraId="2B72DCFB">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2B44ADE">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6926005">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27A366E">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9C32E0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其他方便面</w:t>
            </w:r>
          </w:p>
        </w:tc>
        <w:tc>
          <w:tcPr>
            <w:tcW w:w="224" w:type="pct"/>
            <w:noWrap w:val="0"/>
            <w:vAlign w:val="center"/>
          </w:tcPr>
          <w:p w14:paraId="3B17972C">
            <w:pPr>
              <w:widowControl/>
              <w:spacing w:line="230" w:lineRule="exact"/>
              <w:jc w:val="center"/>
              <w:textAlignment w:val="center"/>
              <w:rPr>
                <w:rFonts w:hint="eastAsia" w:ascii="宋体" w:hAnsi="宋体" w:eastAsia="宋体" w:cs="宋体"/>
                <w:kern w:val="0"/>
                <w:sz w:val="21"/>
                <w:szCs w:val="21"/>
                <w:lang w:eastAsia="en-US" w:bidi="ar"/>
              </w:rPr>
            </w:pPr>
            <w:r>
              <w:rPr>
                <w:rFonts w:hint="eastAsia" w:ascii="宋体" w:hAnsi="宋体" w:eastAsia="宋体" w:cs="宋体"/>
                <w:kern w:val="0"/>
                <w:sz w:val="21"/>
                <w:szCs w:val="21"/>
                <w:lang w:bidi="ar"/>
              </w:rPr>
              <w:t>较高</w:t>
            </w:r>
          </w:p>
        </w:tc>
        <w:tc>
          <w:tcPr>
            <w:tcW w:w="2882" w:type="pct"/>
            <w:noWrap w:val="0"/>
            <w:vAlign w:val="center"/>
          </w:tcPr>
          <w:p w14:paraId="2609298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水分、酸价（以脂肪计）（KOH）、过氧化值（以脂肪计）、菌落总数、大肠菌群、霉菌</w:t>
            </w:r>
          </w:p>
        </w:tc>
      </w:tr>
      <w:tr w14:paraId="4DE0D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9" w:hRule="atLeast"/>
          <w:jc w:val="center"/>
        </w:trPr>
        <w:tc>
          <w:tcPr>
            <w:tcW w:w="230" w:type="pct"/>
            <w:vMerge w:val="continue"/>
            <w:noWrap w:val="0"/>
            <w:vAlign w:val="center"/>
          </w:tcPr>
          <w:p w14:paraId="620851D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C3D63E1">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5ADB8D4">
            <w:pPr>
              <w:widowControl/>
              <w:spacing w:line="230" w:lineRule="exact"/>
              <w:jc w:val="center"/>
              <w:rPr>
                <w:rFonts w:hint="eastAsia" w:ascii="宋体" w:hAnsi="宋体" w:eastAsia="宋体" w:cs="宋体"/>
                <w:sz w:val="21"/>
                <w:szCs w:val="21"/>
              </w:rPr>
            </w:pPr>
          </w:p>
        </w:tc>
        <w:tc>
          <w:tcPr>
            <w:tcW w:w="407" w:type="pct"/>
            <w:noWrap w:val="0"/>
            <w:vAlign w:val="center"/>
          </w:tcPr>
          <w:p w14:paraId="1326CB9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调味面制品</w:t>
            </w:r>
          </w:p>
        </w:tc>
        <w:tc>
          <w:tcPr>
            <w:tcW w:w="464" w:type="pct"/>
            <w:noWrap w:val="0"/>
            <w:vAlign w:val="center"/>
          </w:tcPr>
          <w:p w14:paraId="3DA6701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调味面制品</w:t>
            </w:r>
          </w:p>
        </w:tc>
        <w:tc>
          <w:tcPr>
            <w:tcW w:w="224" w:type="pct"/>
            <w:noWrap w:val="0"/>
            <w:vAlign w:val="center"/>
          </w:tcPr>
          <w:p w14:paraId="2A9142F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AF9C7C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苯甲酸及其钠盐（以苯甲酸计）、山梨酸及其钾盐（以山梨酸计）、脱氢乙酸及其钠盐（以脱氢乙酸计）、糖精钠（以糖精计）、甜蜜素（以环己基氨基磺酸计）、安赛蜜、三氯蔗糖、合成着色剂（柠檬黄、日落黄、诱惑红、苋菜红、胭脂红）、菌落总数、大肠菌群、霉菌、沙门氏菌、金黄色葡萄球菌</w:t>
            </w:r>
          </w:p>
        </w:tc>
      </w:tr>
      <w:tr w14:paraId="40CFB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230" w:type="pct"/>
            <w:vMerge w:val="restart"/>
            <w:noWrap w:val="0"/>
            <w:vAlign w:val="center"/>
          </w:tcPr>
          <w:p w14:paraId="736EC56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7</w:t>
            </w:r>
          </w:p>
        </w:tc>
        <w:tc>
          <w:tcPr>
            <w:tcW w:w="378" w:type="pct"/>
            <w:vMerge w:val="restart"/>
            <w:noWrap w:val="0"/>
            <w:vAlign w:val="center"/>
          </w:tcPr>
          <w:p w14:paraId="0ABD8D0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方便食品</w:t>
            </w:r>
          </w:p>
        </w:tc>
        <w:tc>
          <w:tcPr>
            <w:tcW w:w="413" w:type="pct"/>
            <w:vMerge w:val="restart"/>
            <w:noWrap w:val="0"/>
            <w:vAlign w:val="center"/>
          </w:tcPr>
          <w:p w14:paraId="40A09B3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方便食品</w:t>
            </w:r>
          </w:p>
        </w:tc>
        <w:tc>
          <w:tcPr>
            <w:tcW w:w="407" w:type="pct"/>
            <w:vMerge w:val="restart"/>
            <w:noWrap w:val="0"/>
            <w:vAlign w:val="center"/>
          </w:tcPr>
          <w:p w14:paraId="3DEFF51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其他方便食品</w:t>
            </w:r>
          </w:p>
        </w:tc>
        <w:tc>
          <w:tcPr>
            <w:tcW w:w="464" w:type="pct"/>
            <w:noWrap w:val="0"/>
            <w:vAlign w:val="center"/>
          </w:tcPr>
          <w:p w14:paraId="012B34E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冲调类方便食品</w:t>
            </w:r>
          </w:p>
        </w:tc>
        <w:tc>
          <w:tcPr>
            <w:tcW w:w="224" w:type="pct"/>
            <w:noWrap w:val="0"/>
            <w:vAlign w:val="center"/>
          </w:tcPr>
          <w:p w14:paraId="4737AC9D">
            <w:pPr>
              <w:pStyle w:val="122"/>
              <w:spacing w:line="23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较高</w:t>
            </w:r>
          </w:p>
        </w:tc>
        <w:tc>
          <w:tcPr>
            <w:tcW w:w="2882" w:type="pct"/>
            <w:noWrap w:val="0"/>
            <w:vAlign w:val="top"/>
          </w:tcPr>
          <w:p w14:paraId="4EA8729B">
            <w:pPr>
              <w:pStyle w:val="122"/>
              <w:spacing w:line="230" w:lineRule="exact"/>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酸价（以脂肪计）（KOH）、过氧化值（以脂肪计）、铅（以Pb计）、黄曲霉毒素B</w:t>
            </w:r>
            <w:r>
              <w:rPr>
                <w:rFonts w:hint="eastAsia" w:ascii="宋体" w:hAnsi="宋体" w:eastAsia="宋体" w:cs="宋体"/>
                <w:position w:val="-3"/>
                <w:sz w:val="21"/>
                <w:szCs w:val="21"/>
                <w:lang w:eastAsia="zh-CN"/>
              </w:rPr>
              <w:t>1</w:t>
            </w:r>
            <w:r>
              <w:rPr>
                <w:rFonts w:hint="eastAsia" w:ascii="宋体" w:hAnsi="宋体" w:eastAsia="宋体" w:cs="宋体"/>
                <w:sz w:val="21"/>
                <w:szCs w:val="21"/>
                <w:lang w:eastAsia="zh-CN"/>
              </w:rPr>
              <w:t>、苯甲酸及其钠盐（以苯甲酸计）、山梨酸及其钾盐（以山梨酸计）、糖精钠（以糖精计）、菌落总数、大肠菌群、霉菌、沙门氏菌、金黄色葡萄球菌</w:t>
            </w:r>
          </w:p>
        </w:tc>
      </w:tr>
      <w:tr w14:paraId="0982F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0938EC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7DE911C">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082AF71">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7098ABF6">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8F5D6E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主食类方便食品</w:t>
            </w:r>
          </w:p>
        </w:tc>
        <w:tc>
          <w:tcPr>
            <w:tcW w:w="224" w:type="pct"/>
            <w:noWrap w:val="0"/>
            <w:vAlign w:val="center"/>
          </w:tcPr>
          <w:p w14:paraId="2364F663">
            <w:pPr>
              <w:pStyle w:val="122"/>
              <w:spacing w:line="23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较高</w:t>
            </w:r>
          </w:p>
        </w:tc>
        <w:tc>
          <w:tcPr>
            <w:tcW w:w="2882" w:type="pct"/>
            <w:noWrap w:val="0"/>
            <w:vAlign w:val="top"/>
          </w:tcPr>
          <w:p w14:paraId="18BA1824">
            <w:pPr>
              <w:pStyle w:val="122"/>
              <w:spacing w:line="230" w:lineRule="exact"/>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酸价（以脂肪计）（KOH）、过氧化值（以脂肪计）、铅（以Pb计）、苯甲酸及其钠盐（以苯甲酸计）、山梨酸及其钾盐（以山梨酸计）、脱氢乙酸及其钠盐（以脱氢乙酸计）、糖精钠（以糖精计）、菌落总数、大肠菌群、霉菌、沙门氏菌、金黄色葡萄球菌</w:t>
            </w:r>
          </w:p>
        </w:tc>
      </w:tr>
      <w:tr w14:paraId="28147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3" w:hRule="atLeast"/>
          <w:jc w:val="center"/>
        </w:trPr>
        <w:tc>
          <w:tcPr>
            <w:tcW w:w="230" w:type="pct"/>
            <w:vMerge w:val="continue"/>
            <w:noWrap w:val="0"/>
            <w:vAlign w:val="center"/>
          </w:tcPr>
          <w:p w14:paraId="1BF272A3">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A420AC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4BB5E25">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04C1E4E">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0CA9A1E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其他类方便食品</w:t>
            </w:r>
          </w:p>
        </w:tc>
        <w:tc>
          <w:tcPr>
            <w:tcW w:w="224" w:type="pct"/>
            <w:noWrap w:val="0"/>
            <w:vAlign w:val="center"/>
          </w:tcPr>
          <w:p w14:paraId="1E09AA51">
            <w:pPr>
              <w:pStyle w:val="122"/>
              <w:spacing w:line="23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较高</w:t>
            </w:r>
          </w:p>
        </w:tc>
        <w:tc>
          <w:tcPr>
            <w:tcW w:w="2882" w:type="pct"/>
            <w:noWrap w:val="0"/>
            <w:vAlign w:val="top"/>
          </w:tcPr>
          <w:p w14:paraId="53650131">
            <w:pPr>
              <w:pStyle w:val="122"/>
              <w:spacing w:line="230" w:lineRule="exact"/>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酸价（以脂肪计）（KOH）、过氧化值（以脂肪计）、铅（以Pb计）、苯甲酸及其钠盐（以苯甲酸计）、山梨酸及其钾盐（以山梨酸计）、糖精钠（以糖精计）、菌落总数、大肠菌群、霉菌、沙门氏菌、金黄色葡萄球菌</w:t>
            </w:r>
          </w:p>
        </w:tc>
      </w:tr>
      <w:tr w14:paraId="06382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5" w:hRule="atLeast"/>
          <w:jc w:val="center"/>
        </w:trPr>
        <w:tc>
          <w:tcPr>
            <w:tcW w:w="230" w:type="pct"/>
            <w:noWrap w:val="0"/>
            <w:vAlign w:val="center"/>
          </w:tcPr>
          <w:p w14:paraId="07CF006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8</w:t>
            </w:r>
          </w:p>
        </w:tc>
        <w:tc>
          <w:tcPr>
            <w:tcW w:w="378" w:type="pct"/>
            <w:noWrap w:val="0"/>
            <w:vAlign w:val="center"/>
          </w:tcPr>
          <w:p w14:paraId="46CBB6E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饼干</w:t>
            </w:r>
          </w:p>
        </w:tc>
        <w:tc>
          <w:tcPr>
            <w:tcW w:w="413" w:type="pct"/>
            <w:noWrap w:val="0"/>
            <w:vAlign w:val="center"/>
          </w:tcPr>
          <w:p w14:paraId="2857333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饼干</w:t>
            </w:r>
          </w:p>
        </w:tc>
        <w:tc>
          <w:tcPr>
            <w:tcW w:w="407" w:type="pct"/>
            <w:noWrap w:val="0"/>
            <w:vAlign w:val="center"/>
          </w:tcPr>
          <w:p w14:paraId="37B5053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饼干</w:t>
            </w:r>
          </w:p>
        </w:tc>
        <w:tc>
          <w:tcPr>
            <w:tcW w:w="464" w:type="pct"/>
            <w:noWrap w:val="0"/>
            <w:vAlign w:val="center"/>
          </w:tcPr>
          <w:p w14:paraId="30185D4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饼干</w:t>
            </w:r>
          </w:p>
        </w:tc>
        <w:tc>
          <w:tcPr>
            <w:tcW w:w="224" w:type="pct"/>
            <w:noWrap w:val="0"/>
            <w:vAlign w:val="center"/>
          </w:tcPr>
          <w:p w14:paraId="051EA8E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741EF6A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山梨酸及其钾盐（以山梨酸计）、铝的残留量（干样品，以Al计）、脱氢乙酸及其钠盐（以脱氢乙酸计）、甜蜜素（以环己基氨基磺酸计）、糖精钠（以糖精计）、二氧化硫残留量、苯甲酸及其钠盐（以苯甲酸计）、合成着色剂（柠檬黄、日落黄、胭脂红、苋菜红、亮蓝、靛蓝、诱惑红）、菌落总数、大肠菌群、金黄色葡萄球菌、沙门氏菌、霉菌</w:t>
            </w:r>
          </w:p>
        </w:tc>
      </w:tr>
      <w:tr w14:paraId="7EA52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230" w:type="pct"/>
            <w:vMerge w:val="restart"/>
            <w:noWrap w:val="0"/>
            <w:vAlign w:val="center"/>
          </w:tcPr>
          <w:p w14:paraId="3015129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9</w:t>
            </w:r>
          </w:p>
        </w:tc>
        <w:tc>
          <w:tcPr>
            <w:tcW w:w="378" w:type="pct"/>
            <w:vMerge w:val="restart"/>
            <w:noWrap w:val="0"/>
            <w:vAlign w:val="center"/>
          </w:tcPr>
          <w:p w14:paraId="219AA6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罐头</w:t>
            </w:r>
          </w:p>
        </w:tc>
        <w:tc>
          <w:tcPr>
            <w:tcW w:w="413" w:type="pct"/>
            <w:vMerge w:val="restart"/>
            <w:noWrap w:val="0"/>
            <w:vAlign w:val="center"/>
          </w:tcPr>
          <w:p w14:paraId="4F91A0D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罐头</w:t>
            </w:r>
          </w:p>
        </w:tc>
        <w:tc>
          <w:tcPr>
            <w:tcW w:w="407" w:type="pct"/>
            <w:vMerge w:val="restart"/>
            <w:noWrap w:val="0"/>
            <w:vAlign w:val="center"/>
          </w:tcPr>
          <w:p w14:paraId="661BA8F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畜禽水产罐头</w:t>
            </w:r>
          </w:p>
        </w:tc>
        <w:tc>
          <w:tcPr>
            <w:tcW w:w="464" w:type="pct"/>
            <w:noWrap w:val="0"/>
            <w:vAlign w:val="center"/>
          </w:tcPr>
          <w:p w14:paraId="4E0D413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畜禽肉类罐头</w:t>
            </w:r>
          </w:p>
        </w:tc>
        <w:tc>
          <w:tcPr>
            <w:tcW w:w="224" w:type="pct"/>
            <w:noWrap w:val="0"/>
            <w:vAlign w:val="center"/>
          </w:tcPr>
          <w:p w14:paraId="31A2EAB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B6EE65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铅（以Pb计）、镉（以Cd计）、脱氢乙酸及其钠盐（以脱氢乙酸计）、苯甲酸及其钠盐（以苯甲酸计）、山梨酸及其钾盐（以山梨酸计）、商业无菌</w:t>
            </w:r>
          </w:p>
        </w:tc>
      </w:tr>
      <w:tr w14:paraId="6D839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5" w:hRule="atLeast"/>
          <w:jc w:val="center"/>
        </w:trPr>
        <w:tc>
          <w:tcPr>
            <w:tcW w:w="230" w:type="pct"/>
            <w:vMerge w:val="continue"/>
            <w:noWrap w:val="0"/>
            <w:vAlign w:val="center"/>
          </w:tcPr>
          <w:p w14:paraId="5F6285D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006580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00E628F">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18C42A62">
            <w:pPr>
              <w:widowControl/>
              <w:spacing w:line="230" w:lineRule="exact"/>
              <w:jc w:val="center"/>
              <w:rPr>
                <w:rFonts w:hint="eastAsia" w:ascii="宋体" w:hAnsi="宋体" w:eastAsia="宋体" w:cs="宋体"/>
                <w:sz w:val="21"/>
                <w:szCs w:val="21"/>
              </w:rPr>
            </w:pPr>
          </w:p>
        </w:tc>
        <w:tc>
          <w:tcPr>
            <w:tcW w:w="464" w:type="pct"/>
            <w:noWrap w:val="0"/>
            <w:vAlign w:val="center"/>
          </w:tcPr>
          <w:p w14:paraId="580C0C7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水产动物类罐头</w:t>
            </w:r>
          </w:p>
        </w:tc>
        <w:tc>
          <w:tcPr>
            <w:tcW w:w="224" w:type="pct"/>
            <w:noWrap w:val="0"/>
            <w:vAlign w:val="center"/>
          </w:tcPr>
          <w:p w14:paraId="31F0BE3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59F10D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组胺、铅（以Pb计）、无机砷（以As计）、脱氢乙酸及其钠盐（以脱氢乙酸计）、苯甲酸及其钠盐（以苯甲酸计）、山梨酸及其钾盐（以山梨酸计）、糖精钠（以糖精计）、甜蜜素（以环己基氨基磺酸计）、商业无菌</w:t>
            </w:r>
          </w:p>
        </w:tc>
      </w:tr>
      <w:tr w14:paraId="2A69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9" w:hRule="atLeast"/>
          <w:jc w:val="center"/>
        </w:trPr>
        <w:tc>
          <w:tcPr>
            <w:tcW w:w="230" w:type="pct"/>
            <w:vMerge w:val="continue"/>
            <w:noWrap w:val="0"/>
            <w:vAlign w:val="center"/>
          </w:tcPr>
          <w:p w14:paraId="0413E87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11F6FC4">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C5A9784">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6383B59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果蔬罐头</w:t>
            </w:r>
          </w:p>
        </w:tc>
        <w:tc>
          <w:tcPr>
            <w:tcW w:w="464" w:type="pct"/>
            <w:noWrap w:val="0"/>
            <w:vAlign w:val="center"/>
          </w:tcPr>
          <w:p w14:paraId="32A9AF8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水果类罐头</w:t>
            </w:r>
          </w:p>
        </w:tc>
        <w:tc>
          <w:tcPr>
            <w:tcW w:w="224" w:type="pct"/>
            <w:noWrap w:val="0"/>
            <w:vAlign w:val="center"/>
          </w:tcPr>
          <w:p w14:paraId="0A057BA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E3813E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合成着色剂（柠檬黄、日落黄、苋菜红、胭脂红、赤藓红、诱惑红、亮蓝）、脱氢乙酸及其钠盐（以脱氢乙酸计）、苯甲酸及其钠盐（以苯甲酸计）、山梨酸及其钾盐（以山梨酸计）、糖精钠（以糖精计）、甜蜜素（以环己基氨基磺酸计）、二氧化硫残留量、商业无菌</w:t>
            </w:r>
          </w:p>
        </w:tc>
      </w:tr>
      <w:tr w14:paraId="0AAA9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8" w:hRule="atLeast"/>
          <w:jc w:val="center"/>
        </w:trPr>
        <w:tc>
          <w:tcPr>
            <w:tcW w:w="230" w:type="pct"/>
            <w:vMerge w:val="continue"/>
            <w:noWrap w:val="0"/>
            <w:vAlign w:val="center"/>
          </w:tcPr>
          <w:p w14:paraId="57952D8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E31B399">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311015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0AE438DD">
            <w:pPr>
              <w:widowControl/>
              <w:spacing w:line="230" w:lineRule="exact"/>
              <w:jc w:val="center"/>
              <w:rPr>
                <w:rFonts w:hint="eastAsia" w:ascii="宋体" w:hAnsi="宋体" w:eastAsia="宋体" w:cs="宋体"/>
                <w:sz w:val="21"/>
                <w:szCs w:val="21"/>
              </w:rPr>
            </w:pPr>
          </w:p>
        </w:tc>
        <w:tc>
          <w:tcPr>
            <w:tcW w:w="464" w:type="pct"/>
            <w:noWrap w:val="0"/>
            <w:vAlign w:val="center"/>
          </w:tcPr>
          <w:p w14:paraId="5FD0611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蔬菜类罐头</w:t>
            </w:r>
          </w:p>
        </w:tc>
        <w:tc>
          <w:tcPr>
            <w:tcW w:w="224" w:type="pct"/>
            <w:noWrap w:val="0"/>
            <w:vAlign w:val="center"/>
          </w:tcPr>
          <w:p w14:paraId="4DD4FF1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7010FF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铅（以Pb计）、合成着色剂（柠檬黄、日落黄）、脱氢乙酸及其钠盐（以脱氢乙酸计）、苯甲酸及其钠盐（以苯甲酸计）、山梨酸及其钾盐（以山梨酸计）、乙二胺四乙酸二钠、二氧化硫残留量、商业无菌</w:t>
            </w:r>
          </w:p>
        </w:tc>
      </w:tr>
      <w:tr w14:paraId="19FD9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7" w:hRule="atLeast"/>
          <w:jc w:val="center"/>
        </w:trPr>
        <w:tc>
          <w:tcPr>
            <w:tcW w:w="230" w:type="pct"/>
            <w:vMerge w:val="continue"/>
            <w:noWrap w:val="0"/>
            <w:vAlign w:val="center"/>
          </w:tcPr>
          <w:p w14:paraId="7FF45E4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DE8FBF5">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4AD3F4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68541708">
            <w:pPr>
              <w:widowControl/>
              <w:spacing w:line="230" w:lineRule="exact"/>
              <w:jc w:val="center"/>
              <w:rPr>
                <w:rFonts w:hint="eastAsia" w:ascii="宋体" w:hAnsi="宋体" w:eastAsia="宋体" w:cs="宋体"/>
                <w:sz w:val="21"/>
                <w:szCs w:val="21"/>
              </w:rPr>
            </w:pPr>
          </w:p>
        </w:tc>
        <w:tc>
          <w:tcPr>
            <w:tcW w:w="464" w:type="pct"/>
            <w:noWrap w:val="0"/>
            <w:vAlign w:val="center"/>
          </w:tcPr>
          <w:p w14:paraId="26D3DF9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食用菌罐头</w:t>
            </w:r>
          </w:p>
        </w:tc>
        <w:tc>
          <w:tcPr>
            <w:tcW w:w="224" w:type="pct"/>
            <w:noWrap w:val="0"/>
            <w:vAlign w:val="center"/>
          </w:tcPr>
          <w:p w14:paraId="45EC22F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570EE4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铅（以Pb计）、脱氢乙酸及其钠盐（以脱氢乙酸计）、苯甲酸及其钠盐（以苯甲酸计）、山梨酸及其钾盐（以山梨酸计）、乙二胺四乙酸二钠、二氧化硫残留量、商业无菌</w:t>
            </w:r>
          </w:p>
        </w:tc>
      </w:tr>
      <w:tr w14:paraId="34FA4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230" w:type="pct"/>
            <w:vMerge w:val="continue"/>
            <w:noWrap w:val="0"/>
            <w:vAlign w:val="center"/>
          </w:tcPr>
          <w:p w14:paraId="6019B5D3">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71CFBE10">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49388C3F">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50F4C92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其他罐头</w:t>
            </w:r>
          </w:p>
        </w:tc>
        <w:tc>
          <w:tcPr>
            <w:tcW w:w="464" w:type="pct"/>
            <w:noWrap w:val="0"/>
            <w:vAlign w:val="center"/>
          </w:tcPr>
          <w:p w14:paraId="546457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其他罐头</w:t>
            </w:r>
          </w:p>
        </w:tc>
        <w:tc>
          <w:tcPr>
            <w:tcW w:w="224" w:type="pct"/>
            <w:noWrap w:val="0"/>
            <w:vAlign w:val="center"/>
          </w:tcPr>
          <w:p w14:paraId="40E4F8C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92E0B9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黄曲霉毒素B</w:t>
            </w:r>
            <w:r>
              <w:rPr>
                <w:rFonts w:hint="eastAsia" w:ascii="宋体" w:hAnsi="宋体" w:eastAsia="宋体" w:cs="宋体"/>
                <w:position w:val="-3"/>
                <w:sz w:val="21"/>
                <w:szCs w:val="21"/>
              </w:rPr>
              <w:t>1</w:t>
            </w:r>
            <w:r>
              <w:rPr>
                <w:rFonts w:hint="eastAsia" w:ascii="宋体" w:hAnsi="宋体" w:eastAsia="宋体" w:cs="宋体"/>
                <w:sz w:val="21"/>
                <w:szCs w:val="21"/>
              </w:rPr>
              <w:t>、脱氢乙酸及其钠盐（以脱氢乙酸计）、苯甲酸及其钠盐（以苯甲酸计）、山梨酸及其钾盐（以山梨酸计）、乙二胺四乙酸二钠、商业无菌</w:t>
            </w:r>
          </w:p>
        </w:tc>
      </w:tr>
      <w:tr w14:paraId="47817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noWrap w:val="0"/>
            <w:vAlign w:val="center"/>
          </w:tcPr>
          <w:p w14:paraId="4D39179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10</w:t>
            </w:r>
          </w:p>
        </w:tc>
        <w:tc>
          <w:tcPr>
            <w:tcW w:w="378" w:type="pct"/>
            <w:noWrap w:val="0"/>
            <w:vAlign w:val="center"/>
          </w:tcPr>
          <w:p w14:paraId="5593690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冷冻饮品</w:t>
            </w:r>
          </w:p>
        </w:tc>
        <w:tc>
          <w:tcPr>
            <w:tcW w:w="413" w:type="pct"/>
            <w:noWrap w:val="0"/>
            <w:vAlign w:val="center"/>
          </w:tcPr>
          <w:p w14:paraId="221D1E7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冷冻饮品</w:t>
            </w:r>
          </w:p>
        </w:tc>
        <w:tc>
          <w:tcPr>
            <w:tcW w:w="407" w:type="pct"/>
            <w:noWrap w:val="0"/>
            <w:vAlign w:val="center"/>
          </w:tcPr>
          <w:p w14:paraId="3B1FD33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冷冻饮品</w:t>
            </w:r>
          </w:p>
        </w:tc>
        <w:tc>
          <w:tcPr>
            <w:tcW w:w="464" w:type="pct"/>
            <w:noWrap w:val="0"/>
            <w:vAlign w:val="center"/>
          </w:tcPr>
          <w:p w14:paraId="37AD981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冰淇淋、雪糕、雪泥、冰棍、食用冰、甜味冰、其他类</w:t>
            </w:r>
          </w:p>
        </w:tc>
        <w:tc>
          <w:tcPr>
            <w:tcW w:w="224" w:type="pct"/>
            <w:noWrap w:val="0"/>
            <w:vAlign w:val="center"/>
          </w:tcPr>
          <w:p w14:paraId="772016E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5FA318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甜蜜素（以环己基氨基磺酸计）、糖精钠（以糖精计）、安赛蜜、三氯蔗糖、合成着色剂（柠檬黄、日落黄、新红、苋菜红、靛蓝、胭脂红、诱惑红、亮蓝、酸性红、喹啉黄、赤藓红）、相同色泽着色剂混合使用时各自用量占其最大使用量的比例之和、菌落总数、大肠菌群、沙门氏菌、单核细胞增生李斯特氏菌</w:t>
            </w:r>
          </w:p>
        </w:tc>
      </w:tr>
      <w:tr w14:paraId="17681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11DAE25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11</w:t>
            </w:r>
          </w:p>
          <w:p w14:paraId="17A417F6">
            <w:pPr>
              <w:widowControl/>
              <w:spacing w:line="230" w:lineRule="exact"/>
              <w:jc w:val="center"/>
              <w:textAlignment w:val="center"/>
              <w:rPr>
                <w:rFonts w:hint="eastAsia" w:ascii="宋体" w:hAnsi="宋体" w:eastAsia="宋体" w:cs="宋体"/>
                <w:sz w:val="21"/>
                <w:szCs w:val="21"/>
              </w:rPr>
            </w:pPr>
          </w:p>
        </w:tc>
        <w:tc>
          <w:tcPr>
            <w:tcW w:w="378" w:type="pct"/>
            <w:vMerge w:val="restart"/>
            <w:noWrap w:val="0"/>
            <w:vAlign w:val="center"/>
          </w:tcPr>
          <w:p w14:paraId="6B35C1D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速冻食品</w:t>
            </w:r>
          </w:p>
          <w:p w14:paraId="76263836">
            <w:pPr>
              <w:widowControl/>
              <w:spacing w:line="230" w:lineRule="exact"/>
              <w:jc w:val="center"/>
              <w:textAlignment w:val="center"/>
              <w:rPr>
                <w:rFonts w:hint="eastAsia" w:ascii="宋体" w:hAnsi="宋体" w:eastAsia="宋体" w:cs="宋体"/>
                <w:sz w:val="21"/>
                <w:szCs w:val="21"/>
              </w:rPr>
            </w:pPr>
          </w:p>
        </w:tc>
        <w:tc>
          <w:tcPr>
            <w:tcW w:w="413" w:type="pct"/>
            <w:vMerge w:val="restart"/>
            <w:noWrap w:val="0"/>
            <w:vAlign w:val="center"/>
          </w:tcPr>
          <w:p w14:paraId="65DF421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速冻面米食品</w:t>
            </w:r>
          </w:p>
        </w:tc>
        <w:tc>
          <w:tcPr>
            <w:tcW w:w="407" w:type="pct"/>
            <w:vMerge w:val="restart"/>
            <w:noWrap w:val="0"/>
            <w:vAlign w:val="center"/>
          </w:tcPr>
          <w:p w14:paraId="3F6F432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速冻面米食品</w:t>
            </w:r>
          </w:p>
        </w:tc>
        <w:tc>
          <w:tcPr>
            <w:tcW w:w="464" w:type="pct"/>
            <w:noWrap w:val="0"/>
            <w:vAlign w:val="center"/>
          </w:tcPr>
          <w:p w14:paraId="0D15E2A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速冻面米生制品</w:t>
            </w:r>
          </w:p>
        </w:tc>
        <w:tc>
          <w:tcPr>
            <w:tcW w:w="224" w:type="pct"/>
            <w:noWrap w:val="0"/>
            <w:vAlign w:val="center"/>
          </w:tcPr>
          <w:p w14:paraId="733A4E5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BE303F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过氧化值（以脂肪计）、铅（以Pb计）、糖精钠（以糖精计）、甜蜜素（以环己基氨基磺酸计）、合成着色剂（柠檬黄、日落黄、苋菜红、亮蓝、胭脂红）</w:t>
            </w:r>
          </w:p>
        </w:tc>
      </w:tr>
      <w:tr w14:paraId="2D86F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40A068B6">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9DC2829">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3542DECD">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38DB729E">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262C394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速冻面米熟制品</w:t>
            </w:r>
          </w:p>
        </w:tc>
        <w:tc>
          <w:tcPr>
            <w:tcW w:w="224" w:type="pct"/>
            <w:noWrap w:val="0"/>
            <w:vAlign w:val="center"/>
          </w:tcPr>
          <w:p w14:paraId="72D5143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AEA01B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过氧化值（以脂肪计）、铅（以Pb计）、糖精钠（以糖精计）、甜蜜素（以环己基氨基磺酸计）、合成着色剂（柠檬黄、日落黄、苋菜红、亮蓝、胭脂红）、菌落总数、大肠菌群、沙门氏菌、金黄色葡萄球菌</w:t>
            </w:r>
          </w:p>
        </w:tc>
      </w:tr>
      <w:tr w14:paraId="5F6BE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0" w:hRule="atLeast"/>
          <w:jc w:val="center"/>
        </w:trPr>
        <w:tc>
          <w:tcPr>
            <w:tcW w:w="230" w:type="pct"/>
            <w:vMerge w:val="continue"/>
            <w:noWrap w:val="0"/>
            <w:vAlign w:val="center"/>
          </w:tcPr>
          <w:p w14:paraId="77E4C1BC">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0D9D41B">
            <w:pPr>
              <w:widowControl/>
              <w:spacing w:line="230" w:lineRule="exact"/>
              <w:jc w:val="center"/>
              <w:textAlignment w:val="center"/>
              <w:rPr>
                <w:rFonts w:hint="eastAsia" w:ascii="宋体" w:hAnsi="宋体" w:eastAsia="宋体" w:cs="宋体"/>
                <w:sz w:val="21"/>
                <w:szCs w:val="21"/>
              </w:rPr>
            </w:pPr>
          </w:p>
        </w:tc>
        <w:tc>
          <w:tcPr>
            <w:tcW w:w="413" w:type="pct"/>
            <w:vMerge w:val="restart"/>
            <w:noWrap w:val="0"/>
            <w:vAlign w:val="center"/>
          </w:tcPr>
          <w:p w14:paraId="5B7884A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速冻调制食品</w:t>
            </w:r>
          </w:p>
        </w:tc>
        <w:tc>
          <w:tcPr>
            <w:tcW w:w="407" w:type="pct"/>
            <w:noWrap w:val="0"/>
            <w:vAlign w:val="center"/>
          </w:tcPr>
          <w:p w14:paraId="7EF950F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速冻调理肉制品</w:t>
            </w:r>
          </w:p>
        </w:tc>
        <w:tc>
          <w:tcPr>
            <w:tcW w:w="464" w:type="pct"/>
            <w:noWrap w:val="0"/>
            <w:vAlign w:val="center"/>
          </w:tcPr>
          <w:p w14:paraId="302C212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速冻调理肉制品</w:t>
            </w:r>
          </w:p>
        </w:tc>
        <w:tc>
          <w:tcPr>
            <w:tcW w:w="224" w:type="pct"/>
            <w:noWrap w:val="0"/>
            <w:vAlign w:val="center"/>
          </w:tcPr>
          <w:p w14:paraId="5F57079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F90C82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铅（以Pb计）、铬（以Cr计）、氯霉素、合成着色剂（胭脂红、柠檬黄、日落黄、诱惑红）、亚硝酸盐（以亚硝酸钠计）、苯甲酸及其钠盐（以苯甲酸计）、山梨酸及其钾盐（以山梨酸计）、菌落总数、大肠菌群、沙门氏菌、金黄色葡萄球菌、单核细胞增生李斯特氏菌</w:t>
            </w:r>
          </w:p>
        </w:tc>
      </w:tr>
      <w:tr w14:paraId="2DF38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30" w:type="pct"/>
            <w:vMerge w:val="continue"/>
            <w:noWrap w:val="0"/>
            <w:vAlign w:val="center"/>
          </w:tcPr>
          <w:p w14:paraId="46C30EE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737B1DA">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E12352B">
            <w:pPr>
              <w:widowControl/>
              <w:spacing w:line="230" w:lineRule="exact"/>
              <w:jc w:val="center"/>
              <w:rPr>
                <w:rFonts w:hint="eastAsia" w:ascii="宋体" w:hAnsi="宋体" w:eastAsia="宋体" w:cs="宋体"/>
                <w:sz w:val="21"/>
                <w:szCs w:val="21"/>
              </w:rPr>
            </w:pPr>
          </w:p>
        </w:tc>
        <w:tc>
          <w:tcPr>
            <w:tcW w:w="407" w:type="pct"/>
            <w:noWrap w:val="0"/>
            <w:vAlign w:val="center"/>
          </w:tcPr>
          <w:p w14:paraId="224E22E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速冻调制水产制品</w:t>
            </w:r>
          </w:p>
        </w:tc>
        <w:tc>
          <w:tcPr>
            <w:tcW w:w="464" w:type="pct"/>
            <w:noWrap w:val="0"/>
            <w:vAlign w:val="center"/>
          </w:tcPr>
          <w:p w14:paraId="6CDE433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速冻调制水产制品</w:t>
            </w:r>
          </w:p>
        </w:tc>
        <w:tc>
          <w:tcPr>
            <w:tcW w:w="224" w:type="pct"/>
            <w:noWrap w:val="0"/>
            <w:vAlign w:val="center"/>
          </w:tcPr>
          <w:p w14:paraId="580CA02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9687E2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挥发性盐基氮、苯甲酸及其钠盐（以苯甲酸计）、山梨酸及其钾盐（以山梨酸计）、二氧化硫残留量、菌落总数、大肠菌群、沙门氏菌、副溶血性弧菌、单核细胞增生李斯特氏菌</w:t>
            </w:r>
          </w:p>
        </w:tc>
      </w:tr>
      <w:tr w14:paraId="66096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11B349C">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3E47E19">
            <w:pPr>
              <w:widowControl/>
              <w:spacing w:line="230" w:lineRule="exact"/>
              <w:jc w:val="center"/>
              <w:rPr>
                <w:rFonts w:hint="eastAsia" w:ascii="宋体" w:hAnsi="宋体" w:eastAsia="宋体" w:cs="宋体"/>
                <w:sz w:val="21"/>
                <w:szCs w:val="21"/>
              </w:rPr>
            </w:pPr>
          </w:p>
        </w:tc>
        <w:tc>
          <w:tcPr>
            <w:tcW w:w="413" w:type="pct"/>
            <w:vMerge w:val="restart"/>
            <w:noWrap w:val="0"/>
            <w:vAlign w:val="center"/>
          </w:tcPr>
          <w:p w14:paraId="0D29312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速冻其他食品</w:t>
            </w:r>
          </w:p>
        </w:tc>
        <w:tc>
          <w:tcPr>
            <w:tcW w:w="407" w:type="pct"/>
            <w:noWrap w:val="0"/>
            <w:vAlign w:val="center"/>
          </w:tcPr>
          <w:p w14:paraId="04D13A2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速冻谷物食品</w:t>
            </w:r>
          </w:p>
        </w:tc>
        <w:tc>
          <w:tcPr>
            <w:tcW w:w="464" w:type="pct"/>
            <w:noWrap w:val="0"/>
            <w:vAlign w:val="center"/>
          </w:tcPr>
          <w:p w14:paraId="1D7EC1B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速冻谷物食品</w:t>
            </w:r>
          </w:p>
        </w:tc>
        <w:tc>
          <w:tcPr>
            <w:tcW w:w="224" w:type="pct"/>
            <w:noWrap w:val="0"/>
            <w:vAlign w:val="center"/>
          </w:tcPr>
          <w:p w14:paraId="0BFD6BC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BE62FF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铅（以Pb计）、黄曲霉毒素B</w:t>
            </w:r>
            <w:r>
              <w:rPr>
                <w:rFonts w:hint="eastAsia" w:ascii="宋体" w:hAnsi="宋体" w:eastAsia="宋体" w:cs="宋体"/>
                <w:kern w:val="0"/>
                <w:sz w:val="21"/>
                <w:szCs w:val="21"/>
                <w:vertAlign w:val="subscript"/>
                <w:lang w:bidi="ar"/>
              </w:rPr>
              <w:t>1</w:t>
            </w:r>
          </w:p>
        </w:tc>
      </w:tr>
      <w:tr w14:paraId="7573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7EF20FC">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E0FAFAE">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9B20DF6">
            <w:pPr>
              <w:widowControl/>
              <w:spacing w:line="230" w:lineRule="exact"/>
              <w:jc w:val="center"/>
              <w:rPr>
                <w:rFonts w:hint="eastAsia" w:ascii="宋体" w:hAnsi="宋体" w:eastAsia="宋体" w:cs="宋体"/>
                <w:sz w:val="21"/>
                <w:szCs w:val="21"/>
              </w:rPr>
            </w:pPr>
          </w:p>
        </w:tc>
        <w:tc>
          <w:tcPr>
            <w:tcW w:w="407" w:type="pct"/>
            <w:noWrap w:val="0"/>
            <w:vAlign w:val="center"/>
          </w:tcPr>
          <w:p w14:paraId="558F77A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速冻蔬菜制品</w:t>
            </w:r>
          </w:p>
        </w:tc>
        <w:tc>
          <w:tcPr>
            <w:tcW w:w="464" w:type="pct"/>
            <w:noWrap w:val="0"/>
            <w:vAlign w:val="center"/>
          </w:tcPr>
          <w:p w14:paraId="5ADDC57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速冻蔬菜制品</w:t>
            </w:r>
          </w:p>
        </w:tc>
        <w:tc>
          <w:tcPr>
            <w:tcW w:w="224" w:type="pct"/>
            <w:noWrap w:val="0"/>
            <w:vAlign w:val="center"/>
          </w:tcPr>
          <w:p w14:paraId="54FACC1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DE990E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铅（以Pb计）、镉（以Cd计）、糖精钠（以糖精计）</w:t>
            </w:r>
          </w:p>
        </w:tc>
      </w:tr>
      <w:tr w14:paraId="5B367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230" w:type="pct"/>
            <w:vMerge w:val="continue"/>
            <w:noWrap w:val="0"/>
            <w:vAlign w:val="center"/>
          </w:tcPr>
          <w:p w14:paraId="4A60FAB0">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108F685">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A4A6C74">
            <w:pPr>
              <w:widowControl/>
              <w:spacing w:line="230" w:lineRule="exact"/>
              <w:jc w:val="center"/>
              <w:rPr>
                <w:rFonts w:hint="eastAsia" w:ascii="宋体" w:hAnsi="宋体" w:eastAsia="宋体" w:cs="宋体"/>
                <w:sz w:val="21"/>
                <w:szCs w:val="21"/>
              </w:rPr>
            </w:pPr>
          </w:p>
        </w:tc>
        <w:tc>
          <w:tcPr>
            <w:tcW w:w="407" w:type="pct"/>
            <w:noWrap w:val="0"/>
            <w:vAlign w:val="center"/>
          </w:tcPr>
          <w:p w14:paraId="79B952D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速冻水果制品</w:t>
            </w:r>
          </w:p>
        </w:tc>
        <w:tc>
          <w:tcPr>
            <w:tcW w:w="464" w:type="pct"/>
            <w:noWrap w:val="0"/>
            <w:vAlign w:val="center"/>
          </w:tcPr>
          <w:p w14:paraId="5CD391D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速冻水果制品</w:t>
            </w:r>
          </w:p>
        </w:tc>
        <w:tc>
          <w:tcPr>
            <w:tcW w:w="224" w:type="pct"/>
            <w:noWrap w:val="0"/>
            <w:vAlign w:val="center"/>
          </w:tcPr>
          <w:p w14:paraId="17C4F7A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98FAAB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铅（以Pb计）、镉（以Cd计）、菌落总数、大肠菌群、霉菌、沙门氏菌、金黄色葡萄球菌</w:t>
            </w:r>
          </w:p>
        </w:tc>
      </w:tr>
      <w:tr w14:paraId="40A4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230" w:type="pct"/>
            <w:vMerge w:val="restart"/>
            <w:noWrap w:val="0"/>
            <w:vAlign w:val="center"/>
          </w:tcPr>
          <w:p w14:paraId="7A308BE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12</w:t>
            </w:r>
          </w:p>
        </w:tc>
        <w:tc>
          <w:tcPr>
            <w:tcW w:w="378" w:type="pct"/>
            <w:vMerge w:val="restart"/>
            <w:noWrap w:val="0"/>
            <w:vAlign w:val="center"/>
          </w:tcPr>
          <w:p w14:paraId="0E37008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薯类和膨化食品</w:t>
            </w:r>
          </w:p>
        </w:tc>
        <w:tc>
          <w:tcPr>
            <w:tcW w:w="413" w:type="pct"/>
            <w:vMerge w:val="restart"/>
            <w:noWrap w:val="0"/>
            <w:vAlign w:val="center"/>
          </w:tcPr>
          <w:p w14:paraId="0A6D77A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薯类和膨化食品</w:t>
            </w:r>
          </w:p>
        </w:tc>
        <w:tc>
          <w:tcPr>
            <w:tcW w:w="407" w:type="pct"/>
            <w:noWrap w:val="0"/>
            <w:vAlign w:val="center"/>
          </w:tcPr>
          <w:p w14:paraId="164EE52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膨化食品</w:t>
            </w:r>
          </w:p>
        </w:tc>
        <w:tc>
          <w:tcPr>
            <w:tcW w:w="464" w:type="pct"/>
            <w:noWrap w:val="0"/>
            <w:vAlign w:val="center"/>
          </w:tcPr>
          <w:p w14:paraId="00022CD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含油型膨化食品和非含油型膨化食品</w:t>
            </w:r>
          </w:p>
        </w:tc>
        <w:tc>
          <w:tcPr>
            <w:tcW w:w="224" w:type="pct"/>
            <w:noWrap w:val="0"/>
            <w:vAlign w:val="center"/>
          </w:tcPr>
          <w:p w14:paraId="5D4B26E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9D738E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水分、酸价（以脂肪计）（KOH）、过氧化值（以脂肪计）、黄曲霉毒素</w:t>
            </w:r>
            <w:r>
              <w:rPr>
                <w:rFonts w:hint="eastAsia" w:ascii="宋体" w:hAnsi="宋体" w:eastAsia="宋体" w:cs="宋体"/>
                <w:kern w:val="0"/>
                <w:sz w:val="21"/>
                <w:szCs w:val="21"/>
                <w:lang w:bidi="ar"/>
              </w:rPr>
              <w:t>B</w:t>
            </w:r>
            <w:r>
              <w:rPr>
                <w:rFonts w:hint="eastAsia" w:ascii="宋体" w:hAnsi="宋体" w:eastAsia="宋体" w:cs="宋体"/>
                <w:kern w:val="0"/>
                <w:sz w:val="21"/>
                <w:szCs w:val="21"/>
                <w:vertAlign w:val="subscript"/>
                <w:lang w:bidi="ar"/>
              </w:rPr>
              <w:t>1</w:t>
            </w:r>
            <w:r>
              <w:rPr>
                <w:rFonts w:hint="eastAsia" w:ascii="宋体" w:hAnsi="宋体" w:eastAsia="宋体" w:cs="宋体"/>
                <w:sz w:val="21"/>
                <w:szCs w:val="21"/>
              </w:rPr>
              <w:t>、糖精钠（以糖精计）、甜蜜素（以环己基氨基磺酸计）、三氯蔗糖、纽甜、合成着色剂（新红、苋菜红、酸性红、喹啉黄）、菌落总数、大肠菌群、沙门氏菌、金黄色葡萄球菌</w:t>
            </w:r>
          </w:p>
        </w:tc>
      </w:tr>
      <w:tr w14:paraId="45B4A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230" w:type="pct"/>
            <w:vMerge w:val="continue"/>
            <w:noWrap w:val="0"/>
            <w:vAlign w:val="center"/>
          </w:tcPr>
          <w:p w14:paraId="7CE7739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5EF97FB">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8CB8188">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28E6D9E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薯类食品</w:t>
            </w:r>
          </w:p>
        </w:tc>
        <w:tc>
          <w:tcPr>
            <w:tcW w:w="464" w:type="pct"/>
            <w:noWrap w:val="0"/>
            <w:vAlign w:val="center"/>
          </w:tcPr>
          <w:p w14:paraId="6BE17E1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干制薯类</w:t>
            </w:r>
          </w:p>
        </w:tc>
        <w:tc>
          <w:tcPr>
            <w:tcW w:w="224" w:type="pct"/>
            <w:noWrap w:val="0"/>
            <w:vAlign w:val="center"/>
          </w:tcPr>
          <w:p w14:paraId="20EAE0E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AC7C57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酸价（以脂肪计）（KOH）、过氧化值（以脂肪计）、铅（以Pb计）、二氧化硫残留量、菌落总数、大肠菌群、沙门氏菌、金黄色葡萄球菌</w:t>
            </w:r>
          </w:p>
        </w:tc>
      </w:tr>
      <w:tr w14:paraId="7FE30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2C47F8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C3AEE6C">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08DB7A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305324A">
            <w:pPr>
              <w:widowControl/>
              <w:spacing w:line="230" w:lineRule="exact"/>
              <w:jc w:val="center"/>
              <w:rPr>
                <w:rFonts w:hint="eastAsia" w:ascii="宋体" w:hAnsi="宋体" w:eastAsia="宋体" w:cs="宋体"/>
                <w:sz w:val="21"/>
                <w:szCs w:val="21"/>
              </w:rPr>
            </w:pPr>
          </w:p>
        </w:tc>
        <w:tc>
          <w:tcPr>
            <w:tcW w:w="464" w:type="pct"/>
            <w:noWrap w:val="0"/>
            <w:vAlign w:val="center"/>
          </w:tcPr>
          <w:p w14:paraId="0CF8E59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冷冻薯类</w:t>
            </w:r>
          </w:p>
        </w:tc>
        <w:tc>
          <w:tcPr>
            <w:tcW w:w="224" w:type="pct"/>
            <w:noWrap w:val="0"/>
            <w:vAlign w:val="center"/>
          </w:tcPr>
          <w:p w14:paraId="23942FE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1BE64E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w:t>
            </w:r>
          </w:p>
        </w:tc>
      </w:tr>
      <w:tr w14:paraId="16107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230" w:type="pct"/>
            <w:vMerge w:val="restart"/>
            <w:noWrap w:val="0"/>
            <w:vAlign w:val="center"/>
          </w:tcPr>
          <w:p w14:paraId="0F1B044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12</w:t>
            </w:r>
          </w:p>
        </w:tc>
        <w:tc>
          <w:tcPr>
            <w:tcW w:w="378" w:type="pct"/>
            <w:vMerge w:val="restart"/>
            <w:noWrap w:val="0"/>
            <w:vAlign w:val="center"/>
          </w:tcPr>
          <w:p w14:paraId="08AB870B">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薯类和膨化食品</w:t>
            </w:r>
          </w:p>
        </w:tc>
        <w:tc>
          <w:tcPr>
            <w:tcW w:w="413" w:type="pct"/>
            <w:vMerge w:val="restart"/>
            <w:noWrap w:val="0"/>
            <w:vAlign w:val="center"/>
          </w:tcPr>
          <w:p w14:paraId="78F7D94A">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薯类和膨化食品</w:t>
            </w:r>
          </w:p>
        </w:tc>
        <w:tc>
          <w:tcPr>
            <w:tcW w:w="407" w:type="pct"/>
            <w:vMerge w:val="restart"/>
            <w:noWrap w:val="0"/>
            <w:vAlign w:val="center"/>
          </w:tcPr>
          <w:p w14:paraId="104478E1">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薯类食品</w:t>
            </w:r>
          </w:p>
        </w:tc>
        <w:tc>
          <w:tcPr>
            <w:tcW w:w="464" w:type="pct"/>
            <w:noWrap w:val="0"/>
            <w:vAlign w:val="center"/>
          </w:tcPr>
          <w:p w14:paraId="5D6B74E8">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薯泥（酱）类</w:t>
            </w:r>
          </w:p>
        </w:tc>
        <w:tc>
          <w:tcPr>
            <w:tcW w:w="224" w:type="pct"/>
            <w:noWrap w:val="0"/>
            <w:vAlign w:val="center"/>
          </w:tcPr>
          <w:p w14:paraId="48F85DB7">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0105FE5">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铅（以Pb计）、苯甲酸及其钠盐（以苯甲酸计）、山梨酸及其钾盐（以山梨酸计）、商业无菌、沙门氏菌、金黄色葡萄球菌</w:t>
            </w:r>
          </w:p>
        </w:tc>
      </w:tr>
      <w:tr w14:paraId="463A7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jc w:val="center"/>
        </w:trPr>
        <w:tc>
          <w:tcPr>
            <w:tcW w:w="230" w:type="pct"/>
            <w:vMerge w:val="continue"/>
            <w:noWrap w:val="0"/>
            <w:vAlign w:val="center"/>
          </w:tcPr>
          <w:p w14:paraId="1384FFAA">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447BE2C">
            <w:pPr>
              <w:widowControl/>
              <w:spacing w:line="22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418B76F">
            <w:pPr>
              <w:widowControl/>
              <w:spacing w:line="22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25771F95">
            <w:pPr>
              <w:widowControl/>
              <w:spacing w:line="22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E20727D">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其他薯类食品</w:t>
            </w:r>
          </w:p>
        </w:tc>
        <w:tc>
          <w:tcPr>
            <w:tcW w:w="224" w:type="pct"/>
            <w:noWrap w:val="0"/>
            <w:vAlign w:val="center"/>
          </w:tcPr>
          <w:p w14:paraId="40EBED75">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399EABA4">
            <w:pPr>
              <w:widowControl/>
              <w:spacing w:line="22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铅（以Pb计）、沙门氏菌、金黄色葡萄球菌</w:t>
            </w:r>
          </w:p>
        </w:tc>
      </w:tr>
      <w:tr w14:paraId="70A28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6" w:hRule="atLeast"/>
          <w:jc w:val="center"/>
        </w:trPr>
        <w:tc>
          <w:tcPr>
            <w:tcW w:w="230" w:type="pct"/>
            <w:vMerge w:val="restart"/>
            <w:noWrap w:val="0"/>
            <w:vAlign w:val="center"/>
          </w:tcPr>
          <w:p w14:paraId="184F3B8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13</w:t>
            </w:r>
          </w:p>
          <w:p w14:paraId="6072733C">
            <w:pPr>
              <w:widowControl/>
              <w:spacing w:line="230" w:lineRule="exact"/>
              <w:jc w:val="center"/>
              <w:textAlignment w:val="center"/>
              <w:rPr>
                <w:rFonts w:hint="eastAsia" w:ascii="宋体" w:hAnsi="宋体" w:eastAsia="宋体" w:cs="宋体"/>
                <w:sz w:val="21"/>
                <w:szCs w:val="21"/>
              </w:rPr>
            </w:pPr>
          </w:p>
        </w:tc>
        <w:tc>
          <w:tcPr>
            <w:tcW w:w="378" w:type="pct"/>
            <w:vMerge w:val="restart"/>
            <w:noWrap w:val="0"/>
            <w:vAlign w:val="center"/>
          </w:tcPr>
          <w:p w14:paraId="0D7DACF6">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糖果制品</w:t>
            </w:r>
          </w:p>
          <w:p w14:paraId="2A3D050E">
            <w:pPr>
              <w:widowControl/>
              <w:spacing w:line="220" w:lineRule="exact"/>
              <w:jc w:val="center"/>
              <w:textAlignment w:val="center"/>
              <w:rPr>
                <w:rFonts w:hint="eastAsia" w:ascii="宋体" w:hAnsi="宋体" w:eastAsia="宋体" w:cs="宋体"/>
                <w:sz w:val="21"/>
                <w:szCs w:val="21"/>
              </w:rPr>
            </w:pPr>
          </w:p>
        </w:tc>
        <w:tc>
          <w:tcPr>
            <w:tcW w:w="413" w:type="pct"/>
            <w:vMerge w:val="restart"/>
            <w:noWrap w:val="0"/>
            <w:vAlign w:val="center"/>
          </w:tcPr>
          <w:p w14:paraId="193E58E9">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糖果制品（含巧克力及制品）</w:t>
            </w:r>
          </w:p>
        </w:tc>
        <w:tc>
          <w:tcPr>
            <w:tcW w:w="407" w:type="pct"/>
            <w:noWrap w:val="0"/>
            <w:vAlign w:val="center"/>
          </w:tcPr>
          <w:p w14:paraId="3DAFAF6C">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糖果</w:t>
            </w:r>
          </w:p>
        </w:tc>
        <w:tc>
          <w:tcPr>
            <w:tcW w:w="464" w:type="pct"/>
            <w:noWrap w:val="0"/>
            <w:vAlign w:val="center"/>
          </w:tcPr>
          <w:p w14:paraId="5547F42D">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糖果</w:t>
            </w:r>
          </w:p>
        </w:tc>
        <w:tc>
          <w:tcPr>
            <w:tcW w:w="224" w:type="pct"/>
            <w:noWrap w:val="0"/>
            <w:vAlign w:val="center"/>
          </w:tcPr>
          <w:p w14:paraId="2C4484C0">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AEDC54B">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西地那非、他达拉非、酚丁、双酚沙丁、双丙酚丁、脱乙酰比沙可啶</w:t>
            </w:r>
          </w:p>
        </w:tc>
      </w:tr>
      <w:tr w14:paraId="29600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8" w:hRule="atLeast"/>
          <w:jc w:val="center"/>
        </w:trPr>
        <w:tc>
          <w:tcPr>
            <w:tcW w:w="230" w:type="pct"/>
            <w:vMerge w:val="continue"/>
            <w:noWrap w:val="0"/>
            <w:vAlign w:val="center"/>
          </w:tcPr>
          <w:p w14:paraId="2D6610FE">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E8AA5E4">
            <w:pPr>
              <w:widowControl/>
              <w:spacing w:line="22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5F79F739">
            <w:pPr>
              <w:widowControl/>
              <w:spacing w:line="220" w:lineRule="exact"/>
              <w:jc w:val="center"/>
              <w:textAlignment w:val="center"/>
              <w:rPr>
                <w:rFonts w:hint="eastAsia" w:ascii="宋体" w:hAnsi="宋体" w:eastAsia="宋体" w:cs="宋体"/>
                <w:sz w:val="21"/>
                <w:szCs w:val="21"/>
              </w:rPr>
            </w:pPr>
          </w:p>
        </w:tc>
        <w:tc>
          <w:tcPr>
            <w:tcW w:w="407" w:type="pct"/>
            <w:noWrap w:val="0"/>
            <w:vAlign w:val="center"/>
          </w:tcPr>
          <w:p w14:paraId="178E8828">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巧克力及巧克力制品</w:t>
            </w:r>
          </w:p>
        </w:tc>
        <w:tc>
          <w:tcPr>
            <w:tcW w:w="464" w:type="pct"/>
            <w:noWrap w:val="0"/>
            <w:vAlign w:val="center"/>
          </w:tcPr>
          <w:p w14:paraId="34B2B39A">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巧克力、巧克力制品、代可可脂巧克力及代可可脂巧克力制品</w:t>
            </w:r>
          </w:p>
        </w:tc>
        <w:tc>
          <w:tcPr>
            <w:tcW w:w="224" w:type="pct"/>
            <w:noWrap w:val="0"/>
            <w:vAlign w:val="center"/>
          </w:tcPr>
          <w:p w14:paraId="378AB45F">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7275A7C0">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铅（以Pb计）、沙门氏菌</w:t>
            </w:r>
          </w:p>
        </w:tc>
      </w:tr>
      <w:tr w14:paraId="12606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continue"/>
            <w:noWrap w:val="0"/>
            <w:vAlign w:val="center"/>
          </w:tcPr>
          <w:p w14:paraId="713A71AD">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F8DAF49">
            <w:pPr>
              <w:widowControl/>
              <w:spacing w:line="22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53855222">
            <w:pPr>
              <w:widowControl/>
              <w:spacing w:line="220" w:lineRule="exact"/>
              <w:jc w:val="center"/>
              <w:textAlignment w:val="center"/>
              <w:rPr>
                <w:rFonts w:hint="eastAsia" w:ascii="宋体" w:hAnsi="宋体" w:eastAsia="宋体" w:cs="宋体"/>
                <w:sz w:val="21"/>
                <w:szCs w:val="21"/>
              </w:rPr>
            </w:pPr>
          </w:p>
        </w:tc>
        <w:tc>
          <w:tcPr>
            <w:tcW w:w="407" w:type="pct"/>
            <w:noWrap w:val="0"/>
            <w:vAlign w:val="center"/>
          </w:tcPr>
          <w:p w14:paraId="0812764A">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果冻</w:t>
            </w:r>
          </w:p>
        </w:tc>
        <w:tc>
          <w:tcPr>
            <w:tcW w:w="464" w:type="pct"/>
            <w:noWrap w:val="0"/>
            <w:vAlign w:val="center"/>
          </w:tcPr>
          <w:p w14:paraId="215E737C">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果冻</w:t>
            </w:r>
          </w:p>
        </w:tc>
        <w:tc>
          <w:tcPr>
            <w:tcW w:w="224" w:type="pct"/>
            <w:noWrap w:val="0"/>
            <w:vAlign w:val="center"/>
          </w:tcPr>
          <w:p w14:paraId="4ACB0B10">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8720230">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山梨酸及其钾盐（以山梨酸计）、苯甲酸及其钠盐（以苯甲酸计）、糖精钠（以糖精计）、甜蜜素（以环己基氨基磺酸计）、安赛蜜、合成着色剂（柠檬黄、新红、苋菜红、靛蓝、胭脂红、日落黄、诱惑红、亮蓝、酸性红、喹啉黄、赤藓红）、相同色泽着色剂混合使用时各自用量占其最大使用量的比例之和、菌落总数、大肠菌群、霉菌、酵母、双丙酚丁、脱乙酰比沙可啶</w:t>
            </w:r>
          </w:p>
        </w:tc>
      </w:tr>
      <w:tr w14:paraId="10CA5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22" w:hRule="atLeast"/>
          <w:jc w:val="center"/>
        </w:trPr>
        <w:tc>
          <w:tcPr>
            <w:tcW w:w="230" w:type="pct"/>
            <w:vMerge w:val="restart"/>
            <w:noWrap w:val="0"/>
            <w:vAlign w:val="center"/>
          </w:tcPr>
          <w:p w14:paraId="4A774D4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14</w:t>
            </w:r>
          </w:p>
        </w:tc>
        <w:tc>
          <w:tcPr>
            <w:tcW w:w="378" w:type="pct"/>
            <w:vMerge w:val="restart"/>
            <w:noWrap w:val="0"/>
            <w:vAlign w:val="center"/>
          </w:tcPr>
          <w:p w14:paraId="106613DC">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茶叶及相关制品</w:t>
            </w:r>
          </w:p>
        </w:tc>
        <w:tc>
          <w:tcPr>
            <w:tcW w:w="413" w:type="pct"/>
            <w:noWrap w:val="0"/>
            <w:vAlign w:val="center"/>
          </w:tcPr>
          <w:p w14:paraId="4ECDD0C5">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茶叶</w:t>
            </w:r>
          </w:p>
        </w:tc>
        <w:tc>
          <w:tcPr>
            <w:tcW w:w="407" w:type="pct"/>
            <w:noWrap w:val="0"/>
            <w:vAlign w:val="center"/>
          </w:tcPr>
          <w:p w14:paraId="11F9F394">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茶叶</w:t>
            </w:r>
          </w:p>
        </w:tc>
        <w:tc>
          <w:tcPr>
            <w:tcW w:w="464" w:type="pct"/>
            <w:noWrap w:val="0"/>
            <w:vAlign w:val="center"/>
          </w:tcPr>
          <w:p w14:paraId="61102A89">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绿茶、红茶、乌龙茶、黄茶、白茶、黑茶、花茶、袋泡茶、紧压茶</w:t>
            </w:r>
          </w:p>
        </w:tc>
        <w:tc>
          <w:tcPr>
            <w:tcW w:w="224" w:type="pct"/>
            <w:noWrap w:val="0"/>
            <w:vAlign w:val="center"/>
          </w:tcPr>
          <w:p w14:paraId="73894E2A">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63FC0B2">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草甘膦、吡虫啉、乙酰甲胺磷、联苯菊酯、灭多威、三氯杀螨醇、氰戊菊酯和S-氰戊菊酯、甲拌磷、克百威、水胺硫磷、氧乐果、毒死蜱、啶虫脒、多菌灵、茚虫威、糖精钠（以糖精计）、甜蜜素（以环己基氨基磺酸计）、合成着色剂（柠檬黄、日落黄、胭脂红、亮蓝）</w:t>
            </w:r>
          </w:p>
        </w:tc>
      </w:tr>
      <w:tr w14:paraId="41D2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230" w:type="pct"/>
            <w:vMerge w:val="continue"/>
            <w:noWrap w:val="0"/>
            <w:vAlign w:val="center"/>
          </w:tcPr>
          <w:p w14:paraId="53CE143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49D2448">
            <w:pPr>
              <w:widowControl/>
              <w:spacing w:line="220" w:lineRule="exact"/>
              <w:jc w:val="center"/>
              <w:rPr>
                <w:rFonts w:hint="eastAsia" w:ascii="宋体" w:hAnsi="宋体" w:eastAsia="宋体" w:cs="宋体"/>
                <w:sz w:val="21"/>
                <w:szCs w:val="21"/>
              </w:rPr>
            </w:pPr>
          </w:p>
        </w:tc>
        <w:tc>
          <w:tcPr>
            <w:tcW w:w="413" w:type="pct"/>
            <w:vMerge w:val="restart"/>
            <w:noWrap w:val="0"/>
            <w:vAlign w:val="center"/>
          </w:tcPr>
          <w:p w14:paraId="5D1258BF">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含茶制品和代用茶</w:t>
            </w:r>
          </w:p>
        </w:tc>
        <w:tc>
          <w:tcPr>
            <w:tcW w:w="407" w:type="pct"/>
            <w:noWrap w:val="0"/>
            <w:vAlign w:val="center"/>
          </w:tcPr>
          <w:p w14:paraId="33D77B5B">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含茶制品</w:t>
            </w:r>
          </w:p>
        </w:tc>
        <w:tc>
          <w:tcPr>
            <w:tcW w:w="464" w:type="pct"/>
            <w:noWrap w:val="0"/>
            <w:vAlign w:val="center"/>
          </w:tcPr>
          <w:p w14:paraId="0A9095D8">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速溶茶类、其他含茶制品</w:t>
            </w:r>
          </w:p>
        </w:tc>
        <w:tc>
          <w:tcPr>
            <w:tcW w:w="224" w:type="pct"/>
            <w:noWrap w:val="0"/>
            <w:vAlign w:val="center"/>
          </w:tcPr>
          <w:p w14:paraId="58C4F0E2">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0E95DFB">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铅（以Pb计）、菌落总数、霉菌、霉菌及酵母、合成着色剂（柠檬黄、日落黄、胭脂红、亮蓝）</w:t>
            </w:r>
          </w:p>
        </w:tc>
      </w:tr>
      <w:tr w14:paraId="6E02B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230" w:type="pct"/>
            <w:vMerge w:val="continue"/>
            <w:noWrap w:val="0"/>
            <w:vAlign w:val="center"/>
          </w:tcPr>
          <w:p w14:paraId="3BACA927">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1129BC7">
            <w:pPr>
              <w:widowControl/>
              <w:spacing w:line="220" w:lineRule="exact"/>
              <w:jc w:val="center"/>
              <w:rPr>
                <w:rFonts w:hint="eastAsia" w:ascii="宋体" w:hAnsi="宋体" w:eastAsia="宋体" w:cs="宋体"/>
                <w:sz w:val="21"/>
                <w:szCs w:val="21"/>
              </w:rPr>
            </w:pPr>
          </w:p>
        </w:tc>
        <w:tc>
          <w:tcPr>
            <w:tcW w:w="413" w:type="pct"/>
            <w:vMerge w:val="continue"/>
            <w:noWrap w:val="0"/>
            <w:vAlign w:val="center"/>
          </w:tcPr>
          <w:p w14:paraId="2422A15C">
            <w:pPr>
              <w:widowControl/>
              <w:spacing w:line="220" w:lineRule="exact"/>
              <w:jc w:val="center"/>
              <w:rPr>
                <w:rFonts w:hint="eastAsia" w:ascii="宋体" w:hAnsi="宋体" w:eastAsia="宋体" w:cs="宋体"/>
                <w:sz w:val="21"/>
                <w:szCs w:val="21"/>
              </w:rPr>
            </w:pPr>
          </w:p>
        </w:tc>
        <w:tc>
          <w:tcPr>
            <w:tcW w:w="407" w:type="pct"/>
            <w:noWrap w:val="0"/>
            <w:vAlign w:val="center"/>
          </w:tcPr>
          <w:p w14:paraId="44E5BFF5">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代用茶</w:t>
            </w:r>
          </w:p>
        </w:tc>
        <w:tc>
          <w:tcPr>
            <w:tcW w:w="464" w:type="pct"/>
            <w:noWrap w:val="0"/>
            <w:vAlign w:val="center"/>
          </w:tcPr>
          <w:p w14:paraId="5701C651">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枸杞（干）</w:t>
            </w:r>
          </w:p>
        </w:tc>
        <w:tc>
          <w:tcPr>
            <w:tcW w:w="224" w:type="pct"/>
            <w:noWrap w:val="0"/>
            <w:vAlign w:val="center"/>
          </w:tcPr>
          <w:p w14:paraId="3C40DA44">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15B50B1D">
            <w:pPr>
              <w:widowControl/>
              <w:spacing w:line="22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铅（以Pb计）、二氧化硫残留量、啶虫脒、克百威、毒死蜱、氯氟氰菊酯和高效氯氟氰菊酯、吡虫啉、三唑磷、霉菌</w:t>
            </w:r>
          </w:p>
        </w:tc>
      </w:tr>
      <w:tr w14:paraId="4785C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230" w:type="pct"/>
            <w:vMerge w:val="restart"/>
            <w:noWrap w:val="0"/>
            <w:vAlign w:val="center"/>
          </w:tcPr>
          <w:p w14:paraId="6C82E19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14</w:t>
            </w:r>
          </w:p>
        </w:tc>
        <w:tc>
          <w:tcPr>
            <w:tcW w:w="378" w:type="pct"/>
            <w:vMerge w:val="restart"/>
            <w:noWrap w:val="0"/>
            <w:vAlign w:val="center"/>
          </w:tcPr>
          <w:p w14:paraId="1B91EDD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茶叶及相关制品</w:t>
            </w:r>
          </w:p>
        </w:tc>
        <w:tc>
          <w:tcPr>
            <w:tcW w:w="413" w:type="pct"/>
            <w:vMerge w:val="restart"/>
            <w:noWrap w:val="0"/>
            <w:vAlign w:val="center"/>
          </w:tcPr>
          <w:p w14:paraId="0A0F34F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含茶制品和代用茶</w:t>
            </w:r>
          </w:p>
        </w:tc>
        <w:tc>
          <w:tcPr>
            <w:tcW w:w="407" w:type="pct"/>
            <w:vMerge w:val="restart"/>
            <w:noWrap w:val="0"/>
            <w:vAlign w:val="center"/>
          </w:tcPr>
          <w:p w14:paraId="26FF927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代用茶</w:t>
            </w:r>
          </w:p>
        </w:tc>
        <w:tc>
          <w:tcPr>
            <w:tcW w:w="464" w:type="pct"/>
            <w:noWrap w:val="0"/>
            <w:vAlign w:val="center"/>
          </w:tcPr>
          <w:p w14:paraId="43909AF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菊花（干）</w:t>
            </w:r>
          </w:p>
        </w:tc>
        <w:tc>
          <w:tcPr>
            <w:tcW w:w="224" w:type="pct"/>
            <w:noWrap w:val="0"/>
            <w:vAlign w:val="center"/>
          </w:tcPr>
          <w:p w14:paraId="08508D9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171DDFFB">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铅（以Pb计）、二氧化硫残留量、啶虫脒、克百威、毒死蜱、氯氟氰菊酯和高效氯氟氰菊酯、吡虫啉、三唑磷、霉菌</w:t>
            </w:r>
          </w:p>
        </w:tc>
      </w:tr>
      <w:tr w14:paraId="4A592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230" w:type="pct"/>
            <w:vMerge w:val="continue"/>
            <w:noWrap w:val="0"/>
            <w:vAlign w:val="center"/>
          </w:tcPr>
          <w:p w14:paraId="19D3CD7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97ECDF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D28EF01">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264B44AD">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2E4F670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金银花（干）</w:t>
            </w:r>
          </w:p>
        </w:tc>
        <w:tc>
          <w:tcPr>
            <w:tcW w:w="224" w:type="pct"/>
            <w:noWrap w:val="0"/>
            <w:vAlign w:val="center"/>
          </w:tcPr>
          <w:p w14:paraId="6323237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3E87529B">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铅（以Pb计）、二氧化硫残留量、啶虫脒、克百威、毒死蜱、氯氟氰菊酯和高效氯氟氰菊酯、吡虫啉、三唑磷、霉菌</w:t>
            </w:r>
          </w:p>
        </w:tc>
      </w:tr>
      <w:tr w14:paraId="098E2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0" w:hRule="atLeast"/>
          <w:jc w:val="center"/>
        </w:trPr>
        <w:tc>
          <w:tcPr>
            <w:tcW w:w="230" w:type="pct"/>
            <w:vMerge w:val="continue"/>
            <w:noWrap w:val="0"/>
            <w:vAlign w:val="center"/>
          </w:tcPr>
          <w:p w14:paraId="799B5C9F">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474D62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E8693BE">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BB7567E">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028FD7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苦丁茶</w:t>
            </w:r>
          </w:p>
        </w:tc>
        <w:tc>
          <w:tcPr>
            <w:tcW w:w="224" w:type="pct"/>
            <w:noWrap w:val="0"/>
            <w:vAlign w:val="center"/>
          </w:tcPr>
          <w:p w14:paraId="7136A21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5C757347">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铅（以Pb计）、二氧化硫残留量、啶虫脒、克百威、毒死蜱、氯氟氰菊酯和高效氯氟氰菊酯、吡虫啉、三唑磷、霉菌</w:t>
            </w:r>
          </w:p>
        </w:tc>
      </w:tr>
      <w:tr w14:paraId="315C8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30" w:type="pct"/>
            <w:vMerge w:val="continue"/>
            <w:noWrap w:val="0"/>
            <w:vAlign w:val="center"/>
          </w:tcPr>
          <w:p w14:paraId="632840C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EB9E46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1891E99">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A7277AC">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7BD925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其他代用茶</w:t>
            </w:r>
          </w:p>
        </w:tc>
        <w:tc>
          <w:tcPr>
            <w:tcW w:w="224" w:type="pct"/>
            <w:noWrap w:val="0"/>
            <w:vAlign w:val="center"/>
          </w:tcPr>
          <w:p w14:paraId="55412D0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330362E8">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铅（以Pb计）、二氧化硫残留量、啶虫脒、克百威、毒死蜱、氯氟氰菊酯和高效氯氟氰菊酯、吡虫啉、三唑磷、霉菌</w:t>
            </w:r>
          </w:p>
        </w:tc>
      </w:tr>
      <w:tr w14:paraId="4C0F0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1D8DE39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15</w:t>
            </w:r>
          </w:p>
          <w:p w14:paraId="42C55FB3">
            <w:pPr>
              <w:widowControl/>
              <w:spacing w:line="230" w:lineRule="exact"/>
              <w:jc w:val="center"/>
              <w:textAlignment w:val="center"/>
              <w:rPr>
                <w:rFonts w:hint="eastAsia" w:ascii="宋体" w:hAnsi="宋体" w:eastAsia="宋体" w:cs="宋体"/>
                <w:sz w:val="21"/>
                <w:szCs w:val="21"/>
              </w:rPr>
            </w:pPr>
          </w:p>
        </w:tc>
        <w:tc>
          <w:tcPr>
            <w:tcW w:w="378" w:type="pct"/>
            <w:vMerge w:val="restart"/>
            <w:noWrap w:val="0"/>
            <w:vAlign w:val="center"/>
          </w:tcPr>
          <w:p w14:paraId="0EF36B7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酒类</w:t>
            </w:r>
          </w:p>
          <w:p w14:paraId="7B0E2641">
            <w:pPr>
              <w:widowControl/>
              <w:spacing w:line="230" w:lineRule="exact"/>
              <w:jc w:val="center"/>
              <w:textAlignment w:val="center"/>
              <w:rPr>
                <w:rFonts w:hint="eastAsia" w:ascii="宋体" w:hAnsi="宋体" w:eastAsia="宋体" w:cs="宋体"/>
                <w:sz w:val="21"/>
                <w:szCs w:val="21"/>
              </w:rPr>
            </w:pPr>
          </w:p>
        </w:tc>
        <w:tc>
          <w:tcPr>
            <w:tcW w:w="413" w:type="pct"/>
            <w:noWrap w:val="0"/>
            <w:vAlign w:val="center"/>
          </w:tcPr>
          <w:p w14:paraId="587A631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蒸馏酒</w:t>
            </w:r>
          </w:p>
        </w:tc>
        <w:tc>
          <w:tcPr>
            <w:tcW w:w="407" w:type="pct"/>
            <w:noWrap w:val="0"/>
            <w:vAlign w:val="center"/>
          </w:tcPr>
          <w:p w14:paraId="651D3F7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白酒</w:t>
            </w:r>
          </w:p>
        </w:tc>
        <w:tc>
          <w:tcPr>
            <w:tcW w:w="464" w:type="pct"/>
            <w:noWrap w:val="0"/>
            <w:vAlign w:val="center"/>
          </w:tcPr>
          <w:p w14:paraId="14D617F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白酒、白酒（液态）、白酒（原酒）</w:t>
            </w:r>
          </w:p>
        </w:tc>
        <w:tc>
          <w:tcPr>
            <w:tcW w:w="224" w:type="pct"/>
            <w:noWrap w:val="0"/>
            <w:vAlign w:val="center"/>
          </w:tcPr>
          <w:p w14:paraId="6577DD3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44A1B79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酒精度、铅（以Pb计）、甲醇、氰化物（以HCN计）、糖精钠（以糖精计）、甜蜜素（以环己基氨基磺酸计）、三氯蔗糖、安赛蜜、纽甜</w:t>
            </w:r>
          </w:p>
        </w:tc>
      </w:tr>
      <w:tr w14:paraId="64ECD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A2E014F">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42CC806">
            <w:pPr>
              <w:widowControl/>
              <w:spacing w:line="230" w:lineRule="exact"/>
              <w:jc w:val="center"/>
              <w:rPr>
                <w:rFonts w:hint="eastAsia" w:ascii="宋体" w:hAnsi="宋体" w:eastAsia="宋体" w:cs="宋体"/>
                <w:sz w:val="21"/>
                <w:szCs w:val="21"/>
              </w:rPr>
            </w:pPr>
          </w:p>
        </w:tc>
        <w:tc>
          <w:tcPr>
            <w:tcW w:w="413" w:type="pct"/>
            <w:vMerge w:val="restart"/>
            <w:noWrap w:val="0"/>
            <w:vAlign w:val="center"/>
          </w:tcPr>
          <w:p w14:paraId="30DBA57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发酵酒</w:t>
            </w:r>
          </w:p>
        </w:tc>
        <w:tc>
          <w:tcPr>
            <w:tcW w:w="407" w:type="pct"/>
            <w:noWrap w:val="0"/>
            <w:vAlign w:val="center"/>
          </w:tcPr>
          <w:p w14:paraId="12FC0A1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黄酒</w:t>
            </w:r>
          </w:p>
        </w:tc>
        <w:tc>
          <w:tcPr>
            <w:tcW w:w="464" w:type="pct"/>
            <w:noWrap w:val="0"/>
            <w:vAlign w:val="center"/>
          </w:tcPr>
          <w:p w14:paraId="2227915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黄酒</w:t>
            </w:r>
          </w:p>
        </w:tc>
        <w:tc>
          <w:tcPr>
            <w:tcW w:w="224" w:type="pct"/>
            <w:noWrap w:val="0"/>
            <w:vAlign w:val="center"/>
          </w:tcPr>
          <w:p w14:paraId="7B58FD8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80064E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酒精度、氨基酸态氮、苯甲酸及其钠盐（以苯甲酸计）、山梨酸及其钾盐（以山梨酸计）、糖精钠（以糖精计）、甜蜜素（以环己基氨基磺酸计）</w:t>
            </w:r>
          </w:p>
        </w:tc>
      </w:tr>
      <w:tr w14:paraId="61EA6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87CA59F">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B6E63B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74A2CF36">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04A7626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啤酒</w:t>
            </w:r>
          </w:p>
        </w:tc>
        <w:tc>
          <w:tcPr>
            <w:tcW w:w="464" w:type="pct"/>
            <w:noWrap w:val="0"/>
            <w:vAlign w:val="center"/>
          </w:tcPr>
          <w:p w14:paraId="043D8AE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啤酒</w:t>
            </w:r>
          </w:p>
        </w:tc>
        <w:tc>
          <w:tcPr>
            <w:tcW w:w="224" w:type="pct"/>
            <w:noWrap w:val="0"/>
            <w:vAlign w:val="center"/>
          </w:tcPr>
          <w:p w14:paraId="6DA457E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E9A134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酒精度、甲醛</w:t>
            </w:r>
          </w:p>
        </w:tc>
      </w:tr>
      <w:tr w14:paraId="341B4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48A722FF">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7ABEDD4">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5AAD123">
            <w:pPr>
              <w:widowControl/>
              <w:spacing w:line="230" w:lineRule="exact"/>
              <w:jc w:val="center"/>
              <w:rPr>
                <w:rFonts w:hint="eastAsia" w:ascii="宋体" w:hAnsi="宋体" w:eastAsia="宋体" w:cs="宋体"/>
                <w:sz w:val="21"/>
                <w:szCs w:val="21"/>
              </w:rPr>
            </w:pPr>
          </w:p>
        </w:tc>
        <w:tc>
          <w:tcPr>
            <w:tcW w:w="407" w:type="pct"/>
            <w:noWrap w:val="0"/>
            <w:vAlign w:val="center"/>
          </w:tcPr>
          <w:p w14:paraId="7A1442D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葡萄酒</w:t>
            </w:r>
          </w:p>
        </w:tc>
        <w:tc>
          <w:tcPr>
            <w:tcW w:w="464" w:type="pct"/>
            <w:noWrap w:val="0"/>
            <w:vAlign w:val="center"/>
          </w:tcPr>
          <w:p w14:paraId="67A15F2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葡萄酒</w:t>
            </w:r>
          </w:p>
        </w:tc>
        <w:tc>
          <w:tcPr>
            <w:tcW w:w="224" w:type="pct"/>
            <w:noWrap w:val="0"/>
            <w:vAlign w:val="center"/>
          </w:tcPr>
          <w:p w14:paraId="402ACAA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E617F8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甲醇、苯甲酸及其钠盐（以苯甲酸计）、山梨酸及其钾盐（以山梨酸计）、糖精钠（以糖精计）、二氧化硫残留量、甜蜜素（以环己基氨基磺酸计）、三氯蔗糖、合成着色剂（柠檬黄、日落黄、新红、胭脂红、赤藓红、苋菜红、诱惑红、酸性红、亮蓝）</w:t>
            </w:r>
          </w:p>
        </w:tc>
      </w:tr>
      <w:tr w14:paraId="531B7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416F57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2BA565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F85B402">
            <w:pPr>
              <w:widowControl/>
              <w:spacing w:line="230" w:lineRule="exact"/>
              <w:jc w:val="center"/>
              <w:rPr>
                <w:rFonts w:hint="eastAsia" w:ascii="宋体" w:hAnsi="宋体" w:eastAsia="宋体" w:cs="宋体"/>
                <w:sz w:val="21"/>
                <w:szCs w:val="21"/>
              </w:rPr>
            </w:pPr>
          </w:p>
        </w:tc>
        <w:tc>
          <w:tcPr>
            <w:tcW w:w="407" w:type="pct"/>
            <w:noWrap w:val="0"/>
            <w:vAlign w:val="center"/>
          </w:tcPr>
          <w:p w14:paraId="5079B95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果酒</w:t>
            </w:r>
          </w:p>
        </w:tc>
        <w:tc>
          <w:tcPr>
            <w:tcW w:w="464" w:type="pct"/>
            <w:noWrap w:val="0"/>
            <w:vAlign w:val="center"/>
          </w:tcPr>
          <w:p w14:paraId="6651710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果酒</w:t>
            </w:r>
          </w:p>
        </w:tc>
        <w:tc>
          <w:tcPr>
            <w:tcW w:w="224" w:type="pct"/>
            <w:noWrap w:val="0"/>
            <w:vAlign w:val="center"/>
          </w:tcPr>
          <w:p w14:paraId="7FD23FD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BF05A2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酒精度、展青霉素、糖精钠（以糖精计）、甜蜜素（以环己基氨基磺酸计）、安赛蜜、二氧化硫残留量、酸性红</w:t>
            </w:r>
          </w:p>
        </w:tc>
      </w:tr>
      <w:tr w14:paraId="778C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A51348C">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2DD82F6">
            <w:pPr>
              <w:widowControl/>
              <w:spacing w:line="230" w:lineRule="exact"/>
              <w:jc w:val="center"/>
              <w:textAlignment w:val="center"/>
              <w:rPr>
                <w:rFonts w:hint="eastAsia" w:ascii="宋体" w:hAnsi="宋体" w:eastAsia="宋体" w:cs="宋体"/>
                <w:sz w:val="21"/>
                <w:szCs w:val="21"/>
              </w:rPr>
            </w:pPr>
          </w:p>
        </w:tc>
        <w:tc>
          <w:tcPr>
            <w:tcW w:w="413" w:type="pct"/>
            <w:vMerge w:val="restart"/>
            <w:noWrap w:val="0"/>
            <w:vAlign w:val="center"/>
          </w:tcPr>
          <w:p w14:paraId="760D980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其他酒</w:t>
            </w:r>
          </w:p>
          <w:p w14:paraId="3430B5F6">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05973E9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配制酒</w:t>
            </w:r>
          </w:p>
          <w:p w14:paraId="41D135C9">
            <w:pPr>
              <w:widowControl/>
              <w:spacing w:line="230" w:lineRule="exact"/>
              <w:jc w:val="center"/>
              <w:rPr>
                <w:rFonts w:hint="eastAsia" w:ascii="宋体" w:hAnsi="宋体" w:eastAsia="宋体" w:cs="宋体"/>
                <w:sz w:val="21"/>
                <w:szCs w:val="21"/>
              </w:rPr>
            </w:pPr>
          </w:p>
        </w:tc>
        <w:tc>
          <w:tcPr>
            <w:tcW w:w="464" w:type="pct"/>
            <w:noWrap w:val="0"/>
            <w:vAlign w:val="center"/>
          </w:tcPr>
          <w:p w14:paraId="3C3E225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以蒸馏酒及食用酒精为酒基的配制酒</w:t>
            </w:r>
          </w:p>
        </w:tc>
        <w:tc>
          <w:tcPr>
            <w:tcW w:w="224" w:type="pct"/>
            <w:noWrap w:val="0"/>
            <w:vAlign w:val="center"/>
          </w:tcPr>
          <w:p w14:paraId="56C7F81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65B4C8D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甲醇、氰化物（以HCN计）、西地那非、豪莫西地那非、硫代艾地那非、他达拉非、二硫代去甲基卡巴地那非、那非乙酰酸、去甲基卡巴地那非、去甲基他达拉非、羟基豪莫西地那非、伐地那非、育亨宾、甜蜜素（以环己基氨基磺酸计）、安赛蜜、纽甜</w:t>
            </w:r>
          </w:p>
        </w:tc>
      </w:tr>
      <w:tr w14:paraId="02EEE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58F4F239">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C91A0F4">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E175D19">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749D511">
            <w:pPr>
              <w:widowControl/>
              <w:spacing w:line="230" w:lineRule="exact"/>
              <w:jc w:val="center"/>
              <w:rPr>
                <w:rFonts w:hint="eastAsia" w:ascii="宋体" w:hAnsi="宋体" w:eastAsia="宋体" w:cs="宋体"/>
                <w:sz w:val="21"/>
                <w:szCs w:val="21"/>
              </w:rPr>
            </w:pPr>
          </w:p>
        </w:tc>
        <w:tc>
          <w:tcPr>
            <w:tcW w:w="464" w:type="pct"/>
            <w:noWrap w:val="0"/>
            <w:vAlign w:val="center"/>
          </w:tcPr>
          <w:p w14:paraId="4FBD5C6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以发酵酒为酒基的配制酒</w:t>
            </w:r>
          </w:p>
        </w:tc>
        <w:tc>
          <w:tcPr>
            <w:tcW w:w="224" w:type="pct"/>
            <w:noWrap w:val="0"/>
            <w:vAlign w:val="center"/>
          </w:tcPr>
          <w:p w14:paraId="1F6A19B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8B737A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酒精度、苯甲酸及其钠盐（以苯甲酸计）、山梨酸及其钾盐（以山梨酸计）、甜蜜素（以环己基氨基磺酸计）、防腐剂混合使用时各自用量占其最大使用量的比例之和、安赛蜜</w:t>
            </w:r>
          </w:p>
        </w:tc>
      </w:tr>
      <w:tr w14:paraId="716F5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continue"/>
            <w:noWrap w:val="0"/>
            <w:vAlign w:val="center"/>
          </w:tcPr>
          <w:p w14:paraId="5B153551">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5D5B5F2">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F6AB267">
            <w:pPr>
              <w:widowControl/>
              <w:spacing w:line="230" w:lineRule="exact"/>
              <w:jc w:val="center"/>
              <w:rPr>
                <w:rFonts w:hint="eastAsia" w:ascii="宋体" w:hAnsi="宋体" w:eastAsia="宋体" w:cs="宋体"/>
                <w:sz w:val="21"/>
                <w:szCs w:val="21"/>
              </w:rPr>
            </w:pPr>
          </w:p>
        </w:tc>
        <w:tc>
          <w:tcPr>
            <w:tcW w:w="407" w:type="pct"/>
            <w:noWrap w:val="0"/>
            <w:vAlign w:val="center"/>
          </w:tcPr>
          <w:p w14:paraId="2830024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其他蒸馏酒</w:t>
            </w:r>
          </w:p>
        </w:tc>
        <w:tc>
          <w:tcPr>
            <w:tcW w:w="464" w:type="pct"/>
            <w:noWrap w:val="0"/>
            <w:vAlign w:val="center"/>
          </w:tcPr>
          <w:p w14:paraId="5346E53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其他蒸馏酒</w:t>
            </w:r>
          </w:p>
        </w:tc>
        <w:tc>
          <w:tcPr>
            <w:tcW w:w="224" w:type="pct"/>
            <w:noWrap w:val="0"/>
            <w:vAlign w:val="center"/>
          </w:tcPr>
          <w:p w14:paraId="516A954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E8D5BD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酒精度、铅（以Pb计）、甲醇、氰化物（以HCN计）、甜蜜素（以环己基氨基磺酸计）、三氯蔗糖</w:t>
            </w:r>
          </w:p>
        </w:tc>
      </w:tr>
      <w:tr w14:paraId="0ACFD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230" w:type="pct"/>
            <w:vMerge w:val="continue"/>
            <w:noWrap w:val="0"/>
            <w:vAlign w:val="center"/>
          </w:tcPr>
          <w:p w14:paraId="4020224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2CFD742">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7849FB3">
            <w:pPr>
              <w:widowControl/>
              <w:spacing w:line="230" w:lineRule="exact"/>
              <w:jc w:val="center"/>
              <w:rPr>
                <w:rFonts w:hint="eastAsia" w:ascii="宋体" w:hAnsi="宋体" w:eastAsia="宋体" w:cs="宋体"/>
                <w:sz w:val="21"/>
                <w:szCs w:val="21"/>
              </w:rPr>
            </w:pPr>
          </w:p>
        </w:tc>
        <w:tc>
          <w:tcPr>
            <w:tcW w:w="407" w:type="pct"/>
            <w:noWrap w:val="0"/>
            <w:vAlign w:val="center"/>
          </w:tcPr>
          <w:p w14:paraId="62245F7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其他发酵酒</w:t>
            </w:r>
          </w:p>
        </w:tc>
        <w:tc>
          <w:tcPr>
            <w:tcW w:w="464" w:type="pct"/>
            <w:noWrap w:val="0"/>
            <w:vAlign w:val="center"/>
          </w:tcPr>
          <w:p w14:paraId="4C9B60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其他发酵酒</w:t>
            </w:r>
          </w:p>
        </w:tc>
        <w:tc>
          <w:tcPr>
            <w:tcW w:w="224" w:type="pct"/>
            <w:noWrap w:val="0"/>
            <w:vAlign w:val="center"/>
          </w:tcPr>
          <w:p w14:paraId="4401E9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F3EE72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酒精度、苯甲酸及其钠盐（以苯甲酸计）、山梨酸及其钾盐（以山梨酸计）、糖精钠（以糖精计）、甜蜜素（以环己基氨基磺酸计）、安赛蜜</w:t>
            </w:r>
          </w:p>
        </w:tc>
      </w:tr>
      <w:tr w14:paraId="7F8D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0" w:hRule="atLeast"/>
          <w:jc w:val="center"/>
        </w:trPr>
        <w:tc>
          <w:tcPr>
            <w:tcW w:w="230" w:type="pct"/>
            <w:vMerge w:val="restart"/>
            <w:noWrap w:val="0"/>
            <w:vAlign w:val="center"/>
          </w:tcPr>
          <w:p w14:paraId="5166644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16</w:t>
            </w:r>
          </w:p>
        </w:tc>
        <w:tc>
          <w:tcPr>
            <w:tcW w:w="378" w:type="pct"/>
            <w:vMerge w:val="restart"/>
            <w:noWrap w:val="0"/>
            <w:vAlign w:val="center"/>
          </w:tcPr>
          <w:p w14:paraId="3B2270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蔬菜制品</w:t>
            </w:r>
          </w:p>
        </w:tc>
        <w:tc>
          <w:tcPr>
            <w:tcW w:w="413" w:type="pct"/>
            <w:vMerge w:val="restart"/>
            <w:noWrap w:val="0"/>
            <w:vAlign w:val="center"/>
          </w:tcPr>
          <w:p w14:paraId="644217B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蔬菜制品</w:t>
            </w:r>
          </w:p>
        </w:tc>
        <w:tc>
          <w:tcPr>
            <w:tcW w:w="407" w:type="pct"/>
            <w:noWrap w:val="0"/>
            <w:vAlign w:val="center"/>
          </w:tcPr>
          <w:p w14:paraId="78EBF93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酱腌菜</w:t>
            </w:r>
          </w:p>
        </w:tc>
        <w:tc>
          <w:tcPr>
            <w:tcW w:w="464" w:type="pct"/>
            <w:noWrap w:val="0"/>
            <w:vAlign w:val="center"/>
          </w:tcPr>
          <w:p w14:paraId="7DF4A7E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酱腌菜</w:t>
            </w:r>
          </w:p>
        </w:tc>
        <w:tc>
          <w:tcPr>
            <w:tcW w:w="224" w:type="pct"/>
            <w:noWrap w:val="0"/>
            <w:vAlign w:val="center"/>
          </w:tcPr>
          <w:p w14:paraId="48A6B5A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64226EB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铅（以Pb计）、亚硝酸盐（以NaNO</w:t>
            </w:r>
            <w:r>
              <w:rPr>
                <w:rFonts w:hint="eastAsia" w:ascii="宋体" w:hAnsi="宋体" w:eastAsia="宋体" w:cs="宋体"/>
                <w:position w:val="-3"/>
                <w:sz w:val="21"/>
                <w:szCs w:val="21"/>
              </w:rPr>
              <w:t>2</w:t>
            </w:r>
            <w:r>
              <w:rPr>
                <w:rFonts w:hint="eastAsia" w:ascii="宋体" w:hAnsi="宋体" w:eastAsia="宋体" w:cs="宋体"/>
                <w:sz w:val="21"/>
                <w:szCs w:val="21"/>
              </w:rPr>
              <w:t>计）、苯甲酸及其钠盐（以苯甲酸计）、山梨酸及其钾盐（以山梨酸计）、脱氢乙酸及其钠盐（以脱氢乙酸计）、糖精钠</w:t>
            </w:r>
            <w:r>
              <w:rPr>
                <w:rFonts w:hint="eastAsia" w:ascii="宋体" w:hAnsi="宋体" w:eastAsia="宋体" w:cs="宋体"/>
                <w:spacing w:val="-1"/>
                <w:sz w:val="21"/>
                <w:szCs w:val="21"/>
              </w:rPr>
              <w:t>（以糖精计）、甜蜜素</w:t>
            </w:r>
            <w:r>
              <w:rPr>
                <w:rFonts w:hint="eastAsia" w:ascii="宋体" w:hAnsi="宋体" w:eastAsia="宋体" w:cs="宋体"/>
                <w:sz w:val="21"/>
                <w:szCs w:val="21"/>
              </w:rPr>
              <w:t>（以环己基氨基磺酸计）、阿斯巴甜、安赛蜜、纽</w:t>
            </w:r>
            <w:r>
              <w:rPr>
                <w:rFonts w:hint="eastAsia" w:ascii="宋体" w:hAnsi="宋体" w:eastAsia="宋体" w:cs="宋体"/>
                <w:spacing w:val="-1"/>
                <w:sz w:val="21"/>
                <w:szCs w:val="21"/>
              </w:rPr>
              <w:t>甜、三氯蔗糖、二氧化硫残留量、防腐剂混合使用时各自用量占其最大使用量的比例之和、合成着色剂（柠檬黄、</w:t>
            </w:r>
            <w:r>
              <w:rPr>
                <w:rFonts w:hint="eastAsia" w:ascii="宋体" w:hAnsi="宋体" w:eastAsia="宋体" w:cs="宋体"/>
                <w:spacing w:val="-52"/>
                <w:sz w:val="21"/>
                <w:szCs w:val="21"/>
              </w:rPr>
              <w:t xml:space="preserve"> </w:t>
            </w:r>
            <w:r>
              <w:rPr>
                <w:rFonts w:hint="eastAsia" w:ascii="宋体" w:hAnsi="宋体" w:eastAsia="宋体" w:cs="宋体"/>
                <w:spacing w:val="-1"/>
                <w:sz w:val="21"/>
                <w:szCs w:val="21"/>
              </w:rPr>
              <w:t>日</w:t>
            </w:r>
            <w:r>
              <w:rPr>
                <w:rFonts w:hint="eastAsia" w:ascii="宋体" w:hAnsi="宋体" w:eastAsia="宋体" w:cs="宋体"/>
                <w:spacing w:val="-2"/>
                <w:sz w:val="21"/>
                <w:szCs w:val="21"/>
              </w:rPr>
              <w:t>落黄、胭脂红、</w:t>
            </w:r>
            <w:r>
              <w:rPr>
                <w:rFonts w:hint="eastAsia" w:ascii="宋体" w:hAnsi="宋体" w:eastAsia="宋体" w:cs="宋体"/>
                <w:spacing w:val="-1"/>
                <w:sz w:val="21"/>
                <w:szCs w:val="21"/>
              </w:rPr>
              <w:t>诱惑红）、大肠菌群</w:t>
            </w:r>
          </w:p>
        </w:tc>
      </w:tr>
      <w:tr w14:paraId="100F0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230" w:type="pct"/>
            <w:vMerge w:val="continue"/>
            <w:noWrap w:val="0"/>
            <w:vAlign w:val="center"/>
          </w:tcPr>
          <w:p w14:paraId="5D6359FA">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0833236">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2FED1109">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5A73BED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蔬菜干制品</w:t>
            </w:r>
          </w:p>
        </w:tc>
        <w:tc>
          <w:tcPr>
            <w:tcW w:w="464" w:type="pct"/>
            <w:noWrap w:val="0"/>
            <w:vAlign w:val="center"/>
          </w:tcPr>
          <w:p w14:paraId="20AAA94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蔬菜干制品</w:t>
            </w:r>
          </w:p>
        </w:tc>
        <w:tc>
          <w:tcPr>
            <w:tcW w:w="224" w:type="pct"/>
            <w:noWrap w:val="0"/>
            <w:vAlign w:val="center"/>
          </w:tcPr>
          <w:p w14:paraId="3028749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E208C7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铅（以Pb计）、苯甲酸及其钠盐（以苯甲酸计）、山梨酸及其钾盐（以山梨酸计）、二氧化硫残留量、合成着色剂（柠檬黄、日落黄、胭脂红、苋菜红、亮蓝）</w:t>
            </w:r>
          </w:p>
        </w:tc>
      </w:tr>
      <w:tr w14:paraId="7CB8B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230" w:type="pct"/>
            <w:vMerge w:val="continue"/>
            <w:noWrap w:val="0"/>
            <w:vAlign w:val="center"/>
          </w:tcPr>
          <w:p w14:paraId="21F87447">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F99440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A2D0689">
            <w:pPr>
              <w:widowControl/>
              <w:spacing w:line="230" w:lineRule="exact"/>
              <w:jc w:val="center"/>
              <w:rPr>
                <w:rFonts w:hint="eastAsia" w:ascii="宋体" w:hAnsi="宋体" w:eastAsia="宋体" w:cs="宋体"/>
                <w:sz w:val="21"/>
                <w:szCs w:val="21"/>
              </w:rPr>
            </w:pPr>
          </w:p>
        </w:tc>
        <w:tc>
          <w:tcPr>
            <w:tcW w:w="407" w:type="pct"/>
            <w:noWrap w:val="0"/>
            <w:vAlign w:val="center"/>
          </w:tcPr>
          <w:p w14:paraId="6717E9D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其他蔬菜制品</w:t>
            </w:r>
          </w:p>
        </w:tc>
        <w:tc>
          <w:tcPr>
            <w:tcW w:w="464" w:type="pct"/>
            <w:noWrap w:val="0"/>
            <w:vAlign w:val="center"/>
          </w:tcPr>
          <w:p w14:paraId="528549A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其他蔬菜制品</w:t>
            </w:r>
          </w:p>
        </w:tc>
        <w:tc>
          <w:tcPr>
            <w:tcW w:w="224" w:type="pct"/>
            <w:noWrap w:val="0"/>
            <w:vAlign w:val="center"/>
          </w:tcPr>
          <w:p w14:paraId="2D49A64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06AEB2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铅（以Pb计）、苯甲酸及其钠盐（以苯甲酸计）、山梨酸及其钾盐（以山梨酸计）、脱氢乙酸及其钠盐（以脱氢乙酸计）、二氧化硫残留量</w:t>
            </w:r>
          </w:p>
        </w:tc>
      </w:tr>
      <w:tr w14:paraId="193CC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08C424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FD92B9C">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6A7DC69">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6467390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食用菌制品</w:t>
            </w:r>
          </w:p>
        </w:tc>
        <w:tc>
          <w:tcPr>
            <w:tcW w:w="464" w:type="pct"/>
            <w:noWrap w:val="0"/>
            <w:vAlign w:val="center"/>
          </w:tcPr>
          <w:p w14:paraId="4FC3F45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干制食用菌</w:t>
            </w:r>
          </w:p>
        </w:tc>
        <w:tc>
          <w:tcPr>
            <w:tcW w:w="224" w:type="pct"/>
            <w:noWrap w:val="0"/>
            <w:vAlign w:val="center"/>
          </w:tcPr>
          <w:p w14:paraId="1E5CF4F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19A214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铅（以Pb计）、镉（以Cd计）、甲基汞（以Hg计）、无机砷（以As计）</w:t>
            </w:r>
          </w:p>
        </w:tc>
      </w:tr>
      <w:tr w14:paraId="403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7" w:hRule="atLeast"/>
          <w:jc w:val="center"/>
        </w:trPr>
        <w:tc>
          <w:tcPr>
            <w:tcW w:w="230" w:type="pct"/>
            <w:vMerge w:val="continue"/>
            <w:noWrap w:val="0"/>
            <w:vAlign w:val="center"/>
          </w:tcPr>
          <w:p w14:paraId="11E786E8">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B1C238E">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92C4627">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4BE9CA85">
            <w:pPr>
              <w:widowControl/>
              <w:spacing w:line="230" w:lineRule="exact"/>
              <w:jc w:val="center"/>
              <w:rPr>
                <w:rFonts w:hint="eastAsia" w:ascii="宋体" w:hAnsi="宋体" w:eastAsia="宋体" w:cs="宋体"/>
                <w:sz w:val="21"/>
                <w:szCs w:val="21"/>
              </w:rPr>
            </w:pPr>
          </w:p>
        </w:tc>
        <w:tc>
          <w:tcPr>
            <w:tcW w:w="464" w:type="pct"/>
            <w:noWrap w:val="0"/>
            <w:vAlign w:val="center"/>
          </w:tcPr>
          <w:p w14:paraId="1243129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腌渍食用菌</w:t>
            </w:r>
          </w:p>
        </w:tc>
        <w:tc>
          <w:tcPr>
            <w:tcW w:w="224" w:type="pct"/>
            <w:noWrap w:val="0"/>
            <w:vAlign w:val="center"/>
          </w:tcPr>
          <w:p w14:paraId="4E3C0E7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CDBA6D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苯甲酸及其钠盐（以苯甲酸计）、山梨酸及其钾盐（以山梨酸计）、脱氢乙酸及其钠盐（以脱氢乙酸计）、防腐剂混合使用时各自用量占其最大使用量的比例之和</w:t>
            </w:r>
          </w:p>
        </w:tc>
      </w:tr>
      <w:tr w14:paraId="397BF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restart"/>
            <w:noWrap w:val="0"/>
            <w:vAlign w:val="center"/>
          </w:tcPr>
          <w:p w14:paraId="087116C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17</w:t>
            </w:r>
          </w:p>
        </w:tc>
        <w:tc>
          <w:tcPr>
            <w:tcW w:w="378" w:type="pct"/>
            <w:vMerge w:val="restart"/>
            <w:noWrap w:val="0"/>
            <w:vAlign w:val="center"/>
          </w:tcPr>
          <w:p w14:paraId="32EA28A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水果制品</w:t>
            </w:r>
          </w:p>
        </w:tc>
        <w:tc>
          <w:tcPr>
            <w:tcW w:w="413" w:type="pct"/>
            <w:vMerge w:val="restart"/>
            <w:noWrap w:val="0"/>
            <w:vAlign w:val="center"/>
          </w:tcPr>
          <w:p w14:paraId="64EDC35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水果制品</w:t>
            </w:r>
          </w:p>
        </w:tc>
        <w:tc>
          <w:tcPr>
            <w:tcW w:w="407" w:type="pct"/>
            <w:noWrap w:val="0"/>
            <w:vAlign w:val="center"/>
          </w:tcPr>
          <w:p w14:paraId="1F0790D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蜜饯</w:t>
            </w:r>
          </w:p>
        </w:tc>
        <w:tc>
          <w:tcPr>
            <w:tcW w:w="464" w:type="pct"/>
            <w:noWrap w:val="0"/>
            <w:vAlign w:val="center"/>
          </w:tcPr>
          <w:p w14:paraId="0B2E463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蜜饯类、凉果类、果脯类、话化类、果糕类</w:t>
            </w:r>
          </w:p>
        </w:tc>
        <w:tc>
          <w:tcPr>
            <w:tcW w:w="224" w:type="pct"/>
            <w:noWrap w:val="0"/>
            <w:vAlign w:val="center"/>
          </w:tcPr>
          <w:p w14:paraId="761D130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5BBA9C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防腐剂混合使用时各自用量占其最大使用量的比例之和、糖精钠（以糖精计）、甜蜜素（以环己基氨基磺酸计）、安赛蜜、二氧化硫残留量、合成着色剂（亮蓝、柠檬黄、日落黄、苋菜红、胭脂红、诱惑红、喹啉黄、赤藓红）、相同色泽着色剂混合使用时各自用量占其最大使用量的比例之和、乙二胺四乙酸二钠、菌落总数、大肠菌群、霉菌</w:t>
            </w:r>
          </w:p>
        </w:tc>
      </w:tr>
      <w:tr w14:paraId="55D3C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10" w:hRule="atLeast"/>
          <w:jc w:val="center"/>
        </w:trPr>
        <w:tc>
          <w:tcPr>
            <w:tcW w:w="230" w:type="pct"/>
            <w:vMerge w:val="continue"/>
            <w:noWrap w:val="0"/>
            <w:vAlign w:val="center"/>
          </w:tcPr>
          <w:p w14:paraId="579A78FC">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39B0458">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1AB9E9D">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45F0221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水果干制品</w:t>
            </w:r>
          </w:p>
        </w:tc>
        <w:tc>
          <w:tcPr>
            <w:tcW w:w="464" w:type="pct"/>
            <w:noWrap w:val="0"/>
            <w:vAlign w:val="center"/>
          </w:tcPr>
          <w:p w14:paraId="0F693C0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水果干制品（含干枸杞）</w:t>
            </w:r>
          </w:p>
        </w:tc>
        <w:tc>
          <w:tcPr>
            <w:tcW w:w="224" w:type="pct"/>
            <w:noWrap w:val="0"/>
            <w:vAlign w:val="center"/>
          </w:tcPr>
          <w:p w14:paraId="0DDD072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146EBB6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啶虫脒、吡虫啉、克百威、氯氟氰菊酯和高效氯氟氰菊酯、氯氰菊酯和高效氯氰菊酯、苯甲酸及其钠盐（以苯甲酸计）、山梨酸及其钾盐（以山梨酸计）、脱氢乙酸及其钠盐（以脱氢乙酸计）、糖精钠（以糖精计）、二氧化硫残留量、合成着色剂（亮蓝、柠檬黄、日落黄、苋菜红、胭脂红、诱惑红、喹啉黄、赤藓红）、菌落总数、大肠菌群、霉菌</w:t>
            </w:r>
          </w:p>
        </w:tc>
      </w:tr>
      <w:tr w14:paraId="1C4D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230" w:type="pct"/>
            <w:vMerge w:val="continue"/>
            <w:noWrap w:val="0"/>
            <w:vAlign w:val="center"/>
          </w:tcPr>
          <w:p w14:paraId="73E6AE6C">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96E1FB2">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104C021">
            <w:pPr>
              <w:widowControl/>
              <w:spacing w:line="230" w:lineRule="exact"/>
              <w:jc w:val="center"/>
              <w:rPr>
                <w:rFonts w:hint="eastAsia" w:ascii="宋体" w:hAnsi="宋体" w:eastAsia="宋体" w:cs="宋体"/>
                <w:sz w:val="21"/>
                <w:szCs w:val="21"/>
              </w:rPr>
            </w:pPr>
          </w:p>
        </w:tc>
        <w:tc>
          <w:tcPr>
            <w:tcW w:w="407" w:type="pct"/>
            <w:noWrap w:val="0"/>
            <w:vAlign w:val="center"/>
          </w:tcPr>
          <w:p w14:paraId="4C2DC17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果酱</w:t>
            </w:r>
          </w:p>
        </w:tc>
        <w:tc>
          <w:tcPr>
            <w:tcW w:w="464" w:type="pct"/>
            <w:noWrap w:val="0"/>
            <w:vAlign w:val="center"/>
          </w:tcPr>
          <w:p w14:paraId="56D5498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果酱</w:t>
            </w:r>
          </w:p>
        </w:tc>
        <w:tc>
          <w:tcPr>
            <w:tcW w:w="224" w:type="pct"/>
            <w:noWrap w:val="0"/>
            <w:vAlign w:val="center"/>
          </w:tcPr>
          <w:p w14:paraId="1078B16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E5B071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脱氢乙酸及其钠盐（以脱氢乙酸计）、二氧化硫残留量、菌落总数、大肠菌群、霉菌、商业无菌</w:t>
            </w:r>
          </w:p>
        </w:tc>
      </w:tr>
      <w:tr w14:paraId="20A5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5" w:hRule="atLeast"/>
          <w:jc w:val="center"/>
        </w:trPr>
        <w:tc>
          <w:tcPr>
            <w:tcW w:w="230" w:type="pct"/>
            <w:noWrap w:val="0"/>
            <w:vAlign w:val="center"/>
          </w:tcPr>
          <w:p w14:paraId="3A9B450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18</w:t>
            </w:r>
          </w:p>
        </w:tc>
        <w:tc>
          <w:tcPr>
            <w:tcW w:w="378" w:type="pct"/>
            <w:noWrap w:val="0"/>
            <w:vAlign w:val="center"/>
          </w:tcPr>
          <w:p w14:paraId="5E9C6E6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炒货食品及坚果制品</w:t>
            </w:r>
          </w:p>
        </w:tc>
        <w:tc>
          <w:tcPr>
            <w:tcW w:w="413" w:type="pct"/>
            <w:noWrap w:val="0"/>
            <w:vAlign w:val="center"/>
          </w:tcPr>
          <w:p w14:paraId="0FAE301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炒货食品及坚果制品</w:t>
            </w:r>
          </w:p>
        </w:tc>
        <w:tc>
          <w:tcPr>
            <w:tcW w:w="407" w:type="pct"/>
            <w:noWrap w:val="0"/>
            <w:vAlign w:val="center"/>
          </w:tcPr>
          <w:p w14:paraId="50B41E9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炒货食品及坚果制品（烘炒类、油炸类、其他类）</w:t>
            </w:r>
          </w:p>
        </w:tc>
        <w:tc>
          <w:tcPr>
            <w:tcW w:w="464" w:type="pct"/>
            <w:noWrap w:val="0"/>
            <w:vAlign w:val="center"/>
          </w:tcPr>
          <w:p w14:paraId="7DBF417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瓜子</w:t>
            </w:r>
          </w:p>
        </w:tc>
        <w:tc>
          <w:tcPr>
            <w:tcW w:w="224" w:type="pct"/>
            <w:noWrap w:val="0"/>
            <w:vAlign w:val="center"/>
          </w:tcPr>
          <w:p w14:paraId="4272709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65AE93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酸价（以脂肪计）（KOH）、过氧化值（以脂肪计）、铅（以Pb计）、黄曲霉毒素B</w:t>
            </w:r>
            <w:r>
              <w:rPr>
                <w:rFonts w:hint="eastAsia" w:ascii="宋体" w:hAnsi="宋体" w:eastAsia="宋体" w:cs="宋体"/>
                <w:position w:val="-3"/>
                <w:sz w:val="21"/>
                <w:szCs w:val="21"/>
              </w:rPr>
              <w:t>1</w:t>
            </w:r>
            <w:r>
              <w:rPr>
                <w:rFonts w:hint="eastAsia" w:ascii="宋体" w:hAnsi="宋体" w:eastAsia="宋体" w:cs="宋体"/>
                <w:sz w:val="21"/>
                <w:szCs w:val="21"/>
              </w:rPr>
              <w:t>、苯甲酸及其钠盐（以苯甲酸计）、山梨酸及其钾盐（以山梨酸计）、脱氢乙酸及其钠盐（以脱氢乙酸计）、二氧化硫残留量、糖精钠（以糖精计）、甜蜜素（以环己基氨基磺酸计）、安赛蜜、大肠菌群、霉菌</w:t>
            </w:r>
          </w:p>
        </w:tc>
      </w:tr>
      <w:tr w14:paraId="794B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230" w:type="pct"/>
            <w:vMerge w:val="restart"/>
            <w:noWrap w:val="0"/>
            <w:vAlign w:val="center"/>
          </w:tcPr>
          <w:p w14:paraId="30512DE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18</w:t>
            </w:r>
          </w:p>
        </w:tc>
        <w:tc>
          <w:tcPr>
            <w:tcW w:w="378" w:type="pct"/>
            <w:vMerge w:val="restart"/>
            <w:noWrap w:val="0"/>
            <w:vAlign w:val="center"/>
          </w:tcPr>
          <w:p w14:paraId="41BC196A">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炒货食品及坚果制品</w:t>
            </w:r>
          </w:p>
          <w:p w14:paraId="1AD90785">
            <w:pPr>
              <w:widowControl/>
              <w:spacing w:line="200" w:lineRule="exact"/>
              <w:jc w:val="center"/>
              <w:textAlignment w:val="center"/>
              <w:rPr>
                <w:rFonts w:hint="eastAsia" w:ascii="宋体" w:hAnsi="宋体" w:eastAsia="宋体" w:cs="宋体"/>
                <w:kern w:val="0"/>
                <w:sz w:val="21"/>
                <w:szCs w:val="21"/>
                <w:lang w:bidi="ar"/>
              </w:rPr>
            </w:pPr>
          </w:p>
        </w:tc>
        <w:tc>
          <w:tcPr>
            <w:tcW w:w="413" w:type="pct"/>
            <w:vMerge w:val="restart"/>
            <w:noWrap w:val="0"/>
            <w:vAlign w:val="center"/>
          </w:tcPr>
          <w:p w14:paraId="36369D3C">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炒货食品及坚果制品</w:t>
            </w:r>
          </w:p>
          <w:p w14:paraId="3A29F089">
            <w:pPr>
              <w:widowControl/>
              <w:spacing w:line="20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6142716C">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炒货食品及坚果制品（烘炒类、油炸类、其他类）</w:t>
            </w:r>
          </w:p>
        </w:tc>
        <w:tc>
          <w:tcPr>
            <w:tcW w:w="464" w:type="pct"/>
            <w:noWrap w:val="0"/>
            <w:vAlign w:val="center"/>
          </w:tcPr>
          <w:p w14:paraId="345C5C55">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花生制品</w:t>
            </w:r>
          </w:p>
        </w:tc>
        <w:tc>
          <w:tcPr>
            <w:tcW w:w="224" w:type="pct"/>
            <w:noWrap w:val="0"/>
            <w:vAlign w:val="center"/>
          </w:tcPr>
          <w:p w14:paraId="4D16E4CB">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top"/>
          </w:tcPr>
          <w:p w14:paraId="77DAC901">
            <w:pPr>
              <w:widowControl/>
              <w:spacing w:line="20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酸价（以脂肪计）（KOH）、过氧化值（以脂肪计）、铅（以Pb计）、</w:t>
            </w:r>
            <w:r>
              <w:rPr>
                <w:rFonts w:hint="eastAsia" w:ascii="宋体" w:hAnsi="宋体" w:eastAsia="宋体" w:cs="宋体"/>
                <w:sz w:val="21"/>
                <w:szCs w:val="21"/>
              </w:rPr>
              <w:t>黄曲霉毒素B</w:t>
            </w:r>
            <w:r>
              <w:rPr>
                <w:rFonts w:hint="eastAsia" w:ascii="宋体" w:hAnsi="宋体" w:eastAsia="宋体" w:cs="宋体"/>
                <w:position w:val="-3"/>
                <w:sz w:val="21"/>
                <w:szCs w:val="21"/>
              </w:rPr>
              <w:t>1</w:t>
            </w:r>
            <w:r>
              <w:rPr>
                <w:rFonts w:hint="eastAsia" w:ascii="宋体" w:hAnsi="宋体" w:eastAsia="宋体" w:cs="宋体"/>
                <w:kern w:val="0"/>
                <w:sz w:val="21"/>
                <w:szCs w:val="21"/>
                <w:lang w:bidi="ar"/>
              </w:rPr>
              <w:t>、苯甲酸及其钠盐（以苯甲酸计）、山梨酸及其钾盐（以山梨酸计）、脱氢乙酸及其钠盐（以脱氢乙酸计）、二氧化硫残留量、糖精钠（以糖精计）、甜蜜素（以环己基氨基磺酸计）、安赛蜜、大肠菌群、霉菌</w:t>
            </w:r>
          </w:p>
        </w:tc>
      </w:tr>
      <w:tr w14:paraId="341D2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5" w:hRule="atLeast"/>
          <w:jc w:val="center"/>
        </w:trPr>
        <w:tc>
          <w:tcPr>
            <w:tcW w:w="230" w:type="pct"/>
            <w:vMerge w:val="continue"/>
            <w:noWrap w:val="0"/>
            <w:vAlign w:val="center"/>
          </w:tcPr>
          <w:p w14:paraId="5BAF46D5">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BF537C6">
            <w:pPr>
              <w:widowControl/>
              <w:spacing w:line="20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4D56A7C">
            <w:pPr>
              <w:widowControl/>
              <w:spacing w:line="20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77C3C497">
            <w:pPr>
              <w:widowControl/>
              <w:spacing w:line="20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078496AC">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其他炒货食品及坚果制品</w:t>
            </w:r>
          </w:p>
        </w:tc>
        <w:tc>
          <w:tcPr>
            <w:tcW w:w="224" w:type="pct"/>
            <w:noWrap w:val="0"/>
            <w:vAlign w:val="center"/>
          </w:tcPr>
          <w:p w14:paraId="2265B8B9">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7298B19C">
            <w:pPr>
              <w:widowControl/>
              <w:spacing w:line="20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酸价（以脂肪计）（KOH）、过氧化值（以脂肪计）、铅（以Pb计）、</w:t>
            </w:r>
            <w:r>
              <w:rPr>
                <w:rFonts w:hint="eastAsia" w:ascii="宋体" w:hAnsi="宋体" w:eastAsia="宋体" w:cs="宋体"/>
                <w:sz w:val="21"/>
                <w:szCs w:val="21"/>
              </w:rPr>
              <w:t>黄曲霉毒素B</w:t>
            </w:r>
            <w:r>
              <w:rPr>
                <w:rFonts w:hint="eastAsia" w:ascii="宋体" w:hAnsi="宋体" w:eastAsia="宋体" w:cs="宋体"/>
                <w:position w:val="-3"/>
                <w:sz w:val="21"/>
                <w:szCs w:val="21"/>
              </w:rPr>
              <w:t>1</w:t>
            </w:r>
            <w:r>
              <w:rPr>
                <w:rFonts w:hint="eastAsia" w:ascii="宋体" w:hAnsi="宋体" w:eastAsia="宋体" w:cs="宋体"/>
                <w:kern w:val="0"/>
                <w:sz w:val="21"/>
                <w:szCs w:val="21"/>
                <w:lang w:bidi="ar"/>
              </w:rPr>
              <w:t>、脱氢乙酸及其钠盐（以脱氢乙酸计）、二氧化硫残留量、糖精钠（以糖精计）、甜蜜素（以环己基氨基磺酸计）、安赛蜜、大肠菌群、霉菌</w:t>
            </w:r>
          </w:p>
        </w:tc>
      </w:tr>
      <w:tr w14:paraId="3C5CC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2533D0C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19</w:t>
            </w:r>
          </w:p>
        </w:tc>
        <w:tc>
          <w:tcPr>
            <w:tcW w:w="378" w:type="pct"/>
            <w:vMerge w:val="restart"/>
            <w:noWrap w:val="0"/>
            <w:vAlign w:val="center"/>
          </w:tcPr>
          <w:p w14:paraId="6DD5A480">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蛋制品</w:t>
            </w:r>
          </w:p>
        </w:tc>
        <w:tc>
          <w:tcPr>
            <w:tcW w:w="413" w:type="pct"/>
            <w:vMerge w:val="restart"/>
            <w:noWrap w:val="0"/>
            <w:vAlign w:val="center"/>
          </w:tcPr>
          <w:p w14:paraId="283C4712">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蛋制品</w:t>
            </w:r>
          </w:p>
        </w:tc>
        <w:tc>
          <w:tcPr>
            <w:tcW w:w="407" w:type="pct"/>
            <w:noWrap w:val="0"/>
            <w:vAlign w:val="center"/>
          </w:tcPr>
          <w:p w14:paraId="78927460">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再制蛋</w:t>
            </w:r>
          </w:p>
        </w:tc>
        <w:tc>
          <w:tcPr>
            <w:tcW w:w="464" w:type="pct"/>
            <w:noWrap w:val="0"/>
            <w:vAlign w:val="center"/>
          </w:tcPr>
          <w:p w14:paraId="02A599AA">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再制蛋</w:t>
            </w:r>
          </w:p>
        </w:tc>
        <w:tc>
          <w:tcPr>
            <w:tcW w:w="224" w:type="pct"/>
            <w:noWrap w:val="0"/>
            <w:vAlign w:val="center"/>
          </w:tcPr>
          <w:p w14:paraId="6BDBF3C5">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63953589">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铅（以Pb计）、苯甲酸及其钠盐（以苯甲酸计）、山梨酸及其钾盐（以山梨酸计）、菌落总数、大肠菌群、沙门氏菌</w:t>
            </w:r>
          </w:p>
        </w:tc>
      </w:tr>
      <w:tr w14:paraId="0DF24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B95188C">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AF20355">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68302411">
            <w:pPr>
              <w:widowControl/>
              <w:spacing w:line="200" w:lineRule="exact"/>
              <w:jc w:val="center"/>
              <w:rPr>
                <w:rFonts w:hint="eastAsia" w:ascii="宋体" w:hAnsi="宋体" w:eastAsia="宋体" w:cs="宋体"/>
                <w:sz w:val="21"/>
                <w:szCs w:val="21"/>
              </w:rPr>
            </w:pPr>
          </w:p>
        </w:tc>
        <w:tc>
          <w:tcPr>
            <w:tcW w:w="407" w:type="pct"/>
            <w:noWrap w:val="0"/>
            <w:vAlign w:val="center"/>
          </w:tcPr>
          <w:p w14:paraId="3D9A4DC0">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干蛋制品</w:t>
            </w:r>
          </w:p>
        </w:tc>
        <w:tc>
          <w:tcPr>
            <w:tcW w:w="464" w:type="pct"/>
            <w:noWrap w:val="0"/>
            <w:vAlign w:val="center"/>
          </w:tcPr>
          <w:p w14:paraId="16707B35">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干蛋制品</w:t>
            </w:r>
          </w:p>
        </w:tc>
        <w:tc>
          <w:tcPr>
            <w:tcW w:w="224" w:type="pct"/>
            <w:noWrap w:val="0"/>
            <w:vAlign w:val="center"/>
          </w:tcPr>
          <w:p w14:paraId="206FDF78">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7342E4E">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菌落总数、大肠菌群、沙门氏菌</w:t>
            </w:r>
          </w:p>
        </w:tc>
      </w:tr>
      <w:tr w14:paraId="2EB35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4C8226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15DE289">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63E0A059">
            <w:pPr>
              <w:widowControl/>
              <w:spacing w:line="200" w:lineRule="exact"/>
              <w:jc w:val="center"/>
              <w:rPr>
                <w:rFonts w:hint="eastAsia" w:ascii="宋体" w:hAnsi="宋体" w:eastAsia="宋体" w:cs="宋体"/>
                <w:sz w:val="21"/>
                <w:szCs w:val="21"/>
              </w:rPr>
            </w:pPr>
          </w:p>
        </w:tc>
        <w:tc>
          <w:tcPr>
            <w:tcW w:w="407" w:type="pct"/>
            <w:noWrap w:val="0"/>
            <w:vAlign w:val="center"/>
          </w:tcPr>
          <w:p w14:paraId="7B3E8293">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冰蛋制品</w:t>
            </w:r>
          </w:p>
        </w:tc>
        <w:tc>
          <w:tcPr>
            <w:tcW w:w="464" w:type="pct"/>
            <w:noWrap w:val="0"/>
            <w:vAlign w:val="center"/>
          </w:tcPr>
          <w:p w14:paraId="2BB6DA82">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冰蛋制品</w:t>
            </w:r>
          </w:p>
        </w:tc>
        <w:tc>
          <w:tcPr>
            <w:tcW w:w="224" w:type="pct"/>
            <w:noWrap w:val="0"/>
            <w:vAlign w:val="center"/>
          </w:tcPr>
          <w:p w14:paraId="2714AC21">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42DB905">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菌落总数、大肠菌群、沙门氏菌</w:t>
            </w:r>
          </w:p>
        </w:tc>
      </w:tr>
      <w:tr w14:paraId="66130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3" w:hRule="atLeast"/>
          <w:jc w:val="center"/>
        </w:trPr>
        <w:tc>
          <w:tcPr>
            <w:tcW w:w="230" w:type="pct"/>
            <w:vMerge w:val="continue"/>
            <w:noWrap w:val="0"/>
            <w:vAlign w:val="center"/>
          </w:tcPr>
          <w:p w14:paraId="3C464C0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E315D61">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7A79DC13">
            <w:pPr>
              <w:widowControl/>
              <w:spacing w:line="200" w:lineRule="exact"/>
              <w:jc w:val="center"/>
              <w:rPr>
                <w:rFonts w:hint="eastAsia" w:ascii="宋体" w:hAnsi="宋体" w:eastAsia="宋体" w:cs="宋体"/>
                <w:sz w:val="21"/>
                <w:szCs w:val="21"/>
              </w:rPr>
            </w:pPr>
          </w:p>
        </w:tc>
        <w:tc>
          <w:tcPr>
            <w:tcW w:w="407" w:type="pct"/>
            <w:noWrap w:val="0"/>
            <w:vAlign w:val="center"/>
          </w:tcPr>
          <w:p w14:paraId="39F00AB0">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液蛋制品</w:t>
            </w:r>
          </w:p>
        </w:tc>
        <w:tc>
          <w:tcPr>
            <w:tcW w:w="464" w:type="pct"/>
            <w:noWrap w:val="0"/>
            <w:vAlign w:val="center"/>
          </w:tcPr>
          <w:p w14:paraId="273F525A">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液蛋制品</w:t>
            </w:r>
          </w:p>
        </w:tc>
        <w:tc>
          <w:tcPr>
            <w:tcW w:w="224" w:type="pct"/>
            <w:noWrap w:val="0"/>
            <w:vAlign w:val="center"/>
          </w:tcPr>
          <w:p w14:paraId="48CF6DB3">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1307B0D3">
            <w:pPr>
              <w:widowControl/>
              <w:spacing w:line="200" w:lineRule="exac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铅（以Pb计）、苯甲酸及其钠盐（以苯甲酸计）、山梨酸及其钾盐（以山梨酸计）、脱氢乙酸及其钠盐（以脱氢乙酸计）、菌落总数、大肠菌群、沙门氏菌</w:t>
            </w:r>
          </w:p>
        </w:tc>
      </w:tr>
      <w:tr w14:paraId="5A542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230" w:type="pct"/>
            <w:vMerge w:val="continue"/>
            <w:noWrap w:val="0"/>
            <w:vAlign w:val="center"/>
          </w:tcPr>
          <w:p w14:paraId="0B4E71B7">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0898283">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235A49E5">
            <w:pPr>
              <w:widowControl/>
              <w:spacing w:line="200" w:lineRule="exact"/>
              <w:jc w:val="center"/>
              <w:rPr>
                <w:rFonts w:hint="eastAsia" w:ascii="宋体" w:hAnsi="宋体" w:eastAsia="宋体" w:cs="宋体"/>
                <w:sz w:val="21"/>
                <w:szCs w:val="21"/>
              </w:rPr>
            </w:pPr>
          </w:p>
        </w:tc>
        <w:tc>
          <w:tcPr>
            <w:tcW w:w="407" w:type="pct"/>
            <w:noWrap w:val="0"/>
            <w:vAlign w:val="center"/>
          </w:tcPr>
          <w:p w14:paraId="787C8F37">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热凝固蛋制品</w:t>
            </w:r>
          </w:p>
        </w:tc>
        <w:tc>
          <w:tcPr>
            <w:tcW w:w="464" w:type="pct"/>
            <w:noWrap w:val="0"/>
            <w:vAlign w:val="center"/>
          </w:tcPr>
          <w:p w14:paraId="4BF810B2">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热凝固蛋制品</w:t>
            </w:r>
          </w:p>
        </w:tc>
        <w:tc>
          <w:tcPr>
            <w:tcW w:w="224" w:type="pct"/>
            <w:noWrap w:val="0"/>
            <w:vAlign w:val="center"/>
          </w:tcPr>
          <w:p w14:paraId="407C87B7">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190E33AB">
            <w:pPr>
              <w:widowControl/>
              <w:spacing w:line="200" w:lineRule="exac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铅（以Pb计）、苯甲酸及其钠盐（以苯甲酸计）、山梨酸及其钾盐（以山梨酸计）、脱氢乙酸及其钠盐（以脱氢乙酸计）、菌落总数、大肠菌群、沙门氏菌</w:t>
            </w:r>
          </w:p>
        </w:tc>
      </w:tr>
      <w:tr w14:paraId="46955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 w:hRule="atLeast"/>
          <w:jc w:val="center"/>
        </w:trPr>
        <w:tc>
          <w:tcPr>
            <w:tcW w:w="230" w:type="pct"/>
            <w:vMerge w:val="continue"/>
            <w:noWrap w:val="0"/>
            <w:vAlign w:val="center"/>
          </w:tcPr>
          <w:p w14:paraId="24B975A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BBCC908">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4C91B539">
            <w:pPr>
              <w:widowControl/>
              <w:spacing w:line="200" w:lineRule="exact"/>
              <w:jc w:val="center"/>
              <w:rPr>
                <w:rFonts w:hint="eastAsia" w:ascii="宋体" w:hAnsi="宋体" w:eastAsia="宋体" w:cs="宋体"/>
                <w:sz w:val="21"/>
                <w:szCs w:val="21"/>
              </w:rPr>
            </w:pPr>
          </w:p>
        </w:tc>
        <w:tc>
          <w:tcPr>
            <w:tcW w:w="407" w:type="pct"/>
            <w:noWrap w:val="0"/>
            <w:vAlign w:val="center"/>
          </w:tcPr>
          <w:p w14:paraId="7B6E116A">
            <w:pPr>
              <w:widowControl/>
              <w:spacing w:line="200" w:lineRule="exact"/>
              <w:jc w:val="center"/>
              <w:textAlignment w:val="center"/>
              <w:rPr>
                <w:rFonts w:hint="eastAsia" w:ascii="宋体" w:hAnsi="宋体" w:eastAsia="宋体" w:cs="宋体"/>
                <w:kern w:val="0"/>
                <w:sz w:val="21"/>
                <w:szCs w:val="21"/>
                <w:lang w:eastAsia="en-US" w:bidi="ar"/>
              </w:rPr>
            </w:pPr>
            <w:r>
              <w:rPr>
                <w:rFonts w:hint="eastAsia" w:ascii="宋体" w:hAnsi="宋体" w:eastAsia="宋体" w:cs="宋体"/>
                <w:kern w:val="0"/>
                <w:sz w:val="21"/>
                <w:szCs w:val="21"/>
                <w:lang w:bidi="ar"/>
              </w:rPr>
              <w:t>其他蛋制品</w:t>
            </w:r>
          </w:p>
        </w:tc>
        <w:tc>
          <w:tcPr>
            <w:tcW w:w="464" w:type="pct"/>
            <w:noWrap w:val="0"/>
            <w:vAlign w:val="center"/>
          </w:tcPr>
          <w:p w14:paraId="58D98EC7">
            <w:pPr>
              <w:widowControl/>
              <w:spacing w:line="200" w:lineRule="exact"/>
              <w:jc w:val="center"/>
              <w:textAlignment w:val="center"/>
              <w:rPr>
                <w:rFonts w:hint="eastAsia" w:ascii="宋体" w:hAnsi="宋体" w:eastAsia="宋体" w:cs="宋体"/>
                <w:kern w:val="0"/>
                <w:sz w:val="21"/>
                <w:szCs w:val="21"/>
                <w:lang w:eastAsia="en-US" w:bidi="ar"/>
              </w:rPr>
            </w:pPr>
            <w:r>
              <w:rPr>
                <w:rFonts w:hint="eastAsia" w:ascii="宋体" w:hAnsi="宋体" w:eastAsia="宋体" w:cs="宋体"/>
                <w:kern w:val="0"/>
                <w:sz w:val="21"/>
                <w:szCs w:val="21"/>
                <w:lang w:bidi="ar"/>
              </w:rPr>
              <w:t>其他蛋制品</w:t>
            </w:r>
          </w:p>
        </w:tc>
        <w:tc>
          <w:tcPr>
            <w:tcW w:w="224" w:type="pct"/>
            <w:noWrap w:val="0"/>
            <w:vAlign w:val="center"/>
          </w:tcPr>
          <w:p w14:paraId="584AED27">
            <w:pPr>
              <w:widowControl/>
              <w:spacing w:line="200" w:lineRule="exact"/>
              <w:jc w:val="center"/>
              <w:textAlignment w:val="center"/>
              <w:rPr>
                <w:rFonts w:hint="eastAsia" w:ascii="宋体" w:hAnsi="宋体" w:eastAsia="宋体" w:cs="宋体"/>
                <w:kern w:val="0"/>
                <w:sz w:val="21"/>
                <w:szCs w:val="21"/>
                <w:lang w:eastAsia="en-US" w:bidi="ar"/>
              </w:rPr>
            </w:pPr>
            <w:r>
              <w:rPr>
                <w:rFonts w:hint="eastAsia" w:ascii="宋体" w:hAnsi="宋体" w:eastAsia="宋体" w:cs="宋体"/>
                <w:kern w:val="0"/>
                <w:sz w:val="21"/>
                <w:szCs w:val="21"/>
                <w:lang w:bidi="ar"/>
              </w:rPr>
              <w:t>较高</w:t>
            </w:r>
          </w:p>
        </w:tc>
        <w:tc>
          <w:tcPr>
            <w:tcW w:w="2882" w:type="pct"/>
            <w:noWrap w:val="0"/>
            <w:vAlign w:val="center"/>
          </w:tcPr>
          <w:p w14:paraId="692DBCE0">
            <w:pPr>
              <w:widowControl/>
              <w:spacing w:line="200" w:lineRule="exac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铅（以Pb计）、苯甲酸及其钠盐（以苯甲酸计）、山梨酸及其钾盐（以山梨酸计）、脱氢乙酸及其钠盐（以脱氢乙酸计）、菌落总数、大肠菌群、沙门氏菌</w:t>
            </w:r>
          </w:p>
        </w:tc>
      </w:tr>
      <w:tr w14:paraId="5E73C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6638ECA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20</w:t>
            </w:r>
          </w:p>
        </w:tc>
        <w:tc>
          <w:tcPr>
            <w:tcW w:w="378" w:type="pct"/>
            <w:vMerge w:val="restart"/>
            <w:noWrap w:val="0"/>
            <w:vAlign w:val="center"/>
          </w:tcPr>
          <w:p w14:paraId="7020E9BF">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可可及焙烤咖啡产品</w:t>
            </w:r>
          </w:p>
        </w:tc>
        <w:tc>
          <w:tcPr>
            <w:tcW w:w="413" w:type="pct"/>
            <w:noWrap w:val="0"/>
            <w:vAlign w:val="center"/>
          </w:tcPr>
          <w:p w14:paraId="29D31AD1">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焙炒咖啡</w:t>
            </w:r>
          </w:p>
        </w:tc>
        <w:tc>
          <w:tcPr>
            <w:tcW w:w="407" w:type="pct"/>
            <w:noWrap w:val="0"/>
            <w:vAlign w:val="center"/>
          </w:tcPr>
          <w:p w14:paraId="4B9FCBF3">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焙炒咖啡</w:t>
            </w:r>
          </w:p>
        </w:tc>
        <w:tc>
          <w:tcPr>
            <w:tcW w:w="464" w:type="pct"/>
            <w:noWrap w:val="0"/>
            <w:vAlign w:val="center"/>
          </w:tcPr>
          <w:p w14:paraId="21332B7F">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焙炒咖啡</w:t>
            </w:r>
          </w:p>
        </w:tc>
        <w:tc>
          <w:tcPr>
            <w:tcW w:w="224" w:type="pct"/>
            <w:noWrap w:val="0"/>
            <w:vAlign w:val="center"/>
          </w:tcPr>
          <w:p w14:paraId="50190F30">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6358541">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咖啡因、铅（以Pb计）、赭曲霉毒素A</w:t>
            </w:r>
          </w:p>
        </w:tc>
      </w:tr>
      <w:tr w14:paraId="46F4B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C033B91">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F0EBA20">
            <w:pPr>
              <w:widowControl/>
              <w:spacing w:line="200" w:lineRule="exact"/>
              <w:jc w:val="center"/>
              <w:rPr>
                <w:rFonts w:hint="eastAsia" w:ascii="宋体" w:hAnsi="宋体" w:eastAsia="宋体" w:cs="宋体"/>
                <w:sz w:val="21"/>
                <w:szCs w:val="21"/>
              </w:rPr>
            </w:pPr>
          </w:p>
        </w:tc>
        <w:tc>
          <w:tcPr>
            <w:tcW w:w="413" w:type="pct"/>
            <w:noWrap w:val="0"/>
            <w:vAlign w:val="center"/>
          </w:tcPr>
          <w:p w14:paraId="3122B672">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可可制品</w:t>
            </w:r>
          </w:p>
        </w:tc>
        <w:tc>
          <w:tcPr>
            <w:tcW w:w="407" w:type="pct"/>
            <w:noWrap w:val="0"/>
            <w:vAlign w:val="center"/>
          </w:tcPr>
          <w:p w14:paraId="0BF5D44E">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可可制品</w:t>
            </w:r>
          </w:p>
        </w:tc>
        <w:tc>
          <w:tcPr>
            <w:tcW w:w="464" w:type="pct"/>
            <w:noWrap w:val="0"/>
            <w:vAlign w:val="center"/>
          </w:tcPr>
          <w:p w14:paraId="2B91A0E0">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可可制品</w:t>
            </w:r>
          </w:p>
        </w:tc>
        <w:tc>
          <w:tcPr>
            <w:tcW w:w="224" w:type="pct"/>
            <w:noWrap w:val="0"/>
            <w:vAlign w:val="center"/>
          </w:tcPr>
          <w:p w14:paraId="2FE06BB3">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D8DA275">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铅（以Pb计）、沙门氏菌</w:t>
            </w:r>
          </w:p>
        </w:tc>
      </w:tr>
      <w:tr w14:paraId="41D8A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5F6A12B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21</w:t>
            </w:r>
          </w:p>
        </w:tc>
        <w:tc>
          <w:tcPr>
            <w:tcW w:w="378" w:type="pct"/>
            <w:vMerge w:val="restart"/>
            <w:noWrap w:val="0"/>
            <w:vAlign w:val="center"/>
          </w:tcPr>
          <w:p w14:paraId="2D5E1097">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食糖</w:t>
            </w:r>
          </w:p>
        </w:tc>
        <w:tc>
          <w:tcPr>
            <w:tcW w:w="413" w:type="pct"/>
            <w:vMerge w:val="restart"/>
            <w:noWrap w:val="0"/>
            <w:vAlign w:val="center"/>
          </w:tcPr>
          <w:p w14:paraId="49758A12">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食糖</w:t>
            </w:r>
          </w:p>
        </w:tc>
        <w:tc>
          <w:tcPr>
            <w:tcW w:w="407" w:type="pct"/>
            <w:vMerge w:val="restart"/>
            <w:noWrap w:val="0"/>
            <w:vAlign w:val="center"/>
          </w:tcPr>
          <w:p w14:paraId="55D11EF2">
            <w:pPr>
              <w:widowControl/>
              <w:spacing w:line="20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食糖</w:t>
            </w:r>
          </w:p>
        </w:tc>
        <w:tc>
          <w:tcPr>
            <w:tcW w:w="464" w:type="pct"/>
            <w:noWrap w:val="0"/>
            <w:vAlign w:val="center"/>
          </w:tcPr>
          <w:p w14:paraId="5B41BEEE">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白砂糖</w:t>
            </w:r>
          </w:p>
        </w:tc>
        <w:tc>
          <w:tcPr>
            <w:tcW w:w="224" w:type="pct"/>
            <w:noWrap w:val="0"/>
            <w:vAlign w:val="center"/>
          </w:tcPr>
          <w:p w14:paraId="1C70A68E">
            <w:pPr>
              <w:widowControl/>
              <w:spacing w:line="20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9F3B494">
            <w:pPr>
              <w:widowControl/>
              <w:spacing w:line="20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蔗糖分、还原糖分、色值、干燥失重、二氧化硫残留量、螨</w:t>
            </w:r>
          </w:p>
        </w:tc>
      </w:tr>
      <w:tr w14:paraId="5BAC6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3B7D12B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8D4AB9B">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5DC8B7FE">
            <w:pPr>
              <w:widowControl/>
              <w:spacing w:line="200" w:lineRule="exact"/>
              <w:jc w:val="center"/>
              <w:rPr>
                <w:rFonts w:hint="eastAsia" w:ascii="宋体" w:hAnsi="宋体" w:eastAsia="宋体" w:cs="宋体"/>
                <w:sz w:val="21"/>
                <w:szCs w:val="21"/>
              </w:rPr>
            </w:pPr>
          </w:p>
        </w:tc>
        <w:tc>
          <w:tcPr>
            <w:tcW w:w="407" w:type="pct"/>
            <w:vMerge w:val="continue"/>
            <w:noWrap w:val="0"/>
            <w:vAlign w:val="center"/>
          </w:tcPr>
          <w:p w14:paraId="229185C6">
            <w:pPr>
              <w:widowControl/>
              <w:spacing w:line="200" w:lineRule="exact"/>
              <w:jc w:val="center"/>
              <w:rPr>
                <w:rFonts w:hint="eastAsia" w:ascii="宋体" w:hAnsi="宋体" w:eastAsia="宋体" w:cs="宋体"/>
                <w:sz w:val="21"/>
                <w:szCs w:val="21"/>
              </w:rPr>
            </w:pPr>
          </w:p>
        </w:tc>
        <w:tc>
          <w:tcPr>
            <w:tcW w:w="464" w:type="pct"/>
            <w:noWrap w:val="0"/>
            <w:vAlign w:val="center"/>
          </w:tcPr>
          <w:p w14:paraId="5B2950FF">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绵白糖</w:t>
            </w:r>
          </w:p>
        </w:tc>
        <w:tc>
          <w:tcPr>
            <w:tcW w:w="224" w:type="pct"/>
            <w:noWrap w:val="0"/>
            <w:vAlign w:val="center"/>
          </w:tcPr>
          <w:p w14:paraId="2FDBCFB1">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5E43A9A">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总糖分、还原糖分、色值、干燥失重、二氧化硫残留量、螨</w:t>
            </w:r>
          </w:p>
        </w:tc>
      </w:tr>
      <w:tr w14:paraId="4BAA5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9E116E8">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34B6B6E">
            <w:pPr>
              <w:widowControl/>
              <w:spacing w:line="200" w:lineRule="exact"/>
              <w:jc w:val="center"/>
              <w:rPr>
                <w:rFonts w:hint="eastAsia" w:ascii="宋体" w:hAnsi="宋体" w:eastAsia="宋体" w:cs="宋体"/>
                <w:sz w:val="21"/>
                <w:szCs w:val="21"/>
              </w:rPr>
            </w:pPr>
          </w:p>
        </w:tc>
        <w:tc>
          <w:tcPr>
            <w:tcW w:w="413" w:type="pct"/>
            <w:vMerge w:val="continue"/>
            <w:noWrap w:val="0"/>
            <w:vAlign w:val="center"/>
          </w:tcPr>
          <w:p w14:paraId="048A836B">
            <w:pPr>
              <w:widowControl/>
              <w:spacing w:line="200" w:lineRule="exact"/>
              <w:jc w:val="center"/>
              <w:rPr>
                <w:rFonts w:hint="eastAsia" w:ascii="宋体" w:hAnsi="宋体" w:eastAsia="宋体" w:cs="宋体"/>
                <w:sz w:val="21"/>
                <w:szCs w:val="21"/>
              </w:rPr>
            </w:pPr>
          </w:p>
        </w:tc>
        <w:tc>
          <w:tcPr>
            <w:tcW w:w="407" w:type="pct"/>
            <w:vMerge w:val="continue"/>
            <w:noWrap w:val="0"/>
            <w:vAlign w:val="center"/>
          </w:tcPr>
          <w:p w14:paraId="474F6D6E">
            <w:pPr>
              <w:widowControl/>
              <w:spacing w:line="200" w:lineRule="exact"/>
              <w:jc w:val="center"/>
              <w:rPr>
                <w:rFonts w:hint="eastAsia" w:ascii="宋体" w:hAnsi="宋体" w:eastAsia="宋体" w:cs="宋体"/>
                <w:sz w:val="21"/>
                <w:szCs w:val="21"/>
              </w:rPr>
            </w:pPr>
          </w:p>
        </w:tc>
        <w:tc>
          <w:tcPr>
            <w:tcW w:w="464" w:type="pct"/>
            <w:noWrap w:val="0"/>
            <w:vAlign w:val="center"/>
          </w:tcPr>
          <w:p w14:paraId="04AB0343">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赤砂糖</w:t>
            </w:r>
          </w:p>
        </w:tc>
        <w:tc>
          <w:tcPr>
            <w:tcW w:w="224" w:type="pct"/>
            <w:noWrap w:val="0"/>
            <w:vAlign w:val="center"/>
          </w:tcPr>
          <w:p w14:paraId="66124758">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CE9DDFE">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总糖分、不溶于水杂质、干燥失重、二氧化硫残留量、螨、合成着色剂（柠檬黄、新红、苋菜红、胭脂红、日落黄、诱惑红、酸性红、喹啉黄、赤藓红）</w:t>
            </w:r>
          </w:p>
        </w:tc>
      </w:tr>
      <w:tr w14:paraId="3FC0F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2EC2781">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772520B4">
            <w:pPr>
              <w:widowControl/>
              <w:spacing w:line="20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41D0C8C">
            <w:pPr>
              <w:widowControl/>
              <w:spacing w:line="20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E3203ED">
            <w:pPr>
              <w:widowControl/>
              <w:spacing w:line="20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3B56045">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红糖</w:t>
            </w:r>
          </w:p>
        </w:tc>
        <w:tc>
          <w:tcPr>
            <w:tcW w:w="224" w:type="pct"/>
            <w:noWrap w:val="0"/>
            <w:vAlign w:val="center"/>
          </w:tcPr>
          <w:p w14:paraId="7DCC13B5">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A3DF8FE">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总糖分、不溶于水杂质、干燥失重、二氧化硫残留量、螨、合成着色剂（柠檬黄、新红、苋菜红、胭脂红、日落黄、诱惑红、酸性红、喹啉黄、赤藓红）</w:t>
            </w:r>
          </w:p>
        </w:tc>
      </w:tr>
      <w:tr w14:paraId="46096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9442C38">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18A468D">
            <w:pPr>
              <w:widowControl/>
              <w:spacing w:line="20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6BEEF81">
            <w:pPr>
              <w:widowControl/>
              <w:spacing w:line="20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634D3D52">
            <w:pPr>
              <w:widowControl/>
              <w:spacing w:line="200" w:lineRule="exact"/>
              <w:jc w:val="center"/>
              <w:textAlignment w:val="center"/>
              <w:rPr>
                <w:rFonts w:hint="eastAsia" w:ascii="宋体" w:hAnsi="宋体" w:eastAsia="宋体" w:cs="宋体"/>
                <w:sz w:val="21"/>
                <w:szCs w:val="21"/>
              </w:rPr>
            </w:pPr>
          </w:p>
        </w:tc>
        <w:tc>
          <w:tcPr>
            <w:tcW w:w="464" w:type="pct"/>
            <w:noWrap w:val="0"/>
            <w:vAlign w:val="center"/>
          </w:tcPr>
          <w:p w14:paraId="71A2C317">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冰糖</w:t>
            </w:r>
          </w:p>
        </w:tc>
        <w:tc>
          <w:tcPr>
            <w:tcW w:w="224" w:type="pct"/>
            <w:noWrap w:val="0"/>
            <w:vAlign w:val="center"/>
          </w:tcPr>
          <w:p w14:paraId="12E3C8DB">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12DD2F2">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蔗糖分、还原糖分、色值、干燥失重、二氧化硫残留量、螨、合成着色剂（柠檬黄、新红、苋菜红、胭脂红、日落黄、诱惑红、酸性红、喹啉黄、赤藓红）</w:t>
            </w:r>
          </w:p>
        </w:tc>
      </w:tr>
      <w:tr w14:paraId="02BF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40FA496B">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87843EB">
            <w:pPr>
              <w:widowControl/>
              <w:spacing w:line="20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40B849E">
            <w:pPr>
              <w:widowControl/>
              <w:spacing w:line="20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5FD0B53A">
            <w:pPr>
              <w:widowControl/>
              <w:spacing w:line="200" w:lineRule="exact"/>
              <w:jc w:val="center"/>
              <w:textAlignment w:val="center"/>
              <w:rPr>
                <w:rFonts w:hint="eastAsia" w:ascii="宋体" w:hAnsi="宋体" w:eastAsia="宋体" w:cs="宋体"/>
                <w:sz w:val="21"/>
                <w:szCs w:val="21"/>
              </w:rPr>
            </w:pPr>
          </w:p>
        </w:tc>
        <w:tc>
          <w:tcPr>
            <w:tcW w:w="464" w:type="pct"/>
            <w:noWrap w:val="0"/>
            <w:vAlign w:val="center"/>
          </w:tcPr>
          <w:p w14:paraId="77BD6FAA">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方糖</w:t>
            </w:r>
          </w:p>
        </w:tc>
        <w:tc>
          <w:tcPr>
            <w:tcW w:w="224" w:type="pct"/>
            <w:noWrap w:val="0"/>
            <w:vAlign w:val="center"/>
          </w:tcPr>
          <w:p w14:paraId="18364A3A">
            <w:pPr>
              <w:widowControl/>
              <w:spacing w:line="22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7E55BC25">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蔗糖分、还原糖分、色值、干燥失重、二氧化硫残留量、螨</w:t>
            </w:r>
          </w:p>
        </w:tc>
      </w:tr>
      <w:tr w14:paraId="52750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35A994D">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3ADE5B5">
            <w:pPr>
              <w:widowControl/>
              <w:spacing w:line="20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024A6E2">
            <w:pPr>
              <w:widowControl/>
              <w:spacing w:line="20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1909E658">
            <w:pPr>
              <w:widowControl/>
              <w:spacing w:line="20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F32C63B">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其他糖</w:t>
            </w:r>
          </w:p>
        </w:tc>
        <w:tc>
          <w:tcPr>
            <w:tcW w:w="224" w:type="pct"/>
            <w:noWrap w:val="0"/>
            <w:vAlign w:val="center"/>
          </w:tcPr>
          <w:p w14:paraId="1EEC76C5">
            <w:pPr>
              <w:widowControl/>
              <w:spacing w:line="22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72D270C7">
            <w:pPr>
              <w:widowControl/>
              <w:spacing w:line="22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蔗糖分、总糖分、色值、还原糖分、干燥失重、二氧化硫残留量、螨、合成着色剂（柠檬黄、新红、苋菜红、胭脂红、日落黄、诱惑红、酸性红、喹啉黄、赤藓红）、菌落总数、大肠菌群、霉菌、酵母菌</w:t>
            </w:r>
          </w:p>
        </w:tc>
      </w:tr>
      <w:tr w14:paraId="1F9BC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230" w:type="pct"/>
            <w:vMerge w:val="restart"/>
            <w:noWrap w:val="0"/>
            <w:vAlign w:val="center"/>
          </w:tcPr>
          <w:p w14:paraId="14F59BD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22</w:t>
            </w:r>
          </w:p>
          <w:p w14:paraId="4F82DAB7">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restart"/>
            <w:noWrap w:val="0"/>
            <w:vAlign w:val="center"/>
          </w:tcPr>
          <w:p w14:paraId="490B183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水产制品</w:t>
            </w:r>
          </w:p>
          <w:p w14:paraId="55C3C0F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restart"/>
            <w:noWrap w:val="0"/>
            <w:vAlign w:val="center"/>
          </w:tcPr>
          <w:p w14:paraId="38183108">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水产制品</w:t>
            </w:r>
          </w:p>
          <w:p w14:paraId="365A9E28">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761C67E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干制水产品</w:t>
            </w:r>
          </w:p>
        </w:tc>
        <w:tc>
          <w:tcPr>
            <w:tcW w:w="464" w:type="pct"/>
            <w:noWrap w:val="0"/>
            <w:vAlign w:val="center"/>
          </w:tcPr>
          <w:p w14:paraId="1660BC5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藻类干制品</w:t>
            </w:r>
          </w:p>
        </w:tc>
        <w:tc>
          <w:tcPr>
            <w:tcW w:w="224" w:type="pct"/>
            <w:noWrap w:val="0"/>
            <w:vAlign w:val="center"/>
          </w:tcPr>
          <w:p w14:paraId="3883E2B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B9A5E1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铅（以Pb计）、菌落总数、大肠菌群</w:t>
            </w:r>
          </w:p>
        </w:tc>
      </w:tr>
      <w:tr w14:paraId="3453F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230" w:type="pct"/>
            <w:vMerge w:val="continue"/>
            <w:noWrap w:val="0"/>
            <w:vAlign w:val="center"/>
          </w:tcPr>
          <w:p w14:paraId="236CB3F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76BF11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5913475">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218C2063">
            <w:pPr>
              <w:widowControl/>
              <w:spacing w:line="230" w:lineRule="exact"/>
              <w:jc w:val="center"/>
              <w:rPr>
                <w:rFonts w:hint="eastAsia" w:ascii="宋体" w:hAnsi="宋体" w:eastAsia="宋体" w:cs="宋体"/>
                <w:sz w:val="21"/>
                <w:szCs w:val="21"/>
              </w:rPr>
            </w:pPr>
          </w:p>
        </w:tc>
        <w:tc>
          <w:tcPr>
            <w:tcW w:w="464" w:type="pct"/>
            <w:noWrap w:val="0"/>
            <w:vAlign w:val="center"/>
          </w:tcPr>
          <w:p w14:paraId="446524F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预制动物性水产干制品</w:t>
            </w:r>
          </w:p>
        </w:tc>
        <w:tc>
          <w:tcPr>
            <w:tcW w:w="224" w:type="pct"/>
            <w:noWrap w:val="0"/>
            <w:vAlign w:val="center"/>
          </w:tcPr>
          <w:p w14:paraId="247CCA0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FC9638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过氧化值（以脂肪计）、铅（以Pb计）、镉（以Cd计）、苯甲酸及其钠盐（以苯甲酸计）、山梨酸及其钾盐（以山梨酸计）、合成着色剂（柠檬黄、胭脂红、日落黄、诱惑红）</w:t>
            </w:r>
          </w:p>
        </w:tc>
      </w:tr>
      <w:tr w14:paraId="476D0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8" w:hRule="atLeast"/>
          <w:jc w:val="center"/>
        </w:trPr>
        <w:tc>
          <w:tcPr>
            <w:tcW w:w="230" w:type="pct"/>
            <w:vMerge w:val="continue"/>
            <w:noWrap w:val="0"/>
            <w:vAlign w:val="center"/>
          </w:tcPr>
          <w:p w14:paraId="05238A00">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6C69279">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1965903">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7BD47B0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盐渍水产品</w:t>
            </w:r>
          </w:p>
        </w:tc>
        <w:tc>
          <w:tcPr>
            <w:tcW w:w="464" w:type="pct"/>
            <w:noWrap w:val="0"/>
            <w:vAlign w:val="center"/>
          </w:tcPr>
          <w:p w14:paraId="4D77E40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盐渍鱼</w:t>
            </w:r>
          </w:p>
        </w:tc>
        <w:tc>
          <w:tcPr>
            <w:tcW w:w="224" w:type="pct"/>
            <w:noWrap w:val="0"/>
            <w:vAlign w:val="center"/>
          </w:tcPr>
          <w:p w14:paraId="5A5AA90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2CC05E1">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过氧化值（以脂肪计）、组胺、镉（以Cd计）、苯甲酸及其钠盐（以苯甲酸计）、山梨酸及其钾盐（以山梨酸计）</w:t>
            </w:r>
          </w:p>
        </w:tc>
      </w:tr>
      <w:tr w14:paraId="3DA0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618D06B">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B3ECF04">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42351F0">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6090A700">
            <w:pPr>
              <w:widowControl/>
              <w:spacing w:line="230" w:lineRule="exact"/>
              <w:jc w:val="center"/>
              <w:rPr>
                <w:rFonts w:hint="eastAsia" w:ascii="宋体" w:hAnsi="宋体" w:eastAsia="宋体" w:cs="宋体"/>
                <w:sz w:val="21"/>
                <w:szCs w:val="21"/>
              </w:rPr>
            </w:pPr>
          </w:p>
        </w:tc>
        <w:tc>
          <w:tcPr>
            <w:tcW w:w="464" w:type="pct"/>
            <w:noWrap w:val="0"/>
            <w:vAlign w:val="center"/>
          </w:tcPr>
          <w:p w14:paraId="01B2DF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盐渍藻</w:t>
            </w:r>
          </w:p>
        </w:tc>
        <w:tc>
          <w:tcPr>
            <w:tcW w:w="224" w:type="pct"/>
            <w:noWrap w:val="0"/>
            <w:vAlign w:val="center"/>
          </w:tcPr>
          <w:p w14:paraId="3E9EA63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7E0E2C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w:t>
            </w:r>
          </w:p>
        </w:tc>
      </w:tr>
      <w:tr w14:paraId="1AE6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074B7E99">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2938ECB">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6E14882">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55D304B7">
            <w:pPr>
              <w:widowControl/>
              <w:spacing w:line="230" w:lineRule="exact"/>
              <w:jc w:val="center"/>
              <w:rPr>
                <w:rFonts w:hint="eastAsia" w:ascii="宋体" w:hAnsi="宋体" w:eastAsia="宋体" w:cs="宋体"/>
                <w:sz w:val="21"/>
                <w:szCs w:val="21"/>
              </w:rPr>
            </w:pPr>
          </w:p>
        </w:tc>
        <w:tc>
          <w:tcPr>
            <w:tcW w:w="464" w:type="pct"/>
            <w:noWrap w:val="0"/>
            <w:vAlign w:val="center"/>
          </w:tcPr>
          <w:p w14:paraId="7625BBD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其他盐渍水产品</w:t>
            </w:r>
          </w:p>
        </w:tc>
        <w:tc>
          <w:tcPr>
            <w:tcW w:w="224" w:type="pct"/>
            <w:noWrap w:val="0"/>
            <w:vAlign w:val="center"/>
          </w:tcPr>
          <w:p w14:paraId="00AF08A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433510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w:t>
            </w:r>
          </w:p>
        </w:tc>
      </w:tr>
      <w:tr w14:paraId="2BA2B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230" w:type="pct"/>
            <w:vMerge w:val="continue"/>
            <w:noWrap w:val="0"/>
            <w:vAlign w:val="center"/>
          </w:tcPr>
          <w:p w14:paraId="36663547">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406E4BC">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8D9CE5E">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7842BDA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鱼糜制品</w:t>
            </w:r>
          </w:p>
        </w:tc>
        <w:tc>
          <w:tcPr>
            <w:tcW w:w="464" w:type="pct"/>
            <w:noWrap w:val="0"/>
            <w:vAlign w:val="center"/>
          </w:tcPr>
          <w:p w14:paraId="6A596F5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预制鱼糜制品</w:t>
            </w:r>
          </w:p>
        </w:tc>
        <w:tc>
          <w:tcPr>
            <w:tcW w:w="224" w:type="pct"/>
            <w:noWrap w:val="0"/>
            <w:vAlign w:val="center"/>
          </w:tcPr>
          <w:p w14:paraId="7E49504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D14930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铅（以Pb计）、苯甲酸及其钠盐（以苯甲酸计）、山梨酸及其钾盐（以山梨酸计）、脱氢乙酸及其钠盐（以脱氢乙酸计）、合成着色剂（诱惑红、柠檬黄、日落黄）</w:t>
            </w:r>
          </w:p>
        </w:tc>
      </w:tr>
      <w:tr w14:paraId="62BD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CE4A67D">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4D0A155">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F51F04D">
            <w:pPr>
              <w:widowControl/>
              <w:spacing w:line="230" w:lineRule="exact"/>
              <w:jc w:val="center"/>
              <w:rPr>
                <w:rFonts w:hint="eastAsia" w:ascii="宋体" w:hAnsi="宋体" w:eastAsia="宋体" w:cs="宋体"/>
                <w:sz w:val="21"/>
                <w:szCs w:val="21"/>
              </w:rPr>
            </w:pPr>
          </w:p>
        </w:tc>
        <w:tc>
          <w:tcPr>
            <w:tcW w:w="407" w:type="pct"/>
            <w:noWrap w:val="0"/>
            <w:vAlign w:val="center"/>
          </w:tcPr>
          <w:p w14:paraId="4E7E03F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熟制动物性水产制品</w:t>
            </w:r>
          </w:p>
        </w:tc>
        <w:tc>
          <w:tcPr>
            <w:tcW w:w="464" w:type="pct"/>
            <w:noWrap w:val="0"/>
            <w:vAlign w:val="center"/>
          </w:tcPr>
          <w:p w14:paraId="2A8E3FF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熟制动物性水产制品</w:t>
            </w:r>
          </w:p>
        </w:tc>
        <w:tc>
          <w:tcPr>
            <w:tcW w:w="224" w:type="pct"/>
            <w:noWrap w:val="0"/>
            <w:vAlign w:val="center"/>
          </w:tcPr>
          <w:p w14:paraId="0087C98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E55EFB6">
            <w:pPr>
              <w:pStyle w:val="122"/>
              <w:spacing w:line="230" w:lineRule="exact"/>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铅（以Pb计）、镉（以Cd计）、苯甲酸及其钠盐（以苯甲酸计）、山梨酸及其钾盐（以山梨酸计）、甜蜜素（以环己基氨基磺酸计）、脱氢乙酸及其钠盐（以脱氢乙酸计）</w:t>
            </w:r>
          </w:p>
        </w:tc>
      </w:tr>
      <w:tr w14:paraId="0D794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jc w:val="center"/>
        </w:trPr>
        <w:tc>
          <w:tcPr>
            <w:tcW w:w="230" w:type="pct"/>
            <w:vMerge w:val="continue"/>
            <w:noWrap w:val="0"/>
            <w:vAlign w:val="center"/>
          </w:tcPr>
          <w:p w14:paraId="781EDC4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D4CB8D3">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AF468FA">
            <w:pPr>
              <w:widowControl/>
              <w:spacing w:line="230" w:lineRule="exact"/>
              <w:jc w:val="center"/>
              <w:rPr>
                <w:rFonts w:hint="eastAsia" w:ascii="宋体" w:hAnsi="宋体" w:eastAsia="宋体" w:cs="宋体"/>
                <w:sz w:val="21"/>
                <w:szCs w:val="21"/>
              </w:rPr>
            </w:pPr>
          </w:p>
        </w:tc>
        <w:tc>
          <w:tcPr>
            <w:tcW w:w="407" w:type="pct"/>
            <w:noWrap w:val="0"/>
            <w:vAlign w:val="center"/>
          </w:tcPr>
          <w:p w14:paraId="0AA58FC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生食水产品</w:t>
            </w:r>
          </w:p>
        </w:tc>
        <w:tc>
          <w:tcPr>
            <w:tcW w:w="464" w:type="pct"/>
            <w:noWrap w:val="0"/>
            <w:vAlign w:val="center"/>
          </w:tcPr>
          <w:p w14:paraId="295C54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生食动物性水产品</w:t>
            </w:r>
          </w:p>
        </w:tc>
        <w:tc>
          <w:tcPr>
            <w:tcW w:w="224" w:type="pct"/>
            <w:noWrap w:val="0"/>
            <w:vAlign w:val="center"/>
          </w:tcPr>
          <w:p w14:paraId="7510D04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0AE69C9">
            <w:pPr>
              <w:pStyle w:val="122"/>
              <w:spacing w:line="230" w:lineRule="exact"/>
              <w:ind w:hanging="2"/>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挥发性盐基氮、苯甲酸及其钠盐（以苯甲酸计）、山梨酸及其钾盐（以山梨酸计）、铝的残留量（以即食海蜇中Al计）、菌落总数、大肠菌群、沙门氏菌、副溶血性弧菌、单核细胞增生李斯特氏菌</w:t>
            </w:r>
          </w:p>
        </w:tc>
      </w:tr>
      <w:tr w14:paraId="114D1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4" w:hRule="atLeast"/>
          <w:jc w:val="center"/>
        </w:trPr>
        <w:tc>
          <w:tcPr>
            <w:tcW w:w="230" w:type="pct"/>
            <w:vMerge w:val="continue"/>
            <w:noWrap w:val="0"/>
            <w:vAlign w:val="center"/>
          </w:tcPr>
          <w:p w14:paraId="37BCD11F">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31F826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C885ABA">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243207C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其他水产制品</w:t>
            </w:r>
          </w:p>
        </w:tc>
        <w:tc>
          <w:tcPr>
            <w:tcW w:w="464" w:type="pct"/>
            <w:noWrap w:val="0"/>
            <w:vAlign w:val="center"/>
          </w:tcPr>
          <w:p w14:paraId="3360208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其他水产制品</w:t>
            </w:r>
          </w:p>
        </w:tc>
        <w:tc>
          <w:tcPr>
            <w:tcW w:w="224" w:type="pct"/>
            <w:noWrap w:val="0"/>
            <w:vAlign w:val="center"/>
          </w:tcPr>
          <w:p w14:paraId="15A859E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39160D0">
            <w:pPr>
              <w:pStyle w:val="122"/>
              <w:spacing w:line="23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铅（以Pb计）、苯甲酸及其钠盐（以苯甲酸计）、山梨酸及其钾盐（以山梨酸计）、糖精钠（以糖精计）、脱氢乙酸及其钠盐（以脱氢乙酸计）、合成着色剂（柠檬黄）、甜蜜素（以环己基氨基磺酸计）、防腐剂混合使用时各自用量占其最大使用量的比例之和、菌落总数</w:t>
            </w:r>
          </w:p>
        </w:tc>
      </w:tr>
      <w:tr w14:paraId="0293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8" w:hRule="atLeast"/>
          <w:jc w:val="center"/>
        </w:trPr>
        <w:tc>
          <w:tcPr>
            <w:tcW w:w="230" w:type="pct"/>
            <w:vMerge w:val="restart"/>
            <w:noWrap w:val="0"/>
            <w:vAlign w:val="center"/>
          </w:tcPr>
          <w:p w14:paraId="1A532C1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23</w:t>
            </w:r>
          </w:p>
        </w:tc>
        <w:tc>
          <w:tcPr>
            <w:tcW w:w="378" w:type="pct"/>
            <w:vMerge w:val="restart"/>
            <w:noWrap w:val="0"/>
            <w:vAlign w:val="center"/>
          </w:tcPr>
          <w:p w14:paraId="7138FAC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淀粉及淀粉制品</w:t>
            </w:r>
          </w:p>
        </w:tc>
        <w:tc>
          <w:tcPr>
            <w:tcW w:w="413" w:type="pct"/>
            <w:vMerge w:val="restart"/>
            <w:noWrap w:val="0"/>
            <w:vAlign w:val="center"/>
          </w:tcPr>
          <w:p w14:paraId="2B62C26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淀粉及淀粉制品</w:t>
            </w:r>
          </w:p>
        </w:tc>
        <w:tc>
          <w:tcPr>
            <w:tcW w:w="407" w:type="pct"/>
            <w:noWrap w:val="0"/>
            <w:vAlign w:val="center"/>
          </w:tcPr>
          <w:p w14:paraId="04754C1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淀粉</w:t>
            </w:r>
          </w:p>
        </w:tc>
        <w:tc>
          <w:tcPr>
            <w:tcW w:w="464" w:type="pct"/>
            <w:noWrap w:val="0"/>
            <w:vAlign w:val="center"/>
          </w:tcPr>
          <w:p w14:paraId="258A42F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淀粉</w:t>
            </w:r>
          </w:p>
        </w:tc>
        <w:tc>
          <w:tcPr>
            <w:tcW w:w="224" w:type="pct"/>
            <w:noWrap w:val="0"/>
            <w:vAlign w:val="center"/>
          </w:tcPr>
          <w:p w14:paraId="08169B5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7D2C6C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铅（以Pb计）、霉菌和酵母、二氧化硫残留量、脱氢乙酸及其钠盐（以脱氢乙酸计）、葛根素、水分、氢氰酸</w:t>
            </w:r>
          </w:p>
        </w:tc>
      </w:tr>
      <w:tr w14:paraId="36A7E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3" w:hRule="atLeast"/>
          <w:jc w:val="center"/>
        </w:trPr>
        <w:tc>
          <w:tcPr>
            <w:tcW w:w="230" w:type="pct"/>
            <w:vMerge w:val="continue"/>
            <w:noWrap w:val="0"/>
            <w:vAlign w:val="center"/>
          </w:tcPr>
          <w:p w14:paraId="28091267">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9D2C370">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FD64727">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4F5ADF5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淀粉制品</w:t>
            </w:r>
          </w:p>
        </w:tc>
        <w:tc>
          <w:tcPr>
            <w:tcW w:w="464" w:type="pct"/>
            <w:noWrap w:val="0"/>
            <w:vAlign w:val="center"/>
          </w:tcPr>
          <w:p w14:paraId="31F48C5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粉丝粉条</w:t>
            </w:r>
          </w:p>
        </w:tc>
        <w:tc>
          <w:tcPr>
            <w:tcW w:w="224" w:type="pct"/>
            <w:noWrap w:val="0"/>
            <w:vAlign w:val="center"/>
          </w:tcPr>
          <w:p w14:paraId="78897C4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28137E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铝的残留量（干样品，以Al计）、二氧化硫残留量、合成着色剂（柠檬黄、新红、苋菜红、靛蓝、胭脂红、诱惑红、日落黄、亮蓝、酸性红、喹啉黄、赤藓红）</w:t>
            </w:r>
          </w:p>
        </w:tc>
      </w:tr>
      <w:tr w14:paraId="299F2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9" w:hRule="atLeast"/>
          <w:jc w:val="center"/>
        </w:trPr>
        <w:tc>
          <w:tcPr>
            <w:tcW w:w="230" w:type="pct"/>
            <w:vMerge w:val="restart"/>
            <w:noWrap w:val="0"/>
            <w:vAlign w:val="center"/>
          </w:tcPr>
          <w:p w14:paraId="013FA9E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23</w:t>
            </w:r>
          </w:p>
        </w:tc>
        <w:tc>
          <w:tcPr>
            <w:tcW w:w="378" w:type="pct"/>
            <w:vMerge w:val="restart"/>
            <w:noWrap w:val="0"/>
            <w:vAlign w:val="center"/>
          </w:tcPr>
          <w:p w14:paraId="3CC18F9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淀粉及淀粉制品</w:t>
            </w:r>
          </w:p>
        </w:tc>
        <w:tc>
          <w:tcPr>
            <w:tcW w:w="413" w:type="pct"/>
            <w:vMerge w:val="restart"/>
            <w:noWrap w:val="0"/>
            <w:vAlign w:val="center"/>
          </w:tcPr>
          <w:p w14:paraId="48EDF20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淀粉及淀粉制品</w:t>
            </w:r>
          </w:p>
        </w:tc>
        <w:tc>
          <w:tcPr>
            <w:tcW w:w="407" w:type="pct"/>
            <w:noWrap w:val="0"/>
            <w:vAlign w:val="center"/>
          </w:tcPr>
          <w:p w14:paraId="7D416A7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淀粉制品</w:t>
            </w:r>
          </w:p>
        </w:tc>
        <w:tc>
          <w:tcPr>
            <w:tcW w:w="464" w:type="pct"/>
            <w:noWrap w:val="0"/>
            <w:vAlign w:val="center"/>
          </w:tcPr>
          <w:p w14:paraId="7563C0F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其他淀粉制品</w:t>
            </w:r>
          </w:p>
        </w:tc>
        <w:tc>
          <w:tcPr>
            <w:tcW w:w="224" w:type="pct"/>
            <w:noWrap w:val="0"/>
            <w:vAlign w:val="center"/>
          </w:tcPr>
          <w:p w14:paraId="67EC0A1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F2E9D9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苯甲酸及其钠盐（以苯甲酸计）、山梨酸及其钾盐（以山梨酸计）、脱氢乙酸及其钠盐（以脱氢乙酸计）、铝的残留量（干样品，以Al计）、二氧化硫残留量、合成着色剂（柠檬黄、新红、苋菜红、靛蓝、胭脂红、日落黄、诱惑红、亮蓝、酸性红、喹啉黄、赤藓红）、相同色泽着色剂混合使用时各自用量占其最大使用量的比例之和</w:t>
            </w:r>
          </w:p>
        </w:tc>
      </w:tr>
      <w:tr w14:paraId="7AD62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9" w:hRule="atLeast"/>
          <w:jc w:val="center"/>
        </w:trPr>
        <w:tc>
          <w:tcPr>
            <w:tcW w:w="230" w:type="pct"/>
            <w:vMerge w:val="continue"/>
            <w:noWrap w:val="0"/>
            <w:vAlign w:val="center"/>
          </w:tcPr>
          <w:p w14:paraId="4D9FAB45">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4D0C79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761025E">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1C5FCA1C">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淀粉糖</w:t>
            </w:r>
          </w:p>
        </w:tc>
        <w:tc>
          <w:tcPr>
            <w:tcW w:w="464" w:type="pct"/>
            <w:noWrap w:val="0"/>
            <w:vAlign w:val="center"/>
          </w:tcPr>
          <w:p w14:paraId="690193AE">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淀粉糖</w:t>
            </w:r>
          </w:p>
        </w:tc>
        <w:tc>
          <w:tcPr>
            <w:tcW w:w="224" w:type="pct"/>
            <w:noWrap w:val="0"/>
            <w:vAlign w:val="center"/>
          </w:tcPr>
          <w:p w14:paraId="64828FA5">
            <w:pPr>
              <w:widowControl/>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5AEBA2D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总砷（以As计）、葡萄糖含量（以干基计，质量分数）、IMO含量（占干物质，质量分数）、IG₂+P+IG₃含量（占干物质，质量分数）、果糖（占干基比）、果糖+葡萄糖（占干基比）、5-羟甲基糠醛（以吸光度计）、果糖+葡萄糖含量（以干物质计）、果糖含量（以干物质计）、麦芽糖含量（以干物质计，质量分数）、干物质（固形物）、硫酸灰分</w:t>
            </w:r>
          </w:p>
        </w:tc>
      </w:tr>
      <w:tr w14:paraId="782D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5" w:hRule="atLeast"/>
          <w:jc w:val="center"/>
        </w:trPr>
        <w:tc>
          <w:tcPr>
            <w:tcW w:w="230" w:type="pct"/>
            <w:vMerge w:val="restart"/>
            <w:noWrap w:val="0"/>
            <w:vAlign w:val="center"/>
          </w:tcPr>
          <w:p w14:paraId="5E9B4B8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24</w:t>
            </w:r>
          </w:p>
          <w:p w14:paraId="1A9654ED">
            <w:pPr>
              <w:widowControl/>
              <w:spacing w:line="230" w:lineRule="exact"/>
              <w:jc w:val="center"/>
              <w:textAlignment w:val="center"/>
              <w:rPr>
                <w:rFonts w:hint="eastAsia" w:ascii="宋体" w:hAnsi="宋体" w:eastAsia="宋体" w:cs="宋体"/>
                <w:sz w:val="21"/>
                <w:szCs w:val="21"/>
              </w:rPr>
            </w:pPr>
          </w:p>
        </w:tc>
        <w:tc>
          <w:tcPr>
            <w:tcW w:w="378" w:type="pct"/>
            <w:vMerge w:val="restart"/>
            <w:noWrap w:val="0"/>
            <w:vAlign w:val="center"/>
          </w:tcPr>
          <w:p w14:paraId="70B8634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糕点</w:t>
            </w:r>
          </w:p>
          <w:p w14:paraId="489B0ACE">
            <w:pPr>
              <w:widowControl/>
              <w:spacing w:line="230" w:lineRule="exact"/>
              <w:jc w:val="center"/>
              <w:textAlignment w:val="center"/>
              <w:rPr>
                <w:rFonts w:hint="eastAsia" w:ascii="宋体" w:hAnsi="宋体" w:eastAsia="宋体" w:cs="宋体"/>
                <w:sz w:val="21"/>
                <w:szCs w:val="21"/>
              </w:rPr>
            </w:pPr>
          </w:p>
        </w:tc>
        <w:tc>
          <w:tcPr>
            <w:tcW w:w="413" w:type="pct"/>
            <w:vMerge w:val="restart"/>
            <w:noWrap w:val="0"/>
            <w:vAlign w:val="center"/>
          </w:tcPr>
          <w:p w14:paraId="401433A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糕点</w:t>
            </w:r>
          </w:p>
          <w:p w14:paraId="126AEF18">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699ABF1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面包</w:t>
            </w:r>
          </w:p>
        </w:tc>
        <w:tc>
          <w:tcPr>
            <w:tcW w:w="464" w:type="pct"/>
            <w:noWrap w:val="0"/>
            <w:vAlign w:val="center"/>
          </w:tcPr>
          <w:p w14:paraId="37EAF60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面包</w:t>
            </w:r>
          </w:p>
        </w:tc>
        <w:tc>
          <w:tcPr>
            <w:tcW w:w="224" w:type="pct"/>
            <w:noWrap w:val="0"/>
            <w:vAlign w:val="center"/>
          </w:tcPr>
          <w:p w14:paraId="4BC8E03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F05969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铅（以Pb计）、富马酸二甲酯、苯甲酸及其钠盐（以苯甲酸计）、山梨酸及其钾盐（以山梨酸计）、糖精钠（以糖精计）、甜蜜素（以环己基氨基磺酸计）、安赛蜜、铝的残留量（干样品，以Al计）、丙酸及其钠盐、钙盐（以丙酸计）、脱氢乙酸及其钠盐（以脱氢乙酸计）、三氯蔗糖、合成着色剂（柠檬黄、日落黄、胭脂红、苋菜红、亮蓝、诱惑红、酸性红）、防腐剂混合使用时各自用量占其最大使用量的比例之和、菌落总数、大肠菌群、金黄色葡萄球菌、沙门氏菌、霉菌</w:t>
            </w:r>
          </w:p>
        </w:tc>
      </w:tr>
      <w:tr w14:paraId="5158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continue"/>
            <w:noWrap w:val="0"/>
            <w:vAlign w:val="center"/>
          </w:tcPr>
          <w:p w14:paraId="5F5F3A21">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79AA836F">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C0FC011">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2F7BAA7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月饼</w:t>
            </w:r>
          </w:p>
        </w:tc>
        <w:tc>
          <w:tcPr>
            <w:tcW w:w="464" w:type="pct"/>
            <w:noWrap w:val="0"/>
            <w:vAlign w:val="center"/>
          </w:tcPr>
          <w:p w14:paraId="0035456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月饼</w:t>
            </w:r>
          </w:p>
        </w:tc>
        <w:tc>
          <w:tcPr>
            <w:tcW w:w="224" w:type="pct"/>
            <w:noWrap w:val="0"/>
            <w:vAlign w:val="center"/>
          </w:tcPr>
          <w:p w14:paraId="4E93D78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C21BEA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富马酸二甲酯、糖精钠（以糖精计）、苯甲酸及其钠盐（以苯甲酸计）、山梨酸及其钾盐（以山梨酸计）、铝的残留量（干样品，以Al计）、丙酸及其钠盐、钙盐（以丙酸计）、脱氢乙酸及其钠盐（以脱氢乙酸计）、纳他霉素、合成着色剂（柠檬黄、日落黄、胭脂红、苋菜红、亮蓝、赤藓红、诱惑红）、防腐剂混合使用时各自用量占其最大使用量的比例之和、菌落总数、大肠菌群、金黄色葡萄球菌、沙门氏菌、霉菌</w:t>
            </w:r>
          </w:p>
        </w:tc>
      </w:tr>
      <w:tr w14:paraId="10184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1" w:hRule="atLeast"/>
          <w:jc w:val="center"/>
        </w:trPr>
        <w:tc>
          <w:tcPr>
            <w:tcW w:w="230" w:type="pct"/>
            <w:vMerge w:val="continue"/>
            <w:noWrap w:val="0"/>
            <w:vAlign w:val="center"/>
          </w:tcPr>
          <w:p w14:paraId="4E1FE37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EB2BB9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398D9C9">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7B9E535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粽子</w:t>
            </w:r>
          </w:p>
        </w:tc>
        <w:tc>
          <w:tcPr>
            <w:tcW w:w="464" w:type="pct"/>
            <w:noWrap w:val="0"/>
            <w:vAlign w:val="center"/>
          </w:tcPr>
          <w:p w14:paraId="41B2BC5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粽子</w:t>
            </w:r>
          </w:p>
        </w:tc>
        <w:tc>
          <w:tcPr>
            <w:tcW w:w="224" w:type="pct"/>
            <w:noWrap w:val="0"/>
            <w:vAlign w:val="center"/>
          </w:tcPr>
          <w:p w14:paraId="1B3E8F0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079539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过氧化值（以脂肪计）、甜蜜素（以环己基氨基磺酸计）、脱氢乙酸及其钠盐（以脱氢乙酸计）、山梨酸及其钾盐（以山梨酸计）、糖精钠（以糖精计）、安赛蜜、菌落总数、大肠菌群、金黄色葡萄球菌、沙门氏菌、霉菌、商业无菌</w:t>
            </w:r>
          </w:p>
        </w:tc>
      </w:tr>
      <w:tr w14:paraId="32441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69" w:hRule="atLeast"/>
          <w:jc w:val="center"/>
        </w:trPr>
        <w:tc>
          <w:tcPr>
            <w:tcW w:w="230" w:type="pct"/>
            <w:vMerge w:val="continue"/>
            <w:noWrap w:val="0"/>
            <w:vAlign w:val="center"/>
          </w:tcPr>
          <w:p w14:paraId="638DFC30">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F56F892">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33C2E63D">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1FF606B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糕点</w:t>
            </w:r>
          </w:p>
        </w:tc>
        <w:tc>
          <w:tcPr>
            <w:tcW w:w="464" w:type="pct"/>
            <w:noWrap w:val="0"/>
            <w:vAlign w:val="center"/>
          </w:tcPr>
          <w:p w14:paraId="639E4E7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糕点</w:t>
            </w:r>
          </w:p>
        </w:tc>
        <w:tc>
          <w:tcPr>
            <w:tcW w:w="224" w:type="pct"/>
            <w:noWrap w:val="0"/>
            <w:vAlign w:val="center"/>
          </w:tcPr>
          <w:p w14:paraId="11F72DB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C24171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酸价（以脂肪计）（KOH）、过氧化值（以脂肪计）、铅（以Pb计）、富马酸二甲酯、苯甲酸及其钠盐（以苯甲酸计）、山梨酸及其钾盐（以山梨酸计）、糖精钠（以糖精计）、甜蜜素（以环己基氨基磺酸计）、安赛蜜、铝的残留量（干样品，以Al计）、丙酸及其钠盐、钙盐（以丙酸计）、脱氢乙酸及其钠盐（以脱氢乙酸计）、纳他霉素、三氯蔗糖、丙二醇、合成着色剂（柠檬黄、日落黄、胭脂红、苋菜红、亮蓝、赤藓红、诱惑红）、防腐剂混合使用时各自用量占其最大使用量的比例之和、菌落总数、大肠菌群、金黄色葡萄球菌、沙门氏菌、霉菌</w:t>
            </w:r>
          </w:p>
        </w:tc>
      </w:tr>
      <w:tr w14:paraId="04EDC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0" w:hRule="atLeast"/>
          <w:jc w:val="center"/>
        </w:trPr>
        <w:tc>
          <w:tcPr>
            <w:tcW w:w="230" w:type="pct"/>
            <w:vMerge w:val="restart"/>
            <w:noWrap w:val="0"/>
            <w:vAlign w:val="center"/>
          </w:tcPr>
          <w:p w14:paraId="7EF6910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25</w:t>
            </w:r>
          </w:p>
          <w:p w14:paraId="188B77D0">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restart"/>
            <w:noWrap w:val="0"/>
            <w:vAlign w:val="center"/>
          </w:tcPr>
          <w:p w14:paraId="1E24B9D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豆制品</w:t>
            </w:r>
          </w:p>
          <w:p w14:paraId="79DB7BC8">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restart"/>
            <w:noWrap w:val="0"/>
            <w:vAlign w:val="center"/>
          </w:tcPr>
          <w:p w14:paraId="658C2A7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豆制品</w:t>
            </w:r>
          </w:p>
          <w:p w14:paraId="2E885A60">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4AD4B5A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发酵性豆制品</w:t>
            </w:r>
          </w:p>
        </w:tc>
        <w:tc>
          <w:tcPr>
            <w:tcW w:w="464" w:type="pct"/>
            <w:noWrap w:val="0"/>
            <w:vAlign w:val="center"/>
          </w:tcPr>
          <w:p w14:paraId="7DBD66E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腐乳、豆豉、纳豆等</w:t>
            </w:r>
          </w:p>
        </w:tc>
        <w:tc>
          <w:tcPr>
            <w:tcW w:w="224" w:type="pct"/>
            <w:noWrap w:val="0"/>
            <w:vAlign w:val="center"/>
          </w:tcPr>
          <w:p w14:paraId="0514146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4EDEA2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w:t>
            </w:r>
            <w:r>
              <w:rPr>
                <w:rFonts w:hint="eastAsia" w:ascii="宋体" w:hAnsi="宋体" w:eastAsia="宋体" w:cs="宋体"/>
                <w:spacing w:val="-1"/>
                <w:sz w:val="21"/>
                <w:szCs w:val="21"/>
              </w:rPr>
              <w:t>黄曲霉毒素</w:t>
            </w:r>
            <w:r>
              <w:rPr>
                <w:rFonts w:hint="eastAsia" w:ascii="宋体" w:hAnsi="宋体" w:eastAsia="宋体" w:cs="宋体"/>
                <w:spacing w:val="-2"/>
                <w:sz w:val="21"/>
                <w:szCs w:val="21"/>
              </w:rPr>
              <w:t>B</w:t>
            </w:r>
            <w:r>
              <w:rPr>
                <w:rFonts w:hint="eastAsia" w:ascii="宋体" w:hAnsi="宋体" w:eastAsia="宋体" w:cs="宋体"/>
                <w:spacing w:val="-2"/>
                <w:position w:val="-3"/>
                <w:sz w:val="21"/>
                <w:szCs w:val="21"/>
              </w:rPr>
              <w:t>1</w:t>
            </w:r>
            <w:r>
              <w:rPr>
                <w:rFonts w:hint="eastAsia" w:ascii="宋体" w:hAnsi="宋体" w:eastAsia="宋体" w:cs="宋体"/>
                <w:sz w:val="21"/>
                <w:szCs w:val="21"/>
              </w:rPr>
              <w:t>、苯甲酸及其钠盐（以苯甲酸计）、山梨酸及其钾盐（以山梨酸计）、脱氢乙酸及其钠盐（以脱氢乙酸计）、糖精钠（以糖精计）、甜蜜素（以环己基氨基磺酸计）、铝的残留量（干样品，以Al计）、大肠菌群</w:t>
            </w:r>
          </w:p>
        </w:tc>
      </w:tr>
      <w:tr w14:paraId="6255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230" w:type="pct"/>
            <w:vMerge w:val="continue"/>
            <w:noWrap w:val="0"/>
            <w:vAlign w:val="center"/>
          </w:tcPr>
          <w:p w14:paraId="7E3EBF5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C0534E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2989DBC">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66E00EE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非发酵性豆制品</w:t>
            </w:r>
          </w:p>
        </w:tc>
        <w:tc>
          <w:tcPr>
            <w:tcW w:w="464" w:type="pct"/>
            <w:noWrap w:val="0"/>
            <w:vAlign w:val="center"/>
          </w:tcPr>
          <w:p w14:paraId="4A23E15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腐竹、油皮及其再制品</w:t>
            </w:r>
          </w:p>
        </w:tc>
        <w:tc>
          <w:tcPr>
            <w:tcW w:w="224" w:type="pct"/>
            <w:noWrap w:val="0"/>
            <w:vAlign w:val="center"/>
          </w:tcPr>
          <w:p w14:paraId="274F012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62443FC">
            <w:pPr>
              <w:pStyle w:val="122"/>
              <w:spacing w:line="230" w:lineRule="exact"/>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蛋白质、铅（以Pb计）、苯甲酸及其钠盐（以苯甲酸计）、山梨酸及其钾盐（以山梨酸计）、脱氢乙酸及其钠盐（以脱氢乙酸计）、二氧化硫残留量、铝的残留量（干样品，以Al计）、合成着色剂（柠檬黄、日落黄）</w:t>
            </w:r>
          </w:p>
        </w:tc>
      </w:tr>
      <w:tr w14:paraId="456AE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8" w:hRule="atLeast"/>
          <w:jc w:val="center"/>
        </w:trPr>
        <w:tc>
          <w:tcPr>
            <w:tcW w:w="230" w:type="pct"/>
            <w:vMerge w:val="continue"/>
            <w:noWrap w:val="0"/>
            <w:vAlign w:val="center"/>
          </w:tcPr>
          <w:p w14:paraId="2DA7A333">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1B7B084F">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914913A">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07B279D9">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5950F70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豆干、豆腐、豆皮等</w:t>
            </w:r>
          </w:p>
        </w:tc>
        <w:tc>
          <w:tcPr>
            <w:tcW w:w="224" w:type="pct"/>
            <w:noWrap w:val="0"/>
            <w:vAlign w:val="center"/>
          </w:tcPr>
          <w:p w14:paraId="79C3614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61F0E095">
            <w:pPr>
              <w:pStyle w:val="122"/>
              <w:spacing w:line="230" w:lineRule="exact"/>
              <w:ind w:firstLine="1"/>
              <w:jc w:val="left"/>
              <w:rPr>
                <w:rFonts w:hint="eastAsia" w:ascii="宋体" w:hAnsi="宋体" w:eastAsia="宋体" w:cs="宋体"/>
                <w:sz w:val="21"/>
                <w:szCs w:val="21"/>
                <w:lang w:eastAsia="zh-CN"/>
              </w:rPr>
            </w:pPr>
            <w:r>
              <w:rPr>
                <w:rFonts w:hint="eastAsia" w:ascii="宋体" w:hAnsi="宋体" w:eastAsia="宋体" w:cs="宋体"/>
                <w:sz w:val="21"/>
                <w:szCs w:val="21"/>
                <w:lang w:eastAsia="zh-CN"/>
              </w:rPr>
              <w:t>铅（以Pb计）、苯甲酸及其钠盐（以苯甲酸计）、山梨酸及其钾盐（以山梨酸计）、脱氢乙酸及其钠盐（以脱氢乙酸计）、丙酸及其钠盐、钙盐（以丙酸计）、防腐剂混合使用时各自用量占其最大使用量的比例之和、糖精钠（以糖精计）、三氯蔗糖、甜蜜素（以环己基氨基磺酸计）、铝的残留量（干样品，以Al计）、合成着色剂（柠檬黄、日落黄）、大肠菌群、金黄色葡萄球菌</w:t>
            </w:r>
          </w:p>
        </w:tc>
      </w:tr>
      <w:tr w14:paraId="1442E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230" w:type="pct"/>
            <w:vMerge w:val="continue"/>
            <w:noWrap w:val="0"/>
            <w:vAlign w:val="center"/>
          </w:tcPr>
          <w:p w14:paraId="2C6DFD9D">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E74A53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E1F93C1">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6C7D739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其他豆制品</w:t>
            </w:r>
          </w:p>
        </w:tc>
        <w:tc>
          <w:tcPr>
            <w:tcW w:w="464" w:type="pct"/>
            <w:noWrap w:val="0"/>
            <w:vAlign w:val="center"/>
          </w:tcPr>
          <w:p w14:paraId="09DC64A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大豆蛋白类制品等</w:t>
            </w:r>
          </w:p>
        </w:tc>
        <w:tc>
          <w:tcPr>
            <w:tcW w:w="224" w:type="pct"/>
            <w:noWrap w:val="0"/>
            <w:vAlign w:val="center"/>
          </w:tcPr>
          <w:p w14:paraId="5509ABC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FC9751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铅（以Pb计）、苯甲酸及其钠盐（以苯甲酸计）、山梨酸及其钾盐（以山梨酸计）、脱氢乙酸及其钠盐（以脱氢乙酸计）、糖精钠（以糖精计）、三氯蔗糖、铝的残留量（干样品，以Al计）、合成着色剂（柠檬黄、日落黄）、大肠菌群</w:t>
            </w:r>
          </w:p>
        </w:tc>
      </w:tr>
      <w:tr w14:paraId="27A7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9" w:hRule="atLeast"/>
          <w:jc w:val="center"/>
        </w:trPr>
        <w:tc>
          <w:tcPr>
            <w:tcW w:w="230" w:type="pct"/>
            <w:vMerge w:val="restart"/>
            <w:noWrap w:val="0"/>
            <w:vAlign w:val="center"/>
          </w:tcPr>
          <w:p w14:paraId="507A3B8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26</w:t>
            </w:r>
          </w:p>
        </w:tc>
        <w:tc>
          <w:tcPr>
            <w:tcW w:w="378" w:type="pct"/>
            <w:vMerge w:val="restart"/>
            <w:noWrap w:val="0"/>
            <w:vAlign w:val="center"/>
          </w:tcPr>
          <w:p w14:paraId="7629136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蜂产品</w:t>
            </w:r>
          </w:p>
        </w:tc>
        <w:tc>
          <w:tcPr>
            <w:tcW w:w="413" w:type="pct"/>
            <w:vMerge w:val="restart"/>
            <w:noWrap w:val="0"/>
            <w:vAlign w:val="center"/>
          </w:tcPr>
          <w:p w14:paraId="16E200B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蜂产品</w:t>
            </w:r>
          </w:p>
        </w:tc>
        <w:tc>
          <w:tcPr>
            <w:tcW w:w="407" w:type="pct"/>
            <w:noWrap w:val="0"/>
            <w:vAlign w:val="center"/>
          </w:tcPr>
          <w:p w14:paraId="76CF611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蜂蜜</w:t>
            </w:r>
          </w:p>
        </w:tc>
        <w:tc>
          <w:tcPr>
            <w:tcW w:w="464" w:type="pct"/>
            <w:noWrap w:val="0"/>
            <w:vAlign w:val="center"/>
          </w:tcPr>
          <w:p w14:paraId="6EBD573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蜂蜜</w:t>
            </w:r>
          </w:p>
        </w:tc>
        <w:tc>
          <w:tcPr>
            <w:tcW w:w="224" w:type="pct"/>
            <w:noWrap w:val="0"/>
            <w:vAlign w:val="center"/>
          </w:tcPr>
          <w:p w14:paraId="577B636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FAB8D2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果糖和葡萄糖、蔗糖、山梨酸及其钾盐（以山梨酸计）、氯霉素、呋喃西林代谢物、呋喃唑酮代谢物、甲硝唑、双甲脒、氟胺氰菊酯、诺氟沙星、氧氟沙星、菌落总数、霉菌计数、嗜渗酵母计数</w:t>
            </w:r>
          </w:p>
        </w:tc>
      </w:tr>
      <w:tr w14:paraId="0F7B4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58E47F49">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0D46728">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B0F8CE1">
            <w:pPr>
              <w:widowControl/>
              <w:spacing w:line="230" w:lineRule="exact"/>
              <w:jc w:val="center"/>
              <w:rPr>
                <w:rFonts w:hint="eastAsia" w:ascii="宋体" w:hAnsi="宋体" w:eastAsia="宋体" w:cs="宋体"/>
                <w:sz w:val="21"/>
                <w:szCs w:val="21"/>
              </w:rPr>
            </w:pPr>
          </w:p>
        </w:tc>
        <w:tc>
          <w:tcPr>
            <w:tcW w:w="407" w:type="pct"/>
            <w:noWrap w:val="0"/>
            <w:vAlign w:val="center"/>
          </w:tcPr>
          <w:p w14:paraId="1BDEF9A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蜂王浆（含蜂王浆冻干品）</w:t>
            </w:r>
          </w:p>
        </w:tc>
        <w:tc>
          <w:tcPr>
            <w:tcW w:w="464" w:type="pct"/>
            <w:noWrap w:val="0"/>
            <w:vAlign w:val="center"/>
          </w:tcPr>
          <w:p w14:paraId="315B073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蜂王浆（含蜂王浆冻干品）</w:t>
            </w:r>
          </w:p>
        </w:tc>
        <w:tc>
          <w:tcPr>
            <w:tcW w:w="224" w:type="pct"/>
            <w:noWrap w:val="0"/>
            <w:vAlign w:val="center"/>
          </w:tcPr>
          <w:p w14:paraId="2BA6B4A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576499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10-羟基-2-癸烯酸、酸度、蛋白质、呋喃西林代谢物</w:t>
            </w:r>
          </w:p>
        </w:tc>
      </w:tr>
      <w:tr w14:paraId="65067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AE92AF1">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95313CE">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1D3925F">
            <w:pPr>
              <w:widowControl/>
              <w:spacing w:line="230" w:lineRule="exact"/>
              <w:jc w:val="center"/>
              <w:rPr>
                <w:rFonts w:hint="eastAsia" w:ascii="宋体" w:hAnsi="宋体" w:eastAsia="宋体" w:cs="宋体"/>
                <w:sz w:val="21"/>
                <w:szCs w:val="21"/>
              </w:rPr>
            </w:pPr>
          </w:p>
        </w:tc>
        <w:tc>
          <w:tcPr>
            <w:tcW w:w="407" w:type="pct"/>
            <w:noWrap w:val="0"/>
            <w:vAlign w:val="center"/>
          </w:tcPr>
          <w:p w14:paraId="2648AE9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蜂花粉</w:t>
            </w:r>
          </w:p>
        </w:tc>
        <w:tc>
          <w:tcPr>
            <w:tcW w:w="464" w:type="pct"/>
            <w:noWrap w:val="0"/>
            <w:vAlign w:val="center"/>
          </w:tcPr>
          <w:p w14:paraId="2187523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蜂花粉</w:t>
            </w:r>
          </w:p>
        </w:tc>
        <w:tc>
          <w:tcPr>
            <w:tcW w:w="224" w:type="pct"/>
            <w:noWrap w:val="0"/>
            <w:vAlign w:val="center"/>
          </w:tcPr>
          <w:p w14:paraId="3F9D713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765BDCA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铅（以Pb计）、菌落总数、大肠菌群、霉菌</w:t>
            </w:r>
          </w:p>
        </w:tc>
      </w:tr>
      <w:tr w14:paraId="2A01E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7E27A87">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4CA520F">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577476FA">
            <w:pPr>
              <w:widowControl/>
              <w:spacing w:line="230" w:lineRule="exact"/>
              <w:jc w:val="center"/>
              <w:textAlignment w:val="center"/>
              <w:rPr>
                <w:rFonts w:hint="eastAsia" w:ascii="宋体" w:hAnsi="宋体" w:eastAsia="宋体" w:cs="宋体"/>
                <w:sz w:val="21"/>
                <w:szCs w:val="21"/>
              </w:rPr>
            </w:pPr>
          </w:p>
        </w:tc>
        <w:tc>
          <w:tcPr>
            <w:tcW w:w="407" w:type="pct"/>
            <w:noWrap w:val="0"/>
            <w:vAlign w:val="center"/>
          </w:tcPr>
          <w:p w14:paraId="15ACD81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蜂产品制品</w:t>
            </w:r>
          </w:p>
        </w:tc>
        <w:tc>
          <w:tcPr>
            <w:tcW w:w="464" w:type="pct"/>
            <w:noWrap w:val="0"/>
            <w:vAlign w:val="center"/>
          </w:tcPr>
          <w:p w14:paraId="22104BD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蜂产品制品</w:t>
            </w:r>
          </w:p>
        </w:tc>
        <w:tc>
          <w:tcPr>
            <w:tcW w:w="224" w:type="pct"/>
            <w:noWrap w:val="0"/>
            <w:vAlign w:val="center"/>
          </w:tcPr>
          <w:p w14:paraId="1952F2E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AB7807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山梨酸及其钾盐（以山梨酸计）、合成着色剂（柠檬黄、日落黄）、菌落总数</w:t>
            </w:r>
          </w:p>
        </w:tc>
      </w:tr>
      <w:tr w14:paraId="661C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10" w:hRule="atLeast"/>
          <w:jc w:val="center"/>
        </w:trPr>
        <w:tc>
          <w:tcPr>
            <w:tcW w:w="230" w:type="pct"/>
            <w:noWrap w:val="0"/>
            <w:vAlign w:val="center"/>
          </w:tcPr>
          <w:p w14:paraId="0FA4CD7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27</w:t>
            </w:r>
          </w:p>
        </w:tc>
        <w:tc>
          <w:tcPr>
            <w:tcW w:w="378" w:type="pct"/>
            <w:noWrap w:val="0"/>
            <w:vAlign w:val="center"/>
          </w:tcPr>
          <w:p w14:paraId="335DC1C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保健食品</w:t>
            </w:r>
          </w:p>
        </w:tc>
        <w:tc>
          <w:tcPr>
            <w:tcW w:w="413" w:type="pct"/>
            <w:noWrap w:val="0"/>
            <w:vAlign w:val="center"/>
          </w:tcPr>
          <w:p w14:paraId="50F7941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保健食品</w:t>
            </w:r>
          </w:p>
        </w:tc>
        <w:tc>
          <w:tcPr>
            <w:tcW w:w="407" w:type="pct"/>
            <w:noWrap w:val="0"/>
            <w:vAlign w:val="center"/>
          </w:tcPr>
          <w:p w14:paraId="3F77931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保健食品</w:t>
            </w:r>
          </w:p>
        </w:tc>
        <w:tc>
          <w:tcPr>
            <w:tcW w:w="464" w:type="pct"/>
            <w:noWrap w:val="0"/>
            <w:vAlign w:val="center"/>
          </w:tcPr>
          <w:p w14:paraId="66298AE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保健食品</w:t>
            </w:r>
          </w:p>
        </w:tc>
        <w:tc>
          <w:tcPr>
            <w:tcW w:w="224" w:type="pct"/>
            <w:noWrap w:val="0"/>
            <w:vAlign w:val="center"/>
          </w:tcPr>
          <w:p w14:paraId="0A25006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8D09CF3">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氨基酸、10-羟基-2-癸烯酸、蛋白质、二十二碳六烯酸、二十碳五烯酸、泛酸、钙</w:t>
            </w:r>
            <w:r>
              <w:rPr>
                <w:rFonts w:hint="eastAsia" w:ascii="宋体" w:hAnsi="宋体" w:eastAsia="宋体" w:cs="宋体"/>
                <w:spacing w:val="-1"/>
                <w:sz w:val="21"/>
                <w:szCs w:val="21"/>
              </w:rPr>
              <w:t>、还原糖、肌醇、赖氨酸、绿原酸、铁、维生素A、</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vertAlign w:val="subscript"/>
              </w:rPr>
              <w:t>1</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vertAlign w:val="subscript"/>
              </w:rPr>
              <w:t>12</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vertAlign w:val="subscript"/>
              </w:rPr>
              <w:t>2</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vertAlign w:val="subscript"/>
              </w:rPr>
              <w:t>6</w:t>
            </w:r>
            <w:r>
              <w:rPr>
                <w:rFonts w:hint="eastAsia" w:ascii="宋体" w:hAnsi="宋体" w:eastAsia="宋体" w:cs="宋体"/>
                <w:spacing w:val="-2"/>
                <w:sz w:val="21"/>
                <w:szCs w:val="21"/>
              </w:rPr>
              <w:t>、维生素C、维生素D、维生素D</w:t>
            </w:r>
            <w:r>
              <w:rPr>
                <w:rFonts w:hint="eastAsia" w:ascii="宋体" w:hAnsi="宋体" w:eastAsia="宋体" w:cs="宋体"/>
                <w:spacing w:val="-2"/>
                <w:position w:val="-3"/>
                <w:sz w:val="21"/>
                <w:szCs w:val="21"/>
                <w:vertAlign w:val="subscript"/>
              </w:rPr>
              <w:t>3</w:t>
            </w:r>
            <w:r>
              <w:rPr>
                <w:rFonts w:hint="eastAsia" w:ascii="宋体" w:hAnsi="宋体" w:eastAsia="宋体" w:cs="宋体"/>
                <w:spacing w:val="-2"/>
                <w:sz w:val="21"/>
                <w:szCs w:val="21"/>
              </w:rPr>
              <w:t>、维生素E、硒、锌、烟酰胺、叶酸、免疫球蛋白IgG、</w:t>
            </w:r>
            <w:r>
              <w:rPr>
                <w:rFonts w:hint="eastAsia" w:ascii="宋体" w:hAnsi="宋体" w:eastAsia="宋体" w:cs="宋体"/>
                <w:spacing w:val="-3"/>
                <w:sz w:val="21"/>
                <w:szCs w:val="21"/>
              </w:rPr>
              <w:t>总黄酮</w:t>
            </w:r>
            <w:r>
              <w:rPr>
                <w:rFonts w:hint="eastAsia" w:ascii="宋体" w:hAnsi="宋体" w:eastAsia="宋体" w:cs="宋体"/>
                <w:sz w:val="21"/>
                <w:szCs w:val="21"/>
              </w:rPr>
              <w:t>、总皂苷、总蒽醌、吡啶甲酸铬、芦荟苷、总三萜、嗜酸乳杆菌、双歧</w:t>
            </w:r>
            <w:r>
              <w:rPr>
                <w:rFonts w:hint="eastAsia" w:ascii="宋体" w:hAnsi="宋体" w:eastAsia="宋体" w:cs="宋体"/>
                <w:spacing w:val="-1"/>
                <w:sz w:val="21"/>
                <w:szCs w:val="21"/>
              </w:rPr>
              <w:t>杆菌、水分、可溶性</w:t>
            </w:r>
            <w:r>
              <w:rPr>
                <w:rFonts w:hint="eastAsia" w:ascii="宋体" w:hAnsi="宋体" w:eastAsia="宋体" w:cs="宋体"/>
                <w:sz w:val="21"/>
                <w:szCs w:val="21"/>
              </w:rPr>
              <w:t>固形物、酸价、过氧化值、崩解时限、灰分、铅（Pb）、总砷（As）、</w:t>
            </w:r>
            <w:r>
              <w:rPr>
                <w:rFonts w:hint="eastAsia" w:ascii="宋体" w:hAnsi="宋体" w:eastAsia="宋体" w:cs="宋体"/>
                <w:spacing w:val="-1"/>
                <w:sz w:val="21"/>
                <w:szCs w:val="21"/>
              </w:rPr>
              <w:t>总汞（Hg）、硬胶</w:t>
            </w:r>
            <w:r>
              <w:rPr>
                <w:rFonts w:hint="eastAsia" w:ascii="宋体" w:hAnsi="宋体" w:eastAsia="宋体" w:cs="宋体"/>
                <w:sz w:val="21"/>
                <w:szCs w:val="21"/>
              </w:rPr>
              <w:t>囊壳中的铬、菌落总数、大肠菌群、霉菌和酵母、金黄色葡萄球菌、沙</w:t>
            </w:r>
            <w:r>
              <w:rPr>
                <w:rFonts w:hint="eastAsia" w:ascii="宋体" w:hAnsi="宋体" w:eastAsia="宋体" w:cs="宋体"/>
                <w:spacing w:val="-1"/>
                <w:sz w:val="21"/>
                <w:szCs w:val="21"/>
              </w:rPr>
              <w:t>门氏菌、褪黑素、甘</w:t>
            </w:r>
            <w:r>
              <w:rPr>
                <w:rFonts w:hint="eastAsia" w:ascii="宋体" w:hAnsi="宋体" w:eastAsia="宋体" w:cs="宋体"/>
                <w:sz w:val="21"/>
                <w:szCs w:val="21"/>
              </w:rPr>
              <w:t>草酸、咖啡因、淫羊藿苷、葛根素、辅酶Q</w:t>
            </w:r>
            <w:r>
              <w:rPr>
                <w:rFonts w:hint="eastAsia" w:ascii="宋体" w:hAnsi="宋体" w:eastAsia="宋体" w:cs="宋体"/>
                <w:position w:val="-3"/>
                <w:sz w:val="21"/>
                <w:szCs w:val="21"/>
                <w:vertAlign w:val="subscript"/>
              </w:rPr>
              <w:t>10</w:t>
            </w:r>
            <w:r>
              <w:rPr>
                <w:rFonts w:hint="eastAsia" w:ascii="宋体" w:hAnsi="宋体" w:eastAsia="宋体" w:cs="宋体"/>
                <w:spacing w:val="-1"/>
                <w:sz w:val="21"/>
                <w:szCs w:val="21"/>
              </w:rPr>
              <w:t>、番茄红素、那红地那非、红地那非、伐地那</w:t>
            </w:r>
            <w:r>
              <w:rPr>
                <w:rFonts w:hint="eastAsia" w:ascii="宋体" w:hAnsi="宋体" w:eastAsia="宋体" w:cs="宋体"/>
                <w:sz w:val="21"/>
                <w:szCs w:val="21"/>
              </w:rPr>
              <w:t>非、羟基豪莫西地那非、西地那非、豪莫西地那非、氨基他达拉非、他</w:t>
            </w:r>
            <w:r>
              <w:rPr>
                <w:rFonts w:hint="eastAsia" w:ascii="宋体" w:hAnsi="宋体" w:eastAsia="宋体" w:cs="宋体"/>
                <w:spacing w:val="-1"/>
                <w:sz w:val="21"/>
                <w:szCs w:val="21"/>
              </w:rPr>
              <w:t>达拉非、硫代艾地那</w:t>
            </w:r>
            <w:r>
              <w:rPr>
                <w:rFonts w:hint="eastAsia" w:ascii="宋体" w:hAnsi="宋体" w:eastAsia="宋体" w:cs="宋体"/>
                <w:sz w:val="21"/>
                <w:szCs w:val="21"/>
              </w:rPr>
              <w:t>非、伪伐地那非、那莫西地那非、去甲基他达拉非、育亨宾、西布曲明、N</w:t>
            </w:r>
            <w:r>
              <w:rPr>
                <w:rFonts w:hint="eastAsia" w:ascii="宋体" w:hAnsi="宋体" w:eastAsia="宋体" w:cs="宋体"/>
                <w:spacing w:val="-1"/>
                <w:sz w:val="21"/>
                <w:szCs w:val="21"/>
              </w:rPr>
              <w:t>-单去甲基西布曲明、N,N-双去甲基西布曲明</w:t>
            </w:r>
          </w:p>
        </w:tc>
      </w:tr>
      <w:tr w14:paraId="0122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3EC5F5B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28</w:t>
            </w:r>
          </w:p>
        </w:tc>
        <w:tc>
          <w:tcPr>
            <w:tcW w:w="378" w:type="pct"/>
            <w:vMerge w:val="restart"/>
            <w:noWrap w:val="0"/>
            <w:vAlign w:val="center"/>
          </w:tcPr>
          <w:p w14:paraId="12CBE2E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特殊膳食食品</w:t>
            </w:r>
          </w:p>
        </w:tc>
        <w:tc>
          <w:tcPr>
            <w:tcW w:w="413" w:type="pct"/>
            <w:vMerge w:val="restart"/>
            <w:noWrap w:val="0"/>
            <w:vAlign w:val="center"/>
          </w:tcPr>
          <w:p w14:paraId="2A6933F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婴幼儿辅助食品</w:t>
            </w:r>
          </w:p>
        </w:tc>
        <w:tc>
          <w:tcPr>
            <w:tcW w:w="407" w:type="pct"/>
            <w:noWrap w:val="0"/>
            <w:vAlign w:val="center"/>
          </w:tcPr>
          <w:p w14:paraId="76EA6E3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婴幼儿谷类辅助食品</w:t>
            </w:r>
          </w:p>
        </w:tc>
        <w:tc>
          <w:tcPr>
            <w:tcW w:w="464" w:type="pct"/>
            <w:noWrap w:val="0"/>
            <w:vAlign w:val="center"/>
          </w:tcPr>
          <w:p w14:paraId="09A40A8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婴幼儿谷物辅助食品、婴幼儿高蛋白谷物辅助食品、婴幼儿生制类谷物辅助食品、其他婴幼儿谷物辅助食品</w:t>
            </w:r>
          </w:p>
        </w:tc>
        <w:tc>
          <w:tcPr>
            <w:tcW w:w="224" w:type="pct"/>
            <w:noWrap w:val="0"/>
            <w:vAlign w:val="center"/>
          </w:tcPr>
          <w:p w14:paraId="203F7CB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2D5D8DA">
            <w:pPr>
              <w:widowControl/>
              <w:spacing w:line="24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能量、蛋白质、脂肪、亚油酸、月桂酸占总脂肪的比值</w:t>
            </w:r>
            <w:r>
              <w:rPr>
                <w:rFonts w:hint="eastAsia" w:ascii="宋体" w:hAnsi="宋体" w:eastAsia="宋体" w:cs="宋体"/>
                <w:spacing w:val="-1"/>
                <w:sz w:val="21"/>
                <w:szCs w:val="21"/>
              </w:rPr>
              <w:t>、肉豆蔻酸占总脂肪的比值、维生素</w:t>
            </w:r>
            <w:r>
              <w:rPr>
                <w:rFonts w:hint="eastAsia" w:ascii="宋体" w:hAnsi="宋体" w:eastAsia="宋体" w:cs="宋体"/>
                <w:spacing w:val="-2"/>
                <w:sz w:val="21"/>
                <w:szCs w:val="21"/>
              </w:rPr>
              <w:t>A、维生素D、维生素B</w:t>
            </w:r>
            <w:r>
              <w:rPr>
                <w:rFonts w:hint="eastAsia" w:ascii="宋体" w:hAnsi="宋体" w:eastAsia="宋体" w:cs="宋体"/>
                <w:spacing w:val="-2"/>
                <w:position w:val="-3"/>
                <w:sz w:val="21"/>
                <w:szCs w:val="21"/>
                <w:vertAlign w:val="subscript"/>
              </w:rPr>
              <w:t>1</w:t>
            </w:r>
            <w:r>
              <w:rPr>
                <w:rFonts w:hint="eastAsia" w:ascii="宋体" w:hAnsi="宋体" w:eastAsia="宋体" w:cs="宋体"/>
                <w:spacing w:val="-2"/>
                <w:sz w:val="21"/>
                <w:szCs w:val="21"/>
              </w:rPr>
              <w:t>、钙、铁、锌、钠、维生素E、维生素B</w:t>
            </w:r>
            <w:r>
              <w:rPr>
                <w:rFonts w:hint="eastAsia" w:ascii="宋体" w:hAnsi="宋体" w:eastAsia="宋体" w:cs="宋体"/>
                <w:spacing w:val="-2"/>
                <w:position w:val="-3"/>
                <w:sz w:val="21"/>
                <w:szCs w:val="21"/>
                <w:vertAlign w:val="subscript"/>
              </w:rPr>
              <w:t>2</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vertAlign w:val="subscript"/>
              </w:rPr>
              <w:t>6</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vertAlign w:val="subscript"/>
              </w:rPr>
              <w:t>12</w:t>
            </w:r>
            <w:r>
              <w:rPr>
                <w:rFonts w:hint="eastAsia" w:ascii="宋体" w:hAnsi="宋体" w:eastAsia="宋体" w:cs="宋体"/>
                <w:spacing w:val="-2"/>
                <w:sz w:val="21"/>
                <w:szCs w:val="21"/>
              </w:rPr>
              <w:t>、</w:t>
            </w:r>
            <w:r>
              <w:rPr>
                <w:rFonts w:hint="eastAsia" w:ascii="宋体" w:hAnsi="宋体" w:eastAsia="宋体" w:cs="宋体"/>
                <w:sz w:val="21"/>
                <w:szCs w:val="21"/>
              </w:rPr>
              <w:t>烟酸/烟酰胺、叶酸、泛酸、维生素C、生物素、磷、碘、钾、镁、水分、</w:t>
            </w:r>
            <w:r>
              <w:rPr>
                <w:rFonts w:hint="eastAsia" w:ascii="宋体" w:hAnsi="宋体" w:eastAsia="宋体" w:cs="宋体"/>
                <w:spacing w:val="-1"/>
                <w:sz w:val="21"/>
                <w:szCs w:val="21"/>
              </w:rPr>
              <w:t>不溶性膳食纤维、</w:t>
            </w:r>
            <w:r>
              <w:rPr>
                <w:rFonts w:hint="eastAsia" w:ascii="宋体" w:hAnsi="宋体" w:eastAsia="宋体" w:cs="宋体"/>
                <w:sz w:val="21"/>
                <w:szCs w:val="21"/>
              </w:rPr>
              <w:t>二十二碳六烯酸、花生四烯酸、脲酶活性定性测定、铅（以Pb计）、无机砷</w:t>
            </w:r>
            <w:r>
              <w:rPr>
                <w:rFonts w:hint="eastAsia" w:ascii="宋体" w:hAnsi="宋体" w:eastAsia="宋体" w:cs="宋体"/>
                <w:spacing w:val="-1"/>
                <w:sz w:val="21"/>
                <w:szCs w:val="21"/>
              </w:rPr>
              <w:t>（以As计）、锡</w:t>
            </w:r>
            <w:r>
              <w:rPr>
                <w:rFonts w:hint="eastAsia" w:ascii="宋体" w:hAnsi="宋体" w:eastAsia="宋体" w:cs="宋体"/>
                <w:sz w:val="21"/>
                <w:szCs w:val="21"/>
              </w:rPr>
              <w:t>（以Sn计）、镉（以Cd计）、黄曲霉毒素B</w:t>
            </w:r>
            <w:r>
              <w:rPr>
                <w:rFonts w:hint="eastAsia" w:ascii="宋体" w:hAnsi="宋体" w:eastAsia="宋体" w:cs="宋体"/>
                <w:position w:val="-3"/>
                <w:sz w:val="21"/>
                <w:szCs w:val="21"/>
                <w:vertAlign w:val="subscript"/>
              </w:rPr>
              <w:t>1</w:t>
            </w:r>
            <w:r>
              <w:rPr>
                <w:rFonts w:hint="eastAsia" w:ascii="宋体" w:hAnsi="宋体" w:eastAsia="宋体" w:cs="宋体"/>
                <w:sz w:val="21"/>
                <w:szCs w:val="21"/>
              </w:rPr>
              <w:t>、</w:t>
            </w:r>
            <w:r>
              <w:rPr>
                <w:rFonts w:hint="eastAsia" w:ascii="宋体" w:hAnsi="宋体" w:eastAsia="宋体" w:cs="宋体"/>
                <w:kern w:val="0"/>
                <w:sz w:val="21"/>
                <w:szCs w:val="21"/>
                <w:lang w:bidi="ar"/>
              </w:rPr>
              <w:t>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w:t>
            </w:r>
            <w:r>
              <w:rPr>
                <w:rFonts w:hint="eastAsia" w:ascii="宋体" w:hAnsi="宋体" w:eastAsia="宋体" w:cs="宋体"/>
                <w:spacing w:val="-1"/>
                <w:sz w:val="21"/>
                <w:szCs w:val="21"/>
              </w:rPr>
              <w:t>、</w:t>
            </w:r>
            <w:r>
              <w:rPr>
                <w:rFonts w:hint="eastAsia" w:ascii="宋体" w:hAnsi="宋体" w:eastAsia="宋体" w:cs="宋体"/>
                <w:kern w:val="0"/>
                <w:sz w:val="21"/>
                <w:szCs w:val="21"/>
                <w:lang w:bidi="ar"/>
              </w:rPr>
              <w:t>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w:t>
            </w:r>
            <w:r>
              <w:rPr>
                <w:rFonts w:hint="eastAsia" w:ascii="宋体" w:hAnsi="宋体" w:eastAsia="宋体" w:cs="宋体"/>
                <w:sz w:val="21"/>
                <w:szCs w:val="21"/>
              </w:rPr>
              <w:t>、菌落总数、大肠菌群、商业无菌、沙门氏</w:t>
            </w:r>
            <w:r>
              <w:rPr>
                <w:rFonts w:hint="eastAsia" w:ascii="宋体" w:hAnsi="宋体" w:eastAsia="宋体" w:cs="宋体"/>
                <w:spacing w:val="-1"/>
                <w:sz w:val="21"/>
                <w:szCs w:val="21"/>
              </w:rPr>
              <w:t>菌、金黄色葡萄球菌</w:t>
            </w:r>
          </w:p>
        </w:tc>
      </w:tr>
      <w:tr w14:paraId="5D245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46B61B69">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0AD0F80">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51E9EAA5">
            <w:pPr>
              <w:widowControl/>
              <w:spacing w:line="230" w:lineRule="exact"/>
              <w:jc w:val="center"/>
              <w:rPr>
                <w:rFonts w:hint="eastAsia" w:ascii="宋体" w:hAnsi="宋体" w:eastAsia="宋体" w:cs="宋体"/>
                <w:sz w:val="21"/>
                <w:szCs w:val="21"/>
              </w:rPr>
            </w:pPr>
          </w:p>
        </w:tc>
        <w:tc>
          <w:tcPr>
            <w:tcW w:w="407" w:type="pct"/>
            <w:noWrap w:val="0"/>
            <w:vAlign w:val="center"/>
          </w:tcPr>
          <w:p w14:paraId="2CC37F1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婴幼儿罐装辅助食品</w:t>
            </w:r>
          </w:p>
        </w:tc>
        <w:tc>
          <w:tcPr>
            <w:tcW w:w="464" w:type="pct"/>
            <w:noWrap w:val="0"/>
            <w:vAlign w:val="center"/>
          </w:tcPr>
          <w:p w14:paraId="2892338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婴幼儿泥（糊）状罐装辅助食品，婴幼儿颗粒、片（块）状罐装辅助食品，婴幼儿汁类罐装辅助食品</w:t>
            </w:r>
          </w:p>
        </w:tc>
        <w:tc>
          <w:tcPr>
            <w:tcW w:w="224" w:type="pct"/>
            <w:noWrap w:val="0"/>
            <w:vAlign w:val="center"/>
          </w:tcPr>
          <w:p w14:paraId="0CA7F17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950DB5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蛋白质、脂肪、总钠/钠、组胺、铅（以Pb计）、无机砷（以A</w:t>
            </w:r>
            <w:r>
              <w:rPr>
                <w:rFonts w:hint="eastAsia" w:ascii="宋体" w:hAnsi="宋体" w:eastAsia="宋体" w:cs="宋体"/>
                <w:spacing w:val="-1"/>
                <w:sz w:val="21"/>
                <w:szCs w:val="21"/>
              </w:rPr>
              <w:t>s计）、总汞（以Hg计）、锡</w:t>
            </w:r>
            <w:r>
              <w:rPr>
                <w:rFonts w:hint="eastAsia" w:ascii="宋体" w:hAnsi="宋体" w:eastAsia="宋体" w:cs="宋体"/>
                <w:sz w:val="21"/>
                <w:szCs w:val="21"/>
              </w:rPr>
              <w:t>（以Sn计）、</w:t>
            </w:r>
            <w:r>
              <w:rPr>
                <w:rFonts w:hint="eastAsia" w:ascii="宋体" w:hAnsi="宋体" w:eastAsia="宋体" w:cs="宋体"/>
                <w:kern w:val="0"/>
                <w:sz w:val="21"/>
                <w:szCs w:val="21"/>
                <w:lang w:bidi="ar"/>
              </w:rPr>
              <w:t>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w:t>
            </w:r>
            <w:r>
              <w:rPr>
                <w:rFonts w:hint="eastAsia" w:ascii="宋体" w:hAnsi="宋体" w:eastAsia="宋体" w:cs="宋体"/>
                <w:sz w:val="21"/>
                <w:szCs w:val="21"/>
              </w:rPr>
              <w:t>、</w:t>
            </w:r>
            <w:r>
              <w:rPr>
                <w:rFonts w:hint="eastAsia" w:ascii="宋体" w:hAnsi="宋体" w:eastAsia="宋体" w:cs="宋体"/>
                <w:kern w:val="0"/>
                <w:sz w:val="21"/>
                <w:szCs w:val="21"/>
                <w:lang w:bidi="ar"/>
              </w:rPr>
              <w:t>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w:t>
            </w:r>
            <w:r>
              <w:rPr>
                <w:rFonts w:hint="eastAsia" w:ascii="宋体" w:hAnsi="宋体" w:eastAsia="宋体" w:cs="宋体"/>
                <w:sz w:val="21"/>
                <w:szCs w:val="21"/>
              </w:rPr>
              <w:t>、</w:t>
            </w:r>
            <w:r>
              <w:rPr>
                <w:rFonts w:hint="eastAsia" w:ascii="宋体" w:hAnsi="宋体" w:eastAsia="宋体" w:cs="宋体"/>
                <w:spacing w:val="-1"/>
                <w:sz w:val="21"/>
                <w:szCs w:val="21"/>
              </w:rPr>
              <w:t>商业无菌、霉菌</w:t>
            </w:r>
          </w:p>
        </w:tc>
      </w:tr>
      <w:tr w14:paraId="7B92D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5" w:hRule="atLeast"/>
          <w:jc w:val="center"/>
        </w:trPr>
        <w:tc>
          <w:tcPr>
            <w:tcW w:w="230" w:type="pct"/>
            <w:vMerge w:val="restart"/>
            <w:noWrap w:val="0"/>
            <w:vAlign w:val="center"/>
          </w:tcPr>
          <w:p w14:paraId="769EE96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28</w:t>
            </w:r>
          </w:p>
        </w:tc>
        <w:tc>
          <w:tcPr>
            <w:tcW w:w="378" w:type="pct"/>
            <w:vMerge w:val="restart"/>
            <w:noWrap w:val="0"/>
            <w:vAlign w:val="center"/>
          </w:tcPr>
          <w:p w14:paraId="0208942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特殊膳食食品</w:t>
            </w:r>
          </w:p>
        </w:tc>
        <w:tc>
          <w:tcPr>
            <w:tcW w:w="413" w:type="pct"/>
            <w:vMerge w:val="restart"/>
            <w:noWrap w:val="0"/>
            <w:vAlign w:val="center"/>
          </w:tcPr>
          <w:p w14:paraId="461FE6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营养补充品</w:t>
            </w:r>
          </w:p>
        </w:tc>
        <w:tc>
          <w:tcPr>
            <w:tcW w:w="407" w:type="pct"/>
            <w:vMerge w:val="restart"/>
            <w:noWrap w:val="0"/>
            <w:vAlign w:val="center"/>
          </w:tcPr>
          <w:p w14:paraId="41B8BA1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营养补充品</w:t>
            </w:r>
          </w:p>
        </w:tc>
        <w:tc>
          <w:tcPr>
            <w:tcW w:w="464" w:type="pct"/>
            <w:noWrap w:val="0"/>
            <w:vAlign w:val="center"/>
          </w:tcPr>
          <w:p w14:paraId="1C27ECC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辅食营养素补充食品、辅食营养素补充片、辅食营养素撒剂</w:t>
            </w:r>
          </w:p>
        </w:tc>
        <w:tc>
          <w:tcPr>
            <w:tcW w:w="224" w:type="pct"/>
            <w:noWrap w:val="0"/>
            <w:vAlign w:val="center"/>
          </w:tcPr>
          <w:p w14:paraId="39D1246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848F4F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蛋白质、钙、铁、锌、维生素A、维生素D、维生素B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、维生素K</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、烟酸（烟酰胺）、维生素B</w:t>
            </w:r>
            <w:r>
              <w:rPr>
                <w:rFonts w:hint="eastAsia" w:ascii="宋体" w:hAnsi="宋体" w:eastAsia="宋体" w:cs="宋体"/>
                <w:kern w:val="0"/>
                <w:sz w:val="21"/>
                <w:szCs w:val="21"/>
                <w:vertAlign w:val="subscript"/>
                <w:lang w:bidi="ar"/>
              </w:rPr>
              <w:t>6</w:t>
            </w:r>
            <w:r>
              <w:rPr>
                <w:rFonts w:hint="eastAsia" w:ascii="宋体" w:hAnsi="宋体" w:eastAsia="宋体" w:cs="宋体"/>
                <w:kern w:val="0"/>
                <w:sz w:val="21"/>
                <w:szCs w:val="21"/>
                <w:lang w:bidi="ar"/>
              </w:rPr>
              <w:t>、叶酸、维生素B</w:t>
            </w:r>
            <w:r>
              <w:rPr>
                <w:rFonts w:hint="eastAsia" w:ascii="宋体" w:hAnsi="宋体" w:eastAsia="宋体" w:cs="宋体"/>
                <w:kern w:val="0"/>
                <w:sz w:val="21"/>
                <w:szCs w:val="21"/>
                <w:vertAlign w:val="subscript"/>
                <w:lang w:bidi="ar"/>
              </w:rPr>
              <w:t>12</w:t>
            </w:r>
            <w:r>
              <w:rPr>
                <w:rFonts w:hint="eastAsia" w:ascii="宋体" w:hAnsi="宋体" w:eastAsia="宋体" w:cs="宋体"/>
                <w:kern w:val="0"/>
                <w:sz w:val="21"/>
                <w:szCs w:val="21"/>
                <w:lang w:bidi="ar"/>
              </w:rPr>
              <w:t>、泛酸、胆碱、生物素、维生素C、二十二碳六烯酸、脲酶活性定性、铅（以Pb计）、总砷（以As计）、黄曲霉毒素M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计）、菌落总数、大肠菌群、沙门氏菌、金黄色葡萄球菌</w:t>
            </w:r>
          </w:p>
        </w:tc>
      </w:tr>
      <w:tr w14:paraId="095A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8" w:hRule="atLeast"/>
          <w:jc w:val="center"/>
        </w:trPr>
        <w:tc>
          <w:tcPr>
            <w:tcW w:w="230" w:type="pct"/>
            <w:vMerge w:val="continue"/>
            <w:noWrap w:val="0"/>
            <w:vAlign w:val="center"/>
          </w:tcPr>
          <w:p w14:paraId="02D0B016">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0F86D5F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557FD81">
            <w:pPr>
              <w:widowControl/>
              <w:tabs>
                <w:tab w:val="left" w:pos="301"/>
              </w:tabs>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6D9C1650">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774470B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运动营养</w:t>
            </w:r>
          </w:p>
          <w:p w14:paraId="582B983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w:t>
            </w:r>
          </w:p>
        </w:tc>
        <w:tc>
          <w:tcPr>
            <w:tcW w:w="224" w:type="pct"/>
            <w:noWrap w:val="0"/>
            <w:vAlign w:val="center"/>
          </w:tcPr>
          <w:p w14:paraId="6AB07D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9AD875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咖啡因、肌酸、肽类、维生素A、维生素D、维生素E、维生素B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6</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12</w:t>
            </w:r>
            <w:r>
              <w:rPr>
                <w:rFonts w:hint="eastAsia" w:ascii="宋体" w:hAnsi="宋体" w:eastAsia="宋体" w:cs="宋体"/>
                <w:kern w:val="0"/>
                <w:sz w:val="21"/>
                <w:szCs w:val="21"/>
                <w:lang w:bidi="ar"/>
              </w:rPr>
              <w:t>、维生素C、叶酸、烟酸、生物素、泛酸、钙、钠、钾、镁、铁、锌、硒、铜、碘、锰、磷、钼、铬、左旋肉碱、牛磺酸、铅（以Pb计）、总砷（以As计）、黄曲霉毒素M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、沙门氏菌、金黄色葡萄球菌</w:t>
            </w:r>
          </w:p>
        </w:tc>
      </w:tr>
      <w:tr w14:paraId="3A21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20" w:hRule="atLeast"/>
          <w:jc w:val="center"/>
        </w:trPr>
        <w:tc>
          <w:tcPr>
            <w:tcW w:w="230" w:type="pct"/>
            <w:vMerge w:val="restart"/>
            <w:noWrap w:val="0"/>
            <w:vAlign w:val="center"/>
          </w:tcPr>
          <w:p w14:paraId="2DC4316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29</w:t>
            </w:r>
          </w:p>
        </w:tc>
        <w:tc>
          <w:tcPr>
            <w:tcW w:w="378" w:type="pct"/>
            <w:vMerge w:val="restart"/>
            <w:noWrap w:val="0"/>
            <w:vAlign w:val="center"/>
          </w:tcPr>
          <w:p w14:paraId="2E31D4A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特殊医学用途配方食品</w:t>
            </w:r>
          </w:p>
        </w:tc>
        <w:tc>
          <w:tcPr>
            <w:tcW w:w="413" w:type="pct"/>
            <w:vMerge w:val="restart"/>
            <w:noWrap w:val="0"/>
            <w:vAlign w:val="center"/>
          </w:tcPr>
          <w:p w14:paraId="3D36011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特殊医学用途配方食品</w:t>
            </w:r>
          </w:p>
          <w:p w14:paraId="08C1D162">
            <w:pPr>
              <w:widowControl/>
              <w:spacing w:line="230" w:lineRule="exact"/>
              <w:jc w:val="center"/>
              <w:textAlignment w:val="center"/>
              <w:rPr>
                <w:rFonts w:hint="eastAsia" w:ascii="宋体" w:hAnsi="宋体" w:eastAsia="宋体" w:cs="宋体"/>
                <w:sz w:val="21"/>
                <w:szCs w:val="21"/>
              </w:rPr>
            </w:pPr>
          </w:p>
        </w:tc>
        <w:tc>
          <w:tcPr>
            <w:tcW w:w="407" w:type="pct"/>
            <w:vMerge w:val="restart"/>
            <w:noWrap w:val="0"/>
            <w:vAlign w:val="center"/>
          </w:tcPr>
          <w:p w14:paraId="046BEE3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特殊医学用途配方食品</w:t>
            </w:r>
          </w:p>
          <w:p w14:paraId="748D1D38">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312501F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全营养配方食品</w:t>
            </w:r>
          </w:p>
        </w:tc>
        <w:tc>
          <w:tcPr>
            <w:tcW w:w="224" w:type="pct"/>
            <w:noWrap w:val="0"/>
            <w:vAlign w:val="center"/>
          </w:tcPr>
          <w:p w14:paraId="2ACE768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高</w:t>
            </w:r>
          </w:p>
        </w:tc>
        <w:tc>
          <w:tcPr>
            <w:tcW w:w="2882" w:type="pct"/>
            <w:noWrap w:val="0"/>
            <w:vAlign w:val="center"/>
          </w:tcPr>
          <w:p w14:paraId="0B15500A">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蛋白质、亚油酸供能比、α-亚麻酸供能比、维生素A、维生素D、维生素E、维生素K</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6</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12</w:t>
            </w:r>
            <w:r>
              <w:rPr>
                <w:rFonts w:hint="eastAsia" w:ascii="宋体" w:hAnsi="宋体" w:eastAsia="宋体" w:cs="宋体"/>
                <w:kern w:val="0"/>
                <w:sz w:val="21"/>
                <w:szCs w:val="21"/>
                <w:lang w:bidi="ar"/>
              </w:rPr>
              <w:t>、烟酸（烟酰胺）、叶酸、泛酸、维生素C、生物素、钠、钾、铜、镁、铁、锌、锰、钙、磷、碘、氯、硒、铬、钼、氟、胆碱、肌醇、牛磺酸、左旋肉碱、二十二碳六烯酸与总脂肪酸比、二十碳四烯酸与总脂肪酸比、二十二碳六烯酸、二十碳四烯酸、核苷酸、铅（以Pb计）、锡（以Sn计）、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计）、三聚氰胺、菌落总数、大肠菌群、沙门氏菌、金黄色葡萄球菌、商业无菌</w:t>
            </w:r>
          </w:p>
        </w:tc>
      </w:tr>
      <w:tr w14:paraId="1700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230" w:type="pct"/>
            <w:vMerge w:val="continue"/>
            <w:noWrap w:val="0"/>
            <w:vAlign w:val="center"/>
          </w:tcPr>
          <w:p w14:paraId="3F587E6D">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C60CF23">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D7CC424">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06C5BA3C">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86C21B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非全营养配方食品</w:t>
            </w:r>
          </w:p>
        </w:tc>
        <w:tc>
          <w:tcPr>
            <w:tcW w:w="224" w:type="pct"/>
            <w:noWrap w:val="0"/>
            <w:vAlign w:val="center"/>
          </w:tcPr>
          <w:p w14:paraId="2471CF9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531047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铅（以Pb计）、锡（以Sn计）、黄曲霉毒素M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计）、三聚氰胺、菌落总数、大肠菌群、沙门氏菌、金黄色葡萄球菌、商业无菌、企业标准/注册的产品技术要求中规定的质量指标</w:t>
            </w:r>
          </w:p>
        </w:tc>
      </w:tr>
      <w:tr w14:paraId="60977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06" w:hRule="atLeast"/>
          <w:jc w:val="center"/>
        </w:trPr>
        <w:tc>
          <w:tcPr>
            <w:tcW w:w="230" w:type="pct"/>
            <w:vMerge w:val="continue"/>
            <w:noWrap w:val="0"/>
            <w:vAlign w:val="center"/>
          </w:tcPr>
          <w:p w14:paraId="5AB5362F">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920CD3B">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4099E1B8">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6E4F5E1A">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0DF7A57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特定全营养配方食品</w:t>
            </w:r>
          </w:p>
        </w:tc>
        <w:tc>
          <w:tcPr>
            <w:tcW w:w="224" w:type="pct"/>
            <w:noWrap w:val="0"/>
            <w:vAlign w:val="center"/>
          </w:tcPr>
          <w:p w14:paraId="5810DD2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A66724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sz w:val="21"/>
                <w:szCs w:val="21"/>
              </w:rPr>
              <w:t>蛋白质、脂肪供能比、n-3脂肪酸（以EPA和DHA计）供</w:t>
            </w:r>
            <w:r>
              <w:rPr>
                <w:rFonts w:hint="eastAsia" w:ascii="宋体" w:hAnsi="宋体" w:eastAsia="宋体" w:cs="宋体"/>
                <w:spacing w:val="-1"/>
                <w:sz w:val="21"/>
                <w:szCs w:val="21"/>
              </w:rPr>
              <w:t>能比、二十碳五烯酸（EPA）、亚</w:t>
            </w:r>
            <w:r>
              <w:rPr>
                <w:rFonts w:hint="eastAsia" w:ascii="宋体" w:hAnsi="宋体" w:eastAsia="宋体" w:cs="宋体"/>
                <w:spacing w:val="-2"/>
                <w:sz w:val="21"/>
                <w:szCs w:val="21"/>
              </w:rPr>
              <w:t>油酸供能比、α-亚麻酸供能比、维生素A、维生素D、维生素E、维生素K</w:t>
            </w:r>
            <w:r>
              <w:rPr>
                <w:rFonts w:hint="eastAsia" w:ascii="宋体" w:hAnsi="宋体" w:eastAsia="宋体" w:cs="宋体"/>
                <w:spacing w:val="-2"/>
                <w:position w:val="-3"/>
                <w:sz w:val="21"/>
                <w:szCs w:val="21"/>
              </w:rPr>
              <w:t>1</w:t>
            </w:r>
            <w:r>
              <w:rPr>
                <w:rFonts w:hint="eastAsia" w:ascii="宋体" w:hAnsi="宋体" w:eastAsia="宋体" w:cs="宋体"/>
                <w:spacing w:val="-2"/>
                <w:sz w:val="21"/>
                <w:szCs w:val="21"/>
              </w:rPr>
              <w:t>、维生素B</w:t>
            </w:r>
            <w:r>
              <w:rPr>
                <w:rFonts w:hint="eastAsia" w:ascii="宋体" w:hAnsi="宋体" w:eastAsia="宋体" w:cs="宋体"/>
                <w:spacing w:val="-2"/>
                <w:position w:val="-3"/>
                <w:sz w:val="21"/>
                <w:szCs w:val="21"/>
              </w:rPr>
              <w:t>1</w:t>
            </w:r>
            <w:r>
              <w:rPr>
                <w:rFonts w:hint="eastAsia" w:ascii="宋体" w:hAnsi="宋体" w:eastAsia="宋体" w:cs="宋体"/>
                <w:spacing w:val="-2"/>
                <w:sz w:val="21"/>
                <w:szCs w:val="21"/>
              </w:rPr>
              <w:t>、维生</w:t>
            </w:r>
            <w:r>
              <w:rPr>
                <w:rFonts w:hint="eastAsia" w:ascii="宋体" w:hAnsi="宋体" w:eastAsia="宋体" w:cs="宋体"/>
                <w:spacing w:val="-1"/>
                <w:sz w:val="21"/>
                <w:szCs w:val="21"/>
              </w:rPr>
              <w:t>素B</w:t>
            </w:r>
            <w:r>
              <w:rPr>
                <w:rFonts w:hint="eastAsia" w:ascii="宋体" w:hAnsi="宋体" w:eastAsia="宋体" w:cs="宋体"/>
                <w:spacing w:val="-1"/>
                <w:position w:val="-3"/>
                <w:sz w:val="21"/>
                <w:szCs w:val="21"/>
              </w:rPr>
              <w:t>2</w:t>
            </w:r>
            <w:r>
              <w:rPr>
                <w:rFonts w:hint="eastAsia" w:ascii="宋体" w:hAnsi="宋体" w:eastAsia="宋体" w:cs="宋体"/>
                <w:spacing w:val="-1"/>
                <w:sz w:val="21"/>
                <w:szCs w:val="21"/>
              </w:rPr>
              <w:t>、维生素B</w:t>
            </w:r>
            <w:r>
              <w:rPr>
                <w:rFonts w:hint="eastAsia" w:ascii="宋体" w:hAnsi="宋体" w:eastAsia="宋体" w:cs="宋体"/>
                <w:spacing w:val="-1"/>
                <w:position w:val="-3"/>
                <w:sz w:val="21"/>
                <w:szCs w:val="21"/>
              </w:rPr>
              <w:t>6</w:t>
            </w:r>
            <w:r>
              <w:rPr>
                <w:rFonts w:hint="eastAsia" w:ascii="宋体" w:hAnsi="宋体" w:eastAsia="宋体" w:cs="宋体"/>
                <w:spacing w:val="-1"/>
                <w:sz w:val="21"/>
                <w:szCs w:val="21"/>
              </w:rPr>
              <w:t>、维生素B</w:t>
            </w:r>
            <w:r>
              <w:rPr>
                <w:rFonts w:hint="eastAsia" w:ascii="宋体" w:hAnsi="宋体" w:eastAsia="宋体" w:cs="宋体"/>
                <w:spacing w:val="-1"/>
                <w:position w:val="-3"/>
                <w:sz w:val="21"/>
                <w:szCs w:val="21"/>
              </w:rPr>
              <w:t>12</w:t>
            </w:r>
            <w:r>
              <w:rPr>
                <w:rFonts w:hint="eastAsia" w:ascii="宋体" w:hAnsi="宋体" w:eastAsia="宋体" w:cs="宋体"/>
                <w:spacing w:val="-1"/>
                <w:sz w:val="21"/>
                <w:szCs w:val="21"/>
              </w:rPr>
              <w:t>、烟酸（</w:t>
            </w:r>
            <w:r>
              <w:rPr>
                <w:rFonts w:hint="eastAsia" w:ascii="宋体" w:hAnsi="宋体" w:eastAsia="宋体" w:cs="宋体"/>
                <w:spacing w:val="-2"/>
                <w:sz w:val="21"/>
                <w:szCs w:val="21"/>
              </w:rPr>
              <w:t>烟酰胺）、叶酸、泛酸、维生素C、生物素、钠、钾、</w:t>
            </w:r>
            <w:r>
              <w:rPr>
                <w:rFonts w:hint="eastAsia" w:ascii="宋体" w:hAnsi="宋体" w:eastAsia="宋体" w:cs="宋体"/>
                <w:sz w:val="21"/>
                <w:szCs w:val="21"/>
              </w:rPr>
              <w:t>铜、镁、铁、锌、锰、钙、磷、碘、氯、硒、铬、钼、氟、胆碱、肌醇、牛磺酸</w:t>
            </w:r>
            <w:r>
              <w:rPr>
                <w:rFonts w:hint="eastAsia" w:ascii="宋体" w:hAnsi="宋体" w:eastAsia="宋体" w:cs="宋体"/>
                <w:spacing w:val="-1"/>
                <w:sz w:val="21"/>
                <w:szCs w:val="21"/>
              </w:rPr>
              <w:t>、左旋肉碱</w:t>
            </w:r>
            <w:r>
              <w:rPr>
                <w:rFonts w:hint="eastAsia" w:ascii="宋体" w:hAnsi="宋体" w:eastAsia="宋体" w:cs="宋体"/>
                <w:sz w:val="21"/>
                <w:szCs w:val="21"/>
              </w:rPr>
              <w:t>、核苷酸、精氨酸、亮氨酸、铅（以Pb计）、锡（以Sn计）</w:t>
            </w:r>
            <w:r>
              <w:rPr>
                <w:rFonts w:hint="eastAsia" w:ascii="宋体" w:hAnsi="宋体" w:eastAsia="宋体" w:cs="宋体"/>
                <w:spacing w:val="-1"/>
                <w:sz w:val="21"/>
                <w:szCs w:val="21"/>
              </w:rPr>
              <w:t>、黄曲霉毒素M</w:t>
            </w:r>
            <w:r>
              <w:rPr>
                <w:rFonts w:hint="eastAsia" w:ascii="宋体" w:hAnsi="宋体" w:eastAsia="宋体" w:cs="宋体"/>
                <w:spacing w:val="-1"/>
                <w:position w:val="-3"/>
                <w:sz w:val="21"/>
                <w:szCs w:val="21"/>
              </w:rPr>
              <w:t>1</w:t>
            </w:r>
            <w:r>
              <w:rPr>
                <w:rFonts w:hint="eastAsia" w:ascii="宋体" w:hAnsi="宋体" w:eastAsia="宋体" w:cs="宋体"/>
                <w:spacing w:val="-1"/>
                <w:sz w:val="21"/>
                <w:szCs w:val="21"/>
              </w:rPr>
              <w:t>、黄曲霉毒素</w:t>
            </w:r>
            <w:r>
              <w:rPr>
                <w:rFonts w:hint="eastAsia" w:ascii="宋体" w:hAnsi="宋体" w:eastAsia="宋体" w:cs="宋体"/>
                <w:sz w:val="21"/>
                <w:szCs w:val="21"/>
              </w:rPr>
              <w:t>B</w:t>
            </w:r>
            <w:r>
              <w:rPr>
                <w:rFonts w:hint="eastAsia" w:ascii="宋体" w:hAnsi="宋体" w:eastAsia="宋体" w:cs="宋体"/>
                <w:position w:val="-3"/>
                <w:sz w:val="21"/>
                <w:szCs w:val="21"/>
              </w:rPr>
              <w:t>1</w:t>
            </w:r>
            <w:r>
              <w:rPr>
                <w:rFonts w:hint="eastAsia" w:ascii="宋体" w:hAnsi="宋体" w:eastAsia="宋体" w:cs="宋体"/>
                <w:sz w:val="21"/>
                <w:szCs w:val="21"/>
              </w:rPr>
              <w:t>、硝酸盐（以NaNO</w:t>
            </w:r>
            <w:r>
              <w:rPr>
                <w:rFonts w:hint="eastAsia" w:ascii="宋体" w:hAnsi="宋体" w:eastAsia="宋体" w:cs="宋体"/>
                <w:position w:val="-3"/>
                <w:sz w:val="21"/>
                <w:szCs w:val="21"/>
              </w:rPr>
              <w:t>3</w:t>
            </w:r>
            <w:r>
              <w:rPr>
                <w:rFonts w:hint="eastAsia" w:ascii="宋体" w:hAnsi="宋体" w:eastAsia="宋体" w:cs="宋体"/>
                <w:sz w:val="21"/>
                <w:szCs w:val="21"/>
              </w:rPr>
              <w:t>计）、亚硝酸盐（以NaNO</w:t>
            </w:r>
            <w:r>
              <w:rPr>
                <w:rFonts w:hint="eastAsia" w:ascii="宋体" w:hAnsi="宋体" w:eastAsia="宋体" w:cs="宋体"/>
                <w:position w:val="-3"/>
                <w:sz w:val="21"/>
                <w:szCs w:val="21"/>
              </w:rPr>
              <w:t>2</w:t>
            </w:r>
            <w:r>
              <w:rPr>
                <w:rFonts w:hint="eastAsia" w:ascii="宋体" w:hAnsi="宋体" w:eastAsia="宋体" w:cs="宋体"/>
                <w:sz w:val="21"/>
                <w:szCs w:val="21"/>
              </w:rPr>
              <w:t>计）、三聚氰胺、菌落总数、大肠菌群、沙门氏菌、金黄色葡萄球菌、商业无菌、企业标准/注册的产品技术要求中规定的</w:t>
            </w:r>
            <w:r>
              <w:rPr>
                <w:rFonts w:hint="eastAsia" w:ascii="宋体" w:hAnsi="宋体" w:eastAsia="宋体" w:cs="宋体"/>
                <w:spacing w:val="-1"/>
                <w:sz w:val="21"/>
                <w:szCs w:val="21"/>
              </w:rPr>
              <w:t>质量指标</w:t>
            </w:r>
          </w:p>
        </w:tc>
      </w:tr>
      <w:tr w14:paraId="1073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230" w:type="pct"/>
            <w:vMerge w:val="restart"/>
            <w:noWrap w:val="0"/>
            <w:vAlign w:val="center"/>
          </w:tcPr>
          <w:p w14:paraId="30D540B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30</w:t>
            </w:r>
          </w:p>
        </w:tc>
        <w:tc>
          <w:tcPr>
            <w:tcW w:w="378" w:type="pct"/>
            <w:vMerge w:val="restart"/>
            <w:noWrap w:val="0"/>
            <w:vAlign w:val="center"/>
          </w:tcPr>
          <w:p w14:paraId="75318E2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rPr>
              <w:t>婴幼儿配方食品</w:t>
            </w:r>
          </w:p>
        </w:tc>
        <w:tc>
          <w:tcPr>
            <w:tcW w:w="413" w:type="pct"/>
            <w:vMerge w:val="restart"/>
            <w:noWrap w:val="0"/>
            <w:vAlign w:val="center"/>
          </w:tcPr>
          <w:p w14:paraId="32D6D27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rPr>
              <w:t>婴幼儿配方食品（湿法工艺、干法工艺、干湿法混合工艺）</w:t>
            </w:r>
          </w:p>
        </w:tc>
        <w:tc>
          <w:tcPr>
            <w:tcW w:w="407" w:type="pct"/>
            <w:noWrap w:val="0"/>
            <w:vAlign w:val="center"/>
          </w:tcPr>
          <w:p w14:paraId="0A60134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rPr>
              <w:t>婴儿配方食品</w:t>
            </w:r>
          </w:p>
        </w:tc>
        <w:tc>
          <w:tcPr>
            <w:tcW w:w="464" w:type="pct"/>
            <w:noWrap w:val="0"/>
            <w:vAlign w:val="center"/>
          </w:tcPr>
          <w:p w14:paraId="41E63FB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乳基婴儿配方食品、豆基婴儿配方食品</w:t>
            </w:r>
          </w:p>
        </w:tc>
        <w:tc>
          <w:tcPr>
            <w:tcW w:w="224" w:type="pct"/>
            <w:noWrap w:val="0"/>
            <w:vAlign w:val="center"/>
          </w:tcPr>
          <w:p w14:paraId="4385F76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高</w:t>
            </w:r>
          </w:p>
        </w:tc>
        <w:tc>
          <w:tcPr>
            <w:tcW w:w="2882" w:type="pct"/>
            <w:noWrap w:val="0"/>
            <w:vAlign w:val="center"/>
          </w:tcPr>
          <w:p w14:paraId="30ECA7A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质、脂肪、碳水化合物、乳糖占碳水化合物总量、亚油酸、α-亚麻酸、亚油酸与α-亚麻酸比值、终产品脂肪中月桂酸和肉豆蔻酸（十四烷酸）总量占总脂肪酸的比值、芥酸与总脂肪酸比值、反式脂肪酸与总脂肪酸比值、维生素A、维生素D、维生素E、维生素K</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6</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12</w:t>
            </w:r>
            <w:r>
              <w:rPr>
                <w:rFonts w:hint="eastAsia" w:ascii="宋体" w:hAnsi="宋体" w:eastAsia="宋体" w:cs="宋体"/>
                <w:kern w:val="0"/>
                <w:sz w:val="21"/>
                <w:szCs w:val="21"/>
                <w:lang w:bidi="ar"/>
              </w:rPr>
              <w:t>、烟酸（烟酰胺）、叶酸、泛酸、维生素C、生物素、钠、钾、铜、镁、铁、锌、锰、钙、磷、钙磷比值、碘、氯、硒、胆碱、肌醇、牛磺酸、左旋肉碱、二十二碳六烯酸（DHA）、二十二碳六烯酸（22:6 n-3）与总脂肪酸比、二十碳四烯酸（AA/ARA）、二十碳四烯酸与总脂肪酸比、二十二碳六烯酸（22:6 n-3）与二十碳四烯酸（20:4 n-6）的比、二十碳五烯酸（20:5 n-3）的量与二十二碳六烯酸（22:6 n-3）的量的比、果聚糖、水分、灰分、杂质度、叶黄素、核苷酸、脲酶活性定性测定、铅（以Pb计）、黄曲霉毒素B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或黄曲霉毒素M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计）、三聚氰胺、香兰素、乙基香兰素、菌落总数、大肠菌群、金黄色葡萄球菌、沙门氏菌、阪崎肠杆菌/克罗诺杆菌属（阪崎肠杆菌）、锡、果糖、蔗糖、乳铁蛋白</w:t>
            </w:r>
          </w:p>
        </w:tc>
      </w:tr>
      <w:tr w14:paraId="3D0E9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4" w:hRule="atLeast"/>
          <w:jc w:val="center"/>
        </w:trPr>
        <w:tc>
          <w:tcPr>
            <w:tcW w:w="230" w:type="pct"/>
            <w:vMerge w:val="continue"/>
            <w:noWrap w:val="0"/>
            <w:vAlign w:val="center"/>
          </w:tcPr>
          <w:p w14:paraId="49C91C0F">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0C4D8E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299C38AC">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7E66487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rPr>
              <w:t>较大婴儿配方食品</w:t>
            </w:r>
          </w:p>
        </w:tc>
        <w:tc>
          <w:tcPr>
            <w:tcW w:w="464" w:type="pct"/>
            <w:noWrap w:val="0"/>
            <w:vAlign w:val="center"/>
          </w:tcPr>
          <w:p w14:paraId="176B645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乳基较大婴儿配方食品、豆基较大婴儿配方食品</w:t>
            </w:r>
          </w:p>
        </w:tc>
        <w:tc>
          <w:tcPr>
            <w:tcW w:w="224" w:type="pct"/>
            <w:noWrap w:val="0"/>
            <w:vAlign w:val="center"/>
          </w:tcPr>
          <w:p w14:paraId="4C05972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高</w:t>
            </w:r>
          </w:p>
        </w:tc>
        <w:tc>
          <w:tcPr>
            <w:tcW w:w="2882" w:type="pct"/>
            <w:noWrap w:val="0"/>
            <w:vAlign w:val="center"/>
          </w:tcPr>
          <w:p w14:paraId="3A2E3AC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质、脂肪、亚油酸、α-亚麻酸、亚油酸与α-亚麻酸比值、终产品脂肪中月桂酸和肉豆蔻酸（十四烷酸）总量占总脂肪酸的比值、反式脂肪酸与总脂肪酸比值、芥酸与总脂肪酸比值、碳水化合物、乳糖占碳水化合物总量、维生素A、维生素D、维生素E、维生素K</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6</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12</w:t>
            </w:r>
            <w:r>
              <w:rPr>
                <w:rFonts w:hint="eastAsia" w:ascii="宋体" w:hAnsi="宋体" w:eastAsia="宋体" w:cs="宋体"/>
                <w:kern w:val="0"/>
                <w:sz w:val="21"/>
                <w:szCs w:val="21"/>
                <w:lang w:bidi="ar"/>
              </w:rPr>
              <w:t>、烟酸（烟酰胺）、叶酸、泛酸、维生素C、生物素、钠、钾、铜、镁、铁、锌、钙、磷、钙磷比值、碘、氯、锰、硒、胆碱、肌醇、牛磺酸、左旋肉碱、二十二碳六烯酸（DHA）、二十二碳六烯酸（22:6 n-3）与总脂肪酸比、二十碳四烯酸（AA/ARA）、二十碳四烯酸与总脂肪酸比、二十二碳六烯酸（22:6 n-3）与二十碳四烯酸（20:4 n-6）的比、二十碳五烯酸（20:5 n-3）的量与二十二碳六烯酸（22:6 n-3）的量的比、水分、灰分、杂质度、叶黄素、核苷酸、果聚糖、三聚氰胺、铅（以Pb计）、硝酸盐（以NaNO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计）、脲酶活性定性测定、黄曲霉毒素B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或黄曲霉毒素M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、菌落总数、大肠菌群、沙门氏菌、金黄色葡萄球菌、锡、果糖、蔗糖、乳铁蛋白</w:t>
            </w:r>
          </w:p>
        </w:tc>
      </w:tr>
      <w:tr w14:paraId="16E0C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69" w:hRule="atLeast"/>
          <w:jc w:val="center"/>
        </w:trPr>
        <w:tc>
          <w:tcPr>
            <w:tcW w:w="230" w:type="pct"/>
            <w:vMerge w:val="continue"/>
            <w:noWrap w:val="0"/>
            <w:vAlign w:val="center"/>
          </w:tcPr>
          <w:p w14:paraId="6595265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DE06F3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D073944">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19FF6D0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sz w:val="21"/>
                <w:szCs w:val="21"/>
              </w:rPr>
              <w:t>幼儿配方食品</w:t>
            </w:r>
          </w:p>
        </w:tc>
        <w:tc>
          <w:tcPr>
            <w:tcW w:w="464" w:type="pct"/>
            <w:noWrap w:val="0"/>
            <w:vAlign w:val="center"/>
          </w:tcPr>
          <w:p w14:paraId="193D0F9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幼儿配方食品</w:t>
            </w:r>
          </w:p>
        </w:tc>
        <w:tc>
          <w:tcPr>
            <w:tcW w:w="224" w:type="pct"/>
            <w:noWrap w:val="0"/>
            <w:vAlign w:val="center"/>
          </w:tcPr>
          <w:p w14:paraId="224906E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高</w:t>
            </w:r>
          </w:p>
        </w:tc>
        <w:tc>
          <w:tcPr>
            <w:tcW w:w="2882" w:type="pct"/>
            <w:noWrap w:val="0"/>
            <w:vAlign w:val="center"/>
          </w:tcPr>
          <w:p w14:paraId="6EAEC8E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蛋白质、脂肪、亚油酸、α-亚麻酸、亚油酸与α-亚麻酸比值、乳糖占碳水化合物总量、反式脂肪酸与总脂肪酸比值、碳水化合物、维生素A、维生素D、维生素E、维生素K</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6</w:t>
            </w:r>
            <w:r>
              <w:rPr>
                <w:rFonts w:hint="eastAsia" w:ascii="宋体" w:hAnsi="宋体" w:eastAsia="宋体" w:cs="宋体"/>
                <w:kern w:val="0"/>
                <w:sz w:val="21"/>
                <w:szCs w:val="21"/>
                <w:lang w:bidi="ar"/>
              </w:rPr>
              <w:t>、维生素B</w:t>
            </w:r>
            <w:r>
              <w:rPr>
                <w:rFonts w:hint="eastAsia" w:ascii="宋体" w:hAnsi="宋体" w:eastAsia="宋体" w:cs="宋体"/>
                <w:kern w:val="0"/>
                <w:sz w:val="21"/>
                <w:szCs w:val="21"/>
                <w:vertAlign w:val="subscript"/>
                <w:lang w:bidi="ar"/>
              </w:rPr>
              <w:t>12</w:t>
            </w:r>
            <w:r>
              <w:rPr>
                <w:rFonts w:hint="eastAsia" w:ascii="宋体" w:hAnsi="宋体" w:eastAsia="宋体" w:cs="宋体"/>
                <w:kern w:val="0"/>
                <w:sz w:val="21"/>
                <w:szCs w:val="21"/>
                <w:lang w:bidi="ar"/>
              </w:rPr>
              <w:t>、烟酸（烟酰胺）、叶酸、泛酸、维生素C、生物素、钠、钾、铜、镁、铁、锌、钙、磷、钙磷比值、碘、氯、锰、硒、胆碱、肌醇、牛磺酸、左旋肉碱、二十二碳六烯酸（DHA）、二十二碳六烯酸（22:6 n-3）与总脂肪酸比、二十碳四烯酸（AA/ARA）、二十碳四烯酸与总脂肪酸比、水分、灰分、杂质度、叶黄素、核苷酸、果聚糖、三聚氰胺、铅（以Pb计）、硝酸盐（以NaNO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计）、亚硝酸盐（以NaNO</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计）、脲酶活性定性测定、黄曲霉毒素B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或黄曲霉毒素M</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、菌落总数、大肠菌群、沙门氏菌、金黄色葡萄球菌、锡、乳铁蛋白</w:t>
            </w:r>
          </w:p>
        </w:tc>
      </w:tr>
      <w:tr w14:paraId="1F0FF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9" w:hRule="atLeast"/>
          <w:jc w:val="center"/>
        </w:trPr>
        <w:tc>
          <w:tcPr>
            <w:tcW w:w="230" w:type="pct"/>
            <w:vMerge w:val="restart"/>
            <w:noWrap w:val="0"/>
            <w:vAlign w:val="center"/>
          </w:tcPr>
          <w:p w14:paraId="2C5562A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31</w:t>
            </w:r>
          </w:p>
        </w:tc>
        <w:tc>
          <w:tcPr>
            <w:tcW w:w="378" w:type="pct"/>
            <w:vMerge w:val="restart"/>
            <w:noWrap w:val="0"/>
            <w:vAlign w:val="center"/>
          </w:tcPr>
          <w:p w14:paraId="3E0449A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餐饮食品</w:t>
            </w:r>
          </w:p>
        </w:tc>
        <w:tc>
          <w:tcPr>
            <w:tcW w:w="413" w:type="pct"/>
            <w:vMerge w:val="restart"/>
            <w:noWrap w:val="0"/>
            <w:vAlign w:val="center"/>
          </w:tcPr>
          <w:p w14:paraId="65CA5DE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米面及其制品</w:t>
            </w:r>
          </w:p>
          <w:p w14:paraId="3BF2BF9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07" w:type="pct"/>
            <w:vMerge w:val="restart"/>
            <w:noWrap w:val="0"/>
            <w:vAlign w:val="center"/>
          </w:tcPr>
          <w:p w14:paraId="74D76FA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小麦粉制品(自制)</w:t>
            </w:r>
          </w:p>
        </w:tc>
        <w:tc>
          <w:tcPr>
            <w:tcW w:w="464" w:type="pct"/>
            <w:noWrap w:val="0"/>
            <w:vAlign w:val="center"/>
          </w:tcPr>
          <w:p w14:paraId="2817B7C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馒头花卷(自制)</w:t>
            </w:r>
          </w:p>
        </w:tc>
        <w:tc>
          <w:tcPr>
            <w:tcW w:w="224" w:type="pct"/>
            <w:noWrap w:val="0"/>
            <w:vAlign w:val="center"/>
          </w:tcPr>
          <w:p w14:paraId="558C0F4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D4420D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甲酸及其钠盐（以苯甲酸计）、山梨酸及其钾盐（以山梨酸计）、糖精钠（以糖精计）、脱氢乙酸及其钠盐（以脱氢乙酸计）、甜蜜素（以环己基氨基磺酸计）、铅（以Pb计）、合成着色剂（柠檬黄、日落黄、胭脂红、苋菜红、亮蓝）</w:t>
            </w:r>
          </w:p>
        </w:tc>
      </w:tr>
      <w:tr w14:paraId="2ED0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230" w:type="pct"/>
            <w:vMerge w:val="continue"/>
            <w:noWrap w:val="0"/>
            <w:vAlign w:val="center"/>
          </w:tcPr>
          <w:p w14:paraId="6553E6CD">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5D68C32A">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BB9ECB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075DD9F">
            <w:pPr>
              <w:widowControl/>
              <w:spacing w:line="230" w:lineRule="exact"/>
              <w:jc w:val="center"/>
              <w:rPr>
                <w:rFonts w:hint="eastAsia" w:ascii="宋体" w:hAnsi="宋体" w:eastAsia="宋体" w:cs="宋体"/>
                <w:sz w:val="21"/>
                <w:szCs w:val="21"/>
              </w:rPr>
            </w:pPr>
          </w:p>
        </w:tc>
        <w:tc>
          <w:tcPr>
            <w:tcW w:w="464" w:type="pct"/>
            <w:noWrap w:val="0"/>
            <w:vAlign w:val="center"/>
          </w:tcPr>
          <w:p w14:paraId="23D3789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包子(自制)</w:t>
            </w:r>
          </w:p>
        </w:tc>
        <w:tc>
          <w:tcPr>
            <w:tcW w:w="224" w:type="pct"/>
            <w:noWrap w:val="0"/>
            <w:vAlign w:val="center"/>
          </w:tcPr>
          <w:p w14:paraId="250F91E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319C6F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苯甲酸及其钠盐（以苯甲酸计）、山梨酸及其钾盐（以山梨酸计）、糖精钠（以糖精计）、脱氢乙酸及其钠盐（以脱氢乙酸计）、甜蜜素（以环己基氨基磺酸计）</w:t>
            </w:r>
          </w:p>
        </w:tc>
      </w:tr>
      <w:tr w14:paraId="3861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B0CCB9A">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CC92CE9">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F7AA072">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67D541C4">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082A352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油饼油条</w:t>
            </w:r>
          </w:p>
          <w:p w14:paraId="376F57E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224" w:type="pct"/>
            <w:noWrap w:val="0"/>
            <w:vAlign w:val="center"/>
          </w:tcPr>
          <w:p w14:paraId="6BB9434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5A2336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铝的残留量（干样品，以Al计）</w:t>
            </w:r>
          </w:p>
        </w:tc>
      </w:tr>
      <w:tr w14:paraId="0C10B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4020E8E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7259C3DD">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22C772B4">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48E32272">
            <w:pPr>
              <w:widowControl/>
              <w:spacing w:line="230" w:lineRule="exact"/>
              <w:jc w:val="center"/>
              <w:rPr>
                <w:rFonts w:hint="eastAsia" w:ascii="宋体" w:hAnsi="宋体" w:eastAsia="宋体" w:cs="宋体"/>
                <w:sz w:val="21"/>
                <w:szCs w:val="21"/>
              </w:rPr>
            </w:pPr>
          </w:p>
        </w:tc>
        <w:tc>
          <w:tcPr>
            <w:tcW w:w="464" w:type="pct"/>
            <w:noWrap w:val="0"/>
            <w:vAlign w:val="center"/>
          </w:tcPr>
          <w:p w14:paraId="47C1A36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凉皮类</w:t>
            </w:r>
          </w:p>
          <w:p w14:paraId="0B07906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224" w:type="pct"/>
            <w:noWrap w:val="0"/>
            <w:vAlign w:val="center"/>
          </w:tcPr>
          <w:p w14:paraId="63B7BB9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3673B9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脱氢乙酸及其钠盐（以脱氢乙酸计）、柠檬黄</w:t>
            </w:r>
          </w:p>
        </w:tc>
      </w:tr>
      <w:tr w14:paraId="5AA2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3" w:hRule="atLeast"/>
          <w:jc w:val="center"/>
        </w:trPr>
        <w:tc>
          <w:tcPr>
            <w:tcW w:w="230" w:type="pct"/>
            <w:vMerge w:val="continue"/>
            <w:noWrap w:val="0"/>
            <w:vAlign w:val="center"/>
          </w:tcPr>
          <w:p w14:paraId="645A2711">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34A6931">
            <w:pPr>
              <w:widowControl/>
              <w:spacing w:line="230" w:lineRule="exact"/>
              <w:jc w:val="center"/>
              <w:rPr>
                <w:rFonts w:hint="eastAsia" w:ascii="宋体" w:hAnsi="宋体" w:eastAsia="宋体" w:cs="宋体"/>
                <w:sz w:val="21"/>
                <w:szCs w:val="21"/>
              </w:rPr>
            </w:pPr>
          </w:p>
        </w:tc>
        <w:tc>
          <w:tcPr>
            <w:tcW w:w="413" w:type="pct"/>
            <w:vMerge w:val="restart"/>
            <w:noWrap w:val="0"/>
            <w:vAlign w:val="center"/>
          </w:tcPr>
          <w:p w14:paraId="5BB29B5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肉制品</w:t>
            </w:r>
          </w:p>
          <w:p w14:paraId="786EC9E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07" w:type="pct"/>
            <w:vMerge w:val="restart"/>
            <w:noWrap w:val="0"/>
            <w:vAlign w:val="center"/>
          </w:tcPr>
          <w:p w14:paraId="264AE6A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熟肉制品(自制)</w:t>
            </w:r>
          </w:p>
        </w:tc>
        <w:tc>
          <w:tcPr>
            <w:tcW w:w="464" w:type="pct"/>
            <w:noWrap w:val="0"/>
            <w:vAlign w:val="center"/>
          </w:tcPr>
          <w:p w14:paraId="1B2AA81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肉冻皮冻(自制)</w:t>
            </w:r>
          </w:p>
        </w:tc>
        <w:tc>
          <w:tcPr>
            <w:tcW w:w="224" w:type="pct"/>
            <w:noWrap w:val="0"/>
            <w:vAlign w:val="center"/>
          </w:tcPr>
          <w:p w14:paraId="7530905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B8E3A9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铬（以Cr计）</w:t>
            </w:r>
          </w:p>
        </w:tc>
      </w:tr>
      <w:tr w14:paraId="04034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230" w:type="pct"/>
            <w:vMerge w:val="continue"/>
            <w:noWrap w:val="0"/>
            <w:vAlign w:val="center"/>
          </w:tcPr>
          <w:p w14:paraId="3896F382">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6071FAB">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B47FBA4">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0E3DBB37">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D609B1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熏烧烤肉类(自制)</w:t>
            </w:r>
          </w:p>
        </w:tc>
        <w:tc>
          <w:tcPr>
            <w:tcW w:w="224" w:type="pct"/>
            <w:noWrap w:val="0"/>
            <w:vAlign w:val="center"/>
          </w:tcPr>
          <w:p w14:paraId="16A30A3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5748A1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N-二甲基亚硝胺、苯并[a]芘、铅（以Pb计）</w:t>
            </w:r>
          </w:p>
        </w:tc>
      </w:tr>
      <w:tr w14:paraId="2C07D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57FA1A25">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D14DE0A">
            <w:pPr>
              <w:widowControl/>
              <w:spacing w:line="230" w:lineRule="exact"/>
              <w:jc w:val="center"/>
              <w:textAlignment w:val="center"/>
              <w:rPr>
                <w:rFonts w:hint="eastAsia" w:ascii="宋体" w:hAnsi="宋体" w:eastAsia="宋体" w:cs="宋体"/>
                <w:kern w:val="0"/>
                <w:sz w:val="21"/>
                <w:szCs w:val="21"/>
                <w:lang w:bidi="ar"/>
              </w:rPr>
            </w:pPr>
          </w:p>
        </w:tc>
        <w:tc>
          <w:tcPr>
            <w:tcW w:w="413" w:type="pct"/>
            <w:noWrap w:val="0"/>
            <w:vAlign w:val="center"/>
          </w:tcPr>
          <w:p w14:paraId="6A7F30E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调味料</w:t>
            </w:r>
          </w:p>
          <w:p w14:paraId="4075BFC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07" w:type="pct"/>
            <w:noWrap w:val="0"/>
            <w:vAlign w:val="center"/>
          </w:tcPr>
          <w:p w14:paraId="7C2543B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调味料</w:t>
            </w:r>
          </w:p>
          <w:p w14:paraId="6258A52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64" w:type="pct"/>
            <w:noWrap w:val="0"/>
            <w:vAlign w:val="center"/>
          </w:tcPr>
          <w:p w14:paraId="76F6FB7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火锅麻辣烫底料(自制)</w:t>
            </w:r>
          </w:p>
        </w:tc>
        <w:tc>
          <w:tcPr>
            <w:tcW w:w="224" w:type="pct"/>
            <w:noWrap w:val="0"/>
            <w:vAlign w:val="center"/>
          </w:tcPr>
          <w:p w14:paraId="350338D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8D9818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罂粟碱、吗啡、可待因、那可丁</w:t>
            </w:r>
          </w:p>
        </w:tc>
      </w:tr>
      <w:tr w14:paraId="401EB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622A516">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2FA5B9D">
            <w:pPr>
              <w:widowControl/>
              <w:spacing w:line="230" w:lineRule="exact"/>
              <w:jc w:val="center"/>
              <w:textAlignment w:val="center"/>
              <w:rPr>
                <w:rFonts w:hint="eastAsia" w:ascii="宋体" w:hAnsi="宋体" w:eastAsia="宋体" w:cs="宋体"/>
                <w:kern w:val="0"/>
                <w:sz w:val="21"/>
                <w:szCs w:val="21"/>
                <w:lang w:bidi="ar"/>
              </w:rPr>
            </w:pPr>
          </w:p>
        </w:tc>
        <w:tc>
          <w:tcPr>
            <w:tcW w:w="413" w:type="pct"/>
            <w:noWrap w:val="0"/>
            <w:vAlign w:val="center"/>
          </w:tcPr>
          <w:p w14:paraId="46D24A1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水产制品(自制)</w:t>
            </w:r>
          </w:p>
        </w:tc>
        <w:tc>
          <w:tcPr>
            <w:tcW w:w="407" w:type="pct"/>
            <w:noWrap w:val="0"/>
            <w:vAlign w:val="center"/>
          </w:tcPr>
          <w:p w14:paraId="4A39718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预制水产制品</w:t>
            </w:r>
          </w:p>
          <w:p w14:paraId="4FBB807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64" w:type="pct"/>
            <w:noWrap w:val="0"/>
            <w:vAlign w:val="center"/>
          </w:tcPr>
          <w:p w14:paraId="22D8B7A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生食动物性水产品</w:t>
            </w:r>
          </w:p>
          <w:p w14:paraId="15AAD77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224" w:type="pct"/>
            <w:noWrap w:val="0"/>
            <w:vAlign w:val="center"/>
          </w:tcPr>
          <w:p w14:paraId="434D89D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A0D1AD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铝的残留量（以即食海蜇中Al计）</w:t>
            </w:r>
          </w:p>
        </w:tc>
      </w:tr>
      <w:tr w14:paraId="7400D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57445128">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4264486">
            <w:pPr>
              <w:widowControl/>
              <w:spacing w:line="230" w:lineRule="exact"/>
              <w:jc w:val="center"/>
              <w:textAlignment w:val="center"/>
              <w:rPr>
                <w:rFonts w:hint="eastAsia" w:ascii="宋体" w:hAnsi="宋体" w:eastAsia="宋体" w:cs="宋体"/>
                <w:kern w:val="0"/>
                <w:sz w:val="21"/>
                <w:szCs w:val="21"/>
                <w:lang w:bidi="ar"/>
              </w:rPr>
            </w:pPr>
          </w:p>
        </w:tc>
        <w:tc>
          <w:tcPr>
            <w:tcW w:w="413" w:type="pct"/>
            <w:noWrap w:val="0"/>
            <w:vAlign w:val="center"/>
          </w:tcPr>
          <w:p w14:paraId="7714097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坚果及籽类食品</w:t>
            </w:r>
          </w:p>
          <w:p w14:paraId="709A734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07" w:type="pct"/>
            <w:noWrap w:val="0"/>
            <w:vAlign w:val="center"/>
          </w:tcPr>
          <w:p w14:paraId="049A9D9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坚果及籽类食品</w:t>
            </w:r>
          </w:p>
          <w:p w14:paraId="04973AA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64" w:type="pct"/>
            <w:noWrap w:val="0"/>
            <w:vAlign w:val="center"/>
          </w:tcPr>
          <w:p w14:paraId="5114D9A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花生制品(自制)</w:t>
            </w:r>
          </w:p>
        </w:tc>
        <w:tc>
          <w:tcPr>
            <w:tcW w:w="224" w:type="pct"/>
            <w:noWrap w:val="0"/>
            <w:vAlign w:val="center"/>
          </w:tcPr>
          <w:p w14:paraId="6A6DEE6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D3EB76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、苯甲酸及其钠盐（以苯甲酸计）、山梨酸及其钾盐（以山梨酸计）、脱氢乙酸及其钠盐（以脱氢乙酸计）</w:t>
            </w:r>
          </w:p>
        </w:tc>
      </w:tr>
      <w:tr w14:paraId="25114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jc w:val="center"/>
        </w:trPr>
        <w:tc>
          <w:tcPr>
            <w:tcW w:w="230" w:type="pct"/>
            <w:vMerge w:val="continue"/>
            <w:noWrap w:val="0"/>
            <w:vAlign w:val="center"/>
          </w:tcPr>
          <w:p w14:paraId="1DEEADA7">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8722D51">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restart"/>
            <w:noWrap w:val="0"/>
            <w:vAlign w:val="center"/>
          </w:tcPr>
          <w:p w14:paraId="2270A8A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焙烤食品(自制)</w:t>
            </w:r>
          </w:p>
          <w:p w14:paraId="67513F8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6793B45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焙烤食品(自制)</w:t>
            </w:r>
          </w:p>
          <w:p w14:paraId="6859A2A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7AA823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糕点(自制)</w:t>
            </w:r>
          </w:p>
        </w:tc>
        <w:tc>
          <w:tcPr>
            <w:tcW w:w="224" w:type="pct"/>
            <w:noWrap w:val="0"/>
            <w:vAlign w:val="center"/>
          </w:tcPr>
          <w:p w14:paraId="4A2A01B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BF633A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酸价（以脂肪计）（KOH）、过氧化值（以脂肪计）、山梨酸及其钾盐（以山梨酸计）、脱氢乙酸及其钠盐（以脱氢乙酸计）、铝的残留量（干样品，以Al计）</w:t>
            </w:r>
          </w:p>
        </w:tc>
      </w:tr>
      <w:tr w14:paraId="48343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230" w:type="pct"/>
            <w:vMerge w:val="continue"/>
            <w:noWrap w:val="0"/>
            <w:vAlign w:val="center"/>
          </w:tcPr>
          <w:p w14:paraId="69A87857">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2C823AA0">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B994C84">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5BC744D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5E9A34E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面包</w:t>
            </w:r>
          </w:p>
          <w:p w14:paraId="7E480F2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(自制)</w:t>
            </w:r>
          </w:p>
        </w:tc>
        <w:tc>
          <w:tcPr>
            <w:tcW w:w="224" w:type="pct"/>
            <w:noWrap w:val="0"/>
            <w:vAlign w:val="center"/>
          </w:tcPr>
          <w:p w14:paraId="104C5AA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w:t>
            </w:r>
          </w:p>
        </w:tc>
        <w:tc>
          <w:tcPr>
            <w:tcW w:w="2882" w:type="pct"/>
            <w:noWrap w:val="0"/>
            <w:vAlign w:val="center"/>
          </w:tcPr>
          <w:p w14:paraId="7B3BB5D5">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bCs/>
                <w:kern w:val="0"/>
                <w:sz w:val="21"/>
                <w:szCs w:val="21"/>
                <w:lang w:bidi="ar"/>
              </w:rPr>
              <w:t>酸价（以脂肪计）（KOH）、过氧化值（以脂肪计）、山梨酸及其钾盐（以山梨酸计）、脱氢乙酸及其钠盐（以脱氢乙酸计）、铝的残留量（干样品，以Al计）</w:t>
            </w:r>
          </w:p>
        </w:tc>
      </w:tr>
      <w:tr w14:paraId="1385A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E04EED2">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302F774">
            <w:pPr>
              <w:widowControl/>
              <w:spacing w:line="230" w:lineRule="exact"/>
              <w:jc w:val="center"/>
              <w:textAlignment w:val="center"/>
              <w:rPr>
                <w:rFonts w:hint="eastAsia" w:ascii="宋体" w:hAnsi="宋体" w:eastAsia="宋体" w:cs="宋体"/>
                <w:kern w:val="0"/>
                <w:sz w:val="21"/>
                <w:szCs w:val="21"/>
                <w:lang w:bidi="ar"/>
              </w:rPr>
            </w:pPr>
          </w:p>
        </w:tc>
        <w:tc>
          <w:tcPr>
            <w:tcW w:w="413" w:type="pct"/>
            <w:noWrap w:val="0"/>
            <w:vAlign w:val="center"/>
          </w:tcPr>
          <w:p w14:paraId="31C1DB9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食用油、油脂及其制品(自制)</w:t>
            </w:r>
          </w:p>
        </w:tc>
        <w:tc>
          <w:tcPr>
            <w:tcW w:w="407" w:type="pct"/>
            <w:noWrap w:val="0"/>
            <w:vAlign w:val="center"/>
          </w:tcPr>
          <w:p w14:paraId="055FFA4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食用油、油脂及其制品(自制)</w:t>
            </w:r>
          </w:p>
        </w:tc>
        <w:tc>
          <w:tcPr>
            <w:tcW w:w="464" w:type="pct"/>
            <w:noWrap w:val="0"/>
            <w:vAlign w:val="center"/>
          </w:tcPr>
          <w:p w14:paraId="726000E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煎炸过程用油</w:t>
            </w:r>
          </w:p>
        </w:tc>
        <w:tc>
          <w:tcPr>
            <w:tcW w:w="224" w:type="pct"/>
            <w:noWrap w:val="0"/>
            <w:vAlign w:val="center"/>
          </w:tcPr>
          <w:p w14:paraId="7FD5FB1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64BA24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极性组分、酸价（KOH）</w:t>
            </w:r>
          </w:p>
        </w:tc>
      </w:tr>
      <w:tr w14:paraId="6A12E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7" w:hRule="atLeast"/>
          <w:jc w:val="center"/>
        </w:trPr>
        <w:tc>
          <w:tcPr>
            <w:tcW w:w="230" w:type="pct"/>
            <w:vMerge w:val="continue"/>
            <w:noWrap w:val="0"/>
            <w:vAlign w:val="center"/>
          </w:tcPr>
          <w:p w14:paraId="111C1DA4">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0BDCB966">
            <w:pPr>
              <w:widowControl/>
              <w:spacing w:line="230" w:lineRule="exact"/>
              <w:jc w:val="center"/>
              <w:textAlignment w:val="center"/>
              <w:rPr>
                <w:rFonts w:hint="eastAsia" w:ascii="宋体" w:hAnsi="宋体" w:eastAsia="宋体" w:cs="宋体"/>
                <w:sz w:val="21"/>
                <w:szCs w:val="21"/>
              </w:rPr>
            </w:pPr>
          </w:p>
        </w:tc>
        <w:tc>
          <w:tcPr>
            <w:tcW w:w="413" w:type="pct"/>
            <w:noWrap w:val="0"/>
            <w:vAlign w:val="center"/>
          </w:tcPr>
          <w:p w14:paraId="047D480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淀粉制品(自制)</w:t>
            </w:r>
          </w:p>
        </w:tc>
        <w:tc>
          <w:tcPr>
            <w:tcW w:w="407" w:type="pct"/>
            <w:noWrap w:val="0"/>
            <w:vAlign w:val="center"/>
          </w:tcPr>
          <w:p w14:paraId="7F8D43F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粉丝粉条(自制)</w:t>
            </w:r>
          </w:p>
        </w:tc>
        <w:tc>
          <w:tcPr>
            <w:tcW w:w="464" w:type="pct"/>
            <w:noWrap w:val="0"/>
            <w:vAlign w:val="center"/>
          </w:tcPr>
          <w:p w14:paraId="4EE76D5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粉丝粉条</w:t>
            </w:r>
          </w:p>
          <w:p w14:paraId="6A5D63F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224" w:type="pct"/>
            <w:noWrap w:val="0"/>
            <w:vAlign w:val="center"/>
          </w:tcPr>
          <w:p w14:paraId="7B44C6C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249607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铝的残留量（干样品，以Al计）、脱氢乙酸及其钠盐（以脱氢乙酸计）</w:t>
            </w:r>
          </w:p>
        </w:tc>
      </w:tr>
      <w:tr w14:paraId="1A784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230" w:type="pct"/>
            <w:vMerge w:val="restart"/>
            <w:noWrap w:val="0"/>
            <w:vAlign w:val="center"/>
          </w:tcPr>
          <w:p w14:paraId="758E99A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w:t>
            </w:r>
          </w:p>
        </w:tc>
        <w:tc>
          <w:tcPr>
            <w:tcW w:w="378" w:type="pct"/>
            <w:vMerge w:val="restart"/>
            <w:noWrap w:val="0"/>
            <w:vAlign w:val="center"/>
          </w:tcPr>
          <w:p w14:paraId="06D20928">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餐饮食品</w:t>
            </w:r>
          </w:p>
        </w:tc>
        <w:tc>
          <w:tcPr>
            <w:tcW w:w="413" w:type="pct"/>
            <w:noWrap w:val="0"/>
            <w:vAlign w:val="center"/>
          </w:tcPr>
          <w:p w14:paraId="0607AE6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饮料</w:t>
            </w:r>
          </w:p>
          <w:p w14:paraId="2742351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07" w:type="pct"/>
            <w:noWrap w:val="0"/>
            <w:vAlign w:val="center"/>
          </w:tcPr>
          <w:p w14:paraId="1EC03EF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饮料</w:t>
            </w:r>
          </w:p>
          <w:p w14:paraId="62A8EC3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(自制)</w:t>
            </w:r>
          </w:p>
        </w:tc>
        <w:tc>
          <w:tcPr>
            <w:tcW w:w="464" w:type="pct"/>
            <w:noWrap w:val="0"/>
            <w:vAlign w:val="center"/>
          </w:tcPr>
          <w:p w14:paraId="1899973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奶茶(自制)</w:t>
            </w:r>
          </w:p>
        </w:tc>
        <w:tc>
          <w:tcPr>
            <w:tcW w:w="224" w:type="pct"/>
            <w:noWrap w:val="0"/>
            <w:vAlign w:val="center"/>
          </w:tcPr>
          <w:p w14:paraId="0D52947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D2D5FF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脱氢乙酸及其钠盐（以脱氢乙酸计）</w:t>
            </w:r>
          </w:p>
        </w:tc>
      </w:tr>
      <w:tr w14:paraId="7D14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230" w:type="pct"/>
            <w:vMerge w:val="continue"/>
            <w:noWrap w:val="0"/>
            <w:vAlign w:val="center"/>
          </w:tcPr>
          <w:p w14:paraId="5CA099F8">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21CF4ED">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restart"/>
            <w:noWrap w:val="0"/>
            <w:vAlign w:val="center"/>
          </w:tcPr>
          <w:p w14:paraId="3FA3A48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餐饮具</w:t>
            </w:r>
          </w:p>
        </w:tc>
        <w:tc>
          <w:tcPr>
            <w:tcW w:w="407" w:type="pct"/>
            <w:vMerge w:val="restart"/>
            <w:noWrap w:val="0"/>
            <w:vAlign w:val="center"/>
          </w:tcPr>
          <w:p w14:paraId="1B17105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复用餐饮具</w:t>
            </w:r>
          </w:p>
        </w:tc>
        <w:tc>
          <w:tcPr>
            <w:tcW w:w="464" w:type="pct"/>
            <w:noWrap w:val="0"/>
            <w:vAlign w:val="center"/>
          </w:tcPr>
          <w:p w14:paraId="27F7654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复用餐饮具（餐馆自行消毒）</w:t>
            </w:r>
          </w:p>
        </w:tc>
        <w:tc>
          <w:tcPr>
            <w:tcW w:w="224" w:type="pct"/>
            <w:noWrap w:val="0"/>
            <w:vAlign w:val="center"/>
          </w:tcPr>
          <w:p w14:paraId="4F8218B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高</w:t>
            </w:r>
          </w:p>
        </w:tc>
        <w:tc>
          <w:tcPr>
            <w:tcW w:w="2882" w:type="pct"/>
            <w:noWrap w:val="0"/>
            <w:vAlign w:val="center"/>
          </w:tcPr>
          <w:p w14:paraId="7EA119E7">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阴离子合成洗涤剂（以十二烷基苯磺酸钠计）、大肠菌群</w:t>
            </w:r>
          </w:p>
        </w:tc>
      </w:tr>
      <w:tr w14:paraId="2D2B4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1" w:hRule="atLeast"/>
          <w:jc w:val="center"/>
        </w:trPr>
        <w:tc>
          <w:tcPr>
            <w:tcW w:w="230" w:type="pct"/>
            <w:vMerge w:val="continue"/>
            <w:noWrap w:val="0"/>
            <w:vAlign w:val="center"/>
          </w:tcPr>
          <w:p w14:paraId="16F06873">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5DBEA45">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A58BB27">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8270375">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3EE05E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复用餐饮具（集中清洗消毒服务单位消毒）</w:t>
            </w:r>
          </w:p>
        </w:tc>
        <w:tc>
          <w:tcPr>
            <w:tcW w:w="224" w:type="pct"/>
            <w:noWrap w:val="0"/>
            <w:vAlign w:val="center"/>
          </w:tcPr>
          <w:p w14:paraId="7812B59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0B35A0DB">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阴离子合成洗涤剂（以十二烷基苯磺酸钠计）、大肠菌群</w:t>
            </w:r>
          </w:p>
        </w:tc>
      </w:tr>
      <w:tr w14:paraId="0C13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8" w:hRule="atLeast"/>
          <w:jc w:val="center"/>
        </w:trPr>
        <w:tc>
          <w:tcPr>
            <w:tcW w:w="230" w:type="pct"/>
            <w:vMerge w:val="restart"/>
            <w:noWrap w:val="0"/>
            <w:vAlign w:val="center"/>
          </w:tcPr>
          <w:p w14:paraId="3728AAD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32</w:t>
            </w:r>
          </w:p>
        </w:tc>
        <w:tc>
          <w:tcPr>
            <w:tcW w:w="378" w:type="pct"/>
            <w:vMerge w:val="restart"/>
            <w:noWrap w:val="0"/>
            <w:vAlign w:val="center"/>
          </w:tcPr>
          <w:p w14:paraId="27FA235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食品添加剂</w:t>
            </w:r>
          </w:p>
        </w:tc>
        <w:tc>
          <w:tcPr>
            <w:tcW w:w="413" w:type="pct"/>
            <w:vMerge w:val="restart"/>
            <w:noWrap w:val="0"/>
            <w:vAlign w:val="center"/>
          </w:tcPr>
          <w:p w14:paraId="34711BC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食品添加剂</w:t>
            </w:r>
          </w:p>
        </w:tc>
        <w:tc>
          <w:tcPr>
            <w:tcW w:w="407" w:type="pct"/>
            <w:noWrap w:val="0"/>
            <w:vAlign w:val="center"/>
          </w:tcPr>
          <w:p w14:paraId="648C68B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复配食品添加剂</w:t>
            </w:r>
          </w:p>
        </w:tc>
        <w:tc>
          <w:tcPr>
            <w:tcW w:w="464" w:type="pct"/>
            <w:noWrap w:val="0"/>
            <w:vAlign w:val="center"/>
          </w:tcPr>
          <w:p w14:paraId="3DCA60A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复配食品添加剂</w:t>
            </w:r>
          </w:p>
        </w:tc>
        <w:tc>
          <w:tcPr>
            <w:tcW w:w="224" w:type="pct"/>
            <w:noWrap w:val="0"/>
            <w:vAlign w:val="center"/>
          </w:tcPr>
          <w:p w14:paraId="2F8D507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0511E8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铅（Pb）、砷（以As计）、致病性微生物</w:t>
            </w:r>
          </w:p>
        </w:tc>
      </w:tr>
      <w:tr w14:paraId="41EDE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230" w:type="pct"/>
            <w:vMerge w:val="continue"/>
            <w:noWrap w:val="0"/>
            <w:vAlign w:val="center"/>
          </w:tcPr>
          <w:p w14:paraId="6D038EB5">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D63D58B">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79E15E7">
            <w:pPr>
              <w:widowControl/>
              <w:spacing w:line="230" w:lineRule="exact"/>
              <w:jc w:val="center"/>
              <w:rPr>
                <w:rFonts w:hint="eastAsia" w:ascii="宋体" w:hAnsi="宋体" w:eastAsia="宋体" w:cs="宋体"/>
                <w:sz w:val="21"/>
                <w:szCs w:val="21"/>
              </w:rPr>
            </w:pPr>
          </w:p>
        </w:tc>
        <w:tc>
          <w:tcPr>
            <w:tcW w:w="407" w:type="pct"/>
            <w:noWrap w:val="0"/>
            <w:vAlign w:val="center"/>
          </w:tcPr>
          <w:p w14:paraId="28F56D4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食品用香精</w:t>
            </w:r>
          </w:p>
        </w:tc>
        <w:tc>
          <w:tcPr>
            <w:tcW w:w="464" w:type="pct"/>
            <w:noWrap w:val="0"/>
            <w:vAlign w:val="center"/>
          </w:tcPr>
          <w:p w14:paraId="4FA08AD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食品用香精</w:t>
            </w:r>
          </w:p>
        </w:tc>
        <w:tc>
          <w:tcPr>
            <w:tcW w:w="224" w:type="pct"/>
            <w:noWrap w:val="0"/>
            <w:vAlign w:val="center"/>
          </w:tcPr>
          <w:p w14:paraId="5E3E52C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6759FD5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砷（以As计）含量/无机砷含量、菌落总数</w:t>
            </w:r>
          </w:p>
        </w:tc>
      </w:tr>
      <w:tr w14:paraId="772B8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3" w:hRule="atLeast"/>
          <w:jc w:val="center"/>
        </w:trPr>
        <w:tc>
          <w:tcPr>
            <w:tcW w:w="230" w:type="pct"/>
            <w:vMerge w:val="continue"/>
            <w:noWrap w:val="0"/>
            <w:vAlign w:val="center"/>
          </w:tcPr>
          <w:p w14:paraId="68E4CC6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ABCB495">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2EAD7B5">
            <w:pPr>
              <w:widowControl/>
              <w:spacing w:line="230" w:lineRule="exact"/>
              <w:jc w:val="center"/>
              <w:rPr>
                <w:rFonts w:hint="eastAsia" w:ascii="宋体" w:hAnsi="宋体" w:eastAsia="宋体" w:cs="宋体"/>
                <w:kern w:val="0"/>
                <w:sz w:val="21"/>
                <w:szCs w:val="21"/>
                <w:lang w:bidi="ar"/>
              </w:rPr>
            </w:pPr>
          </w:p>
        </w:tc>
        <w:tc>
          <w:tcPr>
            <w:tcW w:w="407" w:type="pct"/>
            <w:vMerge w:val="restart"/>
            <w:noWrap w:val="0"/>
            <w:vAlign w:val="center"/>
          </w:tcPr>
          <w:p w14:paraId="0365F6A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单一食品添加剂</w:t>
            </w:r>
          </w:p>
        </w:tc>
        <w:tc>
          <w:tcPr>
            <w:tcW w:w="464" w:type="pct"/>
            <w:noWrap w:val="0"/>
            <w:vAlign w:val="center"/>
          </w:tcPr>
          <w:p w14:paraId="4C4ED5F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环己基氨基磺酸钠（又名甜蜜素）</w:t>
            </w:r>
          </w:p>
        </w:tc>
        <w:tc>
          <w:tcPr>
            <w:tcW w:w="224" w:type="pct"/>
            <w:noWrap w:val="0"/>
            <w:vAlign w:val="center"/>
          </w:tcPr>
          <w:p w14:paraId="6B3B0E9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FF03E8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环己基氨基磺酸钠含量（以干基计）、硫酸盐（以SO</w:t>
            </w:r>
            <w:r>
              <w:rPr>
                <w:rFonts w:hint="eastAsia" w:ascii="宋体" w:hAnsi="宋体" w:eastAsia="宋体" w:cs="宋体"/>
                <w:kern w:val="0"/>
                <w:sz w:val="21"/>
                <w:szCs w:val="21"/>
                <w:vertAlign w:val="subscript"/>
                <w:lang w:bidi="ar"/>
              </w:rPr>
              <w:t>4</w:t>
            </w:r>
            <w:r>
              <w:rPr>
                <w:rFonts w:hint="eastAsia" w:ascii="宋体" w:hAnsi="宋体" w:eastAsia="宋体" w:cs="宋体"/>
                <w:kern w:val="0"/>
                <w:sz w:val="21"/>
                <w:szCs w:val="21"/>
                <w:lang w:bidi="ar"/>
              </w:rPr>
              <w:t>计）、pH（100g/L水溶液）、干燥减量、氨基磺酸、环己胺、双环己胺、吸光值（100g/L溶液）、透明度（以100g/L溶液的透光率表示）、重金属（以Pb计）、砷（As）</w:t>
            </w:r>
          </w:p>
        </w:tc>
      </w:tr>
      <w:tr w14:paraId="767FA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230" w:type="pct"/>
            <w:vMerge w:val="continue"/>
            <w:noWrap w:val="0"/>
            <w:vAlign w:val="center"/>
          </w:tcPr>
          <w:p w14:paraId="4EF24536">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0CE59306">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5F827B4F">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64EE8520">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523256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碳酸钠</w:t>
            </w:r>
          </w:p>
        </w:tc>
        <w:tc>
          <w:tcPr>
            <w:tcW w:w="224" w:type="pct"/>
            <w:noWrap w:val="0"/>
            <w:vAlign w:val="center"/>
          </w:tcPr>
          <w:p w14:paraId="1B03F25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00D06D5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总碱量（以Na</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CO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计）（以干基计）、总碱量（以Na</w:t>
            </w:r>
            <w:r>
              <w:rPr>
                <w:rFonts w:hint="eastAsia" w:ascii="宋体" w:hAnsi="宋体" w:eastAsia="宋体" w:cs="宋体"/>
                <w:kern w:val="0"/>
                <w:sz w:val="21"/>
                <w:szCs w:val="21"/>
                <w:vertAlign w:val="subscript"/>
                <w:lang w:bidi="ar"/>
              </w:rPr>
              <w:t>2</w:t>
            </w:r>
            <w:r>
              <w:rPr>
                <w:rFonts w:hint="eastAsia" w:ascii="宋体" w:hAnsi="宋体" w:eastAsia="宋体" w:cs="宋体"/>
                <w:kern w:val="0"/>
                <w:sz w:val="21"/>
                <w:szCs w:val="21"/>
                <w:lang w:bidi="ar"/>
              </w:rPr>
              <w:t>CO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计）（以湿基计）、水不溶物（以干基计）、氯化物（以NaCl计）（以干基计）、铁（Fe）（以干基计）、铅（Pb）（以干基计）、砷（As）（以干基计）</w:t>
            </w:r>
          </w:p>
        </w:tc>
      </w:tr>
      <w:tr w14:paraId="6D61C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8" w:hRule="atLeast"/>
          <w:jc w:val="center"/>
        </w:trPr>
        <w:tc>
          <w:tcPr>
            <w:tcW w:w="230" w:type="pct"/>
            <w:vMerge w:val="continue"/>
            <w:noWrap w:val="0"/>
            <w:vAlign w:val="center"/>
          </w:tcPr>
          <w:p w14:paraId="4EDAE20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D20443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B3B7029">
            <w:pPr>
              <w:widowControl/>
              <w:spacing w:line="230" w:lineRule="exact"/>
              <w:jc w:val="center"/>
              <w:rPr>
                <w:rFonts w:hint="eastAsia" w:ascii="宋体" w:hAnsi="宋体" w:eastAsia="宋体" w:cs="宋体"/>
                <w:kern w:val="0"/>
                <w:sz w:val="21"/>
                <w:szCs w:val="21"/>
                <w:lang w:bidi="ar"/>
              </w:rPr>
            </w:pPr>
          </w:p>
        </w:tc>
        <w:tc>
          <w:tcPr>
            <w:tcW w:w="407" w:type="pct"/>
            <w:vMerge w:val="continue"/>
            <w:noWrap w:val="0"/>
            <w:vAlign w:val="center"/>
          </w:tcPr>
          <w:p w14:paraId="35E7EE6A">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91B3B4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碳酸氢钠</w:t>
            </w:r>
          </w:p>
        </w:tc>
        <w:tc>
          <w:tcPr>
            <w:tcW w:w="224" w:type="pct"/>
            <w:noWrap w:val="0"/>
            <w:vAlign w:val="center"/>
          </w:tcPr>
          <w:p w14:paraId="13DDCFC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5F06189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总碱量（以NaHCO</w:t>
            </w:r>
            <w:r>
              <w:rPr>
                <w:rFonts w:hint="eastAsia" w:ascii="宋体" w:hAnsi="宋体" w:eastAsia="宋体" w:cs="宋体"/>
                <w:kern w:val="0"/>
                <w:sz w:val="21"/>
                <w:szCs w:val="21"/>
                <w:vertAlign w:val="subscript"/>
                <w:lang w:bidi="ar"/>
              </w:rPr>
              <w:t>3</w:t>
            </w:r>
            <w:r>
              <w:rPr>
                <w:rFonts w:hint="eastAsia" w:ascii="宋体" w:hAnsi="宋体" w:eastAsia="宋体" w:cs="宋体"/>
                <w:kern w:val="0"/>
                <w:sz w:val="21"/>
                <w:szCs w:val="21"/>
                <w:lang w:bidi="ar"/>
              </w:rPr>
              <w:t>计）、干燥减量、pH（10g/L水溶液）、铵盐、澄清度、氯化物（以Cl计）、白度、砷（As）、重金属（以Pb计）</w:t>
            </w:r>
          </w:p>
        </w:tc>
      </w:tr>
      <w:tr w14:paraId="4C00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jc w:val="center"/>
        </w:trPr>
        <w:tc>
          <w:tcPr>
            <w:tcW w:w="230" w:type="pct"/>
            <w:vMerge w:val="continue"/>
            <w:noWrap w:val="0"/>
            <w:vAlign w:val="center"/>
          </w:tcPr>
          <w:p w14:paraId="24F1E2B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5F310E3">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29316C12">
            <w:pPr>
              <w:widowControl/>
              <w:spacing w:line="230" w:lineRule="exact"/>
              <w:jc w:val="center"/>
              <w:rPr>
                <w:rFonts w:hint="eastAsia" w:ascii="宋体" w:hAnsi="宋体" w:eastAsia="宋体" w:cs="宋体"/>
                <w:kern w:val="0"/>
                <w:sz w:val="21"/>
                <w:szCs w:val="21"/>
                <w:lang w:bidi="ar"/>
              </w:rPr>
            </w:pPr>
          </w:p>
        </w:tc>
        <w:tc>
          <w:tcPr>
            <w:tcW w:w="407" w:type="pct"/>
            <w:noWrap w:val="0"/>
            <w:vAlign w:val="center"/>
          </w:tcPr>
          <w:p w14:paraId="193F822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胶基</w:t>
            </w:r>
          </w:p>
        </w:tc>
        <w:tc>
          <w:tcPr>
            <w:tcW w:w="464" w:type="pct"/>
            <w:noWrap w:val="0"/>
            <w:vAlign w:val="center"/>
          </w:tcPr>
          <w:p w14:paraId="61027C6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胶基</w:t>
            </w:r>
          </w:p>
        </w:tc>
        <w:tc>
          <w:tcPr>
            <w:tcW w:w="224" w:type="pct"/>
            <w:noWrap w:val="0"/>
            <w:vAlign w:val="center"/>
          </w:tcPr>
          <w:p w14:paraId="5EFC2BD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FC922D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铅（Pb）、总砷（以As计）</w:t>
            </w:r>
          </w:p>
        </w:tc>
      </w:tr>
      <w:tr w14:paraId="0A74E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4" w:hRule="atLeast"/>
          <w:jc w:val="center"/>
        </w:trPr>
        <w:tc>
          <w:tcPr>
            <w:tcW w:w="230" w:type="pct"/>
            <w:vMerge w:val="continue"/>
            <w:noWrap w:val="0"/>
            <w:vAlign w:val="center"/>
          </w:tcPr>
          <w:p w14:paraId="5CBC372F">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72C1B69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19A72C3A">
            <w:pPr>
              <w:widowControl/>
              <w:spacing w:line="230" w:lineRule="exact"/>
              <w:jc w:val="center"/>
              <w:rPr>
                <w:rFonts w:hint="eastAsia" w:ascii="宋体" w:hAnsi="宋体" w:eastAsia="宋体" w:cs="宋体"/>
                <w:sz w:val="21"/>
                <w:szCs w:val="21"/>
              </w:rPr>
            </w:pPr>
          </w:p>
        </w:tc>
        <w:tc>
          <w:tcPr>
            <w:tcW w:w="407" w:type="pct"/>
            <w:noWrap w:val="0"/>
            <w:vAlign w:val="center"/>
          </w:tcPr>
          <w:p w14:paraId="25648A5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食品工业用酶制剂</w:t>
            </w:r>
          </w:p>
        </w:tc>
        <w:tc>
          <w:tcPr>
            <w:tcW w:w="464" w:type="pct"/>
            <w:noWrap w:val="0"/>
            <w:vAlign w:val="center"/>
          </w:tcPr>
          <w:p w14:paraId="07F1D7D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食品工业用酶制剂</w:t>
            </w:r>
          </w:p>
        </w:tc>
        <w:tc>
          <w:tcPr>
            <w:tcW w:w="224" w:type="pct"/>
            <w:noWrap w:val="0"/>
            <w:vAlign w:val="center"/>
          </w:tcPr>
          <w:p w14:paraId="239416D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AA0C80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铅（Pb）、总砷（以As计）、菌落总数、大肠菌群、大肠埃希氏菌、沙门氏菌、抗菌活性</w:t>
            </w:r>
          </w:p>
        </w:tc>
      </w:tr>
      <w:tr w14:paraId="61016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jc w:val="center"/>
        </w:trPr>
        <w:tc>
          <w:tcPr>
            <w:tcW w:w="230" w:type="pct"/>
            <w:vMerge w:val="restart"/>
            <w:noWrap w:val="0"/>
            <w:vAlign w:val="center"/>
          </w:tcPr>
          <w:p w14:paraId="3791212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33</w:t>
            </w:r>
          </w:p>
        </w:tc>
        <w:tc>
          <w:tcPr>
            <w:tcW w:w="378" w:type="pct"/>
            <w:vMerge w:val="restart"/>
            <w:noWrap w:val="0"/>
            <w:vAlign w:val="center"/>
          </w:tcPr>
          <w:p w14:paraId="1F207AA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畜禽肉及副产品</w:t>
            </w:r>
          </w:p>
        </w:tc>
        <w:tc>
          <w:tcPr>
            <w:tcW w:w="413" w:type="pct"/>
            <w:vMerge w:val="restart"/>
            <w:noWrap w:val="0"/>
            <w:vAlign w:val="center"/>
          </w:tcPr>
          <w:p w14:paraId="2E6FC92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畜禽肉及副产品</w:t>
            </w:r>
          </w:p>
        </w:tc>
        <w:tc>
          <w:tcPr>
            <w:tcW w:w="407" w:type="pct"/>
            <w:vMerge w:val="restart"/>
            <w:noWrap w:val="0"/>
            <w:vAlign w:val="center"/>
          </w:tcPr>
          <w:p w14:paraId="537FFFA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畜肉</w:t>
            </w:r>
          </w:p>
        </w:tc>
        <w:tc>
          <w:tcPr>
            <w:tcW w:w="464" w:type="pct"/>
            <w:noWrap w:val="0"/>
            <w:vAlign w:val="center"/>
          </w:tcPr>
          <w:p w14:paraId="333524A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猪肉</w:t>
            </w:r>
          </w:p>
        </w:tc>
        <w:tc>
          <w:tcPr>
            <w:tcW w:w="224" w:type="pct"/>
            <w:noWrap w:val="0"/>
            <w:vAlign w:val="center"/>
          </w:tcPr>
          <w:p w14:paraId="050BBAE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9B6EFB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挥发性盐基氮、水分、呋喃唑酮代谢物、呋喃西林代谢物、氯霉素、克伦特罗、莱克多巴胺、沙丁胺醇、喹乙醇、恩诺沙星、替米考星、磺胺类（总量）、甲氧苄啶、氟苯尼考、多西环素、地塞米松、甲硝唑、氯丙嗪、林可霉素、土霉素/金霉素/四环素（组合含量）</w:t>
            </w:r>
          </w:p>
        </w:tc>
      </w:tr>
      <w:tr w14:paraId="7C9F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230" w:type="pct"/>
            <w:vMerge w:val="continue"/>
            <w:noWrap w:val="0"/>
            <w:vAlign w:val="center"/>
          </w:tcPr>
          <w:p w14:paraId="4672075A">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085BAC6">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634DA5D">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15939259">
            <w:pPr>
              <w:widowControl/>
              <w:spacing w:line="230" w:lineRule="exact"/>
              <w:jc w:val="center"/>
              <w:rPr>
                <w:rFonts w:hint="eastAsia" w:ascii="宋体" w:hAnsi="宋体" w:eastAsia="宋体" w:cs="宋体"/>
                <w:sz w:val="21"/>
                <w:szCs w:val="21"/>
              </w:rPr>
            </w:pPr>
          </w:p>
        </w:tc>
        <w:tc>
          <w:tcPr>
            <w:tcW w:w="464" w:type="pct"/>
            <w:noWrap w:val="0"/>
            <w:vAlign w:val="center"/>
          </w:tcPr>
          <w:p w14:paraId="5BA0E1C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牛肉</w:t>
            </w:r>
          </w:p>
        </w:tc>
        <w:tc>
          <w:tcPr>
            <w:tcW w:w="224" w:type="pct"/>
            <w:noWrap w:val="0"/>
            <w:vAlign w:val="center"/>
          </w:tcPr>
          <w:p w14:paraId="081D42D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FFC0A0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挥发性盐基氮、水分、呋喃唑酮代谢物、呋喃西林代谢物、氯霉素、克伦特罗、莱克多巴胺、沙丁胺醇、恩诺沙星、磺胺类（总量）、甲氧苄啶、氟苯尼考、氟尼辛、多西环素、地塞米松、林可霉素、倍他米松、土霉素/金霉素/四环素（组合含量）</w:t>
            </w:r>
          </w:p>
        </w:tc>
      </w:tr>
      <w:tr w14:paraId="31C1F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1" w:hRule="atLeast"/>
          <w:jc w:val="center"/>
        </w:trPr>
        <w:tc>
          <w:tcPr>
            <w:tcW w:w="230" w:type="pct"/>
            <w:vMerge w:val="continue"/>
            <w:noWrap w:val="0"/>
            <w:vAlign w:val="center"/>
          </w:tcPr>
          <w:p w14:paraId="2399B542">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3718FD9">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72E4B91C">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3BBA34E6">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0F57EEF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羊肉</w:t>
            </w:r>
          </w:p>
        </w:tc>
        <w:tc>
          <w:tcPr>
            <w:tcW w:w="224" w:type="pct"/>
            <w:noWrap w:val="0"/>
            <w:vAlign w:val="center"/>
          </w:tcPr>
          <w:p w14:paraId="34B4802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3887A7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水分、呋喃唑酮代谢物、呋喃西林代谢物、氯霉素、克伦特罗、莱克多巴胺、沙丁胺醇、恩诺沙星、磺胺类（总量）、氟苯尼考、林可霉素、土霉素/金霉素/四环素（组合含量）</w:t>
            </w:r>
          </w:p>
        </w:tc>
      </w:tr>
      <w:tr w14:paraId="153B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continue"/>
            <w:noWrap w:val="0"/>
            <w:vAlign w:val="center"/>
          </w:tcPr>
          <w:p w14:paraId="09EF5527">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5B8F45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E97BBFB">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7B40AE6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禽肉</w:t>
            </w:r>
          </w:p>
        </w:tc>
        <w:tc>
          <w:tcPr>
            <w:tcW w:w="464" w:type="pct"/>
            <w:noWrap w:val="0"/>
            <w:vAlign w:val="center"/>
          </w:tcPr>
          <w:p w14:paraId="606C6D6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鸡肉</w:t>
            </w:r>
          </w:p>
        </w:tc>
        <w:tc>
          <w:tcPr>
            <w:tcW w:w="224" w:type="pct"/>
            <w:noWrap w:val="0"/>
            <w:vAlign w:val="center"/>
          </w:tcPr>
          <w:p w14:paraId="7CA88C4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60557D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挥发性盐基氮、水分、呋喃唑酮代谢物、呋喃西林代谢物、呋喃它酮代谢物、氯霉素、氧氟沙星、培氟沙星、诺氟沙星、恩诺沙星、沙拉沙星、替米考星、磺胺类（总量）、甲氧苄啶、氟苯尼考、多西环素、甲硝唑、尼卡巴嗪、环丙氨嗪、土霉素/金霉素/四环素（组合含量）</w:t>
            </w:r>
          </w:p>
        </w:tc>
      </w:tr>
      <w:tr w14:paraId="4FDD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continue"/>
            <w:noWrap w:val="0"/>
            <w:vAlign w:val="center"/>
          </w:tcPr>
          <w:p w14:paraId="40E06A4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919E3B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4427B30">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5086074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2E326C9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鸭肉</w:t>
            </w:r>
          </w:p>
        </w:tc>
        <w:tc>
          <w:tcPr>
            <w:tcW w:w="224" w:type="pct"/>
            <w:noWrap w:val="0"/>
            <w:vAlign w:val="center"/>
          </w:tcPr>
          <w:p w14:paraId="12A4BE1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2AAB4B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呋喃唑酮代谢物、呋喃妥因代谢物、氯霉素、氧氟沙星、恩诺沙星、磺胺类（总量）、氟苯尼考、多西环素、甲硝唑</w:t>
            </w:r>
          </w:p>
        </w:tc>
      </w:tr>
      <w:tr w14:paraId="6EB3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continue"/>
            <w:noWrap w:val="0"/>
            <w:vAlign w:val="center"/>
          </w:tcPr>
          <w:p w14:paraId="23508499">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566E53F">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51D67B0">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967BCD7">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7F6A18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其他禽肉</w:t>
            </w:r>
          </w:p>
        </w:tc>
        <w:tc>
          <w:tcPr>
            <w:tcW w:w="224" w:type="pct"/>
            <w:noWrap w:val="0"/>
            <w:vAlign w:val="center"/>
          </w:tcPr>
          <w:p w14:paraId="6ABA7ED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92845A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呋喃唑酮代谢物、氯霉素、氧氟沙星、培氟沙星、洛美沙星、达氟沙星、恩诺沙星、磺胺类（总量）、多西环素、甲硝唑、环丙氨嗪</w:t>
            </w:r>
          </w:p>
        </w:tc>
      </w:tr>
      <w:tr w14:paraId="08272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continue"/>
            <w:noWrap w:val="0"/>
            <w:vAlign w:val="center"/>
          </w:tcPr>
          <w:p w14:paraId="09278FB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790A2E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276DF57">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527A30F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畜副产品</w:t>
            </w:r>
          </w:p>
        </w:tc>
        <w:tc>
          <w:tcPr>
            <w:tcW w:w="464" w:type="pct"/>
            <w:noWrap w:val="0"/>
            <w:vAlign w:val="center"/>
          </w:tcPr>
          <w:p w14:paraId="7FE4E1E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猪肝</w:t>
            </w:r>
          </w:p>
        </w:tc>
        <w:tc>
          <w:tcPr>
            <w:tcW w:w="224" w:type="pct"/>
            <w:noWrap w:val="0"/>
            <w:vAlign w:val="center"/>
          </w:tcPr>
          <w:p w14:paraId="25C9C54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A44B36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镉（以Cd计）、呋喃唑酮代谢物、呋喃西林代谢物、氯霉素、克伦特罗、莱克多巴胺、沙丁胺醇、恩诺沙星、磺胺类（总量）、甲氧苄啶、氯丙嗪、双氯芬酸</w:t>
            </w:r>
          </w:p>
        </w:tc>
      </w:tr>
      <w:tr w14:paraId="1135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1" w:hRule="atLeast"/>
          <w:jc w:val="center"/>
        </w:trPr>
        <w:tc>
          <w:tcPr>
            <w:tcW w:w="230" w:type="pct"/>
            <w:vMerge w:val="continue"/>
            <w:noWrap w:val="0"/>
            <w:vAlign w:val="center"/>
          </w:tcPr>
          <w:p w14:paraId="38FE78D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001E30B">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2F9A053">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998880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6DF57D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羊肝</w:t>
            </w:r>
          </w:p>
        </w:tc>
        <w:tc>
          <w:tcPr>
            <w:tcW w:w="224" w:type="pct"/>
            <w:noWrap w:val="0"/>
            <w:vAlign w:val="center"/>
          </w:tcPr>
          <w:p w14:paraId="37298A1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1C1598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克伦特罗、莱克多巴胺、沙丁胺醇</w:t>
            </w:r>
          </w:p>
        </w:tc>
      </w:tr>
      <w:tr w14:paraId="2E38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continue"/>
            <w:noWrap w:val="0"/>
            <w:vAlign w:val="center"/>
          </w:tcPr>
          <w:p w14:paraId="7A897942">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AF56FB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D5DE38F">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26F790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B05D79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猪肾</w:t>
            </w:r>
          </w:p>
        </w:tc>
        <w:tc>
          <w:tcPr>
            <w:tcW w:w="224" w:type="pct"/>
            <w:noWrap w:val="0"/>
            <w:vAlign w:val="center"/>
          </w:tcPr>
          <w:p w14:paraId="4ABD54C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177A10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呋喃西林代谢物、氯霉素、克伦特罗、莱克多巴胺、沙丁胺醇、恩诺沙星、磺胺类（总量）、甲氧苄啶</w:t>
            </w:r>
          </w:p>
        </w:tc>
      </w:tr>
      <w:tr w14:paraId="206CE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4" w:hRule="atLeast"/>
          <w:jc w:val="center"/>
        </w:trPr>
        <w:tc>
          <w:tcPr>
            <w:tcW w:w="230" w:type="pct"/>
            <w:vMerge w:val="continue"/>
            <w:noWrap w:val="0"/>
            <w:vAlign w:val="center"/>
          </w:tcPr>
          <w:p w14:paraId="43CF859C">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6816EC3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294F3070">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5EB3AD9E">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2CA8B3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羊肾</w:t>
            </w:r>
          </w:p>
        </w:tc>
        <w:tc>
          <w:tcPr>
            <w:tcW w:w="224" w:type="pct"/>
            <w:noWrap w:val="0"/>
            <w:vAlign w:val="center"/>
          </w:tcPr>
          <w:p w14:paraId="4364522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666ABD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镉（以Cd计）、克伦特罗、莱克多巴胺、沙丁胺醇、恩诺沙星</w:t>
            </w:r>
          </w:p>
        </w:tc>
      </w:tr>
      <w:tr w14:paraId="1A892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8" w:hRule="atLeast"/>
          <w:jc w:val="center"/>
        </w:trPr>
        <w:tc>
          <w:tcPr>
            <w:tcW w:w="230" w:type="pct"/>
            <w:vMerge w:val="continue"/>
            <w:noWrap w:val="0"/>
            <w:vAlign w:val="center"/>
          </w:tcPr>
          <w:p w14:paraId="0C291D62">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1709BDE5">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6001AC0B">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2C2A0E65">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58804B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其他畜副产品</w:t>
            </w:r>
          </w:p>
        </w:tc>
        <w:tc>
          <w:tcPr>
            <w:tcW w:w="224" w:type="pct"/>
            <w:noWrap w:val="0"/>
            <w:vAlign w:val="center"/>
          </w:tcPr>
          <w:p w14:paraId="3E5AFC6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9D99C4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呋喃唑酮代谢物、呋喃西林代谢物、氯霉素、克伦特罗、莱克多巴胺、沙丁胺醇</w:t>
            </w:r>
          </w:p>
        </w:tc>
      </w:tr>
      <w:tr w14:paraId="4F68F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9" w:hRule="atLeast"/>
          <w:jc w:val="center"/>
        </w:trPr>
        <w:tc>
          <w:tcPr>
            <w:tcW w:w="230" w:type="pct"/>
            <w:vMerge w:val="continue"/>
            <w:noWrap w:val="0"/>
            <w:vAlign w:val="center"/>
          </w:tcPr>
          <w:p w14:paraId="12A10F27">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599B35D">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786B4F25">
            <w:pPr>
              <w:widowControl/>
              <w:spacing w:line="230" w:lineRule="exact"/>
              <w:jc w:val="center"/>
              <w:textAlignment w:val="center"/>
              <w:rPr>
                <w:rFonts w:hint="eastAsia" w:ascii="宋体" w:hAnsi="宋体" w:eastAsia="宋体" w:cs="宋体"/>
                <w:sz w:val="21"/>
                <w:szCs w:val="21"/>
              </w:rPr>
            </w:pPr>
          </w:p>
        </w:tc>
        <w:tc>
          <w:tcPr>
            <w:tcW w:w="407" w:type="pct"/>
            <w:vMerge w:val="restart"/>
            <w:noWrap w:val="0"/>
            <w:vAlign w:val="center"/>
          </w:tcPr>
          <w:p w14:paraId="134D768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禽副产品</w:t>
            </w:r>
          </w:p>
        </w:tc>
        <w:tc>
          <w:tcPr>
            <w:tcW w:w="464" w:type="pct"/>
            <w:noWrap w:val="0"/>
            <w:vAlign w:val="center"/>
          </w:tcPr>
          <w:p w14:paraId="549550C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鸡肝</w:t>
            </w:r>
          </w:p>
        </w:tc>
        <w:tc>
          <w:tcPr>
            <w:tcW w:w="224" w:type="pct"/>
            <w:noWrap w:val="0"/>
            <w:vAlign w:val="center"/>
          </w:tcPr>
          <w:p w14:paraId="65F81D8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503C47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呋喃唑酮代谢物、呋喃西林代谢物、氯霉素、氧氟沙星、恩诺沙星、环丙氨嗪</w:t>
            </w:r>
          </w:p>
        </w:tc>
      </w:tr>
      <w:tr w14:paraId="77353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continue"/>
            <w:noWrap w:val="0"/>
            <w:vAlign w:val="center"/>
          </w:tcPr>
          <w:p w14:paraId="2FC8ED18">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DEFF84B">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0868C6B5">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21A53AAD">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5E68099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其他禽副产品</w:t>
            </w:r>
          </w:p>
        </w:tc>
        <w:tc>
          <w:tcPr>
            <w:tcW w:w="224" w:type="pct"/>
            <w:noWrap w:val="0"/>
            <w:vAlign w:val="center"/>
          </w:tcPr>
          <w:p w14:paraId="6F7441C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29ED11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呋喃唑酮代谢物、呋喃西林代谢物、氯霉素、诺氟沙星</w:t>
            </w:r>
          </w:p>
        </w:tc>
      </w:tr>
      <w:tr w14:paraId="6330A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5" w:hRule="atLeast"/>
          <w:jc w:val="center"/>
        </w:trPr>
        <w:tc>
          <w:tcPr>
            <w:tcW w:w="230" w:type="pct"/>
            <w:vMerge w:val="restart"/>
            <w:noWrap w:val="0"/>
            <w:vAlign w:val="center"/>
          </w:tcPr>
          <w:p w14:paraId="006EE68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34</w:t>
            </w:r>
          </w:p>
        </w:tc>
        <w:tc>
          <w:tcPr>
            <w:tcW w:w="378" w:type="pct"/>
            <w:vMerge w:val="restart"/>
            <w:noWrap w:val="0"/>
            <w:vAlign w:val="center"/>
          </w:tcPr>
          <w:p w14:paraId="406A492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w:t>
            </w:r>
          </w:p>
        </w:tc>
        <w:tc>
          <w:tcPr>
            <w:tcW w:w="413" w:type="pct"/>
            <w:vMerge w:val="restart"/>
            <w:noWrap w:val="0"/>
            <w:vAlign w:val="center"/>
          </w:tcPr>
          <w:p w14:paraId="57F94E2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蔬菜</w:t>
            </w:r>
          </w:p>
        </w:tc>
        <w:tc>
          <w:tcPr>
            <w:tcW w:w="407" w:type="pct"/>
            <w:noWrap w:val="0"/>
            <w:vAlign w:val="center"/>
          </w:tcPr>
          <w:p w14:paraId="31A2EBB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豆芽</w:t>
            </w:r>
          </w:p>
        </w:tc>
        <w:tc>
          <w:tcPr>
            <w:tcW w:w="464" w:type="pct"/>
            <w:noWrap w:val="0"/>
            <w:vAlign w:val="center"/>
          </w:tcPr>
          <w:p w14:paraId="5ED2279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豆芽</w:t>
            </w:r>
          </w:p>
        </w:tc>
        <w:tc>
          <w:tcPr>
            <w:tcW w:w="224" w:type="pct"/>
            <w:noWrap w:val="0"/>
            <w:vAlign w:val="center"/>
          </w:tcPr>
          <w:p w14:paraId="6DE003A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26FD70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铅（以Pb计）、总汞（以Hg计）、4-氯苯氧乙酸钠（以4-氯苯氧乙酸计）、6-苄基腺嘌呤（6-BA）、亚硫酸盐（以SO₂计）</w:t>
            </w:r>
          </w:p>
        </w:tc>
      </w:tr>
      <w:tr w14:paraId="78D9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9" w:hRule="atLeast"/>
          <w:jc w:val="center"/>
        </w:trPr>
        <w:tc>
          <w:tcPr>
            <w:tcW w:w="230" w:type="pct"/>
            <w:vMerge w:val="continue"/>
            <w:noWrap w:val="0"/>
            <w:vAlign w:val="center"/>
          </w:tcPr>
          <w:p w14:paraId="57C64A71">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0014E046">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47FF70E">
            <w:pPr>
              <w:widowControl/>
              <w:spacing w:line="230" w:lineRule="exact"/>
              <w:jc w:val="center"/>
              <w:rPr>
                <w:rFonts w:hint="eastAsia" w:ascii="宋体" w:hAnsi="宋体" w:eastAsia="宋体" w:cs="宋体"/>
                <w:sz w:val="21"/>
                <w:szCs w:val="21"/>
              </w:rPr>
            </w:pPr>
          </w:p>
        </w:tc>
        <w:tc>
          <w:tcPr>
            <w:tcW w:w="407" w:type="pct"/>
            <w:noWrap w:val="0"/>
            <w:vAlign w:val="center"/>
          </w:tcPr>
          <w:p w14:paraId="3E5FAB3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鲜食用菌</w:t>
            </w:r>
          </w:p>
        </w:tc>
        <w:tc>
          <w:tcPr>
            <w:tcW w:w="464" w:type="pct"/>
            <w:noWrap w:val="0"/>
            <w:vAlign w:val="center"/>
          </w:tcPr>
          <w:p w14:paraId="56B03D5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鲜食用菌</w:t>
            </w:r>
          </w:p>
        </w:tc>
        <w:tc>
          <w:tcPr>
            <w:tcW w:w="224" w:type="pct"/>
            <w:noWrap w:val="0"/>
            <w:vAlign w:val="center"/>
          </w:tcPr>
          <w:p w14:paraId="0AC1110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9C657B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铅（以Pb计）、镉（以Cd计）、百菌清、除虫脲、氯氟氰菊酯和高效氯氟氰菊酯、氯氰菊酯和高效氯氰菊酯</w:t>
            </w:r>
          </w:p>
        </w:tc>
      </w:tr>
      <w:tr w14:paraId="769FD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jc w:val="center"/>
        </w:trPr>
        <w:tc>
          <w:tcPr>
            <w:tcW w:w="230" w:type="pct"/>
            <w:vMerge w:val="continue"/>
            <w:noWrap w:val="0"/>
            <w:vAlign w:val="center"/>
          </w:tcPr>
          <w:p w14:paraId="6DB0E3A9">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03548C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65D53DEB">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66AADBD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鳞茎类蔬菜</w:t>
            </w:r>
          </w:p>
        </w:tc>
        <w:tc>
          <w:tcPr>
            <w:tcW w:w="464" w:type="pct"/>
            <w:noWrap w:val="0"/>
            <w:vAlign w:val="center"/>
          </w:tcPr>
          <w:p w14:paraId="458522A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葱</w:t>
            </w:r>
          </w:p>
        </w:tc>
        <w:tc>
          <w:tcPr>
            <w:tcW w:w="224" w:type="pct"/>
            <w:noWrap w:val="0"/>
            <w:vAlign w:val="center"/>
          </w:tcPr>
          <w:p w14:paraId="2020DA6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2166FE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铅（以Pb计）、镉（以Cd计）、丙环唑、毒死蜱、氟虫腈、甲拌磷、甲基异柳磷、克百威、乐果、氯氟氰菊酯和高效氯氟氰菊酯、噻虫嗪、三唑磷、水胺硫磷、戊唑醇、氧乐果、乙酰甲胺磷</w:t>
            </w:r>
          </w:p>
        </w:tc>
      </w:tr>
      <w:tr w14:paraId="482E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3" w:hRule="atLeast"/>
          <w:jc w:val="center"/>
        </w:trPr>
        <w:tc>
          <w:tcPr>
            <w:tcW w:w="230" w:type="pct"/>
            <w:vMerge w:val="continue"/>
            <w:noWrap w:val="0"/>
            <w:vAlign w:val="center"/>
          </w:tcPr>
          <w:p w14:paraId="4F444EA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EF7F9DB">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0E1D455">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67E2705C">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7CC707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韭菜</w:t>
            </w:r>
          </w:p>
        </w:tc>
        <w:tc>
          <w:tcPr>
            <w:tcW w:w="224" w:type="pct"/>
            <w:noWrap w:val="0"/>
            <w:vAlign w:val="center"/>
          </w:tcPr>
          <w:p w14:paraId="6E8CE94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4172AF34">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镉（以Cd计）、阿维菌素、敌敌畏、毒死蜱、多菌灵、二甲戊灵、腐霉利、甲胺磷、甲拌磷、克百威、乐果、氯氟氰菊酯和高效氯氟氰菊酯、氯氰菊酯和高效氯氰菊酯、三唑磷、辛硫磷、氧乐果、乙酰甲胺磷</w:t>
            </w:r>
          </w:p>
        </w:tc>
      </w:tr>
      <w:tr w14:paraId="426EF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230" w:type="pct"/>
            <w:vMerge w:val="continue"/>
            <w:noWrap w:val="0"/>
            <w:vAlign w:val="center"/>
          </w:tcPr>
          <w:p w14:paraId="6D78526E">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A727EB6">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F25359D">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105B50F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B6A141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百合</w:t>
            </w:r>
          </w:p>
        </w:tc>
        <w:tc>
          <w:tcPr>
            <w:tcW w:w="224" w:type="pct"/>
            <w:noWrap w:val="0"/>
            <w:vAlign w:val="center"/>
          </w:tcPr>
          <w:p w14:paraId="72D91A2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3C13697D">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sz w:val="21"/>
                <w:szCs w:val="21"/>
              </w:rPr>
              <w:t>镉（以Cd计）、总汞（以Hg计）、毒死蜱</w:t>
            </w:r>
          </w:p>
        </w:tc>
      </w:tr>
      <w:tr w14:paraId="00F9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jc w:val="center"/>
        </w:trPr>
        <w:tc>
          <w:tcPr>
            <w:tcW w:w="230" w:type="pct"/>
            <w:vMerge w:val="continue"/>
            <w:noWrap w:val="0"/>
            <w:vAlign w:val="center"/>
          </w:tcPr>
          <w:p w14:paraId="21D34057">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25D618E">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27204D1">
            <w:pPr>
              <w:widowControl/>
              <w:spacing w:line="230" w:lineRule="exact"/>
              <w:jc w:val="center"/>
              <w:rPr>
                <w:rFonts w:hint="eastAsia" w:ascii="宋体" w:hAnsi="宋体" w:eastAsia="宋体" w:cs="宋体"/>
                <w:sz w:val="21"/>
                <w:szCs w:val="21"/>
              </w:rPr>
            </w:pPr>
          </w:p>
        </w:tc>
        <w:tc>
          <w:tcPr>
            <w:tcW w:w="407" w:type="pct"/>
            <w:vMerge w:val="restart"/>
            <w:noWrap w:val="0"/>
            <w:vAlign w:val="center"/>
          </w:tcPr>
          <w:p w14:paraId="7A7920B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叶菜类蔬菜</w:t>
            </w:r>
          </w:p>
        </w:tc>
        <w:tc>
          <w:tcPr>
            <w:tcW w:w="464" w:type="pct"/>
            <w:noWrap w:val="0"/>
            <w:vAlign w:val="center"/>
          </w:tcPr>
          <w:p w14:paraId="34F2E90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菠菜</w:t>
            </w:r>
          </w:p>
        </w:tc>
        <w:tc>
          <w:tcPr>
            <w:tcW w:w="224" w:type="pct"/>
            <w:noWrap w:val="0"/>
            <w:vAlign w:val="center"/>
          </w:tcPr>
          <w:p w14:paraId="0150DB0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CB5323E">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铅（以Pb计）、镉（以Cd计）、铬（以Cr计）、阿维菌素、毒死蜱、氟虫腈、腐霉利、甲拌磷、克百威、氯氟氰菊酯和高效氯氟氰菊酯、氧乐果</w:t>
            </w:r>
          </w:p>
        </w:tc>
      </w:tr>
      <w:tr w14:paraId="7EFC3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230" w:type="pct"/>
            <w:vMerge w:val="continue"/>
            <w:noWrap w:val="0"/>
            <w:vAlign w:val="center"/>
          </w:tcPr>
          <w:p w14:paraId="0B7B2A42">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8360148">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DA1666F">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3A98C31">
            <w:pPr>
              <w:widowControl/>
              <w:spacing w:line="230" w:lineRule="exact"/>
              <w:jc w:val="center"/>
              <w:rPr>
                <w:rFonts w:hint="eastAsia" w:ascii="宋体" w:hAnsi="宋体" w:eastAsia="宋体" w:cs="宋体"/>
                <w:sz w:val="21"/>
                <w:szCs w:val="21"/>
              </w:rPr>
            </w:pPr>
          </w:p>
        </w:tc>
        <w:tc>
          <w:tcPr>
            <w:tcW w:w="464" w:type="pct"/>
            <w:noWrap w:val="0"/>
            <w:vAlign w:val="center"/>
          </w:tcPr>
          <w:p w14:paraId="0A108E0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大白菜</w:t>
            </w:r>
          </w:p>
        </w:tc>
        <w:tc>
          <w:tcPr>
            <w:tcW w:w="224" w:type="pct"/>
            <w:noWrap w:val="0"/>
            <w:vAlign w:val="center"/>
          </w:tcPr>
          <w:p w14:paraId="56ED9D9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AEDA4F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镉（以Cd计）、阿维菌素、吡虫啉、毒死蜱、氟虫腈、甲拌磷、克百威、乐果、氯氟氰菊酯和高效氯氟氰菊酯、氧乐果、乙酰甲胺磷</w:t>
            </w:r>
          </w:p>
        </w:tc>
      </w:tr>
      <w:tr w14:paraId="4291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7328ECC">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34D04B8">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5253F87">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29823D39">
            <w:pPr>
              <w:widowControl/>
              <w:spacing w:line="230" w:lineRule="exact"/>
              <w:jc w:val="center"/>
              <w:rPr>
                <w:rFonts w:hint="eastAsia" w:ascii="宋体" w:hAnsi="宋体" w:eastAsia="宋体" w:cs="宋体"/>
                <w:sz w:val="21"/>
                <w:szCs w:val="21"/>
              </w:rPr>
            </w:pPr>
          </w:p>
        </w:tc>
        <w:tc>
          <w:tcPr>
            <w:tcW w:w="464" w:type="pct"/>
            <w:noWrap w:val="0"/>
            <w:vAlign w:val="center"/>
          </w:tcPr>
          <w:p w14:paraId="5F5D470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普通白菜（小白菜、小油菜、青菜）</w:t>
            </w:r>
          </w:p>
        </w:tc>
        <w:tc>
          <w:tcPr>
            <w:tcW w:w="224" w:type="pct"/>
            <w:noWrap w:val="0"/>
            <w:vAlign w:val="center"/>
          </w:tcPr>
          <w:p w14:paraId="343A4C8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BD7504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阿维菌素、吡虫啉、敌敌畏、啶虫脒、毒死蜱、氟虫腈、氟氯氰菊酯和高效氟氯氰菊酯、甲氨基阿维菌素苯甲酸盐、甲拌磷、甲基异柳磷、克百威、氯氟氰菊酯和高效氯氟氰菊酯、氯氰菊酯和高效氯氰菊酯、噻虫胺、氧乐果、乙酰甲胺磷</w:t>
            </w:r>
          </w:p>
        </w:tc>
      </w:tr>
      <w:tr w14:paraId="2CBA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3C86BF29">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45606E54">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34919B1A">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3D070550">
            <w:pPr>
              <w:widowControl/>
              <w:spacing w:line="230" w:lineRule="exact"/>
              <w:jc w:val="center"/>
              <w:textAlignment w:val="center"/>
              <w:rPr>
                <w:rFonts w:hint="eastAsia" w:ascii="宋体" w:hAnsi="宋体" w:eastAsia="宋体" w:cs="宋体"/>
                <w:sz w:val="21"/>
                <w:szCs w:val="21"/>
              </w:rPr>
            </w:pPr>
          </w:p>
        </w:tc>
        <w:tc>
          <w:tcPr>
            <w:tcW w:w="464" w:type="pct"/>
            <w:noWrap w:val="0"/>
            <w:vAlign w:val="center"/>
          </w:tcPr>
          <w:p w14:paraId="307DEBB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芹菜</w:t>
            </w:r>
          </w:p>
        </w:tc>
        <w:tc>
          <w:tcPr>
            <w:tcW w:w="224" w:type="pct"/>
            <w:noWrap w:val="0"/>
            <w:vAlign w:val="center"/>
          </w:tcPr>
          <w:p w14:paraId="473A3B8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EECEEB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p>
        </w:tc>
      </w:tr>
      <w:tr w14:paraId="1B018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230" w:type="pct"/>
            <w:vMerge w:val="continue"/>
            <w:noWrap w:val="0"/>
            <w:vAlign w:val="center"/>
          </w:tcPr>
          <w:p w14:paraId="2D5DB2F7">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0E5220B">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7F60109">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06B83E4">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0CC99C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油麦菜</w:t>
            </w:r>
          </w:p>
        </w:tc>
        <w:tc>
          <w:tcPr>
            <w:tcW w:w="224" w:type="pct"/>
            <w:noWrap w:val="0"/>
            <w:vAlign w:val="center"/>
          </w:tcPr>
          <w:p w14:paraId="693F2C8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B3ACBF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阿维菌素、吡虫啉、啶虫脒、毒死蜱、氟虫腈、甲氨基阿维菌素苯甲酸盐、甲拌磷、腈菌唑、氯氟氰菊酯和高效氯氟氰菊酯、灭多威、噻虫嗪、氧乐果、乙酰甲胺磷</w:t>
            </w:r>
          </w:p>
        </w:tc>
      </w:tr>
      <w:tr w14:paraId="073E9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3" w:hRule="atLeast"/>
          <w:jc w:val="center"/>
        </w:trPr>
        <w:tc>
          <w:tcPr>
            <w:tcW w:w="230" w:type="pct"/>
            <w:vMerge w:val="continue"/>
            <w:noWrap w:val="0"/>
            <w:vAlign w:val="center"/>
          </w:tcPr>
          <w:p w14:paraId="2C932DB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E6E004B">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0A83423">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EE3A2DB">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46108E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蕹菜</w:t>
            </w:r>
          </w:p>
        </w:tc>
        <w:tc>
          <w:tcPr>
            <w:tcW w:w="224" w:type="pct"/>
            <w:noWrap w:val="0"/>
            <w:vAlign w:val="center"/>
          </w:tcPr>
          <w:p w14:paraId="46B79FB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3FF55527">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sz w:val="21"/>
                <w:szCs w:val="21"/>
              </w:rPr>
              <w:t>镉（以Cd计）、氧乐果、敌敌畏、甲拌磷、水胺硫磷、氟虫腈</w:t>
            </w:r>
          </w:p>
        </w:tc>
      </w:tr>
      <w:tr w14:paraId="58633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530297A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016AE2F">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D3FD391">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53FE062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茄果类蔬菜</w:t>
            </w:r>
          </w:p>
        </w:tc>
        <w:tc>
          <w:tcPr>
            <w:tcW w:w="464" w:type="pct"/>
            <w:noWrap w:val="0"/>
            <w:vAlign w:val="center"/>
          </w:tcPr>
          <w:p w14:paraId="49C0B7C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辣椒</w:t>
            </w:r>
          </w:p>
        </w:tc>
        <w:tc>
          <w:tcPr>
            <w:tcW w:w="224" w:type="pct"/>
            <w:noWrap w:val="0"/>
            <w:vAlign w:val="center"/>
          </w:tcPr>
          <w:p w14:paraId="4A99A46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7E3F42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镉（以Cd计）、倍硫磷、吡虫啉、吡唑醚菌酯、丙溴磷、敌敌畏、啶虫脒、毒死蜱、呋虫胺、氟吡菌胺、氟虫腈、甲氨基阿维菌素苯甲酸盐、甲胺磷、甲拌磷、克百威、乐果、联苯菊酯、氯氟氰菊酯和高效氯氟氰菊酯、噻虫胺、噻虫嗪、三唑磷、杀扑磷、水胺硫磷、氧乐果、乙酰甲胺磷</w:t>
            </w:r>
          </w:p>
        </w:tc>
      </w:tr>
      <w:tr w14:paraId="273D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4" w:hRule="atLeast"/>
          <w:jc w:val="center"/>
        </w:trPr>
        <w:tc>
          <w:tcPr>
            <w:tcW w:w="230" w:type="pct"/>
            <w:vMerge w:val="restart"/>
            <w:noWrap w:val="0"/>
            <w:vAlign w:val="center"/>
          </w:tcPr>
          <w:p w14:paraId="0D1CF73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34</w:t>
            </w:r>
          </w:p>
        </w:tc>
        <w:tc>
          <w:tcPr>
            <w:tcW w:w="378" w:type="pct"/>
            <w:vMerge w:val="restart"/>
            <w:noWrap w:val="0"/>
            <w:vAlign w:val="center"/>
          </w:tcPr>
          <w:p w14:paraId="6F79D94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蔬菜</w:t>
            </w:r>
          </w:p>
        </w:tc>
        <w:tc>
          <w:tcPr>
            <w:tcW w:w="413" w:type="pct"/>
            <w:vMerge w:val="restart"/>
            <w:noWrap w:val="0"/>
            <w:vAlign w:val="center"/>
          </w:tcPr>
          <w:p w14:paraId="3C7B2AD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蔬菜</w:t>
            </w:r>
          </w:p>
        </w:tc>
        <w:tc>
          <w:tcPr>
            <w:tcW w:w="407" w:type="pct"/>
            <w:vMerge w:val="restart"/>
            <w:noWrap w:val="0"/>
            <w:vAlign w:val="center"/>
          </w:tcPr>
          <w:p w14:paraId="1C66D34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茄果类蔬菜</w:t>
            </w:r>
          </w:p>
        </w:tc>
        <w:tc>
          <w:tcPr>
            <w:tcW w:w="464" w:type="pct"/>
            <w:noWrap w:val="0"/>
            <w:vAlign w:val="center"/>
          </w:tcPr>
          <w:p w14:paraId="53B08EE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茄子</w:t>
            </w:r>
          </w:p>
        </w:tc>
        <w:tc>
          <w:tcPr>
            <w:tcW w:w="224" w:type="pct"/>
            <w:noWrap w:val="0"/>
            <w:vAlign w:val="center"/>
          </w:tcPr>
          <w:p w14:paraId="5200A94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653E098A">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铅（以Pb计）、镉（以Cd计）、吡唑醚菌酯、毒死蜱、甲氨基阿维菌素苯甲酸盐、甲胺磷、甲拌磷、克百威、噻虫胺、噻虫嗪、霜霉威和霜霉威盐酸盐、水胺硫磷、氧乐果、乙酰甲胺磷</w:t>
            </w:r>
          </w:p>
        </w:tc>
      </w:tr>
      <w:tr w14:paraId="54DDF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230" w:type="pct"/>
            <w:vMerge w:val="continue"/>
            <w:noWrap w:val="0"/>
            <w:vAlign w:val="center"/>
          </w:tcPr>
          <w:p w14:paraId="1299DE69">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C25307A">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07327C4">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15F53AF5">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9F78AC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甜椒</w:t>
            </w:r>
          </w:p>
        </w:tc>
        <w:tc>
          <w:tcPr>
            <w:tcW w:w="224" w:type="pct"/>
            <w:noWrap w:val="0"/>
            <w:vAlign w:val="center"/>
          </w:tcPr>
          <w:p w14:paraId="0E25F51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1834545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镉（以Cd计）、阿维菌素、倍硫磷、吡虫啉、吡唑醚菌酯、毒死蜱、氟啶虫酰胺、噻虫胺、噻虫嗪、氧乐果</w:t>
            </w:r>
          </w:p>
        </w:tc>
      </w:tr>
      <w:tr w14:paraId="1B99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230" w:type="pct"/>
            <w:vMerge w:val="continue"/>
            <w:noWrap w:val="0"/>
            <w:vAlign w:val="center"/>
          </w:tcPr>
          <w:p w14:paraId="1AEB5DC0">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E2B48DA">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E9C16A3">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2B1E82D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spacing w:val="-2"/>
                <w:sz w:val="21"/>
                <w:szCs w:val="21"/>
              </w:rPr>
              <w:t>瓜类蔬菜</w:t>
            </w:r>
          </w:p>
        </w:tc>
        <w:tc>
          <w:tcPr>
            <w:tcW w:w="464" w:type="pct"/>
            <w:noWrap w:val="0"/>
            <w:vAlign w:val="center"/>
          </w:tcPr>
          <w:p w14:paraId="46B9062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黄瓜</w:t>
            </w:r>
          </w:p>
        </w:tc>
        <w:tc>
          <w:tcPr>
            <w:tcW w:w="224" w:type="pct"/>
            <w:noWrap w:val="0"/>
            <w:vAlign w:val="center"/>
          </w:tcPr>
          <w:p w14:paraId="1EA5DDE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AC292D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阿维菌素、哒螨灵、敌敌畏、毒死蜱、腐霉利、甲氨基阿维菌素苯甲酸盐、甲拌磷、克百威、乐果、噻虫嗪、氧乐果、乙螨唑、乙酰甲胺磷、异丙威</w:t>
            </w:r>
          </w:p>
        </w:tc>
      </w:tr>
      <w:tr w14:paraId="243D8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0" w:hRule="atLeast"/>
          <w:jc w:val="center"/>
        </w:trPr>
        <w:tc>
          <w:tcPr>
            <w:tcW w:w="230" w:type="pct"/>
            <w:vMerge w:val="continue"/>
            <w:noWrap w:val="0"/>
            <w:vAlign w:val="center"/>
          </w:tcPr>
          <w:p w14:paraId="618DC523">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37199E1">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2F151B1">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6018A99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豆类蔬菜</w:t>
            </w:r>
          </w:p>
        </w:tc>
        <w:tc>
          <w:tcPr>
            <w:tcW w:w="464" w:type="pct"/>
            <w:noWrap w:val="0"/>
            <w:vAlign w:val="center"/>
          </w:tcPr>
          <w:p w14:paraId="4A131E9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菜豆</w:t>
            </w:r>
          </w:p>
        </w:tc>
        <w:tc>
          <w:tcPr>
            <w:tcW w:w="224" w:type="pct"/>
            <w:noWrap w:val="0"/>
            <w:vAlign w:val="center"/>
          </w:tcPr>
          <w:p w14:paraId="4225C80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C532A5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倍硫磷、吡虫啉、毒死蜱、多菌灵、甲氨基阿维菌素苯甲酸盐、甲胺磷、克百威、氯氟氰菊酯和高效氯氟氰菊酯、灭蝇胺、噻虫胺、水胺硫磷、氧乐果、乙酰甲胺磷</w:t>
            </w:r>
          </w:p>
        </w:tc>
      </w:tr>
      <w:tr w14:paraId="0719B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0" w:hRule="atLeast"/>
          <w:jc w:val="center"/>
        </w:trPr>
        <w:tc>
          <w:tcPr>
            <w:tcW w:w="230" w:type="pct"/>
            <w:vMerge w:val="continue"/>
            <w:noWrap w:val="0"/>
            <w:vAlign w:val="center"/>
          </w:tcPr>
          <w:p w14:paraId="7B35B0BC">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BE794AA">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20C5342">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3A44DB4">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CA9260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豇豆</w:t>
            </w:r>
          </w:p>
        </w:tc>
        <w:tc>
          <w:tcPr>
            <w:tcW w:w="224" w:type="pct"/>
            <w:noWrap w:val="0"/>
            <w:vAlign w:val="center"/>
          </w:tcPr>
          <w:p w14:paraId="2B615E6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4B79FF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阿维菌素、倍硫磷、啶虫脒、毒死蜱、氟虫腈、甲氨基阿维菌素苯甲酸盐、甲胺磷、甲拌磷、甲基异柳磷、克百威、乐果、氯氟氰菊酯和高效氯氟氰菊酯、灭蝇胺、噻虫胺、噻虫嗪、三唑磷、水胺硫磷、氧乐果、乙酰甲胺磷</w:t>
            </w:r>
          </w:p>
        </w:tc>
      </w:tr>
      <w:tr w14:paraId="09D6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0" w:hRule="atLeast"/>
          <w:jc w:val="center"/>
        </w:trPr>
        <w:tc>
          <w:tcPr>
            <w:tcW w:w="230" w:type="pct"/>
            <w:vMerge w:val="continue"/>
            <w:noWrap w:val="0"/>
            <w:vAlign w:val="center"/>
          </w:tcPr>
          <w:p w14:paraId="22EFD2E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825B778">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70F9FC4">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574B8591">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02B7FE3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食荚豌豆</w:t>
            </w:r>
          </w:p>
        </w:tc>
        <w:tc>
          <w:tcPr>
            <w:tcW w:w="224" w:type="pct"/>
            <w:noWrap w:val="0"/>
            <w:vAlign w:val="center"/>
          </w:tcPr>
          <w:p w14:paraId="33B0DB8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4C9C748A">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苯醚甲环唑、吡唑醚菌酯、毒死蜱、多菌灵、甲氨基阿维菌素苯甲酸盐、甲胺磷、灭蝇胺、噻虫胺、噻虫嗪、烯酰吗啉、氧乐果、乙酰甲胺磷</w:t>
            </w:r>
          </w:p>
        </w:tc>
      </w:tr>
      <w:tr w14:paraId="16CDE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jc w:val="center"/>
        </w:trPr>
        <w:tc>
          <w:tcPr>
            <w:tcW w:w="230" w:type="pct"/>
            <w:vMerge w:val="continue"/>
            <w:noWrap w:val="0"/>
            <w:vAlign w:val="center"/>
          </w:tcPr>
          <w:p w14:paraId="739D6022">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661F61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E5F8DCD">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1E1A7A4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根茎类和薯芋类蔬菜</w:t>
            </w:r>
          </w:p>
        </w:tc>
        <w:tc>
          <w:tcPr>
            <w:tcW w:w="464" w:type="pct"/>
            <w:noWrap w:val="0"/>
            <w:vAlign w:val="center"/>
          </w:tcPr>
          <w:p w14:paraId="52ED549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甘薯</w:t>
            </w:r>
          </w:p>
        </w:tc>
        <w:tc>
          <w:tcPr>
            <w:tcW w:w="224" w:type="pct"/>
            <w:noWrap w:val="0"/>
            <w:vAlign w:val="center"/>
          </w:tcPr>
          <w:p w14:paraId="0747355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4FAF19F7">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铅（以Pb计）、苯醚甲环唑、毒死蜱、氟虫腈、甲拌磷、联苯菊酯、氯氟氰菊酯和高效氯氟氰菊酯、氯氰菊酯和高效氯氰菊酯、噻虫嗪、杀扑磷</w:t>
            </w:r>
          </w:p>
        </w:tc>
      </w:tr>
      <w:tr w14:paraId="16B00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78C188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E97A2C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4DB86D3">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4815F7D">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5DB87B8">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胡萝卜</w:t>
            </w:r>
          </w:p>
        </w:tc>
        <w:tc>
          <w:tcPr>
            <w:tcW w:w="224" w:type="pct"/>
            <w:noWrap w:val="0"/>
            <w:vAlign w:val="center"/>
          </w:tcPr>
          <w:p w14:paraId="1F444C1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29F5ABA0">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铅（以Pb计）、毒死蜱、氟虫腈、甲拌磷、腈菌唑、乐果、氯氟氰菊酯和高效氯氟氰菊酯、噻虫胺、噻虫嗪、辛硫磷</w:t>
            </w:r>
          </w:p>
        </w:tc>
      </w:tr>
      <w:tr w14:paraId="317BF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230" w:type="pct"/>
            <w:vMerge w:val="continue"/>
            <w:noWrap w:val="0"/>
            <w:vAlign w:val="center"/>
          </w:tcPr>
          <w:p w14:paraId="26AC35D6">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639D1A0">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040D4A7">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7D60157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42904C8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姜</w:t>
            </w:r>
          </w:p>
        </w:tc>
        <w:tc>
          <w:tcPr>
            <w:tcW w:w="224" w:type="pct"/>
            <w:noWrap w:val="0"/>
            <w:vAlign w:val="center"/>
          </w:tcPr>
          <w:p w14:paraId="265AA20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27E15CD5">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镉（以Cd计）、吡虫啉、吡唑醚菌酯、敌敌畏、毒死蜱、甲拌磷、克百威、六六六、氯氟氰菊酯和高效氯氟氰菊酯、氯氰菊酯和高效氯氰菊酯、氯唑磷、咪鲜胺和咪鲜胺锰盐、噻虫胺、噻虫嗪、二氧化硫残留量</w:t>
            </w:r>
          </w:p>
        </w:tc>
      </w:tr>
      <w:tr w14:paraId="28140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2BBBBA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8E66B2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9FBF364">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1CFD6218">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564F4ED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萝卜</w:t>
            </w:r>
          </w:p>
        </w:tc>
        <w:tc>
          <w:tcPr>
            <w:tcW w:w="224" w:type="pct"/>
            <w:noWrap w:val="0"/>
            <w:vAlign w:val="center"/>
          </w:tcPr>
          <w:p w14:paraId="63D77BE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58398D85">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铅（以Pb计）、毒死蜱、甲胺磷、甲拌磷、氯氟氰菊酯和高效氯氟氰菊酯、噻虫胺、噻虫嗪、氧乐果</w:t>
            </w:r>
          </w:p>
        </w:tc>
      </w:tr>
      <w:tr w14:paraId="248CD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3E8B000">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EFA035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0981DD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0233F166">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C472DB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马铃薯</w:t>
            </w:r>
          </w:p>
        </w:tc>
        <w:tc>
          <w:tcPr>
            <w:tcW w:w="224" w:type="pct"/>
            <w:noWrap w:val="0"/>
            <w:vAlign w:val="center"/>
          </w:tcPr>
          <w:p w14:paraId="702C847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44C5B582">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铅（以Pb计）、镉（以Cd计）、毒死蜱、甲拌磷、氯氟氰菊酯和高效氯氟氰菊酯、氯氰菊酯和高效氯氰菊酯、噻虫嗪、乙酰甲胺磷、二氧化硫残留量</w:t>
            </w:r>
          </w:p>
        </w:tc>
      </w:tr>
      <w:tr w14:paraId="3DB07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69519C3B">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695017E">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1991415">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F64D4F0">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D6B72F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山药</w:t>
            </w:r>
          </w:p>
        </w:tc>
        <w:tc>
          <w:tcPr>
            <w:tcW w:w="224" w:type="pct"/>
            <w:noWrap w:val="0"/>
            <w:vAlign w:val="center"/>
          </w:tcPr>
          <w:p w14:paraId="3BFEB27D">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2A92A98C">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铅（以Pb计）、毒死蜱、氯氟氰菊酯和高效氯氟氰菊酯、咪鲜胺和咪鲜胺锰盐、涕灭威</w:t>
            </w:r>
          </w:p>
        </w:tc>
      </w:tr>
      <w:tr w14:paraId="20DD1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161DF63D">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E9E46FE">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1998857">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748C340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去皮蔬菜</w:t>
            </w:r>
          </w:p>
        </w:tc>
        <w:tc>
          <w:tcPr>
            <w:tcW w:w="464" w:type="pct"/>
            <w:noWrap w:val="0"/>
            <w:vAlign w:val="center"/>
          </w:tcPr>
          <w:p w14:paraId="1C5796E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去皮蔬菜</w:t>
            </w:r>
          </w:p>
        </w:tc>
        <w:tc>
          <w:tcPr>
            <w:tcW w:w="224" w:type="pct"/>
            <w:noWrap w:val="0"/>
            <w:vAlign w:val="center"/>
          </w:tcPr>
          <w:p w14:paraId="599CE73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190B8768">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苯甲酸及其钠盐（以苯甲酸计）、山梨酸及其钾盐（以山梨酸计）、脱氢乙酸及其钠盐（以脱氢乙酸计）、二氧化硫残留量、合成着色剂（柠檬黄、日落黄、胭脂红、苋菜红、亮蓝、诱惑红）</w:t>
            </w:r>
          </w:p>
        </w:tc>
      </w:tr>
      <w:tr w14:paraId="2188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2E5ED5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78F3A18">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172E75E">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420637A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水生类蔬菜</w:t>
            </w:r>
          </w:p>
        </w:tc>
        <w:tc>
          <w:tcPr>
            <w:tcW w:w="464" w:type="pct"/>
            <w:noWrap w:val="0"/>
            <w:vAlign w:val="center"/>
          </w:tcPr>
          <w:p w14:paraId="54E76EE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荸荠</w:t>
            </w:r>
          </w:p>
        </w:tc>
        <w:tc>
          <w:tcPr>
            <w:tcW w:w="224" w:type="pct"/>
            <w:noWrap w:val="0"/>
            <w:vAlign w:val="center"/>
          </w:tcPr>
          <w:p w14:paraId="5DB9694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751CBE1A">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sz w:val="21"/>
                <w:szCs w:val="21"/>
              </w:rPr>
              <w:t>铅（以Pb计）、镉（以Cd计）、</w:t>
            </w:r>
            <w:r>
              <w:rPr>
                <w:rFonts w:hint="eastAsia" w:ascii="宋体" w:hAnsi="宋体" w:eastAsia="宋体" w:cs="宋体"/>
                <w:kern w:val="0"/>
                <w:sz w:val="21"/>
                <w:szCs w:val="21"/>
                <w:lang w:bidi="ar"/>
              </w:rPr>
              <w:t>总汞（以Hg计）、总砷（以As计）、铬（以Cr计）</w:t>
            </w:r>
            <w:r>
              <w:rPr>
                <w:rFonts w:hint="eastAsia" w:ascii="宋体" w:hAnsi="宋体" w:eastAsia="宋体" w:cs="宋体"/>
                <w:sz w:val="21"/>
                <w:szCs w:val="21"/>
              </w:rPr>
              <w:t>、丙环唑</w:t>
            </w:r>
          </w:p>
        </w:tc>
      </w:tr>
      <w:tr w14:paraId="244C4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6AD95E6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34</w:t>
            </w:r>
          </w:p>
        </w:tc>
        <w:tc>
          <w:tcPr>
            <w:tcW w:w="378" w:type="pct"/>
            <w:vMerge w:val="restart"/>
            <w:noWrap w:val="0"/>
            <w:vAlign w:val="center"/>
          </w:tcPr>
          <w:p w14:paraId="00BF35A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蔬菜</w:t>
            </w:r>
          </w:p>
        </w:tc>
        <w:tc>
          <w:tcPr>
            <w:tcW w:w="413" w:type="pct"/>
            <w:vMerge w:val="restart"/>
            <w:noWrap w:val="0"/>
            <w:vAlign w:val="center"/>
          </w:tcPr>
          <w:p w14:paraId="02353EA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蔬菜</w:t>
            </w:r>
          </w:p>
        </w:tc>
        <w:tc>
          <w:tcPr>
            <w:tcW w:w="407" w:type="pct"/>
            <w:noWrap w:val="0"/>
            <w:vAlign w:val="center"/>
          </w:tcPr>
          <w:p w14:paraId="1DD04F7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水生类蔬菜</w:t>
            </w:r>
          </w:p>
        </w:tc>
        <w:tc>
          <w:tcPr>
            <w:tcW w:w="464" w:type="pct"/>
            <w:noWrap w:val="0"/>
            <w:vAlign w:val="center"/>
          </w:tcPr>
          <w:p w14:paraId="1FE39D1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慈姑</w:t>
            </w:r>
          </w:p>
        </w:tc>
        <w:tc>
          <w:tcPr>
            <w:tcW w:w="224" w:type="pct"/>
            <w:noWrap w:val="0"/>
            <w:vAlign w:val="center"/>
          </w:tcPr>
          <w:p w14:paraId="36F338C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09E7220C">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sz w:val="21"/>
                <w:szCs w:val="21"/>
              </w:rPr>
              <w:t>铅（以Pb计）、镉（以Cd计）、</w:t>
            </w:r>
            <w:r>
              <w:rPr>
                <w:rFonts w:hint="eastAsia" w:ascii="宋体" w:hAnsi="宋体" w:eastAsia="宋体" w:cs="宋体"/>
                <w:kern w:val="0"/>
                <w:sz w:val="21"/>
                <w:szCs w:val="21"/>
                <w:lang w:bidi="ar"/>
              </w:rPr>
              <w:t>总汞（以Hg计）、总砷（以As计）、铬（以Cr计）</w:t>
            </w:r>
            <w:r>
              <w:rPr>
                <w:rFonts w:hint="eastAsia" w:ascii="宋体" w:hAnsi="宋体" w:eastAsia="宋体" w:cs="宋体"/>
                <w:sz w:val="21"/>
                <w:szCs w:val="21"/>
              </w:rPr>
              <w:t>、乐果、毒死蜱、敌敌畏、丙环唑</w:t>
            </w:r>
          </w:p>
        </w:tc>
      </w:tr>
      <w:tr w14:paraId="28037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230" w:type="pct"/>
            <w:vMerge w:val="continue"/>
            <w:noWrap w:val="0"/>
            <w:vAlign w:val="center"/>
          </w:tcPr>
          <w:p w14:paraId="43894E1C">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2B18A5D">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10DAFD9">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7DBB07F4">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其他类蔬菜</w:t>
            </w:r>
          </w:p>
        </w:tc>
        <w:tc>
          <w:tcPr>
            <w:tcW w:w="464" w:type="pct"/>
            <w:noWrap w:val="0"/>
            <w:vAlign w:val="center"/>
          </w:tcPr>
          <w:p w14:paraId="42DC3FB2">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藜蒿</w:t>
            </w:r>
          </w:p>
        </w:tc>
        <w:tc>
          <w:tcPr>
            <w:tcW w:w="224" w:type="pct"/>
            <w:noWrap w:val="0"/>
            <w:vAlign w:val="center"/>
          </w:tcPr>
          <w:p w14:paraId="47AA57D8">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46709308">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铅（以Pb计）、镉（以Cd计）、总汞（以Hg计）、总砷（以As计）、铬（以Cr计）</w:t>
            </w:r>
          </w:p>
        </w:tc>
      </w:tr>
      <w:tr w14:paraId="0C05B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230" w:type="pct"/>
            <w:vMerge w:val="continue"/>
            <w:noWrap w:val="0"/>
            <w:vAlign w:val="center"/>
          </w:tcPr>
          <w:p w14:paraId="53739BA9">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2C01F69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BAE5883">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5873F31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01E388A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竹笋</w:t>
            </w:r>
          </w:p>
        </w:tc>
        <w:tc>
          <w:tcPr>
            <w:tcW w:w="224" w:type="pct"/>
            <w:noWrap w:val="0"/>
            <w:vAlign w:val="center"/>
          </w:tcPr>
          <w:p w14:paraId="183CCA4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0360EC10">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sz w:val="21"/>
                <w:szCs w:val="21"/>
              </w:rPr>
              <w:t>铅（以Pb计）、镉（以Cd计）、总汞（以Hg计）、总砷</w:t>
            </w:r>
            <w:r>
              <w:rPr>
                <w:rFonts w:hint="eastAsia" w:ascii="宋体" w:hAnsi="宋体" w:eastAsia="宋体" w:cs="宋体"/>
                <w:kern w:val="0"/>
                <w:sz w:val="21"/>
                <w:szCs w:val="21"/>
                <w:lang w:bidi="ar"/>
              </w:rPr>
              <w:t>（以As计）</w:t>
            </w:r>
            <w:r>
              <w:rPr>
                <w:rFonts w:hint="eastAsia" w:ascii="宋体" w:hAnsi="宋体" w:eastAsia="宋体" w:cs="宋体"/>
                <w:sz w:val="21"/>
                <w:szCs w:val="21"/>
              </w:rPr>
              <w:t>、铬（以Cr计）</w:t>
            </w:r>
          </w:p>
        </w:tc>
      </w:tr>
      <w:tr w14:paraId="67E0C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 w:hRule="atLeast"/>
          <w:jc w:val="center"/>
        </w:trPr>
        <w:tc>
          <w:tcPr>
            <w:tcW w:w="230" w:type="pct"/>
            <w:vMerge w:val="restart"/>
            <w:noWrap w:val="0"/>
            <w:vAlign w:val="center"/>
          </w:tcPr>
          <w:p w14:paraId="7613424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35</w:t>
            </w:r>
          </w:p>
        </w:tc>
        <w:tc>
          <w:tcPr>
            <w:tcW w:w="378" w:type="pct"/>
            <w:vMerge w:val="restart"/>
            <w:noWrap w:val="0"/>
            <w:vAlign w:val="center"/>
          </w:tcPr>
          <w:p w14:paraId="6049D83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水产品</w:t>
            </w:r>
          </w:p>
        </w:tc>
        <w:tc>
          <w:tcPr>
            <w:tcW w:w="413" w:type="pct"/>
            <w:vMerge w:val="restart"/>
            <w:noWrap w:val="0"/>
            <w:vAlign w:val="center"/>
          </w:tcPr>
          <w:p w14:paraId="4E8EB6E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水产品</w:t>
            </w:r>
          </w:p>
        </w:tc>
        <w:tc>
          <w:tcPr>
            <w:tcW w:w="407" w:type="pct"/>
            <w:vMerge w:val="restart"/>
            <w:noWrap w:val="0"/>
            <w:vAlign w:val="center"/>
          </w:tcPr>
          <w:p w14:paraId="7C791D1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淡水产品</w:t>
            </w:r>
          </w:p>
        </w:tc>
        <w:tc>
          <w:tcPr>
            <w:tcW w:w="464" w:type="pct"/>
            <w:noWrap w:val="0"/>
            <w:vAlign w:val="center"/>
          </w:tcPr>
          <w:p w14:paraId="62EF1AF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淡水鱼</w:t>
            </w:r>
          </w:p>
        </w:tc>
        <w:tc>
          <w:tcPr>
            <w:tcW w:w="224" w:type="pct"/>
            <w:noWrap w:val="0"/>
            <w:vAlign w:val="center"/>
          </w:tcPr>
          <w:p w14:paraId="547AF20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3AAE66A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挥发性盐基氮、镉（以Cd计）、孔雀石绿、氯霉素、呋喃唑酮代谢物、呋喃西林代谢物、呋喃妥因代谢物、五氯酚酸钠（以五氯酚计）、恩诺沙星、沙拉沙星、磺胺类（总量）、甲氧苄啶、氟苯尼考、甲硝唑、地西泮、氧氟沙星、培氟沙星、诺氟沙星</w:t>
            </w:r>
          </w:p>
        </w:tc>
      </w:tr>
      <w:tr w14:paraId="571B4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9CC8B88">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D1B05CB">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5DA36EC1">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28958F35">
            <w:pPr>
              <w:widowControl/>
              <w:spacing w:line="230" w:lineRule="exact"/>
              <w:jc w:val="center"/>
              <w:rPr>
                <w:rFonts w:hint="eastAsia" w:ascii="宋体" w:hAnsi="宋体" w:eastAsia="宋体" w:cs="宋体"/>
                <w:sz w:val="21"/>
                <w:szCs w:val="21"/>
              </w:rPr>
            </w:pPr>
          </w:p>
        </w:tc>
        <w:tc>
          <w:tcPr>
            <w:tcW w:w="464" w:type="pct"/>
            <w:noWrap w:val="0"/>
            <w:vAlign w:val="center"/>
          </w:tcPr>
          <w:p w14:paraId="0D4C9B2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淡水虾</w:t>
            </w:r>
          </w:p>
        </w:tc>
        <w:tc>
          <w:tcPr>
            <w:tcW w:w="224" w:type="pct"/>
            <w:noWrap w:val="0"/>
            <w:vAlign w:val="center"/>
          </w:tcPr>
          <w:p w14:paraId="18B3588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137AE85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镉（以Cd计）、孔雀石绿、氯霉素、呋喃唑酮代谢物、呋喃妥因代谢物、五氯酚酸钠（以五氯酚计）、恩诺沙星、磺胺类（总量）、土霉素/金霉素/四环素（组合含量）、氧氟沙星、诺氟沙星</w:t>
            </w:r>
          </w:p>
        </w:tc>
      </w:tr>
      <w:tr w14:paraId="6B283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6" w:hRule="atLeast"/>
          <w:jc w:val="center"/>
        </w:trPr>
        <w:tc>
          <w:tcPr>
            <w:tcW w:w="230" w:type="pct"/>
            <w:vMerge w:val="continue"/>
            <w:noWrap w:val="0"/>
            <w:vAlign w:val="center"/>
          </w:tcPr>
          <w:p w14:paraId="09B7B9F3">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EEFFD37">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B5B060A">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72872ACF">
            <w:pPr>
              <w:widowControl/>
              <w:spacing w:line="230" w:lineRule="exact"/>
              <w:jc w:val="center"/>
              <w:rPr>
                <w:rFonts w:hint="eastAsia" w:ascii="宋体" w:hAnsi="宋体" w:eastAsia="宋体" w:cs="宋体"/>
                <w:sz w:val="21"/>
                <w:szCs w:val="21"/>
              </w:rPr>
            </w:pPr>
          </w:p>
        </w:tc>
        <w:tc>
          <w:tcPr>
            <w:tcW w:w="464" w:type="pct"/>
            <w:noWrap w:val="0"/>
            <w:vAlign w:val="center"/>
          </w:tcPr>
          <w:p w14:paraId="7A2F839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淡水蟹</w:t>
            </w:r>
          </w:p>
        </w:tc>
        <w:tc>
          <w:tcPr>
            <w:tcW w:w="224" w:type="pct"/>
            <w:noWrap w:val="0"/>
            <w:vAlign w:val="center"/>
          </w:tcPr>
          <w:p w14:paraId="1DAA4EF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F1B4F6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镉（以Cd计）、五氯酚酸钠（以五氯酚计）、呋喃唑酮代谢物</w:t>
            </w:r>
          </w:p>
        </w:tc>
      </w:tr>
      <w:tr w14:paraId="5C08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C5342B2">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569839B7">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2D4CCC35">
            <w:pPr>
              <w:widowControl/>
              <w:spacing w:line="230" w:lineRule="exact"/>
              <w:jc w:val="center"/>
              <w:textAlignment w:val="center"/>
              <w:rPr>
                <w:rFonts w:hint="eastAsia" w:ascii="宋体" w:hAnsi="宋体" w:eastAsia="宋体" w:cs="宋体"/>
                <w:sz w:val="21"/>
                <w:szCs w:val="21"/>
              </w:rPr>
            </w:pPr>
          </w:p>
        </w:tc>
        <w:tc>
          <w:tcPr>
            <w:tcW w:w="407" w:type="pct"/>
            <w:vMerge w:val="restart"/>
            <w:noWrap w:val="0"/>
            <w:vAlign w:val="center"/>
          </w:tcPr>
          <w:p w14:paraId="761F5D8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海水产品</w:t>
            </w:r>
          </w:p>
        </w:tc>
        <w:tc>
          <w:tcPr>
            <w:tcW w:w="464" w:type="pct"/>
            <w:noWrap w:val="0"/>
            <w:vAlign w:val="center"/>
          </w:tcPr>
          <w:p w14:paraId="6DFE66B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海水鱼</w:t>
            </w:r>
          </w:p>
        </w:tc>
        <w:tc>
          <w:tcPr>
            <w:tcW w:w="224" w:type="pct"/>
            <w:noWrap w:val="0"/>
            <w:vAlign w:val="center"/>
          </w:tcPr>
          <w:p w14:paraId="3202F9C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442727B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挥发性盐基氮、组胺、镉（以Cd计）、柠檬黄、孔雀石绿、氯霉素、呋喃唑酮代谢物、呋喃它酮代谢物、呋喃西林代谢物、呋喃妥因代谢物、五氯酚酸钠（以五氯酚计）、恩诺沙星、磺胺类（总量）、土霉素/金霉素/四环素（组合含量）、甲氧苄啶、甲硝唑、氧氟沙星、培氟沙星、诺氟沙星</w:t>
            </w:r>
          </w:p>
        </w:tc>
      </w:tr>
      <w:tr w14:paraId="7CB8A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230" w:type="pct"/>
            <w:vMerge w:val="continue"/>
            <w:noWrap w:val="0"/>
            <w:vAlign w:val="center"/>
          </w:tcPr>
          <w:p w14:paraId="17A3AE07">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352DBEF0">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1502C403">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25230E55">
            <w:pPr>
              <w:widowControl/>
              <w:spacing w:line="230" w:lineRule="exact"/>
              <w:jc w:val="center"/>
              <w:rPr>
                <w:rFonts w:hint="eastAsia" w:ascii="宋体" w:hAnsi="宋体" w:eastAsia="宋体" w:cs="宋体"/>
                <w:sz w:val="21"/>
                <w:szCs w:val="21"/>
              </w:rPr>
            </w:pPr>
          </w:p>
        </w:tc>
        <w:tc>
          <w:tcPr>
            <w:tcW w:w="464" w:type="pct"/>
            <w:noWrap w:val="0"/>
            <w:vAlign w:val="center"/>
          </w:tcPr>
          <w:p w14:paraId="786877F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海水虾</w:t>
            </w:r>
          </w:p>
        </w:tc>
        <w:tc>
          <w:tcPr>
            <w:tcW w:w="224" w:type="pct"/>
            <w:noWrap w:val="0"/>
            <w:vAlign w:val="center"/>
          </w:tcPr>
          <w:p w14:paraId="332BDC6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1A6CF0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挥发性盐基氮、镉（以Cd计）、二氧化硫残留量、孔雀石绿、氯霉素、呋喃唑酮代谢物、恩诺沙星、土霉素/金霉素/四环素（组合含量）、磺胺类（总量）、诺氟沙星</w:t>
            </w:r>
          </w:p>
        </w:tc>
      </w:tr>
      <w:tr w14:paraId="17325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1" w:hRule="atLeast"/>
          <w:jc w:val="center"/>
        </w:trPr>
        <w:tc>
          <w:tcPr>
            <w:tcW w:w="230" w:type="pct"/>
            <w:vMerge w:val="continue"/>
            <w:noWrap w:val="0"/>
            <w:vAlign w:val="center"/>
          </w:tcPr>
          <w:p w14:paraId="1A7F76AF">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28DF32F2">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34CB2C1D">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2CDBFEDA">
            <w:pPr>
              <w:widowControl/>
              <w:spacing w:line="230" w:lineRule="exact"/>
              <w:jc w:val="center"/>
              <w:rPr>
                <w:rFonts w:hint="eastAsia" w:ascii="宋体" w:hAnsi="宋体" w:eastAsia="宋体" w:cs="宋体"/>
                <w:sz w:val="21"/>
                <w:szCs w:val="21"/>
              </w:rPr>
            </w:pPr>
          </w:p>
        </w:tc>
        <w:tc>
          <w:tcPr>
            <w:tcW w:w="464" w:type="pct"/>
            <w:noWrap w:val="0"/>
            <w:vAlign w:val="center"/>
          </w:tcPr>
          <w:p w14:paraId="3C6C1AF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海水蟹</w:t>
            </w:r>
          </w:p>
        </w:tc>
        <w:tc>
          <w:tcPr>
            <w:tcW w:w="224" w:type="pct"/>
            <w:noWrap w:val="0"/>
            <w:vAlign w:val="center"/>
          </w:tcPr>
          <w:p w14:paraId="74C435C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7AC16D69">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镉（以Cd计）、二氧化硫残留量、氯霉素、孔雀石绿、呋喃唑酮代谢物、呋喃妥因代谢物、氧氟沙星</w:t>
            </w:r>
          </w:p>
        </w:tc>
      </w:tr>
      <w:tr w14:paraId="40D6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771425F3">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14EA9D1">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607D59C">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33A0924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贝类</w:t>
            </w:r>
          </w:p>
        </w:tc>
        <w:tc>
          <w:tcPr>
            <w:tcW w:w="464" w:type="pct"/>
            <w:noWrap w:val="0"/>
            <w:vAlign w:val="center"/>
          </w:tcPr>
          <w:p w14:paraId="1059BD3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贝类</w:t>
            </w:r>
          </w:p>
        </w:tc>
        <w:tc>
          <w:tcPr>
            <w:tcW w:w="224" w:type="pct"/>
            <w:noWrap w:val="0"/>
            <w:vAlign w:val="center"/>
          </w:tcPr>
          <w:p w14:paraId="4B396D8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27D6133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镉（以Cd计）、无机砷（以As计）、孔雀石绿、氯霉素、呋喃唑酮代谢物、呋喃西林代谢物、呋喃妥因代谢物、五氯酚酸钠（以五氯酚计）、恩诺沙星、氟苯尼考、磺胺类（总量）</w:t>
            </w:r>
          </w:p>
        </w:tc>
      </w:tr>
      <w:tr w14:paraId="32CE75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continue"/>
            <w:noWrap w:val="0"/>
            <w:vAlign w:val="center"/>
          </w:tcPr>
          <w:p w14:paraId="256A6B2F">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7ACAD7C">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08D091C">
            <w:pPr>
              <w:widowControl/>
              <w:spacing w:line="230" w:lineRule="exact"/>
              <w:jc w:val="center"/>
              <w:textAlignment w:val="center"/>
              <w:rPr>
                <w:rFonts w:hint="eastAsia" w:ascii="宋体" w:hAnsi="宋体" w:eastAsia="宋体" w:cs="宋体"/>
                <w:kern w:val="0"/>
                <w:sz w:val="21"/>
                <w:szCs w:val="21"/>
                <w:lang w:bidi="ar"/>
              </w:rPr>
            </w:pPr>
          </w:p>
        </w:tc>
        <w:tc>
          <w:tcPr>
            <w:tcW w:w="407" w:type="pct"/>
            <w:noWrap w:val="0"/>
            <w:vAlign w:val="center"/>
          </w:tcPr>
          <w:p w14:paraId="7493FC4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其他水产品</w:t>
            </w:r>
          </w:p>
        </w:tc>
        <w:tc>
          <w:tcPr>
            <w:tcW w:w="464" w:type="pct"/>
            <w:noWrap w:val="0"/>
            <w:vAlign w:val="center"/>
          </w:tcPr>
          <w:p w14:paraId="7E80C7F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其他水产品</w:t>
            </w:r>
          </w:p>
        </w:tc>
        <w:tc>
          <w:tcPr>
            <w:tcW w:w="224" w:type="pct"/>
            <w:noWrap w:val="0"/>
            <w:vAlign w:val="center"/>
          </w:tcPr>
          <w:p w14:paraId="0DEAD51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6182A8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镉（以Cd计）、孔雀石绿、氯霉素、呋喃唑酮代谢物、呋喃西林代谢物、呋喃妥因代谢物、五氯酚酸钠（以五氯酚计）、恩诺沙星、磺胺类（总量）、氟苯尼考、甲硝唑、氧氟沙星、诺氟沙星</w:t>
            </w:r>
          </w:p>
        </w:tc>
      </w:tr>
      <w:tr w14:paraId="722AA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9" w:hRule="atLeast"/>
          <w:jc w:val="center"/>
        </w:trPr>
        <w:tc>
          <w:tcPr>
            <w:tcW w:w="230" w:type="pct"/>
            <w:vMerge w:val="restart"/>
            <w:noWrap w:val="0"/>
            <w:vAlign w:val="center"/>
          </w:tcPr>
          <w:p w14:paraId="2379E79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36</w:t>
            </w:r>
          </w:p>
        </w:tc>
        <w:tc>
          <w:tcPr>
            <w:tcW w:w="378" w:type="pct"/>
            <w:vMerge w:val="restart"/>
            <w:noWrap w:val="0"/>
            <w:vAlign w:val="center"/>
          </w:tcPr>
          <w:p w14:paraId="15A8A0C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水果类</w:t>
            </w:r>
          </w:p>
        </w:tc>
        <w:tc>
          <w:tcPr>
            <w:tcW w:w="413" w:type="pct"/>
            <w:vMerge w:val="restart"/>
            <w:noWrap w:val="0"/>
            <w:vAlign w:val="center"/>
          </w:tcPr>
          <w:p w14:paraId="1A0763D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水果类</w:t>
            </w:r>
          </w:p>
        </w:tc>
        <w:tc>
          <w:tcPr>
            <w:tcW w:w="407" w:type="pct"/>
            <w:vMerge w:val="restart"/>
            <w:noWrap w:val="0"/>
            <w:vAlign w:val="center"/>
          </w:tcPr>
          <w:p w14:paraId="1B50C91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仁果类水果</w:t>
            </w:r>
          </w:p>
        </w:tc>
        <w:tc>
          <w:tcPr>
            <w:tcW w:w="464" w:type="pct"/>
            <w:noWrap w:val="0"/>
            <w:vAlign w:val="center"/>
          </w:tcPr>
          <w:p w14:paraId="02DF4B8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苹果</w:t>
            </w:r>
          </w:p>
        </w:tc>
        <w:tc>
          <w:tcPr>
            <w:tcW w:w="224" w:type="pct"/>
            <w:noWrap w:val="0"/>
            <w:vAlign w:val="center"/>
          </w:tcPr>
          <w:p w14:paraId="3893995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7F104E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敌敌畏、甲拌磷、克百威、氧乐果、三氯杀螨醇</w:t>
            </w:r>
          </w:p>
        </w:tc>
      </w:tr>
      <w:tr w14:paraId="08063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230" w:type="pct"/>
            <w:vMerge w:val="continue"/>
            <w:noWrap w:val="0"/>
            <w:vAlign w:val="center"/>
          </w:tcPr>
          <w:p w14:paraId="6E73C589">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15DD6343">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04DB309B">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5D93580">
            <w:pPr>
              <w:widowControl/>
              <w:spacing w:line="230" w:lineRule="exact"/>
              <w:jc w:val="center"/>
              <w:rPr>
                <w:rFonts w:hint="eastAsia" w:ascii="宋体" w:hAnsi="宋体" w:eastAsia="宋体" w:cs="宋体"/>
                <w:sz w:val="21"/>
                <w:szCs w:val="21"/>
              </w:rPr>
            </w:pPr>
          </w:p>
        </w:tc>
        <w:tc>
          <w:tcPr>
            <w:tcW w:w="464" w:type="pct"/>
            <w:noWrap w:val="0"/>
            <w:vAlign w:val="center"/>
          </w:tcPr>
          <w:p w14:paraId="2CD94B8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梨</w:t>
            </w:r>
          </w:p>
        </w:tc>
        <w:tc>
          <w:tcPr>
            <w:tcW w:w="224" w:type="pct"/>
            <w:noWrap w:val="0"/>
            <w:vAlign w:val="center"/>
          </w:tcPr>
          <w:p w14:paraId="3CE80B3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D3E8A3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吡虫啉、敌敌畏、毒死蜱、多菌灵、克百威、氯氟氰菊酯和高效氯氟氰菊酯、氧乐果、水胺硫磷、苯醚甲环唑、咪鲜胺和咪鲜胺锰盐、噻虫嗪、乙螨唑、乙酰甲胺磷、阿维菌素</w:t>
            </w:r>
          </w:p>
        </w:tc>
      </w:tr>
      <w:tr w14:paraId="223A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230" w:type="pct"/>
            <w:vMerge w:val="restart"/>
            <w:noWrap w:val="0"/>
            <w:vAlign w:val="center"/>
          </w:tcPr>
          <w:p w14:paraId="542722C6">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36</w:t>
            </w:r>
          </w:p>
        </w:tc>
        <w:tc>
          <w:tcPr>
            <w:tcW w:w="378" w:type="pct"/>
            <w:vMerge w:val="restart"/>
            <w:noWrap w:val="0"/>
            <w:vAlign w:val="center"/>
          </w:tcPr>
          <w:p w14:paraId="74E2B373">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水果类</w:t>
            </w:r>
          </w:p>
        </w:tc>
        <w:tc>
          <w:tcPr>
            <w:tcW w:w="413" w:type="pct"/>
            <w:vMerge w:val="restart"/>
            <w:noWrap w:val="0"/>
            <w:vAlign w:val="center"/>
          </w:tcPr>
          <w:p w14:paraId="3B3562EB">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水果类</w:t>
            </w:r>
          </w:p>
        </w:tc>
        <w:tc>
          <w:tcPr>
            <w:tcW w:w="407" w:type="pct"/>
            <w:vMerge w:val="restart"/>
            <w:noWrap w:val="0"/>
            <w:vAlign w:val="center"/>
          </w:tcPr>
          <w:p w14:paraId="19C4AAB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核果类水果</w:t>
            </w:r>
          </w:p>
        </w:tc>
        <w:tc>
          <w:tcPr>
            <w:tcW w:w="464" w:type="pct"/>
            <w:noWrap w:val="0"/>
            <w:vAlign w:val="center"/>
          </w:tcPr>
          <w:p w14:paraId="43B1A38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枣</w:t>
            </w:r>
          </w:p>
        </w:tc>
        <w:tc>
          <w:tcPr>
            <w:tcW w:w="224" w:type="pct"/>
            <w:noWrap w:val="0"/>
            <w:vAlign w:val="center"/>
          </w:tcPr>
          <w:p w14:paraId="65B12D1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688B44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多菌灵、氟虫腈、氧乐果、糖精钠（以糖精计）</w:t>
            </w:r>
          </w:p>
        </w:tc>
      </w:tr>
      <w:tr w14:paraId="1FBB3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jc w:val="center"/>
        </w:trPr>
        <w:tc>
          <w:tcPr>
            <w:tcW w:w="230" w:type="pct"/>
            <w:vMerge w:val="continue"/>
            <w:noWrap w:val="0"/>
            <w:vAlign w:val="center"/>
          </w:tcPr>
          <w:p w14:paraId="6EFC1F27">
            <w:pPr>
              <w:widowControl/>
              <w:spacing w:line="230" w:lineRule="exact"/>
              <w:jc w:val="center"/>
              <w:textAlignment w:val="center"/>
              <w:rPr>
                <w:rFonts w:hint="eastAsia" w:ascii="宋体" w:hAnsi="宋体" w:eastAsia="宋体" w:cs="宋体"/>
                <w:sz w:val="21"/>
                <w:szCs w:val="21"/>
              </w:rPr>
            </w:pPr>
          </w:p>
        </w:tc>
        <w:tc>
          <w:tcPr>
            <w:tcW w:w="378" w:type="pct"/>
            <w:vMerge w:val="continue"/>
            <w:noWrap w:val="0"/>
            <w:vAlign w:val="center"/>
          </w:tcPr>
          <w:p w14:paraId="3C6784C7">
            <w:pPr>
              <w:widowControl/>
              <w:spacing w:line="230" w:lineRule="exact"/>
              <w:jc w:val="center"/>
              <w:textAlignment w:val="center"/>
              <w:rPr>
                <w:rFonts w:hint="eastAsia" w:ascii="宋体" w:hAnsi="宋体" w:eastAsia="宋体" w:cs="宋体"/>
                <w:sz w:val="21"/>
                <w:szCs w:val="21"/>
              </w:rPr>
            </w:pPr>
          </w:p>
        </w:tc>
        <w:tc>
          <w:tcPr>
            <w:tcW w:w="413" w:type="pct"/>
            <w:vMerge w:val="continue"/>
            <w:noWrap w:val="0"/>
            <w:vAlign w:val="center"/>
          </w:tcPr>
          <w:p w14:paraId="2319EFE8">
            <w:pPr>
              <w:widowControl/>
              <w:spacing w:line="230" w:lineRule="exact"/>
              <w:jc w:val="center"/>
              <w:textAlignment w:val="center"/>
              <w:rPr>
                <w:rFonts w:hint="eastAsia" w:ascii="宋体" w:hAnsi="宋体" w:eastAsia="宋体" w:cs="宋体"/>
                <w:sz w:val="21"/>
                <w:szCs w:val="21"/>
              </w:rPr>
            </w:pPr>
          </w:p>
        </w:tc>
        <w:tc>
          <w:tcPr>
            <w:tcW w:w="407" w:type="pct"/>
            <w:vMerge w:val="continue"/>
            <w:noWrap w:val="0"/>
            <w:vAlign w:val="center"/>
          </w:tcPr>
          <w:p w14:paraId="6A6A3F0D">
            <w:pPr>
              <w:widowControl/>
              <w:spacing w:line="230" w:lineRule="exact"/>
              <w:jc w:val="center"/>
              <w:rPr>
                <w:rFonts w:hint="eastAsia" w:ascii="宋体" w:hAnsi="宋体" w:eastAsia="宋体" w:cs="宋体"/>
                <w:kern w:val="0"/>
                <w:sz w:val="21"/>
                <w:szCs w:val="21"/>
                <w:lang w:bidi="ar"/>
              </w:rPr>
            </w:pPr>
          </w:p>
        </w:tc>
        <w:tc>
          <w:tcPr>
            <w:tcW w:w="464" w:type="pct"/>
            <w:noWrap w:val="0"/>
            <w:vAlign w:val="center"/>
          </w:tcPr>
          <w:p w14:paraId="25453C1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桃</w:t>
            </w:r>
          </w:p>
        </w:tc>
        <w:tc>
          <w:tcPr>
            <w:tcW w:w="224" w:type="pct"/>
            <w:noWrap w:val="0"/>
            <w:vAlign w:val="center"/>
          </w:tcPr>
          <w:p w14:paraId="72A6821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C36136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苯醚甲环唑、敌敌畏、多菌灵、氟硅唑、克百威、氧乐果、溴氰菊酯、吡虫啉、氯氟氰菊酯和高效氯氟氰菊酯、噻虫胺、甲氨基阿维菌素苯甲酸盐</w:t>
            </w:r>
          </w:p>
        </w:tc>
      </w:tr>
      <w:tr w14:paraId="17BE6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3" w:hRule="atLeast"/>
          <w:jc w:val="center"/>
        </w:trPr>
        <w:tc>
          <w:tcPr>
            <w:tcW w:w="230" w:type="pct"/>
            <w:vMerge w:val="continue"/>
            <w:noWrap w:val="0"/>
            <w:vAlign w:val="center"/>
          </w:tcPr>
          <w:p w14:paraId="07736D69">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5E97554">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994A40C">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0024B74F">
            <w:pPr>
              <w:widowControl/>
              <w:spacing w:line="230" w:lineRule="exact"/>
              <w:jc w:val="center"/>
              <w:rPr>
                <w:rFonts w:hint="eastAsia" w:ascii="宋体" w:hAnsi="宋体" w:eastAsia="宋体" w:cs="宋体"/>
                <w:kern w:val="0"/>
                <w:sz w:val="21"/>
                <w:szCs w:val="21"/>
                <w:lang w:bidi="ar"/>
              </w:rPr>
            </w:pPr>
          </w:p>
        </w:tc>
        <w:tc>
          <w:tcPr>
            <w:tcW w:w="464" w:type="pct"/>
            <w:noWrap w:val="0"/>
            <w:vAlign w:val="center"/>
          </w:tcPr>
          <w:p w14:paraId="4252883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油桃</w:t>
            </w:r>
          </w:p>
        </w:tc>
        <w:tc>
          <w:tcPr>
            <w:tcW w:w="224" w:type="pct"/>
            <w:noWrap w:val="0"/>
            <w:vAlign w:val="center"/>
          </w:tcPr>
          <w:p w14:paraId="6A5EDA5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168B1D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甲胺磷、克百威、氧乐果、敌敌畏、苯醚甲环唑、噻虫胺</w:t>
            </w:r>
          </w:p>
        </w:tc>
      </w:tr>
      <w:tr w14:paraId="19AA6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jc w:val="center"/>
        </w:trPr>
        <w:tc>
          <w:tcPr>
            <w:tcW w:w="230" w:type="pct"/>
            <w:vMerge w:val="continue"/>
            <w:noWrap w:val="0"/>
            <w:vAlign w:val="center"/>
          </w:tcPr>
          <w:p w14:paraId="3098D265">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E760D38">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75EC4719">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16C6DBE9">
            <w:pPr>
              <w:widowControl/>
              <w:spacing w:line="230" w:lineRule="exact"/>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柑橘类水果</w:t>
            </w:r>
          </w:p>
        </w:tc>
        <w:tc>
          <w:tcPr>
            <w:tcW w:w="464" w:type="pct"/>
            <w:noWrap w:val="0"/>
            <w:vAlign w:val="center"/>
          </w:tcPr>
          <w:p w14:paraId="083F662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柑、橘</w:t>
            </w:r>
          </w:p>
        </w:tc>
        <w:tc>
          <w:tcPr>
            <w:tcW w:w="224" w:type="pct"/>
            <w:noWrap w:val="0"/>
            <w:vAlign w:val="center"/>
          </w:tcPr>
          <w:p w14:paraId="0353414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6B78A5EF">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苯醚甲环唑、丙溴磷、克百威、联苯菊酯、氯唑磷、三唑磷、水胺硫磷、氧乐果、氯氟氰菊酯和高效氯氟氰菊酯、甲拌磷、2,4-滴和2,4-滴钠盐、狄氏剂、杀扑磷、敌敌畏、联苯肼酯</w:t>
            </w:r>
          </w:p>
        </w:tc>
      </w:tr>
      <w:tr w14:paraId="532E4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5F4CEFA1">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6DF0030">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8E91283">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331F0A16">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E4DE20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柚</w:t>
            </w:r>
          </w:p>
        </w:tc>
        <w:tc>
          <w:tcPr>
            <w:tcW w:w="224" w:type="pct"/>
            <w:noWrap w:val="0"/>
            <w:vAlign w:val="center"/>
          </w:tcPr>
          <w:p w14:paraId="2D5B345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BBB1D95">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水胺硫磷、联苯菊酯、氯氟氰菊酯和高效氯氟氰菊酯、氯唑磷、多菌灵、克百威、毒死蜱、噻虫胺</w:t>
            </w:r>
          </w:p>
        </w:tc>
      </w:tr>
      <w:tr w14:paraId="4A36D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6BF2EE99">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08482AA">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5DF2A0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8C7BC43">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6EB5DB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柠檬</w:t>
            </w:r>
          </w:p>
        </w:tc>
        <w:tc>
          <w:tcPr>
            <w:tcW w:w="224" w:type="pct"/>
            <w:noWrap w:val="0"/>
            <w:vAlign w:val="center"/>
          </w:tcPr>
          <w:p w14:paraId="2A71CB7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1F4E03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多菌灵、克百威、联苯菊酯、水胺硫磷、乙螨唑、氯唑磷、毒死蜱</w:t>
            </w:r>
          </w:p>
        </w:tc>
      </w:tr>
      <w:tr w14:paraId="3BB3F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3BB3373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C4A374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2D337A4">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72F0D05D">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0F4E98B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橙</w:t>
            </w:r>
          </w:p>
        </w:tc>
        <w:tc>
          <w:tcPr>
            <w:tcW w:w="224" w:type="pct"/>
            <w:noWrap w:val="0"/>
            <w:vAlign w:val="center"/>
          </w:tcPr>
          <w:p w14:paraId="0896FBC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4E8FEB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丙溴磷、克百威、联苯菊酯、三唑磷、杀扑磷、水胺硫磷、氧乐果、2,4-滴和2,4-滴钠盐、苯醚甲环唑、氯唑磷、敌敌畏、氯氟氰菊酯和高效氯氟氰菊酯、乙酰甲胺磷</w:t>
            </w:r>
          </w:p>
        </w:tc>
      </w:tr>
      <w:tr w14:paraId="17B9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69CDCC7D">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7B8EF62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A22A739">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25AC0E33">
            <w:pPr>
              <w:widowControl/>
              <w:spacing w:line="230" w:lineRule="exact"/>
              <w:jc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浆果和其他小型水果</w:t>
            </w:r>
          </w:p>
        </w:tc>
        <w:tc>
          <w:tcPr>
            <w:tcW w:w="464" w:type="pct"/>
            <w:noWrap w:val="0"/>
            <w:vAlign w:val="center"/>
          </w:tcPr>
          <w:p w14:paraId="443D03C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葡萄</w:t>
            </w:r>
          </w:p>
        </w:tc>
        <w:tc>
          <w:tcPr>
            <w:tcW w:w="224" w:type="pct"/>
            <w:noWrap w:val="0"/>
            <w:vAlign w:val="center"/>
          </w:tcPr>
          <w:p w14:paraId="2921899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61E2DF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苯醚甲环唑、己唑醇、氯氰菊酯和高效氯氰菊酯、霜霉威和霜霉威盐酸盐、氧乐果、氯氟氰菊酯和高效氯氟氰菊酯、氟虫腈、氯吡脲、联苯菊酯、氟唑菌酰胺、戊唑醇、腈苯唑</w:t>
            </w:r>
          </w:p>
        </w:tc>
      </w:tr>
      <w:tr w14:paraId="2AC9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2B0F75CE">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C0A08A1">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29A5F82">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248D0D2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9449C5E">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草莓</w:t>
            </w:r>
          </w:p>
        </w:tc>
        <w:tc>
          <w:tcPr>
            <w:tcW w:w="224" w:type="pct"/>
            <w:noWrap w:val="0"/>
            <w:vAlign w:val="center"/>
          </w:tcPr>
          <w:p w14:paraId="6B8A99A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47902D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阿维菌素、多菌灵、克百威、烯酰吗啉、氧乐果、戊菌唑、吡虫啉、乙酰甲胺磷</w:t>
            </w:r>
          </w:p>
        </w:tc>
      </w:tr>
      <w:tr w14:paraId="168F0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1483E199">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08C292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AD5CE4A">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176495A8">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50ADC5C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猕猴桃</w:t>
            </w:r>
          </w:p>
        </w:tc>
        <w:tc>
          <w:tcPr>
            <w:tcW w:w="224" w:type="pct"/>
            <w:noWrap w:val="0"/>
            <w:vAlign w:val="center"/>
          </w:tcPr>
          <w:p w14:paraId="76F03EB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8BDDFAA">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敌敌畏、多菌灵、氯吡脲、氧乐果、吡唑醚菌酯</w:t>
            </w:r>
          </w:p>
        </w:tc>
      </w:tr>
      <w:tr w14:paraId="5A709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5D59A23C">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AC5ACA1">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837179D">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57539558">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178D909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桑葚</w:t>
            </w:r>
          </w:p>
        </w:tc>
        <w:tc>
          <w:tcPr>
            <w:tcW w:w="224" w:type="pct"/>
            <w:noWrap w:val="0"/>
            <w:vAlign w:val="center"/>
          </w:tcPr>
          <w:p w14:paraId="5A14CFF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41C4A44">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脱氢乙酸及其钠盐（以脱氢乙酸计）、苯甲酸及其钠盐（以苯甲酸计）、山梨酸及其钾盐（以山梨酸计）、糖精钠（以糖精计）、三氯蔗糖、甜蜜素（以环己基氨基磺酸计）、多菌灵、氯氟氰菊酯和高效氯氟氰菊酯、纽甜</w:t>
            </w:r>
          </w:p>
        </w:tc>
      </w:tr>
      <w:tr w14:paraId="138F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1405415B">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4C9FD4E">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11FFE6E">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4C07F8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C3E5BF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西番莲（百香果）</w:t>
            </w:r>
          </w:p>
        </w:tc>
        <w:tc>
          <w:tcPr>
            <w:tcW w:w="224" w:type="pct"/>
            <w:noWrap w:val="0"/>
            <w:vAlign w:val="center"/>
          </w:tcPr>
          <w:p w14:paraId="0E52C44E">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1FA930FF">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sz w:val="21"/>
                <w:szCs w:val="21"/>
              </w:rPr>
              <w:t>镉（以Cd计）、苯醚甲环唑、噻虫胺、戊唑醇、氧乐果、乙酰甲胺磷</w:t>
            </w:r>
          </w:p>
        </w:tc>
      </w:tr>
      <w:tr w14:paraId="6E29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 w:hRule="atLeast"/>
          <w:jc w:val="center"/>
        </w:trPr>
        <w:tc>
          <w:tcPr>
            <w:tcW w:w="230" w:type="pct"/>
            <w:vMerge w:val="continue"/>
            <w:noWrap w:val="0"/>
            <w:vAlign w:val="center"/>
          </w:tcPr>
          <w:p w14:paraId="195D0F6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3064BE7">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6376932A">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57E5F295">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热带和亚热带水果</w:t>
            </w:r>
          </w:p>
        </w:tc>
        <w:tc>
          <w:tcPr>
            <w:tcW w:w="464" w:type="pct"/>
            <w:noWrap w:val="0"/>
            <w:vAlign w:val="center"/>
          </w:tcPr>
          <w:p w14:paraId="2EF76C8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香蕉</w:t>
            </w:r>
          </w:p>
        </w:tc>
        <w:tc>
          <w:tcPr>
            <w:tcW w:w="224" w:type="pct"/>
            <w:noWrap w:val="0"/>
            <w:vAlign w:val="center"/>
          </w:tcPr>
          <w:p w14:paraId="2838D49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47EDC72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苯醚甲环唑、吡唑醚菌酯、氟虫腈、腈苯唑、吡虫啉、噻虫胺、噻虫嗪、联苯菊酯、百菌清、氟唑菌酰胺、氧乐果、氯氟氰菊酯和高效氯氟氰菊酯</w:t>
            </w:r>
          </w:p>
        </w:tc>
      </w:tr>
      <w:tr w14:paraId="45041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9" w:hRule="atLeast"/>
          <w:jc w:val="center"/>
        </w:trPr>
        <w:tc>
          <w:tcPr>
            <w:tcW w:w="230" w:type="pct"/>
            <w:vMerge w:val="continue"/>
            <w:noWrap w:val="0"/>
            <w:vAlign w:val="center"/>
          </w:tcPr>
          <w:p w14:paraId="455FA97B">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481E69EA">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2299FB0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56B5632">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2150BB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芒果</w:t>
            </w:r>
          </w:p>
        </w:tc>
        <w:tc>
          <w:tcPr>
            <w:tcW w:w="224" w:type="pct"/>
            <w:noWrap w:val="0"/>
            <w:vAlign w:val="center"/>
          </w:tcPr>
          <w:p w14:paraId="237C034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5D944D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苯醚甲环唑、戊唑醇、氧乐果、吡唑醚菌酯、噻虫胺、乙酰甲胺磷、吡虫啉、噻虫嗪、噻嗪酮、氯氟氰菊酯和高效氯氟氰菊酯</w:t>
            </w:r>
          </w:p>
        </w:tc>
      </w:tr>
      <w:tr w14:paraId="46EF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230" w:type="pct"/>
            <w:vMerge w:val="restart"/>
            <w:noWrap w:val="0"/>
            <w:vAlign w:val="center"/>
          </w:tcPr>
          <w:p w14:paraId="6B60866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36</w:t>
            </w:r>
          </w:p>
        </w:tc>
        <w:tc>
          <w:tcPr>
            <w:tcW w:w="378" w:type="pct"/>
            <w:vMerge w:val="restart"/>
            <w:noWrap w:val="0"/>
            <w:vAlign w:val="center"/>
          </w:tcPr>
          <w:p w14:paraId="1814D14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水果类</w:t>
            </w:r>
          </w:p>
        </w:tc>
        <w:tc>
          <w:tcPr>
            <w:tcW w:w="413" w:type="pct"/>
            <w:vMerge w:val="restart"/>
            <w:noWrap w:val="0"/>
            <w:vAlign w:val="center"/>
          </w:tcPr>
          <w:p w14:paraId="15D80B27">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水果类</w:t>
            </w:r>
          </w:p>
        </w:tc>
        <w:tc>
          <w:tcPr>
            <w:tcW w:w="407" w:type="pct"/>
            <w:vMerge w:val="restart"/>
            <w:noWrap w:val="0"/>
            <w:vAlign w:val="center"/>
          </w:tcPr>
          <w:p w14:paraId="16072E5A">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热带和亚热带水果</w:t>
            </w:r>
          </w:p>
        </w:tc>
        <w:tc>
          <w:tcPr>
            <w:tcW w:w="464" w:type="pct"/>
            <w:noWrap w:val="0"/>
            <w:vAlign w:val="center"/>
          </w:tcPr>
          <w:p w14:paraId="2371EE4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火龙果</w:t>
            </w:r>
          </w:p>
        </w:tc>
        <w:tc>
          <w:tcPr>
            <w:tcW w:w="224" w:type="pct"/>
            <w:noWrap w:val="0"/>
            <w:vAlign w:val="center"/>
          </w:tcPr>
          <w:p w14:paraId="7B762FD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5B76F34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甲胺磷、克百威、氧乐果、乙酰甲胺磷、噻虫嗪、咪鲜胺和咪鲜胺锰盐</w:t>
            </w:r>
          </w:p>
        </w:tc>
      </w:tr>
      <w:tr w14:paraId="7EF80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230" w:type="pct"/>
            <w:vMerge w:val="continue"/>
            <w:noWrap w:val="0"/>
            <w:vAlign w:val="center"/>
          </w:tcPr>
          <w:p w14:paraId="29073D3C">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3493F69C">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341BC9D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0A8EA579">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AD082A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荔枝</w:t>
            </w:r>
          </w:p>
        </w:tc>
        <w:tc>
          <w:tcPr>
            <w:tcW w:w="224" w:type="pct"/>
            <w:noWrap w:val="0"/>
            <w:vAlign w:val="center"/>
          </w:tcPr>
          <w:p w14:paraId="04C40A2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CE34877">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多菌灵、氧乐果、毒死蜱、苯醚甲环唑、氯氰菊酯和高效氯氰菊酯、氯氟氰菊酯和高效氯氟氰菊酯、吡唑醚菌酯、除虫脲、氰霜唑、氟吗啉、咪鲜胺和咪鲜胺锰盐、乐果、溴氰菊酯</w:t>
            </w:r>
          </w:p>
        </w:tc>
      </w:tr>
      <w:tr w14:paraId="0514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3" w:hRule="atLeast"/>
          <w:jc w:val="center"/>
        </w:trPr>
        <w:tc>
          <w:tcPr>
            <w:tcW w:w="230" w:type="pct"/>
            <w:vMerge w:val="continue"/>
            <w:noWrap w:val="0"/>
            <w:vAlign w:val="center"/>
          </w:tcPr>
          <w:p w14:paraId="1D99E2C0">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526AD86">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2E60078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8D4DCDD">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7AA0D07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杨梅</w:t>
            </w:r>
          </w:p>
        </w:tc>
        <w:tc>
          <w:tcPr>
            <w:tcW w:w="224" w:type="pct"/>
            <w:noWrap w:val="0"/>
            <w:vAlign w:val="center"/>
          </w:tcPr>
          <w:p w14:paraId="483A532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0ECA69CC">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脱氢乙酸及其钠盐（以脱氢乙酸计）、山梨酸及其钾盐（以山梨酸计）、糖精钠（以糖精计）、三氯蔗糖、甜蜜素（以环己基氨基磺酸计）、氧乐果、啶虫脒、阿维菌素、纽甜</w:t>
            </w:r>
          </w:p>
        </w:tc>
      </w:tr>
      <w:tr w14:paraId="1CEF6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230" w:type="pct"/>
            <w:vMerge w:val="continue"/>
            <w:noWrap w:val="0"/>
            <w:vAlign w:val="center"/>
          </w:tcPr>
          <w:p w14:paraId="46F38F82">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10DD3145">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DC2185E">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2520217">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FA56C1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龙眼</w:t>
            </w:r>
          </w:p>
        </w:tc>
        <w:tc>
          <w:tcPr>
            <w:tcW w:w="224" w:type="pct"/>
            <w:noWrap w:val="0"/>
            <w:vAlign w:val="center"/>
          </w:tcPr>
          <w:p w14:paraId="2347CEF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287D92C3">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二氧化硫残留量、克百威、氯氰菊酯和高效氯氰菊酯、氧乐果、氟虫腈</w:t>
            </w:r>
          </w:p>
        </w:tc>
      </w:tr>
      <w:tr w14:paraId="34EA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jc w:val="center"/>
        </w:trPr>
        <w:tc>
          <w:tcPr>
            <w:tcW w:w="230" w:type="pct"/>
            <w:vMerge w:val="continue"/>
            <w:noWrap w:val="0"/>
            <w:vAlign w:val="center"/>
          </w:tcPr>
          <w:p w14:paraId="1EFEDD34">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0E99BBA">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061BAB97">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35D687A">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593D5751">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番木瓜</w:t>
            </w:r>
          </w:p>
        </w:tc>
        <w:tc>
          <w:tcPr>
            <w:tcW w:w="224" w:type="pct"/>
            <w:noWrap w:val="0"/>
            <w:vAlign w:val="center"/>
          </w:tcPr>
          <w:p w14:paraId="248A05CF">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较高</w:t>
            </w:r>
          </w:p>
        </w:tc>
        <w:tc>
          <w:tcPr>
            <w:tcW w:w="2882" w:type="pct"/>
            <w:noWrap w:val="0"/>
            <w:vAlign w:val="center"/>
          </w:tcPr>
          <w:p w14:paraId="47009AA3">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噻虫胺、噻虫嗪、乙酰甲胺磷、克百威、氧乐果</w:t>
            </w:r>
          </w:p>
        </w:tc>
      </w:tr>
      <w:tr w14:paraId="1F9D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230" w:type="pct"/>
            <w:vMerge w:val="continue"/>
            <w:noWrap w:val="0"/>
            <w:vAlign w:val="center"/>
          </w:tcPr>
          <w:p w14:paraId="59B388BD">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5A25E2DD">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135FD022">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65FEC11B">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6A24C6D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菠萝</w:t>
            </w:r>
          </w:p>
        </w:tc>
        <w:tc>
          <w:tcPr>
            <w:tcW w:w="224" w:type="pct"/>
            <w:noWrap w:val="0"/>
            <w:vAlign w:val="center"/>
          </w:tcPr>
          <w:p w14:paraId="6EB414B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4BAB9B6">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糖精钠（以糖精计）、脱氢乙酸及其钠盐（以脱氢乙酸计）、三氯蔗糖、合成着色剂（柠檬黄）、甜蜜素（环己基氨基磺酸钠）</w:t>
            </w:r>
          </w:p>
        </w:tc>
      </w:tr>
      <w:tr w14:paraId="183C5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230" w:type="pct"/>
            <w:vMerge w:val="continue"/>
            <w:noWrap w:val="0"/>
            <w:vAlign w:val="center"/>
          </w:tcPr>
          <w:p w14:paraId="1BA56177">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023C406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55BF54A6">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restart"/>
            <w:noWrap w:val="0"/>
            <w:vAlign w:val="center"/>
          </w:tcPr>
          <w:p w14:paraId="2328B130">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瓜果类水果</w:t>
            </w:r>
          </w:p>
        </w:tc>
        <w:tc>
          <w:tcPr>
            <w:tcW w:w="464" w:type="pct"/>
            <w:noWrap w:val="0"/>
            <w:vAlign w:val="center"/>
          </w:tcPr>
          <w:p w14:paraId="3B079AB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西瓜</w:t>
            </w:r>
          </w:p>
        </w:tc>
        <w:tc>
          <w:tcPr>
            <w:tcW w:w="224" w:type="pct"/>
            <w:noWrap w:val="0"/>
            <w:vAlign w:val="center"/>
          </w:tcPr>
          <w:p w14:paraId="58967CB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75EAC04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克百威、噻虫嗪、氧乐果、乙酰甲胺磷、苯醚甲环唑、氯氟氰菊酯和高效氯氟氰菊酯</w:t>
            </w:r>
          </w:p>
        </w:tc>
      </w:tr>
      <w:tr w14:paraId="5A8BD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 w:hRule="atLeast"/>
          <w:jc w:val="center"/>
        </w:trPr>
        <w:tc>
          <w:tcPr>
            <w:tcW w:w="230" w:type="pct"/>
            <w:vMerge w:val="continue"/>
            <w:noWrap w:val="0"/>
            <w:vAlign w:val="center"/>
          </w:tcPr>
          <w:p w14:paraId="1A391A77">
            <w:pPr>
              <w:widowControl/>
              <w:spacing w:line="230" w:lineRule="exact"/>
              <w:jc w:val="center"/>
              <w:textAlignment w:val="center"/>
              <w:rPr>
                <w:rFonts w:hint="eastAsia" w:ascii="宋体" w:hAnsi="宋体" w:eastAsia="宋体" w:cs="宋体"/>
                <w:kern w:val="0"/>
                <w:sz w:val="21"/>
                <w:szCs w:val="21"/>
                <w:lang w:bidi="ar"/>
              </w:rPr>
            </w:pPr>
          </w:p>
        </w:tc>
        <w:tc>
          <w:tcPr>
            <w:tcW w:w="378" w:type="pct"/>
            <w:vMerge w:val="continue"/>
            <w:noWrap w:val="0"/>
            <w:vAlign w:val="center"/>
          </w:tcPr>
          <w:p w14:paraId="66BCBD79">
            <w:pPr>
              <w:widowControl/>
              <w:spacing w:line="230" w:lineRule="exact"/>
              <w:jc w:val="center"/>
              <w:textAlignment w:val="center"/>
              <w:rPr>
                <w:rFonts w:hint="eastAsia" w:ascii="宋体" w:hAnsi="宋体" w:eastAsia="宋体" w:cs="宋体"/>
                <w:kern w:val="0"/>
                <w:sz w:val="21"/>
                <w:szCs w:val="21"/>
                <w:lang w:bidi="ar"/>
              </w:rPr>
            </w:pPr>
          </w:p>
        </w:tc>
        <w:tc>
          <w:tcPr>
            <w:tcW w:w="413" w:type="pct"/>
            <w:vMerge w:val="continue"/>
            <w:noWrap w:val="0"/>
            <w:vAlign w:val="center"/>
          </w:tcPr>
          <w:p w14:paraId="4D1F273B">
            <w:pPr>
              <w:widowControl/>
              <w:spacing w:line="230" w:lineRule="exact"/>
              <w:jc w:val="center"/>
              <w:textAlignment w:val="center"/>
              <w:rPr>
                <w:rFonts w:hint="eastAsia" w:ascii="宋体" w:hAnsi="宋体" w:eastAsia="宋体" w:cs="宋体"/>
                <w:kern w:val="0"/>
                <w:sz w:val="21"/>
                <w:szCs w:val="21"/>
                <w:lang w:bidi="ar"/>
              </w:rPr>
            </w:pPr>
          </w:p>
        </w:tc>
        <w:tc>
          <w:tcPr>
            <w:tcW w:w="407" w:type="pct"/>
            <w:vMerge w:val="continue"/>
            <w:noWrap w:val="0"/>
            <w:vAlign w:val="center"/>
          </w:tcPr>
          <w:p w14:paraId="45CF9980">
            <w:pPr>
              <w:widowControl/>
              <w:spacing w:line="230" w:lineRule="exact"/>
              <w:jc w:val="center"/>
              <w:textAlignment w:val="center"/>
              <w:rPr>
                <w:rFonts w:hint="eastAsia" w:ascii="宋体" w:hAnsi="宋体" w:eastAsia="宋体" w:cs="宋体"/>
                <w:kern w:val="0"/>
                <w:sz w:val="21"/>
                <w:szCs w:val="21"/>
                <w:lang w:bidi="ar"/>
              </w:rPr>
            </w:pPr>
          </w:p>
        </w:tc>
        <w:tc>
          <w:tcPr>
            <w:tcW w:w="464" w:type="pct"/>
            <w:noWrap w:val="0"/>
            <w:vAlign w:val="center"/>
          </w:tcPr>
          <w:p w14:paraId="3C49EB1B">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甜瓜类</w:t>
            </w:r>
          </w:p>
        </w:tc>
        <w:tc>
          <w:tcPr>
            <w:tcW w:w="224" w:type="pct"/>
            <w:noWrap w:val="0"/>
            <w:vAlign w:val="center"/>
          </w:tcPr>
          <w:p w14:paraId="3C29A0F2">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较高</w:t>
            </w:r>
          </w:p>
        </w:tc>
        <w:tc>
          <w:tcPr>
            <w:tcW w:w="2882" w:type="pct"/>
            <w:noWrap w:val="0"/>
            <w:vAlign w:val="center"/>
          </w:tcPr>
          <w:p w14:paraId="34607DA8">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克百威、烯酰吗啉、氧乐果、乙酰甲胺磷</w:t>
            </w:r>
          </w:p>
        </w:tc>
      </w:tr>
      <w:tr w14:paraId="695FF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jc w:val="center"/>
        </w:trPr>
        <w:tc>
          <w:tcPr>
            <w:tcW w:w="230" w:type="pct"/>
            <w:vMerge w:val="restart"/>
            <w:noWrap w:val="0"/>
            <w:vAlign w:val="center"/>
          </w:tcPr>
          <w:p w14:paraId="2FB6C18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37</w:t>
            </w:r>
          </w:p>
        </w:tc>
        <w:tc>
          <w:tcPr>
            <w:tcW w:w="378" w:type="pct"/>
            <w:vMerge w:val="restart"/>
            <w:noWrap w:val="0"/>
            <w:vAlign w:val="center"/>
          </w:tcPr>
          <w:p w14:paraId="2B61401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鲜蛋</w:t>
            </w:r>
          </w:p>
        </w:tc>
        <w:tc>
          <w:tcPr>
            <w:tcW w:w="413" w:type="pct"/>
            <w:vMerge w:val="restart"/>
            <w:noWrap w:val="0"/>
            <w:vAlign w:val="center"/>
          </w:tcPr>
          <w:p w14:paraId="03B1DE5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鲜蛋</w:t>
            </w:r>
          </w:p>
        </w:tc>
        <w:tc>
          <w:tcPr>
            <w:tcW w:w="407" w:type="pct"/>
            <w:vMerge w:val="restart"/>
            <w:noWrap w:val="0"/>
            <w:vAlign w:val="center"/>
          </w:tcPr>
          <w:p w14:paraId="52BF4A3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鲜蛋</w:t>
            </w:r>
          </w:p>
        </w:tc>
        <w:tc>
          <w:tcPr>
            <w:tcW w:w="464" w:type="pct"/>
            <w:noWrap w:val="0"/>
            <w:vAlign w:val="center"/>
          </w:tcPr>
          <w:p w14:paraId="46D1AF04">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鸡蛋</w:t>
            </w:r>
          </w:p>
        </w:tc>
        <w:tc>
          <w:tcPr>
            <w:tcW w:w="224" w:type="pct"/>
            <w:noWrap w:val="0"/>
            <w:vAlign w:val="center"/>
          </w:tcPr>
          <w:p w14:paraId="7185F8CC">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6D912012">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甲硝唑、地美硝唑、呋喃唑酮代谢物、呋喃西林代谢物、氟虫腈、氯霉素、氟苯尼考、甲砜霉素、恩诺沙星、氧氟沙星、沙拉沙星、甲氧苄啶、磺胺类（总量）、多西环素、地克珠利、托曲珠利</w:t>
            </w:r>
          </w:p>
        </w:tc>
      </w:tr>
      <w:tr w14:paraId="49B14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4" w:hRule="atLeast"/>
          <w:jc w:val="center"/>
        </w:trPr>
        <w:tc>
          <w:tcPr>
            <w:tcW w:w="230" w:type="pct"/>
            <w:vMerge w:val="continue"/>
            <w:noWrap w:val="0"/>
            <w:vAlign w:val="center"/>
          </w:tcPr>
          <w:p w14:paraId="28484865">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988DD7F">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403AB10B">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7AD322EE">
            <w:pPr>
              <w:widowControl/>
              <w:spacing w:line="230" w:lineRule="exact"/>
              <w:jc w:val="center"/>
              <w:rPr>
                <w:rFonts w:hint="eastAsia" w:ascii="宋体" w:hAnsi="宋体" w:eastAsia="宋体" w:cs="宋体"/>
                <w:sz w:val="21"/>
                <w:szCs w:val="21"/>
              </w:rPr>
            </w:pPr>
          </w:p>
        </w:tc>
        <w:tc>
          <w:tcPr>
            <w:tcW w:w="464" w:type="pct"/>
            <w:noWrap w:val="0"/>
            <w:vAlign w:val="center"/>
          </w:tcPr>
          <w:p w14:paraId="2450BC39">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其他禽蛋</w:t>
            </w:r>
          </w:p>
        </w:tc>
        <w:tc>
          <w:tcPr>
            <w:tcW w:w="224" w:type="pct"/>
            <w:noWrap w:val="0"/>
            <w:vAlign w:val="center"/>
          </w:tcPr>
          <w:p w14:paraId="75050FE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高</w:t>
            </w:r>
          </w:p>
        </w:tc>
        <w:tc>
          <w:tcPr>
            <w:tcW w:w="2882" w:type="pct"/>
            <w:noWrap w:val="0"/>
            <w:vAlign w:val="center"/>
          </w:tcPr>
          <w:p w14:paraId="055BD98D">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呋喃唑酮代谢物、磺胺类（总量）、多西环素、氯霉素</w:t>
            </w:r>
          </w:p>
        </w:tc>
      </w:tr>
      <w:tr w14:paraId="027DC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1" w:hRule="atLeast"/>
          <w:jc w:val="center"/>
        </w:trPr>
        <w:tc>
          <w:tcPr>
            <w:tcW w:w="230" w:type="pct"/>
            <w:noWrap w:val="0"/>
            <w:vAlign w:val="center"/>
          </w:tcPr>
          <w:p w14:paraId="7276FFE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38</w:t>
            </w:r>
          </w:p>
        </w:tc>
        <w:tc>
          <w:tcPr>
            <w:tcW w:w="378" w:type="pct"/>
            <w:noWrap w:val="0"/>
            <w:vAlign w:val="center"/>
          </w:tcPr>
          <w:p w14:paraId="340F8A25">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豆类</w:t>
            </w:r>
          </w:p>
        </w:tc>
        <w:tc>
          <w:tcPr>
            <w:tcW w:w="413" w:type="pct"/>
            <w:noWrap w:val="0"/>
            <w:vAlign w:val="center"/>
          </w:tcPr>
          <w:p w14:paraId="020EBDDD">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豆类</w:t>
            </w:r>
          </w:p>
        </w:tc>
        <w:tc>
          <w:tcPr>
            <w:tcW w:w="407" w:type="pct"/>
            <w:noWrap w:val="0"/>
            <w:vAlign w:val="center"/>
          </w:tcPr>
          <w:p w14:paraId="6968EBB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豆类</w:t>
            </w:r>
          </w:p>
        </w:tc>
        <w:tc>
          <w:tcPr>
            <w:tcW w:w="464" w:type="pct"/>
            <w:noWrap w:val="0"/>
            <w:vAlign w:val="center"/>
          </w:tcPr>
          <w:p w14:paraId="4FE76808">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豆类</w:t>
            </w:r>
          </w:p>
        </w:tc>
        <w:tc>
          <w:tcPr>
            <w:tcW w:w="224" w:type="pct"/>
            <w:noWrap w:val="0"/>
            <w:vAlign w:val="center"/>
          </w:tcPr>
          <w:p w14:paraId="720B102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4CE1659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铅（以Pb计）、铬（以Cr计）、赭曲霉毒素A、吡虫啉、环丙唑醇、噻虫胺、噻虫嗪</w:t>
            </w:r>
          </w:p>
        </w:tc>
      </w:tr>
      <w:tr w14:paraId="6748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7" w:hRule="atLeast"/>
          <w:jc w:val="center"/>
        </w:trPr>
        <w:tc>
          <w:tcPr>
            <w:tcW w:w="230" w:type="pct"/>
            <w:vMerge w:val="restart"/>
            <w:noWrap w:val="0"/>
            <w:vAlign w:val="center"/>
          </w:tcPr>
          <w:p w14:paraId="48EC92B3">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39</w:t>
            </w:r>
          </w:p>
        </w:tc>
        <w:tc>
          <w:tcPr>
            <w:tcW w:w="378" w:type="pct"/>
            <w:vMerge w:val="restart"/>
            <w:noWrap w:val="0"/>
            <w:vAlign w:val="center"/>
          </w:tcPr>
          <w:p w14:paraId="02BC3E4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生干坚果与籽类食品</w:t>
            </w:r>
          </w:p>
        </w:tc>
        <w:tc>
          <w:tcPr>
            <w:tcW w:w="413" w:type="pct"/>
            <w:vMerge w:val="restart"/>
            <w:noWrap w:val="0"/>
            <w:vAlign w:val="center"/>
          </w:tcPr>
          <w:p w14:paraId="41BD2257">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生干坚果与籽类食品</w:t>
            </w:r>
          </w:p>
        </w:tc>
        <w:tc>
          <w:tcPr>
            <w:tcW w:w="407" w:type="pct"/>
            <w:vMerge w:val="restart"/>
            <w:noWrap w:val="0"/>
            <w:vAlign w:val="center"/>
          </w:tcPr>
          <w:p w14:paraId="4234B8DF">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生干坚果与籽类食品</w:t>
            </w:r>
          </w:p>
        </w:tc>
        <w:tc>
          <w:tcPr>
            <w:tcW w:w="464" w:type="pct"/>
            <w:noWrap w:val="0"/>
            <w:vAlign w:val="center"/>
          </w:tcPr>
          <w:p w14:paraId="3171B940">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生干坚果</w:t>
            </w:r>
          </w:p>
        </w:tc>
        <w:tc>
          <w:tcPr>
            <w:tcW w:w="224" w:type="pct"/>
            <w:noWrap w:val="0"/>
            <w:vAlign w:val="center"/>
          </w:tcPr>
          <w:p w14:paraId="60A29396">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21C7EABB">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酸价（以脂肪计）（KOH）、过氧化值（以脂肪计）、二氧化硫残留量、吡虫啉</w:t>
            </w:r>
          </w:p>
        </w:tc>
      </w:tr>
      <w:tr w14:paraId="3CB50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jc w:val="center"/>
        </w:trPr>
        <w:tc>
          <w:tcPr>
            <w:tcW w:w="230" w:type="pct"/>
            <w:vMerge w:val="continue"/>
            <w:noWrap w:val="0"/>
            <w:vAlign w:val="center"/>
          </w:tcPr>
          <w:p w14:paraId="73E17494">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4FFDB385">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8F258B3">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3730E2ED">
            <w:pPr>
              <w:widowControl/>
              <w:spacing w:line="230" w:lineRule="exact"/>
              <w:jc w:val="center"/>
              <w:rPr>
                <w:rFonts w:hint="eastAsia" w:ascii="宋体" w:hAnsi="宋体" w:eastAsia="宋体" w:cs="宋体"/>
                <w:sz w:val="21"/>
                <w:szCs w:val="21"/>
              </w:rPr>
            </w:pPr>
          </w:p>
        </w:tc>
        <w:tc>
          <w:tcPr>
            <w:tcW w:w="464" w:type="pct"/>
            <w:noWrap w:val="0"/>
            <w:vAlign w:val="center"/>
          </w:tcPr>
          <w:p w14:paraId="58F6CE59">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花生</w:t>
            </w:r>
          </w:p>
        </w:tc>
        <w:tc>
          <w:tcPr>
            <w:tcW w:w="224" w:type="pct"/>
            <w:noWrap w:val="0"/>
            <w:vAlign w:val="center"/>
          </w:tcPr>
          <w:p w14:paraId="0D1F853C">
            <w:pPr>
              <w:widowControl/>
              <w:spacing w:line="230" w:lineRule="exact"/>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一般</w:t>
            </w:r>
          </w:p>
        </w:tc>
        <w:tc>
          <w:tcPr>
            <w:tcW w:w="2882" w:type="pct"/>
            <w:noWrap w:val="0"/>
            <w:vAlign w:val="center"/>
          </w:tcPr>
          <w:p w14:paraId="14A0BF8B">
            <w:pPr>
              <w:widowControl/>
              <w:spacing w:line="230" w:lineRule="exact"/>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酸价（以脂肪计）（KOH）、过氧化值（以脂肪计）、铅（以Pb计）、镉（以Cd计）、黄曲霉毒素B</w:t>
            </w:r>
            <w:r>
              <w:rPr>
                <w:rFonts w:hint="eastAsia" w:ascii="宋体" w:hAnsi="宋体" w:eastAsia="宋体" w:cs="宋体"/>
                <w:kern w:val="0"/>
                <w:sz w:val="21"/>
                <w:szCs w:val="21"/>
                <w:vertAlign w:val="subscript"/>
                <w:lang w:bidi="ar"/>
              </w:rPr>
              <w:t>1</w:t>
            </w:r>
            <w:r>
              <w:rPr>
                <w:rFonts w:hint="eastAsia" w:ascii="宋体" w:hAnsi="宋体" w:eastAsia="宋体" w:cs="宋体"/>
                <w:kern w:val="0"/>
                <w:sz w:val="21"/>
                <w:szCs w:val="21"/>
                <w:lang w:bidi="ar"/>
              </w:rPr>
              <w:t>、噻虫嗪、噻虫胺</w:t>
            </w:r>
          </w:p>
        </w:tc>
      </w:tr>
      <w:tr w14:paraId="4818B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9" w:hRule="atLeast"/>
          <w:jc w:val="center"/>
        </w:trPr>
        <w:tc>
          <w:tcPr>
            <w:tcW w:w="230" w:type="pct"/>
            <w:vMerge w:val="continue"/>
            <w:noWrap w:val="0"/>
            <w:vAlign w:val="center"/>
          </w:tcPr>
          <w:p w14:paraId="23EA0D9B">
            <w:pPr>
              <w:widowControl/>
              <w:spacing w:line="230" w:lineRule="exact"/>
              <w:jc w:val="center"/>
              <w:rPr>
                <w:rFonts w:hint="eastAsia" w:ascii="宋体" w:hAnsi="宋体" w:eastAsia="宋体" w:cs="宋体"/>
                <w:sz w:val="21"/>
                <w:szCs w:val="21"/>
              </w:rPr>
            </w:pPr>
          </w:p>
        </w:tc>
        <w:tc>
          <w:tcPr>
            <w:tcW w:w="378" w:type="pct"/>
            <w:vMerge w:val="continue"/>
            <w:noWrap w:val="0"/>
            <w:vAlign w:val="center"/>
          </w:tcPr>
          <w:p w14:paraId="6CE918A8">
            <w:pPr>
              <w:widowControl/>
              <w:spacing w:line="230" w:lineRule="exact"/>
              <w:jc w:val="center"/>
              <w:rPr>
                <w:rFonts w:hint="eastAsia" w:ascii="宋体" w:hAnsi="宋体" w:eastAsia="宋体" w:cs="宋体"/>
                <w:sz w:val="21"/>
                <w:szCs w:val="21"/>
              </w:rPr>
            </w:pPr>
          </w:p>
        </w:tc>
        <w:tc>
          <w:tcPr>
            <w:tcW w:w="413" w:type="pct"/>
            <w:vMerge w:val="continue"/>
            <w:noWrap w:val="0"/>
            <w:vAlign w:val="center"/>
          </w:tcPr>
          <w:p w14:paraId="7C2F033F">
            <w:pPr>
              <w:widowControl/>
              <w:spacing w:line="230" w:lineRule="exact"/>
              <w:jc w:val="center"/>
              <w:rPr>
                <w:rFonts w:hint="eastAsia" w:ascii="宋体" w:hAnsi="宋体" w:eastAsia="宋体" w:cs="宋体"/>
                <w:sz w:val="21"/>
                <w:szCs w:val="21"/>
              </w:rPr>
            </w:pPr>
          </w:p>
        </w:tc>
        <w:tc>
          <w:tcPr>
            <w:tcW w:w="407" w:type="pct"/>
            <w:vMerge w:val="continue"/>
            <w:noWrap w:val="0"/>
            <w:vAlign w:val="center"/>
          </w:tcPr>
          <w:p w14:paraId="5AC6417A">
            <w:pPr>
              <w:widowControl/>
              <w:spacing w:line="230" w:lineRule="exact"/>
              <w:jc w:val="center"/>
              <w:rPr>
                <w:rFonts w:hint="eastAsia" w:ascii="宋体" w:hAnsi="宋体" w:eastAsia="宋体" w:cs="宋体"/>
                <w:sz w:val="21"/>
                <w:szCs w:val="21"/>
              </w:rPr>
            </w:pPr>
          </w:p>
        </w:tc>
        <w:tc>
          <w:tcPr>
            <w:tcW w:w="464" w:type="pct"/>
            <w:noWrap w:val="0"/>
            <w:vAlign w:val="center"/>
          </w:tcPr>
          <w:p w14:paraId="261A5B31">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其他籽类</w:t>
            </w:r>
          </w:p>
        </w:tc>
        <w:tc>
          <w:tcPr>
            <w:tcW w:w="224" w:type="pct"/>
            <w:noWrap w:val="0"/>
            <w:vAlign w:val="center"/>
          </w:tcPr>
          <w:p w14:paraId="7C01047A">
            <w:pPr>
              <w:widowControl/>
              <w:spacing w:line="230" w:lineRule="exact"/>
              <w:jc w:val="center"/>
              <w:textAlignment w:val="center"/>
              <w:rPr>
                <w:rFonts w:hint="eastAsia" w:ascii="宋体" w:hAnsi="宋体" w:eastAsia="宋体" w:cs="宋体"/>
                <w:sz w:val="21"/>
                <w:szCs w:val="21"/>
              </w:rPr>
            </w:pPr>
            <w:r>
              <w:rPr>
                <w:rFonts w:hint="eastAsia" w:ascii="宋体" w:hAnsi="宋体" w:eastAsia="宋体" w:cs="宋体"/>
                <w:kern w:val="0"/>
                <w:sz w:val="21"/>
                <w:szCs w:val="21"/>
                <w:lang w:bidi="ar"/>
              </w:rPr>
              <w:t>一般</w:t>
            </w:r>
          </w:p>
        </w:tc>
        <w:tc>
          <w:tcPr>
            <w:tcW w:w="2882" w:type="pct"/>
            <w:noWrap w:val="0"/>
            <w:vAlign w:val="center"/>
          </w:tcPr>
          <w:p w14:paraId="31BB6AA0">
            <w:pPr>
              <w:widowControl/>
              <w:spacing w:line="230" w:lineRule="exact"/>
              <w:jc w:val="left"/>
              <w:textAlignment w:val="center"/>
              <w:rPr>
                <w:rFonts w:hint="eastAsia" w:ascii="宋体" w:hAnsi="宋体" w:eastAsia="宋体" w:cs="宋体"/>
                <w:sz w:val="21"/>
                <w:szCs w:val="21"/>
              </w:rPr>
            </w:pPr>
            <w:r>
              <w:rPr>
                <w:rFonts w:hint="eastAsia" w:ascii="宋体" w:hAnsi="宋体" w:eastAsia="宋体" w:cs="宋体"/>
                <w:kern w:val="0"/>
                <w:sz w:val="21"/>
                <w:szCs w:val="21"/>
                <w:lang w:bidi="ar"/>
              </w:rPr>
              <w:t>酸价（以脂肪计）（KOH）、过氧化值（以脂肪计）、铅（以Pb计）、噻虫嗪、噻虫胺</w:t>
            </w:r>
          </w:p>
        </w:tc>
      </w:tr>
    </w:tbl>
    <w:p w14:paraId="6A6F78A5">
      <w:pPr>
        <w:pStyle w:val="15"/>
        <w:ind w:left="0" w:leftChars="0" w:firstLine="0" w:firstLineChars="0"/>
        <w:rPr>
          <w:rFonts w:hint="eastAsia"/>
        </w:rPr>
      </w:pPr>
    </w:p>
    <w:p w14:paraId="4FDA9543">
      <w:pPr>
        <w:spacing w:line="360" w:lineRule="auto"/>
        <w:ind w:firstLine="0" w:firstLineChars="0"/>
        <w:rPr>
          <w:rFonts w:hint="eastAsia" w:ascii="宋体" w:hAnsi="宋体" w:cs="方正黑体_GBK"/>
          <w:b/>
          <w:color w:val="auto"/>
          <w:szCs w:val="21"/>
          <w:highlight w:val="none"/>
        </w:rPr>
        <w:sectPr>
          <w:pgSz w:w="16838" w:h="11911" w:orient="landscape"/>
          <w:pgMar w:top="1803" w:right="1440" w:bottom="1803" w:left="1440" w:header="720" w:footer="720" w:gutter="0"/>
          <w:pgNumType w:fmt="decimal"/>
          <w:cols w:space="0" w:num="1"/>
          <w:rtlGutter w:val="0"/>
          <w:docGrid w:linePitch="317" w:charSpace="0"/>
        </w:sectPr>
      </w:pPr>
    </w:p>
    <w:p w14:paraId="34ED5FA7">
      <w:pPr>
        <w:adjustRightInd w:val="0"/>
        <w:snapToGrid w:val="0"/>
        <w:spacing w:line="590" w:lineRule="exact"/>
        <w:ind w:left="1481" w:leftChars="304" w:hanging="843" w:hangingChars="400"/>
        <w:jc w:val="center"/>
        <w:rPr>
          <w:rFonts w:hint="eastAsia" w:ascii="宋体" w:hAnsi="宋体" w:eastAsia="宋体" w:cs="宋体"/>
          <w:b/>
          <w:bCs/>
          <w:i w:val="0"/>
          <w:iCs w:val="0"/>
          <w:sz w:val="21"/>
          <w:szCs w:val="21"/>
          <w:lang w:val="en-US" w:eastAsia="zh-CN"/>
        </w:rPr>
      </w:pPr>
      <w:r>
        <w:rPr>
          <w:rFonts w:hint="eastAsia" w:ascii="宋体" w:hAnsi="宋体" w:eastAsia="宋体" w:cs="宋体"/>
          <w:b/>
          <w:bCs/>
          <w:i w:val="0"/>
          <w:iCs w:val="0"/>
          <w:sz w:val="21"/>
          <w:szCs w:val="21"/>
          <w:lang w:val="en-US" w:eastAsia="zh-CN"/>
        </w:rPr>
        <w:t>3-2 2026年省级食品安全风险抽检品种、项目表</w:t>
      </w:r>
    </w:p>
    <w:tbl>
      <w:tblPr>
        <w:tblStyle w:val="8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10"/>
        <w:gridCol w:w="984"/>
        <w:gridCol w:w="1353"/>
        <w:gridCol w:w="1557"/>
        <w:gridCol w:w="1599"/>
        <w:gridCol w:w="503"/>
        <w:gridCol w:w="4594"/>
        <w:gridCol w:w="2862"/>
      </w:tblGrid>
      <w:tr w14:paraId="162F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tblHeader/>
          <w:jc w:val="center"/>
        </w:trPr>
        <w:tc>
          <w:tcPr>
            <w:tcW w:w="183" w:type="pct"/>
            <w:noWrap w:val="0"/>
            <w:vAlign w:val="center"/>
          </w:tcPr>
          <w:p w14:paraId="14E7BD4B">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4"/>
                <w:sz w:val="21"/>
                <w:szCs w:val="21"/>
              </w:rPr>
              <w:t>序号</w:t>
            </w:r>
          </w:p>
        </w:tc>
        <w:tc>
          <w:tcPr>
            <w:tcW w:w="352" w:type="pct"/>
            <w:noWrap w:val="0"/>
            <w:vAlign w:val="center"/>
          </w:tcPr>
          <w:p w14:paraId="44E0D6B3">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4"/>
                <w:sz w:val="21"/>
                <w:szCs w:val="21"/>
              </w:rPr>
              <w:t>食品大类</w:t>
            </w:r>
          </w:p>
          <w:p w14:paraId="24892D65">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6"/>
                <w:sz w:val="21"/>
                <w:szCs w:val="21"/>
              </w:rPr>
              <w:t>(一级)</w:t>
            </w:r>
          </w:p>
        </w:tc>
        <w:tc>
          <w:tcPr>
            <w:tcW w:w="484" w:type="pct"/>
            <w:noWrap w:val="0"/>
            <w:vAlign w:val="center"/>
          </w:tcPr>
          <w:p w14:paraId="63BA1DFA">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4"/>
                <w:sz w:val="21"/>
                <w:szCs w:val="21"/>
              </w:rPr>
              <w:t>食品亚类</w:t>
            </w:r>
          </w:p>
          <w:p w14:paraId="0077719F">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6"/>
                <w:sz w:val="21"/>
                <w:szCs w:val="21"/>
              </w:rPr>
              <w:t>(二级)</w:t>
            </w:r>
          </w:p>
        </w:tc>
        <w:tc>
          <w:tcPr>
            <w:tcW w:w="557" w:type="pct"/>
            <w:noWrap w:val="0"/>
            <w:vAlign w:val="center"/>
          </w:tcPr>
          <w:p w14:paraId="24862265">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4"/>
                <w:sz w:val="21"/>
                <w:szCs w:val="21"/>
              </w:rPr>
              <w:t>食品品种</w:t>
            </w:r>
          </w:p>
          <w:p w14:paraId="2B8F5BCD">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6"/>
                <w:sz w:val="21"/>
                <w:szCs w:val="21"/>
              </w:rPr>
              <w:t>(三级)</w:t>
            </w:r>
          </w:p>
        </w:tc>
        <w:tc>
          <w:tcPr>
            <w:tcW w:w="572" w:type="pct"/>
            <w:noWrap w:val="0"/>
            <w:vAlign w:val="center"/>
          </w:tcPr>
          <w:p w14:paraId="0B825D6E">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4"/>
                <w:sz w:val="21"/>
                <w:szCs w:val="21"/>
              </w:rPr>
              <w:t>食品细类</w:t>
            </w:r>
          </w:p>
          <w:p w14:paraId="18C677F4">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6"/>
                <w:sz w:val="21"/>
                <w:szCs w:val="21"/>
              </w:rPr>
              <w:t>(四级)</w:t>
            </w:r>
          </w:p>
        </w:tc>
        <w:tc>
          <w:tcPr>
            <w:tcW w:w="180" w:type="pct"/>
            <w:noWrap w:val="0"/>
            <w:vAlign w:val="center"/>
          </w:tcPr>
          <w:p w14:paraId="2F5378DF">
            <w:pPr>
              <w:pStyle w:val="122"/>
              <w:kinsoku w:val="0"/>
              <w:autoSpaceDE w:val="0"/>
              <w:autoSpaceDN w:val="0"/>
              <w:adjustRightInd w:val="0"/>
              <w:snapToGrid w:val="0"/>
              <w:spacing w:line="260" w:lineRule="exact"/>
              <w:jc w:val="center"/>
              <w:rPr>
                <w:rFonts w:hint="eastAsia" w:ascii="宋体" w:hAnsi="宋体" w:eastAsia="宋体" w:cs="宋体"/>
                <w:bCs/>
                <w:spacing w:val="-6"/>
                <w:sz w:val="21"/>
                <w:szCs w:val="21"/>
              </w:rPr>
            </w:pPr>
            <w:r>
              <w:rPr>
                <w:rFonts w:hint="eastAsia" w:ascii="宋体" w:hAnsi="宋体" w:eastAsia="宋体" w:cs="宋体"/>
                <w:bCs/>
                <w:spacing w:val="-6"/>
                <w:sz w:val="21"/>
                <w:szCs w:val="21"/>
              </w:rPr>
              <w:t>风险</w:t>
            </w:r>
          </w:p>
          <w:p w14:paraId="201B24C5">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7"/>
                <w:sz w:val="21"/>
                <w:szCs w:val="21"/>
              </w:rPr>
              <w:t>等级</w:t>
            </w:r>
          </w:p>
        </w:tc>
        <w:tc>
          <w:tcPr>
            <w:tcW w:w="1644" w:type="pct"/>
            <w:noWrap w:val="0"/>
            <w:vAlign w:val="center"/>
          </w:tcPr>
          <w:p w14:paraId="0B28A255">
            <w:pPr>
              <w:pStyle w:val="122"/>
              <w:kinsoku w:val="0"/>
              <w:autoSpaceDE w:val="0"/>
              <w:autoSpaceDN w:val="0"/>
              <w:adjustRightInd w:val="0"/>
              <w:snapToGrid w:val="0"/>
              <w:spacing w:line="260" w:lineRule="exact"/>
              <w:jc w:val="center"/>
              <w:rPr>
                <w:rFonts w:hint="eastAsia" w:ascii="宋体" w:hAnsi="宋体" w:eastAsia="宋体" w:cs="宋体"/>
                <w:bCs/>
                <w:sz w:val="21"/>
                <w:szCs w:val="21"/>
                <w:lang w:eastAsia="zh-CN"/>
              </w:rPr>
            </w:pPr>
            <w:r>
              <w:rPr>
                <w:rFonts w:hint="eastAsia" w:ascii="宋体" w:hAnsi="宋体" w:eastAsia="宋体" w:cs="宋体"/>
                <w:bCs/>
                <w:spacing w:val="5"/>
                <w:sz w:val="21"/>
                <w:szCs w:val="21"/>
                <w:lang w:eastAsia="zh-CN"/>
              </w:rPr>
              <w:t>检验项目</w:t>
            </w:r>
          </w:p>
        </w:tc>
        <w:tc>
          <w:tcPr>
            <w:tcW w:w="1024" w:type="pct"/>
            <w:noWrap w:val="0"/>
            <w:vAlign w:val="center"/>
          </w:tcPr>
          <w:p w14:paraId="76D42613">
            <w:pPr>
              <w:pStyle w:val="122"/>
              <w:kinsoku w:val="0"/>
              <w:autoSpaceDE w:val="0"/>
              <w:autoSpaceDN w:val="0"/>
              <w:adjustRightInd w:val="0"/>
              <w:snapToGrid w:val="0"/>
              <w:spacing w:line="260" w:lineRule="exact"/>
              <w:jc w:val="center"/>
              <w:rPr>
                <w:rFonts w:hint="eastAsia" w:ascii="宋体" w:hAnsi="宋体" w:eastAsia="宋体" w:cs="宋体"/>
                <w:bCs/>
                <w:sz w:val="21"/>
                <w:szCs w:val="21"/>
              </w:rPr>
            </w:pPr>
            <w:r>
              <w:rPr>
                <w:rFonts w:hint="eastAsia" w:ascii="宋体" w:hAnsi="宋体" w:eastAsia="宋体" w:cs="宋体"/>
                <w:bCs/>
                <w:spacing w:val="-5"/>
                <w:sz w:val="21"/>
                <w:szCs w:val="21"/>
              </w:rPr>
              <w:t>备注</w:t>
            </w:r>
          </w:p>
        </w:tc>
      </w:tr>
      <w:tr w14:paraId="100C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55FD4078">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w:t>
            </w:r>
          </w:p>
        </w:tc>
        <w:tc>
          <w:tcPr>
            <w:tcW w:w="352" w:type="pct"/>
            <w:vMerge w:val="restart"/>
            <w:noWrap w:val="0"/>
            <w:vAlign w:val="center"/>
          </w:tcPr>
          <w:p w14:paraId="7B34670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粮食加工品</w:t>
            </w:r>
          </w:p>
        </w:tc>
        <w:tc>
          <w:tcPr>
            <w:tcW w:w="484" w:type="pct"/>
            <w:noWrap w:val="0"/>
            <w:vAlign w:val="center"/>
          </w:tcPr>
          <w:p w14:paraId="572B1D4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小麦粉</w:t>
            </w:r>
          </w:p>
        </w:tc>
        <w:tc>
          <w:tcPr>
            <w:tcW w:w="557" w:type="pct"/>
            <w:noWrap w:val="0"/>
            <w:vAlign w:val="center"/>
          </w:tcPr>
          <w:p w14:paraId="484B826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小麦粉</w:t>
            </w:r>
          </w:p>
        </w:tc>
        <w:tc>
          <w:tcPr>
            <w:tcW w:w="572" w:type="pct"/>
            <w:noWrap w:val="0"/>
            <w:vAlign w:val="center"/>
          </w:tcPr>
          <w:p w14:paraId="02A74563">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小麦粉</w:t>
            </w:r>
          </w:p>
        </w:tc>
        <w:tc>
          <w:tcPr>
            <w:tcW w:w="180" w:type="pct"/>
            <w:noWrap w:val="0"/>
            <w:vAlign w:val="center"/>
          </w:tcPr>
          <w:p w14:paraId="2E47F6E5">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0F43D65B">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苯甲羟肟酸</w:t>
            </w:r>
          </w:p>
        </w:tc>
        <w:tc>
          <w:tcPr>
            <w:tcW w:w="1024" w:type="pct"/>
            <w:noWrap w:val="0"/>
            <w:vAlign w:val="center"/>
          </w:tcPr>
          <w:p w14:paraId="774D3B8E">
            <w:pPr>
              <w:kinsoku w:val="0"/>
              <w:autoSpaceDE w:val="0"/>
              <w:autoSpaceDN w:val="0"/>
              <w:adjustRightInd w:val="0"/>
              <w:snapToGrid w:val="0"/>
              <w:spacing w:line="260" w:lineRule="exact"/>
              <w:rPr>
                <w:rFonts w:hint="eastAsia" w:ascii="宋体" w:hAnsi="宋体" w:eastAsia="宋体" w:cs="宋体"/>
                <w:sz w:val="21"/>
                <w:szCs w:val="21"/>
              </w:rPr>
            </w:pPr>
          </w:p>
        </w:tc>
      </w:tr>
      <w:tr w14:paraId="68AE7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224415C">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66C86F0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noWrap w:val="0"/>
            <w:vAlign w:val="center"/>
          </w:tcPr>
          <w:p w14:paraId="3FBCAD3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挂面</w:t>
            </w:r>
          </w:p>
        </w:tc>
        <w:tc>
          <w:tcPr>
            <w:tcW w:w="557" w:type="pct"/>
            <w:noWrap w:val="0"/>
            <w:vAlign w:val="center"/>
          </w:tcPr>
          <w:p w14:paraId="28D0016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挂面</w:t>
            </w:r>
          </w:p>
        </w:tc>
        <w:tc>
          <w:tcPr>
            <w:tcW w:w="572" w:type="pct"/>
            <w:noWrap w:val="0"/>
            <w:vAlign w:val="center"/>
          </w:tcPr>
          <w:p w14:paraId="5A07BE7A">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挂面</w:t>
            </w:r>
          </w:p>
        </w:tc>
        <w:tc>
          <w:tcPr>
            <w:tcW w:w="180" w:type="pct"/>
            <w:noWrap w:val="0"/>
            <w:vAlign w:val="center"/>
          </w:tcPr>
          <w:p w14:paraId="1C24B65E">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5B964368">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脱氧雪腐镰刀菌烯醇、玉米赤霉烯酮、赭曲霉毒素</w:t>
            </w:r>
            <w:r>
              <w:rPr>
                <w:rStyle w:val="86"/>
                <w:rFonts w:hint="eastAsia" w:ascii="宋体" w:hAnsi="宋体" w:eastAsia="宋体" w:cs="宋体"/>
                <w:b w:val="0"/>
                <w:snapToGrid w:val="0"/>
                <w:color w:val="auto"/>
                <w:sz w:val="21"/>
                <w:szCs w:val="21"/>
                <w:lang w:bidi="ar"/>
              </w:rPr>
              <w:t>A</w:t>
            </w:r>
          </w:p>
        </w:tc>
        <w:tc>
          <w:tcPr>
            <w:tcW w:w="1024" w:type="pct"/>
            <w:noWrap w:val="0"/>
            <w:vAlign w:val="center"/>
          </w:tcPr>
          <w:p w14:paraId="295E0DBC">
            <w:pPr>
              <w:kinsoku w:val="0"/>
              <w:autoSpaceDE w:val="0"/>
              <w:autoSpaceDN w:val="0"/>
              <w:adjustRightInd w:val="0"/>
              <w:snapToGrid w:val="0"/>
              <w:spacing w:line="260" w:lineRule="exact"/>
              <w:rPr>
                <w:rFonts w:hint="eastAsia" w:ascii="宋体" w:hAnsi="宋体" w:eastAsia="宋体" w:cs="宋体"/>
                <w:sz w:val="21"/>
                <w:szCs w:val="21"/>
              </w:rPr>
            </w:pPr>
          </w:p>
        </w:tc>
      </w:tr>
      <w:tr w14:paraId="0ABE5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281265C">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19025B9A">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restart"/>
            <w:noWrap w:val="0"/>
            <w:vAlign w:val="center"/>
          </w:tcPr>
          <w:p w14:paraId="41F1EEF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其他粮食加工品</w:t>
            </w:r>
          </w:p>
        </w:tc>
        <w:tc>
          <w:tcPr>
            <w:tcW w:w="557" w:type="pct"/>
            <w:noWrap w:val="0"/>
            <w:vAlign w:val="center"/>
          </w:tcPr>
          <w:p w14:paraId="350DF33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谷物碾磨加工品</w:t>
            </w:r>
          </w:p>
        </w:tc>
        <w:tc>
          <w:tcPr>
            <w:tcW w:w="572" w:type="pct"/>
            <w:noWrap w:val="0"/>
            <w:vAlign w:val="center"/>
          </w:tcPr>
          <w:p w14:paraId="11CAD55C">
            <w:pPr>
              <w:widowControl/>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玉米粉</w:t>
            </w:r>
          </w:p>
          <w:p w14:paraId="723B49A3">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（片、渣）</w:t>
            </w:r>
          </w:p>
        </w:tc>
        <w:tc>
          <w:tcPr>
            <w:tcW w:w="180" w:type="pct"/>
            <w:noWrap w:val="0"/>
            <w:vAlign w:val="center"/>
          </w:tcPr>
          <w:p w14:paraId="361379A3">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975A5BA">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伏马菌素（</w:t>
            </w:r>
            <w:r>
              <w:rPr>
                <w:rStyle w:val="86"/>
                <w:rFonts w:hint="eastAsia" w:ascii="宋体" w:hAnsi="宋体" w:eastAsia="宋体" w:cs="宋体"/>
                <w:b w:val="0"/>
                <w:snapToGrid w:val="0"/>
                <w:color w:val="auto"/>
                <w:sz w:val="21"/>
                <w:szCs w:val="21"/>
                <w:lang w:bidi="ar"/>
              </w:rPr>
              <w:t>FB</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FB</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FB</w:t>
            </w:r>
            <w:r>
              <w:rPr>
                <w:rStyle w:val="91"/>
                <w:rFonts w:hint="eastAsia" w:ascii="宋体" w:hAnsi="宋体" w:eastAsia="宋体" w:cs="宋体"/>
                <w:snapToGrid w:val="0"/>
                <w:color w:val="auto"/>
                <w:sz w:val="21"/>
                <w:szCs w:val="21"/>
                <w:vertAlign w:val="subscript"/>
                <w:lang w:bidi="ar"/>
              </w:rPr>
              <w:t>3</w:t>
            </w:r>
            <w:r>
              <w:rPr>
                <w:rStyle w:val="88"/>
                <w:rFonts w:hint="eastAsia" w:ascii="宋体" w:hAnsi="宋体" w:eastAsia="宋体" w:cs="宋体"/>
                <w:snapToGrid w:val="0"/>
                <w:color w:val="auto"/>
                <w:sz w:val="21"/>
                <w:szCs w:val="21"/>
                <w:vertAlign w:val="baseline"/>
                <w:lang w:bidi="ar"/>
              </w:rPr>
              <w:t>）总量</w:t>
            </w:r>
          </w:p>
        </w:tc>
        <w:tc>
          <w:tcPr>
            <w:tcW w:w="1024" w:type="pct"/>
            <w:noWrap w:val="0"/>
            <w:vAlign w:val="center"/>
          </w:tcPr>
          <w:p w14:paraId="2653FF5A">
            <w:pPr>
              <w:kinsoku w:val="0"/>
              <w:autoSpaceDE w:val="0"/>
              <w:autoSpaceDN w:val="0"/>
              <w:adjustRightInd w:val="0"/>
              <w:snapToGrid w:val="0"/>
              <w:spacing w:line="260" w:lineRule="exact"/>
              <w:rPr>
                <w:rFonts w:hint="eastAsia" w:ascii="宋体" w:hAnsi="宋体" w:eastAsia="宋体" w:cs="宋体"/>
                <w:sz w:val="21"/>
                <w:szCs w:val="21"/>
              </w:rPr>
            </w:pPr>
          </w:p>
        </w:tc>
      </w:tr>
      <w:tr w14:paraId="11753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541122A">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669C352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2FBA56C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restart"/>
            <w:noWrap w:val="0"/>
            <w:vAlign w:val="center"/>
          </w:tcPr>
          <w:p w14:paraId="4CFBD94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谷物粉类制成品</w:t>
            </w:r>
          </w:p>
        </w:tc>
        <w:tc>
          <w:tcPr>
            <w:tcW w:w="572" w:type="pct"/>
            <w:noWrap w:val="0"/>
            <w:vAlign w:val="center"/>
          </w:tcPr>
          <w:p w14:paraId="02CB2EEF">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生湿面制品</w:t>
            </w:r>
          </w:p>
        </w:tc>
        <w:tc>
          <w:tcPr>
            <w:tcW w:w="180" w:type="pct"/>
            <w:noWrap w:val="0"/>
            <w:vAlign w:val="center"/>
          </w:tcPr>
          <w:p w14:paraId="1DEA404C">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48CAA62A">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脱氧雪腐镰刀菌烯醇、乙二胺四乙酸二钠、硼酸</w:t>
            </w:r>
          </w:p>
        </w:tc>
        <w:tc>
          <w:tcPr>
            <w:tcW w:w="1024" w:type="pct"/>
            <w:noWrap w:val="0"/>
            <w:vAlign w:val="center"/>
          </w:tcPr>
          <w:p w14:paraId="55C41EEF">
            <w:pPr>
              <w:kinsoku w:val="0"/>
              <w:autoSpaceDE w:val="0"/>
              <w:autoSpaceDN w:val="0"/>
              <w:adjustRightInd w:val="0"/>
              <w:snapToGrid w:val="0"/>
              <w:spacing w:line="260" w:lineRule="exact"/>
              <w:rPr>
                <w:rFonts w:hint="eastAsia" w:ascii="宋体" w:hAnsi="宋体" w:eastAsia="宋体" w:cs="宋体"/>
                <w:sz w:val="21"/>
                <w:szCs w:val="21"/>
              </w:rPr>
            </w:pPr>
          </w:p>
        </w:tc>
      </w:tr>
      <w:tr w14:paraId="0210D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718CBFD">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1172784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059DF0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7A0C5F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5E5328C">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发酵面制品</w:t>
            </w:r>
          </w:p>
        </w:tc>
        <w:tc>
          <w:tcPr>
            <w:tcW w:w="180" w:type="pct"/>
            <w:noWrap w:val="0"/>
            <w:vAlign w:val="center"/>
          </w:tcPr>
          <w:p w14:paraId="7A43D20F">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224B1A1B">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脱氧雪腐镰刀菌烯醇、铝的残留量（干样品，以</w:t>
            </w:r>
            <w:r>
              <w:rPr>
                <w:rStyle w:val="86"/>
                <w:rFonts w:hint="eastAsia" w:ascii="宋体" w:hAnsi="宋体" w:eastAsia="宋体" w:cs="宋体"/>
                <w:b w:val="0"/>
                <w:snapToGrid w:val="0"/>
                <w:color w:val="auto"/>
                <w:sz w:val="21"/>
                <w:szCs w:val="21"/>
                <w:lang w:bidi="ar"/>
              </w:rPr>
              <w:t>Al</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20636F0E">
            <w:pPr>
              <w:kinsoku w:val="0"/>
              <w:autoSpaceDE w:val="0"/>
              <w:autoSpaceDN w:val="0"/>
              <w:adjustRightInd w:val="0"/>
              <w:snapToGrid w:val="0"/>
              <w:spacing w:line="260" w:lineRule="exact"/>
              <w:rPr>
                <w:rFonts w:hint="eastAsia" w:ascii="宋体" w:hAnsi="宋体" w:eastAsia="宋体" w:cs="宋体"/>
                <w:sz w:val="21"/>
                <w:szCs w:val="21"/>
              </w:rPr>
            </w:pPr>
          </w:p>
        </w:tc>
      </w:tr>
      <w:tr w14:paraId="4CF0E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EBEACB8">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414E28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02504CC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2DD89B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6250E5E9">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米粉制品</w:t>
            </w:r>
          </w:p>
        </w:tc>
        <w:tc>
          <w:tcPr>
            <w:tcW w:w="180" w:type="pct"/>
            <w:noWrap w:val="0"/>
            <w:vAlign w:val="center"/>
          </w:tcPr>
          <w:p w14:paraId="1B15E312">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2E5E5FB">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镉（以</w:t>
            </w:r>
            <w:r>
              <w:rPr>
                <w:rStyle w:val="86"/>
                <w:rFonts w:hint="eastAsia" w:ascii="宋体" w:hAnsi="宋体" w:eastAsia="宋体" w:cs="宋体"/>
                <w:b w:val="0"/>
                <w:snapToGrid w:val="0"/>
                <w:color w:val="auto"/>
                <w:sz w:val="21"/>
                <w:szCs w:val="21"/>
                <w:lang w:bidi="ar"/>
              </w:rPr>
              <w:t>Cd</w:t>
            </w:r>
            <w:r>
              <w:rPr>
                <w:rStyle w:val="88"/>
                <w:rFonts w:hint="eastAsia" w:ascii="宋体" w:hAnsi="宋体" w:eastAsia="宋体" w:cs="宋体"/>
                <w:snapToGrid w:val="0"/>
                <w:color w:val="auto"/>
                <w:sz w:val="21"/>
                <w:szCs w:val="21"/>
                <w:vertAlign w:val="baseline"/>
                <w:lang w:bidi="ar"/>
              </w:rPr>
              <w:t>计）、米酵菌酸、乙二胺四乙酸二钠、硼酸</w:t>
            </w:r>
          </w:p>
        </w:tc>
        <w:tc>
          <w:tcPr>
            <w:tcW w:w="1024" w:type="pct"/>
            <w:noWrap w:val="0"/>
            <w:vAlign w:val="center"/>
          </w:tcPr>
          <w:p w14:paraId="2858CA70">
            <w:pPr>
              <w:kinsoku w:val="0"/>
              <w:autoSpaceDE w:val="0"/>
              <w:autoSpaceDN w:val="0"/>
              <w:adjustRightInd w:val="0"/>
              <w:snapToGrid w:val="0"/>
              <w:spacing w:line="260" w:lineRule="exact"/>
              <w:rPr>
                <w:rFonts w:hint="eastAsia" w:ascii="宋体" w:hAnsi="宋体" w:eastAsia="宋体" w:cs="宋体"/>
                <w:sz w:val="21"/>
                <w:szCs w:val="21"/>
              </w:rPr>
            </w:pPr>
          </w:p>
        </w:tc>
      </w:tr>
      <w:tr w14:paraId="2C7F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C90FE84">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29FA62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5DC157BA">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068565E2">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422B239C">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其他谷物粉类制成品</w:t>
            </w:r>
          </w:p>
        </w:tc>
        <w:tc>
          <w:tcPr>
            <w:tcW w:w="180" w:type="pct"/>
            <w:noWrap w:val="0"/>
            <w:vAlign w:val="center"/>
          </w:tcPr>
          <w:p w14:paraId="3A240712">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859249A">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脱氧雪腐镰刀菌烯醇、玉米赤霉烯酮、赭曲霉毒素A、伏马菌素（</w:t>
            </w:r>
            <w:r>
              <w:rPr>
                <w:rStyle w:val="86"/>
                <w:rFonts w:hint="eastAsia" w:ascii="宋体" w:hAnsi="宋体" w:eastAsia="宋体" w:cs="宋体"/>
                <w:b w:val="0"/>
                <w:snapToGrid w:val="0"/>
                <w:color w:val="auto"/>
                <w:sz w:val="21"/>
                <w:szCs w:val="21"/>
                <w:lang w:bidi="ar"/>
              </w:rPr>
              <w:t>FB</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FB</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FB</w:t>
            </w:r>
            <w:r>
              <w:rPr>
                <w:rStyle w:val="91"/>
                <w:rFonts w:hint="eastAsia" w:ascii="宋体" w:hAnsi="宋体" w:eastAsia="宋体" w:cs="宋体"/>
                <w:snapToGrid w:val="0"/>
                <w:color w:val="auto"/>
                <w:sz w:val="21"/>
                <w:szCs w:val="21"/>
                <w:vertAlign w:val="subscript"/>
                <w:lang w:bidi="ar"/>
              </w:rPr>
              <w:t>3</w:t>
            </w:r>
            <w:r>
              <w:rPr>
                <w:rStyle w:val="88"/>
                <w:rFonts w:hint="eastAsia" w:ascii="宋体" w:hAnsi="宋体" w:eastAsia="宋体" w:cs="宋体"/>
                <w:snapToGrid w:val="0"/>
                <w:color w:val="auto"/>
                <w:sz w:val="21"/>
                <w:szCs w:val="21"/>
                <w:vertAlign w:val="baseline"/>
                <w:lang w:bidi="ar"/>
              </w:rPr>
              <w:t>）总量、米酵菌酸</w:t>
            </w:r>
          </w:p>
        </w:tc>
        <w:tc>
          <w:tcPr>
            <w:tcW w:w="1024" w:type="pct"/>
            <w:noWrap w:val="0"/>
            <w:vAlign w:val="center"/>
          </w:tcPr>
          <w:p w14:paraId="641C781B">
            <w:pPr>
              <w:kinsoku w:val="0"/>
              <w:autoSpaceDE w:val="0"/>
              <w:autoSpaceDN w:val="0"/>
              <w:adjustRightInd w:val="0"/>
              <w:snapToGrid w:val="0"/>
              <w:spacing w:line="260" w:lineRule="exact"/>
              <w:rPr>
                <w:rFonts w:hint="eastAsia" w:ascii="宋体" w:hAnsi="宋体" w:eastAsia="宋体" w:cs="宋体"/>
                <w:sz w:val="21"/>
                <w:szCs w:val="21"/>
              </w:rPr>
            </w:pPr>
          </w:p>
        </w:tc>
      </w:tr>
      <w:tr w14:paraId="6E675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20" w:hRule="atLeast"/>
          <w:jc w:val="center"/>
        </w:trPr>
        <w:tc>
          <w:tcPr>
            <w:tcW w:w="183" w:type="pct"/>
            <w:vMerge w:val="restart"/>
            <w:noWrap w:val="0"/>
            <w:vAlign w:val="center"/>
          </w:tcPr>
          <w:p w14:paraId="1036D32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2</w:t>
            </w:r>
          </w:p>
          <w:p w14:paraId="77E9C0F8">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restart"/>
            <w:noWrap w:val="0"/>
            <w:vAlign w:val="center"/>
          </w:tcPr>
          <w:p w14:paraId="568BC4F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食用油、油脂及其制品</w:t>
            </w:r>
          </w:p>
          <w:p w14:paraId="4A3940A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restart"/>
            <w:noWrap w:val="0"/>
            <w:vAlign w:val="center"/>
          </w:tcPr>
          <w:p w14:paraId="30170A9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食用植物油</w:t>
            </w:r>
          </w:p>
          <w:p w14:paraId="54E6529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557" w:type="pct"/>
            <w:vMerge w:val="restart"/>
            <w:noWrap w:val="0"/>
            <w:vAlign w:val="center"/>
          </w:tcPr>
          <w:p w14:paraId="2FC0AE7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食用植物油</w:t>
            </w:r>
          </w:p>
          <w:p w14:paraId="08E5BEE0">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572" w:type="pct"/>
            <w:noWrap w:val="0"/>
            <w:vAlign w:val="center"/>
          </w:tcPr>
          <w:p w14:paraId="1AB520C2">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花生油</w:t>
            </w:r>
          </w:p>
        </w:tc>
        <w:tc>
          <w:tcPr>
            <w:tcW w:w="180" w:type="pct"/>
            <w:noWrap w:val="0"/>
            <w:vAlign w:val="center"/>
          </w:tcPr>
          <w:p w14:paraId="317A9F46">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76229F30">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荧蒽、䓛）、苏丹红Ⅰ、苏丹红Ⅱ、苏丹红Ⅲ、苏丹红Ⅳ、罗丹明B、棉籽油的检出</w:t>
            </w:r>
          </w:p>
        </w:tc>
        <w:tc>
          <w:tcPr>
            <w:tcW w:w="1024" w:type="pct"/>
            <w:noWrap w:val="0"/>
            <w:vAlign w:val="center"/>
          </w:tcPr>
          <w:p w14:paraId="7153CA4C">
            <w:pPr>
              <w:kinsoku w:val="0"/>
              <w:autoSpaceDE w:val="0"/>
              <w:autoSpaceDN w:val="0"/>
              <w:adjustRightInd w:val="0"/>
              <w:snapToGrid w:val="0"/>
              <w:spacing w:line="260" w:lineRule="exact"/>
              <w:rPr>
                <w:rFonts w:hint="eastAsia" w:ascii="宋体" w:hAnsi="宋体" w:eastAsia="宋体" w:cs="宋体"/>
                <w:sz w:val="21"/>
                <w:szCs w:val="21"/>
              </w:rPr>
            </w:pPr>
          </w:p>
        </w:tc>
      </w:tr>
      <w:tr w14:paraId="5DF9C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549" w:hRule="atLeast"/>
          <w:jc w:val="center"/>
        </w:trPr>
        <w:tc>
          <w:tcPr>
            <w:tcW w:w="183" w:type="pct"/>
            <w:vMerge w:val="continue"/>
            <w:noWrap w:val="0"/>
            <w:vAlign w:val="center"/>
          </w:tcPr>
          <w:p w14:paraId="6C1E947F">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720E81D3">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42503A6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1B4EA6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18EF6194">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玉米油</w:t>
            </w:r>
          </w:p>
        </w:tc>
        <w:tc>
          <w:tcPr>
            <w:tcW w:w="180" w:type="pct"/>
            <w:noWrap w:val="0"/>
            <w:vAlign w:val="center"/>
          </w:tcPr>
          <w:p w14:paraId="62C2B14C">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15BE898B">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荧蒽、䓛）、玉米赤霉烯酮、苏丹红Ⅰ、苏丹红Ⅱ、苏丹红Ⅲ、苏丹红Ⅳ、罗丹明B、棉籽油的检出</w:t>
            </w:r>
          </w:p>
        </w:tc>
        <w:tc>
          <w:tcPr>
            <w:tcW w:w="1024" w:type="pct"/>
            <w:noWrap w:val="0"/>
            <w:vAlign w:val="center"/>
          </w:tcPr>
          <w:p w14:paraId="1E8E6A7D">
            <w:pPr>
              <w:kinsoku w:val="0"/>
              <w:autoSpaceDE w:val="0"/>
              <w:autoSpaceDN w:val="0"/>
              <w:adjustRightInd w:val="0"/>
              <w:snapToGrid w:val="0"/>
              <w:spacing w:line="260" w:lineRule="exact"/>
              <w:rPr>
                <w:rFonts w:hint="eastAsia" w:ascii="宋体" w:hAnsi="宋体" w:eastAsia="宋体" w:cs="宋体"/>
                <w:sz w:val="21"/>
                <w:szCs w:val="21"/>
              </w:rPr>
            </w:pPr>
          </w:p>
        </w:tc>
      </w:tr>
      <w:tr w14:paraId="1A490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00" w:hRule="atLeast"/>
          <w:jc w:val="center"/>
        </w:trPr>
        <w:tc>
          <w:tcPr>
            <w:tcW w:w="183" w:type="pct"/>
            <w:vMerge w:val="restart"/>
            <w:noWrap w:val="0"/>
            <w:vAlign w:val="center"/>
          </w:tcPr>
          <w:p w14:paraId="663CA83A">
            <w:pPr>
              <w:kinsoku w:val="0"/>
              <w:autoSpaceDE w:val="0"/>
              <w:autoSpaceDN w:val="0"/>
              <w:adjustRightInd w:val="0"/>
              <w:snapToGrid w:val="0"/>
              <w:spacing w:line="26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352" w:type="pct"/>
            <w:vMerge w:val="restart"/>
            <w:noWrap w:val="0"/>
            <w:vAlign w:val="center"/>
          </w:tcPr>
          <w:p w14:paraId="5AC00B5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食用油、油脂及其制品</w:t>
            </w:r>
          </w:p>
        </w:tc>
        <w:tc>
          <w:tcPr>
            <w:tcW w:w="484" w:type="pct"/>
            <w:vMerge w:val="restart"/>
            <w:noWrap w:val="0"/>
            <w:vAlign w:val="center"/>
          </w:tcPr>
          <w:p w14:paraId="729F2CD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食用植物油</w:t>
            </w:r>
          </w:p>
        </w:tc>
        <w:tc>
          <w:tcPr>
            <w:tcW w:w="557" w:type="pct"/>
            <w:vMerge w:val="restart"/>
            <w:noWrap w:val="0"/>
            <w:vAlign w:val="center"/>
          </w:tcPr>
          <w:p w14:paraId="74C2D40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食用植物油</w:t>
            </w:r>
          </w:p>
        </w:tc>
        <w:tc>
          <w:tcPr>
            <w:tcW w:w="572" w:type="pct"/>
            <w:noWrap w:val="0"/>
            <w:vAlign w:val="center"/>
          </w:tcPr>
          <w:p w14:paraId="63A89DF2">
            <w:pPr>
              <w:widowControl/>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芝麻油</w:t>
            </w:r>
          </w:p>
        </w:tc>
        <w:tc>
          <w:tcPr>
            <w:tcW w:w="180" w:type="pct"/>
            <w:noWrap w:val="0"/>
            <w:vAlign w:val="center"/>
          </w:tcPr>
          <w:p w14:paraId="1CBD399D">
            <w:pPr>
              <w:widowControl/>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290A17B2">
            <w:pPr>
              <w:widowControl/>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w:t>
            </w:r>
          </w:p>
        </w:tc>
        <w:tc>
          <w:tcPr>
            <w:tcW w:w="1024" w:type="pct"/>
            <w:noWrap w:val="0"/>
            <w:vAlign w:val="center"/>
          </w:tcPr>
          <w:p w14:paraId="2AAEAFDA">
            <w:pPr>
              <w:kinsoku w:val="0"/>
              <w:autoSpaceDE w:val="0"/>
              <w:autoSpaceDN w:val="0"/>
              <w:adjustRightInd w:val="0"/>
              <w:snapToGrid w:val="0"/>
              <w:spacing w:line="260" w:lineRule="exact"/>
              <w:rPr>
                <w:rFonts w:hint="eastAsia" w:ascii="宋体" w:hAnsi="宋体" w:eastAsia="宋体" w:cs="宋体"/>
                <w:sz w:val="21"/>
                <w:szCs w:val="21"/>
              </w:rPr>
            </w:pPr>
          </w:p>
        </w:tc>
      </w:tr>
      <w:tr w14:paraId="0B4FC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681" w:hRule="atLeast"/>
          <w:jc w:val="center"/>
        </w:trPr>
        <w:tc>
          <w:tcPr>
            <w:tcW w:w="183" w:type="pct"/>
            <w:vMerge w:val="continue"/>
            <w:noWrap w:val="0"/>
            <w:vAlign w:val="center"/>
          </w:tcPr>
          <w:p w14:paraId="05880A3A">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2D569A4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F7148A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959DE1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6C7526E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橄榄油、油橄榄果渣油</w:t>
            </w:r>
          </w:p>
        </w:tc>
        <w:tc>
          <w:tcPr>
            <w:tcW w:w="180" w:type="pct"/>
            <w:noWrap w:val="0"/>
            <w:vAlign w:val="center"/>
          </w:tcPr>
          <w:p w14:paraId="0088841B">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11918EDA">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脂肪酸组成、反式脂肪酸（</w:t>
            </w:r>
            <w:r>
              <w:rPr>
                <w:rStyle w:val="86"/>
                <w:rFonts w:hint="eastAsia" w:ascii="宋体" w:hAnsi="宋体" w:eastAsia="宋体" w:cs="宋体"/>
                <w:b w:val="0"/>
                <w:snapToGrid w:val="0"/>
                <w:color w:val="auto"/>
                <w:sz w:val="21"/>
                <w:szCs w:val="21"/>
                <w:lang w:bidi="ar"/>
              </w:rPr>
              <w:t>C18:1T</w:t>
            </w:r>
            <w:r>
              <w:rPr>
                <w:rStyle w:val="88"/>
                <w:rFonts w:hint="eastAsia" w:ascii="宋体" w:hAnsi="宋体" w:eastAsia="宋体" w:cs="宋体"/>
                <w:snapToGrid w:val="0"/>
                <w:color w:val="auto"/>
                <w:sz w:val="21"/>
                <w:szCs w:val="21"/>
                <w:vertAlign w:val="baseline"/>
                <w:lang w:bidi="ar"/>
              </w:rPr>
              <w:t>）、反式脂肪酸（</w:t>
            </w:r>
            <w:r>
              <w:rPr>
                <w:rStyle w:val="86"/>
                <w:rFonts w:hint="eastAsia" w:ascii="宋体" w:hAnsi="宋体" w:eastAsia="宋体" w:cs="宋体"/>
                <w:b w:val="0"/>
                <w:snapToGrid w:val="0"/>
                <w:color w:val="auto"/>
                <w:sz w:val="21"/>
                <w:szCs w:val="21"/>
                <w:lang w:bidi="ar"/>
              </w:rPr>
              <w:t>C18:2T+C18:3T</w:t>
            </w:r>
            <w:r>
              <w:rPr>
                <w:rStyle w:val="88"/>
                <w:rFonts w:hint="eastAsia" w:ascii="宋体" w:hAnsi="宋体" w:eastAsia="宋体" w:cs="宋体"/>
                <w:snapToGrid w:val="0"/>
                <w:color w:val="auto"/>
                <w:sz w:val="21"/>
                <w:szCs w:val="21"/>
                <w:vertAlign w:val="baseline"/>
                <w:lang w:bidi="ar"/>
              </w:rPr>
              <w:t>）、紫外吸光度（</w:t>
            </w:r>
            <w:r>
              <w:rPr>
                <w:rStyle w:val="86"/>
                <w:rFonts w:hint="eastAsia" w:ascii="宋体" w:hAnsi="宋体" w:eastAsia="宋体" w:cs="宋体"/>
                <w:b w:val="0"/>
                <w:snapToGrid w:val="0"/>
                <w:color w:val="auto"/>
                <w:sz w:val="21"/>
                <w:szCs w:val="21"/>
                <w:lang w:bidi="ar"/>
              </w:rPr>
              <w:t>270nm</w:t>
            </w: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荧蒽、䓛）、苏丹红Ⅰ、苏丹红Ⅱ、苏丹红Ⅲ、苏丹红Ⅳ、罗丹明B、棉籽油的检出</w:t>
            </w:r>
          </w:p>
        </w:tc>
        <w:tc>
          <w:tcPr>
            <w:tcW w:w="1024" w:type="pct"/>
            <w:noWrap w:val="0"/>
            <w:vAlign w:val="center"/>
          </w:tcPr>
          <w:p w14:paraId="612FCD40">
            <w:pPr>
              <w:kinsoku w:val="0"/>
              <w:autoSpaceDE w:val="0"/>
              <w:autoSpaceDN w:val="0"/>
              <w:adjustRightInd w:val="0"/>
              <w:snapToGrid w:val="0"/>
              <w:spacing w:line="260" w:lineRule="exact"/>
              <w:rPr>
                <w:rFonts w:hint="eastAsia" w:ascii="宋体" w:hAnsi="宋体" w:eastAsia="宋体" w:cs="宋体"/>
                <w:sz w:val="21"/>
                <w:szCs w:val="21"/>
              </w:rPr>
            </w:pPr>
          </w:p>
        </w:tc>
      </w:tr>
      <w:tr w14:paraId="3F1B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B4EB2D0">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4C0C83D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5243405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E037AA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5EA6E0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菜籽油</w:t>
            </w:r>
          </w:p>
        </w:tc>
        <w:tc>
          <w:tcPr>
            <w:tcW w:w="180" w:type="pct"/>
            <w:noWrap w:val="0"/>
            <w:vAlign w:val="center"/>
          </w:tcPr>
          <w:p w14:paraId="2F4425A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719DCF6A">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荧蒽、䓛）、苏丹红Ⅰ、苏丹红Ⅱ、苏丹红Ⅲ、苏丹红Ⅳ、罗丹明B、棉籽油的检出</w:t>
            </w:r>
          </w:p>
        </w:tc>
        <w:tc>
          <w:tcPr>
            <w:tcW w:w="1024" w:type="pct"/>
            <w:noWrap w:val="0"/>
            <w:vAlign w:val="center"/>
          </w:tcPr>
          <w:p w14:paraId="7E57BCEF">
            <w:pPr>
              <w:kinsoku w:val="0"/>
              <w:autoSpaceDE w:val="0"/>
              <w:autoSpaceDN w:val="0"/>
              <w:adjustRightInd w:val="0"/>
              <w:snapToGrid w:val="0"/>
              <w:spacing w:line="260" w:lineRule="exact"/>
              <w:rPr>
                <w:rFonts w:hint="eastAsia" w:ascii="宋体" w:hAnsi="宋体" w:eastAsia="宋体" w:cs="宋体"/>
                <w:sz w:val="21"/>
                <w:szCs w:val="21"/>
              </w:rPr>
            </w:pPr>
          </w:p>
        </w:tc>
      </w:tr>
      <w:tr w14:paraId="6332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39" w:hRule="atLeast"/>
          <w:jc w:val="center"/>
        </w:trPr>
        <w:tc>
          <w:tcPr>
            <w:tcW w:w="183" w:type="pct"/>
            <w:vMerge w:val="continue"/>
            <w:noWrap w:val="0"/>
            <w:vAlign w:val="center"/>
          </w:tcPr>
          <w:p w14:paraId="11A11BA8">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5AB5F464">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A61A2F2">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718B33D7">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749AA1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大豆油</w:t>
            </w:r>
          </w:p>
        </w:tc>
        <w:tc>
          <w:tcPr>
            <w:tcW w:w="180" w:type="pct"/>
            <w:noWrap w:val="0"/>
            <w:vAlign w:val="center"/>
          </w:tcPr>
          <w:p w14:paraId="113437D4">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4712A544">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荧蒽、䓛）、棉籽油的检出</w:t>
            </w:r>
          </w:p>
        </w:tc>
        <w:tc>
          <w:tcPr>
            <w:tcW w:w="1024" w:type="pct"/>
            <w:noWrap w:val="0"/>
            <w:vAlign w:val="center"/>
          </w:tcPr>
          <w:p w14:paraId="1D4DEB3C">
            <w:pPr>
              <w:kinsoku w:val="0"/>
              <w:autoSpaceDE w:val="0"/>
              <w:autoSpaceDN w:val="0"/>
              <w:adjustRightInd w:val="0"/>
              <w:snapToGrid w:val="0"/>
              <w:spacing w:line="260" w:lineRule="exact"/>
              <w:rPr>
                <w:rFonts w:hint="eastAsia" w:ascii="宋体" w:hAnsi="宋体" w:eastAsia="宋体" w:cs="宋体"/>
                <w:sz w:val="21"/>
                <w:szCs w:val="21"/>
              </w:rPr>
            </w:pPr>
          </w:p>
        </w:tc>
      </w:tr>
      <w:tr w14:paraId="50B2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2" w:hRule="atLeast"/>
          <w:jc w:val="center"/>
        </w:trPr>
        <w:tc>
          <w:tcPr>
            <w:tcW w:w="183" w:type="pct"/>
            <w:vMerge w:val="continue"/>
            <w:noWrap w:val="0"/>
            <w:vAlign w:val="center"/>
          </w:tcPr>
          <w:p w14:paraId="1321F81A">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6B7F0FD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43CAFA7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458D5AA">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1FDA74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食用植物调和油</w:t>
            </w:r>
          </w:p>
        </w:tc>
        <w:tc>
          <w:tcPr>
            <w:tcW w:w="180" w:type="pct"/>
            <w:noWrap w:val="0"/>
            <w:vAlign w:val="center"/>
          </w:tcPr>
          <w:p w14:paraId="71BD938E">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6D3A0F52">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荧蒽、䓛）、苏丹红Ⅰ、苏丹红Ⅱ、苏丹红Ⅲ、苏丹红Ⅳ、罗丹明B、棉籽油的检出</w:t>
            </w:r>
          </w:p>
        </w:tc>
        <w:tc>
          <w:tcPr>
            <w:tcW w:w="1024" w:type="pct"/>
            <w:noWrap w:val="0"/>
            <w:vAlign w:val="center"/>
          </w:tcPr>
          <w:p w14:paraId="69BE5DBC">
            <w:pPr>
              <w:kinsoku w:val="0"/>
              <w:autoSpaceDE w:val="0"/>
              <w:autoSpaceDN w:val="0"/>
              <w:adjustRightInd w:val="0"/>
              <w:snapToGrid w:val="0"/>
              <w:spacing w:line="260" w:lineRule="exact"/>
              <w:rPr>
                <w:rFonts w:hint="eastAsia" w:ascii="宋体" w:hAnsi="宋体" w:eastAsia="宋体" w:cs="宋体"/>
                <w:sz w:val="21"/>
                <w:szCs w:val="21"/>
              </w:rPr>
            </w:pPr>
          </w:p>
        </w:tc>
      </w:tr>
      <w:tr w14:paraId="414C7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89" w:hRule="atLeast"/>
          <w:jc w:val="center"/>
        </w:trPr>
        <w:tc>
          <w:tcPr>
            <w:tcW w:w="183" w:type="pct"/>
            <w:vMerge w:val="restart"/>
            <w:noWrap w:val="0"/>
            <w:vAlign w:val="center"/>
          </w:tcPr>
          <w:p w14:paraId="36D1E06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2</w:t>
            </w:r>
          </w:p>
        </w:tc>
        <w:tc>
          <w:tcPr>
            <w:tcW w:w="352" w:type="pct"/>
            <w:vMerge w:val="restart"/>
            <w:noWrap w:val="0"/>
            <w:vAlign w:val="center"/>
          </w:tcPr>
          <w:p w14:paraId="6ABDC00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食用油、油脂及其制品</w:t>
            </w:r>
          </w:p>
        </w:tc>
        <w:tc>
          <w:tcPr>
            <w:tcW w:w="484" w:type="pct"/>
            <w:vMerge w:val="restart"/>
            <w:noWrap w:val="0"/>
            <w:vAlign w:val="center"/>
          </w:tcPr>
          <w:p w14:paraId="316CD01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食用植物油</w:t>
            </w:r>
          </w:p>
        </w:tc>
        <w:tc>
          <w:tcPr>
            <w:tcW w:w="557" w:type="pct"/>
            <w:vMerge w:val="restart"/>
            <w:noWrap w:val="0"/>
            <w:vAlign w:val="center"/>
          </w:tcPr>
          <w:p w14:paraId="23B8974D">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食用植物油</w:t>
            </w:r>
          </w:p>
        </w:tc>
        <w:tc>
          <w:tcPr>
            <w:tcW w:w="572" w:type="pct"/>
            <w:noWrap w:val="0"/>
            <w:vAlign w:val="center"/>
          </w:tcPr>
          <w:p w14:paraId="00B9697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油茶籽油</w:t>
            </w:r>
          </w:p>
        </w:tc>
        <w:tc>
          <w:tcPr>
            <w:tcW w:w="180" w:type="pct"/>
            <w:noWrap w:val="0"/>
            <w:vAlign w:val="center"/>
          </w:tcPr>
          <w:p w14:paraId="4C3E5715">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023D6690">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荧蒽、䓛）、苏丹红Ⅰ、苏丹红Ⅱ、苏丹红Ⅲ、苏丹红Ⅳ、罗丹明B、棉籽油的检出</w:t>
            </w:r>
          </w:p>
        </w:tc>
        <w:tc>
          <w:tcPr>
            <w:tcW w:w="1024" w:type="pct"/>
            <w:noWrap w:val="0"/>
            <w:vAlign w:val="center"/>
          </w:tcPr>
          <w:p w14:paraId="2D8320F4">
            <w:pPr>
              <w:kinsoku w:val="0"/>
              <w:autoSpaceDE w:val="0"/>
              <w:autoSpaceDN w:val="0"/>
              <w:adjustRightInd w:val="0"/>
              <w:snapToGrid w:val="0"/>
              <w:spacing w:line="260" w:lineRule="exact"/>
              <w:rPr>
                <w:rFonts w:hint="eastAsia" w:ascii="宋体" w:hAnsi="宋体" w:eastAsia="宋体" w:cs="宋体"/>
                <w:sz w:val="21"/>
                <w:szCs w:val="21"/>
              </w:rPr>
            </w:pPr>
          </w:p>
        </w:tc>
      </w:tr>
      <w:tr w14:paraId="07D7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75" w:hRule="atLeast"/>
          <w:jc w:val="center"/>
        </w:trPr>
        <w:tc>
          <w:tcPr>
            <w:tcW w:w="183" w:type="pct"/>
            <w:vMerge w:val="continue"/>
            <w:noWrap w:val="0"/>
            <w:vAlign w:val="center"/>
          </w:tcPr>
          <w:p w14:paraId="342D955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63A208A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249EAE8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7E6F961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405DD10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其他食用植物油</w:t>
            </w:r>
          </w:p>
        </w:tc>
        <w:tc>
          <w:tcPr>
            <w:tcW w:w="180" w:type="pct"/>
            <w:noWrap w:val="0"/>
            <w:vAlign w:val="center"/>
          </w:tcPr>
          <w:p w14:paraId="5644AEBE">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E0C7E7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脂肪酸组成、邻苯二甲酸二正丁酯（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）、辣椒素总量（天然辣椒素、二氢辣椒素、合成辣椒素）、</w:t>
            </w:r>
            <w:r>
              <w:rPr>
                <w:rStyle w:val="86"/>
                <w:rFonts w:hint="eastAsia" w:ascii="宋体" w:hAnsi="宋体" w:eastAsia="宋体" w:cs="宋体"/>
                <w:b w:val="0"/>
                <w:snapToGrid w:val="0"/>
                <w:color w:val="auto"/>
                <w:sz w:val="21"/>
                <w:szCs w:val="21"/>
                <w:lang w:bidi="ar"/>
              </w:rPr>
              <w:t>3-</w:t>
            </w:r>
            <w:r>
              <w:rPr>
                <w:rStyle w:val="88"/>
                <w:rFonts w:hint="eastAsia" w:ascii="宋体" w:hAnsi="宋体" w:eastAsia="宋体" w:cs="宋体"/>
                <w:snapToGrid w:val="0"/>
                <w:color w:val="auto"/>
                <w:sz w:val="21"/>
                <w:szCs w:val="21"/>
                <w:vertAlign w:val="baseline"/>
                <w:lang w:bidi="ar"/>
              </w:rPr>
              <w:t>氯</w:t>
            </w:r>
            <w:r>
              <w:rPr>
                <w:rStyle w:val="86"/>
                <w:rFonts w:hint="eastAsia" w:ascii="宋体" w:hAnsi="宋体" w:eastAsia="宋体" w:cs="宋体"/>
                <w:b w:val="0"/>
                <w:snapToGrid w:val="0"/>
                <w:color w:val="auto"/>
                <w:sz w:val="21"/>
                <w:szCs w:val="21"/>
                <w:lang w:bidi="ar"/>
              </w:rPr>
              <w:t>-1,2-</w:t>
            </w:r>
            <w:r>
              <w:rPr>
                <w:rStyle w:val="88"/>
                <w:rFonts w:hint="eastAsia" w:ascii="宋体" w:hAnsi="宋体" w:eastAsia="宋体" w:cs="宋体"/>
                <w:snapToGrid w:val="0"/>
                <w:color w:val="auto"/>
                <w:sz w:val="21"/>
                <w:szCs w:val="21"/>
                <w:vertAlign w:val="baseline"/>
                <w:lang w:bidi="ar"/>
              </w:rPr>
              <w:t>丙二醇脂肪酸酯（以</w:t>
            </w:r>
            <w:r>
              <w:rPr>
                <w:rStyle w:val="86"/>
                <w:rFonts w:hint="eastAsia" w:ascii="宋体" w:hAnsi="宋体" w:eastAsia="宋体" w:cs="宋体"/>
                <w:b w:val="0"/>
                <w:snapToGrid w:val="0"/>
                <w:color w:val="auto"/>
                <w:sz w:val="21"/>
                <w:szCs w:val="21"/>
                <w:lang w:bidi="ar"/>
              </w:rPr>
              <w:t>3-MCPD</w:t>
            </w:r>
            <w:r>
              <w:rPr>
                <w:rStyle w:val="88"/>
                <w:rFonts w:hint="eastAsia" w:ascii="宋体" w:hAnsi="宋体" w:eastAsia="宋体" w:cs="宋体"/>
                <w:snapToGrid w:val="0"/>
                <w:color w:val="auto"/>
                <w:sz w:val="21"/>
                <w:szCs w:val="21"/>
                <w:vertAlign w:val="baseline"/>
                <w:lang w:bidi="ar"/>
              </w:rPr>
              <w:t>计）、缩水甘油酯（以缩水甘油计）、多环芳烃（苯并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荧蒽、䓛）、苏丹红Ⅰ、苏丹红Ⅱ、苏丹红Ⅲ、苏丹红Ⅳ、罗丹明B、棉籽油的检出</w:t>
            </w:r>
          </w:p>
        </w:tc>
        <w:tc>
          <w:tcPr>
            <w:tcW w:w="1024" w:type="pct"/>
            <w:noWrap w:val="0"/>
            <w:vAlign w:val="center"/>
          </w:tcPr>
          <w:p w14:paraId="1C46A246">
            <w:pPr>
              <w:kinsoku w:val="0"/>
              <w:autoSpaceDE w:val="0"/>
              <w:autoSpaceDN w:val="0"/>
              <w:adjustRightInd w:val="0"/>
              <w:snapToGrid w:val="0"/>
              <w:spacing w:line="260" w:lineRule="exact"/>
              <w:rPr>
                <w:rFonts w:hint="eastAsia" w:ascii="宋体" w:hAnsi="宋体" w:eastAsia="宋体" w:cs="宋体"/>
                <w:sz w:val="21"/>
                <w:szCs w:val="21"/>
              </w:rPr>
            </w:pPr>
          </w:p>
        </w:tc>
      </w:tr>
      <w:tr w14:paraId="33666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1C7FD32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3</w:t>
            </w:r>
          </w:p>
        </w:tc>
        <w:tc>
          <w:tcPr>
            <w:tcW w:w="352" w:type="pct"/>
            <w:vMerge w:val="restart"/>
            <w:noWrap w:val="0"/>
            <w:vAlign w:val="center"/>
          </w:tcPr>
          <w:p w14:paraId="134319B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调味品</w:t>
            </w:r>
          </w:p>
        </w:tc>
        <w:tc>
          <w:tcPr>
            <w:tcW w:w="484" w:type="pct"/>
            <w:noWrap w:val="0"/>
            <w:vAlign w:val="center"/>
          </w:tcPr>
          <w:p w14:paraId="1930C45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酱类</w:t>
            </w:r>
          </w:p>
        </w:tc>
        <w:tc>
          <w:tcPr>
            <w:tcW w:w="557" w:type="pct"/>
            <w:noWrap w:val="0"/>
            <w:vAlign w:val="center"/>
          </w:tcPr>
          <w:p w14:paraId="7DD75CC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酿造酱</w:t>
            </w:r>
          </w:p>
        </w:tc>
        <w:tc>
          <w:tcPr>
            <w:tcW w:w="572" w:type="pct"/>
            <w:noWrap w:val="0"/>
            <w:vAlign w:val="center"/>
          </w:tcPr>
          <w:p w14:paraId="7614234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黄豆酱、甜面酱等</w:t>
            </w:r>
          </w:p>
        </w:tc>
        <w:tc>
          <w:tcPr>
            <w:tcW w:w="180" w:type="pct"/>
            <w:noWrap w:val="0"/>
            <w:vAlign w:val="center"/>
          </w:tcPr>
          <w:p w14:paraId="7D53C9A0">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00E8D82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74199891">
            <w:pPr>
              <w:kinsoku w:val="0"/>
              <w:autoSpaceDE w:val="0"/>
              <w:autoSpaceDN w:val="0"/>
              <w:adjustRightInd w:val="0"/>
              <w:snapToGrid w:val="0"/>
              <w:spacing w:line="260" w:lineRule="exact"/>
              <w:rPr>
                <w:rFonts w:hint="eastAsia" w:ascii="宋体" w:hAnsi="宋体" w:eastAsia="宋体" w:cs="宋体"/>
                <w:sz w:val="21"/>
                <w:szCs w:val="21"/>
              </w:rPr>
            </w:pPr>
          </w:p>
        </w:tc>
      </w:tr>
      <w:tr w14:paraId="4CCCC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18DB540">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7DE08E4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noWrap w:val="0"/>
            <w:vAlign w:val="center"/>
          </w:tcPr>
          <w:p w14:paraId="62E6EF8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调味料酒</w:t>
            </w:r>
          </w:p>
        </w:tc>
        <w:tc>
          <w:tcPr>
            <w:tcW w:w="557" w:type="pct"/>
            <w:noWrap w:val="0"/>
            <w:vAlign w:val="center"/>
          </w:tcPr>
          <w:p w14:paraId="0C4235E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调味料酒</w:t>
            </w:r>
          </w:p>
        </w:tc>
        <w:tc>
          <w:tcPr>
            <w:tcW w:w="572" w:type="pct"/>
            <w:noWrap w:val="0"/>
            <w:vAlign w:val="center"/>
          </w:tcPr>
          <w:p w14:paraId="179B2D8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料酒</w:t>
            </w:r>
          </w:p>
        </w:tc>
        <w:tc>
          <w:tcPr>
            <w:tcW w:w="180" w:type="pct"/>
            <w:noWrap w:val="0"/>
            <w:vAlign w:val="center"/>
          </w:tcPr>
          <w:p w14:paraId="2F667E28">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447B0CD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6F0BBC3C">
            <w:pPr>
              <w:kinsoku w:val="0"/>
              <w:autoSpaceDE w:val="0"/>
              <w:autoSpaceDN w:val="0"/>
              <w:adjustRightInd w:val="0"/>
              <w:snapToGrid w:val="0"/>
              <w:spacing w:line="260" w:lineRule="exact"/>
              <w:rPr>
                <w:rFonts w:hint="eastAsia" w:ascii="宋体" w:hAnsi="宋体" w:eastAsia="宋体" w:cs="宋体"/>
                <w:sz w:val="21"/>
                <w:szCs w:val="21"/>
              </w:rPr>
            </w:pPr>
          </w:p>
        </w:tc>
      </w:tr>
      <w:tr w14:paraId="10F16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A5846B2">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172BED4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restart"/>
            <w:noWrap w:val="0"/>
            <w:vAlign w:val="center"/>
          </w:tcPr>
          <w:p w14:paraId="46383AA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香辛料类</w:t>
            </w:r>
          </w:p>
        </w:tc>
        <w:tc>
          <w:tcPr>
            <w:tcW w:w="557" w:type="pct"/>
            <w:vMerge w:val="restart"/>
            <w:noWrap w:val="0"/>
            <w:vAlign w:val="center"/>
          </w:tcPr>
          <w:p w14:paraId="0170AB7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香辛料类</w:t>
            </w:r>
          </w:p>
        </w:tc>
        <w:tc>
          <w:tcPr>
            <w:tcW w:w="572" w:type="pct"/>
            <w:noWrap w:val="0"/>
            <w:vAlign w:val="center"/>
          </w:tcPr>
          <w:p w14:paraId="383E33E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香辛料调味油</w:t>
            </w:r>
          </w:p>
        </w:tc>
        <w:tc>
          <w:tcPr>
            <w:tcW w:w="180" w:type="pct"/>
            <w:noWrap w:val="0"/>
            <w:vAlign w:val="center"/>
          </w:tcPr>
          <w:p w14:paraId="4BBBB578">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3355ABF6">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6D03E765">
            <w:pPr>
              <w:kinsoku w:val="0"/>
              <w:autoSpaceDE w:val="0"/>
              <w:autoSpaceDN w:val="0"/>
              <w:adjustRightInd w:val="0"/>
              <w:snapToGrid w:val="0"/>
              <w:spacing w:line="260" w:lineRule="exact"/>
              <w:rPr>
                <w:rFonts w:hint="eastAsia" w:ascii="宋体" w:hAnsi="宋体" w:eastAsia="宋体" w:cs="宋体"/>
                <w:sz w:val="21"/>
                <w:szCs w:val="21"/>
              </w:rPr>
            </w:pPr>
          </w:p>
        </w:tc>
      </w:tr>
      <w:tr w14:paraId="31EF7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018DB5D">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78C8702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1CFCF7A">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33CC81B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2B76BAF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辣椒、花椒、辣椒粉、花椒粉</w:t>
            </w:r>
          </w:p>
        </w:tc>
        <w:tc>
          <w:tcPr>
            <w:tcW w:w="180" w:type="pct"/>
            <w:noWrap w:val="0"/>
            <w:vAlign w:val="center"/>
          </w:tcPr>
          <w:p w14:paraId="648C4704">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BA7BEFE">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黄曲霉毒素（</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）总量、赭曲霉毒素</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、碱性嫩黄</w:t>
            </w:r>
          </w:p>
        </w:tc>
        <w:tc>
          <w:tcPr>
            <w:tcW w:w="1024" w:type="pct"/>
            <w:noWrap w:val="0"/>
            <w:vAlign w:val="center"/>
          </w:tcPr>
          <w:p w14:paraId="07EBBE8C">
            <w:pPr>
              <w:kinsoku w:val="0"/>
              <w:autoSpaceDE w:val="0"/>
              <w:autoSpaceDN w:val="0"/>
              <w:adjustRightInd w:val="0"/>
              <w:snapToGrid w:val="0"/>
              <w:spacing w:line="260" w:lineRule="exact"/>
              <w:rPr>
                <w:rFonts w:hint="eastAsia" w:ascii="宋体" w:hAnsi="宋体" w:eastAsia="宋体" w:cs="宋体"/>
                <w:sz w:val="21"/>
                <w:szCs w:val="21"/>
              </w:rPr>
            </w:pPr>
          </w:p>
        </w:tc>
      </w:tr>
      <w:tr w14:paraId="650D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91C63C4">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3514C5B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EB96CD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6FE1DA3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2864D15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其他香辛料调味品</w:t>
            </w:r>
          </w:p>
        </w:tc>
        <w:tc>
          <w:tcPr>
            <w:tcW w:w="180" w:type="pct"/>
            <w:noWrap w:val="0"/>
            <w:vAlign w:val="center"/>
          </w:tcPr>
          <w:p w14:paraId="145BE600">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C1EDB58">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碱性嫩黄</w:t>
            </w:r>
          </w:p>
        </w:tc>
        <w:tc>
          <w:tcPr>
            <w:tcW w:w="1024" w:type="pct"/>
            <w:noWrap w:val="0"/>
            <w:vAlign w:val="center"/>
          </w:tcPr>
          <w:p w14:paraId="45461946">
            <w:pPr>
              <w:kinsoku w:val="0"/>
              <w:autoSpaceDE w:val="0"/>
              <w:autoSpaceDN w:val="0"/>
              <w:adjustRightInd w:val="0"/>
              <w:snapToGrid w:val="0"/>
              <w:spacing w:line="260" w:lineRule="exact"/>
              <w:rPr>
                <w:rFonts w:hint="eastAsia" w:ascii="宋体" w:hAnsi="宋体" w:eastAsia="宋体" w:cs="宋体"/>
                <w:sz w:val="21"/>
                <w:szCs w:val="21"/>
              </w:rPr>
            </w:pPr>
          </w:p>
        </w:tc>
      </w:tr>
      <w:tr w14:paraId="3357E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30B1EC0">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4770D93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restart"/>
            <w:noWrap w:val="0"/>
            <w:vAlign w:val="center"/>
          </w:tcPr>
          <w:p w14:paraId="05A877A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调味料</w:t>
            </w:r>
          </w:p>
        </w:tc>
        <w:tc>
          <w:tcPr>
            <w:tcW w:w="557" w:type="pct"/>
            <w:noWrap w:val="0"/>
            <w:vAlign w:val="center"/>
          </w:tcPr>
          <w:p w14:paraId="266075F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固体复合调味料</w:t>
            </w:r>
          </w:p>
        </w:tc>
        <w:tc>
          <w:tcPr>
            <w:tcW w:w="572" w:type="pct"/>
            <w:noWrap w:val="0"/>
            <w:vAlign w:val="center"/>
          </w:tcPr>
          <w:p w14:paraId="20ADE22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其他固体调味料</w:t>
            </w:r>
          </w:p>
        </w:tc>
        <w:tc>
          <w:tcPr>
            <w:tcW w:w="180" w:type="pct"/>
            <w:noWrap w:val="0"/>
            <w:vAlign w:val="center"/>
          </w:tcPr>
          <w:p w14:paraId="6E480CF2">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0E0D3083">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黄曲霉毒素（</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）总量、碱性嫩黄、罗丹明</w:t>
            </w:r>
            <w:r>
              <w:rPr>
                <w:rStyle w:val="86"/>
                <w:rFonts w:hint="eastAsia" w:ascii="宋体" w:hAnsi="宋体" w:eastAsia="宋体" w:cs="宋体"/>
                <w:b w:val="0"/>
                <w:snapToGrid w:val="0"/>
                <w:color w:val="auto"/>
                <w:sz w:val="21"/>
                <w:szCs w:val="21"/>
                <w:lang w:bidi="ar"/>
              </w:rPr>
              <w:t>B</w:t>
            </w:r>
          </w:p>
        </w:tc>
        <w:tc>
          <w:tcPr>
            <w:tcW w:w="1024" w:type="pct"/>
            <w:noWrap w:val="0"/>
            <w:vAlign w:val="center"/>
          </w:tcPr>
          <w:p w14:paraId="6965FEA6">
            <w:pPr>
              <w:kinsoku w:val="0"/>
              <w:autoSpaceDE w:val="0"/>
              <w:autoSpaceDN w:val="0"/>
              <w:adjustRightInd w:val="0"/>
              <w:snapToGrid w:val="0"/>
              <w:spacing w:line="260" w:lineRule="exact"/>
              <w:rPr>
                <w:rFonts w:hint="eastAsia" w:ascii="宋体" w:hAnsi="宋体" w:eastAsia="宋体" w:cs="宋体"/>
                <w:sz w:val="21"/>
                <w:szCs w:val="21"/>
              </w:rPr>
            </w:pPr>
          </w:p>
        </w:tc>
      </w:tr>
      <w:tr w14:paraId="6F936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D1B4668">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4A356E9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01995E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restart"/>
            <w:noWrap w:val="0"/>
            <w:vAlign w:val="center"/>
          </w:tcPr>
          <w:p w14:paraId="3BE3BD8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半固体复合调味料</w:t>
            </w:r>
          </w:p>
        </w:tc>
        <w:tc>
          <w:tcPr>
            <w:tcW w:w="572" w:type="pct"/>
            <w:noWrap w:val="0"/>
            <w:vAlign w:val="center"/>
          </w:tcPr>
          <w:p w14:paraId="24AF4CD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坚果与籽类的泥（酱）</w:t>
            </w:r>
          </w:p>
        </w:tc>
        <w:tc>
          <w:tcPr>
            <w:tcW w:w="180" w:type="pct"/>
            <w:noWrap w:val="0"/>
            <w:vAlign w:val="center"/>
          </w:tcPr>
          <w:p w14:paraId="441CFB20">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3BD6366B">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黄曲霉毒素</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6A033CA4">
            <w:pPr>
              <w:kinsoku w:val="0"/>
              <w:autoSpaceDE w:val="0"/>
              <w:autoSpaceDN w:val="0"/>
              <w:adjustRightInd w:val="0"/>
              <w:snapToGrid w:val="0"/>
              <w:spacing w:line="260" w:lineRule="exact"/>
              <w:rPr>
                <w:rFonts w:hint="eastAsia" w:ascii="宋体" w:hAnsi="宋体" w:eastAsia="宋体" w:cs="宋体"/>
                <w:sz w:val="21"/>
                <w:szCs w:val="21"/>
              </w:rPr>
            </w:pPr>
          </w:p>
        </w:tc>
      </w:tr>
      <w:tr w14:paraId="64E2C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73B9655">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7334A4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1907032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156AB4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F31F40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辣椒酱</w:t>
            </w:r>
          </w:p>
        </w:tc>
        <w:tc>
          <w:tcPr>
            <w:tcW w:w="180" w:type="pct"/>
            <w:noWrap w:val="0"/>
            <w:vAlign w:val="center"/>
          </w:tcPr>
          <w:p w14:paraId="4517D0BC">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4D8D272B">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62B8BE1D">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限含油辣椒酱检测</w:t>
            </w:r>
          </w:p>
        </w:tc>
      </w:tr>
      <w:tr w14:paraId="7362A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D51058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5DB61FD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1753FBC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2BE08E2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58920C0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火锅底料、麻辣烫底料</w:t>
            </w:r>
          </w:p>
        </w:tc>
        <w:tc>
          <w:tcPr>
            <w:tcW w:w="180" w:type="pct"/>
            <w:noWrap w:val="0"/>
            <w:vAlign w:val="center"/>
          </w:tcPr>
          <w:p w14:paraId="4BBD399F">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74D79E3E">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2AE42AF4">
            <w:pPr>
              <w:kinsoku w:val="0"/>
              <w:autoSpaceDE w:val="0"/>
              <w:autoSpaceDN w:val="0"/>
              <w:adjustRightInd w:val="0"/>
              <w:snapToGrid w:val="0"/>
              <w:spacing w:line="260" w:lineRule="exact"/>
              <w:rPr>
                <w:rFonts w:hint="eastAsia" w:ascii="宋体" w:hAnsi="宋体" w:eastAsia="宋体" w:cs="宋体"/>
                <w:sz w:val="21"/>
                <w:szCs w:val="21"/>
              </w:rPr>
            </w:pPr>
          </w:p>
        </w:tc>
      </w:tr>
      <w:tr w14:paraId="28E7C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BE5A16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3FC1250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06FEFAD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14E3656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16DBFDC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其他半固体调味料</w:t>
            </w:r>
          </w:p>
        </w:tc>
        <w:tc>
          <w:tcPr>
            <w:tcW w:w="180" w:type="pct"/>
            <w:noWrap w:val="0"/>
            <w:vAlign w:val="center"/>
          </w:tcPr>
          <w:p w14:paraId="6829E23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1438DEF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黄曲霉毒素（</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vertAlign w:val="subscript"/>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vertAlign w:val="subscript"/>
                <w:lang w:bidi="ar"/>
              </w:rPr>
              <w:t>2</w:t>
            </w:r>
            <w:r>
              <w:rPr>
                <w:rStyle w:val="88"/>
                <w:rFonts w:hint="eastAsia" w:ascii="宋体" w:hAnsi="宋体" w:eastAsia="宋体" w:cs="宋体"/>
                <w:snapToGrid w:val="0"/>
                <w:color w:val="auto"/>
                <w:sz w:val="21"/>
                <w:szCs w:val="21"/>
                <w:vertAlign w:val="baseline"/>
                <w:lang w:bidi="ar"/>
              </w:rPr>
              <w:t>）总量、邻苯二甲酸二正丁酯（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）、牛源性成分</w:t>
            </w:r>
          </w:p>
        </w:tc>
        <w:tc>
          <w:tcPr>
            <w:tcW w:w="1024" w:type="pct"/>
            <w:noWrap w:val="0"/>
            <w:vAlign w:val="center"/>
          </w:tcPr>
          <w:p w14:paraId="53BC7681">
            <w:pPr>
              <w:kinsoku w:val="0"/>
              <w:autoSpaceDE w:val="0"/>
              <w:autoSpaceDN w:val="0"/>
              <w:adjustRightInd w:val="0"/>
              <w:snapToGrid w:val="0"/>
              <w:spacing w:line="260" w:lineRule="exact"/>
              <w:rPr>
                <w:rFonts w:hint="eastAsia" w:ascii="宋体" w:hAnsi="宋体" w:eastAsia="宋体" w:cs="宋体"/>
                <w:sz w:val="21"/>
                <w:szCs w:val="21"/>
              </w:rPr>
            </w:pPr>
          </w:p>
        </w:tc>
      </w:tr>
      <w:tr w14:paraId="5D8D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52" w:hRule="atLeast"/>
          <w:jc w:val="center"/>
        </w:trPr>
        <w:tc>
          <w:tcPr>
            <w:tcW w:w="183" w:type="pct"/>
            <w:vMerge w:val="restart"/>
            <w:noWrap w:val="0"/>
            <w:vAlign w:val="center"/>
          </w:tcPr>
          <w:p w14:paraId="1FEFDEF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4</w:t>
            </w:r>
          </w:p>
          <w:p w14:paraId="5CE4942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restart"/>
            <w:noWrap w:val="0"/>
            <w:vAlign w:val="center"/>
          </w:tcPr>
          <w:p w14:paraId="33A0D38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肉制品</w:t>
            </w:r>
          </w:p>
          <w:p w14:paraId="421361F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restart"/>
            <w:noWrap w:val="0"/>
            <w:vAlign w:val="center"/>
          </w:tcPr>
          <w:p w14:paraId="1B5FD84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预制肉制品</w:t>
            </w:r>
          </w:p>
        </w:tc>
        <w:tc>
          <w:tcPr>
            <w:tcW w:w="557" w:type="pct"/>
            <w:noWrap w:val="0"/>
            <w:vAlign w:val="center"/>
          </w:tcPr>
          <w:p w14:paraId="22E35C3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调理肉制品</w:t>
            </w:r>
          </w:p>
        </w:tc>
        <w:tc>
          <w:tcPr>
            <w:tcW w:w="572" w:type="pct"/>
            <w:noWrap w:val="0"/>
            <w:vAlign w:val="center"/>
          </w:tcPr>
          <w:p w14:paraId="30367062">
            <w:pPr>
              <w:kinsoku w:val="0"/>
              <w:autoSpaceDE w:val="0"/>
              <w:autoSpaceDN w:val="0"/>
              <w:adjustRightInd w:val="0"/>
              <w:snapToGrid w:val="0"/>
              <w:spacing w:line="28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调理肉制品</w:t>
            </w:r>
          </w:p>
          <w:p w14:paraId="623C4927">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（非速冻）</w:t>
            </w:r>
          </w:p>
        </w:tc>
        <w:tc>
          <w:tcPr>
            <w:tcW w:w="180" w:type="pct"/>
            <w:noWrap w:val="0"/>
            <w:vAlign w:val="center"/>
          </w:tcPr>
          <w:p w14:paraId="273130DF">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32BC02F">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动物源性成分鉴定（牛、羊、猪、鸡、鸭、鹅）、硼酸、五氯酚酸钠（以五氯酚计）、呋喃它酮代谢物、呋喃西林代谢物</w:t>
            </w:r>
          </w:p>
        </w:tc>
        <w:tc>
          <w:tcPr>
            <w:tcW w:w="1024" w:type="pct"/>
            <w:noWrap w:val="0"/>
            <w:vAlign w:val="center"/>
          </w:tcPr>
          <w:p w14:paraId="7C649A09">
            <w:pPr>
              <w:kinsoku w:val="0"/>
              <w:autoSpaceDE w:val="0"/>
              <w:autoSpaceDN w:val="0"/>
              <w:adjustRightInd w:val="0"/>
              <w:snapToGrid w:val="0"/>
              <w:spacing w:line="260" w:lineRule="exact"/>
              <w:rPr>
                <w:rFonts w:hint="eastAsia" w:ascii="宋体" w:hAnsi="宋体" w:eastAsia="宋体" w:cs="宋体"/>
                <w:sz w:val="21"/>
                <w:szCs w:val="21"/>
              </w:rPr>
            </w:pPr>
          </w:p>
        </w:tc>
      </w:tr>
      <w:tr w14:paraId="70C6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12" w:hRule="atLeast"/>
          <w:jc w:val="center"/>
        </w:trPr>
        <w:tc>
          <w:tcPr>
            <w:tcW w:w="183" w:type="pct"/>
            <w:vMerge w:val="continue"/>
            <w:noWrap w:val="0"/>
            <w:vAlign w:val="center"/>
          </w:tcPr>
          <w:p w14:paraId="030B98A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50E6492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31188C03">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0B084D5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腌腊肉制品</w:t>
            </w:r>
          </w:p>
        </w:tc>
        <w:tc>
          <w:tcPr>
            <w:tcW w:w="572" w:type="pct"/>
            <w:noWrap w:val="0"/>
            <w:vAlign w:val="center"/>
          </w:tcPr>
          <w:p w14:paraId="408BF8B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腌腊肉制品</w:t>
            </w:r>
          </w:p>
        </w:tc>
        <w:tc>
          <w:tcPr>
            <w:tcW w:w="180" w:type="pct"/>
            <w:noWrap w:val="0"/>
            <w:vAlign w:val="center"/>
          </w:tcPr>
          <w:p w14:paraId="4EB8265D">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4A705883">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敌敌畏、罗丹明B</w:t>
            </w:r>
          </w:p>
        </w:tc>
        <w:tc>
          <w:tcPr>
            <w:tcW w:w="1024" w:type="pct"/>
            <w:noWrap w:val="0"/>
            <w:vAlign w:val="center"/>
          </w:tcPr>
          <w:p w14:paraId="2E9242E5">
            <w:pPr>
              <w:kinsoku w:val="0"/>
              <w:autoSpaceDE w:val="0"/>
              <w:autoSpaceDN w:val="0"/>
              <w:adjustRightInd w:val="0"/>
              <w:snapToGrid w:val="0"/>
              <w:spacing w:line="260" w:lineRule="exact"/>
              <w:rPr>
                <w:rFonts w:hint="eastAsia" w:ascii="宋体" w:hAnsi="宋体" w:eastAsia="宋体" w:cs="宋体"/>
                <w:sz w:val="21"/>
                <w:szCs w:val="21"/>
              </w:rPr>
            </w:pPr>
          </w:p>
        </w:tc>
      </w:tr>
      <w:tr w14:paraId="74EE8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1" w:hRule="atLeast"/>
          <w:jc w:val="center"/>
        </w:trPr>
        <w:tc>
          <w:tcPr>
            <w:tcW w:w="183" w:type="pct"/>
            <w:vMerge w:val="continue"/>
            <w:noWrap w:val="0"/>
            <w:vAlign w:val="center"/>
          </w:tcPr>
          <w:p w14:paraId="082005C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4B3C828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restart"/>
            <w:noWrap w:val="0"/>
            <w:vAlign w:val="center"/>
          </w:tcPr>
          <w:p w14:paraId="0DEB4B1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熟肉制品</w:t>
            </w:r>
          </w:p>
          <w:p w14:paraId="51A3CA27">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20F5A3B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酱卤肉制品</w:t>
            </w:r>
          </w:p>
        </w:tc>
        <w:tc>
          <w:tcPr>
            <w:tcW w:w="572" w:type="pct"/>
            <w:noWrap w:val="0"/>
            <w:vAlign w:val="center"/>
          </w:tcPr>
          <w:p w14:paraId="5070E9E9">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酱卤肉制品</w:t>
            </w:r>
          </w:p>
        </w:tc>
        <w:tc>
          <w:tcPr>
            <w:tcW w:w="180" w:type="pct"/>
            <w:noWrap w:val="0"/>
            <w:vAlign w:val="center"/>
          </w:tcPr>
          <w:p w14:paraId="023E4604">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011EFF0">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动物源性成分鉴定（牛、羊、驴、猪、马、鸡、鸭）、五氯酚酸钠（以五氯酚计）、莱克多巴胺、阿奇霉素</w:t>
            </w:r>
          </w:p>
        </w:tc>
        <w:tc>
          <w:tcPr>
            <w:tcW w:w="1024" w:type="pct"/>
            <w:noWrap w:val="0"/>
            <w:vAlign w:val="center"/>
          </w:tcPr>
          <w:p w14:paraId="2E82CC1C">
            <w:pPr>
              <w:kinsoku w:val="0"/>
              <w:autoSpaceDE w:val="0"/>
              <w:autoSpaceDN w:val="0"/>
              <w:adjustRightInd w:val="0"/>
              <w:snapToGrid w:val="0"/>
              <w:spacing w:line="260" w:lineRule="exact"/>
              <w:rPr>
                <w:rFonts w:hint="eastAsia" w:ascii="宋体" w:hAnsi="宋体" w:eastAsia="宋体" w:cs="宋体"/>
                <w:sz w:val="21"/>
                <w:szCs w:val="21"/>
              </w:rPr>
            </w:pPr>
          </w:p>
        </w:tc>
      </w:tr>
      <w:tr w14:paraId="303B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40588DF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7BDF8FE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1733652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3C0815F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熟肉干制品</w:t>
            </w:r>
          </w:p>
        </w:tc>
        <w:tc>
          <w:tcPr>
            <w:tcW w:w="572" w:type="pct"/>
            <w:noWrap w:val="0"/>
            <w:vAlign w:val="center"/>
          </w:tcPr>
          <w:p w14:paraId="1792EC29">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熟肉干制品</w:t>
            </w:r>
          </w:p>
        </w:tc>
        <w:tc>
          <w:tcPr>
            <w:tcW w:w="180" w:type="pct"/>
            <w:noWrap w:val="0"/>
            <w:vAlign w:val="center"/>
          </w:tcPr>
          <w:p w14:paraId="5BEAC217">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3B50B403">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动物源性成分鉴定（牛、羊、猪、马、鸡、鸭）、克伦特罗、阿奇霉素</w:t>
            </w:r>
          </w:p>
        </w:tc>
        <w:tc>
          <w:tcPr>
            <w:tcW w:w="1024" w:type="pct"/>
            <w:noWrap w:val="0"/>
            <w:vAlign w:val="center"/>
          </w:tcPr>
          <w:p w14:paraId="73D4416E">
            <w:pPr>
              <w:kinsoku w:val="0"/>
              <w:autoSpaceDE w:val="0"/>
              <w:autoSpaceDN w:val="0"/>
              <w:adjustRightInd w:val="0"/>
              <w:snapToGrid w:val="0"/>
              <w:spacing w:line="260" w:lineRule="exact"/>
              <w:rPr>
                <w:rFonts w:hint="eastAsia" w:ascii="宋体" w:hAnsi="宋体" w:eastAsia="宋体" w:cs="宋体"/>
                <w:sz w:val="21"/>
                <w:szCs w:val="21"/>
              </w:rPr>
            </w:pPr>
          </w:p>
        </w:tc>
      </w:tr>
      <w:tr w14:paraId="496F8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61008F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0093A178">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328323F2">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36A60C3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熏烧烤肉制品</w:t>
            </w:r>
          </w:p>
        </w:tc>
        <w:tc>
          <w:tcPr>
            <w:tcW w:w="572" w:type="pct"/>
            <w:noWrap w:val="0"/>
            <w:vAlign w:val="center"/>
          </w:tcPr>
          <w:p w14:paraId="7C27953C">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熏烧烤肉制品</w:t>
            </w:r>
          </w:p>
        </w:tc>
        <w:tc>
          <w:tcPr>
            <w:tcW w:w="180" w:type="pct"/>
            <w:noWrap w:val="0"/>
            <w:vAlign w:val="center"/>
          </w:tcPr>
          <w:p w14:paraId="1FF8C7E9">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2521CE70">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动物源性成分鉴定（猪、鸡、鸭）</w:t>
            </w:r>
          </w:p>
        </w:tc>
        <w:tc>
          <w:tcPr>
            <w:tcW w:w="1024" w:type="pct"/>
            <w:noWrap w:val="0"/>
            <w:vAlign w:val="center"/>
          </w:tcPr>
          <w:p w14:paraId="39AA2299">
            <w:pPr>
              <w:kinsoku w:val="0"/>
              <w:autoSpaceDE w:val="0"/>
              <w:autoSpaceDN w:val="0"/>
              <w:adjustRightInd w:val="0"/>
              <w:snapToGrid w:val="0"/>
              <w:spacing w:line="260" w:lineRule="exact"/>
              <w:rPr>
                <w:rFonts w:hint="eastAsia" w:ascii="宋体" w:hAnsi="宋体" w:eastAsia="宋体" w:cs="宋体"/>
                <w:sz w:val="21"/>
                <w:szCs w:val="21"/>
              </w:rPr>
            </w:pPr>
          </w:p>
        </w:tc>
      </w:tr>
      <w:tr w14:paraId="2DCCF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3AAEE6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72385CB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237F8E7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6FFBC7F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熏煮香肠火腿制品</w:t>
            </w:r>
          </w:p>
        </w:tc>
        <w:tc>
          <w:tcPr>
            <w:tcW w:w="572" w:type="pct"/>
            <w:noWrap w:val="0"/>
            <w:vAlign w:val="center"/>
          </w:tcPr>
          <w:p w14:paraId="412F6F0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熏煮香肠火腿制品</w:t>
            </w:r>
          </w:p>
        </w:tc>
        <w:tc>
          <w:tcPr>
            <w:tcW w:w="180" w:type="pct"/>
            <w:noWrap w:val="0"/>
            <w:vAlign w:val="center"/>
          </w:tcPr>
          <w:p w14:paraId="74A8AD3D">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2B92D1D7">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动物源性成分鉴定（猪、鸡、鸭）</w:t>
            </w:r>
          </w:p>
        </w:tc>
        <w:tc>
          <w:tcPr>
            <w:tcW w:w="1024" w:type="pct"/>
            <w:noWrap w:val="0"/>
            <w:vAlign w:val="center"/>
          </w:tcPr>
          <w:p w14:paraId="082ABBEE">
            <w:pPr>
              <w:kinsoku w:val="0"/>
              <w:autoSpaceDE w:val="0"/>
              <w:autoSpaceDN w:val="0"/>
              <w:adjustRightInd w:val="0"/>
              <w:snapToGrid w:val="0"/>
              <w:spacing w:line="260" w:lineRule="exact"/>
              <w:rPr>
                <w:rFonts w:hint="eastAsia" w:ascii="宋体" w:hAnsi="宋体" w:eastAsia="宋体" w:cs="宋体"/>
                <w:sz w:val="21"/>
                <w:szCs w:val="21"/>
              </w:rPr>
            </w:pPr>
          </w:p>
        </w:tc>
      </w:tr>
      <w:tr w14:paraId="0C26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DD569F7">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36997B7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noWrap w:val="0"/>
            <w:vAlign w:val="center"/>
          </w:tcPr>
          <w:p w14:paraId="113202A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其他肉制品</w:t>
            </w:r>
          </w:p>
        </w:tc>
        <w:tc>
          <w:tcPr>
            <w:tcW w:w="557" w:type="pct"/>
            <w:noWrap w:val="0"/>
            <w:vAlign w:val="center"/>
          </w:tcPr>
          <w:p w14:paraId="53E9D46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其他肉制品</w:t>
            </w:r>
          </w:p>
        </w:tc>
        <w:tc>
          <w:tcPr>
            <w:tcW w:w="572" w:type="pct"/>
            <w:noWrap w:val="0"/>
            <w:vAlign w:val="center"/>
          </w:tcPr>
          <w:p w14:paraId="1D6D0696">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食用血制品</w:t>
            </w:r>
          </w:p>
        </w:tc>
        <w:tc>
          <w:tcPr>
            <w:tcW w:w="180" w:type="pct"/>
            <w:noWrap w:val="0"/>
            <w:vAlign w:val="center"/>
          </w:tcPr>
          <w:p w14:paraId="08C62B7C">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22A71487">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动物源性成分鉴定（牛、羊、猪、鸡、鸭、鹅）、甲醛</w:t>
            </w:r>
          </w:p>
        </w:tc>
        <w:tc>
          <w:tcPr>
            <w:tcW w:w="1024" w:type="pct"/>
            <w:noWrap w:val="0"/>
            <w:vAlign w:val="center"/>
          </w:tcPr>
          <w:p w14:paraId="0F853DD2">
            <w:pPr>
              <w:kinsoku w:val="0"/>
              <w:autoSpaceDE w:val="0"/>
              <w:autoSpaceDN w:val="0"/>
              <w:adjustRightInd w:val="0"/>
              <w:snapToGrid w:val="0"/>
              <w:spacing w:line="260" w:lineRule="exact"/>
              <w:rPr>
                <w:rFonts w:hint="eastAsia" w:ascii="宋体" w:hAnsi="宋体" w:eastAsia="宋体" w:cs="宋体"/>
                <w:sz w:val="21"/>
                <w:szCs w:val="21"/>
              </w:rPr>
            </w:pPr>
          </w:p>
        </w:tc>
      </w:tr>
      <w:tr w14:paraId="50316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20" w:hRule="atLeast"/>
          <w:jc w:val="center"/>
        </w:trPr>
        <w:tc>
          <w:tcPr>
            <w:tcW w:w="183" w:type="pct"/>
            <w:noWrap w:val="0"/>
            <w:vAlign w:val="center"/>
          </w:tcPr>
          <w:p w14:paraId="15DEA21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5</w:t>
            </w:r>
          </w:p>
        </w:tc>
        <w:tc>
          <w:tcPr>
            <w:tcW w:w="352" w:type="pct"/>
            <w:noWrap w:val="0"/>
            <w:vAlign w:val="center"/>
          </w:tcPr>
          <w:p w14:paraId="7F01C47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乳制品</w:t>
            </w:r>
          </w:p>
        </w:tc>
        <w:tc>
          <w:tcPr>
            <w:tcW w:w="484" w:type="pct"/>
            <w:noWrap w:val="0"/>
            <w:vAlign w:val="center"/>
          </w:tcPr>
          <w:p w14:paraId="295C5B3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乳制品</w:t>
            </w:r>
          </w:p>
        </w:tc>
        <w:tc>
          <w:tcPr>
            <w:tcW w:w="557" w:type="pct"/>
            <w:noWrap w:val="0"/>
            <w:vAlign w:val="center"/>
          </w:tcPr>
          <w:p w14:paraId="76C382E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乳粉</w:t>
            </w:r>
          </w:p>
        </w:tc>
        <w:tc>
          <w:tcPr>
            <w:tcW w:w="572" w:type="pct"/>
            <w:noWrap w:val="0"/>
            <w:vAlign w:val="center"/>
          </w:tcPr>
          <w:p w14:paraId="33353261">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乳粉（全脂、脱脂、部分脱脂）和调制乳粉</w:t>
            </w:r>
          </w:p>
        </w:tc>
        <w:tc>
          <w:tcPr>
            <w:tcW w:w="180" w:type="pct"/>
            <w:noWrap w:val="0"/>
            <w:vAlign w:val="center"/>
          </w:tcPr>
          <w:p w14:paraId="5B38847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高</w:t>
            </w:r>
          </w:p>
        </w:tc>
        <w:tc>
          <w:tcPr>
            <w:tcW w:w="1644" w:type="pct"/>
            <w:noWrap w:val="0"/>
            <w:vAlign w:val="center"/>
          </w:tcPr>
          <w:p w14:paraId="099E01FE">
            <w:pPr>
              <w:kinsoku w:val="0"/>
              <w:autoSpaceDE w:val="0"/>
              <w:autoSpaceDN w:val="0"/>
              <w:adjustRightInd w:val="0"/>
              <w:snapToGrid w:val="0"/>
              <w:spacing w:line="280" w:lineRule="exact"/>
              <w:textAlignment w:val="center"/>
              <w:rPr>
                <w:rStyle w:val="88"/>
                <w:rFonts w:hint="eastAsia" w:ascii="宋体" w:hAnsi="宋体" w:eastAsia="宋体" w:cs="宋体"/>
                <w:snapToGrid w:val="0"/>
                <w:color w:val="auto"/>
                <w:sz w:val="21"/>
                <w:szCs w:val="21"/>
                <w:vertAlign w:val="baseline"/>
                <w:lang w:bidi="ar"/>
              </w:rPr>
            </w:pPr>
            <w:r>
              <w:rPr>
                <w:rFonts w:hint="eastAsia" w:ascii="宋体" w:hAnsi="宋体" w:eastAsia="宋体" w:cs="宋体"/>
                <w:snapToGrid w:val="0"/>
                <w:kern w:val="0"/>
                <w:sz w:val="21"/>
                <w:szCs w:val="21"/>
                <w:lang w:bidi="ar"/>
              </w:rPr>
              <w:t>牛源性成分、羊源性成分、骆驼源性成分、牦牛源性成分、马源性成分、驴源性成分、大豆源性成分、</w:t>
            </w: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5F91483B">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DBP项目限除牛、羊外其他小众畜种生乳为原料的乳粉及调制乳粉所在生产省份监测</w:t>
            </w:r>
          </w:p>
        </w:tc>
      </w:tr>
      <w:tr w14:paraId="41C7F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90" w:hRule="atLeast"/>
          <w:jc w:val="center"/>
        </w:trPr>
        <w:tc>
          <w:tcPr>
            <w:tcW w:w="183" w:type="pct"/>
            <w:vMerge w:val="restart"/>
            <w:noWrap w:val="0"/>
            <w:vAlign w:val="center"/>
          </w:tcPr>
          <w:p w14:paraId="1DC14B35">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6</w:t>
            </w:r>
          </w:p>
        </w:tc>
        <w:tc>
          <w:tcPr>
            <w:tcW w:w="352" w:type="pct"/>
            <w:vMerge w:val="restart"/>
            <w:noWrap w:val="0"/>
            <w:vAlign w:val="center"/>
          </w:tcPr>
          <w:p w14:paraId="5D9206A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饮料</w:t>
            </w:r>
          </w:p>
        </w:tc>
        <w:tc>
          <w:tcPr>
            <w:tcW w:w="484" w:type="pct"/>
            <w:vMerge w:val="restart"/>
            <w:noWrap w:val="0"/>
            <w:vAlign w:val="center"/>
          </w:tcPr>
          <w:p w14:paraId="74B6FB0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饮料</w:t>
            </w:r>
          </w:p>
        </w:tc>
        <w:tc>
          <w:tcPr>
            <w:tcW w:w="557" w:type="pct"/>
            <w:noWrap w:val="0"/>
            <w:vAlign w:val="center"/>
          </w:tcPr>
          <w:p w14:paraId="16BF491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果蔬汁类及其饮料</w:t>
            </w:r>
          </w:p>
        </w:tc>
        <w:tc>
          <w:tcPr>
            <w:tcW w:w="572" w:type="pct"/>
            <w:noWrap w:val="0"/>
            <w:vAlign w:val="center"/>
          </w:tcPr>
          <w:p w14:paraId="18F3F6D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果蔬汁类及其饮料</w:t>
            </w:r>
          </w:p>
        </w:tc>
        <w:tc>
          <w:tcPr>
            <w:tcW w:w="180" w:type="pct"/>
            <w:noWrap w:val="0"/>
            <w:vAlign w:val="center"/>
          </w:tcPr>
          <w:p w14:paraId="5D38D135">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0A7D39B0">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pacing w:val="-2"/>
                <w:sz w:val="21"/>
                <w:szCs w:val="21"/>
              </w:rPr>
              <w:t>丙二醇、香兰素、乙基香兰素、</w:t>
            </w:r>
            <w:r>
              <w:rPr>
                <w:rStyle w:val="86"/>
                <w:rFonts w:hint="eastAsia" w:ascii="宋体" w:hAnsi="宋体" w:eastAsia="宋体" w:cs="宋体"/>
                <w:b w:val="0"/>
                <w:snapToGrid w:val="0"/>
                <w:color w:val="auto"/>
                <w:sz w:val="21"/>
                <w:szCs w:val="21"/>
                <w:lang w:bidi="ar"/>
              </w:rPr>
              <w:t>γ-</w:t>
            </w:r>
            <w:r>
              <w:rPr>
                <w:rStyle w:val="88"/>
                <w:rFonts w:hint="eastAsia" w:ascii="宋体" w:hAnsi="宋体" w:eastAsia="宋体" w:cs="宋体"/>
                <w:snapToGrid w:val="0"/>
                <w:color w:val="auto"/>
                <w:sz w:val="21"/>
                <w:szCs w:val="21"/>
                <w:vertAlign w:val="baseline"/>
                <w:lang w:bidi="ar"/>
              </w:rPr>
              <w:t>壬内酯</w:t>
            </w:r>
          </w:p>
        </w:tc>
        <w:tc>
          <w:tcPr>
            <w:tcW w:w="1024" w:type="pct"/>
            <w:noWrap w:val="0"/>
            <w:vAlign w:val="center"/>
          </w:tcPr>
          <w:p w14:paraId="7733936D">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限产品配料表中仅含椰子水或明示100%的椰子水产品检测</w:t>
            </w:r>
          </w:p>
        </w:tc>
      </w:tr>
      <w:tr w14:paraId="5C32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BD54BD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27B74FF8">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7F0809D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47D7A00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蛋白饮料</w:t>
            </w:r>
          </w:p>
        </w:tc>
        <w:tc>
          <w:tcPr>
            <w:tcW w:w="572" w:type="pct"/>
            <w:noWrap w:val="0"/>
            <w:vAlign w:val="center"/>
          </w:tcPr>
          <w:p w14:paraId="66F4C11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蛋白饮料</w:t>
            </w:r>
          </w:p>
        </w:tc>
        <w:tc>
          <w:tcPr>
            <w:tcW w:w="180" w:type="pct"/>
            <w:noWrap w:val="0"/>
            <w:vAlign w:val="center"/>
          </w:tcPr>
          <w:p w14:paraId="37DA44E7">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3B860597">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核桃源性成分、杏仁源性成分、花生源性成分、大豆源性成分、</w:t>
            </w:r>
            <w:r>
              <w:rPr>
                <w:rStyle w:val="86"/>
                <w:rFonts w:hint="eastAsia" w:ascii="宋体" w:hAnsi="宋体" w:eastAsia="宋体" w:cs="宋体"/>
                <w:b w:val="0"/>
                <w:snapToGrid w:val="0"/>
                <w:color w:val="auto"/>
                <w:sz w:val="21"/>
                <w:szCs w:val="21"/>
                <w:lang w:bidi="ar"/>
              </w:rPr>
              <w:t>γ-</w:t>
            </w:r>
            <w:r>
              <w:rPr>
                <w:rStyle w:val="88"/>
                <w:rFonts w:hint="eastAsia" w:ascii="宋体" w:hAnsi="宋体" w:eastAsia="宋体" w:cs="宋体"/>
                <w:snapToGrid w:val="0"/>
                <w:color w:val="auto"/>
                <w:sz w:val="21"/>
                <w:szCs w:val="21"/>
                <w:vertAlign w:val="baseline"/>
                <w:lang w:bidi="ar"/>
              </w:rPr>
              <w:t>壬内酯</w:t>
            </w:r>
          </w:p>
        </w:tc>
        <w:tc>
          <w:tcPr>
            <w:tcW w:w="1024" w:type="pct"/>
            <w:noWrap w:val="0"/>
            <w:vAlign w:val="center"/>
          </w:tcPr>
          <w:p w14:paraId="6FAD5DCA">
            <w:pPr>
              <w:kinsoku w:val="0"/>
              <w:autoSpaceDE w:val="0"/>
              <w:autoSpaceDN w:val="0"/>
              <w:adjustRightInd w:val="0"/>
              <w:snapToGrid w:val="0"/>
              <w:spacing w:line="260" w:lineRule="exact"/>
              <w:rPr>
                <w:rFonts w:hint="eastAsia" w:ascii="宋体" w:hAnsi="宋体" w:eastAsia="宋体" w:cs="宋体"/>
                <w:sz w:val="21"/>
                <w:szCs w:val="21"/>
              </w:rPr>
            </w:pPr>
          </w:p>
        </w:tc>
      </w:tr>
      <w:tr w14:paraId="7366C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90" w:hRule="atLeast"/>
          <w:jc w:val="center"/>
        </w:trPr>
        <w:tc>
          <w:tcPr>
            <w:tcW w:w="183" w:type="pct"/>
            <w:vMerge w:val="continue"/>
            <w:noWrap w:val="0"/>
            <w:vAlign w:val="center"/>
          </w:tcPr>
          <w:p w14:paraId="5BBB0281">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70ED714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0D0814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4F3BA24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固体饮料</w:t>
            </w:r>
          </w:p>
        </w:tc>
        <w:tc>
          <w:tcPr>
            <w:tcW w:w="572" w:type="pct"/>
            <w:noWrap w:val="0"/>
            <w:vAlign w:val="center"/>
          </w:tcPr>
          <w:p w14:paraId="6673B3BF">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固体饮料</w:t>
            </w:r>
          </w:p>
        </w:tc>
        <w:tc>
          <w:tcPr>
            <w:tcW w:w="180" w:type="pct"/>
            <w:noWrap w:val="0"/>
            <w:vAlign w:val="center"/>
          </w:tcPr>
          <w:p w14:paraId="2A7F2C0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较高</w:t>
            </w:r>
          </w:p>
        </w:tc>
        <w:tc>
          <w:tcPr>
            <w:tcW w:w="1644" w:type="pct"/>
            <w:noWrap w:val="0"/>
            <w:vAlign w:val="center"/>
          </w:tcPr>
          <w:p w14:paraId="14BCBA51">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番泻苷A、番泻苷B、大黄素甲醚、大黄素、橙黄决明素、氢氯噻嗪、麻黄碱</w:t>
            </w:r>
          </w:p>
        </w:tc>
        <w:tc>
          <w:tcPr>
            <w:tcW w:w="1024" w:type="pct"/>
            <w:noWrap w:val="0"/>
            <w:vAlign w:val="center"/>
          </w:tcPr>
          <w:p w14:paraId="07CB8254">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重点抽检标签、说明书、网页、直播等宣称或暗示功能的产品</w:t>
            </w:r>
          </w:p>
        </w:tc>
      </w:tr>
      <w:tr w14:paraId="3220B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4166CB7F">
            <w:pPr>
              <w:kinsoku w:val="0"/>
              <w:autoSpaceDE w:val="0"/>
              <w:autoSpaceDN w:val="0"/>
              <w:adjustRightInd w:val="0"/>
              <w:snapToGrid w:val="0"/>
              <w:spacing w:line="24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6</w:t>
            </w:r>
          </w:p>
        </w:tc>
        <w:tc>
          <w:tcPr>
            <w:tcW w:w="352" w:type="pct"/>
            <w:vMerge w:val="restart"/>
            <w:noWrap w:val="0"/>
            <w:vAlign w:val="center"/>
          </w:tcPr>
          <w:p w14:paraId="0D706E10">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饮料</w:t>
            </w:r>
          </w:p>
        </w:tc>
        <w:tc>
          <w:tcPr>
            <w:tcW w:w="484" w:type="pct"/>
            <w:vMerge w:val="restart"/>
            <w:noWrap w:val="0"/>
            <w:vAlign w:val="center"/>
          </w:tcPr>
          <w:p w14:paraId="6255B978">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饮料</w:t>
            </w:r>
          </w:p>
        </w:tc>
        <w:tc>
          <w:tcPr>
            <w:tcW w:w="557" w:type="pct"/>
            <w:noWrap w:val="0"/>
            <w:vAlign w:val="center"/>
          </w:tcPr>
          <w:p w14:paraId="140DF165">
            <w:pPr>
              <w:widowControl/>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包装饮用水</w:t>
            </w:r>
          </w:p>
        </w:tc>
        <w:tc>
          <w:tcPr>
            <w:tcW w:w="572" w:type="pct"/>
            <w:noWrap w:val="0"/>
            <w:vAlign w:val="center"/>
          </w:tcPr>
          <w:p w14:paraId="0166D05C">
            <w:pPr>
              <w:widowControl/>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Fonts w:hint="eastAsia" w:ascii="宋体" w:hAnsi="宋体" w:eastAsia="宋体" w:cs="宋体"/>
                <w:kern w:val="0"/>
                <w:sz w:val="21"/>
                <w:szCs w:val="21"/>
                <w:lang w:bidi="ar"/>
              </w:rPr>
              <w:t>饮用纯净水</w:t>
            </w:r>
          </w:p>
        </w:tc>
        <w:tc>
          <w:tcPr>
            <w:tcW w:w="180" w:type="pct"/>
            <w:noWrap w:val="0"/>
            <w:vAlign w:val="center"/>
          </w:tcPr>
          <w:p w14:paraId="05A427A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10CBFCF9">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电导率（25±1℃）、氯酸盐、亚氯酸盐、军团菌</w:t>
            </w:r>
          </w:p>
        </w:tc>
        <w:tc>
          <w:tcPr>
            <w:tcW w:w="1024" w:type="pct"/>
            <w:noWrap w:val="0"/>
            <w:vAlign w:val="center"/>
          </w:tcPr>
          <w:p w14:paraId="4398589E">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1.抽取样品应明确标注为纯净水产品，以桶装水为主，且执行标准不是GB17323</w:t>
            </w:r>
          </w:p>
          <w:p w14:paraId="71F2106A">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2.军团菌项目仅做定性，不做分型实验及PCR鉴定试验</w:t>
            </w:r>
          </w:p>
        </w:tc>
      </w:tr>
      <w:tr w14:paraId="2E07B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D7663EA">
            <w:pPr>
              <w:kinsoku w:val="0"/>
              <w:autoSpaceDE w:val="0"/>
              <w:autoSpaceDN w:val="0"/>
              <w:adjustRightInd w:val="0"/>
              <w:snapToGrid w:val="0"/>
              <w:spacing w:line="24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04A2975A">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C259E00">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2D1D6C03">
            <w:pPr>
              <w:widowControl/>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其他饮料</w:t>
            </w:r>
          </w:p>
        </w:tc>
        <w:tc>
          <w:tcPr>
            <w:tcW w:w="572" w:type="pct"/>
            <w:noWrap w:val="0"/>
            <w:vAlign w:val="center"/>
          </w:tcPr>
          <w:p w14:paraId="14328C94">
            <w:pPr>
              <w:widowControl/>
              <w:spacing w:line="260" w:lineRule="exact"/>
              <w:jc w:val="center"/>
              <w:textAlignment w:val="center"/>
              <w:rPr>
                <w:rFonts w:hint="eastAsia" w:ascii="宋体" w:hAnsi="宋体" w:eastAsia="宋体" w:cs="宋体"/>
                <w:snapToGrid w:val="0"/>
                <w:sz w:val="21"/>
                <w:szCs w:val="21"/>
                <w:lang w:bidi="ar"/>
              </w:rPr>
            </w:pPr>
            <w:r>
              <w:rPr>
                <w:rFonts w:hint="eastAsia" w:ascii="宋体" w:hAnsi="宋体" w:eastAsia="宋体" w:cs="宋体"/>
                <w:kern w:val="0"/>
                <w:sz w:val="21"/>
                <w:szCs w:val="21"/>
                <w:lang w:bidi="ar"/>
              </w:rPr>
              <w:t>其他饮料</w:t>
            </w:r>
          </w:p>
        </w:tc>
        <w:tc>
          <w:tcPr>
            <w:tcW w:w="180" w:type="pct"/>
            <w:noWrap w:val="0"/>
            <w:vAlign w:val="center"/>
          </w:tcPr>
          <w:p w14:paraId="15C271F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4FA340E6">
            <w:pPr>
              <w:kinsoku w:val="0"/>
              <w:autoSpaceDE w:val="0"/>
              <w:autoSpaceDN w:val="0"/>
              <w:adjustRightInd w:val="0"/>
              <w:snapToGrid w:val="0"/>
              <w:spacing w:line="260" w:lineRule="exact"/>
              <w:textAlignment w:val="center"/>
              <w:rPr>
                <w:rFonts w:hint="eastAsia" w:ascii="宋体" w:hAnsi="宋体" w:eastAsia="宋体" w:cs="宋体"/>
                <w:snapToGrid w:val="0"/>
                <w:sz w:val="21"/>
                <w:szCs w:val="21"/>
                <w:lang w:bidi="ar"/>
              </w:rPr>
            </w:pPr>
            <w:r>
              <w:rPr>
                <w:rFonts w:hint="eastAsia" w:ascii="宋体" w:hAnsi="宋体" w:eastAsia="宋体" w:cs="宋体"/>
                <w:snapToGrid w:val="0"/>
                <w:sz w:val="21"/>
                <w:szCs w:val="21"/>
                <w:lang w:bidi="ar"/>
              </w:rPr>
              <w:t>对乙酰氨基酚、布洛芬、甲氧苄啶、氨基比林、富马酸二甲酯</w:t>
            </w:r>
          </w:p>
        </w:tc>
        <w:tc>
          <w:tcPr>
            <w:tcW w:w="1024" w:type="pct"/>
            <w:noWrap w:val="0"/>
            <w:vAlign w:val="center"/>
          </w:tcPr>
          <w:p w14:paraId="4289E86E">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抽检品种以凉茶饮料、咖啡饮料及特殊功能饮料为主</w:t>
            </w:r>
          </w:p>
        </w:tc>
      </w:tr>
      <w:tr w14:paraId="2CD5F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102BB6AD">
            <w:pPr>
              <w:kinsoku w:val="0"/>
              <w:autoSpaceDE w:val="0"/>
              <w:autoSpaceDN w:val="0"/>
              <w:adjustRightInd w:val="0"/>
              <w:snapToGrid w:val="0"/>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7</w:t>
            </w:r>
          </w:p>
        </w:tc>
        <w:tc>
          <w:tcPr>
            <w:tcW w:w="352" w:type="pct"/>
            <w:vMerge w:val="restart"/>
            <w:noWrap w:val="0"/>
            <w:vAlign w:val="center"/>
          </w:tcPr>
          <w:p w14:paraId="6DA0A71D">
            <w:pPr>
              <w:kinsoku w:val="0"/>
              <w:autoSpaceDE w:val="0"/>
              <w:autoSpaceDN w:val="0"/>
              <w:adjustRightInd w:val="0"/>
              <w:snapToGrid w:val="0"/>
              <w:spacing w:line="24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方便食品</w:t>
            </w:r>
          </w:p>
        </w:tc>
        <w:tc>
          <w:tcPr>
            <w:tcW w:w="484" w:type="pct"/>
            <w:vMerge w:val="restart"/>
            <w:noWrap w:val="0"/>
            <w:vAlign w:val="center"/>
          </w:tcPr>
          <w:p w14:paraId="2E3CC50B">
            <w:pPr>
              <w:kinsoku w:val="0"/>
              <w:autoSpaceDE w:val="0"/>
              <w:autoSpaceDN w:val="0"/>
              <w:adjustRightInd w:val="0"/>
              <w:snapToGrid w:val="0"/>
              <w:spacing w:line="24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方便食品</w:t>
            </w:r>
          </w:p>
        </w:tc>
        <w:tc>
          <w:tcPr>
            <w:tcW w:w="557" w:type="pct"/>
            <w:vMerge w:val="restart"/>
            <w:noWrap w:val="0"/>
            <w:vAlign w:val="center"/>
          </w:tcPr>
          <w:p w14:paraId="71CAD65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方便面</w:t>
            </w:r>
          </w:p>
        </w:tc>
        <w:tc>
          <w:tcPr>
            <w:tcW w:w="572" w:type="pct"/>
            <w:noWrap w:val="0"/>
            <w:vAlign w:val="center"/>
          </w:tcPr>
          <w:p w14:paraId="06A8FB4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油炸面、非油炸面</w:t>
            </w:r>
          </w:p>
        </w:tc>
        <w:tc>
          <w:tcPr>
            <w:tcW w:w="180" w:type="pct"/>
            <w:noWrap w:val="0"/>
            <w:vAlign w:val="center"/>
          </w:tcPr>
          <w:p w14:paraId="0FDCBFC6">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3F6AFF5C">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脱氧雪腐镰刀菌烯醇、邻苯二甲酸二正丁酯（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752445B3">
            <w:pPr>
              <w:kinsoku w:val="0"/>
              <w:autoSpaceDE w:val="0"/>
              <w:autoSpaceDN w:val="0"/>
              <w:adjustRightInd w:val="0"/>
              <w:snapToGrid w:val="0"/>
              <w:spacing w:line="260" w:lineRule="exact"/>
              <w:rPr>
                <w:rFonts w:hint="eastAsia" w:ascii="宋体" w:hAnsi="宋体" w:eastAsia="宋体" w:cs="宋体"/>
                <w:sz w:val="21"/>
                <w:szCs w:val="21"/>
              </w:rPr>
            </w:pPr>
          </w:p>
        </w:tc>
      </w:tr>
      <w:tr w14:paraId="5699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19" w:hRule="atLeast"/>
          <w:jc w:val="center"/>
        </w:trPr>
        <w:tc>
          <w:tcPr>
            <w:tcW w:w="183" w:type="pct"/>
            <w:vMerge w:val="continue"/>
            <w:noWrap w:val="0"/>
            <w:vAlign w:val="center"/>
          </w:tcPr>
          <w:p w14:paraId="68F5EF2E">
            <w:pPr>
              <w:kinsoku w:val="0"/>
              <w:autoSpaceDE w:val="0"/>
              <w:autoSpaceDN w:val="0"/>
              <w:adjustRightInd w:val="0"/>
              <w:snapToGrid w:val="0"/>
              <w:spacing w:line="240" w:lineRule="exact"/>
              <w:jc w:val="center"/>
              <w:rPr>
                <w:rFonts w:hint="eastAsia" w:ascii="宋体" w:hAnsi="宋体" w:eastAsia="宋体" w:cs="宋体"/>
                <w:sz w:val="21"/>
                <w:szCs w:val="21"/>
              </w:rPr>
            </w:pPr>
          </w:p>
        </w:tc>
        <w:tc>
          <w:tcPr>
            <w:tcW w:w="352" w:type="pct"/>
            <w:vMerge w:val="continue"/>
            <w:noWrap w:val="0"/>
            <w:vAlign w:val="center"/>
          </w:tcPr>
          <w:p w14:paraId="08BC1A3D">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484" w:type="pct"/>
            <w:vMerge w:val="continue"/>
            <w:noWrap w:val="0"/>
            <w:vAlign w:val="center"/>
          </w:tcPr>
          <w:p w14:paraId="29EB6EE5">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557" w:type="pct"/>
            <w:vMerge w:val="continue"/>
            <w:noWrap w:val="0"/>
            <w:vAlign w:val="center"/>
          </w:tcPr>
          <w:p w14:paraId="2D726F5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4EFDB096">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方便米粉</w:t>
            </w:r>
          </w:p>
          <w:p w14:paraId="0CD37D4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Style w:val="88"/>
                <w:rFonts w:hint="eastAsia" w:ascii="宋体" w:hAnsi="宋体" w:eastAsia="宋体" w:cs="宋体"/>
                <w:snapToGrid w:val="0"/>
                <w:color w:val="auto"/>
                <w:sz w:val="21"/>
                <w:szCs w:val="21"/>
                <w:vertAlign w:val="baseline"/>
                <w:lang w:bidi="ar"/>
              </w:rPr>
              <w:t>（米线）</w:t>
            </w:r>
          </w:p>
        </w:tc>
        <w:tc>
          <w:tcPr>
            <w:tcW w:w="180" w:type="pct"/>
            <w:noWrap w:val="0"/>
            <w:vAlign w:val="center"/>
          </w:tcPr>
          <w:p w14:paraId="1857D68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较高</w:t>
            </w:r>
          </w:p>
        </w:tc>
        <w:tc>
          <w:tcPr>
            <w:tcW w:w="1644" w:type="pct"/>
            <w:noWrap w:val="0"/>
            <w:vAlign w:val="center"/>
          </w:tcPr>
          <w:p w14:paraId="2C2B2CB8">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43A8B049">
            <w:pPr>
              <w:kinsoku w:val="0"/>
              <w:autoSpaceDE w:val="0"/>
              <w:autoSpaceDN w:val="0"/>
              <w:adjustRightInd w:val="0"/>
              <w:snapToGrid w:val="0"/>
              <w:spacing w:line="260" w:lineRule="exact"/>
              <w:rPr>
                <w:rFonts w:hint="eastAsia" w:ascii="宋体" w:hAnsi="宋体" w:eastAsia="宋体" w:cs="宋体"/>
                <w:sz w:val="21"/>
                <w:szCs w:val="21"/>
              </w:rPr>
            </w:pPr>
          </w:p>
        </w:tc>
      </w:tr>
      <w:tr w14:paraId="48885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5" w:hRule="atLeast"/>
          <w:jc w:val="center"/>
        </w:trPr>
        <w:tc>
          <w:tcPr>
            <w:tcW w:w="183" w:type="pct"/>
            <w:vMerge w:val="continue"/>
            <w:noWrap w:val="0"/>
            <w:vAlign w:val="center"/>
          </w:tcPr>
          <w:p w14:paraId="00E973A9">
            <w:pPr>
              <w:kinsoku w:val="0"/>
              <w:autoSpaceDE w:val="0"/>
              <w:autoSpaceDN w:val="0"/>
              <w:adjustRightInd w:val="0"/>
              <w:snapToGrid w:val="0"/>
              <w:spacing w:line="240" w:lineRule="exact"/>
              <w:jc w:val="center"/>
              <w:rPr>
                <w:rFonts w:hint="eastAsia" w:ascii="宋体" w:hAnsi="宋体" w:eastAsia="宋体" w:cs="宋体"/>
                <w:sz w:val="21"/>
                <w:szCs w:val="21"/>
              </w:rPr>
            </w:pPr>
          </w:p>
        </w:tc>
        <w:tc>
          <w:tcPr>
            <w:tcW w:w="352" w:type="pct"/>
            <w:vMerge w:val="continue"/>
            <w:noWrap w:val="0"/>
            <w:vAlign w:val="center"/>
          </w:tcPr>
          <w:p w14:paraId="0C603924">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484" w:type="pct"/>
            <w:vMerge w:val="continue"/>
            <w:noWrap w:val="0"/>
            <w:vAlign w:val="center"/>
          </w:tcPr>
          <w:p w14:paraId="34062FAF">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557" w:type="pct"/>
            <w:vMerge w:val="continue"/>
            <w:noWrap w:val="0"/>
            <w:vAlign w:val="center"/>
          </w:tcPr>
          <w:p w14:paraId="24C6C28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6A0FA47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Style w:val="88"/>
                <w:rFonts w:hint="eastAsia" w:ascii="宋体" w:hAnsi="宋体" w:eastAsia="宋体" w:cs="宋体"/>
                <w:snapToGrid w:val="0"/>
                <w:color w:val="auto"/>
                <w:sz w:val="21"/>
                <w:szCs w:val="21"/>
                <w:vertAlign w:val="baseline"/>
                <w:lang w:bidi="ar"/>
              </w:rPr>
              <w:t>方便粉丝</w:t>
            </w:r>
          </w:p>
        </w:tc>
        <w:tc>
          <w:tcPr>
            <w:tcW w:w="180" w:type="pct"/>
            <w:noWrap w:val="0"/>
            <w:vAlign w:val="center"/>
          </w:tcPr>
          <w:p w14:paraId="20F3F9A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较高</w:t>
            </w:r>
          </w:p>
        </w:tc>
        <w:tc>
          <w:tcPr>
            <w:tcW w:w="1644" w:type="pct"/>
            <w:noWrap w:val="0"/>
            <w:vAlign w:val="center"/>
          </w:tcPr>
          <w:p w14:paraId="069C6696">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1B71F0C2">
            <w:pPr>
              <w:kinsoku w:val="0"/>
              <w:autoSpaceDE w:val="0"/>
              <w:autoSpaceDN w:val="0"/>
              <w:adjustRightInd w:val="0"/>
              <w:snapToGrid w:val="0"/>
              <w:spacing w:line="260" w:lineRule="exact"/>
              <w:rPr>
                <w:rFonts w:hint="eastAsia" w:ascii="宋体" w:hAnsi="宋体" w:eastAsia="宋体" w:cs="宋体"/>
                <w:sz w:val="21"/>
                <w:szCs w:val="21"/>
              </w:rPr>
            </w:pPr>
          </w:p>
        </w:tc>
      </w:tr>
      <w:tr w14:paraId="3A314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1415089">
            <w:pPr>
              <w:kinsoku w:val="0"/>
              <w:autoSpaceDE w:val="0"/>
              <w:autoSpaceDN w:val="0"/>
              <w:adjustRightInd w:val="0"/>
              <w:snapToGrid w:val="0"/>
              <w:spacing w:line="240" w:lineRule="exact"/>
              <w:jc w:val="center"/>
              <w:rPr>
                <w:rFonts w:hint="eastAsia" w:ascii="宋体" w:hAnsi="宋体" w:eastAsia="宋体" w:cs="宋体"/>
                <w:sz w:val="21"/>
                <w:szCs w:val="21"/>
              </w:rPr>
            </w:pPr>
          </w:p>
        </w:tc>
        <w:tc>
          <w:tcPr>
            <w:tcW w:w="352" w:type="pct"/>
            <w:vMerge w:val="continue"/>
            <w:noWrap w:val="0"/>
            <w:vAlign w:val="center"/>
          </w:tcPr>
          <w:p w14:paraId="58263D1F">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484" w:type="pct"/>
            <w:vMerge w:val="continue"/>
            <w:noWrap w:val="0"/>
            <w:vAlign w:val="center"/>
          </w:tcPr>
          <w:p w14:paraId="33F7FFE1">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557" w:type="pct"/>
            <w:vMerge w:val="continue"/>
            <w:noWrap w:val="0"/>
            <w:vAlign w:val="center"/>
          </w:tcPr>
          <w:p w14:paraId="6EB49BB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6686527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其他方便面</w:t>
            </w:r>
          </w:p>
        </w:tc>
        <w:tc>
          <w:tcPr>
            <w:tcW w:w="180" w:type="pct"/>
            <w:noWrap w:val="0"/>
            <w:vAlign w:val="center"/>
          </w:tcPr>
          <w:p w14:paraId="6E473A3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较高</w:t>
            </w:r>
          </w:p>
        </w:tc>
        <w:tc>
          <w:tcPr>
            <w:tcW w:w="1644" w:type="pct"/>
            <w:noWrap w:val="0"/>
            <w:vAlign w:val="center"/>
          </w:tcPr>
          <w:p w14:paraId="2C154FFE">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脱氧雪腐镰刀菌烯醇、邻苯二甲酸二正丁酯（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07BF61EE">
            <w:pPr>
              <w:kinsoku w:val="0"/>
              <w:autoSpaceDE w:val="0"/>
              <w:autoSpaceDN w:val="0"/>
              <w:adjustRightInd w:val="0"/>
              <w:snapToGrid w:val="0"/>
              <w:spacing w:line="260" w:lineRule="exact"/>
              <w:rPr>
                <w:rFonts w:hint="eastAsia" w:ascii="宋体" w:hAnsi="宋体" w:eastAsia="宋体" w:cs="宋体"/>
                <w:sz w:val="21"/>
                <w:szCs w:val="21"/>
              </w:rPr>
            </w:pPr>
          </w:p>
        </w:tc>
      </w:tr>
      <w:tr w14:paraId="3095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65DB210">
            <w:pPr>
              <w:kinsoku w:val="0"/>
              <w:autoSpaceDE w:val="0"/>
              <w:autoSpaceDN w:val="0"/>
              <w:adjustRightInd w:val="0"/>
              <w:snapToGrid w:val="0"/>
              <w:spacing w:line="240" w:lineRule="exact"/>
              <w:jc w:val="center"/>
              <w:rPr>
                <w:rFonts w:hint="eastAsia" w:ascii="宋体" w:hAnsi="宋体" w:eastAsia="宋体" w:cs="宋体"/>
                <w:sz w:val="21"/>
                <w:szCs w:val="21"/>
              </w:rPr>
            </w:pPr>
          </w:p>
        </w:tc>
        <w:tc>
          <w:tcPr>
            <w:tcW w:w="352" w:type="pct"/>
            <w:vMerge w:val="continue"/>
            <w:noWrap w:val="0"/>
            <w:vAlign w:val="center"/>
          </w:tcPr>
          <w:p w14:paraId="5D66E69E">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484" w:type="pct"/>
            <w:vMerge w:val="continue"/>
            <w:noWrap w:val="0"/>
            <w:vAlign w:val="center"/>
          </w:tcPr>
          <w:p w14:paraId="0AADF004">
            <w:pPr>
              <w:kinsoku w:val="0"/>
              <w:autoSpaceDE w:val="0"/>
              <w:autoSpaceDN w:val="0"/>
              <w:adjustRightInd w:val="0"/>
              <w:snapToGrid w:val="0"/>
              <w:spacing w:line="240" w:lineRule="exact"/>
              <w:jc w:val="center"/>
              <w:rPr>
                <w:rFonts w:hint="eastAsia" w:ascii="宋体" w:hAnsi="宋体" w:eastAsia="宋体" w:cs="宋体"/>
                <w:spacing w:val="-3"/>
                <w:sz w:val="21"/>
                <w:szCs w:val="21"/>
              </w:rPr>
            </w:pPr>
          </w:p>
        </w:tc>
        <w:tc>
          <w:tcPr>
            <w:tcW w:w="557" w:type="pct"/>
            <w:noWrap w:val="0"/>
            <w:vAlign w:val="center"/>
          </w:tcPr>
          <w:p w14:paraId="11E5120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调味面制品</w:t>
            </w:r>
          </w:p>
        </w:tc>
        <w:tc>
          <w:tcPr>
            <w:tcW w:w="572" w:type="pct"/>
            <w:noWrap w:val="0"/>
            <w:vAlign w:val="center"/>
          </w:tcPr>
          <w:p w14:paraId="478052B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调味面制品</w:t>
            </w:r>
          </w:p>
        </w:tc>
        <w:tc>
          <w:tcPr>
            <w:tcW w:w="180" w:type="pct"/>
            <w:noWrap w:val="0"/>
            <w:vAlign w:val="center"/>
          </w:tcPr>
          <w:p w14:paraId="372F66F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30D48CD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脱氧雪腐镰刀菌烯醇、邻苯二甲酸二正丁酯（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）、纳他霉素</w:t>
            </w:r>
          </w:p>
        </w:tc>
        <w:tc>
          <w:tcPr>
            <w:tcW w:w="1024" w:type="pct"/>
            <w:noWrap w:val="0"/>
            <w:vAlign w:val="center"/>
          </w:tcPr>
          <w:p w14:paraId="1BAB596D">
            <w:pPr>
              <w:kinsoku w:val="0"/>
              <w:autoSpaceDE w:val="0"/>
              <w:autoSpaceDN w:val="0"/>
              <w:adjustRightInd w:val="0"/>
              <w:snapToGrid w:val="0"/>
              <w:spacing w:line="260" w:lineRule="exact"/>
              <w:rPr>
                <w:rFonts w:hint="eastAsia" w:ascii="宋体" w:hAnsi="宋体" w:eastAsia="宋体" w:cs="宋体"/>
                <w:sz w:val="21"/>
                <w:szCs w:val="21"/>
              </w:rPr>
            </w:pPr>
          </w:p>
        </w:tc>
      </w:tr>
      <w:tr w14:paraId="6D29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587BF4C8">
            <w:pPr>
              <w:kinsoku w:val="0"/>
              <w:autoSpaceDE w:val="0"/>
              <w:autoSpaceDN w:val="0"/>
              <w:adjustRightInd w:val="0"/>
              <w:snapToGrid w:val="0"/>
              <w:spacing w:line="24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8</w:t>
            </w:r>
          </w:p>
        </w:tc>
        <w:tc>
          <w:tcPr>
            <w:tcW w:w="352" w:type="pct"/>
            <w:vMerge w:val="restart"/>
            <w:noWrap w:val="0"/>
            <w:vAlign w:val="center"/>
          </w:tcPr>
          <w:p w14:paraId="446096BC">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罐头</w:t>
            </w:r>
          </w:p>
        </w:tc>
        <w:tc>
          <w:tcPr>
            <w:tcW w:w="484" w:type="pct"/>
            <w:vMerge w:val="restart"/>
            <w:noWrap w:val="0"/>
            <w:vAlign w:val="center"/>
          </w:tcPr>
          <w:p w14:paraId="7794E487">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罐头</w:t>
            </w:r>
          </w:p>
        </w:tc>
        <w:tc>
          <w:tcPr>
            <w:tcW w:w="557" w:type="pct"/>
            <w:vMerge w:val="restart"/>
            <w:noWrap w:val="0"/>
            <w:vAlign w:val="center"/>
          </w:tcPr>
          <w:p w14:paraId="0D38215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畜禽水产罐头</w:t>
            </w:r>
          </w:p>
        </w:tc>
        <w:tc>
          <w:tcPr>
            <w:tcW w:w="572" w:type="pct"/>
            <w:noWrap w:val="0"/>
            <w:vAlign w:val="center"/>
          </w:tcPr>
          <w:p w14:paraId="746C500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畜禽肉类罐头</w:t>
            </w:r>
          </w:p>
        </w:tc>
        <w:tc>
          <w:tcPr>
            <w:tcW w:w="180" w:type="pct"/>
            <w:noWrap w:val="0"/>
            <w:vAlign w:val="center"/>
          </w:tcPr>
          <w:p w14:paraId="33A7674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077B3B16">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磺胺类（总量）、恩诺沙星、多西环素、氟苯尼考、克伦特罗、莱克多巴胺、沙丁胺醇、呋喃唑酮代谢物</w:t>
            </w:r>
          </w:p>
        </w:tc>
        <w:tc>
          <w:tcPr>
            <w:tcW w:w="1024" w:type="pct"/>
            <w:noWrap w:val="0"/>
            <w:vAlign w:val="center"/>
          </w:tcPr>
          <w:p w14:paraId="0FEC71CD">
            <w:pPr>
              <w:kinsoku w:val="0"/>
              <w:autoSpaceDE w:val="0"/>
              <w:autoSpaceDN w:val="0"/>
              <w:adjustRightInd w:val="0"/>
              <w:snapToGrid w:val="0"/>
              <w:spacing w:line="260" w:lineRule="exact"/>
              <w:rPr>
                <w:rFonts w:hint="eastAsia" w:ascii="宋体" w:hAnsi="宋体" w:eastAsia="宋体" w:cs="宋体"/>
                <w:sz w:val="21"/>
                <w:szCs w:val="21"/>
              </w:rPr>
            </w:pPr>
          </w:p>
        </w:tc>
      </w:tr>
      <w:tr w14:paraId="26B1A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0502F43E">
            <w:pPr>
              <w:kinsoku w:val="0"/>
              <w:autoSpaceDE w:val="0"/>
              <w:autoSpaceDN w:val="0"/>
              <w:adjustRightInd w:val="0"/>
              <w:snapToGrid w:val="0"/>
              <w:spacing w:line="24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29B629DA">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0380DD53">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025BE32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551DFEA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水产动物类罐头</w:t>
            </w:r>
          </w:p>
        </w:tc>
        <w:tc>
          <w:tcPr>
            <w:tcW w:w="180" w:type="pct"/>
            <w:noWrap w:val="0"/>
            <w:vAlign w:val="center"/>
          </w:tcPr>
          <w:p w14:paraId="14F654C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63900794">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阿奇霉素、五氯酚酸钠（以五氯酚计）、氯霉素、孔雀石绿、呋喃唑酮代谢物、呋喃西林代谢物</w:t>
            </w:r>
          </w:p>
        </w:tc>
        <w:tc>
          <w:tcPr>
            <w:tcW w:w="1024" w:type="pct"/>
            <w:noWrap w:val="0"/>
            <w:vAlign w:val="center"/>
          </w:tcPr>
          <w:p w14:paraId="64E56726">
            <w:pPr>
              <w:kinsoku w:val="0"/>
              <w:autoSpaceDE w:val="0"/>
              <w:autoSpaceDN w:val="0"/>
              <w:adjustRightInd w:val="0"/>
              <w:snapToGrid w:val="0"/>
              <w:spacing w:line="260" w:lineRule="exact"/>
              <w:rPr>
                <w:rFonts w:hint="eastAsia" w:ascii="宋体" w:hAnsi="宋体" w:eastAsia="宋体" w:cs="宋体"/>
                <w:sz w:val="21"/>
                <w:szCs w:val="21"/>
              </w:rPr>
            </w:pPr>
          </w:p>
        </w:tc>
      </w:tr>
      <w:tr w14:paraId="53F83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0BF0BA4">
            <w:pPr>
              <w:kinsoku w:val="0"/>
              <w:autoSpaceDE w:val="0"/>
              <w:autoSpaceDN w:val="0"/>
              <w:adjustRightInd w:val="0"/>
              <w:snapToGrid w:val="0"/>
              <w:spacing w:line="24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031E16C8">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73126CE8">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42D0BD5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其他罐头</w:t>
            </w:r>
          </w:p>
        </w:tc>
        <w:tc>
          <w:tcPr>
            <w:tcW w:w="572" w:type="pct"/>
            <w:noWrap w:val="0"/>
            <w:vAlign w:val="center"/>
          </w:tcPr>
          <w:p w14:paraId="35C974D8">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其他罐头</w:t>
            </w:r>
          </w:p>
        </w:tc>
        <w:tc>
          <w:tcPr>
            <w:tcW w:w="180" w:type="pct"/>
            <w:noWrap w:val="0"/>
            <w:vAlign w:val="center"/>
          </w:tcPr>
          <w:p w14:paraId="62628AB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15D78821">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亚硝酸盐（以NaNO</w:t>
            </w:r>
            <w:r>
              <w:rPr>
                <w:rFonts w:hint="eastAsia" w:ascii="宋体" w:hAnsi="宋体" w:eastAsia="宋体" w:cs="宋体"/>
                <w:snapToGrid w:val="0"/>
                <w:kern w:val="0"/>
                <w:sz w:val="21"/>
                <w:szCs w:val="21"/>
                <w:vertAlign w:val="subscript"/>
                <w:lang w:bidi="ar"/>
              </w:rPr>
              <w:t>2</w:t>
            </w:r>
            <w:r>
              <w:rPr>
                <w:rFonts w:hint="eastAsia" w:ascii="宋体" w:hAnsi="宋体" w:eastAsia="宋体" w:cs="宋体"/>
                <w:snapToGrid w:val="0"/>
                <w:kern w:val="0"/>
                <w:sz w:val="21"/>
                <w:szCs w:val="21"/>
                <w:lang w:bidi="ar"/>
              </w:rPr>
              <w:t>计）、</w:t>
            </w:r>
            <w:r>
              <w:rPr>
                <w:rStyle w:val="88"/>
                <w:rFonts w:hint="eastAsia" w:ascii="宋体" w:hAnsi="宋体" w:eastAsia="宋体" w:cs="宋体"/>
                <w:snapToGrid w:val="0"/>
                <w:color w:val="auto"/>
                <w:sz w:val="21"/>
                <w:szCs w:val="21"/>
                <w:vertAlign w:val="baseline"/>
                <w:lang w:bidi="ar"/>
              </w:rPr>
              <w:t>黄曲霉毒素（</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B</w:t>
            </w:r>
            <w:r>
              <w:rPr>
                <w:rStyle w:val="91"/>
                <w:rFonts w:hint="eastAsia" w:ascii="宋体" w:hAnsi="宋体" w:eastAsia="宋体" w:cs="宋体"/>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lang w:bidi="ar"/>
              </w:rPr>
              <w:t>1</w:t>
            </w:r>
            <w:r>
              <w:rPr>
                <w:rStyle w:val="88"/>
                <w:rFonts w:hint="eastAsia" w:ascii="宋体" w:hAnsi="宋体" w:eastAsia="宋体" w:cs="宋体"/>
                <w:snapToGrid w:val="0"/>
                <w:color w:val="auto"/>
                <w:sz w:val="21"/>
                <w:szCs w:val="21"/>
                <w:vertAlign w:val="baseline"/>
                <w:lang w:bidi="ar"/>
              </w:rPr>
              <w:t>、</w:t>
            </w:r>
            <w:r>
              <w:rPr>
                <w:rStyle w:val="86"/>
                <w:rFonts w:hint="eastAsia" w:ascii="宋体" w:hAnsi="宋体" w:eastAsia="宋体" w:cs="宋体"/>
                <w:b w:val="0"/>
                <w:snapToGrid w:val="0"/>
                <w:color w:val="auto"/>
                <w:sz w:val="21"/>
                <w:szCs w:val="21"/>
                <w:lang w:bidi="ar"/>
              </w:rPr>
              <w:t>G</w:t>
            </w:r>
            <w:r>
              <w:rPr>
                <w:rStyle w:val="91"/>
                <w:rFonts w:hint="eastAsia" w:ascii="宋体" w:hAnsi="宋体" w:eastAsia="宋体" w:cs="宋体"/>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）总量、恩诺沙星、氧氟沙星、氟苯尼考、磺胺类（总量）、甲氧苄啶、多西环素、呋喃唑酮代谢物、甲硝唑、地美硝唑、环丙氨嗪</w:t>
            </w:r>
          </w:p>
        </w:tc>
        <w:tc>
          <w:tcPr>
            <w:tcW w:w="1024" w:type="pct"/>
            <w:noWrap w:val="0"/>
            <w:vAlign w:val="center"/>
          </w:tcPr>
          <w:p w14:paraId="02AEA578">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限燕窝罐头、谷物和杂粮罐头、坚果与籽类罐头、蛋类罐头</w:t>
            </w:r>
          </w:p>
        </w:tc>
      </w:tr>
      <w:tr w14:paraId="37921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6" w:hRule="atLeast"/>
          <w:jc w:val="center"/>
        </w:trPr>
        <w:tc>
          <w:tcPr>
            <w:tcW w:w="183" w:type="pct"/>
            <w:vMerge w:val="restart"/>
            <w:noWrap w:val="0"/>
            <w:vAlign w:val="center"/>
          </w:tcPr>
          <w:p w14:paraId="0CBE164F">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9</w:t>
            </w:r>
          </w:p>
        </w:tc>
        <w:tc>
          <w:tcPr>
            <w:tcW w:w="352" w:type="pct"/>
            <w:vMerge w:val="restart"/>
            <w:noWrap w:val="0"/>
            <w:vAlign w:val="center"/>
          </w:tcPr>
          <w:p w14:paraId="1A9016AB">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速冻食品</w:t>
            </w:r>
          </w:p>
        </w:tc>
        <w:tc>
          <w:tcPr>
            <w:tcW w:w="484" w:type="pct"/>
            <w:vMerge w:val="restart"/>
            <w:noWrap w:val="0"/>
            <w:vAlign w:val="center"/>
          </w:tcPr>
          <w:p w14:paraId="2296359E">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速冻调制食品</w:t>
            </w:r>
          </w:p>
        </w:tc>
        <w:tc>
          <w:tcPr>
            <w:tcW w:w="557" w:type="pct"/>
            <w:noWrap w:val="0"/>
            <w:vAlign w:val="center"/>
          </w:tcPr>
          <w:p w14:paraId="152A0544">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速冻调理肉制品</w:t>
            </w:r>
          </w:p>
        </w:tc>
        <w:tc>
          <w:tcPr>
            <w:tcW w:w="572" w:type="pct"/>
            <w:noWrap w:val="0"/>
            <w:vAlign w:val="center"/>
          </w:tcPr>
          <w:p w14:paraId="17F93C6B">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速冻调理肉制品</w:t>
            </w:r>
          </w:p>
        </w:tc>
        <w:tc>
          <w:tcPr>
            <w:tcW w:w="180" w:type="pct"/>
            <w:noWrap w:val="0"/>
            <w:vAlign w:val="center"/>
          </w:tcPr>
          <w:p w14:paraId="2549F91A">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6871ECEB">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动物源性成分（牛、羊、猪、鸡、鸭）、阿奇霉素、</w:t>
            </w: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）、邻苯二甲酸二异壬酯（DINP）</w:t>
            </w:r>
          </w:p>
        </w:tc>
        <w:tc>
          <w:tcPr>
            <w:tcW w:w="1024" w:type="pct"/>
            <w:noWrap w:val="0"/>
            <w:vAlign w:val="center"/>
          </w:tcPr>
          <w:p w14:paraId="2A19B057">
            <w:pPr>
              <w:kinsoku w:val="0"/>
              <w:autoSpaceDE w:val="0"/>
              <w:autoSpaceDN w:val="0"/>
              <w:adjustRightInd w:val="0"/>
              <w:snapToGrid w:val="0"/>
              <w:spacing w:line="280" w:lineRule="exact"/>
              <w:rPr>
                <w:rFonts w:hint="eastAsia" w:ascii="宋体" w:hAnsi="宋体" w:eastAsia="宋体" w:cs="宋体"/>
                <w:sz w:val="21"/>
                <w:szCs w:val="21"/>
              </w:rPr>
            </w:pPr>
          </w:p>
        </w:tc>
      </w:tr>
      <w:tr w14:paraId="6A34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84" w:hRule="atLeast"/>
          <w:jc w:val="center"/>
        </w:trPr>
        <w:tc>
          <w:tcPr>
            <w:tcW w:w="183" w:type="pct"/>
            <w:vMerge w:val="continue"/>
            <w:noWrap w:val="0"/>
            <w:vAlign w:val="center"/>
          </w:tcPr>
          <w:p w14:paraId="43616146">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4436497D">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484" w:type="pct"/>
            <w:vMerge w:val="continue"/>
            <w:noWrap w:val="0"/>
            <w:vAlign w:val="center"/>
          </w:tcPr>
          <w:p w14:paraId="71FF5D3E">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557" w:type="pct"/>
            <w:noWrap w:val="0"/>
            <w:vAlign w:val="center"/>
          </w:tcPr>
          <w:p w14:paraId="435D3E5D">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速冻调制水产制品</w:t>
            </w:r>
          </w:p>
        </w:tc>
        <w:tc>
          <w:tcPr>
            <w:tcW w:w="572" w:type="pct"/>
            <w:noWrap w:val="0"/>
            <w:vAlign w:val="center"/>
          </w:tcPr>
          <w:p w14:paraId="743651EC">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速冻调制水产制品</w:t>
            </w:r>
          </w:p>
        </w:tc>
        <w:tc>
          <w:tcPr>
            <w:tcW w:w="180" w:type="pct"/>
            <w:noWrap w:val="0"/>
            <w:vAlign w:val="center"/>
          </w:tcPr>
          <w:p w14:paraId="327F3C04">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46D0036E">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过氧化值、安赛蜜、阿奇霉素、</w:t>
            </w: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）、邻苯二甲酸二异壬酯（DINP）</w:t>
            </w:r>
          </w:p>
        </w:tc>
        <w:tc>
          <w:tcPr>
            <w:tcW w:w="1024" w:type="pct"/>
            <w:noWrap w:val="0"/>
            <w:vAlign w:val="center"/>
          </w:tcPr>
          <w:p w14:paraId="547A761B">
            <w:pPr>
              <w:kinsoku w:val="0"/>
              <w:autoSpaceDE w:val="0"/>
              <w:autoSpaceDN w:val="0"/>
              <w:adjustRightInd w:val="0"/>
              <w:snapToGrid w:val="0"/>
              <w:spacing w:line="280" w:lineRule="exact"/>
              <w:rPr>
                <w:rFonts w:hint="eastAsia" w:ascii="宋体" w:hAnsi="宋体" w:eastAsia="宋体" w:cs="宋体"/>
                <w:sz w:val="21"/>
                <w:szCs w:val="21"/>
              </w:rPr>
            </w:pPr>
          </w:p>
        </w:tc>
      </w:tr>
      <w:tr w14:paraId="038D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01" w:hRule="atLeast"/>
          <w:jc w:val="center"/>
        </w:trPr>
        <w:tc>
          <w:tcPr>
            <w:tcW w:w="183" w:type="pct"/>
            <w:noWrap w:val="0"/>
            <w:vAlign w:val="center"/>
          </w:tcPr>
          <w:p w14:paraId="20D2307B">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10</w:t>
            </w:r>
          </w:p>
        </w:tc>
        <w:tc>
          <w:tcPr>
            <w:tcW w:w="352" w:type="pct"/>
            <w:noWrap w:val="0"/>
            <w:vAlign w:val="center"/>
          </w:tcPr>
          <w:p w14:paraId="2DC679B4">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薯类和膨化食品</w:t>
            </w:r>
          </w:p>
        </w:tc>
        <w:tc>
          <w:tcPr>
            <w:tcW w:w="484" w:type="pct"/>
            <w:noWrap w:val="0"/>
            <w:vAlign w:val="center"/>
          </w:tcPr>
          <w:p w14:paraId="5C878EC8">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薯类和膨化食品</w:t>
            </w:r>
          </w:p>
        </w:tc>
        <w:tc>
          <w:tcPr>
            <w:tcW w:w="557" w:type="pct"/>
            <w:noWrap w:val="0"/>
            <w:vAlign w:val="center"/>
          </w:tcPr>
          <w:p w14:paraId="469F041B">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膨化食品</w:t>
            </w:r>
          </w:p>
        </w:tc>
        <w:tc>
          <w:tcPr>
            <w:tcW w:w="572" w:type="pct"/>
            <w:noWrap w:val="0"/>
            <w:vAlign w:val="center"/>
          </w:tcPr>
          <w:p w14:paraId="072F5ED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含油型膨化食品和非含油型膨化食品</w:t>
            </w:r>
          </w:p>
        </w:tc>
        <w:tc>
          <w:tcPr>
            <w:tcW w:w="180" w:type="pct"/>
            <w:noWrap w:val="0"/>
            <w:vAlign w:val="center"/>
          </w:tcPr>
          <w:p w14:paraId="4E609672">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7779D7F9">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脱氧雪腐镰刀菌烯醇、酸价（以脂肪计）（</w:t>
            </w:r>
            <w:r>
              <w:rPr>
                <w:rStyle w:val="86"/>
                <w:rFonts w:hint="eastAsia" w:ascii="宋体" w:hAnsi="宋体" w:eastAsia="宋体" w:cs="宋体"/>
                <w:b w:val="0"/>
                <w:snapToGrid w:val="0"/>
                <w:color w:val="auto"/>
                <w:sz w:val="21"/>
                <w:szCs w:val="21"/>
                <w:lang w:bidi="ar"/>
              </w:rPr>
              <w:t>KOH</w:t>
            </w:r>
            <w:r>
              <w:rPr>
                <w:rStyle w:val="88"/>
                <w:rFonts w:hint="eastAsia" w:ascii="宋体" w:hAnsi="宋体" w:eastAsia="宋体" w:cs="宋体"/>
                <w:snapToGrid w:val="0"/>
                <w:color w:val="auto"/>
                <w:sz w:val="21"/>
                <w:szCs w:val="21"/>
                <w:vertAlign w:val="baseline"/>
                <w:lang w:bidi="ar"/>
              </w:rPr>
              <w:t>）、过氧化值（以脂肪计）、菌落总数、大肠菌群、玉米赤霉烯酮、铝的残留量（干样品，以Al计）</w:t>
            </w:r>
          </w:p>
        </w:tc>
        <w:tc>
          <w:tcPr>
            <w:tcW w:w="1024" w:type="pct"/>
            <w:noWrap w:val="0"/>
            <w:vAlign w:val="center"/>
          </w:tcPr>
          <w:p w14:paraId="11B920A3">
            <w:pPr>
              <w:kinsoku w:val="0"/>
              <w:autoSpaceDE w:val="0"/>
              <w:autoSpaceDN w:val="0"/>
              <w:adjustRightInd w:val="0"/>
              <w:snapToGrid w:val="0"/>
              <w:spacing w:line="280" w:lineRule="exact"/>
              <w:rPr>
                <w:rFonts w:hint="eastAsia" w:ascii="宋体" w:hAnsi="宋体" w:eastAsia="宋体" w:cs="宋体"/>
                <w:sz w:val="21"/>
                <w:szCs w:val="21"/>
              </w:rPr>
            </w:pPr>
          </w:p>
        </w:tc>
      </w:tr>
      <w:tr w14:paraId="7E69C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82" w:hRule="atLeast"/>
          <w:jc w:val="center"/>
        </w:trPr>
        <w:tc>
          <w:tcPr>
            <w:tcW w:w="183" w:type="pct"/>
            <w:vMerge w:val="restart"/>
            <w:noWrap w:val="0"/>
            <w:vAlign w:val="center"/>
          </w:tcPr>
          <w:p w14:paraId="3E66F671">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11</w:t>
            </w:r>
          </w:p>
        </w:tc>
        <w:tc>
          <w:tcPr>
            <w:tcW w:w="352" w:type="pct"/>
            <w:vMerge w:val="restart"/>
            <w:noWrap w:val="0"/>
            <w:vAlign w:val="center"/>
          </w:tcPr>
          <w:p w14:paraId="597FA179">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糖果制品</w:t>
            </w:r>
          </w:p>
        </w:tc>
        <w:tc>
          <w:tcPr>
            <w:tcW w:w="484" w:type="pct"/>
            <w:vMerge w:val="restart"/>
            <w:noWrap w:val="0"/>
            <w:vAlign w:val="center"/>
          </w:tcPr>
          <w:p w14:paraId="187594F7">
            <w:pPr>
              <w:kinsoku w:val="0"/>
              <w:autoSpaceDE w:val="0"/>
              <w:autoSpaceDN w:val="0"/>
              <w:adjustRightInd w:val="0"/>
              <w:snapToGrid w:val="0"/>
              <w:spacing w:line="28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糖果制品</w:t>
            </w:r>
          </w:p>
          <w:p w14:paraId="44819CC1">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（含巧克力及制品）</w:t>
            </w:r>
          </w:p>
        </w:tc>
        <w:tc>
          <w:tcPr>
            <w:tcW w:w="557" w:type="pct"/>
            <w:noWrap w:val="0"/>
            <w:vAlign w:val="center"/>
          </w:tcPr>
          <w:p w14:paraId="2A99DFC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糖果</w:t>
            </w:r>
          </w:p>
        </w:tc>
        <w:tc>
          <w:tcPr>
            <w:tcW w:w="572" w:type="pct"/>
            <w:noWrap w:val="0"/>
            <w:vAlign w:val="center"/>
          </w:tcPr>
          <w:p w14:paraId="1B9D951D">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糖果</w:t>
            </w:r>
          </w:p>
        </w:tc>
        <w:tc>
          <w:tcPr>
            <w:tcW w:w="180" w:type="pct"/>
            <w:noWrap w:val="0"/>
            <w:vAlign w:val="center"/>
          </w:tcPr>
          <w:p w14:paraId="4C3EFC74">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37ECD789">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）、番泻苷A、番泻苷B、大黄素甲醚、大黄酚、橙黄决明素、大黄素、脱乙酰比沙可啶、比沙可啶环丙甲酰替代物、5-氯双醋酚丁、5-氯酚丁、双环己甲酰酚丁、奥利司他、呋塞米、氢氯噻嗪、环噻嗪、西布曲明</w:t>
            </w:r>
          </w:p>
        </w:tc>
        <w:tc>
          <w:tcPr>
            <w:tcW w:w="1024" w:type="pct"/>
            <w:noWrap w:val="0"/>
            <w:vAlign w:val="center"/>
          </w:tcPr>
          <w:p w14:paraId="559F6903">
            <w:pPr>
              <w:kinsoku w:val="0"/>
              <w:autoSpaceDE w:val="0"/>
              <w:autoSpaceDN w:val="0"/>
              <w:adjustRightInd w:val="0"/>
              <w:snapToGrid w:val="0"/>
              <w:spacing w:line="280" w:lineRule="exact"/>
              <w:rPr>
                <w:rFonts w:hint="eastAsia" w:ascii="宋体" w:hAnsi="宋体" w:eastAsia="宋体" w:cs="宋体"/>
                <w:sz w:val="21"/>
                <w:szCs w:val="21"/>
              </w:rPr>
            </w:pPr>
            <w:r>
              <w:rPr>
                <w:rFonts w:hint="eastAsia" w:ascii="宋体" w:hAnsi="宋体" w:eastAsia="宋体" w:cs="宋体"/>
                <w:sz w:val="21"/>
                <w:szCs w:val="21"/>
              </w:rPr>
              <w:t>重点抽检标签、说明书、网页、直播等宣称或暗示功能的产品</w:t>
            </w:r>
          </w:p>
        </w:tc>
      </w:tr>
      <w:tr w14:paraId="337F5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B9C817B">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22860CEA">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484" w:type="pct"/>
            <w:vMerge w:val="continue"/>
            <w:noWrap w:val="0"/>
            <w:vAlign w:val="center"/>
          </w:tcPr>
          <w:p w14:paraId="5B777BEA">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557" w:type="pct"/>
            <w:noWrap w:val="0"/>
            <w:vAlign w:val="center"/>
          </w:tcPr>
          <w:p w14:paraId="4088889B">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巧克力及巧克力制品</w:t>
            </w:r>
          </w:p>
        </w:tc>
        <w:tc>
          <w:tcPr>
            <w:tcW w:w="572" w:type="pct"/>
            <w:noWrap w:val="0"/>
            <w:vAlign w:val="center"/>
          </w:tcPr>
          <w:p w14:paraId="38C938FC">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巧克力、巧克力制品、代可可脂巧克力及代可可脂巧克力制品</w:t>
            </w:r>
          </w:p>
        </w:tc>
        <w:tc>
          <w:tcPr>
            <w:tcW w:w="180" w:type="pct"/>
            <w:noWrap w:val="0"/>
            <w:vAlign w:val="center"/>
          </w:tcPr>
          <w:p w14:paraId="24450F04">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1F4A5428">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4C56D0D3">
            <w:pPr>
              <w:kinsoku w:val="0"/>
              <w:autoSpaceDE w:val="0"/>
              <w:autoSpaceDN w:val="0"/>
              <w:adjustRightInd w:val="0"/>
              <w:snapToGrid w:val="0"/>
              <w:spacing w:line="280" w:lineRule="exact"/>
              <w:rPr>
                <w:rFonts w:hint="eastAsia" w:ascii="宋体" w:hAnsi="宋体" w:eastAsia="宋体" w:cs="宋体"/>
                <w:sz w:val="21"/>
                <w:szCs w:val="21"/>
              </w:rPr>
            </w:pPr>
          </w:p>
        </w:tc>
      </w:tr>
      <w:tr w14:paraId="6E9C5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14" w:hRule="atLeast"/>
          <w:jc w:val="center"/>
        </w:trPr>
        <w:tc>
          <w:tcPr>
            <w:tcW w:w="183" w:type="pct"/>
            <w:vMerge w:val="continue"/>
            <w:noWrap w:val="0"/>
            <w:vAlign w:val="center"/>
          </w:tcPr>
          <w:p w14:paraId="5BC65C3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6CD66F61">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51EC0F39">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4721D0DF">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果冻</w:t>
            </w:r>
          </w:p>
        </w:tc>
        <w:tc>
          <w:tcPr>
            <w:tcW w:w="572" w:type="pct"/>
            <w:noWrap w:val="0"/>
            <w:vAlign w:val="center"/>
          </w:tcPr>
          <w:p w14:paraId="75A5E14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果冻</w:t>
            </w:r>
          </w:p>
        </w:tc>
        <w:tc>
          <w:tcPr>
            <w:tcW w:w="180" w:type="pct"/>
            <w:noWrap w:val="0"/>
            <w:vAlign w:val="center"/>
          </w:tcPr>
          <w:p w14:paraId="55ACA72F">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262D1B29">
            <w:pPr>
              <w:kinsoku w:val="0"/>
              <w:autoSpaceDE w:val="0"/>
              <w:autoSpaceDN w:val="0"/>
              <w:adjustRightInd w:val="0"/>
              <w:snapToGrid w:val="0"/>
              <w:spacing w:line="280" w:lineRule="exact"/>
              <w:textAlignment w:val="center"/>
              <w:rPr>
                <w:rFonts w:hint="eastAsia" w:ascii="宋体" w:hAnsi="宋体" w:eastAsia="宋体" w:cs="宋体"/>
                <w:snapToGrid w:val="0"/>
                <w:kern w:val="0"/>
                <w:sz w:val="21"/>
                <w:szCs w:val="21"/>
                <w:lang w:bidi="ar"/>
              </w:rPr>
            </w:pPr>
            <w:r>
              <w:rPr>
                <w:rStyle w:val="88"/>
                <w:rFonts w:hint="eastAsia" w:ascii="宋体" w:hAnsi="宋体" w:eastAsia="宋体" w:cs="宋体"/>
                <w:snapToGrid w:val="0"/>
                <w:color w:val="auto"/>
                <w:sz w:val="21"/>
                <w:szCs w:val="21"/>
                <w:vertAlign w:val="baseline"/>
                <w:lang w:bidi="ar"/>
              </w:rPr>
              <w:t>番泻苷A、番泻苷B、大黄素甲醚、大黄素、比沙可啶环丙甲酰替代物、5-氯双醋酚丁、5-氯酚丁</w:t>
            </w:r>
          </w:p>
        </w:tc>
        <w:tc>
          <w:tcPr>
            <w:tcW w:w="1024" w:type="pct"/>
            <w:noWrap w:val="0"/>
            <w:vAlign w:val="center"/>
          </w:tcPr>
          <w:p w14:paraId="4930E764">
            <w:pPr>
              <w:kinsoku w:val="0"/>
              <w:autoSpaceDE w:val="0"/>
              <w:autoSpaceDN w:val="0"/>
              <w:adjustRightInd w:val="0"/>
              <w:snapToGrid w:val="0"/>
              <w:spacing w:line="280" w:lineRule="exact"/>
              <w:rPr>
                <w:rFonts w:hint="eastAsia" w:ascii="宋体" w:hAnsi="宋体" w:eastAsia="宋体" w:cs="宋体"/>
                <w:sz w:val="21"/>
                <w:szCs w:val="21"/>
              </w:rPr>
            </w:pPr>
            <w:r>
              <w:rPr>
                <w:rFonts w:hint="eastAsia" w:ascii="宋体" w:hAnsi="宋体" w:eastAsia="宋体" w:cs="宋体"/>
                <w:sz w:val="21"/>
                <w:szCs w:val="21"/>
              </w:rPr>
              <w:t>重点抽检标签、说明书、网页、直播等宣称或暗示功能的产品</w:t>
            </w:r>
          </w:p>
        </w:tc>
      </w:tr>
      <w:tr w14:paraId="2C846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194" w:hRule="atLeast"/>
          <w:jc w:val="center"/>
        </w:trPr>
        <w:tc>
          <w:tcPr>
            <w:tcW w:w="183" w:type="pct"/>
            <w:vMerge w:val="restart"/>
            <w:noWrap w:val="0"/>
            <w:vAlign w:val="center"/>
          </w:tcPr>
          <w:p w14:paraId="297AB36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12</w:t>
            </w:r>
          </w:p>
        </w:tc>
        <w:tc>
          <w:tcPr>
            <w:tcW w:w="352" w:type="pct"/>
            <w:vMerge w:val="restart"/>
            <w:noWrap w:val="0"/>
            <w:vAlign w:val="center"/>
          </w:tcPr>
          <w:p w14:paraId="751855CA">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茶叶及相关制品</w:t>
            </w:r>
          </w:p>
        </w:tc>
        <w:tc>
          <w:tcPr>
            <w:tcW w:w="484" w:type="pct"/>
            <w:noWrap w:val="0"/>
            <w:vAlign w:val="center"/>
          </w:tcPr>
          <w:p w14:paraId="122F1042">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茶叶</w:t>
            </w:r>
          </w:p>
        </w:tc>
        <w:tc>
          <w:tcPr>
            <w:tcW w:w="557" w:type="pct"/>
            <w:noWrap w:val="0"/>
            <w:vAlign w:val="center"/>
          </w:tcPr>
          <w:p w14:paraId="45BA4DC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茶叶</w:t>
            </w:r>
          </w:p>
        </w:tc>
        <w:tc>
          <w:tcPr>
            <w:tcW w:w="572" w:type="pct"/>
            <w:noWrap w:val="0"/>
            <w:vAlign w:val="center"/>
          </w:tcPr>
          <w:p w14:paraId="25B26DC0">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绿茶、红茶、乌龙茶、黄茶、白茶、黑茶、花茶、袋泡茶、紧压茶</w:t>
            </w:r>
          </w:p>
        </w:tc>
        <w:tc>
          <w:tcPr>
            <w:tcW w:w="180" w:type="pct"/>
            <w:noWrap w:val="0"/>
            <w:vAlign w:val="center"/>
          </w:tcPr>
          <w:p w14:paraId="3D21D8BB">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0F7B3A39">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氟、氟虫腈、丙环唑、蒽醌、</w:t>
            </w:r>
            <w:r>
              <w:rPr>
                <w:rStyle w:val="88"/>
                <w:rFonts w:hint="eastAsia" w:ascii="宋体" w:hAnsi="宋体" w:eastAsia="宋体" w:cs="宋体"/>
                <w:snapToGrid w:val="0"/>
                <w:color w:val="auto"/>
                <w:sz w:val="21"/>
                <w:szCs w:val="21"/>
                <w:vertAlign w:val="baseline"/>
                <w:lang w:bidi="ar"/>
              </w:rPr>
              <w:t>多环芳烃（苯并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芘、苯并</w:t>
            </w:r>
            <w:r>
              <w:rPr>
                <w:rStyle w:val="86"/>
                <w:rFonts w:hint="eastAsia" w:ascii="宋体" w:hAnsi="宋体" w:eastAsia="宋体" w:cs="宋体"/>
                <w:b w:val="0"/>
                <w:snapToGrid w:val="0"/>
                <w:color w:val="auto"/>
                <w:sz w:val="21"/>
                <w:szCs w:val="21"/>
                <w:lang w:bidi="ar"/>
              </w:rPr>
              <w:t>[a]</w:t>
            </w:r>
            <w:r>
              <w:rPr>
                <w:rStyle w:val="88"/>
                <w:rFonts w:hint="eastAsia" w:ascii="宋体" w:hAnsi="宋体" w:eastAsia="宋体" w:cs="宋体"/>
                <w:snapToGrid w:val="0"/>
                <w:color w:val="auto"/>
                <w:sz w:val="21"/>
                <w:szCs w:val="21"/>
                <w:vertAlign w:val="baseline"/>
                <w:lang w:bidi="ar"/>
              </w:rPr>
              <w:t>蒽、苯并</w:t>
            </w:r>
            <w:r>
              <w:rPr>
                <w:rStyle w:val="86"/>
                <w:rFonts w:hint="eastAsia" w:ascii="宋体" w:hAnsi="宋体" w:eastAsia="宋体" w:cs="宋体"/>
                <w:b w:val="0"/>
                <w:snapToGrid w:val="0"/>
                <w:color w:val="auto"/>
                <w:sz w:val="21"/>
                <w:szCs w:val="21"/>
                <w:lang w:bidi="ar"/>
              </w:rPr>
              <w:t>[b]</w:t>
            </w:r>
            <w:r>
              <w:rPr>
                <w:rStyle w:val="88"/>
                <w:rFonts w:hint="eastAsia" w:ascii="宋体" w:hAnsi="宋体" w:eastAsia="宋体" w:cs="宋体"/>
                <w:snapToGrid w:val="0"/>
                <w:color w:val="auto"/>
                <w:sz w:val="21"/>
                <w:szCs w:val="21"/>
                <w:vertAlign w:val="baseline"/>
                <w:lang w:bidi="ar"/>
              </w:rPr>
              <w:t>荧蒽、䓛）</w:t>
            </w:r>
          </w:p>
        </w:tc>
        <w:tc>
          <w:tcPr>
            <w:tcW w:w="1024" w:type="pct"/>
            <w:noWrap w:val="0"/>
            <w:vAlign w:val="center"/>
          </w:tcPr>
          <w:p w14:paraId="26BF65A2">
            <w:pPr>
              <w:kinsoku w:val="0"/>
              <w:autoSpaceDE w:val="0"/>
              <w:autoSpaceDN w:val="0"/>
              <w:adjustRightInd w:val="0"/>
              <w:snapToGrid w:val="0"/>
              <w:spacing w:line="280" w:lineRule="exact"/>
              <w:rPr>
                <w:rFonts w:hint="eastAsia" w:ascii="宋体" w:hAnsi="宋体" w:eastAsia="宋体" w:cs="宋体"/>
                <w:sz w:val="21"/>
                <w:szCs w:val="21"/>
              </w:rPr>
            </w:pPr>
          </w:p>
        </w:tc>
      </w:tr>
      <w:tr w14:paraId="32B1B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29" w:hRule="atLeast"/>
          <w:jc w:val="center"/>
        </w:trPr>
        <w:tc>
          <w:tcPr>
            <w:tcW w:w="183" w:type="pct"/>
            <w:vMerge w:val="continue"/>
            <w:noWrap w:val="0"/>
            <w:vAlign w:val="center"/>
          </w:tcPr>
          <w:p w14:paraId="5C9E86BB">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28B630D7">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484" w:type="pct"/>
            <w:noWrap w:val="0"/>
            <w:vAlign w:val="center"/>
          </w:tcPr>
          <w:p w14:paraId="15E253F3">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含茶制品和代用茶</w:t>
            </w:r>
          </w:p>
        </w:tc>
        <w:tc>
          <w:tcPr>
            <w:tcW w:w="557" w:type="pct"/>
            <w:noWrap w:val="0"/>
            <w:vAlign w:val="center"/>
          </w:tcPr>
          <w:p w14:paraId="1DE9D527">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含茶制品</w:t>
            </w:r>
          </w:p>
        </w:tc>
        <w:tc>
          <w:tcPr>
            <w:tcW w:w="572" w:type="pct"/>
            <w:noWrap w:val="0"/>
            <w:vAlign w:val="center"/>
          </w:tcPr>
          <w:p w14:paraId="13E06700">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速溶茶类、其他含茶制品</w:t>
            </w:r>
          </w:p>
        </w:tc>
        <w:tc>
          <w:tcPr>
            <w:tcW w:w="180" w:type="pct"/>
            <w:noWrap w:val="0"/>
            <w:vAlign w:val="center"/>
          </w:tcPr>
          <w:p w14:paraId="22C0635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4AE3297F">
            <w:pPr>
              <w:kinsoku w:val="0"/>
              <w:autoSpaceDE w:val="0"/>
              <w:autoSpaceDN w:val="0"/>
              <w:adjustRightInd w:val="0"/>
              <w:snapToGrid w:val="0"/>
              <w:spacing w:line="28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铅（以Pb计）、铬（以Cr计）、乙酰甲胺磷、灭多威、三氯杀螨醇、氰戊菊酯和S-氰戊菊酯、克百威、水胺硫磷、氧乐果</w:t>
            </w:r>
          </w:p>
        </w:tc>
        <w:tc>
          <w:tcPr>
            <w:tcW w:w="1024" w:type="pct"/>
            <w:noWrap w:val="0"/>
            <w:vAlign w:val="center"/>
          </w:tcPr>
          <w:p w14:paraId="62C4CD82">
            <w:pPr>
              <w:kinsoku w:val="0"/>
              <w:autoSpaceDE w:val="0"/>
              <w:autoSpaceDN w:val="0"/>
              <w:adjustRightInd w:val="0"/>
              <w:snapToGrid w:val="0"/>
              <w:spacing w:line="280" w:lineRule="exact"/>
              <w:rPr>
                <w:rFonts w:hint="eastAsia" w:ascii="宋体" w:hAnsi="宋体" w:eastAsia="宋体" w:cs="宋体"/>
                <w:sz w:val="21"/>
                <w:szCs w:val="21"/>
              </w:rPr>
            </w:pPr>
          </w:p>
        </w:tc>
      </w:tr>
      <w:tr w14:paraId="050C3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7EFD55F0">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12</w:t>
            </w:r>
          </w:p>
        </w:tc>
        <w:tc>
          <w:tcPr>
            <w:tcW w:w="352" w:type="pct"/>
            <w:vMerge w:val="restart"/>
            <w:noWrap w:val="0"/>
            <w:vAlign w:val="center"/>
          </w:tcPr>
          <w:p w14:paraId="53B3F4EC">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茶叶及相关制品</w:t>
            </w:r>
          </w:p>
        </w:tc>
        <w:tc>
          <w:tcPr>
            <w:tcW w:w="484" w:type="pct"/>
            <w:vMerge w:val="restart"/>
            <w:noWrap w:val="0"/>
            <w:vAlign w:val="center"/>
          </w:tcPr>
          <w:p w14:paraId="4E3EFF32">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含茶制品和代用茶</w:t>
            </w:r>
          </w:p>
        </w:tc>
        <w:tc>
          <w:tcPr>
            <w:tcW w:w="557" w:type="pct"/>
            <w:vMerge w:val="restart"/>
            <w:noWrap w:val="0"/>
            <w:vAlign w:val="center"/>
          </w:tcPr>
          <w:p w14:paraId="427875FF">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代用茶</w:t>
            </w:r>
          </w:p>
        </w:tc>
        <w:tc>
          <w:tcPr>
            <w:tcW w:w="572" w:type="pct"/>
            <w:noWrap w:val="0"/>
            <w:vAlign w:val="center"/>
          </w:tcPr>
          <w:p w14:paraId="5A354EC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枸杞（干）</w:t>
            </w:r>
          </w:p>
        </w:tc>
        <w:tc>
          <w:tcPr>
            <w:tcW w:w="180" w:type="pct"/>
            <w:noWrap w:val="0"/>
            <w:vAlign w:val="center"/>
          </w:tcPr>
          <w:p w14:paraId="4251A1A3">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795BA2AE">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镉（以</w:t>
            </w:r>
            <w:r>
              <w:rPr>
                <w:rStyle w:val="86"/>
                <w:rFonts w:hint="eastAsia" w:ascii="宋体" w:hAnsi="宋体" w:eastAsia="宋体" w:cs="宋体"/>
                <w:b w:val="0"/>
                <w:snapToGrid w:val="0"/>
                <w:color w:val="auto"/>
                <w:sz w:val="21"/>
                <w:szCs w:val="21"/>
                <w:lang w:bidi="ar"/>
              </w:rPr>
              <w:t>Cd</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78C69CAE">
            <w:pPr>
              <w:kinsoku w:val="0"/>
              <w:autoSpaceDE w:val="0"/>
              <w:autoSpaceDN w:val="0"/>
              <w:adjustRightInd w:val="0"/>
              <w:snapToGrid w:val="0"/>
              <w:spacing w:line="280" w:lineRule="exact"/>
              <w:rPr>
                <w:rFonts w:hint="eastAsia" w:ascii="宋体" w:hAnsi="宋体" w:eastAsia="宋体" w:cs="宋体"/>
                <w:sz w:val="21"/>
                <w:szCs w:val="21"/>
              </w:rPr>
            </w:pPr>
          </w:p>
        </w:tc>
      </w:tr>
      <w:tr w14:paraId="74B9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BDAE9C2">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55B5CA52">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2809913">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37A56729">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5EF61777">
            <w:pPr>
              <w:kinsoku w:val="0"/>
              <w:autoSpaceDE w:val="0"/>
              <w:autoSpaceDN w:val="0"/>
              <w:adjustRightInd w:val="0"/>
              <w:snapToGrid w:val="0"/>
              <w:spacing w:line="28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菊花（干）</w:t>
            </w:r>
          </w:p>
        </w:tc>
        <w:tc>
          <w:tcPr>
            <w:tcW w:w="180" w:type="pct"/>
            <w:noWrap w:val="0"/>
            <w:vAlign w:val="center"/>
          </w:tcPr>
          <w:p w14:paraId="10B6E735">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65DD76AC">
            <w:pPr>
              <w:kinsoku w:val="0"/>
              <w:autoSpaceDE w:val="0"/>
              <w:autoSpaceDN w:val="0"/>
              <w:adjustRightInd w:val="0"/>
              <w:snapToGrid w:val="0"/>
              <w:spacing w:line="28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镉（以</w:t>
            </w:r>
            <w:r>
              <w:rPr>
                <w:rStyle w:val="86"/>
                <w:rFonts w:hint="eastAsia" w:ascii="宋体" w:hAnsi="宋体" w:eastAsia="宋体" w:cs="宋体"/>
                <w:b w:val="0"/>
                <w:snapToGrid w:val="0"/>
                <w:color w:val="auto"/>
                <w:sz w:val="21"/>
                <w:szCs w:val="21"/>
                <w:lang w:bidi="ar"/>
              </w:rPr>
              <w:t>Cd</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60F62FD0">
            <w:pPr>
              <w:kinsoku w:val="0"/>
              <w:autoSpaceDE w:val="0"/>
              <w:autoSpaceDN w:val="0"/>
              <w:adjustRightInd w:val="0"/>
              <w:snapToGrid w:val="0"/>
              <w:spacing w:line="280" w:lineRule="exact"/>
              <w:rPr>
                <w:rFonts w:hint="eastAsia" w:ascii="宋体" w:hAnsi="宋体" w:eastAsia="宋体" w:cs="宋体"/>
                <w:sz w:val="21"/>
                <w:szCs w:val="21"/>
              </w:rPr>
            </w:pPr>
          </w:p>
        </w:tc>
      </w:tr>
      <w:tr w14:paraId="78C5D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A0A3C84">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679B4681">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27AC35C0">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33DB0122">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49FAA5D1">
            <w:pPr>
              <w:kinsoku w:val="0"/>
              <w:autoSpaceDE w:val="0"/>
              <w:autoSpaceDN w:val="0"/>
              <w:adjustRightInd w:val="0"/>
              <w:snapToGrid w:val="0"/>
              <w:spacing w:line="28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金银花（干）</w:t>
            </w:r>
          </w:p>
        </w:tc>
        <w:tc>
          <w:tcPr>
            <w:tcW w:w="180" w:type="pct"/>
            <w:noWrap w:val="0"/>
            <w:vAlign w:val="center"/>
          </w:tcPr>
          <w:p w14:paraId="39575828">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388AA6E5">
            <w:pPr>
              <w:kinsoku w:val="0"/>
              <w:autoSpaceDE w:val="0"/>
              <w:autoSpaceDN w:val="0"/>
              <w:adjustRightInd w:val="0"/>
              <w:snapToGrid w:val="0"/>
              <w:spacing w:line="28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镉（以</w:t>
            </w:r>
            <w:r>
              <w:rPr>
                <w:rStyle w:val="86"/>
                <w:rFonts w:hint="eastAsia" w:ascii="宋体" w:hAnsi="宋体" w:eastAsia="宋体" w:cs="宋体"/>
                <w:b w:val="0"/>
                <w:snapToGrid w:val="0"/>
                <w:color w:val="auto"/>
                <w:sz w:val="21"/>
                <w:szCs w:val="21"/>
                <w:lang w:bidi="ar"/>
              </w:rPr>
              <w:t>Cd</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0F0427D4">
            <w:pPr>
              <w:kinsoku w:val="0"/>
              <w:autoSpaceDE w:val="0"/>
              <w:autoSpaceDN w:val="0"/>
              <w:adjustRightInd w:val="0"/>
              <w:snapToGrid w:val="0"/>
              <w:spacing w:line="280" w:lineRule="exact"/>
              <w:rPr>
                <w:rFonts w:hint="eastAsia" w:ascii="宋体" w:hAnsi="宋体" w:eastAsia="宋体" w:cs="宋体"/>
                <w:sz w:val="21"/>
                <w:szCs w:val="21"/>
              </w:rPr>
            </w:pPr>
          </w:p>
        </w:tc>
      </w:tr>
      <w:tr w14:paraId="41722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B262527">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6BE9B28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3CCC4C5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0A8CBEC8">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56909D3E">
            <w:pPr>
              <w:kinsoku w:val="0"/>
              <w:autoSpaceDE w:val="0"/>
              <w:autoSpaceDN w:val="0"/>
              <w:adjustRightInd w:val="0"/>
              <w:snapToGrid w:val="0"/>
              <w:spacing w:line="28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苦丁茶</w:t>
            </w:r>
          </w:p>
        </w:tc>
        <w:tc>
          <w:tcPr>
            <w:tcW w:w="180" w:type="pct"/>
            <w:noWrap w:val="0"/>
            <w:vAlign w:val="center"/>
          </w:tcPr>
          <w:p w14:paraId="3A4B9DAF">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3BAA6DE7">
            <w:pPr>
              <w:kinsoku w:val="0"/>
              <w:autoSpaceDE w:val="0"/>
              <w:autoSpaceDN w:val="0"/>
              <w:adjustRightInd w:val="0"/>
              <w:snapToGrid w:val="0"/>
              <w:spacing w:line="28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镉（以</w:t>
            </w:r>
            <w:r>
              <w:rPr>
                <w:rStyle w:val="86"/>
                <w:rFonts w:hint="eastAsia" w:ascii="宋体" w:hAnsi="宋体" w:eastAsia="宋体" w:cs="宋体"/>
                <w:b w:val="0"/>
                <w:snapToGrid w:val="0"/>
                <w:color w:val="auto"/>
                <w:sz w:val="21"/>
                <w:szCs w:val="21"/>
                <w:lang w:bidi="ar"/>
              </w:rPr>
              <w:t>Cd</w:t>
            </w:r>
            <w:r>
              <w:rPr>
                <w:rStyle w:val="88"/>
                <w:rFonts w:hint="eastAsia" w:ascii="宋体" w:hAnsi="宋体" w:eastAsia="宋体" w:cs="宋体"/>
                <w:snapToGrid w:val="0"/>
                <w:color w:val="auto"/>
                <w:sz w:val="21"/>
                <w:szCs w:val="21"/>
                <w:vertAlign w:val="baseline"/>
                <w:lang w:bidi="ar"/>
              </w:rPr>
              <w:t>计）、孔雀石绿</w:t>
            </w:r>
          </w:p>
        </w:tc>
        <w:tc>
          <w:tcPr>
            <w:tcW w:w="1024" w:type="pct"/>
            <w:noWrap w:val="0"/>
            <w:vAlign w:val="center"/>
          </w:tcPr>
          <w:p w14:paraId="00E4CCD1">
            <w:pPr>
              <w:kinsoku w:val="0"/>
              <w:autoSpaceDE w:val="0"/>
              <w:autoSpaceDN w:val="0"/>
              <w:adjustRightInd w:val="0"/>
              <w:snapToGrid w:val="0"/>
              <w:spacing w:line="280" w:lineRule="exact"/>
              <w:rPr>
                <w:rFonts w:hint="eastAsia" w:ascii="宋体" w:hAnsi="宋体" w:eastAsia="宋体" w:cs="宋体"/>
                <w:sz w:val="21"/>
                <w:szCs w:val="21"/>
              </w:rPr>
            </w:pPr>
          </w:p>
        </w:tc>
      </w:tr>
      <w:tr w14:paraId="39056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F288670">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2FEBA126">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10E55470">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46E38E2B">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53370048">
            <w:pPr>
              <w:kinsoku w:val="0"/>
              <w:autoSpaceDE w:val="0"/>
              <w:autoSpaceDN w:val="0"/>
              <w:adjustRightInd w:val="0"/>
              <w:snapToGrid w:val="0"/>
              <w:spacing w:line="28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其他代用茶</w:t>
            </w:r>
          </w:p>
        </w:tc>
        <w:tc>
          <w:tcPr>
            <w:tcW w:w="180" w:type="pct"/>
            <w:noWrap w:val="0"/>
            <w:vAlign w:val="center"/>
          </w:tcPr>
          <w:p w14:paraId="1E509172">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1BCE45B7">
            <w:pPr>
              <w:kinsoku w:val="0"/>
              <w:autoSpaceDE w:val="0"/>
              <w:autoSpaceDN w:val="0"/>
              <w:adjustRightInd w:val="0"/>
              <w:snapToGrid w:val="0"/>
              <w:spacing w:line="28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镉（以</w:t>
            </w:r>
            <w:r>
              <w:rPr>
                <w:rStyle w:val="86"/>
                <w:rFonts w:hint="eastAsia" w:ascii="宋体" w:hAnsi="宋体" w:eastAsia="宋体" w:cs="宋体"/>
                <w:b w:val="0"/>
                <w:snapToGrid w:val="0"/>
                <w:color w:val="auto"/>
                <w:sz w:val="21"/>
                <w:szCs w:val="21"/>
                <w:lang w:bidi="ar"/>
              </w:rPr>
              <w:t>Cd</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2C7C8651">
            <w:pPr>
              <w:kinsoku w:val="0"/>
              <w:autoSpaceDE w:val="0"/>
              <w:autoSpaceDN w:val="0"/>
              <w:adjustRightInd w:val="0"/>
              <w:snapToGrid w:val="0"/>
              <w:spacing w:line="280" w:lineRule="exact"/>
              <w:rPr>
                <w:rFonts w:hint="eastAsia" w:ascii="宋体" w:hAnsi="宋体" w:eastAsia="宋体" w:cs="宋体"/>
                <w:sz w:val="21"/>
                <w:szCs w:val="21"/>
              </w:rPr>
            </w:pPr>
          </w:p>
        </w:tc>
      </w:tr>
      <w:tr w14:paraId="6BB25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52" w:hRule="atLeast"/>
          <w:jc w:val="center"/>
        </w:trPr>
        <w:tc>
          <w:tcPr>
            <w:tcW w:w="183" w:type="pct"/>
            <w:vMerge w:val="restart"/>
            <w:noWrap w:val="0"/>
            <w:vAlign w:val="center"/>
          </w:tcPr>
          <w:p w14:paraId="021C742C">
            <w:pPr>
              <w:kinsoku w:val="0"/>
              <w:autoSpaceDE w:val="0"/>
              <w:autoSpaceDN w:val="0"/>
              <w:adjustRightInd w:val="0"/>
              <w:snapToGrid w:val="0"/>
              <w:spacing w:line="28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13</w:t>
            </w:r>
          </w:p>
        </w:tc>
        <w:tc>
          <w:tcPr>
            <w:tcW w:w="352" w:type="pct"/>
            <w:vMerge w:val="restart"/>
            <w:noWrap w:val="0"/>
            <w:vAlign w:val="center"/>
          </w:tcPr>
          <w:p w14:paraId="2C1ECDDE">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酒类</w:t>
            </w:r>
          </w:p>
        </w:tc>
        <w:tc>
          <w:tcPr>
            <w:tcW w:w="484" w:type="pct"/>
            <w:noWrap w:val="0"/>
            <w:vAlign w:val="center"/>
          </w:tcPr>
          <w:p w14:paraId="370C4200">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蒸馏酒</w:t>
            </w:r>
          </w:p>
        </w:tc>
        <w:tc>
          <w:tcPr>
            <w:tcW w:w="557" w:type="pct"/>
            <w:noWrap w:val="0"/>
            <w:vAlign w:val="center"/>
          </w:tcPr>
          <w:p w14:paraId="615682E8">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白酒</w:t>
            </w:r>
          </w:p>
        </w:tc>
        <w:tc>
          <w:tcPr>
            <w:tcW w:w="572" w:type="pct"/>
            <w:noWrap w:val="0"/>
            <w:vAlign w:val="center"/>
          </w:tcPr>
          <w:p w14:paraId="2AB51A8D">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白酒、白酒（液态）、白酒（原酒）</w:t>
            </w:r>
          </w:p>
        </w:tc>
        <w:tc>
          <w:tcPr>
            <w:tcW w:w="180" w:type="pct"/>
            <w:noWrap w:val="0"/>
            <w:vAlign w:val="center"/>
          </w:tcPr>
          <w:p w14:paraId="15467408">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36F2A14E">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固形物、总酸、总酯、酸酯总量、己酸乙酯、乙酸乙酯、乳酸乙酯、总酸</w:t>
            </w:r>
            <w:r>
              <w:rPr>
                <w:rStyle w:val="86"/>
                <w:rFonts w:hint="eastAsia" w:ascii="宋体" w:hAnsi="宋体" w:eastAsia="宋体" w:cs="宋体"/>
                <w:b w:val="0"/>
                <w:snapToGrid w:val="0"/>
                <w:color w:val="auto"/>
                <w:sz w:val="21"/>
                <w:szCs w:val="21"/>
                <w:lang w:bidi="ar"/>
              </w:rPr>
              <w:t>+</w:t>
            </w:r>
            <w:r>
              <w:rPr>
                <w:rStyle w:val="88"/>
                <w:rFonts w:hint="eastAsia" w:ascii="宋体" w:hAnsi="宋体" w:eastAsia="宋体" w:cs="宋体"/>
                <w:snapToGrid w:val="0"/>
                <w:color w:val="auto"/>
                <w:sz w:val="21"/>
                <w:szCs w:val="21"/>
                <w:vertAlign w:val="baseline"/>
                <w:lang w:bidi="ar"/>
              </w:rPr>
              <w:t>总酯、己酸</w:t>
            </w:r>
            <w:r>
              <w:rPr>
                <w:rStyle w:val="86"/>
                <w:rFonts w:hint="eastAsia" w:ascii="宋体" w:hAnsi="宋体" w:eastAsia="宋体" w:cs="宋体"/>
                <w:b w:val="0"/>
                <w:snapToGrid w:val="0"/>
                <w:color w:val="auto"/>
                <w:sz w:val="21"/>
                <w:szCs w:val="21"/>
                <w:lang w:bidi="ar"/>
              </w:rPr>
              <w:t>+</w:t>
            </w:r>
            <w:r>
              <w:rPr>
                <w:rStyle w:val="88"/>
                <w:rFonts w:hint="eastAsia" w:ascii="宋体" w:hAnsi="宋体" w:eastAsia="宋体" w:cs="宋体"/>
                <w:snapToGrid w:val="0"/>
                <w:color w:val="auto"/>
                <w:sz w:val="21"/>
                <w:szCs w:val="21"/>
                <w:vertAlign w:val="baseline"/>
                <w:lang w:bidi="ar"/>
              </w:rPr>
              <w:t>己酸乙酯、乙酸乙酯</w:t>
            </w:r>
            <w:r>
              <w:rPr>
                <w:rStyle w:val="86"/>
                <w:rFonts w:hint="eastAsia" w:ascii="宋体" w:hAnsi="宋体" w:eastAsia="宋体" w:cs="宋体"/>
                <w:b w:val="0"/>
                <w:snapToGrid w:val="0"/>
                <w:color w:val="auto"/>
                <w:sz w:val="21"/>
                <w:szCs w:val="21"/>
                <w:lang w:bidi="ar"/>
              </w:rPr>
              <w:t>+</w:t>
            </w:r>
            <w:r>
              <w:rPr>
                <w:rStyle w:val="88"/>
                <w:rFonts w:hint="eastAsia" w:ascii="宋体" w:hAnsi="宋体" w:eastAsia="宋体" w:cs="宋体"/>
                <w:snapToGrid w:val="0"/>
                <w:color w:val="auto"/>
                <w:sz w:val="21"/>
                <w:szCs w:val="21"/>
                <w:vertAlign w:val="baseline"/>
                <w:lang w:bidi="ar"/>
              </w:rPr>
              <w:t>乙酸、总酸</w:t>
            </w:r>
            <w:r>
              <w:rPr>
                <w:rStyle w:val="86"/>
                <w:rFonts w:hint="eastAsia" w:ascii="宋体" w:hAnsi="宋体" w:eastAsia="宋体" w:cs="宋体"/>
                <w:b w:val="0"/>
                <w:snapToGrid w:val="0"/>
                <w:color w:val="auto"/>
                <w:sz w:val="21"/>
                <w:szCs w:val="21"/>
                <w:lang w:bidi="ar"/>
              </w:rPr>
              <w:t>+</w:t>
            </w:r>
            <w:r>
              <w:rPr>
                <w:rStyle w:val="88"/>
                <w:rFonts w:hint="eastAsia" w:ascii="宋体" w:hAnsi="宋体" w:eastAsia="宋体" w:cs="宋体"/>
                <w:snapToGrid w:val="0"/>
                <w:color w:val="auto"/>
                <w:sz w:val="21"/>
                <w:szCs w:val="21"/>
                <w:vertAlign w:val="baseline"/>
                <w:lang w:bidi="ar"/>
              </w:rPr>
              <w:t>乙酸乙酯</w:t>
            </w:r>
            <w:r>
              <w:rPr>
                <w:rStyle w:val="86"/>
                <w:rFonts w:hint="eastAsia" w:ascii="宋体" w:hAnsi="宋体" w:eastAsia="宋体" w:cs="宋体"/>
                <w:b w:val="0"/>
                <w:snapToGrid w:val="0"/>
                <w:color w:val="auto"/>
                <w:sz w:val="21"/>
                <w:szCs w:val="21"/>
                <w:lang w:bidi="ar"/>
              </w:rPr>
              <w:t>+</w:t>
            </w:r>
            <w:r>
              <w:rPr>
                <w:rStyle w:val="88"/>
                <w:rFonts w:hint="eastAsia" w:ascii="宋体" w:hAnsi="宋体" w:eastAsia="宋体" w:cs="宋体"/>
                <w:snapToGrid w:val="0"/>
                <w:color w:val="auto"/>
                <w:sz w:val="21"/>
                <w:szCs w:val="21"/>
                <w:vertAlign w:val="baseline"/>
                <w:lang w:bidi="ar"/>
              </w:rPr>
              <w:t>乳酸乙酯、己酸乙酯</w:t>
            </w:r>
            <w:r>
              <w:rPr>
                <w:rStyle w:val="86"/>
                <w:rFonts w:hint="eastAsia" w:ascii="宋体" w:hAnsi="宋体" w:eastAsia="宋体" w:cs="宋体"/>
                <w:b w:val="0"/>
                <w:snapToGrid w:val="0"/>
                <w:color w:val="auto"/>
                <w:sz w:val="21"/>
                <w:szCs w:val="21"/>
                <w:lang w:bidi="ar"/>
              </w:rPr>
              <w:t>/</w:t>
            </w:r>
            <w:r>
              <w:rPr>
                <w:rStyle w:val="88"/>
                <w:rFonts w:hint="eastAsia" w:ascii="宋体" w:hAnsi="宋体" w:eastAsia="宋体" w:cs="宋体"/>
                <w:snapToGrid w:val="0"/>
                <w:color w:val="auto"/>
                <w:sz w:val="21"/>
                <w:szCs w:val="21"/>
                <w:vertAlign w:val="baseline"/>
                <w:lang w:bidi="ar"/>
              </w:rPr>
              <w:t>乙酸乙酯、蔗糖、邻苯二甲酸二正丁酯（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）、阿斯巴甜</w:t>
            </w:r>
          </w:p>
        </w:tc>
        <w:tc>
          <w:tcPr>
            <w:tcW w:w="1024" w:type="pct"/>
            <w:noWrap w:val="0"/>
            <w:vAlign w:val="center"/>
          </w:tcPr>
          <w:p w14:paraId="6B19D92E">
            <w:pPr>
              <w:kinsoku w:val="0"/>
              <w:autoSpaceDE w:val="0"/>
              <w:autoSpaceDN w:val="0"/>
              <w:adjustRightInd w:val="0"/>
              <w:snapToGrid w:val="0"/>
              <w:spacing w:line="280" w:lineRule="exact"/>
              <w:rPr>
                <w:rFonts w:hint="eastAsia" w:ascii="宋体" w:hAnsi="宋体" w:eastAsia="宋体" w:cs="宋体"/>
                <w:sz w:val="21"/>
                <w:szCs w:val="21"/>
              </w:rPr>
            </w:pPr>
          </w:p>
        </w:tc>
      </w:tr>
      <w:tr w14:paraId="0892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24FAF76">
            <w:pPr>
              <w:kinsoku w:val="0"/>
              <w:autoSpaceDE w:val="0"/>
              <w:autoSpaceDN w:val="0"/>
              <w:adjustRightInd w:val="0"/>
              <w:snapToGrid w:val="0"/>
              <w:spacing w:line="280" w:lineRule="exact"/>
              <w:jc w:val="center"/>
              <w:rPr>
                <w:rFonts w:hint="eastAsia" w:ascii="宋体" w:hAnsi="宋体" w:eastAsia="宋体" w:cs="宋体"/>
                <w:sz w:val="21"/>
                <w:szCs w:val="21"/>
              </w:rPr>
            </w:pPr>
          </w:p>
        </w:tc>
        <w:tc>
          <w:tcPr>
            <w:tcW w:w="352" w:type="pct"/>
            <w:vMerge w:val="continue"/>
            <w:noWrap w:val="0"/>
            <w:vAlign w:val="center"/>
          </w:tcPr>
          <w:p w14:paraId="2A39A30E">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484" w:type="pct"/>
            <w:noWrap w:val="0"/>
            <w:vAlign w:val="center"/>
          </w:tcPr>
          <w:p w14:paraId="0F5049A8">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发酵酒</w:t>
            </w:r>
          </w:p>
        </w:tc>
        <w:tc>
          <w:tcPr>
            <w:tcW w:w="557" w:type="pct"/>
            <w:noWrap w:val="0"/>
            <w:vAlign w:val="center"/>
          </w:tcPr>
          <w:p w14:paraId="064FB53F">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葡萄酒</w:t>
            </w:r>
          </w:p>
        </w:tc>
        <w:tc>
          <w:tcPr>
            <w:tcW w:w="572" w:type="pct"/>
            <w:noWrap w:val="0"/>
            <w:vAlign w:val="center"/>
          </w:tcPr>
          <w:p w14:paraId="1515975A">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葡萄酒</w:t>
            </w:r>
          </w:p>
        </w:tc>
        <w:tc>
          <w:tcPr>
            <w:tcW w:w="180" w:type="pct"/>
            <w:noWrap w:val="0"/>
            <w:vAlign w:val="center"/>
          </w:tcPr>
          <w:p w14:paraId="5704697A">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560B5F80">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干浸出物、总糖、邻苯二甲酸二正丁酯（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50D05F44">
            <w:pPr>
              <w:kinsoku w:val="0"/>
              <w:autoSpaceDE w:val="0"/>
              <w:autoSpaceDN w:val="0"/>
              <w:adjustRightInd w:val="0"/>
              <w:snapToGrid w:val="0"/>
              <w:spacing w:line="280" w:lineRule="exact"/>
              <w:rPr>
                <w:rFonts w:hint="eastAsia" w:ascii="宋体" w:hAnsi="宋体" w:eastAsia="宋体" w:cs="宋体"/>
                <w:sz w:val="21"/>
                <w:szCs w:val="21"/>
              </w:rPr>
            </w:pPr>
          </w:p>
        </w:tc>
      </w:tr>
      <w:tr w14:paraId="102F6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C55BB84">
            <w:pPr>
              <w:kinsoku w:val="0"/>
              <w:autoSpaceDE w:val="0"/>
              <w:autoSpaceDN w:val="0"/>
              <w:adjustRightInd w:val="0"/>
              <w:snapToGrid w:val="0"/>
              <w:spacing w:line="280" w:lineRule="exact"/>
              <w:jc w:val="center"/>
              <w:rPr>
                <w:rFonts w:hint="eastAsia" w:ascii="宋体" w:hAnsi="宋体" w:eastAsia="宋体" w:cs="宋体"/>
                <w:sz w:val="21"/>
                <w:szCs w:val="21"/>
              </w:rPr>
            </w:pPr>
          </w:p>
        </w:tc>
        <w:tc>
          <w:tcPr>
            <w:tcW w:w="352" w:type="pct"/>
            <w:vMerge w:val="continue"/>
            <w:noWrap w:val="0"/>
            <w:vAlign w:val="center"/>
          </w:tcPr>
          <w:p w14:paraId="61E4EAA9">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484" w:type="pct"/>
            <w:vMerge w:val="restart"/>
            <w:noWrap w:val="0"/>
            <w:vAlign w:val="center"/>
          </w:tcPr>
          <w:p w14:paraId="04DB7076">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其他酒</w:t>
            </w:r>
          </w:p>
        </w:tc>
        <w:tc>
          <w:tcPr>
            <w:tcW w:w="557" w:type="pct"/>
            <w:noWrap w:val="0"/>
            <w:vAlign w:val="center"/>
          </w:tcPr>
          <w:p w14:paraId="2B112F1F">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配制酒</w:t>
            </w:r>
          </w:p>
        </w:tc>
        <w:tc>
          <w:tcPr>
            <w:tcW w:w="572" w:type="pct"/>
            <w:noWrap w:val="0"/>
            <w:vAlign w:val="center"/>
          </w:tcPr>
          <w:p w14:paraId="10798F69">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以蒸馏酒及食用酒精为酒基的配制酒</w:t>
            </w:r>
          </w:p>
        </w:tc>
        <w:tc>
          <w:tcPr>
            <w:tcW w:w="180" w:type="pct"/>
            <w:noWrap w:val="0"/>
            <w:vAlign w:val="center"/>
          </w:tcPr>
          <w:p w14:paraId="0E33E0F1">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752EA086">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）、邻苯二甲酸二（</w:t>
            </w:r>
            <w:r>
              <w:rPr>
                <w:rStyle w:val="86"/>
                <w:rFonts w:hint="eastAsia" w:ascii="宋体" w:hAnsi="宋体" w:eastAsia="宋体" w:cs="宋体"/>
                <w:b w:val="0"/>
                <w:snapToGrid w:val="0"/>
                <w:color w:val="auto"/>
                <w:sz w:val="21"/>
                <w:szCs w:val="21"/>
                <w:lang w:bidi="ar"/>
              </w:rPr>
              <w:t>2-</w:t>
            </w:r>
            <w:r>
              <w:rPr>
                <w:rStyle w:val="88"/>
                <w:rFonts w:hint="eastAsia" w:ascii="宋体" w:hAnsi="宋体" w:eastAsia="宋体" w:cs="宋体"/>
                <w:snapToGrid w:val="0"/>
                <w:color w:val="auto"/>
                <w:sz w:val="21"/>
                <w:szCs w:val="21"/>
                <w:vertAlign w:val="baseline"/>
                <w:lang w:bidi="ar"/>
              </w:rPr>
              <w:t>乙基）己酯（</w:t>
            </w:r>
            <w:r>
              <w:rPr>
                <w:rStyle w:val="86"/>
                <w:rFonts w:hint="eastAsia" w:ascii="宋体" w:hAnsi="宋体" w:eastAsia="宋体" w:cs="宋体"/>
                <w:b w:val="0"/>
                <w:snapToGrid w:val="0"/>
                <w:color w:val="auto"/>
                <w:sz w:val="21"/>
                <w:szCs w:val="21"/>
                <w:lang w:bidi="ar"/>
              </w:rPr>
              <w:t>DEHP</w:t>
            </w:r>
            <w:r>
              <w:rPr>
                <w:rStyle w:val="88"/>
                <w:rFonts w:hint="eastAsia" w:ascii="宋体" w:hAnsi="宋体" w:eastAsia="宋体" w:cs="宋体"/>
                <w:snapToGrid w:val="0"/>
                <w:color w:val="auto"/>
                <w:sz w:val="21"/>
                <w:szCs w:val="21"/>
                <w:vertAlign w:val="baseline"/>
                <w:lang w:bidi="ar"/>
              </w:rPr>
              <w:t>）、淫羊藿苷、伐地那非杂质30</w:t>
            </w:r>
          </w:p>
        </w:tc>
        <w:tc>
          <w:tcPr>
            <w:tcW w:w="1024" w:type="pct"/>
            <w:noWrap w:val="0"/>
            <w:vAlign w:val="center"/>
          </w:tcPr>
          <w:p w14:paraId="10415A92">
            <w:pPr>
              <w:kinsoku w:val="0"/>
              <w:autoSpaceDE w:val="0"/>
              <w:autoSpaceDN w:val="0"/>
              <w:adjustRightInd w:val="0"/>
              <w:snapToGrid w:val="0"/>
              <w:spacing w:line="280" w:lineRule="exact"/>
              <w:rPr>
                <w:rFonts w:hint="eastAsia" w:ascii="宋体" w:hAnsi="宋体" w:eastAsia="宋体" w:cs="宋体"/>
                <w:sz w:val="21"/>
                <w:szCs w:val="21"/>
              </w:rPr>
            </w:pPr>
            <w:r>
              <w:rPr>
                <w:rFonts w:hint="eastAsia" w:ascii="宋体" w:hAnsi="宋体" w:eastAsia="宋体" w:cs="宋体"/>
                <w:sz w:val="21"/>
                <w:szCs w:val="21"/>
              </w:rPr>
              <w:t>重点抽检标签、说明书、网页、直播等宣称或暗示功能的产品</w:t>
            </w:r>
          </w:p>
        </w:tc>
      </w:tr>
      <w:tr w14:paraId="2E72D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15CFCA1">
            <w:pPr>
              <w:kinsoku w:val="0"/>
              <w:autoSpaceDE w:val="0"/>
              <w:autoSpaceDN w:val="0"/>
              <w:adjustRightInd w:val="0"/>
              <w:snapToGrid w:val="0"/>
              <w:spacing w:line="280" w:lineRule="exact"/>
              <w:jc w:val="center"/>
              <w:rPr>
                <w:rFonts w:hint="eastAsia" w:ascii="宋体" w:hAnsi="宋体" w:eastAsia="宋体" w:cs="宋体"/>
                <w:sz w:val="21"/>
                <w:szCs w:val="21"/>
              </w:rPr>
            </w:pPr>
          </w:p>
        </w:tc>
        <w:tc>
          <w:tcPr>
            <w:tcW w:w="352" w:type="pct"/>
            <w:vMerge w:val="continue"/>
            <w:noWrap w:val="0"/>
            <w:vAlign w:val="center"/>
          </w:tcPr>
          <w:p w14:paraId="138EA713">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484" w:type="pct"/>
            <w:vMerge w:val="continue"/>
            <w:noWrap w:val="0"/>
            <w:vAlign w:val="center"/>
          </w:tcPr>
          <w:p w14:paraId="778B5FBB">
            <w:pPr>
              <w:kinsoku w:val="0"/>
              <w:autoSpaceDE w:val="0"/>
              <w:autoSpaceDN w:val="0"/>
              <w:adjustRightInd w:val="0"/>
              <w:snapToGrid w:val="0"/>
              <w:spacing w:line="280" w:lineRule="exact"/>
              <w:jc w:val="center"/>
              <w:rPr>
                <w:rFonts w:hint="eastAsia" w:ascii="宋体" w:hAnsi="宋体" w:eastAsia="宋体" w:cs="宋体"/>
                <w:spacing w:val="-3"/>
                <w:sz w:val="21"/>
                <w:szCs w:val="21"/>
              </w:rPr>
            </w:pPr>
          </w:p>
        </w:tc>
        <w:tc>
          <w:tcPr>
            <w:tcW w:w="557" w:type="pct"/>
            <w:noWrap w:val="0"/>
            <w:vAlign w:val="center"/>
          </w:tcPr>
          <w:p w14:paraId="7204A5C0">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其他发酵酒</w:t>
            </w:r>
          </w:p>
        </w:tc>
        <w:tc>
          <w:tcPr>
            <w:tcW w:w="572" w:type="pct"/>
            <w:noWrap w:val="0"/>
            <w:vAlign w:val="center"/>
          </w:tcPr>
          <w:p w14:paraId="1766ACF7">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其他发酵酒</w:t>
            </w:r>
          </w:p>
        </w:tc>
        <w:tc>
          <w:tcPr>
            <w:tcW w:w="180" w:type="pct"/>
            <w:noWrap w:val="0"/>
            <w:vAlign w:val="center"/>
          </w:tcPr>
          <w:p w14:paraId="2941F736">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57A98941">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邻苯二甲酸二正丁酯（</w:t>
            </w:r>
            <w:r>
              <w:rPr>
                <w:rStyle w:val="86"/>
                <w:rFonts w:hint="eastAsia" w:ascii="宋体" w:hAnsi="宋体" w:eastAsia="宋体" w:cs="宋体"/>
                <w:b w:val="0"/>
                <w:snapToGrid w:val="0"/>
                <w:color w:val="auto"/>
                <w:sz w:val="21"/>
                <w:szCs w:val="21"/>
                <w:lang w:bidi="ar"/>
              </w:rPr>
              <w:t>DBP</w:t>
            </w:r>
            <w:r>
              <w:rPr>
                <w:rStyle w:val="88"/>
                <w:rFonts w:hint="eastAsia" w:ascii="宋体" w:hAnsi="宋体" w:eastAsia="宋体" w:cs="宋体"/>
                <w:snapToGrid w:val="0"/>
                <w:color w:val="auto"/>
                <w:sz w:val="21"/>
                <w:szCs w:val="21"/>
                <w:vertAlign w:val="baseline"/>
                <w:lang w:bidi="ar"/>
              </w:rPr>
              <w:t>）</w:t>
            </w:r>
          </w:p>
        </w:tc>
        <w:tc>
          <w:tcPr>
            <w:tcW w:w="1024" w:type="pct"/>
            <w:noWrap w:val="0"/>
            <w:vAlign w:val="center"/>
          </w:tcPr>
          <w:p w14:paraId="7A2BD25D">
            <w:pPr>
              <w:kinsoku w:val="0"/>
              <w:autoSpaceDE w:val="0"/>
              <w:autoSpaceDN w:val="0"/>
              <w:adjustRightInd w:val="0"/>
              <w:snapToGrid w:val="0"/>
              <w:spacing w:line="280" w:lineRule="exact"/>
              <w:rPr>
                <w:rFonts w:hint="eastAsia" w:ascii="宋体" w:hAnsi="宋体" w:eastAsia="宋体" w:cs="宋体"/>
                <w:sz w:val="21"/>
                <w:szCs w:val="21"/>
              </w:rPr>
            </w:pPr>
          </w:p>
        </w:tc>
      </w:tr>
      <w:tr w14:paraId="4886F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1D574340">
            <w:pPr>
              <w:kinsoku w:val="0"/>
              <w:autoSpaceDE w:val="0"/>
              <w:autoSpaceDN w:val="0"/>
              <w:adjustRightInd w:val="0"/>
              <w:snapToGrid w:val="0"/>
              <w:spacing w:line="28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14</w:t>
            </w:r>
          </w:p>
        </w:tc>
        <w:tc>
          <w:tcPr>
            <w:tcW w:w="352" w:type="pct"/>
            <w:vMerge w:val="restart"/>
            <w:noWrap w:val="0"/>
            <w:vAlign w:val="center"/>
          </w:tcPr>
          <w:p w14:paraId="6FFA12DA">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蔬菜制品</w:t>
            </w:r>
          </w:p>
        </w:tc>
        <w:tc>
          <w:tcPr>
            <w:tcW w:w="484" w:type="pct"/>
            <w:vMerge w:val="restart"/>
            <w:noWrap w:val="0"/>
            <w:vAlign w:val="center"/>
          </w:tcPr>
          <w:p w14:paraId="6DFC1391">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蔬菜制品</w:t>
            </w:r>
          </w:p>
        </w:tc>
        <w:tc>
          <w:tcPr>
            <w:tcW w:w="557" w:type="pct"/>
            <w:noWrap w:val="0"/>
            <w:vAlign w:val="center"/>
          </w:tcPr>
          <w:p w14:paraId="03D59F4A">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酱腌菜</w:t>
            </w:r>
          </w:p>
        </w:tc>
        <w:tc>
          <w:tcPr>
            <w:tcW w:w="572" w:type="pct"/>
            <w:noWrap w:val="0"/>
            <w:vAlign w:val="center"/>
          </w:tcPr>
          <w:p w14:paraId="19440420">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酱腌菜</w:t>
            </w:r>
          </w:p>
        </w:tc>
        <w:tc>
          <w:tcPr>
            <w:tcW w:w="180" w:type="pct"/>
            <w:noWrap w:val="0"/>
            <w:vAlign w:val="center"/>
          </w:tcPr>
          <w:p w14:paraId="38B1C23E">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7D53036E">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乙二胺四乙酸二钠</w:t>
            </w:r>
          </w:p>
        </w:tc>
        <w:tc>
          <w:tcPr>
            <w:tcW w:w="1024" w:type="pct"/>
            <w:noWrap w:val="0"/>
            <w:vAlign w:val="center"/>
          </w:tcPr>
          <w:p w14:paraId="2ECB9620">
            <w:pPr>
              <w:kinsoku w:val="0"/>
              <w:autoSpaceDE w:val="0"/>
              <w:autoSpaceDN w:val="0"/>
              <w:adjustRightInd w:val="0"/>
              <w:snapToGrid w:val="0"/>
              <w:spacing w:line="280" w:lineRule="exact"/>
              <w:rPr>
                <w:rFonts w:hint="eastAsia" w:ascii="宋体" w:hAnsi="宋体" w:eastAsia="宋体" w:cs="宋体"/>
                <w:sz w:val="21"/>
                <w:szCs w:val="21"/>
              </w:rPr>
            </w:pPr>
          </w:p>
        </w:tc>
      </w:tr>
      <w:tr w14:paraId="0E01F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856912D">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18EBAB51">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AC4B83F">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2778250B">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食用菌制品</w:t>
            </w:r>
          </w:p>
        </w:tc>
        <w:tc>
          <w:tcPr>
            <w:tcW w:w="572" w:type="pct"/>
            <w:noWrap w:val="0"/>
            <w:vAlign w:val="center"/>
          </w:tcPr>
          <w:p w14:paraId="7F227D26">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干制食用菌</w:t>
            </w:r>
          </w:p>
        </w:tc>
        <w:tc>
          <w:tcPr>
            <w:tcW w:w="180" w:type="pct"/>
            <w:noWrap w:val="0"/>
            <w:vAlign w:val="center"/>
          </w:tcPr>
          <w:p w14:paraId="34167F86">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01413392">
            <w:pPr>
              <w:kinsoku w:val="0"/>
              <w:autoSpaceDE w:val="0"/>
              <w:autoSpaceDN w:val="0"/>
              <w:adjustRightInd w:val="0"/>
              <w:snapToGrid w:val="0"/>
              <w:spacing w:line="28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二氧化硫残留量、铝的残留量（干样品，以Al计）、镁（Mg）、乙二胺四乙酸二钠</w:t>
            </w:r>
          </w:p>
        </w:tc>
        <w:tc>
          <w:tcPr>
            <w:tcW w:w="1024" w:type="pct"/>
            <w:noWrap w:val="0"/>
            <w:vAlign w:val="center"/>
          </w:tcPr>
          <w:p w14:paraId="39481416">
            <w:pPr>
              <w:kinsoku w:val="0"/>
              <w:autoSpaceDE w:val="0"/>
              <w:autoSpaceDN w:val="0"/>
              <w:adjustRightInd w:val="0"/>
              <w:snapToGrid w:val="0"/>
              <w:spacing w:line="280" w:lineRule="exact"/>
              <w:rPr>
                <w:rFonts w:hint="eastAsia" w:ascii="宋体" w:hAnsi="宋体" w:eastAsia="宋体" w:cs="宋体"/>
                <w:sz w:val="21"/>
                <w:szCs w:val="21"/>
              </w:rPr>
            </w:pPr>
          </w:p>
        </w:tc>
      </w:tr>
      <w:tr w14:paraId="22D62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200" w:hRule="atLeast"/>
          <w:jc w:val="center"/>
        </w:trPr>
        <w:tc>
          <w:tcPr>
            <w:tcW w:w="183" w:type="pct"/>
            <w:vMerge w:val="restart"/>
            <w:noWrap w:val="0"/>
            <w:vAlign w:val="center"/>
          </w:tcPr>
          <w:p w14:paraId="42241AC7">
            <w:pPr>
              <w:kinsoku w:val="0"/>
              <w:autoSpaceDE w:val="0"/>
              <w:autoSpaceDN w:val="0"/>
              <w:adjustRightInd w:val="0"/>
              <w:snapToGrid w:val="0"/>
              <w:spacing w:line="28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15</w:t>
            </w:r>
          </w:p>
        </w:tc>
        <w:tc>
          <w:tcPr>
            <w:tcW w:w="352" w:type="pct"/>
            <w:vMerge w:val="restart"/>
            <w:noWrap w:val="0"/>
            <w:vAlign w:val="center"/>
          </w:tcPr>
          <w:p w14:paraId="4070E759">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水果制品</w:t>
            </w:r>
          </w:p>
        </w:tc>
        <w:tc>
          <w:tcPr>
            <w:tcW w:w="484" w:type="pct"/>
            <w:vMerge w:val="restart"/>
            <w:noWrap w:val="0"/>
            <w:vAlign w:val="center"/>
          </w:tcPr>
          <w:p w14:paraId="6F9E24D6">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水果制品</w:t>
            </w:r>
          </w:p>
        </w:tc>
        <w:tc>
          <w:tcPr>
            <w:tcW w:w="557" w:type="pct"/>
            <w:noWrap w:val="0"/>
            <w:vAlign w:val="center"/>
          </w:tcPr>
          <w:p w14:paraId="0CC6B7BC">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蜜饯</w:t>
            </w:r>
          </w:p>
        </w:tc>
        <w:tc>
          <w:tcPr>
            <w:tcW w:w="572" w:type="pct"/>
            <w:noWrap w:val="0"/>
            <w:vAlign w:val="center"/>
          </w:tcPr>
          <w:p w14:paraId="60CB11AB">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蜜饯类、凉果类、果脯类、话化类、果糕类</w:t>
            </w:r>
          </w:p>
        </w:tc>
        <w:tc>
          <w:tcPr>
            <w:tcW w:w="180" w:type="pct"/>
            <w:noWrap w:val="0"/>
            <w:vAlign w:val="center"/>
          </w:tcPr>
          <w:p w14:paraId="055F4EBB">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2EECDD4C">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乙二胺四乙酸二钠、二氧化钛、番泻苷A、番泻苷B、酚丁、双丙酚丁、双辛酚丁、双酚沙丁、比沙可啶、脱乙酰比沙可啶、比沙可啶环丙甲酰替代物</w:t>
            </w:r>
          </w:p>
        </w:tc>
        <w:tc>
          <w:tcPr>
            <w:tcW w:w="1024" w:type="pct"/>
            <w:noWrap w:val="0"/>
            <w:vAlign w:val="center"/>
          </w:tcPr>
          <w:p w14:paraId="54E396CE">
            <w:pPr>
              <w:kinsoku w:val="0"/>
              <w:autoSpaceDE w:val="0"/>
              <w:autoSpaceDN w:val="0"/>
              <w:adjustRightInd w:val="0"/>
              <w:snapToGrid w:val="0"/>
              <w:spacing w:line="280" w:lineRule="exact"/>
              <w:rPr>
                <w:rFonts w:hint="eastAsia" w:ascii="宋体" w:hAnsi="宋体" w:eastAsia="宋体" w:cs="宋体"/>
                <w:sz w:val="21"/>
                <w:szCs w:val="21"/>
              </w:rPr>
            </w:pPr>
            <w:r>
              <w:rPr>
                <w:rFonts w:hint="eastAsia" w:ascii="宋体" w:hAnsi="宋体" w:eastAsia="宋体" w:cs="宋体"/>
                <w:sz w:val="21"/>
                <w:szCs w:val="21"/>
              </w:rPr>
              <w:t>重点抽检标签、说明书、网页、直播等宣称或暗示功能的产品</w:t>
            </w:r>
          </w:p>
        </w:tc>
      </w:tr>
      <w:tr w14:paraId="75085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32" w:hRule="atLeast"/>
          <w:jc w:val="center"/>
        </w:trPr>
        <w:tc>
          <w:tcPr>
            <w:tcW w:w="183" w:type="pct"/>
            <w:vMerge w:val="continue"/>
            <w:noWrap w:val="0"/>
            <w:vAlign w:val="center"/>
          </w:tcPr>
          <w:p w14:paraId="42398E17">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4DF20B9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55551261">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3241E231">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水果干制品</w:t>
            </w:r>
          </w:p>
        </w:tc>
        <w:tc>
          <w:tcPr>
            <w:tcW w:w="572" w:type="pct"/>
            <w:noWrap w:val="0"/>
            <w:vAlign w:val="center"/>
          </w:tcPr>
          <w:p w14:paraId="20255D76">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水果干制品（含干枸杞）</w:t>
            </w:r>
          </w:p>
        </w:tc>
        <w:tc>
          <w:tcPr>
            <w:tcW w:w="180" w:type="pct"/>
            <w:noWrap w:val="0"/>
            <w:vAlign w:val="center"/>
          </w:tcPr>
          <w:p w14:paraId="568B88E6">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4021F0D8">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赭曲霉毒素</w:t>
            </w:r>
            <w:r>
              <w:rPr>
                <w:rStyle w:val="86"/>
                <w:rFonts w:hint="eastAsia" w:ascii="宋体" w:hAnsi="宋体" w:eastAsia="宋体" w:cs="宋体"/>
                <w:b w:val="0"/>
                <w:snapToGrid w:val="0"/>
                <w:color w:val="auto"/>
                <w:sz w:val="21"/>
                <w:szCs w:val="21"/>
                <w:lang w:bidi="ar"/>
              </w:rPr>
              <w:t>A、二氧化钛</w:t>
            </w:r>
          </w:p>
        </w:tc>
        <w:tc>
          <w:tcPr>
            <w:tcW w:w="1024" w:type="pct"/>
            <w:noWrap w:val="0"/>
            <w:vAlign w:val="center"/>
          </w:tcPr>
          <w:p w14:paraId="7EB7DCD1">
            <w:pPr>
              <w:kinsoku w:val="0"/>
              <w:autoSpaceDE w:val="0"/>
              <w:autoSpaceDN w:val="0"/>
              <w:adjustRightInd w:val="0"/>
              <w:snapToGrid w:val="0"/>
              <w:spacing w:line="280" w:lineRule="exact"/>
              <w:rPr>
                <w:rFonts w:hint="eastAsia" w:ascii="宋体" w:hAnsi="宋体" w:eastAsia="宋体" w:cs="宋体"/>
                <w:sz w:val="21"/>
                <w:szCs w:val="21"/>
              </w:rPr>
            </w:pPr>
          </w:p>
        </w:tc>
      </w:tr>
      <w:tr w14:paraId="12356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2C9CB21F">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16</w:t>
            </w:r>
          </w:p>
        </w:tc>
        <w:tc>
          <w:tcPr>
            <w:tcW w:w="352" w:type="pct"/>
            <w:vMerge w:val="restart"/>
            <w:noWrap w:val="0"/>
            <w:vAlign w:val="center"/>
          </w:tcPr>
          <w:p w14:paraId="71FB717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炒货食品及坚果制品</w:t>
            </w:r>
          </w:p>
        </w:tc>
        <w:tc>
          <w:tcPr>
            <w:tcW w:w="484" w:type="pct"/>
            <w:vMerge w:val="restart"/>
            <w:noWrap w:val="0"/>
            <w:vAlign w:val="center"/>
          </w:tcPr>
          <w:p w14:paraId="079C57E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炒货食品及坚果制品</w:t>
            </w:r>
          </w:p>
        </w:tc>
        <w:tc>
          <w:tcPr>
            <w:tcW w:w="557" w:type="pct"/>
            <w:vMerge w:val="restart"/>
            <w:noWrap w:val="0"/>
            <w:vAlign w:val="center"/>
          </w:tcPr>
          <w:p w14:paraId="76FBE76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炒货食品及坚果制品（烘炒类、油炸类、其他类）</w:t>
            </w:r>
          </w:p>
        </w:tc>
        <w:tc>
          <w:tcPr>
            <w:tcW w:w="572" w:type="pct"/>
            <w:noWrap w:val="0"/>
            <w:vAlign w:val="center"/>
          </w:tcPr>
          <w:p w14:paraId="450D14C0">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瓜子</w:t>
            </w:r>
          </w:p>
        </w:tc>
        <w:tc>
          <w:tcPr>
            <w:tcW w:w="180" w:type="pct"/>
            <w:noWrap w:val="0"/>
            <w:vAlign w:val="center"/>
          </w:tcPr>
          <w:p w14:paraId="0FC2DEF9">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4985EDD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霉菌</w:t>
            </w:r>
          </w:p>
        </w:tc>
        <w:tc>
          <w:tcPr>
            <w:tcW w:w="1024" w:type="pct"/>
            <w:vMerge w:val="restart"/>
            <w:noWrap w:val="0"/>
            <w:vAlign w:val="center"/>
          </w:tcPr>
          <w:p w14:paraId="560EEE9A">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限非烘炒工艺加工的产品</w:t>
            </w:r>
          </w:p>
        </w:tc>
      </w:tr>
      <w:tr w14:paraId="7769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B5FC04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7D1782D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56614F6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477C811C">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72" w:type="pct"/>
            <w:noWrap w:val="0"/>
            <w:vAlign w:val="center"/>
          </w:tcPr>
          <w:p w14:paraId="2293C2B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花生制品</w:t>
            </w:r>
          </w:p>
        </w:tc>
        <w:tc>
          <w:tcPr>
            <w:tcW w:w="180" w:type="pct"/>
            <w:noWrap w:val="0"/>
            <w:vAlign w:val="center"/>
          </w:tcPr>
          <w:p w14:paraId="4A1454F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2D024217">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霉菌</w:t>
            </w:r>
          </w:p>
        </w:tc>
        <w:tc>
          <w:tcPr>
            <w:tcW w:w="1024" w:type="pct"/>
            <w:vMerge w:val="continue"/>
            <w:noWrap w:val="0"/>
            <w:vAlign w:val="center"/>
          </w:tcPr>
          <w:p w14:paraId="29B86EA4">
            <w:pPr>
              <w:kinsoku w:val="0"/>
              <w:autoSpaceDE w:val="0"/>
              <w:autoSpaceDN w:val="0"/>
              <w:adjustRightInd w:val="0"/>
              <w:snapToGrid w:val="0"/>
              <w:spacing w:line="260" w:lineRule="exact"/>
              <w:rPr>
                <w:rFonts w:hint="eastAsia" w:ascii="宋体" w:hAnsi="宋体" w:eastAsia="宋体" w:cs="宋体"/>
                <w:sz w:val="21"/>
                <w:szCs w:val="21"/>
              </w:rPr>
            </w:pPr>
          </w:p>
        </w:tc>
      </w:tr>
      <w:tr w14:paraId="1A7D5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09" w:hRule="atLeast"/>
          <w:jc w:val="center"/>
        </w:trPr>
        <w:tc>
          <w:tcPr>
            <w:tcW w:w="183" w:type="pct"/>
            <w:vMerge w:val="continue"/>
            <w:noWrap w:val="0"/>
            <w:vAlign w:val="center"/>
          </w:tcPr>
          <w:p w14:paraId="13BA0F98">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9CA0A6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23F2AA57">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745294D4">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34A3A59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其他炒货食品及坚果制品</w:t>
            </w:r>
          </w:p>
        </w:tc>
        <w:tc>
          <w:tcPr>
            <w:tcW w:w="180" w:type="pct"/>
            <w:noWrap w:val="0"/>
            <w:vAlign w:val="center"/>
          </w:tcPr>
          <w:p w14:paraId="37ACE635">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0466E716">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霉菌</w:t>
            </w:r>
          </w:p>
        </w:tc>
        <w:tc>
          <w:tcPr>
            <w:tcW w:w="1024" w:type="pct"/>
            <w:vMerge w:val="continue"/>
            <w:noWrap w:val="0"/>
            <w:vAlign w:val="center"/>
          </w:tcPr>
          <w:p w14:paraId="441C1F62">
            <w:pPr>
              <w:kinsoku w:val="0"/>
              <w:autoSpaceDE w:val="0"/>
              <w:autoSpaceDN w:val="0"/>
              <w:adjustRightInd w:val="0"/>
              <w:snapToGrid w:val="0"/>
              <w:spacing w:line="260" w:lineRule="exact"/>
              <w:rPr>
                <w:rFonts w:hint="eastAsia" w:ascii="宋体" w:hAnsi="宋体" w:eastAsia="宋体" w:cs="宋体"/>
                <w:sz w:val="21"/>
                <w:szCs w:val="21"/>
              </w:rPr>
            </w:pPr>
          </w:p>
        </w:tc>
      </w:tr>
      <w:tr w14:paraId="7D89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76" w:hRule="atLeast"/>
          <w:jc w:val="center"/>
        </w:trPr>
        <w:tc>
          <w:tcPr>
            <w:tcW w:w="183" w:type="pct"/>
            <w:noWrap w:val="0"/>
            <w:vAlign w:val="center"/>
          </w:tcPr>
          <w:p w14:paraId="74502E3C">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17</w:t>
            </w:r>
          </w:p>
        </w:tc>
        <w:tc>
          <w:tcPr>
            <w:tcW w:w="352" w:type="pct"/>
            <w:noWrap w:val="0"/>
            <w:vAlign w:val="center"/>
          </w:tcPr>
          <w:p w14:paraId="1661EA4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蛋制品</w:t>
            </w:r>
          </w:p>
        </w:tc>
        <w:tc>
          <w:tcPr>
            <w:tcW w:w="484" w:type="pct"/>
            <w:noWrap w:val="0"/>
            <w:vAlign w:val="center"/>
          </w:tcPr>
          <w:p w14:paraId="328A355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蛋制品</w:t>
            </w:r>
          </w:p>
        </w:tc>
        <w:tc>
          <w:tcPr>
            <w:tcW w:w="557" w:type="pct"/>
            <w:noWrap w:val="0"/>
            <w:vAlign w:val="center"/>
          </w:tcPr>
          <w:p w14:paraId="34BB29D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再制蛋</w:t>
            </w:r>
          </w:p>
        </w:tc>
        <w:tc>
          <w:tcPr>
            <w:tcW w:w="572" w:type="pct"/>
            <w:noWrap w:val="0"/>
            <w:vAlign w:val="center"/>
          </w:tcPr>
          <w:p w14:paraId="6827171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再制蛋</w:t>
            </w:r>
          </w:p>
        </w:tc>
        <w:tc>
          <w:tcPr>
            <w:tcW w:w="180" w:type="pct"/>
            <w:noWrap w:val="0"/>
            <w:vAlign w:val="center"/>
          </w:tcPr>
          <w:p w14:paraId="1C06F014">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3577E66D">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恩诺沙星、氟苯尼考、磺胺类（总量）、甲氧苄啶、氧氟沙星、多西环素、呋喃唑酮代谢物、甲硝唑、地美硝唑</w:t>
            </w:r>
          </w:p>
        </w:tc>
        <w:tc>
          <w:tcPr>
            <w:tcW w:w="1024" w:type="pct"/>
            <w:noWrap w:val="0"/>
            <w:vAlign w:val="center"/>
          </w:tcPr>
          <w:p w14:paraId="2E9B5035">
            <w:pPr>
              <w:kinsoku w:val="0"/>
              <w:autoSpaceDE w:val="0"/>
              <w:autoSpaceDN w:val="0"/>
              <w:adjustRightInd w:val="0"/>
              <w:snapToGrid w:val="0"/>
              <w:spacing w:line="260" w:lineRule="exact"/>
              <w:rPr>
                <w:rFonts w:hint="eastAsia" w:ascii="宋体" w:hAnsi="宋体" w:eastAsia="宋体" w:cs="宋体"/>
                <w:sz w:val="21"/>
                <w:szCs w:val="21"/>
              </w:rPr>
            </w:pPr>
          </w:p>
        </w:tc>
      </w:tr>
      <w:tr w14:paraId="49D7E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noWrap w:val="0"/>
            <w:vAlign w:val="center"/>
          </w:tcPr>
          <w:p w14:paraId="02F6087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18</w:t>
            </w:r>
          </w:p>
        </w:tc>
        <w:tc>
          <w:tcPr>
            <w:tcW w:w="352" w:type="pct"/>
            <w:noWrap w:val="0"/>
            <w:vAlign w:val="center"/>
          </w:tcPr>
          <w:p w14:paraId="0A10004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eastAsia="en-US" w:bidi="ar"/>
              </w:rPr>
            </w:pPr>
            <w:r>
              <w:rPr>
                <w:rFonts w:hint="eastAsia" w:ascii="宋体" w:hAnsi="宋体" w:eastAsia="宋体" w:cs="宋体"/>
                <w:snapToGrid w:val="0"/>
                <w:kern w:val="0"/>
                <w:sz w:val="21"/>
                <w:szCs w:val="21"/>
                <w:lang w:bidi="ar"/>
              </w:rPr>
              <w:t>可可及焙烤咖啡产品</w:t>
            </w:r>
          </w:p>
        </w:tc>
        <w:tc>
          <w:tcPr>
            <w:tcW w:w="484" w:type="pct"/>
            <w:noWrap w:val="0"/>
            <w:vAlign w:val="center"/>
          </w:tcPr>
          <w:p w14:paraId="783658A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eastAsia="en-US" w:bidi="ar"/>
              </w:rPr>
            </w:pPr>
            <w:r>
              <w:rPr>
                <w:rFonts w:hint="eastAsia" w:ascii="宋体" w:hAnsi="宋体" w:eastAsia="宋体" w:cs="宋体"/>
                <w:snapToGrid w:val="0"/>
                <w:kern w:val="0"/>
                <w:sz w:val="21"/>
                <w:szCs w:val="21"/>
                <w:lang w:bidi="ar"/>
              </w:rPr>
              <w:t>可可制品</w:t>
            </w:r>
          </w:p>
        </w:tc>
        <w:tc>
          <w:tcPr>
            <w:tcW w:w="557" w:type="pct"/>
            <w:noWrap w:val="0"/>
            <w:vAlign w:val="center"/>
          </w:tcPr>
          <w:p w14:paraId="783DD16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eastAsia="en-US" w:bidi="ar"/>
              </w:rPr>
            </w:pPr>
            <w:r>
              <w:rPr>
                <w:rFonts w:hint="eastAsia" w:ascii="宋体" w:hAnsi="宋体" w:eastAsia="宋体" w:cs="宋体"/>
                <w:snapToGrid w:val="0"/>
                <w:kern w:val="0"/>
                <w:sz w:val="21"/>
                <w:szCs w:val="21"/>
                <w:lang w:bidi="ar"/>
              </w:rPr>
              <w:t>可可制品</w:t>
            </w:r>
          </w:p>
        </w:tc>
        <w:tc>
          <w:tcPr>
            <w:tcW w:w="572" w:type="pct"/>
            <w:noWrap w:val="0"/>
            <w:vAlign w:val="center"/>
          </w:tcPr>
          <w:p w14:paraId="00F1963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eastAsia="en-US" w:bidi="ar"/>
              </w:rPr>
            </w:pPr>
            <w:r>
              <w:rPr>
                <w:rFonts w:hint="eastAsia" w:ascii="宋体" w:hAnsi="宋体" w:eastAsia="宋体" w:cs="宋体"/>
                <w:snapToGrid w:val="0"/>
                <w:kern w:val="0"/>
                <w:sz w:val="21"/>
                <w:szCs w:val="21"/>
                <w:lang w:bidi="ar"/>
              </w:rPr>
              <w:t>可可制品</w:t>
            </w:r>
          </w:p>
        </w:tc>
        <w:tc>
          <w:tcPr>
            <w:tcW w:w="180" w:type="pct"/>
            <w:noWrap w:val="0"/>
            <w:vAlign w:val="center"/>
          </w:tcPr>
          <w:p w14:paraId="6AA3928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eastAsia="en-US" w:bidi="ar"/>
              </w:rPr>
            </w:pPr>
            <w:r>
              <w:rPr>
                <w:rFonts w:hint="eastAsia" w:ascii="宋体" w:hAnsi="宋体" w:eastAsia="宋体" w:cs="宋体"/>
                <w:snapToGrid w:val="0"/>
                <w:kern w:val="0"/>
                <w:sz w:val="21"/>
                <w:szCs w:val="21"/>
                <w:lang w:bidi="ar"/>
              </w:rPr>
              <w:t>一般</w:t>
            </w:r>
          </w:p>
        </w:tc>
        <w:tc>
          <w:tcPr>
            <w:tcW w:w="1644" w:type="pct"/>
            <w:noWrap w:val="0"/>
            <w:vAlign w:val="center"/>
          </w:tcPr>
          <w:p w14:paraId="6292B438">
            <w:pPr>
              <w:kinsoku w:val="0"/>
              <w:autoSpaceDE w:val="0"/>
              <w:autoSpaceDN w:val="0"/>
              <w:adjustRightInd w:val="0"/>
              <w:snapToGrid w:val="0"/>
              <w:spacing w:line="260" w:lineRule="exact"/>
              <w:textAlignment w:val="center"/>
              <w:rPr>
                <w:rFonts w:hint="eastAsia" w:ascii="宋体" w:hAnsi="宋体" w:eastAsia="宋体" w:cs="宋体"/>
                <w:sz w:val="21"/>
                <w:szCs w:val="21"/>
              </w:rPr>
            </w:pPr>
            <w:r>
              <w:rPr>
                <w:rStyle w:val="88"/>
                <w:rFonts w:hint="eastAsia" w:ascii="宋体" w:hAnsi="宋体" w:eastAsia="宋体" w:cs="宋体"/>
                <w:snapToGrid w:val="0"/>
                <w:color w:val="auto"/>
                <w:sz w:val="21"/>
                <w:szCs w:val="21"/>
                <w:vertAlign w:val="baseline"/>
                <w:lang w:bidi="ar"/>
              </w:rPr>
              <w:t>镉（以Cd计）（以干物质计算）</w:t>
            </w:r>
          </w:p>
        </w:tc>
        <w:tc>
          <w:tcPr>
            <w:tcW w:w="1024" w:type="pct"/>
            <w:noWrap w:val="0"/>
            <w:vAlign w:val="center"/>
          </w:tcPr>
          <w:p w14:paraId="5603BEFD">
            <w:pPr>
              <w:pStyle w:val="122"/>
              <w:spacing w:line="260" w:lineRule="exact"/>
              <w:rPr>
                <w:rFonts w:hint="eastAsia" w:ascii="宋体" w:hAnsi="宋体" w:eastAsia="宋体" w:cs="宋体"/>
                <w:sz w:val="21"/>
                <w:szCs w:val="21"/>
              </w:rPr>
            </w:pPr>
            <w:r>
              <w:rPr>
                <w:rFonts w:hint="eastAsia" w:ascii="宋体" w:hAnsi="宋体" w:eastAsia="宋体" w:cs="宋体"/>
                <w:spacing w:val="1"/>
                <w:sz w:val="21"/>
                <w:szCs w:val="21"/>
              </w:rPr>
              <w:t>限可可粉</w:t>
            </w:r>
          </w:p>
        </w:tc>
      </w:tr>
      <w:tr w14:paraId="3F160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4C8BE0B9">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19</w:t>
            </w:r>
          </w:p>
        </w:tc>
        <w:tc>
          <w:tcPr>
            <w:tcW w:w="352" w:type="pct"/>
            <w:vMerge w:val="restart"/>
            <w:noWrap w:val="0"/>
            <w:vAlign w:val="center"/>
          </w:tcPr>
          <w:p w14:paraId="3475EB0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食糖</w:t>
            </w:r>
          </w:p>
        </w:tc>
        <w:tc>
          <w:tcPr>
            <w:tcW w:w="484" w:type="pct"/>
            <w:vMerge w:val="restart"/>
            <w:noWrap w:val="0"/>
            <w:vAlign w:val="center"/>
          </w:tcPr>
          <w:p w14:paraId="33D0413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食糖</w:t>
            </w:r>
          </w:p>
        </w:tc>
        <w:tc>
          <w:tcPr>
            <w:tcW w:w="557" w:type="pct"/>
            <w:vMerge w:val="restart"/>
            <w:noWrap w:val="0"/>
            <w:vAlign w:val="center"/>
          </w:tcPr>
          <w:p w14:paraId="0BFCFF0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食糖</w:t>
            </w:r>
          </w:p>
        </w:tc>
        <w:tc>
          <w:tcPr>
            <w:tcW w:w="572" w:type="pct"/>
            <w:noWrap w:val="0"/>
            <w:vAlign w:val="center"/>
          </w:tcPr>
          <w:p w14:paraId="4EB0013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白砂糖</w:t>
            </w:r>
          </w:p>
        </w:tc>
        <w:tc>
          <w:tcPr>
            <w:tcW w:w="180" w:type="pct"/>
            <w:noWrap w:val="0"/>
            <w:vAlign w:val="center"/>
          </w:tcPr>
          <w:p w14:paraId="77E56FE9">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31BFFC09">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蔗糖分、还原糖分</w:t>
            </w:r>
          </w:p>
        </w:tc>
        <w:tc>
          <w:tcPr>
            <w:tcW w:w="1024" w:type="pct"/>
            <w:vMerge w:val="restart"/>
            <w:noWrap w:val="0"/>
            <w:vAlign w:val="center"/>
          </w:tcPr>
          <w:p w14:paraId="5FA8A4DC">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限执行标准为GB13104的产品</w:t>
            </w:r>
          </w:p>
        </w:tc>
      </w:tr>
      <w:tr w14:paraId="1D83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50296BC">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7F84353">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47704AE9">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12801813">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1FEBCBA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绵白糖</w:t>
            </w:r>
          </w:p>
        </w:tc>
        <w:tc>
          <w:tcPr>
            <w:tcW w:w="180" w:type="pct"/>
            <w:noWrap w:val="0"/>
            <w:vAlign w:val="center"/>
          </w:tcPr>
          <w:p w14:paraId="288FF2E7">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1F91172D">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总糖分、还原糖分</w:t>
            </w:r>
          </w:p>
        </w:tc>
        <w:tc>
          <w:tcPr>
            <w:tcW w:w="1024" w:type="pct"/>
            <w:vMerge w:val="continue"/>
            <w:noWrap w:val="0"/>
            <w:vAlign w:val="center"/>
          </w:tcPr>
          <w:p w14:paraId="54229833">
            <w:pPr>
              <w:kinsoku w:val="0"/>
              <w:autoSpaceDE w:val="0"/>
              <w:autoSpaceDN w:val="0"/>
              <w:adjustRightInd w:val="0"/>
              <w:snapToGrid w:val="0"/>
              <w:spacing w:line="260" w:lineRule="exact"/>
              <w:rPr>
                <w:rFonts w:hint="eastAsia" w:ascii="宋体" w:hAnsi="宋体" w:eastAsia="宋体" w:cs="宋体"/>
                <w:sz w:val="21"/>
                <w:szCs w:val="21"/>
              </w:rPr>
            </w:pPr>
          </w:p>
        </w:tc>
      </w:tr>
      <w:tr w14:paraId="5C980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3A05284">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1B015F9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4DE672D2">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DF3050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2B15836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赤砂糖</w:t>
            </w:r>
          </w:p>
        </w:tc>
        <w:tc>
          <w:tcPr>
            <w:tcW w:w="180" w:type="pct"/>
            <w:noWrap w:val="0"/>
            <w:vAlign w:val="center"/>
          </w:tcPr>
          <w:p w14:paraId="75EF40D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1E05C9C4">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总糖分</w:t>
            </w:r>
          </w:p>
        </w:tc>
        <w:tc>
          <w:tcPr>
            <w:tcW w:w="1024" w:type="pct"/>
            <w:vMerge w:val="continue"/>
            <w:noWrap w:val="0"/>
            <w:vAlign w:val="center"/>
          </w:tcPr>
          <w:p w14:paraId="66CEF378">
            <w:pPr>
              <w:kinsoku w:val="0"/>
              <w:autoSpaceDE w:val="0"/>
              <w:autoSpaceDN w:val="0"/>
              <w:adjustRightInd w:val="0"/>
              <w:snapToGrid w:val="0"/>
              <w:spacing w:line="260" w:lineRule="exact"/>
              <w:rPr>
                <w:rFonts w:hint="eastAsia" w:ascii="宋体" w:hAnsi="宋体" w:eastAsia="宋体" w:cs="宋体"/>
                <w:sz w:val="21"/>
                <w:szCs w:val="21"/>
              </w:rPr>
            </w:pPr>
          </w:p>
        </w:tc>
      </w:tr>
      <w:tr w14:paraId="7B6E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0F2AB57">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32D4513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5D45E3C3">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A7F889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1908C6F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红糖</w:t>
            </w:r>
          </w:p>
        </w:tc>
        <w:tc>
          <w:tcPr>
            <w:tcW w:w="180" w:type="pct"/>
            <w:noWrap w:val="0"/>
            <w:vAlign w:val="center"/>
          </w:tcPr>
          <w:p w14:paraId="0658C96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7B56EB82">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总糖分</w:t>
            </w:r>
          </w:p>
        </w:tc>
        <w:tc>
          <w:tcPr>
            <w:tcW w:w="1024" w:type="pct"/>
            <w:vMerge w:val="continue"/>
            <w:noWrap w:val="0"/>
            <w:vAlign w:val="center"/>
          </w:tcPr>
          <w:p w14:paraId="1C0FECEC">
            <w:pPr>
              <w:kinsoku w:val="0"/>
              <w:autoSpaceDE w:val="0"/>
              <w:autoSpaceDN w:val="0"/>
              <w:adjustRightInd w:val="0"/>
              <w:snapToGrid w:val="0"/>
              <w:spacing w:line="260" w:lineRule="exact"/>
              <w:rPr>
                <w:rFonts w:hint="eastAsia" w:ascii="宋体" w:hAnsi="宋体" w:eastAsia="宋体" w:cs="宋体"/>
                <w:sz w:val="21"/>
                <w:szCs w:val="21"/>
              </w:rPr>
            </w:pPr>
          </w:p>
        </w:tc>
      </w:tr>
      <w:tr w14:paraId="0CA98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67172D3">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BA4CF52">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508B665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3EC7F33">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088B67EB">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冰糖</w:t>
            </w:r>
          </w:p>
        </w:tc>
        <w:tc>
          <w:tcPr>
            <w:tcW w:w="180" w:type="pct"/>
            <w:noWrap w:val="0"/>
            <w:vAlign w:val="center"/>
          </w:tcPr>
          <w:p w14:paraId="07EB8CB3">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2BE60272">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蔗糖分、还原糖分</w:t>
            </w:r>
          </w:p>
        </w:tc>
        <w:tc>
          <w:tcPr>
            <w:tcW w:w="1024" w:type="pct"/>
            <w:vMerge w:val="continue"/>
            <w:noWrap w:val="0"/>
            <w:vAlign w:val="center"/>
          </w:tcPr>
          <w:p w14:paraId="35E1B796">
            <w:pPr>
              <w:kinsoku w:val="0"/>
              <w:autoSpaceDE w:val="0"/>
              <w:autoSpaceDN w:val="0"/>
              <w:adjustRightInd w:val="0"/>
              <w:snapToGrid w:val="0"/>
              <w:spacing w:line="260" w:lineRule="exact"/>
              <w:rPr>
                <w:rFonts w:hint="eastAsia" w:ascii="宋体" w:hAnsi="宋体" w:eastAsia="宋体" w:cs="宋体"/>
                <w:sz w:val="21"/>
                <w:szCs w:val="21"/>
              </w:rPr>
            </w:pPr>
          </w:p>
        </w:tc>
      </w:tr>
      <w:tr w14:paraId="0B63C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307FD12">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24B078E9">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51256F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69A22FA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C12217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其他糖</w:t>
            </w:r>
          </w:p>
        </w:tc>
        <w:tc>
          <w:tcPr>
            <w:tcW w:w="180" w:type="pct"/>
            <w:noWrap w:val="0"/>
            <w:vAlign w:val="center"/>
          </w:tcPr>
          <w:p w14:paraId="615FD25A">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5AFA494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总糖分、菌落总数、大肠菌群、霉菌、酵母菌</w:t>
            </w:r>
          </w:p>
        </w:tc>
        <w:tc>
          <w:tcPr>
            <w:tcW w:w="1024" w:type="pct"/>
            <w:vMerge w:val="continue"/>
            <w:noWrap w:val="0"/>
            <w:vAlign w:val="center"/>
          </w:tcPr>
          <w:p w14:paraId="789E2A1D">
            <w:pPr>
              <w:kinsoku w:val="0"/>
              <w:autoSpaceDE w:val="0"/>
              <w:autoSpaceDN w:val="0"/>
              <w:adjustRightInd w:val="0"/>
              <w:snapToGrid w:val="0"/>
              <w:spacing w:line="260" w:lineRule="exact"/>
              <w:rPr>
                <w:rFonts w:hint="eastAsia" w:ascii="宋体" w:hAnsi="宋体" w:eastAsia="宋体" w:cs="宋体"/>
                <w:sz w:val="21"/>
                <w:szCs w:val="21"/>
              </w:rPr>
            </w:pPr>
          </w:p>
        </w:tc>
      </w:tr>
      <w:tr w14:paraId="4622F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63CF446F">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20</w:t>
            </w:r>
          </w:p>
        </w:tc>
        <w:tc>
          <w:tcPr>
            <w:tcW w:w="352" w:type="pct"/>
            <w:vMerge w:val="restart"/>
            <w:noWrap w:val="0"/>
            <w:vAlign w:val="center"/>
          </w:tcPr>
          <w:p w14:paraId="1181FA0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水产制品</w:t>
            </w:r>
          </w:p>
        </w:tc>
        <w:tc>
          <w:tcPr>
            <w:tcW w:w="484" w:type="pct"/>
            <w:vMerge w:val="restart"/>
            <w:noWrap w:val="0"/>
            <w:vAlign w:val="center"/>
          </w:tcPr>
          <w:p w14:paraId="776BA7F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水产制品</w:t>
            </w:r>
          </w:p>
        </w:tc>
        <w:tc>
          <w:tcPr>
            <w:tcW w:w="557" w:type="pct"/>
            <w:vMerge w:val="restart"/>
            <w:noWrap w:val="0"/>
            <w:vAlign w:val="center"/>
          </w:tcPr>
          <w:p w14:paraId="643E6A0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干制水产品</w:t>
            </w:r>
          </w:p>
        </w:tc>
        <w:tc>
          <w:tcPr>
            <w:tcW w:w="572" w:type="pct"/>
            <w:noWrap w:val="0"/>
            <w:vAlign w:val="center"/>
          </w:tcPr>
          <w:p w14:paraId="6AF751F8">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藻类干制品</w:t>
            </w:r>
          </w:p>
        </w:tc>
        <w:tc>
          <w:tcPr>
            <w:tcW w:w="180" w:type="pct"/>
            <w:noWrap w:val="0"/>
            <w:vAlign w:val="center"/>
          </w:tcPr>
          <w:p w14:paraId="51019C49">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37A0C3D8">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铅（以</w:t>
            </w:r>
            <w:r>
              <w:rPr>
                <w:rStyle w:val="86"/>
                <w:rFonts w:hint="eastAsia" w:ascii="宋体" w:hAnsi="宋体" w:eastAsia="宋体" w:cs="宋体"/>
                <w:b w:val="0"/>
                <w:snapToGrid w:val="0"/>
                <w:color w:val="auto"/>
                <w:sz w:val="21"/>
                <w:szCs w:val="21"/>
                <w:lang w:bidi="ar"/>
              </w:rPr>
              <w:t>Pb</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5E53D359">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限干裙带菜</w:t>
            </w:r>
          </w:p>
        </w:tc>
      </w:tr>
      <w:tr w14:paraId="10A26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7E900E1">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546C321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39557F9A">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E3390A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10EC13C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预制动物性水产干制品</w:t>
            </w:r>
          </w:p>
        </w:tc>
        <w:tc>
          <w:tcPr>
            <w:tcW w:w="180" w:type="pct"/>
            <w:noWrap w:val="0"/>
            <w:vAlign w:val="center"/>
          </w:tcPr>
          <w:p w14:paraId="1E25CB3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5A9B540">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二氧化硫残留量、敌敌畏、</w:t>
            </w:r>
            <w:r>
              <w:rPr>
                <w:rStyle w:val="86"/>
                <w:rFonts w:hint="eastAsia" w:ascii="宋体" w:hAnsi="宋体" w:eastAsia="宋体" w:cs="宋体"/>
                <w:b w:val="0"/>
                <w:snapToGrid w:val="0"/>
                <w:color w:val="auto"/>
                <w:sz w:val="21"/>
                <w:szCs w:val="21"/>
                <w:lang w:bidi="ar"/>
              </w:rPr>
              <w:t>N-</w:t>
            </w:r>
            <w:r>
              <w:rPr>
                <w:rStyle w:val="88"/>
                <w:rFonts w:hint="eastAsia" w:ascii="宋体" w:hAnsi="宋体" w:eastAsia="宋体" w:cs="宋体"/>
                <w:snapToGrid w:val="0"/>
                <w:color w:val="auto"/>
                <w:sz w:val="21"/>
                <w:szCs w:val="21"/>
                <w:vertAlign w:val="baseline"/>
                <w:lang w:bidi="ar"/>
              </w:rPr>
              <w:t>二甲基亚硝胺、金刚烷胺</w:t>
            </w:r>
          </w:p>
        </w:tc>
        <w:tc>
          <w:tcPr>
            <w:tcW w:w="1024" w:type="pct"/>
            <w:noWrap w:val="0"/>
            <w:vAlign w:val="center"/>
          </w:tcPr>
          <w:p w14:paraId="600AC112">
            <w:pPr>
              <w:kinsoku w:val="0"/>
              <w:autoSpaceDE w:val="0"/>
              <w:autoSpaceDN w:val="0"/>
              <w:adjustRightInd w:val="0"/>
              <w:snapToGrid w:val="0"/>
              <w:spacing w:line="260" w:lineRule="exact"/>
              <w:rPr>
                <w:rFonts w:hint="eastAsia" w:ascii="宋体" w:hAnsi="宋体" w:eastAsia="宋体" w:cs="宋体"/>
                <w:sz w:val="21"/>
                <w:szCs w:val="21"/>
              </w:rPr>
            </w:pPr>
          </w:p>
        </w:tc>
      </w:tr>
      <w:tr w14:paraId="3BBDB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DCBDA1D">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41EDEC1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A5522D7">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309101C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盐渍水产品</w:t>
            </w:r>
          </w:p>
        </w:tc>
        <w:tc>
          <w:tcPr>
            <w:tcW w:w="572" w:type="pct"/>
            <w:noWrap w:val="0"/>
            <w:vAlign w:val="center"/>
          </w:tcPr>
          <w:p w14:paraId="08F2F8C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盐渍鱼</w:t>
            </w:r>
          </w:p>
        </w:tc>
        <w:tc>
          <w:tcPr>
            <w:tcW w:w="180" w:type="pct"/>
            <w:noWrap w:val="0"/>
            <w:vAlign w:val="center"/>
          </w:tcPr>
          <w:p w14:paraId="09B79FA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较高</w:t>
            </w:r>
          </w:p>
        </w:tc>
        <w:tc>
          <w:tcPr>
            <w:tcW w:w="1644" w:type="pct"/>
            <w:noWrap w:val="0"/>
            <w:vAlign w:val="center"/>
          </w:tcPr>
          <w:p w14:paraId="22B3C8B4">
            <w:pPr>
              <w:kinsoku w:val="0"/>
              <w:autoSpaceDE w:val="0"/>
              <w:autoSpaceDN w:val="0"/>
              <w:adjustRightInd w:val="0"/>
              <w:snapToGrid w:val="0"/>
              <w:spacing w:line="260" w:lineRule="exact"/>
              <w:textAlignment w:val="center"/>
              <w:rPr>
                <w:rStyle w:val="86"/>
                <w:rFonts w:hint="eastAsia" w:ascii="宋体" w:hAnsi="宋体" w:eastAsia="宋体" w:cs="宋体"/>
                <w:b w:val="0"/>
                <w:snapToGrid w:val="0"/>
                <w:color w:val="auto"/>
                <w:sz w:val="21"/>
                <w:szCs w:val="21"/>
                <w:lang w:bidi="ar"/>
              </w:rPr>
            </w:pPr>
            <w:r>
              <w:rPr>
                <w:rStyle w:val="86"/>
                <w:rFonts w:hint="eastAsia" w:ascii="宋体" w:hAnsi="宋体" w:eastAsia="宋体" w:cs="宋体"/>
                <w:b w:val="0"/>
                <w:snapToGrid w:val="0"/>
                <w:color w:val="auto"/>
                <w:sz w:val="21"/>
                <w:szCs w:val="21"/>
                <w:lang w:bidi="ar"/>
              </w:rPr>
              <w:t>N-</w:t>
            </w:r>
            <w:r>
              <w:rPr>
                <w:rStyle w:val="88"/>
                <w:rFonts w:hint="eastAsia" w:ascii="宋体" w:hAnsi="宋体" w:eastAsia="宋体" w:cs="宋体"/>
                <w:snapToGrid w:val="0"/>
                <w:color w:val="auto"/>
                <w:sz w:val="21"/>
                <w:szCs w:val="21"/>
                <w:vertAlign w:val="baseline"/>
                <w:lang w:bidi="ar"/>
              </w:rPr>
              <w:t>二甲基亚硝胺</w:t>
            </w:r>
          </w:p>
        </w:tc>
        <w:tc>
          <w:tcPr>
            <w:tcW w:w="1024" w:type="pct"/>
            <w:noWrap w:val="0"/>
            <w:vAlign w:val="center"/>
          </w:tcPr>
          <w:p w14:paraId="53317DBC">
            <w:pPr>
              <w:kinsoku w:val="0"/>
              <w:autoSpaceDE w:val="0"/>
              <w:autoSpaceDN w:val="0"/>
              <w:adjustRightInd w:val="0"/>
              <w:snapToGrid w:val="0"/>
              <w:spacing w:line="260" w:lineRule="exact"/>
              <w:rPr>
                <w:rFonts w:hint="eastAsia" w:ascii="宋体" w:hAnsi="宋体" w:eastAsia="宋体" w:cs="宋体"/>
                <w:sz w:val="21"/>
                <w:szCs w:val="21"/>
              </w:rPr>
            </w:pPr>
          </w:p>
        </w:tc>
      </w:tr>
      <w:tr w14:paraId="69EF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0B2D9FD">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76D9AEB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10168D6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2020925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鱼糜制品</w:t>
            </w:r>
          </w:p>
        </w:tc>
        <w:tc>
          <w:tcPr>
            <w:tcW w:w="572" w:type="pct"/>
            <w:noWrap w:val="0"/>
            <w:vAlign w:val="center"/>
          </w:tcPr>
          <w:p w14:paraId="4D0A6EE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预制鱼糜制品</w:t>
            </w:r>
          </w:p>
        </w:tc>
        <w:tc>
          <w:tcPr>
            <w:tcW w:w="180" w:type="pct"/>
            <w:noWrap w:val="0"/>
            <w:vAlign w:val="center"/>
          </w:tcPr>
          <w:p w14:paraId="477E526B">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2B83B58C">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6"/>
                <w:rFonts w:hint="eastAsia" w:ascii="宋体" w:hAnsi="宋体" w:eastAsia="宋体" w:cs="宋体"/>
                <w:b w:val="0"/>
                <w:snapToGrid w:val="0"/>
                <w:color w:val="auto"/>
                <w:sz w:val="21"/>
                <w:szCs w:val="21"/>
                <w:lang w:bidi="ar"/>
              </w:rPr>
              <w:t>二氧化钛</w:t>
            </w:r>
          </w:p>
        </w:tc>
        <w:tc>
          <w:tcPr>
            <w:tcW w:w="1024" w:type="pct"/>
            <w:noWrap w:val="0"/>
            <w:vAlign w:val="center"/>
          </w:tcPr>
          <w:p w14:paraId="4AF4D79C">
            <w:pPr>
              <w:kinsoku w:val="0"/>
              <w:autoSpaceDE w:val="0"/>
              <w:autoSpaceDN w:val="0"/>
              <w:adjustRightInd w:val="0"/>
              <w:snapToGrid w:val="0"/>
              <w:spacing w:line="260" w:lineRule="exact"/>
              <w:rPr>
                <w:rFonts w:hint="eastAsia" w:ascii="宋体" w:hAnsi="宋体" w:eastAsia="宋体" w:cs="宋体"/>
                <w:sz w:val="21"/>
                <w:szCs w:val="21"/>
              </w:rPr>
            </w:pPr>
          </w:p>
        </w:tc>
      </w:tr>
      <w:tr w14:paraId="3257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3E7AAD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6A004B68">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5B0A886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061773D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熟制动物性水产制品</w:t>
            </w:r>
          </w:p>
        </w:tc>
        <w:tc>
          <w:tcPr>
            <w:tcW w:w="572" w:type="pct"/>
            <w:noWrap w:val="0"/>
            <w:vAlign w:val="center"/>
          </w:tcPr>
          <w:p w14:paraId="79FF208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熟制动物性水产制品</w:t>
            </w:r>
          </w:p>
        </w:tc>
        <w:tc>
          <w:tcPr>
            <w:tcW w:w="180" w:type="pct"/>
            <w:noWrap w:val="0"/>
            <w:vAlign w:val="center"/>
          </w:tcPr>
          <w:p w14:paraId="2134EDA6">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413B2D24">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6"/>
                <w:rFonts w:hint="eastAsia" w:ascii="宋体" w:hAnsi="宋体" w:eastAsia="宋体" w:cs="宋体"/>
                <w:b w:val="0"/>
                <w:snapToGrid w:val="0"/>
                <w:color w:val="auto"/>
                <w:sz w:val="21"/>
                <w:szCs w:val="21"/>
                <w:lang w:bidi="ar"/>
              </w:rPr>
              <w:t>N-</w:t>
            </w:r>
            <w:r>
              <w:rPr>
                <w:rStyle w:val="88"/>
                <w:rFonts w:hint="eastAsia" w:ascii="宋体" w:hAnsi="宋体" w:eastAsia="宋体" w:cs="宋体"/>
                <w:snapToGrid w:val="0"/>
                <w:color w:val="auto"/>
                <w:sz w:val="21"/>
                <w:szCs w:val="21"/>
                <w:vertAlign w:val="baseline"/>
                <w:lang w:bidi="ar"/>
              </w:rPr>
              <w:t>二甲基亚硝胺</w:t>
            </w:r>
          </w:p>
        </w:tc>
        <w:tc>
          <w:tcPr>
            <w:tcW w:w="1024" w:type="pct"/>
            <w:noWrap w:val="0"/>
            <w:vAlign w:val="center"/>
          </w:tcPr>
          <w:p w14:paraId="6AD57289">
            <w:pPr>
              <w:kinsoku w:val="0"/>
              <w:autoSpaceDE w:val="0"/>
              <w:autoSpaceDN w:val="0"/>
              <w:adjustRightInd w:val="0"/>
              <w:snapToGrid w:val="0"/>
              <w:spacing w:line="260" w:lineRule="exact"/>
              <w:rPr>
                <w:rFonts w:hint="eastAsia" w:ascii="宋体" w:hAnsi="宋体" w:eastAsia="宋体" w:cs="宋体"/>
                <w:sz w:val="21"/>
                <w:szCs w:val="21"/>
              </w:rPr>
            </w:pPr>
          </w:p>
        </w:tc>
      </w:tr>
      <w:tr w14:paraId="2C4BC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9" w:hRule="atLeast"/>
          <w:jc w:val="center"/>
        </w:trPr>
        <w:tc>
          <w:tcPr>
            <w:tcW w:w="183" w:type="pct"/>
            <w:vMerge w:val="continue"/>
            <w:noWrap w:val="0"/>
            <w:vAlign w:val="center"/>
          </w:tcPr>
          <w:p w14:paraId="64ACBE8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5B6F652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6078C77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3F34B6F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其他水产制品</w:t>
            </w:r>
          </w:p>
        </w:tc>
        <w:tc>
          <w:tcPr>
            <w:tcW w:w="572" w:type="pct"/>
            <w:noWrap w:val="0"/>
            <w:vAlign w:val="center"/>
          </w:tcPr>
          <w:p w14:paraId="40FA2B8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pacing w:val="-3"/>
                <w:sz w:val="21"/>
                <w:szCs w:val="21"/>
              </w:rPr>
              <w:t>其他水产制品</w:t>
            </w:r>
          </w:p>
        </w:tc>
        <w:tc>
          <w:tcPr>
            <w:tcW w:w="180" w:type="pct"/>
            <w:noWrap w:val="0"/>
            <w:vAlign w:val="center"/>
          </w:tcPr>
          <w:p w14:paraId="0B2EDB47">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pacing w:val="-2"/>
                <w:sz w:val="21"/>
                <w:szCs w:val="21"/>
              </w:rPr>
              <w:t>较高</w:t>
            </w:r>
          </w:p>
        </w:tc>
        <w:tc>
          <w:tcPr>
            <w:tcW w:w="1644" w:type="pct"/>
            <w:noWrap w:val="0"/>
            <w:vAlign w:val="center"/>
          </w:tcPr>
          <w:p w14:paraId="79DF542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pacing w:val="-2"/>
                <w:sz w:val="21"/>
                <w:szCs w:val="21"/>
              </w:rPr>
              <w:t>乙二胺四乙酸二钠</w:t>
            </w:r>
          </w:p>
        </w:tc>
        <w:tc>
          <w:tcPr>
            <w:tcW w:w="1024" w:type="pct"/>
            <w:noWrap w:val="0"/>
            <w:vAlign w:val="center"/>
          </w:tcPr>
          <w:p w14:paraId="399CCF7E">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限调味藻类</w:t>
            </w:r>
          </w:p>
        </w:tc>
      </w:tr>
      <w:tr w14:paraId="36E62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5958EBB1">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21</w:t>
            </w:r>
          </w:p>
        </w:tc>
        <w:tc>
          <w:tcPr>
            <w:tcW w:w="352" w:type="pct"/>
            <w:vMerge w:val="restart"/>
            <w:noWrap w:val="0"/>
            <w:vAlign w:val="center"/>
          </w:tcPr>
          <w:p w14:paraId="0DB9CAAB">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淀粉及淀粉制品</w:t>
            </w:r>
          </w:p>
        </w:tc>
        <w:tc>
          <w:tcPr>
            <w:tcW w:w="484" w:type="pct"/>
            <w:vMerge w:val="restart"/>
            <w:noWrap w:val="0"/>
            <w:vAlign w:val="center"/>
          </w:tcPr>
          <w:p w14:paraId="6C073BA6">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淀粉及淀粉制品</w:t>
            </w:r>
          </w:p>
        </w:tc>
        <w:tc>
          <w:tcPr>
            <w:tcW w:w="557" w:type="pct"/>
            <w:noWrap w:val="0"/>
            <w:vAlign w:val="center"/>
          </w:tcPr>
          <w:p w14:paraId="36C82644">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淀粉</w:t>
            </w:r>
          </w:p>
        </w:tc>
        <w:tc>
          <w:tcPr>
            <w:tcW w:w="572" w:type="pct"/>
            <w:noWrap w:val="0"/>
            <w:vAlign w:val="center"/>
          </w:tcPr>
          <w:p w14:paraId="5346C84C">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淀粉</w:t>
            </w:r>
          </w:p>
        </w:tc>
        <w:tc>
          <w:tcPr>
            <w:tcW w:w="180" w:type="pct"/>
            <w:noWrap w:val="0"/>
            <w:vAlign w:val="center"/>
          </w:tcPr>
          <w:p w14:paraId="05AE2479">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46F10B8D">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红薯源性成分、木薯源性成分、玉米源性成分、马铃薯源性成分、藕源性成分</w:t>
            </w:r>
          </w:p>
        </w:tc>
        <w:tc>
          <w:tcPr>
            <w:tcW w:w="1024" w:type="pct"/>
            <w:noWrap w:val="0"/>
            <w:vAlign w:val="center"/>
          </w:tcPr>
          <w:p w14:paraId="5E2F8B10">
            <w:pPr>
              <w:kinsoku w:val="0"/>
              <w:autoSpaceDE w:val="0"/>
              <w:autoSpaceDN w:val="0"/>
              <w:adjustRightInd w:val="0"/>
              <w:snapToGrid w:val="0"/>
              <w:spacing w:line="28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限红薯淀粉、马铃薯淀粉和藕粉</w:t>
            </w:r>
          </w:p>
        </w:tc>
      </w:tr>
      <w:tr w14:paraId="2E8E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0B69787">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558B7F2F">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0DEB6CF1">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p>
        </w:tc>
        <w:tc>
          <w:tcPr>
            <w:tcW w:w="557" w:type="pct"/>
            <w:noWrap w:val="0"/>
            <w:vAlign w:val="center"/>
          </w:tcPr>
          <w:p w14:paraId="40742565">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淀粉制品</w:t>
            </w:r>
          </w:p>
        </w:tc>
        <w:tc>
          <w:tcPr>
            <w:tcW w:w="572" w:type="pct"/>
            <w:noWrap w:val="0"/>
            <w:vAlign w:val="center"/>
          </w:tcPr>
          <w:p w14:paraId="598E4C9F">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粉丝粉条</w:t>
            </w:r>
          </w:p>
        </w:tc>
        <w:tc>
          <w:tcPr>
            <w:tcW w:w="180" w:type="pct"/>
            <w:noWrap w:val="0"/>
            <w:vAlign w:val="center"/>
          </w:tcPr>
          <w:p w14:paraId="2D462A3E">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34C4542F">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红薯源性成分、木薯源性成分、玉米源性成分、马铃薯源性成分</w:t>
            </w:r>
          </w:p>
        </w:tc>
        <w:tc>
          <w:tcPr>
            <w:tcW w:w="1024" w:type="pct"/>
            <w:noWrap w:val="0"/>
            <w:vAlign w:val="center"/>
          </w:tcPr>
          <w:p w14:paraId="455A55BB">
            <w:pPr>
              <w:kinsoku w:val="0"/>
              <w:autoSpaceDE w:val="0"/>
              <w:autoSpaceDN w:val="0"/>
              <w:adjustRightInd w:val="0"/>
              <w:snapToGrid w:val="0"/>
              <w:spacing w:line="28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限以红薯淀粉和马铃薯淀粉为主要原料的产品</w:t>
            </w:r>
          </w:p>
        </w:tc>
      </w:tr>
      <w:tr w14:paraId="52754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51E23CE3">
            <w:pPr>
              <w:pStyle w:val="122"/>
              <w:spacing w:line="260" w:lineRule="exact"/>
              <w:jc w:val="center"/>
              <w:rPr>
                <w:rFonts w:hint="eastAsia" w:ascii="宋体" w:hAnsi="宋体" w:eastAsia="宋体" w:cs="宋体"/>
                <w:sz w:val="21"/>
                <w:szCs w:val="21"/>
                <w:lang w:eastAsia="zh-CN"/>
              </w:rPr>
            </w:pPr>
            <w:r>
              <w:rPr>
                <w:rFonts w:hint="eastAsia" w:ascii="宋体" w:hAnsi="宋体" w:eastAsia="宋体" w:cs="宋体"/>
                <w:spacing w:val="-3"/>
                <w:sz w:val="21"/>
                <w:szCs w:val="21"/>
              </w:rPr>
              <w:t>22</w:t>
            </w:r>
          </w:p>
        </w:tc>
        <w:tc>
          <w:tcPr>
            <w:tcW w:w="352" w:type="pct"/>
            <w:vMerge w:val="restart"/>
            <w:noWrap w:val="0"/>
            <w:vAlign w:val="center"/>
          </w:tcPr>
          <w:p w14:paraId="702EE7ED">
            <w:pPr>
              <w:pStyle w:val="122"/>
              <w:spacing w:line="280" w:lineRule="exact"/>
              <w:jc w:val="center"/>
              <w:rPr>
                <w:rFonts w:hint="eastAsia" w:ascii="宋体" w:hAnsi="宋体" w:eastAsia="宋体" w:cs="宋体"/>
                <w:sz w:val="21"/>
                <w:szCs w:val="21"/>
              </w:rPr>
            </w:pPr>
            <w:r>
              <w:rPr>
                <w:rFonts w:hint="eastAsia" w:ascii="宋体" w:hAnsi="宋体" w:eastAsia="宋体" w:cs="宋体"/>
                <w:spacing w:val="7"/>
                <w:sz w:val="21"/>
                <w:szCs w:val="21"/>
              </w:rPr>
              <w:t>糕点</w:t>
            </w:r>
          </w:p>
        </w:tc>
        <w:tc>
          <w:tcPr>
            <w:tcW w:w="484" w:type="pct"/>
            <w:vMerge w:val="restart"/>
            <w:noWrap w:val="0"/>
            <w:vAlign w:val="center"/>
          </w:tcPr>
          <w:p w14:paraId="73425DC5">
            <w:pPr>
              <w:pStyle w:val="122"/>
              <w:spacing w:line="280" w:lineRule="exact"/>
              <w:jc w:val="center"/>
              <w:rPr>
                <w:rFonts w:hint="eastAsia" w:ascii="宋体" w:hAnsi="宋体" w:eastAsia="宋体" w:cs="宋体"/>
                <w:sz w:val="21"/>
                <w:szCs w:val="21"/>
              </w:rPr>
            </w:pPr>
            <w:r>
              <w:rPr>
                <w:rFonts w:hint="eastAsia" w:ascii="宋体" w:hAnsi="宋体" w:eastAsia="宋体" w:cs="宋体"/>
                <w:spacing w:val="7"/>
                <w:sz w:val="21"/>
                <w:szCs w:val="21"/>
              </w:rPr>
              <w:t>糕点</w:t>
            </w:r>
          </w:p>
        </w:tc>
        <w:tc>
          <w:tcPr>
            <w:tcW w:w="557" w:type="pct"/>
            <w:noWrap w:val="0"/>
            <w:vAlign w:val="center"/>
          </w:tcPr>
          <w:p w14:paraId="512D5DCF">
            <w:pPr>
              <w:pStyle w:val="122"/>
              <w:spacing w:line="280" w:lineRule="exact"/>
              <w:jc w:val="center"/>
              <w:rPr>
                <w:rFonts w:hint="eastAsia" w:ascii="宋体" w:hAnsi="宋体" w:eastAsia="宋体" w:cs="宋体"/>
                <w:sz w:val="21"/>
                <w:szCs w:val="21"/>
              </w:rPr>
            </w:pPr>
            <w:r>
              <w:rPr>
                <w:rFonts w:hint="eastAsia" w:ascii="宋体" w:hAnsi="宋体" w:eastAsia="宋体" w:cs="宋体"/>
                <w:spacing w:val="-2"/>
                <w:sz w:val="21"/>
                <w:szCs w:val="21"/>
              </w:rPr>
              <w:t>面包</w:t>
            </w:r>
          </w:p>
        </w:tc>
        <w:tc>
          <w:tcPr>
            <w:tcW w:w="572" w:type="pct"/>
            <w:noWrap w:val="0"/>
            <w:vAlign w:val="center"/>
          </w:tcPr>
          <w:p w14:paraId="58A93C2B">
            <w:pPr>
              <w:pStyle w:val="122"/>
              <w:spacing w:line="280" w:lineRule="exact"/>
              <w:jc w:val="center"/>
              <w:rPr>
                <w:rFonts w:hint="eastAsia" w:ascii="宋体" w:hAnsi="宋体" w:eastAsia="宋体" w:cs="宋体"/>
                <w:sz w:val="21"/>
                <w:szCs w:val="21"/>
              </w:rPr>
            </w:pPr>
            <w:r>
              <w:rPr>
                <w:rFonts w:hint="eastAsia" w:ascii="宋体" w:hAnsi="宋体" w:eastAsia="宋体" w:cs="宋体"/>
                <w:spacing w:val="-2"/>
                <w:sz w:val="21"/>
                <w:szCs w:val="21"/>
              </w:rPr>
              <w:t>面包</w:t>
            </w:r>
          </w:p>
        </w:tc>
        <w:tc>
          <w:tcPr>
            <w:tcW w:w="180" w:type="pct"/>
            <w:noWrap w:val="0"/>
            <w:vAlign w:val="center"/>
          </w:tcPr>
          <w:p w14:paraId="3CF13B08">
            <w:pPr>
              <w:pStyle w:val="122"/>
              <w:spacing w:line="280" w:lineRule="exact"/>
              <w:jc w:val="center"/>
              <w:rPr>
                <w:rFonts w:hint="eastAsia" w:ascii="宋体" w:hAnsi="宋体" w:eastAsia="宋体" w:cs="宋体"/>
                <w:sz w:val="21"/>
                <w:szCs w:val="21"/>
              </w:rPr>
            </w:pPr>
            <w:r>
              <w:rPr>
                <w:rFonts w:hint="eastAsia" w:ascii="宋体" w:hAnsi="宋体" w:eastAsia="宋体" w:cs="宋体"/>
                <w:spacing w:val="-2"/>
                <w:sz w:val="21"/>
                <w:szCs w:val="21"/>
              </w:rPr>
              <w:t>较高</w:t>
            </w:r>
          </w:p>
        </w:tc>
        <w:tc>
          <w:tcPr>
            <w:tcW w:w="1644" w:type="pct"/>
            <w:noWrap w:val="0"/>
            <w:vAlign w:val="center"/>
          </w:tcPr>
          <w:p w14:paraId="69E9BF37">
            <w:pPr>
              <w:kinsoku w:val="0"/>
              <w:autoSpaceDE w:val="0"/>
              <w:autoSpaceDN w:val="0"/>
              <w:adjustRightInd w:val="0"/>
              <w:snapToGrid w:val="0"/>
              <w:spacing w:line="280" w:lineRule="exact"/>
              <w:textAlignment w:val="center"/>
              <w:rPr>
                <w:rStyle w:val="88"/>
                <w:rFonts w:hint="eastAsia" w:ascii="宋体" w:hAnsi="宋体" w:eastAsia="宋体" w:cs="宋体"/>
                <w:snapToGrid w:val="0"/>
                <w:color w:val="auto"/>
                <w:sz w:val="21"/>
                <w:szCs w:val="21"/>
                <w:vertAlign w:val="baseline"/>
                <w:lang w:eastAsia="en-US" w:bidi="ar"/>
              </w:rPr>
            </w:pPr>
            <w:r>
              <w:rPr>
                <w:rStyle w:val="88"/>
                <w:rFonts w:hint="eastAsia" w:ascii="宋体" w:hAnsi="宋体" w:eastAsia="宋体" w:cs="宋体"/>
                <w:snapToGrid w:val="0"/>
                <w:color w:val="auto"/>
                <w:sz w:val="21"/>
                <w:szCs w:val="21"/>
                <w:vertAlign w:val="baseline"/>
                <w:lang w:bidi="ar"/>
              </w:rPr>
              <w:t>脱氧雪腐镰刀菌烯醇</w:t>
            </w:r>
          </w:p>
        </w:tc>
        <w:tc>
          <w:tcPr>
            <w:tcW w:w="1024" w:type="pct"/>
            <w:noWrap w:val="0"/>
            <w:vAlign w:val="center"/>
          </w:tcPr>
          <w:p w14:paraId="6C51EE45">
            <w:pPr>
              <w:kinsoku w:val="0"/>
              <w:autoSpaceDE w:val="0"/>
              <w:autoSpaceDN w:val="0"/>
              <w:adjustRightInd w:val="0"/>
              <w:snapToGrid w:val="0"/>
              <w:spacing w:line="280" w:lineRule="exact"/>
              <w:rPr>
                <w:rFonts w:hint="eastAsia" w:ascii="宋体" w:hAnsi="宋体" w:eastAsia="宋体" w:cs="宋体"/>
                <w:sz w:val="21"/>
                <w:szCs w:val="21"/>
              </w:rPr>
            </w:pPr>
          </w:p>
        </w:tc>
      </w:tr>
      <w:tr w14:paraId="332B0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ACB9945">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0DAD1BD3">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119B27C">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4E649132">
            <w:pPr>
              <w:pStyle w:val="122"/>
              <w:spacing w:line="28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粽子</w:t>
            </w:r>
          </w:p>
        </w:tc>
        <w:tc>
          <w:tcPr>
            <w:tcW w:w="572" w:type="pct"/>
            <w:noWrap w:val="0"/>
            <w:vAlign w:val="center"/>
          </w:tcPr>
          <w:p w14:paraId="76649B1D">
            <w:pPr>
              <w:pStyle w:val="122"/>
              <w:spacing w:line="280" w:lineRule="exact"/>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粽子</w:t>
            </w:r>
          </w:p>
        </w:tc>
        <w:tc>
          <w:tcPr>
            <w:tcW w:w="180" w:type="pct"/>
            <w:noWrap w:val="0"/>
            <w:vAlign w:val="center"/>
          </w:tcPr>
          <w:p w14:paraId="100CFC0A">
            <w:pPr>
              <w:pStyle w:val="122"/>
              <w:spacing w:line="280" w:lineRule="exact"/>
              <w:jc w:val="center"/>
              <w:rPr>
                <w:rFonts w:hint="eastAsia" w:ascii="宋体" w:hAnsi="宋体" w:eastAsia="宋体" w:cs="宋体"/>
                <w:sz w:val="21"/>
                <w:szCs w:val="21"/>
              </w:rPr>
            </w:pPr>
            <w:r>
              <w:rPr>
                <w:rFonts w:hint="eastAsia" w:ascii="宋体" w:hAnsi="宋体" w:eastAsia="宋体" w:cs="宋体"/>
                <w:spacing w:val="-2"/>
                <w:sz w:val="21"/>
                <w:szCs w:val="21"/>
              </w:rPr>
              <w:t>较高</w:t>
            </w:r>
          </w:p>
        </w:tc>
        <w:tc>
          <w:tcPr>
            <w:tcW w:w="1644" w:type="pct"/>
            <w:noWrap w:val="0"/>
            <w:vAlign w:val="center"/>
          </w:tcPr>
          <w:p w14:paraId="409A6884">
            <w:pPr>
              <w:kinsoku w:val="0"/>
              <w:autoSpaceDE w:val="0"/>
              <w:autoSpaceDN w:val="0"/>
              <w:adjustRightInd w:val="0"/>
              <w:snapToGrid w:val="0"/>
              <w:spacing w:line="280" w:lineRule="exact"/>
              <w:textAlignment w:val="center"/>
              <w:rPr>
                <w:rStyle w:val="88"/>
                <w:rFonts w:hint="eastAsia" w:ascii="宋体" w:hAnsi="宋体" w:eastAsia="宋体" w:cs="宋体"/>
                <w:snapToGrid w:val="0"/>
                <w:color w:val="auto"/>
                <w:sz w:val="21"/>
                <w:szCs w:val="21"/>
                <w:vertAlign w:val="baseline"/>
                <w:lang w:eastAsia="en-US"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642B8A92">
            <w:pPr>
              <w:kinsoku w:val="0"/>
              <w:autoSpaceDE w:val="0"/>
              <w:autoSpaceDN w:val="0"/>
              <w:adjustRightInd w:val="0"/>
              <w:snapToGrid w:val="0"/>
              <w:spacing w:line="280" w:lineRule="exact"/>
              <w:rPr>
                <w:rFonts w:hint="eastAsia" w:ascii="宋体" w:hAnsi="宋体" w:eastAsia="宋体" w:cs="宋体"/>
                <w:sz w:val="21"/>
                <w:szCs w:val="21"/>
              </w:rPr>
            </w:pPr>
          </w:p>
        </w:tc>
      </w:tr>
      <w:tr w14:paraId="48AA4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41DF30EF">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6B1A2FA0">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1D303B7F">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69263E27">
            <w:pPr>
              <w:pStyle w:val="122"/>
              <w:spacing w:line="280" w:lineRule="exact"/>
              <w:jc w:val="center"/>
              <w:rPr>
                <w:rFonts w:hint="eastAsia" w:ascii="宋体" w:hAnsi="宋体" w:eastAsia="宋体" w:cs="宋体"/>
                <w:sz w:val="21"/>
                <w:szCs w:val="21"/>
                <w:lang w:eastAsia="zh-CN"/>
              </w:rPr>
            </w:pPr>
            <w:r>
              <w:rPr>
                <w:rFonts w:hint="eastAsia" w:ascii="宋体" w:hAnsi="宋体" w:eastAsia="宋体" w:cs="宋体"/>
                <w:spacing w:val="-2"/>
                <w:sz w:val="21"/>
                <w:szCs w:val="21"/>
                <w:lang w:eastAsia="zh-CN"/>
              </w:rPr>
              <w:t>月饼</w:t>
            </w:r>
          </w:p>
        </w:tc>
        <w:tc>
          <w:tcPr>
            <w:tcW w:w="572" w:type="pct"/>
            <w:noWrap w:val="0"/>
            <w:vAlign w:val="center"/>
          </w:tcPr>
          <w:p w14:paraId="06C6D1AA">
            <w:pPr>
              <w:pStyle w:val="122"/>
              <w:spacing w:line="280" w:lineRule="exact"/>
              <w:jc w:val="center"/>
              <w:rPr>
                <w:rFonts w:hint="eastAsia" w:ascii="宋体" w:hAnsi="宋体" w:eastAsia="宋体" w:cs="宋体"/>
                <w:sz w:val="21"/>
                <w:szCs w:val="21"/>
                <w:lang w:eastAsia="zh-CN"/>
              </w:rPr>
            </w:pPr>
            <w:r>
              <w:rPr>
                <w:rFonts w:hint="eastAsia" w:ascii="宋体" w:hAnsi="宋体" w:eastAsia="宋体" w:cs="宋体"/>
                <w:spacing w:val="-2"/>
                <w:sz w:val="21"/>
                <w:szCs w:val="21"/>
                <w:lang w:eastAsia="zh-CN"/>
              </w:rPr>
              <w:t>月饼</w:t>
            </w:r>
          </w:p>
        </w:tc>
        <w:tc>
          <w:tcPr>
            <w:tcW w:w="180" w:type="pct"/>
            <w:noWrap w:val="0"/>
            <w:vAlign w:val="center"/>
          </w:tcPr>
          <w:p w14:paraId="420A4360">
            <w:pPr>
              <w:pStyle w:val="122"/>
              <w:spacing w:line="280" w:lineRule="exact"/>
              <w:jc w:val="center"/>
              <w:rPr>
                <w:rFonts w:hint="eastAsia" w:ascii="宋体" w:hAnsi="宋体" w:eastAsia="宋体" w:cs="宋体"/>
                <w:sz w:val="21"/>
                <w:szCs w:val="21"/>
              </w:rPr>
            </w:pPr>
            <w:r>
              <w:rPr>
                <w:rFonts w:hint="eastAsia" w:ascii="宋体" w:hAnsi="宋体" w:eastAsia="宋体" w:cs="宋体"/>
                <w:spacing w:val="-2"/>
                <w:sz w:val="21"/>
                <w:szCs w:val="21"/>
              </w:rPr>
              <w:t>较高</w:t>
            </w:r>
          </w:p>
        </w:tc>
        <w:tc>
          <w:tcPr>
            <w:tcW w:w="1644" w:type="pct"/>
            <w:noWrap w:val="0"/>
            <w:vAlign w:val="center"/>
          </w:tcPr>
          <w:p w14:paraId="11000553">
            <w:pPr>
              <w:kinsoku w:val="0"/>
              <w:autoSpaceDE w:val="0"/>
              <w:autoSpaceDN w:val="0"/>
              <w:adjustRightInd w:val="0"/>
              <w:snapToGrid w:val="0"/>
              <w:spacing w:line="28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脱氧雪腐镰刀菌烯醇、黄曲霉毒素B</w:t>
            </w:r>
            <w:r>
              <w:rPr>
                <w:rStyle w:val="88"/>
                <w:rFonts w:hint="eastAsia" w:ascii="宋体" w:hAnsi="宋体" w:eastAsia="宋体" w:cs="宋体"/>
                <w:snapToGrid w:val="0"/>
                <w:color w:val="auto"/>
                <w:sz w:val="21"/>
                <w:szCs w:val="21"/>
                <w:vertAlign w:val="subscript"/>
                <w:lang w:bidi="ar"/>
              </w:rPr>
              <w:t>1</w:t>
            </w:r>
          </w:p>
        </w:tc>
        <w:tc>
          <w:tcPr>
            <w:tcW w:w="1024" w:type="pct"/>
            <w:noWrap w:val="0"/>
            <w:vAlign w:val="center"/>
          </w:tcPr>
          <w:p w14:paraId="3EFB0269">
            <w:pPr>
              <w:kinsoku w:val="0"/>
              <w:autoSpaceDE w:val="0"/>
              <w:autoSpaceDN w:val="0"/>
              <w:adjustRightInd w:val="0"/>
              <w:snapToGrid w:val="0"/>
              <w:spacing w:line="280" w:lineRule="exact"/>
              <w:rPr>
                <w:rFonts w:hint="eastAsia" w:ascii="宋体" w:hAnsi="宋体" w:eastAsia="宋体" w:cs="宋体"/>
                <w:sz w:val="21"/>
                <w:szCs w:val="21"/>
              </w:rPr>
            </w:pPr>
          </w:p>
        </w:tc>
      </w:tr>
      <w:tr w14:paraId="5F4E7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29749C5">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4CAAA1B7">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5DDE9FA5">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54A238BE">
            <w:pPr>
              <w:pStyle w:val="122"/>
              <w:spacing w:line="280" w:lineRule="exact"/>
              <w:jc w:val="center"/>
              <w:rPr>
                <w:rFonts w:hint="eastAsia" w:ascii="宋体" w:hAnsi="宋体" w:eastAsia="宋体" w:cs="宋体"/>
                <w:sz w:val="21"/>
                <w:szCs w:val="21"/>
              </w:rPr>
            </w:pPr>
            <w:r>
              <w:rPr>
                <w:rFonts w:hint="eastAsia" w:ascii="宋体" w:hAnsi="宋体" w:eastAsia="宋体" w:cs="宋体"/>
                <w:spacing w:val="7"/>
                <w:sz w:val="21"/>
                <w:szCs w:val="21"/>
              </w:rPr>
              <w:t>糕点</w:t>
            </w:r>
          </w:p>
        </w:tc>
        <w:tc>
          <w:tcPr>
            <w:tcW w:w="572" w:type="pct"/>
            <w:noWrap w:val="0"/>
            <w:vAlign w:val="center"/>
          </w:tcPr>
          <w:p w14:paraId="77B876CD">
            <w:pPr>
              <w:pStyle w:val="122"/>
              <w:spacing w:line="280" w:lineRule="exact"/>
              <w:jc w:val="center"/>
              <w:rPr>
                <w:rFonts w:hint="eastAsia" w:ascii="宋体" w:hAnsi="宋体" w:eastAsia="宋体" w:cs="宋体"/>
                <w:sz w:val="21"/>
                <w:szCs w:val="21"/>
              </w:rPr>
            </w:pPr>
            <w:r>
              <w:rPr>
                <w:rFonts w:hint="eastAsia" w:ascii="宋体" w:hAnsi="宋体" w:eastAsia="宋体" w:cs="宋体"/>
                <w:spacing w:val="7"/>
                <w:sz w:val="21"/>
                <w:szCs w:val="21"/>
              </w:rPr>
              <w:t>糕点</w:t>
            </w:r>
          </w:p>
        </w:tc>
        <w:tc>
          <w:tcPr>
            <w:tcW w:w="180" w:type="pct"/>
            <w:noWrap w:val="0"/>
            <w:vAlign w:val="center"/>
          </w:tcPr>
          <w:p w14:paraId="21C07D55">
            <w:pPr>
              <w:pStyle w:val="122"/>
              <w:spacing w:line="280" w:lineRule="exact"/>
              <w:jc w:val="center"/>
              <w:rPr>
                <w:rFonts w:hint="eastAsia" w:ascii="宋体" w:hAnsi="宋体" w:eastAsia="宋体" w:cs="宋体"/>
                <w:sz w:val="21"/>
                <w:szCs w:val="21"/>
              </w:rPr>
            </w:pPr>
            <w:r>
              <w:rPr>
                <w:rFonts w:hint="eastAsia" w:ascii="宋体" w:hAnsi="宋体" w:eastAsia="宋体" w:cs="宋体"/>
                <w:spacing w:val="-2"/>
                <w:sz w:val="21"/>
                <w:szCs w:val="21"/>
              </w:rPr>
              <w:t>较高</w:t>
            </w:r>
          </w:p>
        </w:tc>
        <w:tc>
          <w:tcPr>
            <w:tcW w:w="1644" w:type="pct"/>
            <w:noWrap w:val="0"/>
            <w:vAlign w:val="center"/>
          </w:tcPr>
          <w:p w14:paraId="3F0B0E90">
            <w:pPr>
              <w:kinsoku w:val="0"/>
              <w:autoSpaceDE w:val="0"/>
              <w:autoSpaceDN w:val="0"/>
              <w:adjustRightInd w:val="0"/>
              <w:snapToGrid w:val="0"/>
              <w:spacing w:line="280" w:lineRule="exact"/>
              <w:textAlignment w:val="center"/>
              <w:rPr>
                <w:rStyle w:val="88"/>
                <w:rFonts w:hint="eastAsia" w:ascii="宋体" w:hAnsi="宋体" w:eastAsia="宋体" w:cs="宋体"/>
                <w:snapToGrid w:val="0"/>
                <w:color w:val="auto"/>
                <w:sz w:val="21"/>
                <w:szCs w:val="21"/>
                <w:vertAlign w:val="baseline"/>
                <w:lang w:eastAsia="en-US" w:bidi="ar"/>
              </w:rPr>
            </w:pPr>
            <w:r>
              <w:rPr>
                <w:rStyle w:val="88"/>
                <w:rFonts w:hint="eastAsia" w:ascii="宋体" w:hAnsi="宋体" w:eastAsia="宋体" w:cs="宋体"/>
                <w:snapToGrid w:val="0"/>
                <w:color w:val="auto"/>
                <w:sz w:val="21"/>
                <w:szCs w:val="21"/>
                <w:vertAlign w:val="baseline"/>
                <w:lang w:bidi="ar"/>
              </w:rPr>
              <w:t>脱氧雪腐镰刀菌烯醇</w:t>
            </w:r>
          </w:p>
        </w:tc>
        <w:tc>
          <w:tcPr>
            <w:tcW w:w="1024" w:type="pct"/>
            <w:noWrap w:val="0"/>
            <w:vAlign w:val="center"/>
          </w:tcPr>
          <w:p w14:paraId="37268AF2">
            <w:pPr>
              <w:kinsoku w:val="0"/>
              <w:autoSpaceDE w:val="0"/>
              <w:autoSpaceDN w:val="0"/>
              <w:adjustRightInd w:val="0"/>
              <w:snapToGrid w:val="0"/>
              <w:spacing w:line="280" w:lineRule="exact"/>
              <w:rPr>
                <w:rFonts w:hint="eastAsia" w:ascii="宋体" w:hAnsi="宋体" w:eastAsia="宋体" w:cs="宋体"/>
                <w:sz w:val="21"/>
                <w:szCs w:val="21"/>
              </w:rPr>
            </w:pPr>
          </w:p>
        </w:tc>
      </w:tr>
      <w:tr w14:paraId="18FEE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11342A64">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23</w:t>
            </w:r>
          </w:p>
        </w:tc>
        <w:tc>
          <w:tcPr>
            <w:tcW w:w="352" w:type="pct"/>
            <w:vMerge w:val="restart"/>
            <w:noWrap w:val="0"/>
            <w:vAlign w:val="center"/>
          </w:tcPr>
          <w:p w14:paraId="23FC1B45">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豆制品</w:t>
            </w:r>
          </w:p>
        </w:tc>
        <w:tc>
          <w:tcPr>
            <w:tcW w:w="484" w:type="pct"/>
            <w:vMerge w:val="restart"/>
            <w:noWrap w:val="0"/>
            <w:vAlign w:val="center"/>
          </w:tcPr>
          <w:p w14:paraId="4AFD30AF">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豆制品</w:t>
            </w:r>
          </w:p>
        </w:tc>
        <w:tc>
          <w:tcPr>
            <w:tcW w:w="557" w:type="pct"/>
            <w:noWrap w:val="0"/>
            <w:vAlign w:val="center"/>
          </w:tcPr>
          <w:p w14:paraId="76C8A93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发酵性豆制品</w:t>
            </w:r>
          </w:p>
        </w:tc>
        <w:tc>
          <w:tcPr>
            <w:tcW w:w="572" w:type="pct"/>
            <w:noWrap w:val="0"/>
            <w:vAlign w:val="center"/>
          </w:tcPr>
          <w:p w14:paraId="4BBD598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腐乳、豆豉、纳豆等</w:t>
            </w:r>
          </w:p>
        </w:tc>
        <w:tc>
          <w:tcPr>
            <w:tcW w:w="180" w:type="pct"/>
            <w:noWrap w:val="0"/>
            <w:vAlign w:val="center"/>
          </w:tcPr>
          <w:p w14:paraId="0A8437EF">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6E91F424">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蜡样芽胞杆菌</w:t>
            </w:r>
          </w:p>
        </w:tc>
        <w:tc>
          <w:tcPr>
            <w:tcW w:w="1024" w:type="pct"/>
            <w:noWrap w:val="0"/>
            <w:vAlign w:val="center"/>
          </w:tcPr>
          <w:p w14:paraId="1D4BA93E">
            <w:pPr>
              <w:kinsoku w:val="0"/>
              <w:autoSpaceDE w:val="0"/>
              <w:autoSpaceDN w:val="0"/>
              <w:adjustRightInd w:val="0"/>
              <w:snapToGrid w:val="0"/>
              <w:spacing w:line="280" w:lineRule="exact"/>
              <w:rPr>
                <w:rFonts w:hint="eastAsia" w:ascii="宋体" w:hAnsi="宋体" w:eastAsia="宋体" w:cs="宋体"/>
                <w:sz w:val="21"/>
                <w:szCs w:val="21"/>
              </w:rPr>
            </w:pPr>
          </w:p>
        </w:tc>
      </w:tr>
      <w:tr w14:paraId="11E83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DDDFBF7">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6E6F31E">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086FF59">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0350F0DA">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非发酵性豆制品</w:t>
            </w:r>
          </w:p>
        </w:tc>
        <w:tc>
          <w:tcPr>
            <w:tcW w:w="572" w:type="pct"/>
            <w:noWrap w:val="0"/>
            <w:vAlign w:val="center"/>
          </w:tcPr>
          <w:p w14:paraId="36BC50DD">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腐竹、油皮及其在制品</w:t>
            </w:r>
          </w:p>
        </w:tc>
        <w:tc>
          <w:tcPr>
            <w:tcW w:w="180" w:type="pct"/>
            <w:noWrap w:val="0"/>
            <w:vAlign w:val="center"/>
          </w:tcPr>
          <w:p w14:paraId="6462A96C">
            <w:pPr>
              <w:kinsoku w:val="0"/>
              <w:autoSpaceDE w:val="0"/>
              <w:autoSpaceDN w:val="0"/>
              <w:adjustRightInd w:val="0"/>
              <w:snapToGrid w:val="0"/>
              <w:spacing w:line="28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较高</w:t>
            </w:r>
          </w:p>
        </w:tc>
        <w:tc>
          <w:tcPr>
            <w:tcW w:w="1644" w:type="pct"/>
            <w:noWrap w:val="0"/>
            <w:vAlign w:val="center"/>
          </w:tcPr>
          <w:p w14:paraId="30088644">
            <w:pPr>
              <w:kinsoku w:val="0"/>
              <w:autoSpaceDE w:val="0"/>
              <w:autoSpaceDN w:val="0"/>
              <w:adjustRightInd w:val="0"/>
              <w:snapToGrid w:val="0"/>
              <w:spacing w:line="28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硼（以B计）</w:t>
            </w:r>
          </w:p>
        </w:tc>
        <w:tc>
          <w:tcPr>
            <w:tcW w:w="1024" w:type="pct"/>
            <w:noWrap w:val="0"/>
            <w:vAlign w:val="center"/>
          </w:tcPr>
          <w:p w14:paraId="3F069BFB">
            <w:pPr>
              <w:kinsoku w:val="0"/>
              <w:autoSpaceDE w:val="0"/>
              <w:autoSpaceDN w:val="0"/>
              <w:adjustRightInd w:val="0"/>
              <w:snapToGrid w:val="0"/>
              <w:spacing w:line="280" w:lineRule="exact"/>
              <w:rPr>
                <w:rFonts w:hint="eastAsia" w:ascii="宋体" w:hAnsi="宋体" w:eastAsia="宋体" w:cs="宋体"/>
                <w:sz w:val="21"/>
                <w:szCs w:val="21"/>
              </w:rPr>
            </w:pPr>
          </w:p>
        </w:tc>
      </w:tr>
      <w:tr w14:paraId="2574A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noWrap w:val="0"/>
            <w:vAlign w:val="center"/>
          </w:tcPr>
          <w:p w14:paraId="3F7BBD1C">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24</w:t>
            </w:r>
          </w:p>
        </w:tc>
        <w:tc>
          <w:tcPr>
            <w:tcW w:w="352" w:type="pct"/>
            <w:noWrap w:val="0"/>
            <w:vAlign w:val="center"/>
          </w:tcPr>
          <w:p w14:paraId="55D66E82">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蜂产品</w:t>
            </w:r>
          </w:p>
        </w:tc>
        <w:tc>
          <w:tcPr>
            <w:tcW w:w="484" w:type="pct"/>
            <w:noWrap w:val="0"/>
            <w:vAlign w:val="center"/>
          </w:tcPr>
          <w:p w14:paraId="1439551A">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蜂产品</w:t>
            </w:r>
          </w:p>
        </w:tc>
        <w:tc>
          <w:tcPr>
            <w:tcW w:w="557" w:type="pct"/>
            <w:noWrap w:val="0"/>
            <w:vAlign w:val="center"/>
          </w:tcPr>
          <w:p w14:paraId="790F899C">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蜂蜜</w:t>
            </w:r>
          </w:p>
        </w:tc>
        <w:tc>
          <w:tcPr>
            <w:tcW w:w="572" w:type="pct"/>
            <w:noWrap w:val="0"/>
            <w:vAlign w:val="center"/>
          </w:tcPr>
          <w:p w14:paraId="57F5AF63">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蜂蜜</w:t>
            </w:r>
          </w:p>
        </w:tc>
        <w:tc>
          <w:tcPr>
            <w:tcW w:w="180" w:type="pct"/>
            <w:noWrap w:val="0"/>
            <w:vAlign w:val="center"/>
          </w:tcPr>
          <w:p w14:paraId="02C70E42">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34E82F8">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碳</w:t>
            </w:r>
            <w:r>
              <w:rPr>
                <w:rStyle w:val="86"/>
                <w:rFonts w:hint="eastAsia" w:ascii="宋体" w:hAnsi="宋体" w:eastAsia="宋体" w:cs="宋体"/>
                <w:b w:val="0"/>
                <w:snapToGrid w:val="0"/>
                <w:color w:val="auto"/>
                <w:sz w:val="21"/>
                <w:szCs w:val="21"/>
                <w:lang w:bidi="ar"/>
              </w:rPr>
              <w:t>-4</w:t>
            </w:r>
            <w:r>
              <w:rPr>
                <w:rStyle w:val="88"/>
                <w:rFonts w:hint="eastAsia" w:ascii="宋体" w:hAnsi="宋体" w:eastAsia="宋体" w:cs="宋体"/>
                <w:snapToGrid w:val="0"/>
                <w:color w:val="auto"/>
                <w:sz w:val="21"/>
                <w:szCs w:val="21"/>
                <w:vertAlign w:val="baseline"/>
                <w:lang w:bidi="ar"/>
              </w:rPr>
              <w:t>植物糖含量、麦芽糖</w:t>
            </w:r>
          </w:p>
        </w:tc>
        <w:tc>
          <w:tcPr>
            <w:tcW w:w="1024" w:type="pct"/>
            <w:noWrap w:val="0"/>
            <w:vAlign w:val="center"/>
          </w:tcPr>
          <w:p w14:paraId="1DB62C4B">
            <w:pPr>
              <w:kinsoku w:val="0"/>
              <w:autoSpaceDE w:val="0"/>
              <w:autoSpaceDN w:val="0"/>
              <w:adjustRightInd w:val="0"/>
              <w:snapToGrid w:val="0"/>
              <w:spacing w:line="280" w:lineRule="exact"/>
              <w:rPr>
                <w:rFonts w:hint="eastAsia" w:ascii="宋体" w:hAnsi="宋体" w:eastAsia="宋体" w:cs="宋体"/>
                <w:sz w:val="21"/>
                <w:szCs w:val="21"/>
              </w:rPr>
            </w:pPr>
          </w:p>
        </w:tc>
      </w:tr>
      <w:tr w14:paraId="47429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70" w:hRule="atLeast"/>
          <w:jc w:val="center"/>
        </w:trPr>
        <w:tc>
          <w:tcPr>
            <w:tcW w:w="183" w:type="pct"/>
            <w:noWrap w:val="0"/>
            <w:vAlign w:val="center"/>
          </w:tcPr>
          <w:p w14:paraId="52DD1F9E">
            <w:pPr>
              <w:widowControl/>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25</w:t>
            </w:r>
          </w:p>
        </w:tc>
        <w:tc>
          <w:tcPr>
            <w:tcW w:w="352" w:type="pct"/>
            <w:noWrap w:val="0"/>
            <w:vAlign w:val="center"/>
          </w:tcPr>
          <w:p w14:paraId="62AC469A">
            <w:pPr>
              <w:widowControl/>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保健食品</w:t>
            </w:r>
          </w:p>
        </w:tc>
        <w:tc>
          <w:tcPr>
            <w:tcW w:w="484" w:type="pct"/>
            <w:noWrap w:val="0"/>
            <w:vAlign w:val="center"/>
          </w:tcPr>
          <w:p w14:paraId="568291AD">
            <w:pPr>
              <w:widowControl/>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保健食品</w:t>
            </w:r>
          </w:p>
        </w:tc>
        <w:tc>
          <w:tcPr>
            <w:tcW w:w="557" w:type="pct"/>
            <w:noWrap w:val="0"/>
            <w:vAlign w:val="center"/>
          </w:tcPr>
          <w:p w14:paraId="0EA5B039">
            <w:pPr>
              <w:widowControl/>
              <w:kinsoku w:val="0"/>
              <w:autoSpaceDE w:val="0"/>
              <w:autoSpaceDN w:val="0"/>
              <w:adjustRightInd w:val="0"/>
              <w:snapToGrid w:val="0"/>
              <w:spacing w:line="24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保健食品</w:t>
            </w:r>
          </w:p>
        </w:tc>
        <w:tc>
          <w:tcPr>
            <w:tcW w:w="572" w:type="pct"/>
            <w:noWrap w:val="0"/>
            <w:vAlign w:val="center"/>
          </w:tcPr>
          <w:p w14:paraId="707C99E8">
            <w:pPr>
              <w:widowControl/>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保健食品</w:t>
            </w:r>
          </w:p>
        </w:tc>
        <w:tc>
          <w:tcPr>
            <w:tcW w:w="180" w:type="pct"/>
            <w:noWrap w:val="0"/>
            <w:vAlign w:val="center"/>
          </w:tcPr>
          <w:p w14:paraId="31F68394">
            <w:pPr>
              <w:widowControl/>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279D0BF6">
            <w:pPr>
              <w:widowControl/>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丹参酮ⅡA、软胶囊壳中的铬、桔青霉素、邻苯二甲酸二正丁酯（DBP）、番泻苷A、番泻苷B、大黄酚、大黄素、匹可硫酸钠、伪麻黄碱、甲基麻黄碱、麻黄碱、芬氟拉明、酚酞、甲苯磺丁脲、格列本脲、格列齐特、格列吡嗪、格列喹酮、格列美脲、罗格列酮、瑞格列奈、吡格列酮、二甲双胍、苯乙双胍、丁二胍、格列波脲、阿替洛尔、可乐定、氢氯噻嗪、卡托普利、哌唑嗪、利血平、硝苯地平、氨氯地平、尼群地平、尼莫地平、尼索地平、非洛地平、辛伐他汀、苯甲酸及其钠盐（以苯甲酸计）、安赛蜜、甜蜜素（以环己基氨基磺酸计）、三氯蔗糖</w:t>
            </w:r>
          </w:p>
        </w:tc>
        <w:tc>
          <w:tcPr>
            <w:tcW w:w="1024" w:type="pct"/>
            <w:noWrap w:val="0"/>
            <w:vAlign w:val="center"/>
          </w:tcPr>
          <w:p w14:paraId="793ABFC3">
            <w:pPr>
              <w:kinsoku w:val="0"/>
              <w:autoSpaceDE w:val="0"/>
              <w:autoSpaceDN w:val="0"/>
              <w:adjustRightInd w:val="0"/>
              <w:snapToGrid w:val="0"/>
              <w:spacing w:line="280" w:lineRule="exact"/>
              <w:rPr>
                <w:rFonts w:hint="eastAsia" w:ascii="宋体" w:hAnsi="宋体" w:eastAsia="宋体" w:cs="宋体"/>
                <w:sz w:val="21"/>
                <w:szCs w:val="21"/>
              </w:rPr>
            </w:pPr>
          </w:p>
        </w:tc>
      </w:tr>
      <w:tr w14:paraId="26B11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6EFD307A">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napToGrid w:val="0"/>
                <w:kern w:val="0"/>
                <w:sz w:val="21"/>
                <w:szCs w:val="21"/>
                <w:lang w:bidi="ar"/>
              </w:rPr>
              <w:t>26</w:t>
            </w:r>
          </w:p>
        </w:tc>
        <w:tc>
          <w:tcPr>
            <w:tcW w:w="352" w:type="pct"/>
            <w:vMerge w:val="restart"/>
            <w:noWrap w:val="0"/>
            <w:vAlign w:val="center"/>
          </w:tcPr>
          <w:p w14:paraId="2BEE8BCB">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特殊膳食食品</w:t>
            </w:r>
          </w:p>
        </w:tc>
        <w:tc>
          <w:tcPr>
            <w:tcW w:w="484" w:type="pct"/>
            <w:noWrap w:val="0"/>
            <w:vAlign w:val="center"/>
          </w:tcPr>
          <w:p w14:paraId="731B6AA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婴幼儿辅助食品</w:t>
            </w:r>
          </w:p>
        </w:tc>
        <w:tc>
          <w:tcPr>
            <w:tcW w:w="557" w:type="pct"/>
            <w:noWrap w:val="0"/>
            <w:vAlign w:val="center"/>
          </w:tcPr>
          <w:p w14:paraId="01933CE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婴幼儿谷类辅助食品</w:t>
            </w:r>
          </w:p>
        </w:tc>
        <w:tc>
          <w:tcPr>
            <w:tcW w:w="572" w:type="pct"/>
            <w:noWrap w:val="0"/>
            <w:vAlign w:val="center"/>
          </w:tcPr>
          <w:p w14:paraId="43434B32">
            <w:pPr>
              <w:kinsoku w:val="0"/>
              <w:autoSpaceDE w:val="0"/>
              <w:autoSpaceDN w:val="0"/>
              <w:adjustRightInd w:val="0"/>
              <w:snapToGrid w:val="0"/>
              <w:spacing w:line="28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婴幼儿谷物辅助食品、婴幼儿高蛋白谷物辅助食品、婴幼儿生制类谷物辅助食品、其他婴幼儿谷物辅助食品</w:t>
            </w:r>
          </w:p>
        </w:tc>
        <w:tc>
          <w:tcPr>
            <w:tcW w:w="180" w:type="pct"/>
            <w:noWrap w:val="0"/>
            <w:vAlign w:val="center"/>
          </w:tcPr>
          <w:p w14:paraId="4FCF4B49">
            <w:pPr>
              <w:kinsoku w:val="0"/>
              <w:autoSpaceDE w:val="0"/>
              <w:autoSpaceDN w:val="0"/>
              <w:adjustRightInd w:val="0"/>
              <w:snapToGrid w:val="0"/>
              <w:spacing w:line="28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2D580EEF">
            <w:pPr>
              <w:kinsoku w:val="0"/>
              <w:autoSpaceDE w:val="0"/>
              <w:autoSpaceDN w:val="0"/>
              <w:adjustRightInd w:val="0"/>
              <w:snapToGrid w:val="0"/>
              <w:spacing w:line="28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脱氧雪腐镰刀菌烯醇、邻苯二甲酸二正丁酯（DBP）、邻苯二甲酸二（2-乙基）己酯（DEHP）</w:t>
            </w:r>
          </w:p>
        </w:tc>
        <w:tc>
          <w:tcPr>
            <w:tcW w:w="1024" w:type="pct"/>
            <w:noWrap w:val="0"/>
            <w:vAlign w:val="center"/>
          </w:tcPr>
          <w:p w14:paraId="3A03F89B">
            <w:pPr>
              <w:kinsoku w:val="0"/>
              <w:autoSpaceDE w:val="0"/>
              <w:autoSpaceDN w:val="0"/>
              <w:adjustRightInd w:val="0"/>
              <w:snapToGrid w:val="0"/>
              <w:spacing w:line="260" w:lineRule="exact"/>
              <w:rPr>
                <w:rFonts w:hint="eastAsia" w:ascii="宋体" w:hAnsi="宋体" w:eastAsia="宋体" w:cs="宋体"/>
                <w:sz w:val="21"/>
                <w:szCs w:val="21"/>
              </w:rPr>
            </w:pPr>
          </w:p>
        </w:tc>
      </w:tr>
      <w:tr w14:paraId="6618E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25BEF3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352" w:type="pct"/>
            <w:vMerge w:val="continue"/>
            <w:noWrap w:val="0"/>
            <w:vAlign w:val="center"/>
          </w:tcPr>
          <w:p w14:paraId="47DC12E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noWrap w:val="0"/>
            <w:vAlign w:val="center"/>
          </w:tcPr>
          <w:p w14:paraId="56CD725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营养补充品</w:t>
            </w:r>
          </w:p>
        </w:tc>
        <w:tc>
          <w:tcPr>
            <w:tcW w:w="557" w:type="pct"/>
            <w:noWrap w:val="0"/>
            <w:vAlign w:val="center"/>
          </w:tcPr>
          <w:p w14:paraId="0842173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营养补充品</w:t>
            </w:r>
          </w:p>
        </w:tc>
        <w:tc>
          <w:tcPr>
            <w:tcW w:w="572" w:type="pct"/>
            <w:noWrap w:val="0"/>
            <w:vAlign w:val="center"/>
          </w:tcPr>
          <w:p w14:paraId="62B91B44">
            <w:pPr>
              <w:kinsoku w:val="0"/>
              <w:autoSpaceDE w:val="0"/>
              <w:autoSpaceDN w:val="0"/>
              <w:adjustRightInd w:val="0"/>
              <w:snapToGrid w:val="0"/>
              <w:spacing w:line="24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运动营养食品</w:t>
            </w:r>
          </w:p>
        </w:tc>
        <w:tc>
          <w:tcPr>
            <w:tcW w:w="180" w:type="pct"/>
            <w:noWrap w:val="0"/>
            <w:vAlign w:val="center"/>
          </w:tcPr>
          <w:p w14:paraId="625C692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高</w:t>
            </w:r>
          </w:p>
        </w:tc>
        <w:tc>
          <w:tcPr>
            <w:tcW w:w="1644" w:type="pct"/>
            <w:noWrap w:val="0"/>
            <w:vAlign w:val="center"/>
          </w:tcPr>
          <w:p w14:paraId="1626170E">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邻苯二甲酸二正丁酯（DBP）</w:t>
            </w:r>
          </w:p>
        </w:tc>
        <w:tc>
          <w:tcPr>
            <w:tcW w:w="1024" w:type="pct"/>
            <w:noWrap w:val="0"/>
            <w:vAlign w:val="center"/>
          </w:tcPr>
          <w:p w14:paraId="78941B5C">
            <w:pPr>
              <w:kinsoku w:val="0"/>
              <w:autoSpaceDE w:val="0"/>
              <w:autoSpaceDN w:val="0"/>
              <w:adjustRightInd w:val="0"/>
              <w:snapToGrid w:val="0"/>
              <w:spacing w:line="260" w:lineRule="exact"/>
              <w:rPr>
                <w:rFonts w:hint="eastAsia" w:ascii="宋体" w:hAnsi="宋体" w:eastAsia="宋体" w:cs="宋体"/>
                <w:sz w:val="21"/>
                <w:szCs w:val="21"/>
              </w:rPr>
            </w:pPr>
          </w:p>
        </w:tc>
      </w:tr>
      <w:tr w14:paraId="3D6D8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192ED987">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27</w:t>
            </w:r>
          </w:p>
        </w:tc>
        <w:tc>
          <w:tcPr>
            <w:tcW w:w="352" w:type="pct"/>
            <w:vMerge w:val="restart"/>
            <w:noWrap w:val="0"/>
            <w:vAlign w:val="center"/>
          </w:tcPr>
          <w:p w14:paraId="2A63260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餐饮食品</w:t>
            </w:r>
          </w:p>
        </w:tc>
        <w:tc>
          <w:tcPr>
            <w:tcW w:w="484" w:type="pct"/>
            <w:vMerge w:val="restart"/>
            <w:noWrap w:val="0"/>
            <w:vAlign w:val="center"/>
          </w:tcPr>
          <w:p w14:paraId="5D4043A8">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米面及其制品</w:t>
            </w:r>
          </w:p>
          <w:p w14:paraId="68BCC71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557" w:type="pct"/>
            <w:vMerge w:val="restart"/>
            <w:noWrap w:val="0"/>
            <w:vAlign w:val="center"/>
          </w:tcPr>
          <w:p w14:paraId="71778B78">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小麦粉制品</w:t>
            </w:r>
          </w:p>
          <w:p w14:paraId="6292DA4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746648AA">
            <w:pPr>
              <w:kinsoku w:val="0"/>
              <w:autoSpaceDE w:val="0"/>
              <w:autoSpaceDN w:val="0"/>
              <w:adjustRightInd w:val="0"/>
              <w:snapToGrid w:val="0"/>
              <w:spacing w:line="24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馒头花卷</w:t>
            </w:r>
          </w:p>
          <w:p w14:paraId="20AEB1B9">
            <w:pPr>
              <w:kinsoku w:val="0"/>
              <w:autoSpaceDE w:val="0"/>
              <w:autoSpaceDN w:val="0"/>
              <w:adjustRightInd w:val="0"/>
              <w:snapToGrid w:val="0"/>
              <w:spacing w:line="24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3C1917B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1C77FB86">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铝的残留量（干样品，以</w:t>
            </w:r>
            <w:r>
              <w:rPr>
                <w:rStyle w:val="86"/>
                <w:rFonts w:hint="eastAsia" w:ascii="宋体" w:hAnsi="宋体" w:eastAsia="宋体" w:cs="宋体"/>
                <w:b w:val="0"/>
                <w:snapToGrid w:val="0"/>
                <w:color w:val="auto"/>
                <w:sz w:val="21"/>
                <w:szCs w:val="21"/>
                <w:lang w:bidi="ar"/>
              </w:rPr>
              <w:t>Al</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450A0AE0">
            <w:pPr>
              <w:kinsoku w:val="0"/>
              <w:autoSpaceDE w:val="0"/>
              <w:autoSpaceDN w:val="0"/>
              <w:adjustRightInd w:val="0"/>
              <w:snapToGrid w:val="0"/>
              <w:spacing w:line="260" w:lineRule="exact"/>
              <w:rPr>
                <w:rFonts w:hint="eastAsia" w:ascii="宋体" w:hAnsi="宋体" w:eastAsia="宋体" w:cs="宋体"/>
                <w:sz w:val="21"/>
                <w:szCs w:val="21"/>
              </w:rPr>
            </w:pPr>
          </w:p>
        </w:tc>
      </w:tr>
      <w:tr w14:paraId="21DA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0D0DD8D3">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68B50DE9">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14FB8F9B">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C4D0862">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1EDB3694">
            <w:pPr>
              <w:kinsoku w:val="0"/>
              <w:autoSpaceDE w:val="0"/>
              <w:autoSpaceDN w:val="0"/>
              <w:adjustRightInd w:val="0"/>
              <w:snapToGrid w:val="0"/>
              <w:spacing w:line="24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包子（自制）</w:t>
            </w:r>
          </w:p>
        </w:tc>
        <w:tc>
          <w:tcPr>
            <w:tcW w:w="180" w:type="pct"/>
            <w:noWrap w:val="0"/>
            <w:vAlign w:val="center"/>
          </w:tcPr>
          <w:p w14:paraId="62E80878">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一般</w:t>
            </w:r>
          </w:p>
        </w:tc>
        <w:tc>
          <w:tcPr>
            <w:tcW w:w="1644" w:type="pct"/>
            <w:noWrap w:val="0"/>
            <w:vAlign w:val="center"/>
          </w:tcPr>
          <w:p w14:paraId="61780F72">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铝的残留量（干样品，以</w:t>
            </w:r>
            <w:r>
              <w:rPr>
                <w:rStyle w:val="86"/>
                <w:rFonts w:hint="eastAsia" w:ascii="宋体" w:hAnsi="宋体" w:eastAsia="宋体" w:cs="宋体"/>
                <w:b w:val="0"/>
                <w:snapToGrid w:val="0"/>
                <w:color w:val="auto"/>
                <w:sz w:val="21"/>
                <w:szCs w:val="21"/>
                <w:lang w:bidi="ar"/>
              </w:rPr>
              <w:t>Al</w:t>
            </w:r>
            <w:r>
              <w:rPr>
                <w:rStyle w:val="88"/>
                <w:rFonts w:hint="eastAsia" w:ascii="宋体" w:hAnsi="宋体" w:eastAsia="宋体" w:cs="宋体"/>
                <w:snapToGrid w:val="0"/>
                <w:color w:val="auto"/>
                <w:sz w:val="21"/>
                <w:szCs w:val="21"/>
                <w:vertAlign w:val="baseline"/>
                <w:lang w:bidi="ar"/>
              </w:rPr>
              <w:t>计）</w:t>
            </w:r>
          </w:p>
        </w:tc>
        <w:tc>
          <w:tcPr>
            <w:tcW w:w="1024" w:type="pct"/>
            <w:noWrap w:val="0"/>
            <w:vAlign w:val="center"/>
          </w:tcPr>
          <w:p w14:paraId="16065494">
            <w:pPr>
              <w:kinsoku w:val="0"/>
              <w:autoSpaceDE w:val="0"/>
              <w:autoSpaceDN w:val="0"/>
              <w:adjustRightInd w:val="0"/>
              <w:snapToGrid w:val="0"/>
              <w:spacing w:line="260" w:lineRule="exact"/>
              <w:rPr>
                <w:rFonts w:hint="eastAsia" w:ascii="宋体" w:hAnsi="宋体" w:eastAsia="宋体" w:cs="宋体"/>
                <w:sz w:val="21"/>
                <w:szCs w:val="21"/>
              </w:rPr>
            </w:pPr>
          </w:p>
        </w:tc>
      </w:tr>
      <w:tr w14:paraId="1B37C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02F8F20B">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FA21E41">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35833939">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68C149E1">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27CBE63">
            <w:pPr>
              <w:kinsoku w:val="0"/>
              <w:autoSpaceDE w:val="0"/>
              <w:autoSpaceDN w:val="0"/>
              <w:adjustRightInd w:val="0"/>
              <w:snapToGrid w:val="0"/>
              <w:spacing w:line="24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凉皮类（自制）</w:t>
            </w:r>
          </w:p>
        </w:tc>
        <w:tc>
          <w:tcPr>
            <w:tcW w:w="180" w:type="pct"/>
            <w:noWrap w:val="0"/>
            <w:vAlign w:val="center"/>
          </w:tcPr>
          <w:p w14:paraId="6ECF6AF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491A375F">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铝的残留量（干样品，以</w:t>
            </w:r>
            <w:r>
              <w:rPr>
                <w:rStyle w:val="86"/>
                <w:rFonts w:hint="eastAsia" w:ascii="宋体" w:hAnsi="宋体" w:eastAsia="宋体" w:cs="宋体"/>
                <w:b w:val="0"/>
                <w:snapToGrid w:val="0"/>
                <w:color w:val="auto"/>
                <w:sz w:val="21"/>
                <w:szCs w:val="21"/>
                <w:lang w:bidi="ar"/>
              </w:rPr>
              <w:t>Al</w:t>
            </w:r>
            <w:r>
              <w:rPr>
                <w:rStyle w:val="88"/>
                <w:rFonts w:hint="eastAsia" w:ascii="宋体" w:hAnsi="宋体" w:eastAsia="宋体" w:cs="宋体"/>
                <w:snapToGrid w:val="0"/>
                <w:color w:val="auto"/>
                <w:sz w:val="21"/>
                <w:szCs w:val="21"/>
                <w:vertAlign w:val="baseline"/>
                <w:lang w:bidi="ar"/>
              </w:rPr>
              <w:t>计）、硼酸</w:t>
            </w:r>
          </w:p>
        </w:tc>
        <w:tc>
          <w:tcPr>
            <w:tcW w:w="1024" w:type="pct"/>
            <w:noWrap w:val="0"/>
            <w:vAlign w:val="center"/>
          </w:tcPr>
          <w:p w14:paraId="2E0C8C5B">
            <w:pPr>
              <w:kinsoku w:val="0"/>
              <w:autoSpaceDE w:val="0"/>
              <w:autoSpaceDN w:val="0"/>
              <w:adjustRightInd w:val="0"/>
              <w:snapToGrid w:val="0"/>
              <w:spacing w:line="260" w:lineRule="exact"/>
              <w:rPr>
                <w:rFonts w:hint="eastAsia" w:ascii="宋体" w:hAnsi="宋体" w:eastAsia="宋体" w:cs="宋体"/>
                <w:sz w:val="21"/>
                <w:szCs w:val="21"/>
              </w:rPr>
            </w:pPr>
          </w:p>
        </w:tc>
      </w:tr>
      <w:tr w14:paraId="0DD3F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E7A64AF">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5CDAFB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C6DBED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6B19595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1EE63405">
            <w:pPr>
              <w:kinsoku w:val="0"/>
              <w:autoSpaceDE w:val="0"/>
              <w:autoSpaceDN w:val="0"/>
              <w:adjustRightInd w:val="0"/>
              <w:snapToGrid w:val="0"/>
              <w:spacing w:line="24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其他生制面制品（自制）</w:t>
            </w:r>
          </w:p>
        </w:tc>
        <w:tc>
          <w:tcPr>
            <w:tcW w:w="180" w:type="pct"/>
            <w:noWrap w:val="0"/>
            <w:vAlign w:val="center"/>
          </w:tcPr>
          <w:p w14:paraId="19A89C9D">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6274FF68">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157A3F55">
            <w:pPr>
              <w:kinsoku w:val="0"/>
              <w:autoSpaceDE w:val="0"/>
              <w:autoSpaceDN w:val="0"/>
              <w:adjustRightInd w:val="0"/>
              <w:snapToGrid w:val="0"/>
              <w:spacing w:line="260" w:lineRule="exact"/>
              <w:rPr>
                <w:rFonts w:hint="eastAsia" w:ascii="宋体" w:hAnsi="宋体" w:eastAsia="宋体" w:cs="宋体"/>
                <w:sz w:val="21"/>
                <w:szCs w:val="21"/>
              </w:rPr>
            </w:pPr>
          </w:p>
        </w:tc>
      </w:tr>
      <w:tr w14:paraId="7A8A8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43674792">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7FC96B3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AEA3AF1">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restart"/>
            <w:noWrap w:val="0"/>
            <w:vAlign w:val="center"/>
          </w:tcPr>
          <w:p w14:paraId="5A89E0BD">
            <w:pPr>
              <w:kinsoku w:val="0"/>
              <w:autoSpaceDE w:val="0"/>
              <w:autoSpaceDN w:val="0"/>
              <w:adjustRightInd w:val="0"/>
              <w:snapToGrid w:val="0"/>
              <w:spacing w:line="260" w:lineRule="exact"/>
              <w:jc w:val="center"/>
              <w:rPr>
                <w:rFonts w:hint="eastAsia" w:ascii="宋体" w:hAnsi="宋体" w:eastAsia="宋体" w:cs="宋体"/>
                <w:spacing w:val="-3"/>
                <w:sz w:val="21"/>
                <w:szCs w:val="21"/>
              </w:rPr>
            </w:pPr>
            <w:r>
              <w:rPr>
                <w:rFonts w:hint="eastAsia" w:ascii="宋体" w:hAnsi="宋体" w:eastAsia="宋体" w:cs="宋体"/>
                <w:spacing w:val="-3"/>
                <w:sz w:val="21"/>
                <w:szCs w:val="21"/>
              </w:rPr>
              <w:t>大米制品（自制）</w:t>
            </w:r>
          </w:p>
        </w:tc>
        <w:tc>
          <w:tcPr>
            <w:tcW w:w="572" w:type="pct"/>
            <w:noWrap w:val="0"/>
            <w:vAlign w:val="center"/>
          </w:tcPr>
          <w:p w14:paraId="4C74305D">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米皮类</w:t>
            </w:r>
          </w:p>
          <w:p w14:paraId="23B9103D">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5F0A2FB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5E4E3272">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70AEA393">
            <w:pPr>
              <w:kinsoku w:val="0"/>
              <w:autoSpaceDE w:val="0"/>
              <w:autoSpaceDN w:val="0"/>
              <w:adjustRightInd w:val="0"/>
              <w:snapToGrid w:val="0"/>
              <w:spacing w:line="260" w:lineRule="exact"/>
              <w:rPr>
                <w:rFonts w:hint="eastAsia" w:ascii="宋体" w:hAnsi="宋体" w:eastAsia="宋体" w:cs="宋体"/>
                <w:sz w:val="21"/>
                <w:szCs w:val="21"/>
              </w:rPr>
            </w:pPr>
          </w:p>
        </w:tc>
      </w:tr>
      <w:tr w14:paraId="0A98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0701BC77">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32A7BC24">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continue"/>
            <w:noWrap w:val="0"/>
            <w:vAlign w:val="center"/>
          </w:tcPr>
          <w:p w14:paraId="56BF6CF0">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57" w:type="pct"/>
            <w:vMerge w:val="continue"/>
            <w:noWrap w:val="0"/>
            <w:vAlign w:val="center"/>
          </w:tcPr>
          <w:p w14:paraId="7472DF56">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72" w:type="pct"/>
            <w:noWrap w:val="0"/>
            <w:vAlign w:val="center"/>
          </w:tcPr>
          <w:p w14:paraId="3D366353">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发酵米粉制品</w:t>
            </w:r>
          </w:p>
          <w:p w14:paraId="1CD8DFE9">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56232AE4">
            <w:pPr>
              <w:kinsoku w:val="0"/>
              <w:autoSpaceDE w:val="0"/>
              <w:autoSpaceDN w:val="0"/>
              <w:adjustRightInd w:val="0"/>
              <w:snapToGrid w:val="0"/>
              <w:spacing w:line="32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2DC8EC9E">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755CCE81">
            <w:pPr>
              <w:kinsoku w:val="0"/>
              <w:autoSpaceDE w:val="0"/>
              <w:autoSpaceDN w:val="0"/>
              <w:adjustRightInd w:val="0"/>
              <w:snapToGrid w:val="0"/>
              <w:spacing w:line="320" w:lineRule="exact"/>
              <w:rPr>
                <w:rFonts w:hint="eastAsia" w:ascii="宋体" w:hAnsi="宋体" w:eastAsia="宋体" w:cs="宋体"/>
                <w:sz w:val="21"/>
                <w:szCs w:val="21"/>
              </w:rPr>
            </w:pPr>
          </w:p>
        </w:tc>
      </w:tr>
      <w:tr w14:paraId="4070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4B1BF1E1">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3C34FD59">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continue"/>
            <w:noWrap w:val="0"/>
            <w:vAlign w:val="center"/>
          </w:tcPr>
          <w:p w14:paraId="654ED730">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57" w:type="pct"/>
            <w:vMerge w:val="continue"/>
            <w:noWrap w:val="0"/>
            <w:vAlign w:val="center"/>
          </w:tcPr>
          <w:p w14:paraId="31BBDE94">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72" w:type="pct"/>
            <w:noWrap w:val="0"/>
            <w:vAlign w:val="center"/>
          </w:tcPr>
          <w:p w14:paraId="3803CC0C">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其他米类制品</w:t>
            </w:r>
          </w:p>
          <w:p w14:paraId="4E348C36">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1142CECF">
            <w:pPr>
              <w:kinsoku w:val="0"/>
              <w:autoSpaceDE w:val="0"/>
              <w:autoSpaceDN w:val="0"/>
              <w:adjustRightInd w:val="0"/>
              <w:snapToGrid w:val="0"/>
              <w:spacing w:line="32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76320477">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103A26B4">
            <w:pPr>
              <w:kinsoku w:val="0"/>
              <w:autoSpaceDE w:val="0"/>
              <w:autoSpaceDN w:val="0"/>
              <w:adjustRightInd w:val="0"/>
              <w:snapToGrid w:val="0"/>
              <w:spacing w:line="320" w:lineRule="exact"/>
              <w:rPr>
                <w:rFonts w:hint="eastAsia" w:ascii="宋体" w:hAnsi="宋体" w:eastAsia="宋体" w:cs="宋体"/>
                <w:sz w:val="21"/>
                <w:szCs w:val="21"/>
              </w:rPr>
            </w:pPr>
          </w:p>
        </w:tc>
      </w:tr>
      <w:tr w14:paraId="3F117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79" w:hRule="atLeast"/>
          <w:jc w:val="center"/>
        </w:trPr>
        <w:tc>
          <w:tcPr>
            <w:tcW w:w="183" w:type="pct"/>
            <w:vMerge w:val="continue"/>
            <w:noWrap w:val="0"/>
            <w:vAlign w:val="center"/>
          </w:tcPr>
          <w:p w14:paraId="56C64F5F">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30F7341B">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restart"/>
            <w:noWrap w:val="0"/>
            <w:vAlign w:val="center"/>
          </w:tcPr>
          <w:p w14:paraId="6DB28B1F">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肉制品</w:t>
            </w:r>
          </w:p>
          <w:p w14:paraId="28D14AC5">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557" w:type="pct"/>
            <w:vMerge w:val="restart"/>
            <w:noWrap w:val="0"/>
            <w:vAlign w:val="center"/>
          </w:tcPr>
          <w:p w14:paraId="561154F3">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熟肉制品</w:t>
            </w:r>
          </w:p>
          <w:p w14:paraId="4F1B8A81">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31C6C3E5">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酱卤肉制品</w:t>
            </w:r>
          </w:p>
          <w:p w14:paraId="520AC21F">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5D27C400">
            <w:pPr>
              <w:kinsoku w:val="0"/>
              <w:autoSpaceDE w:val="0"/>
              <w:autoSpaceDN w:val="0"/>
              <w:adjustRightInd w:val="0"/>
              <w:snapToGrid w:val="0"/>
              <w:spacing w:line="32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10643897">
            <w:pPr>
              <w:kinsoku w:val="0"/>
              <w:autoSpaceDE w:val="0"/>
              <w:autoSpaceDN w:val="0"/>
              <w:adjustRightInd w:val="0"/>
              <w:snapToGrid w:val="0"/>
              <w:spacing w:line="32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亚硝酸盐（以亚硝酸钠计）、胭脂红、苯甲酸及其钠盐（以苯甲酸计）、山梨酸及其钾盐（以山梨酸计）、</w:t>
            </w:r>
            <w:r>
              <w:rPr>
                <w:rFonts w:hint="eastAsia" w:ascii="宋体" w:hAnsi="宋体" w:eastAsia="宋体" w:cs="宋体"/>
                <w:snapToGrid w:val="0"/>
                <w:kern w:val="0"/>
                <w:sz w:val="21"/>
                <w:szCs w:val="21"/>
                <w:lang w:bidi="ar"/>
              </w:rPr>
              <w:t>动物源性成分（牛、羊、猪、鸡、鸭、驴、马）</w:t>
            </w:r>
            <w:r>
              <w:rPr>
                <w:rStyle w:val="88"/>
                <w:rFonts w:hint="eastAsia" w:ascii="宋体" w:hAnsi="宋体" w:eastAsia="宋体" w:cs="宋体"/>
                <w:snapToGrid w:val="0"/>
                <w:color w:val="auto"/>
                <w:sz w:val="21"/>
                <w:szCs w:val="21"/>
                <w:vertAlign w:val="baseline"/>
                <w:lang w:bidi="ar"/>
              </w:rPr>
              <w:t>、阿奇霉素、日落黄</w:t>
            </w:r>
          </w:p>
        </w:tc>
        <w:tc>
          <w:tcPr>
            <w:tcW w:w="1024" w:type="pct"/>
            <w:noWrap w:val="0"/>
            <w:vAlign w:val="center"/>
          </w:tcPr>
          <w:p w14:paraId="3FA06DBA">
            <w:pPr>
              <w:kinsoku w:val="0"/>
              <w:autoSpaceDE w:val="0"/>
              <w:autoSpaceDN w:val="0"/>
              <w:adjustRightInd w:val="0"/>
              <w:snapToGrid w:val="0"/>
              <w:spacing w:line="320" w:lineRule="exact"/>
              <w:rPr>
                <w:rFonts w:hint="eastAsia" w:ascii="宋体" w:hAnsi="宋体" w:eastAsia="宋体" w:cs="宋体"/>
                <w:sz w:val="21"/>
                <w:szCs w:val="21"/>
              </w:rPr>
            </w:pPr>
          </w:p>
        </w:tc>
      </w:tr>
      <w:tr w14:paraId="6F2E3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20" w:hRule="atLeast"/>
          <w:jc w:val="center"/>
        </w:trPr>
        <w:tc>
          <w:tcPr>
            <w:tcW w:w="183" w:type="pct"/>
            <w:vMerge w:val="continue"/>
            <w:noWrap w:val="0"/>
            <w:vAlign w:val="center"/>
          </w:tcPr>
          <w:p w14:paraId="0F6DE696">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217B67F3">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continue"/>
            <w:noWrap w:val="0"/>
            <w:vAlign w:val="center"/>
          </w:tcPr>
          <w:p w14:paraId="417F80F6">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57" w:type="pct"/>
            <w:vMerge w:val="continue"/>
            <w:noWrap w:val="0"/>
            <w:vAlign w:val="center"/>
          </w:tcPr>
          <w:p w14:paraId="10E315AA">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72" w:type="pct"/>
            <w:noWrap w:val="0"/>
            <w:vAlign w:val="center"/>
          </w:tcPr>
          <w:p w14:paraId="53C2ED31">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熏烧烤肉类</w:t>
            </w:r>
          </w:p>
          <w:p w14:paraId="0CCEFF1D">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46F464C9">
            <w:pPr>
              <w:kinsoku w:val="0"/>
              <w:autoSpaceDE w:val="0"/>
              <w:autoSpaceDN w:val="0"/>
              <w:adjustRightInd w:val="0"/>
              <w:snapToGrid w:val="0"/>
              <w:spacing w:line="32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0076096F">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Fonts w:hint="eastAsia" w:ascii="宋体" w:hAnsi="宋体" w:eastAsia="宋体" w:cs="宋体"/>
                <w:snapToGrid w:val="0"/>
                <w:kern w:val="0"/>
                <w:sz w:val="21"/>
                <w:szCs w:val="21"/>
                <w:lang w:bidi="ar"/>
              </w:rPr>
              <w:t>动物源性成分（牛、羊、猪、鸡、鸭）</w:t>
            </w:r>
            <w:r>
              <w:rPr>
                <w:rStyle w:val="88"/>
                <w:rFonts w:hint="eastAsia" w:ascii="宋体" w:hAnsi="宋体" w:eastAsia="宋体" w:cs="宋体"/>
                <w:snapToGrid w:val="0"/>
                <w:color w:val="auto"/>
                <w:sz w:val="21"/>
                <w:szCs w:val="21"/>
                <w:vertAlign w:val="baseline"/>
                <w:lang w:bidi="ar"/>
              </w:rPr>
              <w:t>、阿奇霉素</w:t>
            </w:r>
          </w:p>
        </w:tc>
        <w:tc>
          <w:tcPr>
            <w:tcW w:w="1024" w:type="pct"/>
            <w:noWrap w:val="0"/>
            <w:vAlign w:val="center"/>
          </w:tcPr>
          <w:p w14:paraId="0DFFAAA3">
            <w:pPr>
              <w:kinsoku w:val="0"/>
              <w:autoSpaceDE w:val="0"/>
              <w:autoSpaceDN w:val="0"/>
              <w:adjustRightInd w:val="0"/>
              <w:snapToGrid w:val="0"/>
              <w:spacing w:line="320" w:lineRule="exact"/>
              <w:rPr>
                <w:rFonts w:hint="eastAsia" w:ascii="宋体" w:hAnsi="宋体" w:eastAsia="宋体" w:cs="宋体"/>
                <w:sz w:val="21"/>
                <w:szCs w:val="21"/>
              </w:rPr>
            </w:pPr>
          </w:p>
        </w:tc>
      </w:tr>
      <w:tr w14:paraId="0ACF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63" w:hRule="atLeast"/>
          <w:jc w:val="center"/>
        </w:trPr>
        <w:tc>
          <w:tcPr>
            <w:tcW w:w="183" w:type="pct"/>
            <w:vMerge w:val="restart"/>
            <w:noWrap w:val="0"/>
            <w:vAlign w:val="center"/>
          </w:tcPr>
          <w:p w14:paraId="757FE687">
            <w:pPr>
              <w:kinsoku w:val="0"/>
              <w:autoSpaceDE w:val="0"/>
              <w:autoSpaceDN w:val="0"/>
              <w:adjustRightInd w:val="0"/>
              <w:snapToGrid w:val="0"/>
              <w:spacing w:line="320" w:lineRule="exact"/>
              <w:jc w:val="center"/>
              <w:rPr>
                <w:rFonts w:hint="eastAsia" w:ascii="宋体" w:hAnsi="宋体" w:eastAsia="宋体" w:cs="宋体"/>
                <w:sz w:val="21"/>
                <w:szCs w:val="21"/>
              </w:rPr>
            </w:pPr>
            <w:r>
              <w:rPr>
                <w:rFonts w:hint="eastAsia" w:ascii="宋体" w:hAnsi="宋体" w:eastAsia="宋体" w:cs="宋体"/>
                <w:sz w:val="21"/>
                <w:szCs w:val="21"/>
              </w:rPr>
              <w:t>27</w:t>
            </w:r>
          </w:p>
        </w:tc>
        <w:tc>
          <w:tcPr>
            <w:tcW w:w="352" w:type="pct"/>
            <w:vMerge w:val="restart"/>
            <w:noWrap w:val="0"/>
            <w:vAlign w:val="center"/>
          </w:tcPr>
          <w:p w14:paraId="59F1AD6D">
            <w:pPr>
              <w:kinsoku w:val="0"/>
              <w:autoSpaceDE w:val="0"/>
              <w:autoSpaceDN w:val="0"/>
              <w:adjustRightInd w:val="0"/>
              <w:snapToGrid w:val="0"/>
              <w:spacing w:line="320" w:lineRule="exact"/>
              <w:jc w:val="center"/>
              <w:rPr>
                <w:rFonts w:hint="eastAsia" w:ascii="宋体" w:hAnsi="宋体" w:eastAsia="宋体" w:cs="宋体"/>
                <w:spacing w:val="3"/>
                <w:sz w:val="21"/>
                <w:szCs w:val="21"/>
              </w:rPr>
            </w:pPr>
            <w:r>
              <w:rPr>
                <w:rFonts w:hint="eastAsia" w:ascii="宋体" w:hAnsi="宋体" w:eastAsia="宋体" w:cs="宋体"/>
                <w:spacing w:val="3"/>
                <w:sz w:val="21"/>
                <w:szCs w:val="21"/>
              </w:rPr>
              <w:t>餐饮食品</w:t>
            </w:r>
          </w:p>
        </w:tc>
        <w:tc>
          <w:tcPr>
            <w:tcW w:w="484" w:type="pct"/>
            <w:vMerge w:val="restart"/>
            <w:noWrap w:val="0"/>
            <w:vAlign w:val="center"/>
          </w:tcPr>
          <w:p w14:paraId="7921EC11">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肉制品</w:t>
            </w:r>
          </w:p>
          <w:p w14:paraId="2D4B501D">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（自制）</w:t>
            </w:r>
          </w:p>
        </w:tc>
        <w:tc>
          <w:tcPr>
            <w:tcW w:w="557" w:type="pct"/>
            <w:noWrap w:val="0"/>
            <w:vAlign w:val="center"/>
          </w:tcPr>
          <w:p w14:paraId="3BDEB978">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熟肉制品</w:t>
            </w:r>
          </w:p>
          <w:p w14:paraId="3E4983F1">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3EB98482">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油炸肉类</w:t>
            </w:r>
          </w:p>
          <w:p w14:paraId="44887514">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2EDB2ED8">
            <w:pPr>
              <w:kinsoku w:val="0"/>
              <w:autoSpaceDE w:val="0"/>
              <w:autoSpaceDN w:val="0"/>
              <w:adjustRightInd w:val="0"/>
              <w:snapToGrid w:val="0"/>
              <w:spacing w:line="32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6D5A36B7">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阿奇霉素</w:t>
            </w:r>
          </w:p>
        </w:tc>
        <w:tc>
          <w:tcPr>
            <w:tcW w:w="1024" w:type="pct"/>
            <w:noWrap w:val="0"/>
            <w:vAlign w:val="center"/>
          </w:tcPr>
          <w:p w14:paraId="2187F676">
            <w:pPr>
              <w:kinsoku w:val="0"/>
              <w:autoSpaceDE w:val="0"/>
              <w:autoSpaceDN w:val="0"/>
              <w:adjustRightInd w:val="0"/>
              <w:snapToGrid w:val="0"/>
              <w:spacing w:line="320" w:lineRule="exact"/>
              <w:rPr>
                <w:rFonts w:hint="eastAsia" w:ascii="宋体" w:hAnsi="宋体" w:eastAsia="宋体" w:cs="宋体"/>
                <w:sz w:val="21"/>
                <w:szCs w:val="21"/>
              </w:rPr>
            </w:pPr>
          </w:p>
        </w:tc>
      </w:tr>
      <w:tr w14:paraId="7A8B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F02ADA1">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7D9DF612">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continue"/>
            <w:noWrap w:val="0"/>
            <w:vAlign w:val="center"/>
          </w:tcPr>
          <w:p w14:paraId="60086ACC">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57" w:type="pct"/>
            <w:noWrap w:val="0"/>
            <w:vAlign w:val="center"/>
          </w:tcPr>
          <w:p w14:paraId="1BE62A18">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预制肉类</w:t>
            </w:r>
          </w:p>
          <w:p w14:paraId="2FDEE3CE">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2B17EECE">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肉糜制品</w:t>
            </w:r>
          </w:p>
          <w:p w14:paraId="1939BAD5">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13C7B835">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一般</w:t>
            </w:r>
          </w:p>
        </w:tc>
        <w:tc>
          <w:tcPr>
            <w:tcW w:w="1644" w:type="pct"/>
            <w:noWrap w:val="0"/>
            <w:vAlign w:val="center"/>
          </w:tcPr>
          <w:p w14:paraId="0C109577">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硼酸、二氧化钛</w:t>
            </w:r>
          </w:p>
        </w:tc>
        <w:tc>
          <w:tcPr>
            <w:tcW w:w="1024" w:type="pct"/>
            <w:noWrap w:val="0"/>
            <w:vAlign w:val="center"/>
          </w:tcPr>
          <w:p w14:paraId="1AB18089">
            <w:pPr>
              <w:kinsoku w:val="0"/>
              <w:autoSpaceDE w:val="0"/>
              <w:autoSpaceDN w:val="0"/>
              <w:adjustRightInd w:val="0"/>
              <w:snapToGrid w:val="0"/>
              <w:spacing w:line="320" w:lineRule="exact"/>
              <w:rPr>
                <w:rFonts w:hint="eastAsia" w:ascii="宋体" w:hAnsi="宋体" w:eastAsia="宋体" w:cs="宋体"/>
                <w:sz w:val="21"/>
                <w:szCs w:val="21"/>
              </w:rPr>
            </w:pPr>
          </w:p>
        </w:tc>
      </w:tr>
      <w:tr w14:paraId="480FE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30F3F1D">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3300BBD8">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restart"/>
            <w:noWrap w:val="0"/>
            <w:vAlign w:val="center"/>
          </w:tcPr>
          <w:p w14:paraId="092446EE">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其他餐饮食品</w:t>
            </w:r>
          </w:p>
        </w:tc>
        <w:tc>
          <w:tcPr>
            <w:tcW w:w="557" w:type="pct"/>
            <w:noWrap w:val="0"/>
            <w:vAlign w:val="center"/>
          </w:tcPr>
          <w:p w14:paraId="172D0DC1">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凉菜类（自制）</w:t>
            </w:r>
          </w:p>
        </w:tc>
        <w:tc>
          <w:tcPr>
            <w:tcW w:w="572" w:type="pct"/>
            <w:noWrap w:val="0"/>
            <w:vAlign w:val="center"/>
          </w:tcPr>
          <w:p w14:paraId="4F73D2ED">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凉菜类</w:t>
            </w:r>
          </w:p>
          <w:p w14:paraId="0C7D1656">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2C7BDB31">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较高</w:t>
            </w:r>
          </w:p>
        </w:tc>
        <w:tc>
          <w:tcPr>
            <w:tcW w:w="1644" w:type="pct"/>
            <w:noWrap w:val="0"/>
            <w:vAlign w:val="center"/>
          </w:tcPr>
          <w:p w14:paraId="5F744E5A">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单核细胞增生李斯特氏菌</w:t>
            </w:r>
          </w:p>
        </w:tc>
        <w:tc>
          <w:tcPr>
            <w:tcW w:w="1024" w:type="pct"/>
            <w:noWrap w:val="0"/>
            <w:vAlign w:val="center"/>
          </w:tcPr>
          <w:p w14:paraId="2CE600F8">
            <w:pPr>
              <w:kinsoku w:val="0"/>
              <w:autoSpaceDE w:val="0"/>
              <w:autoSpaceDN w:val="0"/>
              <w:adjustRightInd w:val="0"/>
              <w:snapToGrid w:val="0"/>
              <w:spacing w:line="320" w:lineRule="exact"/>
              <w:rPr>
                <w:rFonts w:hint="eastAsia" w:ascii="宋体" w:hAnsi="宋体" w:eastAsia="宋体" w:cs="宋体"/>
                <w:sz w:val="21"/>
                <w:szCs w:val="21"/>
              </w:rPr>
            </w:pPr>
          </w:p>
        </w:tc>
      </w:tr>
      <w:tr w14:paraId="003D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AFE2846">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4DA510D5">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continue"/>
            <w:noWrap w:val="0"/>
            <w:vAlign w:val="center"/>
          </w:tcPr>
          <w:p w14:paraId="679C4478">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57" w:type="pct"/>
            <w:noWrap w:val="0"/>
            <w:vAlign w:val="center"/>
          </w:tcPr>
          <w:p w14:paraId="10A7EEFD">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节令食品</w:t>
            </w:r>
          </w:p>
          <w:p w14:paraId="7FB18857">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17F2857B">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粽子（自制）</w:t>
            </w:r>
          </w:p>
        </w:tc>
        <w:tc>
          <w:tcPr>
            <w:tcW w:w="180" w:type="pct"/>
            <w:noWrap w:val="0"/>
            <w:vAlign w:val="center"/>
          </w:tcPr>
          <w:p w14:paraId="527AABEC">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一般</w:t>
            </w:r>
          </w:p>
        </w:tc>
        <w:tc>
          <w:tcPr>
            <w:tcW w:w="1644" w:type="pct"/>
            <w:noWrap w:val="0"/>
            <w:vAlign w:val="center"/>
          </w:tcPr>
          <w:p w14:paraId="7367ED85">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23AAAC5C">
            <w:pPr>
              <w:kinsoku w:val="0"/>
              <w:autoSpaceDE w:val="0"/>
              <w:autoSpaceDN w:val="0"/>
              <w:adjustRightInd w:val="0"/>
              <w:snapToGrid w:val="0"/>
              <w:spacing w:line="320" w:lineRule="exact"/>
              <w:rPr>
                <w:rFonts w:hint="eastAsia" w:ascii="宋体" w:hAnsi="宋体" w:eastAsia="宋体" w:cs="宋体"/>
                <w:sz w:val="21"/>
                <w:szCs w:val="21"/>
              </w:rPr>
            </w:pPr>
          </w:p>
        </w:tc>
      </w:tr>
      <w:tr w14:paraId="40C57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5DFAEB3">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3D8DD070">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noWrap w:val="0"/>
            <w:vAlign w:val="center"/>
          </w:tcPr>
          <w:p w14:paraId="63117E9F">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蔬菜制品</w:t>
            </w:r>
          </w:p>
          <w:p w14:paraId="64B81D6A">
            <w:pPr>
              <w:kinsoku w:val="0"/>
              <w:autoSpaceDE w:val="0"/>
              <w:autoSpaceDN w:val="0"/>
              <w:adjustRightInd w:val="0"/>
              <w:snapToGrid w:val="0"/>
              <w:spacing w:line="320" w:lineRule="exact"/>
              <w:jc w:val="center"/>
              <w:textAlignment w:val="center"/>
              <w:rPr>
                <w:rFonts w:hint="eastAsia" w:ascii="宋体" w:hAnsi="宋体" w:eastAsia="宋体" w:cs="宋体"/>
                <w:spacing w:val="-3"/>
                <w:sz w:val="21"/>
                <w:szCs w:val="21"/>
              </w:rPr>
            </w:pPr>
            <w:r>
              <w:rPr>
                <w:rStyle w:val="88"/>
                <w:rFonts w:hint="eastAsia" w:ascii="宋体" w:hAnsi="宋体" w:eastAsia="宋体" w:cs="宋体"/>
                <w:snapToGrid w:val="0"/>
                <w:color w:val="auto"/>
                <w:sz w:val="21"/>
                <w:szCs w:val="21"/>
                <w:vertAlign w:val="baseline"/>
                <w:lang w:bidi="ar"/>
              </w:rPr>
              <w:t>（自制）</w:t>
            </w:r>
          </w:p>
        </w:tc>
        <w:tc>
          <w:tcPr>
            <w:tcW w:w="557" w:type="pct"/>
            <w:noWrap w:val="0"/>
            <w:vAlign w:val="center"/>
          </w:tcPr>
          <w:p w14:paraId="7F11D4DE">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蔬菜制品</w:t>
            </w:r>
          </w:p>
          <w:p w14:paraId="2868CFEE">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5937A806">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酱腌菜</w:t>
            </w:r>
          </w:p>
          <w:p w14:paraId="13F0B35C">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01CA0DBE">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较高</w:t>
            </w:r>
          </w:p>
        </w:tc>
        <w:tc>
          <w:tcPr>
            <w:tcW w:w="1644" w:type="pct"/>
            <w:noWrap w:val="0"/>
            <w:vAlign w:val="center"/>
          </w:tcPr>
          <w:p w14:paraId="3F622BCC">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Fonts w:hint="eastAsia" w:ascii="宋体" w:hAnsi="宋体" w:eastAsia="宋体" w:cs="宋体"/>
                <w:snapToGrid w:val="0"/>
                <w:kern w:val="0"/>
                <w:sz w:val="21"/>
                <w:szCs w:val="21"/>
                <w:lang w:bidi="ar"/>
              </w:rPr>
              <w:t>亚硝酸盐（以NaNO</w:t>
            </w:r>
            <w:r>
              <w:rPr>
                <w:rFonts w:hint="eastAsia" w:ascii="宋体" w:hAnsi="宋体" w:eastAsia="宋体" w:cs="宋体"/>
                <w:snapToGrid w:val="0"/>
                <w:kern w:val="0"/>
                <w:sz w:val="21"/>
                <w:szCs w:val="21"/>
                <w:vertAlign w:val="subscript"/>
                <w:lang w:bidi="ar"/>
              </w:rPr>
              <w:t>2</w:t>
            </w:r>
            <w:r>
              <w:rPr>
                <w:rFonts w:hint="eastAsia" w:ascii="宋体" w:hAnsi="宋体" w:eastAsia="宋体" w:cs="宋体"/>
                <w:snapToGrid w:val="0"/>
                <w:kern w:val="0"/>
                <w:sz w:val="21"/>
                <w:szCs w:val="21"/>
                <w:lang w:bidi="ar"/>
              </w:rPr>
              <w:t>计）</w:t>
            </w:r>
            <w:r>
              <w:rPr>
                <w:rStyle w:val="88"/>
                <w:rFonts w:hint="eastAsia" w:ascii="宋体" w:hAnsi="宋体" w:eastAsia="宋体" w:cs="宋体"/>
                <w:snapToGrid w:val="0"/>
                <w:color w:val="auto"/>
                <w:sz w:val="21"/>
                <w:szCs w:val="21"/>
                <w:vertAlign w:val="baseline"/>
                <w:lang w:bidi="ar"/>
              </w:rPr>
              <w:t>、苯甲酸及其钠盐（以苯甲酸计）、糖精钠（以糖精计）、二氧化硫残留量、甜蜜素（以环己基氨基磺酸计）</w:t>
            </w:r>
          </w:p>
        </w:tc>
        <w:tc>
          <w:tcPr>
            <w:tcW w:w="1024" w:type="pct"/>
            <w:noWrap w:val="0"/>
            <w:vAlign w:val="center"/>
          </w:tcPr>
          <w:p w14:paraId="34AF120B">
            <w:pPr>
              <w:kinsoku w:val="0"/>
              <w:autoSpaceDE w:val="0"/>
              <w:autoSpaceDN w:val="0"/>
              <w:adjustRightInd w:val="0"/>
              <w:snapToGrid w:val="0"/>
              <w:spacing w:line="320" w:lineRule="exact"/>
              <w:rPr>
                <w:rFonts w:hint="eastAsia" w:ascii="宋体" w:hAnsi="宋体" w:eastAsia="宋体" w:cs="宋体"/>
                <w:sz w:val="21"/>
                <w:szCs w:val="21"/>
              </w:rPr>
            </w:pPr>
          </w:p>
        </w:tc>
      </w:tr>
      <w:tr w14:paraId="0D037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DDE9F59">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55AC959B">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noWrap w:val="0"/>
            <w:vAlign w:val="center"/>
          </w:tcPr>
          <w:p w14:paraId="1ED89476">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焙烤食品</w:t>
            </w:r>
          </w:p>
          <w:p w14:paraId="1F2A8CD4">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57" w:type="pct"/>
            <w:noWrap w:val="0"/>
            <w:vAlign w:val="center"/>
          </w:tcPr>
          <w:p w14:paraId="336AC6E2">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焙烤食品</w:t>
            </w:r>
          </w:p>
          <w:p w14:paraId="0C392DF6">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4648B7DA">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糕点（自制）</w:t>
            </w:r>
          </w:p>
        </w:tc>
        <w:tc>
          <w:tcPr>
            <w:tcW w:w="180" w:type="pct"/>
            <w:noWrap w:val="0"/>
            <w:vAlign w:val="center"/>
          </w:tcPr>
          <w:p w14:paraId="56A76F37">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一般</w:t>
            </w:r>
          </w:p>
        </w:tc>
        <w:tc>
          <w:tcPr>
            <w:tcW w:w="1644" w:type="pct"/>
            <w:noWrap w:val="0"/>
            <w:vAlign w:val="center"/>
          </w:tcPr>
          <w:p w14:paraId="43048C30">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硼酸</w:t>
            </w:r>
          </w:p>
        </w:tc>
        <w:tc>
          <w:tcPr>
            <w:tcW w:w="1024" w:type="pct"/>
            <w:noWrap w:val="0"/>
            <w:vAlign w:val="center"/>
          </w:tcPr>
          <w:p w14:paraId="57B91316">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限粽子</w:t>
            </w:r>
          </w:p>
        </w:tc>
      </w:tr>
      <w:tr w14:paraId="1FA8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AEEA060">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55442433">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noWrap w:val="0"/>
            <w:vAlign w:val="center"/>
          </w:tcPr>
          <w:p w14:paraId="4F8361BA">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豆制品</w:t>
            </w:r>
          </w:p>
          <w:p w14:paraId="392AEB0A">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57" w:type="pct"/>
            <w:noWrap w:val="0"/>
            <w:vAlign w:val="center"/>
          </w:tcPr>
          <w:p w14:paraId="3E67035E">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豆制品</w:t>
            </w:r>
          </w:p>
          <w:p w14:paraId="1DA091E3">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0E1540DD">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非发酵性豆制品（自制）</w:t>
            </w:r>
          </w:p>
        </w:tc>
        <w:tc>
          <w:tcPr>
            <w:tcW w:w="180" w:type="pct"/>
            <w:noWrap w:val="0"/>
            <w:vAlign w:val="center"/>
          </w:tcPr>
          <w:p w14:paraId="127D9B47">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一般</w:t>
            </w:r>
          </w:p>
        </w:tc>
        <w:tc>
          <w:tcPr>
            <w:tcW w:w="1644" w:type="pct"/>
            <w:noWrap w:val="0"/>
            <w:vAlign w:val="center"/>
          </w:tcPr>
          <w:p w14:paraId="2A47ED0D">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硼（以B计）</w:t>
            </w:r>
          </w:p>
        </w:tc>
        <w:tc>
          <w:tcPr>
            <w:tcW w:w="1024" w:type="pct"/>
            <w:noWrap w:val="0"/>
            <w:vAlign w:val="center"/>
          </w:tcPr>
          <w:p w14:paraId="30821D6B">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p>
        </w:tc>
      </w:tr>
      <w:tr w14:paraId="7F9B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CDF1D9C">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75C79A40">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noWrap w:val="0"/>
            <w:vAlign w:val="center"/>
          </w:tcPr>
          <w:p w14:paraId="62818F71">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冷冻饮品</w:t>
            </w:r>
          </w:p>
          <w:p w14:paraId="5EA1A30C">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57" w:type="pct"/>
            <w:noWrap w:val="0"/>
            <w:vAlign w:val="center"/>
          </w:tcPr>
          <w:p w14:paraId="5EB7AF80">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冷冻饮品</w:t>
            </w:r>
          </w:p>
          <w:p w14:paraId="661DD394">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47276A78">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冷冻饮品</w:t>
            </w:r>
          </w:p>
          <w:p w14:paraId="6F3456FC">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71DCC555">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一般</w:t>
            </w:r>
          </w:p>
        </w:tc>
        <w:tc>
          <w:tcPr>
            <w:tcW w:w="1644" w:type="pct"/>
            <w:noWrap w:val="0"/>
            <w:vAlign w:val="center"/>
          </w:tcPr>
          <w:p w14:paraId="0539479C">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大肠菌群、菌落总数</w:t>
            </w:r>
          </w:p>
        </w:tc>
        <w:tc>
          <w:tcPr>
            <w:tcW w:w="1024" w:type="pct"/>
            <w:noWrap w:val="0"/>
            <w:vAlign w:val="center"/>
          </w:tcPr>
          <w:p w14:paraId="350A7483">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限食用冰</w:t>
            </w:r>
          </w:p>
        </w:tc>
      </w:tr>
      <w:tr w14:paraId="651AF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F19059E">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16894B71">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restart"/>
            <w:noWrap w:val="0"/>
            <w:vAlign w:val="center"/>
          </w:tcPr>
          <w:p w14:paraId="142604DC">
            <w:pPr>
              <w:widowControl/>
              <w:spacing w:line="320" w:lineRule="exact"/>
              <w:jc w:val="center"/>
              <w:textAlignment w:val="center"/>
              <w:rPr>
                <w:rFonts w:hint="eastAsia" w:ascii="宋体" w:hAnsi="宋体" w:eastAsia="宋体" w:cs="宋体"/>
                <w:spacing w:val="3"/>
                <w:sz w:val="21"/>
                <w:szCs w:val="21"/>
              </w:rPr>
            </w:pPr>
            <w:r>
              <w:rPr>
                <w:rFonts w:hint="eastAsia" w:ascii="宋体" w:hAnsi="宋体" w:eastAsia="宋体" w:cs="宋体"/>
                <w:kern w:val="0"/>
                <w:sz w:val="21"/>
                <w:szCs w:val="21"/>
                <w:lang w:bidi="ar"/>
              </w:rPr>
              <w:t>饮料（自制）</w:t>
            </w:r>
          </w:p>
        </w:tc>
        <w:tc>
          <w:tcPr>
            <w:tcW w:w="557" w:type="pct"/>
            <w:vMerge w:val="restart"/>
            <w:noWrap w:val="0"/>
            <w:vAlign w:val="center"/>
          </w:tcPr>
          <w:p w14:paraId="4390EE16">
            <w:pPr>
              <w:widowControl/>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Fonts w:hint="eastAsia" w:ascii="宋体" w:hAnsi="宋体" w:eastAsia="宋体" w:cs="宋体"/>
                <w:kern w:val="0"/>
                <w:sz w:val="21"/>
                <w:szCs w:val="21"/>
                <w:lang w:bidi="ar"/>
              </w:rPr>
              <w:t>饮料（自制）</w:t>
            </w:r>
          </w:p>
        </w:tc>
        <w:tc>
          <w:tcPr>
            <w:tcW w:w="572" w:type="pct"/>
            <w:noWrap w:val="0"/>
            <w:vAlign w:val="center"/>
          </w:tcPr>
          <w:p w14:paraId="796C9E16">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奶茶（自制）</w:t>
            </w:r>
          </w:p>
        </w:tc>
        <w:tc>
          <w:tcPr>
            <w:tcW w:w="180" w:type="pct"/>
            <w:noWrap w:val="0"/>
            <w:vAlign w:val="center"/>
          </w:tcPr>
          <w:p w14:paraId="00888DBD">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w:t>
            </w:r>
          </w:p>
        </w:tc>
        <w:tc>
          <w:tcPr>
            <w:tcW w:w="1644" w:type="pct"/>
            <w:noWrap w:val="0"/>
            <w:vAlign w:val="center"/>
          </w:tcPr>
          <w:p w14:paraId="2B59CE7B">
            <w:pPr>
              <w:kinsoku w:val="0"/>
              <w:autoSpaceDE w:val="0"/>
              <w:autoSpaceDN w:val="0"/>
              <w:adjustRightInd w:val="0"/>
              <w:snapToGrid w:val="0"/>
              <w:spacing w:line="32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沙门氏菌、金黄色葡萄球菌、大肠埃希氏菌</w:t>
            </w:r>
          </w:p>
        </w:tc>
        <w:tc>
          <w:tcPr>
            <w:tcW w:w="1024" w:type="pct"/>
            <w:vMerge w:val="restart"/>
            <w:noWrap w:val="0"/>
            <w:vAlign w:val="center"/>
          </w:tcPr>
          <w:p w14:paraId="5281FE3F">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Fonts w:hint="eastAsia" w:ascii="宋体" w:hAnsi="宋体" w:eastAsia="宋体" w:cs="宋体"/>
                <w:snapToGrid w:val="0"/>
                <w:sz w:val="21"/>
                <w:szCs w:val="21"/>
                <w:lang w:bidi="ar"/>
              </w:rPr>
              <w:t>需抽取含鲜切水果的饮料，如柠檬茶、荔枝奶茶、西瓜奶茶等，在采样后尽快送达实验室开检，注意运输贮存温度等。</w:t>
            </w:r>
          </w:p>
        </w:tc>
      </w:tr>
      <w:tr w14:paraId="0D410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64EEE79">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291F58B5">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vMerge w:val="continue"/>
            <w:noWrap w:val="0"/>
            <w:vAlign w:val="center"/>
          </w:tcPr>
          <w:p w14:paraId="6F9DF7EA">
            <w:pPr>
              <w:widowControl/>
              <w:spacing w:line="320" w:lineRule="exact"/>
              <w:jc w:val="center"/>
              <w:textAlignment w:val="center"/>
              <w:rPr>
                <w:rFonts w:hint="eastAsia" w:ascii="宋体" w:hAnsi="宋体" w:eastAsia="宋体" w:cs="宋体"/>
                <w:spacing w:val="3"/>
                <w:sz w:val="21"/>
                <w:szCs w:val="21"/>
              </w:rPr>
            </w:pPr>
          </w:p>
        </w:tc>
        <w:tc>
          <w:tcPr>
            <w:tcW w:w="557" w:type="pct"/>
            <w:vMerge w:val="continue"/>
            <w:noWrap w:val="0"/>
            <w:vAlign w:val="center"/>
          </w:tcPr>
          <w:p w14:paraId="25277C60">
            <w:pPr>
              <w:widowControl/>
              <w:spacing w:line="320" w:lineRule="exact"/>
              <w:jc w:val="center"/>
              <w:textAlignment w:val="center"/>
              <w:rPr>
                <w:rStyle w:val="88"/>
                <w:rFonts w:hint="eastAsia" w:ascii="宋体" w:hAnsi="宋体" w:eastAsia="宋体" w:cs="宋体"/>
                <w:snapToGrid w:val="0"/>
                <w:color w:val="auto"/>
                <w:sz w:val="21"/>
                <w:szCs w:val="21"/>
                <w:vertAlign w:val="baseline"/>
                <w:lang w:bidi="ar"/>
              </w:rPr>
            </w:pPr>
          </w:p>
        </w:tc>
        <w:tc>
          <w:tcPr>
            <w:tcW w:w="572" w:type="pct"/>
            <w:noWrap w:val="0"/>
            <w:vAlign w:val="center"/>
          </w:tcPr>
          <w:p w14:paraId="618BF3B8">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其他饮料（自制）</w:t>
            </w:r>
          </w:p>
        </w:tc>
        <w:tc>
          <w:tcPr>
            <w:tcW w:w="180" w:type="pct"/>
            <w:noWrap w:val="0"/>
            <w:vAlign w:val="center"/>
          </w:tcPr>
          <w:p w14:paraId="74EB720C">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w:t>
            </w:r>
          </w:p>
        </w:tc>
        <w:tc>
          <w:tcPr>
            <w:tcW w:w="1644" w:type="pct"/>
            <w:noWrap w:val="0"/>
            <w:vAlign w:val="center"/>
          </w:tcPr>
          <w:p w14:paraId="2237D33A">
            <w:pPr>
              <w:kinsoku w:val="0"/>
              <w:autoSpaceDE w:val="0"/>
              <w:autoSpaceDN w:val="0"/>
              <w:adjustRightInd w:val="0"/>
              <w:snapToGrid w:val="0"/>
              <w:spacing w:line="32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沙门氏菌、金黄色葡萄球菌、大肠埃希氏菌</w:t>
            </w:r>
          </w:p>
        </w:tc>
        <w:tc>
          <w:tcPr>
            <w:tcW w:w="1024" w:type="pct"/>
            <w:vMerge w:val="continue"/>
            <w:noWrap w:val="0"/>
            <w:vAlign w:val="center"/>
          </w:tcPr>
          <w:p w14:paraId="40E68F7F">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p>
        </w:tc>
      </w:tr>
      <w:tr w14:paraId="7A1C0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4C19710">
            <w:pPr>
              <w:kinsoku w:val="0"/>
              <w:autoSpaceDE w:val="0"/>
              <w:autoSpaceDN w:val="0"/>
              <w:adjustRightInd w:val="0"/>
              <w:snapToGrid w:val="0"/>
              <w:spacing w:line="320" w:lineRule="exact"/>
              <w:jc w:val="center"/>
              <w:rPr>
                <w:rFonts w:hint="eastAsia" w:ascii="宋体" w:hAnsi="宋体" w:eastAsia="宋体" w:cs="宋体"/>
                <w:sz w:val="21"/>
                <w:szCs w:val="21"/>
              </w:rPr>
            </w:pPr>
          </w:p>
        </w:tc>
        <w:tc>
          <w:tcPr>
            <w:tcW w:w="352" w:type="pct"/>
            <w:vMerge w:val="continue"/>
            <w:noWrap w:val="0"/>
            <w:vAlign w:val="center"/>
          </w:tcPr>
          <w:p w14:paraId="78F7862C">
            <w:pPr>
              <w:kinsoku w:val="0"/>
              <w:autoSpaceDE w:val="0"/>
              <w:autoSpaceDN w:val="0"/>
              <w:adjustRightInd w:val="0"/>
              <w:snapToGrid w:val="0"/>
              <w:spacing w:line="320" w:lineRule="exact"/>
              <w:jc w:val="center"/>
              <w:rPr>
                <w:rFonts w:hint="eastAsia" w:ascii="宋体" w:hAnsi="宋体" w:eastAsia="宋体" w:cs="宋体"/>
                <w:spacing w:val="3"/>
                <w:sz w:val="21"/>
                <w:szCs w:val="21"/>
              </w:rPr>
            </w:pPr>
          </w:p>
        </w:tc>
        <w:tc>
          <w:tcPr>
            <w:tcW w:w="484" w:type="pct"/>
            <w:noWrap w:val="0"/>
            <w:vAlign w:val="center"/>
          </w:tcPr>
          <w:p w14:paraId="729B4522">
            <w:pPr>
              <w:kinsoku w:val="0"/>
              <w:autoSpaceDE w:val="0"/>
              <w:autoSpaceDN w:val="0"/>
              <w:adjustRightInd w:val="0"/>
              <w:snapToGrid w:val="0"/>
              <w:spacing w:line="320" w:lineRule="exact"/>
              <w:jc w:val="center"/>
              <w:rPr>
                <w:rFonts w:hint="eastAsia" w:ascii="宋体" w:hAnsi="宋体" w:eastAsia="宋体" w:cs="宋体"/>
                <w:spacing w:val="3"/>
                <w:sz w:val="21"/>
                <w:szCs w:val="21"/>
              </w:rPr>
            </w:pPr>
            <w:r>
              <w:rPr>
                <w:rFonts w:hint="eastAsia" w:ascii="宋体" w:hAnsi="宋体" w:eastAsia="宋体" w:cs="宋体"/>
                <w:spacing w:val="3"/>
                <w:sz w:val="21"/>
                <w:szCs w:val="21"/>
              </w:rPr>
              <w:t>水产制品</w:t>
            </w:r>
          </w:p>
          <w:p w14:paraId="7011C53D">
            <w:pPr>
              <w:kinsoku w:val="0"/>
              <w:autoSpaceDE w:val="0"/>
              <w:autoSpaceDN w:val="0"/>
              <w:adjustRightInd w:val="0"/>
              <w:snapToGrid w:val="0"/>
              <w:spacing w:line="320" w:lineRule="exact"/>
              <w:jc w:val="center"/>
              <w:rPr>
                <w:rFonts w:hint="eastAsia" w:ascii="宋体" w:hAnsi="宋体" w:eastAsia="宋体" w:cs="宋体"/>
                <w:snapToGrid w:val="0"/>
                <w:sz w:val="21"/>
                <w:szCs w:val="21"/>
                <w:lang w:bidi="ar"/>
              </w:rPr>
            </w:pPr>
            <w:r>
              <w:rPr>
                <w:rFonts w:hint="eastAsia" w:ascii="宋体" w:hAnsi="宋体" w:eastAsia="宋体" w:cs="宋体"/>
                <w:spacing w:val="3"/>
                <w:sz w:val="21"/>
                <w:szCs w:val="21"/>
              </w:rPr>
              <w:t>（自制）</w:t>
            </w:r>
          </w:p>
        </w:tc>
        <w:tc>
          <w:tcPr>
            <w:tcW w:w="557" w:type="pct"/>
            <w:noWrap w:val="0"/>
            <w:vAlign w:val="center"/>
          </w:tcPr>
          <w:p w14:paraId="3D4D2F1D">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预制水产制品</w:t>
            </w:r>
          </w:p>
          <w:p w14:paraId="393F754A">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572" w:type="pct"/>
            <w:noWrap w:val="0"/>
            <w:vAlign w:val="center"/>
          </w:tcPr>
          <w:p w14:paraId="5312F74D">
            <w:pPr>
              <w:kinsoku w:val="0"/>
              <w:autoSpaceDE w:val="0"/>
              <w:autoSpaceDN w:val="0"/>
              <w:adjustRightInd w:val="0"/>
              <w:snapToGrid w:val="0"/>
              <w:spacing w:line="32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水产糜类制品</w:t>
            </w:r>
          </w:p>
          <w:p w14:paraId="2303813F">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（自制）</w:t>
            </w:r>
          </w:p>
        </w:tc>
        <w:tc>
          <w:tcPr>
            <w:tcW w:w="180" w:type="pct"/>
            <w:noWrap w:val="0"/>
            <w:vAlign w:val="center"/>
          </w:tcPr>
          <w:p w14:paraId="5792AF8D">
            <w:pPr>
              <w:kinsoku w:val="0"/>
              <w:autoSpaceDE w:val="0"/>
              <w:autoSpaceDN w:val="0"/>
              <w:adjustRightInd w:val="0"/>
              <w:snapToGrid w:val="0"/>
              <w:spacing w:line="320" w:lineRule="exact"/>
              <w:jc w:val="center"/>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一般</w:t>
            </w:r>
          </w:p>
        </w:tc>
        <w:tc>
          <w:tcPr>
            <w:tcW w:w="1644" w:type="pct"/>
            <w:noWrap w:val="0"/>
            <w:vAlign w:val="center"/>
          </w:tcPr>
          <w:p w14:paraId="23B343FE">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二氧化钛</w:t>
            </w:r>
          </w:p>
        </w:tc>
        <w:tc>
          <w:tcPr>
            <w:tcW w:w="1024" w:type="pct"/>
            <w:noWrap w:val="0"/>
            <w:vAlign w:val="center"/>
          </w:tcPr>
          <w:p w14:paraId="3D090FC5">
            <w:pPr>
              <w:kinsoku w:val="0"/>
              <w:autoSpaceDE w:val="0"/>
              <w:autoSpaceDN w:val="0"/>
              <w:adjustRightInd w:val="0"/>
              <w:snapToGrid w:val="0"/>
              <w:spacing w:line="320" w:lineRule="exact"/>
              <w:textAlignment w:val="center"/>
              <w:rPr>
                <w:rFonts w:hint="eastAsia" w:ascii="宋体" w:hAnsi="宋体" w:eastAsia="宋体" w:cs="宋体"/>
                <w:snapToGrid w:val="0"/>
                <w:sz w:val="21"/>
                <w:szCs w:val="21"/>
                <w:lang w:bidi="ar"/>
              </w:rPr>
            </w:pPr>
          </w:p>
        </w:tc>
      </w:tr>
      <w:tr w14:paraId="482EC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noWrap w:val="0"/>
            <w:vAlign w:val="center"/>
          </w:tcPr>
          <w:p w14:paraId="525A6AA3">
            <w:pPr>
              <w:kinsoku w:val="0"/>
              <w:autoSpaceDE w:val="0"/>
              <w:autoSpaceDN w:val="0"/>
              <w:adjustRightInd w:val="0"/>
              <w:snapToGrid w:val="0"/>
              <w:spacing w:line="260" w:lineRule="exact"/>
              <w:jc w:val="center"/>
              <w:rPr>
                <w:rFonts w:hint="eastAsia" w:ascii="宋体" w:hAnsi="宋体" w:eastAsia="宋体" w:cs="宋体"/>
                <w:sz w:val="21"/>
                <w:szCs w:val="21"/>
              </w:rPr>
            </w:pPr>
            <w:r>
              <w:rPr>
                <w:rFonts w:hint="eastAsia" w:ascii="宋体" w:hAnsi="宋体" w:eastAsia="宋体" w:cs="宋体"/>
                <w:sz w:val="21"/>
                <w:szCs w:val="21"/>
              </w:rPr>
              <w:t>28</w:t>
            </w:r>
          </w:p>
        </w:tc>
        <w:tc>
          <w:tcPr>
            <w:tcW w:w="352" w:type="pct"/>
            <w:noWrap w:val="0"/>
            <w:vAlign w:val="center"/>
          </w:tcPr>
          <w:p w14:paraId="639D036A">
            <w:pPr>
              <w:kinsoku w:val="0"/>
              <w:autoSpaceDE w:val="0"/>
              <w:autoSpaceDN w:val="0"/>
              <w:adjustRightInd w:val="0"/>
              <w:snapToGrid w:val="0"/>
              <w:spacing w:line="260" w:lineRule="exact"/>
              <w:jc w:val="center"/>
              <w:rPr>
                <w:rFonts w:hint="eastAsia" w:ascii="宋体" w:hAnsi="宋体" w:eastAsia="宋体" w:cs="宋体"/>
                <w:spacing w:val="3"/>
                <w:sz w:val="21"/>
                <w:szCs w:val="21"/>
              </w:rPr>
            </w:pPr>
            <w:r>
              <w:rPr>
                <w:rFonts w:hint="eastAsia" w:ascii="宋体" w:hAnsi="宋体" w:eastAsia="宋体" w:cs="宋体"/>
                <w:spacing w:val="3"/>
                <w:sz w:val="21"/>
                <w:szCs w:val="21"/>
              </w:rPr>
              <w:t>食品添加剂</w:t>
            </w:r>
          </w:p>
        </w:tc>
        <w:tc>
          <w:tcPr>
            <w:tcW w:w="484" w:type="pct"/>
            <w:noWrap w:val="0"/>
            <w:vAlign w:val="center"/>
          </w:tcPr>
          <w:p w14:paraId="4DC035AF">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食品添加剂</w:t>
            </w:r>
          </w:p>
        </w:tc>
        <w:tc>
          <w:tcPr>
            <w:tcW w:w="557" w:type="pct"/>
            <w:noWrap w:val="0"/>
            <w:vAlign w:val="center"/>
          </w:tcPr>
          <w:p w14:paraId="17E5055B">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单一食品添加剂</w:t>
            </w:r>
          </w:p>
        </w:tc>
        <w:tc>
          <w:tcPr>
            <w:tcW w:w="572" w:type="pct"/>
            <w:noWrap w:val="0"/>
            <w:vAlign w:val="center"/>
          </w:tcPr>
          <w:p w14:paraId="01D6EDFA">
            <w:pPr>
              <w:kinsoku w:val="0"/>
              <w:autoSpaceDE w:val="0"/>
              <w:autoSpaceDN w:val="0"/>
              <w:adjustRightInd w:val="0"/>
              <w:snapToGrid w:val="0"/>
              <w:spacing w:line="260" w:lineRule="exact"/>
              <w:jc w:val="center"/>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日落黄</w:t>
            </w:r>
          </w:p>
        </w:tc>
        <w:tc>
          <w:tcPr>
            <w:tcW w:w="180" w:type="pct"/>
            <w:noWrap w:val="0"/>
            <w:vAlign w:val="center"/>
          </w:tcPr>
          <w:p w14:paraId="60B7197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577A9602">
            <w:pPr>
              <w:kinsoku w:val="0"/>
              <w:autoSpaceDE w:val="0"/>
              <w:autoSpaceDN w:val="0"/>
              <w:adjustRightInd w:val="0"/>
              <w:snapToGrid w:val="0"/>
              <w:spacing w:line="260" w:lineRule="exact"/>
              <w:textAlignment w:val="center"/>
              <w:rPr>
                <w:rStyle w:val="88"/>
                <w:rFonts w:hint="eastAsia" w:ascii="宋体" w:hAnsi="宋体" w:eastAsia="宋体" w:cs="宋体"/>
                <w:snapToGrid w:val="0"/>
                <w:color w:val="auto"/>
                <w:sz w:val="21"/>
                <w:szCs w:val="21"/>
                <w:vertAlign w:val="baseline"/>
                <w:lang w:bidi="ar"/>
              </w:rPr>
            </w:pPr>
            <w:r>
              <w:rPr>
                <w:rStyle w:val="88"/>
                <w:rFonts w:hint="eastAsia" w:ascii="宋体" w:hAnsi="宋体" w:eastAsia="宋体" w:cs="宋体"/>
                <w:snapToGrid w:val="0"/>
                <w:color w:val="auto"/>
                <w:sz w:val="21"/>
                <w:szCs w:val="21"/>
                <w:vertAlign w:val="baseline"/>
                <w:lang w:bidi="ar"/>
              </w:rPr>
              <w:t>酸性橙Ⅱ</w:t>
            </w:r>
          </w:p>
        </w:tc>
        <w:tc>
          <w:tcPr>
            <w:tcW w:w="1024" w:type="pct"/>
            <w:noWrap w:val="0"/>
            <w:vAlign w:val="center"/>
          </w:tcPr>
          <w:p w14:paraId="7B7A4A2F">
            <w:pPr>
              <w:kinsoku w:val="0"/>
              <w:autoSpaceDE w:val="0"/>
              <w:autoSpaceDN w:val="0"/>
              <w:adjustRightInd w:val="0"/>
              <w:snapToGrid w:val="0"/>
              <w:spacing w:line="260" w:lineRule="exact"/>
              <w:rPr>
                <w:rFonts w:hint="eastAsia" w:ascii="宋体" w:hAnsi="宋体" w:eastAsia="宋体" w:cs="宋体"/>
                <w:sz w:val="21"/>
                <w:szCs w:val="21"/>
              </w:rPr>
            </w:pPr>
            <w:r>
              <w:rPr>
                <w:rFonts w:hint="eastAsia" w:ascii="宋体" w:hAnsi="宋体" w:eastAsia="宋体" w:cs="宋体"/>
                <w:sz w:val="21"/>
                <w:szCs w:val="21"/>
              </w:rPr>
              <w:t>限食品添加剂日落黄生产企业所在省份检测</w:t>
            </w:r>
          </w:p>
        </w:tc>
      </w:tr>
      <w:tr w14:paraId="20E6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73" w:hRule="atLeast"/>
          <w:jc w:val="center"/>
        </w:trPr>
        <w:tc>
          <w:tcPr>
            <w:tcW w:w="183" w:type="pct"/>
            <w:vMerge w:val="restart"/>
            <w:noWrap w:val="0"/>
            <w:vAlign w:val="center"/>
          </w:tcPr>
          <w:p w14:paraId="43575521">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29</w:t>
            </w:r>
          </w:p>
        </w:tc>
        <w:tc>
          <w:tcPr>
            <w:tcW w:w="352" w:type="pct"/>
            <w:vMerge w:val="restart"/>
            <w:noWrap w:val="0"/>
            <w:vAlign w:val="center"/>
          </w:tcPr>
          <w:p w14:paraId="5CAEA1E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畜禽肉及副产品</w:t>
            </w:r>
          </w:p>
        </w:tc>
        <w:tc>
          <w:tcPr>
            <w:tcW w:w="484" w:type="pct"/>
            <w:vMerge w:val="restart"/>
            <w:noWrap w:val="0"/>
            <w:vAlign w:val="center"/>
          </w:tcPr>
          <w:p w14:paraId="65F29F6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畜禽肉及副产品</w:t>
            </w:r>
          </w:p>
        </w:tc>
        <w:tc>
          <w:tcPr>
            <w:tcW w:w="557" w:type="pct"/>
            <w:vMerge w:val="restart"/>
            <w:noWrap w:val="0"/>
            <w:vAlign w:val="center"/>
          </w:tcPr>
          <w:p w14:paraId="2FA33C8B">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畜肉</w:t>
            </w:r>
          </w:p>
        </w:tc>
        <w:tc>
          <w:tcPr>
            <w:tcW w:w="572" w:type="pct"/>
            <w:noWrap w:val="0"/>
            <w:vAlign w:val="center"/>
          </w:tcPr>
          <w:p w14:paraId="5D613A6B">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猪肉</w:t>
            </w:r>
          </w:p>
        </w:tc>
        <w:tc>
          <w:tcPr>
            <w:tcW w:w="180" w:type="pct"/>
            <w:noWrap w:val="0"/>
            <w:vAlign w:val="center"/>
          </w:tcPr>
          <w:p w14:paraId="52955AD9">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37D48CA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总磷酸盐（以磷酸根（PO</w:t>
            </w:r>
            <w:r>
              <w:rPr>
                <w:rFonts w:hint="eastAsia" w:ascii="宋体" w:hAnsi="宋体" w:eastAsia="宋体" w:cs="宋体"/>
                <w:snapToGrid w:val="0"/>
                <w:kern w:val="0"/>
                <w:sz w:val="21"/>
                <w:szCs w:val="21"/>
                <w:vertAlign w:val="subscript"/>
                <w:lang w:bidi="ar"/>
              </w:rPr>
              <w:t>4</w:t>
            </w:r>
            <w:r>
              <w:rPr>
                <w:rFonts w:hint="eastAsia" w:ascii="宋体" w:hAnsi="宋体" w:eastAsia="宋体" w:cs="宋体"/>
                <w:snapToGrid w:val="0"/>
                <w:kern w:val="0"/>
                <w:sz w:val="21"/>
                <w:szCs w:val="21"/>
                <w:vertAlign w:val="superscript"/>
                <w:lang w:bidi="ar"/>
              </w:rPr>
              <w:t>3-</w:t>
            </w:r>
            <w:r>
              <w:rPr>
                <w:rFonts w:hint="eastAsia" w:ascii="宋体" w:hAnsi="宋体" w:eastAsia="宋体" w:cs="宋体"/>
                <w:snapToGrid w:val="0"/>
                <w:kern w:val="0"/>
                <w:sz w:val="21"/>
                <w:szCs w:val="21"/>
                <w:lang w:bidi="ar"/>
              </w:rPr>
              <w:t>）计）、硼酸、</w:t>
            </w:r>
            <w:r>
              <w:rPr>
                <w:rStyle w:val="88"/>
                <w:rFonts w:hint="eastAsia" w:ascii="宋体" w:hAnsi="宋体" w:eastAsia="宋体" w:cs="宋体"/>
                <w:snapToGrid w:val="0"/>
                <w:color w:val="auto"/>
                <w:sz w:val="21"/>
                <w:szCs w:val="21"/>
                <w:vertAlign w:val="baseline"/>
                <w:lang w:bidi="ar"/>
              </w:rPr>
              <w:t>五氯酚酸钠（以五氯酚计）、氧氟沙星</w:t>
            </w:r>
          </w:p>
        </w:tc>
        <w:tc>
          <w:tcPr>
            <w:tcW w:w="1024" w:type="pct"/>
            <w:noWrap w:val="0"/>
            <w:vAlign w:val="center"/>
          </w:tcPr>
          <w:p w14:paraId="7EF7904E">
            <w:pPr>
              <w:kinsoku w:val="0"/>
              <w:autoSpaceDE w:val="0"/>
              <w:autoSpaceDN w:val="0"/>
              <w:adjustRightInd w:val="0"/>
              <w:snapToGrid w:val="0"/>
              <w:spacing w:line="260" w:lineRule="exact"/>
              <w:rPr>
                <w:rFonts w:hint="eastAsia" w:ascii="宋体" w:hAnsi="宋体" w:eastAsia="宋体" w:cs="宋体"/>
                <w:sz w:val="21"/>
                <w:szCs w:val="21"/>
              </w:rPr>
            </w:pPr>
          </w:p>
        </w:tc>
      </w:tr>
      <w:tr w14:paraId="141A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43" w:hRule="atLeast"/>
          <w:jc w:val="center"/>
        </w:trPr>
        <w:tc>
          <w:tcPr>
            <w:tcW w:w="183" w:type="pct"/>
            <w:vMerge w:val="continue"/>
            <w:noWrap w:val="0"/>
            <w:vAlign w:val="center"/>
          </w:tcPr>
          <w:p w14:paraId="73BF898D">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48CF6E3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A2F80D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2122B57">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37BC2648">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牛肉</w:t>
            </w:r>
          </w:p>
        </w:tc>
        <w:tc>
          <w:tcPr>
            <w:tcW w:w="180" w:type="pct"/>
            <w:noWrap w:val="0"/>
            <w:vAlign w:val="center"/>
          </w:tcPr>
          <w:p w14:paraId="4F424CD2">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131DCEEB">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猪源性成分、牛源性成分、鸡源性成分、鸭源性成分、苯甲酸及其钠盐（以苯甲酸计）、</w:t>
            </w:r>
            <w:r>
              <w:rPr>
                <w:rFonts w:hint="eastAsia" w:ascii="宋体" w:hAnsi="宋体" w:eastAsia="宋体" w:cs="宋体"/>
                <w:snapToGrid w:val="0"/>
                <w:kern w:val="0"/>
                <w:sz w:val="21"/>
                <w:szCs w:val="21"/>
                <w:lang w:bidi="ar"/>
              </w:rPr>
              <w:t>总磷酸盐（以磷酸根（PO</w:t>
            </w:r>
            <w:r>
              <w:rPr>
                <w:rFonts w:hint="eastAsia" w:ascii="宋体" w:hAnsi="宋体" w:eastAsia="宋体" w:cs="宋体"/>
                <w:snapToGrid w:val="0"/>
                <w:kern w:val="0"/>
                <w:sz w:val="21"/>
                <w:szCs w:val="21"/>
                <w:vertAlign w:val="subscript"/>
                <w:lang w:bidi="ar"/>
              </w:rPr>
              <w:t>4</w:t>
            </w:r>
            <w:r>
              <w:rPr>
                <w:rFonts w:hint="eastAsia" w:ascii="宋体" w:hAnsi="宋体" w:eastAsia="宋体" w:cs="宋体"/>
                <w:snapToGrid w:val="0"/>
                <w:kern w:val="0"/>
                <w:sz w:val="21"/>
                <w:szCs w:val="21"/>
                <w:vertAlign w:val="superscript"/>
                <w:lang w:bidi="ar"/>
              </w:rPr>
              <w:t>3-</w:t>
            </w:r>
            <w:r>
              <w:rPr>
                <w:rFonts w:hint="eastAsia" w:ascii="宋体" w:hAnsi="宋体" w:eastAsia="宋体" w:cs="宋体"/>
                <w:snapToGrid w:val="0"/>
                <w:kern w:val="0"/>
                <w:sz w:val="21"/>
                <w:szCs w:val="21"/>
                <w:lang w:bidi="ar"/>
              </w:rPr>
              <w:t>）计）、硼酸、</w:t>
            </w:r>
            <w:r>
              <w:rPr>
                <w:rStyle w:val="88"/>
                <w:rFonts w:hint="eastAsia" w:ascii="宋体" w:hAnsi="宋体" w:eastAsia="宋体" w:cs="宋体"/>
                <w:snapToGrid w:val="0"/>
                <w:color w:val="auto"/>
                <w:sz w:val="21"/>
                <w:szCs w:val="21"/>
                <w:vertAlign w:val="baseline"/>
                <w:lang w:bidi="ar"/>
              </w:rPr>
              <w:t>五氯酚酸钠（以五氯酚计）、阿奇霉素、氧氟沙星、4-甲基氨基安替比林</w:t>
            </w:r>
          </w:p>
        </w:tc>
        <w:tc>
          <w:tcPr>
            <w:tcW w:w="1024" w:type="pct"/>
            <w:noWrap w:val="0"/>
            <w:vAlign w:val="center"/>
          </w:tcPr>
          <w:p w14:paraId="43E1E6C6">
            <w:pPr>
              <w:kinsoku w:val="0"/>
              <w:autoSpaceDE w:val="0"/>
              <w:autoSpaceDN w:val="0"/>
              <w:adjustRightInd w:val="0"/>
              <w:snapToGrid w:val="0"/>
              <w:spacing w:line="260" w:lineRule="exact"/>
              <w:rPr>
                <w:rFonts w:hint="eastAsia" w:ascii="宋体" w:hAnsi="宋体" w:eastAsia="宋体" w:cs="宋体"/>
                <w:sz w:val="21"/>
                <w:szCs w:val="21"/>
              </w:rPr>
            </w:pPr>
          </w:p>
        </w:tc>
      </w:tr>
      <w:tr w14:paraId="68CA1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967" w:hRule="atLeast"/>
          <w:jc w:val="center"/>
        </w:trPr>
        <w:tc>
          <w:tcPr>
            <w:tcW w:w="183" w:type="pct"/>
            <w:vMerge w:val="continue"/>
            <w:noWrap w:val="0"/>
            <w:vAlign w:val="center"/>
          </w:tcPr>
          <w:p w14:paraId="07676AC8">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2003770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02CFBCF8">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557" w:type="pct"/>
            <w:vMerge w:val="continue"/>
            <w:noWrap w:val="0"/>
            <w:vAlign w:val="center"/>
          </w:tcPr>
          <w:p w14:paraId="799B25A0">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7CC3919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羊肉</w:t>
            </w:r>
          </w:p>
        </w:tc>
        <w:tc>
          <w:tcPr>
            <w:tcW w:w="180" w:type="pct"/>
            <w:noWrap w:val="0"/>
            <w:vAlign w:val="center"/>
          </w:tcPr>
          <w:p w14:paraId="20BC5BF5">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3D6C2BDD">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猪源性成分、羊源性成分、鸡源性成分、鸭源性成分、</w:t>
            </w:r>
            <w:r>
              <w:rPr>
                <w:rFonts w:hint="eastAsia" w:ascii="宋体" w:hAnsi="宋体" w:eastAsia="宋体" w:cs="宋体"/>
                <w:snapToGrid w:val="0"/>
                <w:kern w:val="0"/>
                <w:sz w:val="21"/>
                <w:szCs w:val="21"/>
                <w:lang w:bidi="ar"/>
              </w:rPr>
              <w:t>总磷酸盐（以磷酸根（PO</w:t>
            </w:r>
            <w:r>
              <w:rPr>
                <w:rFonts w:hint="eastAsia" w:ascii="宋体" w:hAnsi="宋体" w:eastAsia="宋体" w:cs="宋体"/>
                <w:snapToGrid w:val="0"/>
                <w:kern w:val="0"/>
                <w:sz w:val="21"/>
                <w:szCs w:val="21"/>
                <w:vertAlign w:val="subscript"/>
                <w:lang w:bidi="ar"/>
              </w:rPr>
              <w:t>4</w:t>
            </w:r>
            <w:r>
              <w:rPr>
                <w:rFonts w:hint="eastAsia" w:ascii="宋体" w:hAnsi="宋体" w:eastAsia="宋体" w:cs="宋体"/>
                <w:snapToGrid w:val="0"/>
                <w:kern w:val="0"/>
                <w:sz w:val="21"/>
                <w:szCs w:val="21"/>
                <w:vertAlign w:val="superscript"/>
                <w:lang w:bidi="ar"/>
              </w:rPr>
              <w:t>3-</w:t>
            </w:r>
            <w:r>
              <w:rPr>
                <w:rFonts w:hint="eastAsia" w:ascii="宋体" w:hAnsi="宋体" w:eastAsia="宋体" w:cs="宋体"/>
                <w:snapToGrid w:val="0"/>
                <w:kern w:val="0"/>
                <w:sz w:val="21"/>
                <w:szCs w:val="21"/>
                <w:lang w:bidi="ar"/>
              </w:rPr>
              <w:t>）计）、</w:t>
            </w:r>
            <w:r>
              <w:rPr>
                <w:rStyle w:val="88"/>
                <w:rFonts w:hint="eastAsia" w:ascii="宋体" w:hAnsi="宋体" w:eastAsia="宋体" w:cs="宋体"/>
                <w:snapToGrid w:val="0"/>
                <w:color w:val="auto"/>
                <w:sz w:val="21"/>
                <w:szCs w:val="21"/>
                <w:vertAlign w:val="baseline"/>
                <w:lang w:bidi="ar"/>
              </w:rPr>
              <w:t>五氯酚酸钠（以五氯酚计）、阿奇霉素、氧氟沙星、4-甲基氨基安替比林</w:t>
            </w:r>
          </w:p>
        </w:tc>
        <w:tc>
          <w:tcPr>
            <w:tcW w:w="1024" w:type="pct"/>
            <w:noWrap w:val="0"/>
            <w:vAlign w:val="center"/>
          </w:tcPr>
          <w:p w14:paraId="5E47D99E">
            <w:pPr>
              <w:kinsoku w:val="0"/>
              <w:autoSpaceDE w:val="0"/>
              <w:autoSpaceDN w:val="0"/>
              <w:adjustRightInd w:val="0"/>
              <w:snapToGrid w:val="0"/>
              <w:spacing w:line="260" w:lineRule="exact"/>
              <w:rPr>
                <w:rFonts w:hint="eastAsia" w:ascii="宋体" w:hAnsi="宋体" w:eastAsia="宋体" w:cs="宋体"/>
                <w:sz w:val="21"/>
                <w:szCs w:val="21"/>
              </w:rPr>
            </w:pPr>
          </w:p>
        </w:tc>
      </w:tr>
      <w:tr w14:paraId="61476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1585F630">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3E20997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3F885C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383040C">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5C60F10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其他畜肉</w:t>
            </w:r>
          </w:p>
        </w:tc>
        <w:tc>
          <w:tcPr>
            <w:tcW w:w="180" w:type="pct"/>
            <w:noWrap w:val="0"/>
            <w:vAlign w:val="center"/>
          </w:tcPr>
          <w:p w14:paraId="559211E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1DB9D7B">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w:t>
            </w:r>
          </w:p>
        </w:tc>
        <w:tc>
          <w:tcPr>
            <w:tcW w:w="1024" w:type="pct"/>
            <w:noWrap w:val="0"/>
            <w:vAlign w:val="center"/>
          </w:tcPr>
          <w:p w14:paraId="6B9DBD0D">
            <w:pPr>
              <w:kinsoku w:val="0"/>
              <w:autoSpaceDE w:val="0"/>
              <w:autoSpaceDN w:val="0"/>
              <w:adjustRightInd w:val="0"/>
              <w:snapToGrid w:val="0"/>
              <w:spacing w:line="260" w:lineRule="exact"/>
              <w:rPr>
                <w:rFonts w:hint="eastAsia" w:ascii="宋体" w:hAnsi="宋体" w:eastAsia="宋体" w:cs="宋体"/>
                <w:sz w:val="21"/>
                <w:szCs w:val="21"/>
              </w:rPr>
            </w:pPr>
          </w:p>
        </w:tc>
      </w:tr>
      <w:tr w14:paraId="69E9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4DE402BB">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58BAE48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31FBB8F4">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557" w:type="pct"/>
            <w:vMerge w:val="restart"/>
            <w:noWrap w:val="0"/>
            <w:vAlign w:val="center"/>
          </w:tcPr>
          <w:p w14:paraId="448EEA87">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禽肉</w:t>
            </w:r>
          </w:p>
        </w:tc>
        <w:tc>
          <w:tcPr>
            <w:tcW w:w="572" w:type="pct"/>
            <w:noWrap w:val="0"/>
            <w:vAlign w:val="center"/>
          </w:tcPr>
          <w:p w14:paraId="43B72A1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鸡肉</w:t>
            </w:r>
          </w:p>
        </w:tc>
        <w:tc>
          <w:tcPr>
            <w:tcW w:w="180" w:type="pct"/>
            <w:noWrap w:val="0"/>
            <w:vAlign w:val="center"/>
          </w:tcPr>
          <w:p w14:paraId="5FFE7606">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6BDE3C07">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五氯酚酸钠（以五氯酚计）、阿奇霉素、金刚烷胺</w:t>
            </w:r>
          </w:p>
        </w:tc>
        <w:tc>
          <w:tcPr>
            <w:tcW w:w="1024" w:type="pct"/>
            <w:noWrap w:val="0"/>
            <w:vAlign w:val="center"/>
          </w:tcPr>
          <w:p w14:paraId="54EB60D3">
            <w:pPr>
              <w:kinsoku w:val="0"/>
              <w:autoSpaceDE w:val="0"/>
              <w:autoSpaceDN w:val="0"/>
              <w:adjustRightInd w:val="0"/>
              <w:snapToGrid w:val="0"/>
              <w:spacing w:line="260" w:lineRule="exact"/>
              <w:rPr>
                <w:rFonts w:hint="eastAsia" w:ascii="宋体" w:hAnsi="宋体" w:eastAsia="宋体" w:cs="宋体"/>
                <w:sz w:val="21"/>
                <w:szCs w:val="21"/>
              </w:rPr>
            </w:pPr>
          </w:p>
        </w:tc>
      </w:tr>
      <w:tr w14:paraId="62224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048A74B">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114035E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3D16485">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41DD5F0D">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7AE2593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鸭肉</w:t>
            </w:r>
          </w:p>
        </w:tc>
        <w:tc>
          <w:tcPr>
            <w:tcW w:w="180" w:type="pct"/>
            <w:noWrap w:val="0"/>
            <w:vAlign w:val="center"/>
          </w:tcPr>
          <w:p w14:paraId="1674363B">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62AA3758">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w:t>
            </w:r>
          </w:p>
        </w:tc>
        <w:tc>
          <w:tcPr>
            <w:tcW w:w="1024" w:type="pct"/>
            <w:noWrap w:val="0"/>
            <w:vAlign w:val="center"/>
          </w:tcPr>
          <w:p w14:paraId="721F6675">
            <w:pPr>
              <w:kinsoku w:val="0"/>
              <w:autoSpaceDE w:val="0"/>
              <w:autoSpaceDN w:val="0"/>
              <w:adjustRightInd w:val="0"/>
              <w:snapToGrid w:val="0"/>
              <w:spacing w:line="260" w:lineRule="exact"/>
              <w:rPr>
                <w:rFonts w:hint="eastAsia" w:ascii="宋体" w:hAnsi="宋体" w:eastAsia="宋体" w:cs="宋体"/>
                <w:sz w:val="21"/>
                <w:szCs w:val="21"/>
              </w:rPr>
            </w:pPr>
          </w:p>
        </w:tc>
      </w:tr>
      <w:tr w14:paraId="2BE5B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18738F4">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6E2CDED4">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73B9A317">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6A65221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72" w:type="pct"/>
            <w:noWrap w:val="0"/>
            <w:vAlign w:val="center"/>
          </w:tcPr>
          <w:p w14:paraId="38B4DED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其他禽肉</w:t>
            </w:r>
          </w:p>
        </w:tc>
        <w:tc>
          <w:tcPr>
            <w:tcW w:w="180" w:type="pct"/>
            <w:noWrap w:val="0"/>
            <w:vAlign w:val="center"/>
          </w:tcPr>
          <w:p w14:paraId="224A8AFD">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55E2F9B">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五氯酚酸钠（以五氯酚计）、金刚烷胺</w:t>
            </w:r>
          </w:p>
        </w:tc>
        <w:tc>
          <w:tcPr>
            <w:tcW w:w="1024" w:type="pct"/>
            <w:noWrap w:val="0"/>
            <w:vAlign w:val="center"/>
          </w:tcPr>
          <w:p w14:paraId="26DA1A98">
            <w:pPr>
              <w:kinsoku w:val="0"/>
              <w:autoSpaceDE w:val="0"/>
              <w:autoSpaceDN w:val="0"/>
              <w:adjustRightInd w:val="0"/>
              <w:snapToGrid w:val="0"/>
              <w:spacing w:line="260" w:lineRule="exact"/>
              <w:rPr>
                <w:rFonts w:hint="eastAsia" w:ascii="宋体" w:hAnsi="宋体" w:eastAsia="宋体" w:cs="宋体"/>
                <w:sz w:val="21"/>
                <w:szCs w:val="21"/>
              </w:rPr>
            </w:pPr>
          </w:p>
        </w:tc>
      </w:tr>
      <w:tr w14:paraId="78EF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E6CCA59">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FC8570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1B17B8C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restart"/>
            <w:noWrap w:val="0"/>
            <w:vAlign w:val="center"/>
          </w:tcPr>
          <w:p w14:paraId="7E1B69B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畜副产品</w:t>
            </w:r>
          </w:p>
        </w:tc>
        <w:tc>
          <w:tcPr>
            <w:tcW w:w="572" w:type="pct"/>
            <w:noWrap w:val="0"/>
            <w:vAlign w:val="center"/>
          </w:tcPr>
          <w:p w14:paraId="4770B4CB">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猪肝</w:t>
            </w:r>
          </w:p>
        </w:tc>
        <w:tc>
          <w:tcPr>
            <w:tcW w:w="180" w:type="pct"/>
            <w:noWrap w:val="0"/>
            <w:vAlign w:val="center"/>
          </w:tcPr>
          <w:p w14:paraId="374870F0">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370F1D68">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五氯酚酸钠（以五氯酚计）、氧氟沙星</w:t>
            </w:r>
          </w:p>
        </w:tc>
        <w:tc>
          <w:tcPr>
            <w:tcW w:w="1024" w:type="pct"/>
            <w:noWrap w:val="0"/>
            <w:vAlign w:val="center"/>
          </w:tcPr>
          <w:p w14:paraId="71B2C224">
            <w:pPr>
              <w:kinsoku w:val="0"/>
              <w:autoSpaceDE w:val="0"/>
              <w:autoSpaceDN w:val="0"/>
              <w:adjustRightInd w:val="0"/>
              <w:snapToGrid w:val="0"/>
              <w:spacing w:line="260" w:lineRule="exact"/>
              <w:rPr>
                <w:rFonts w:hint="eastAsia" w:ascii="宋体" w:hAnsi="宋体" w:eastAsia="宋体" w:cs="宋体"/>
                <w:sz w:val="21"/>
                <w:szCs w:val="21"/>
              </w:rPr>
            </w:pPr>
          </w:p>
        </w:tc>
      </w:tr>
      <w:tr w14:paraId="5DE6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CB4AD37">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BBA640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747F37A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36E5427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71074C5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牛肝</w:t>
            </w:r>
          </w:p>
        </w:tc>
        <w:tc>
          <w:tcPr>
            <w:tcW w:w="180" w:type="pct"/>
            <w:noWrap w:val="0"/>
            <w:vAlign w:val="center"/>
          </w:tcPr>
          <w:p w14:paraId="18B76A0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高</w:t>
            </w:r>
          </w:p>
        </w:tc>
        <w:tc>
          <w:tcPr>
            <w:tcW w:w="1644" w:type="pct"/>
            <w:noWrap w:val="0"/>
            <w:vAlign w:val="center"/>
          </w:tcPr>
          <w:p w14:paraId="52ADBCE8">
            <w:pPr>
              <w:kinsoku w:val="0"/>
              <w:autoSpaceDE w:val="0"/>
              <w:autoSpaceDN w:val="0"/>
              <w:adjustRightInd w:val="0"/>
              <w:snapToGrid w:val="0"/>
              <w:spacing w:line="260" w:lineRule="exact"/>
              <w:textAlignment w:val="center"/>
              <w:rPr>
                <w:rFonts w:hint="eastAsia" w:ascii="宋体" w:hAnsi="宋体" w:eastAsia="宋体" w:cs="宋体"/>
                <w:snapToGrid w:val="0"/>
                <w:sz w:val="21"/>
                <w:szCs w:val="21"/>
                <w:lang w:bidi="ar"/>
              </w:rPr>
            </w:pPr>
            <w:r>
              <w:rPr>
                <w:rStyle w:val="88"/>
                <w:rFonts w:hint="eastAsia" w:ascii="宋体" w:hAnsi="宋体" w:eastAsia="宋体" w:cs="宋体"/>
                <w:snapToGrid w:val="0"/>
                <w:color w:val="auto"/>
                <w:sz w:val="21"/>
                <w:szCs w:val="21"/>
                <w:vertAlign w:val="baseline"/>
                <w:lang w:bidi="ar"/>
              </w:rPr>
              <w:t>五氯酚酸钠（以五氯酚计）</w:t>
            </w:r>
          </w:p>
        </w:tc>
        <w:tc>
          <w:tcPr>
            <w:tcW w:w="1024" w:type="pct"/>
            <w:noWrap w:val="0"/>
            <w:vAlign w:val="center"/>
          </w:tcPr>
          <w:p w14:paraId="0D5758A3">
            <w:pPr>
              <w:kinsoku w:val="0"/>
              <w:autoSpaceDE w:val="0"/>
              <w:autoSpaceDN w:val="0"/>
              <w:adjustRightInd w:val="0"/>
              <w:snapToGrid w:val="0"/>
              <w:spacing w:line="260" w:lineRule="exact"/>
              <w:rPr>
                <w:rFonts w:hint="eastAsia" w:ascii="宋体" w:hAnsi="宋体" w:eastAsia="宋体" w:cs="宋体"/>
                <w:sz w:val="21"/>
                <w:szCs w:val="21"/>
              </w:rPr>
            </w:pPr>
          </w:p>
        </w:tc>
      </w:tr>
      <w:tr w14:paraId="52D2D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25589AD9">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CF066C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3078DE3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6D6AA68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1C0FFBD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猪肾</w:t>
            </w:r>
          </w:p>
        </w:tc>
        <w:tc>
          <w:tcPr>
            <w:tcW w:w="180" w:type="pct"/>
            <w:noWrap w:val="0"/>
            <w:vAlign w:val="center"/>
          </w:tcPr>
          <w:p w14:paraId="6A8EC4D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11A858B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w:t>
            </w:r>
          </w:p>
        </w:tc>
        <w:tc>
          <w:tcPr>
            <w:tcW w:w="1024" w:type="pct"/>
            <w:noWrap w:val="0"/>
            <w:vAlign w:val="center"/>
          </w:tcPr>
          <w:p w14:paraId="73271ECD">
            <w:pPr>
              <w:kinsoku w:val="0"/>
              <w:autoSpaceDE w:val="0"/>
              <w:autoSpaceDN w:val="0"/>
              <w:adjustRightInd w:val="0"/>
              <w:snapToGrid w:val="0"/>
              <w:spacing w:line="260" w:lineRule="exact"/>
              <w:rPr>
                <w:rFonts w:hint="eastAsia" w:ascii="宋体" w:hAnsi="宋体" w:eastAsia="宋体" w:cs="宋体"/>
                <w:sz w:val="21"/>
                <w:szCs w:val="21"/>
              </w:rPr>
            </w:pPr>
          </w:p>
        </w:tc>
      </w:tr>
      <w:tr w14:paraId="4CE9B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4E0A864">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F266C8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06DD6BD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6E14161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04038CD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其他畜副产品</w:t>
            </w:r>
          </w:p>
        </w:tc>
        <w:tc>
          <w:tcPr>
            <w:tcW w:w="180" w:type="pct"/>
            <w:noWrap w:val="0"/>
            <w:vAlign w:val="center"/>
          </w:tcPr>
          <w:p w14:paraId="22015949">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70F8D6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五氯酚酸钠（以五氯酚计）、阿奇霉素</w:t>
            </w:r>
          </w:p>
        </w:tc>
        <w:tc>
          <w:tcPr>
            <w:tcW w:w="1024" w:type="pct"/>
            <w:noWrap w:val="0"/>
            <w:vAlign w:val="center"/>
          </w:tcPr>
          <w:p w14:paraId="340F681E">
            <w:pPr>
              <w:kinsoku w:val="0"/>
              <w:autoSpaceDE w:val="0"/>
              <w:autoSpaceDN w:val="0"/>
              <w:adjustRightInd w:val="0"/>
              <w:snapToGrid w:val="0"/>
              <w:spacing w:line="260" w:lineRule="exact"/>
              <w:rPr>
                <w:rFonts w:hint="eastAsia" w:ascii="宋体" w:hAnsi="宋体" w:eastAsia="宋体" w:cs="宋体"/>
                <w:sz w:val="21"/>
                <w:szCs w:val="21"/>
              </w:rPr>
            </w:pPr>
          </w:p>
        </w:tc>
      </w:tr>
      <w:tr w14:paraId="79B2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709267D">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2510290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6F13E8C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restart"/>
            <w:noWrap w:val="0"/>
            <w:vAlign w:val="center"/>
          </w:tcPr>
          <w:p w14:paraId="4751DD0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禽副产品</w:t>
            </w:r>
          </w:p>
        </w:tc>
        <w:tc>
          <w:tcPr>
            <w:tcW w:w="572" w:type="pct"/>
            <w:noWrap w:val="0"/>
            <w:vAlign w:val="center"/>
          </w:tcPr>
          <w:p w14:paraId="2A2961A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鸡肝</w:t>
            </w:r>
          </w:p>
        </w:tc>
        <w:tc>
          <w:tcPr>
            <w:tcW w:w="180" w:type="pct"/>
            <w:noWrap w:val="0"/>
            <w:vAlign w:val="center"/>
          </w:tcPr>
          <w:p w14:paraId="6E8DE99B">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1D0EBED1">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w:t>
            </w:r>
          </w:p>
        </w:tc>
        <w:tc>
          <w:tcPr>
            <w:tcW w:w="1024" w:type="pct"/>
            <w:noWrap w:val="0"/>
            <w:vAlign w:val="center"/>
          </w:tcPr>
          <w:p w14:paraId="37090070">
            <w:pPr>
              <w:kinsoku w:val="0"/>
              <w:autoSpaceDE w:val="0"/>
              <w:autoSpaceDN w:val="0"/>
              <w:adjustRightInd w:val="0"/>
              <w:snapToGrid w:val="0"/>
              <w:spacing w:line="260" w:lineRule="exact"/>
              <w:rPr>
                <w:rFonts w:hint="eastAsia" w:ascii="宋体" w:hAnsi="宋体" w:eastAsia="宋体" w:cs="宋体"/>
                <w:sz w:val="21"/>
                <w:szCs w:val="21"/>
              </w:rPr>
            </w:pPr>
          </w:p>
        </w:tc>
      </w:tr>
      <w:tr w14:paraId="594C7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5" w:hRule="atLeast"/>
          <w:jc w:val="center"/>
        </w:trPr>
        <w:tc>
          <w:tcPr>
            <w:tcW w:w="183" w:type="pct"/>
            <w:vMerge w:val="continue"/>
            <w:noWrap w:val="0"/>
            <w:vAlign w:val="center"/>
          </w:tcPr>
          <w:p w14:paraId="7D7FF6BD">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5E16D59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7BCD695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1A9D841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435FC1B1">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其他禽副产品</w:t>
            </w:r>
          </w:p>
        </w:tc>
        <w:tc>
          <w:tcPr>
            <w:tcW w:w="180" w:type="pct"/>
            <w:noWrap w:val="0"/>
            <w:vAlign w:val="center"/>
          </w:tcPr>
          <w:p w14:paraId="663D1127">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6336C1E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Style w:val="88"/>
                <w:rFonts w:hint="eastAsia" w:ascii="宋体" w:hAnsi="宋体" w:eastAsia="宋体" w:cs="宋体"/>
                <w:snapToGrid w:val="0"/>
                <w:color w:val="auto"/>
                <w:sz w:val="21"/>
                <w:szCs w:val="21"/>
                <w:vertAlign w:val="baseline"/>
                <w:lang w:bidi="ar"/>
              </w:rPr>
              <w:t>五氯酚酸钠（以五氯酚计）、阿奇霉素</w:t>
            </w:r>
          </w:p>
        </w:tc>
        <w:tc>
          <w:tcPr>
            <w:tcW w:w="1024" w:type="pct"/>
            <w:noWrap w:val="0"/>
            <w:vAlign w:val="center"/>
          </w:tcPr>
          <w:p w14:paraId="7860F369">
            <w:pPr>
              <w:kinsoku w:val="0"/>
              <w:autoSpaceDE w:val="0"/>
              <w:autoSpaceDN w:val="0"/>
              <w:adjustRightInd w:val="0"/>
              <w:snapToGrid w:val="0"/>
              <w:spacing w:line="260" w:lineRule="exact"/>
              <w:rPr>
                <w:rFonts w:hint="eastAsia" w:ascii="宋体" w:hAnsi="宋体" w:eastAsia="宋体" w:cs="宋体"/>
                <w:sz w:val="21"/>
                <w:szCs w:val="21"/>
              </w:rPr>
            </w:pPr>
          </w:p>
        </w:tc>
      </w:tr>
      <w:tr w14:paraId="6255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1" w:hRule="atLeast"/>
          <w:jc w:val="center"/>
        </w:trPr>
        <w:tc>
          <w:tcPr>
            <w:tcW w:w="183" w:type="pct"/>
            <w:vMerge w:val="restart"/>
            <w:noWrap w:val="0"/>
            <w:vAlign w:val="center"/>
          </w:tcPr>
          <w:p w14:paraId="336B96A4">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30</w:t>
            </w:r>
          </w:p>
        </w:tc>
        <w:tc>
          <w:tcPr>
            <w:tcW w:w="352" w:type="pct"/>
            <w:vMerge w:val="restart"/>
            <w:noWrap w:val="0"/>
            <w:vAlign w:val="center"/>
          </w:tcPr>
          <w:p w14:paraId="0B5528CC">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蔬菜</w:t>
            </w:r>
          </w:p>
        </w:tc>
        <w:tc>
          <w:tcPr>
            <w:tcW w:w="484" w:type="pct"/>
            <w:vMerge w:val="restart"/>
            <w:noWrap w:val="0"/>
            <w:vAlign w:val="center"/>
          </w:tcPr>
          <w:p w14:paraId="19A9570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蔬菜</w:t>
            </w:r>
          </w:p>
        </w:tc>
        <w:tc>
          <w:tcPr>
            <w:tcW w:w="557" w:type="pct"/>
            <w:noWrap w:val="0"/>
            <w:vAlign w:val="center"/>
          </w:tcPr>
          <w:p w14:paraId="0C079832">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豆芽</w:t>
            </w:r>
          </w:p>
        </w:tc>
        <w:tc>
          <w:tcPr>
            <w:tcW w:w="572" w:type="pct"/>
            <w:noWrap w:val="0"/>
            <w:vAlign w:val="center"/>
          </w:tcPr>
          <w:p w14:paraId="28E16680">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豆芽</w:t>
            </w:r>
          </w:p>
        </w:tc>
        <w:tc>
          <w:tcPr>
            <w:tcW w:w="180" w:type="pct"/>
            <w:noWrap w:val="0"/>
            <w:vAlign w:val="center"/>
          </w:tcPr>
          <w:p w14:paraId="5539F3B0">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06BD7A59">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恩诺沙星、环丙沙星、诺氟沙星、甲硝唑、甲氧苄啶、土霉素</w:t>
            </w:r>
          </w:p>
        </w:tc>
        <w:tc>
          <w:tcPr>
            <w:tcW w:w="1024" w:type="pct"/>
            <w:noWrap w:val="0"/>
            <w:vAlign w:val="center"/>
          </w:tcPr>
          <w:p w14:paraId="0D1B2162">
            <w:pPr>
              <w:kinsoku w:val="0"/>
              <w:autoSpaceDE w:val="0"/>
              <w:autoSpaceDN w:val="0"/>
              <w:adjustRightInd w:val="0"/>
              <w:snapToGrid w:val="0"/>
              <w:spacing w:line="260" w:lineRule="exact"/>
              <w:rPr>
                <w:rFonts w:hint="eastAsia" w:ascii="宋体" w:hAnsi="宋体" w:eastAsia="宋体" w:cs="宋体"/>
                <w:sz w:val="21"/>
                <w:szCs w:val="21"/>
              </w:rPr>
            </w:pPr>
          </w:p>
        </w:tc>
      </w:tr>
      <w:tr w14:paraId="7470F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5" w:hRule="atLeast"/>
          <w:jc w:val="center"/>
        </w:trPr>
        <w:tc>
          <w:tcPr>
            <w:tcW w:w="183" w:type="pct"/>
            <w:vMerge w:val="continue"/>
            <w:noWrap w:val="0"/>
            <w:vAlign w:val="center"/>
          </w:tcPr>
          <w:p w14:paraId="42A22F0A">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35FD566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26B1821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5EC184F8">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水生蔬菜</w:t>
            </w:r>
          </w:p>
        </w:tc>
        <w:tc>
          <w:tcPr>
            <w:tcW w:w="572" w:type="pct"/>
            <w:noWrap w:val="0"/>
            <w:vAlign w:val="center"/>
          </w:tcPr>
          <w:p w14:paraId="26733439">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慈姑</w:t>
            </w:r>
          </w:p>
        </w:tc>
        <w:tc>
          <w:tcPr>
            <w:tcW w:w="180" w:type="pct"/>
            <w:noWrap w:val="0"/>
            <w:vAlign w:val="center"/>
          </w:tcPr>
          <w:p w14:paraId="33E66FDD">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0A3B15C0">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苯醚甲环唑</w:t>
            </w:r>
          </w:p>
        </w:tc>
        <w:tc>
          <w:tcPr>
            <w:tcW w:w="1024" w:type="pct"/>
            <w:noWrap w:val="0"/>
            <w:vAlign w:val="center"/>
          </w:tcPr>
          <w:p w14:paraId="33E82416">
            <w:pPr>
              <w:kinsoku w:val="0"/>
              <w:autoSpaceDE w:val="0"/>
              <w:autoSpaceDN w:val="0"/>
              <w:adjustRightInd w:val="0"/>
              <w:snapToGrid w:val="0"/>
              <w:spacing w:line="260" w:lineRule="exact"/>
              <w:rPr>
                <w:rFonts w:hint="eastAsia" w:ascii="宋体" w:hAnsi="宋体" w:eastAsia="宋体" w:cs="宋体"/>
                <w:sz w:val="21"/>
                <w:szCs w:val="21"/>
              </w:rPr>
            </w:pPr>
          </w:p>
        </w:tc>
      </w:tr>
      <w:tr w14:paraId="17A3F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4" w:hRule="atLeast"/>
          <w:jc w:val="center"/>
        </w:trPr>
        <w:tc>
          <w:tcPr>
            <w:tcW w:w="183" w:type="pct"/>
            <w:vMerge w:val="restart"/>
            <w:noWrap w:val="0"/>
            <w:vAlign w:val="center"/>
          </w:tcPr>
          <w:p w14:paraId="1BD7DAC3">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30</w:t>
            </w:r>
          </w:p>
        </w:tc>
        <w:tc>
          <w:tcPr>
            <w:tcW w:w="352" w:type="pct"/>
            <w:vMerge w:val="restart"/>
            <w:noWrap w:val="0"/>
            <w:vAlign w:val="center"/>
          </w:tcPr>
          <w:p w14:paraId="79B0794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蔬菜</w:t>
            </w:r>
          </w:p>
        </w:tc>
        <w:tc>
          <w:tcPr>
            <w:tcW w:w="484" w:type="pct"/>
            <w:vMerge w:val="restart"/>
            <w:noWrap w:val="0"/>
            <w:vAlign w:val="center"/>
          </w:tcPr>
          <w:p w14:paraId="2C522C05">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蔬菜</w:t>
            </w:r>
          </w:p>
        </w:tc>
        <w:tc>
          <w:tcPr>
            <w:tcW w:w="557" w:type="pct"/>
            <w:noWrap w:val="0"/>
            <w:vAlign w:val="center"/>
          </w:tcPr>
          <w:p w14:paraId="541121EB">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鳞茎类</w:t>
            </w:r>
          </w:p>
        </w:tc>
        <w:tc>
          <w:tcPr>
            <w:tcW w:w="572" w:type="pct"/>
            <w:noWrap w:val="0"/>
            <w:vAlign w:val="center"/>
          </w:tcPr>
          <w:p w14:paraId="049D8322">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葱</w:t>
            </w:r>
          </w:p>
        </w:tc>
        <w:tc>
          <w:tcPr>
            <w:tcW w:w="180" w:type="pct"/>
            <w:noWrap w:val="0"/>
            <w:vAlign w:val="center"/>
          </w:tcPr>
          <w:p w14:paraId="2E14536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2AD2692D">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噻虫胺</w:t>
            </w:r>
          </w:p>
        </w:tc>
        <w:tc>
          <w:tcPr>
            <w:tcW w:w="1024" w:type="pct"/>
            <w:noWrap w:val="0"/>
            <w:vAlign w:val="center"/>
          </w:tcPr>
          <w:p w14:paraId="468445D6">
            <w:pPr>
              <w:kinsoku w:val="0"/>
              <w:autoSpaceDE w:val="0"/>
              <w:autoSpaceDN w:val="0"/>
              <w:adjustRightInd w:val="0"/>
              <w:snapToGrid w:val="0"/>
              <w:spacing w:line="260" w:lineRule="exact"/>
              <w:rPr>
                <w:rFonts w:hint="eastAsia" w:ascii="宋体" w:hAnsi="宋体" w:eastAsia="宋体" w:cs="宋体"/>
                <w:sz w:val="21"/>
                <w:szCs w:val="21"/>
              </w:rPr>
            </w:pPr>
          </w:p>
        </w:tc>
      </w:tr>
      <w:tr w14:paraId="074A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4" w:hRule="atLeast"/>
          <w:jc w:val="center"/>
        </w:trPr>
        <w:tc>
          <w:tcPr>
            <w:tcW w:w="183" w:type="pct"/>
            <w:vMerge w:val="continue"/>
            <w:noWrap w:val="0"/>
            <w:vAlign w:val="center"/>
          </w:tcPr>
          <w:p w14:paraId="208E76AC">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473BC2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4562B8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3FF6FAE1">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豆类蔬菜</w:t>
            </w:r>
          </w:p>
        </w:tc>
        <w:tc>
          <w:tcPr>
            <w:tcW w:w="572" w:type="pct"/>
            <w:noWrap w:val="0"/>
            <w:vAlign w:val="center"/>
          </w:tcPr>
          <w:p w14:paraId="76017D47">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豇豆</w:t>
            </w:r>
          </w:p>
        </w:tc>
        <w:tc>
          <w:tcPr>
            <w:tcW w:w="180" w:type="pct"/>
            <w:noWrap w:val="0"/>
            <w:vAlign w:val="center"/>
          </w:tcPr>
          <w:p w14:paraId="4F4CC6D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195FBD14">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吡唑醚菌酯、腐霉利</w:t>
            </w:r>
          </w:p>
        </w:tc>
        <w:tc>
          <w:tcPr>
            <w:tcW w:w="1024" w:type="pct"/>
            <w:noWrap w:val="0"/>
            <w:vAlign w:val="center"/>
          </w:tcPr>
          <w:p w14:paraId="1CD75407">
            <w:pPr>
              <w:kinsoku w:val="0"/>
              <w:autoSpaceDE w:val="0"/>
              <w:autoSpaceDN w:val="0"/>
              <w:adjustRightInd w:val="0"/>
              <w:snapToGrid w:val="0"/>
              <w:spacing w:line="260" w:lineRule="exact"/>
              <w:rPr>
                <w:rFonts w:hint="eastAsia" w:ascii="宋体" w:hAnsi="宋体" w:eastAsia="宋体" w:cs="宋体"/>
                <w:sz w:val="21"/>
                <w:szCs w:val="21"/>
              </w:rPr>
            </w:pPr>
          </w:p>
        </w:tc>
      </w:tr>
      <w:tr w14:paraId="20930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44" w:hRule="atLeast"/>
          <w:jc w:val="center"/>
        </w:trPr>
        <w:tc>
          <w:tcPr>
            <w:tcW w:w="183" w:type="pct"/>
            <w:vMerge w:val="continue"/>
            <w:noWrap w:val="0"/>
            <w:vAlign w:val="center"/>
          </w:tcPr>
          <w:p w14:paraId="3FEFC800">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07B124F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5F43954D">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6B73A5B1">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叶菜类</w:t>
            </w:r>
          </w:p>
        </w:tc>
        <w:tc>
          <w:tcPr>
            <w:tcW w:w="572" w:type="pct"/>
            <w:noWrap w:val="0"/>
            <w:vAlign w:val="center"/>
          </w:tcPr>
          <w:p w14:paraId="6576D897">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油麦菜</w:t>
            </w:r>
          </w:p>
        </w:tc>
        <w:tc>
          <w:tcPr>
            <w:tcW w:w="180" w:type="pct"/>
            <w:noWrap w:val="0"/>
            <w:vAlign w:val="center"/>
          </w:tcPr>
          <w:p w14:paraId="58494B91">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0D884028">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唑虫酰胺</w:t>
            </w:r>
          </w:p>
        </w:tc>
        <w:tc>
          <w:tcPr>
            <w:tcW w:w="1024" w:type="pct"/>
            <w:noWrap w:val="0"/>
            <w:vAlign w:val="center"/>
          </w:tcPr>
          <w:p w14:paraId="1FA80F7E">
            <w:pPr>
              <w:kinsoku w:val="0"/>
              <w:autoSpaceDE w:val="0"/>
              <w:autoSpaceDN w:val="0"/>
              <w:adjustRightInd w:val="0"/>
              <w:snapToGrid w:val="0"/>
              <w:spacing w:line="260" w:lineRule="exact"/>
              <w:rPr>
                <w:rFonts w:hint="eastAsia" w:ascii="宋体" w:hAnsi="宋体" w:eastAsia="宋体" w:cs="宋体"/>
                <w:sz w:val="21"/>
                <w:szCs w:val="21"/>
              </w:rPr>
            </w:pPr>
          </w:p>
        </w:tc>
      </w:tr>
      <w:tr w14:paraId="2B41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260D2DD9">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31</w:t>
            </w:r>
          </w:p>
        </w:tc>
        <w:tc>
          <w:tcPr>
            <w:tcW w:w="352" w:type="pct"/>
            <w:vMerge w:val="restart"/>
            <w:noWrap w:val="0"/>
            <w:vAlign w:val="center"/>
          </w:tcPr>
          <w:p w14:paraId="01C468EE">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水产品</w:t>
            </w:r>
          </w:p>
        </w:tc>
        <w:tc>
          <w:tcPr>
            <w:tcW w:w="484" w:type="pct"/>
            <w:vMerge w:val="restart"/>
            <w:noWrap w:val="0"/>
            <w:vAlign w:val="center"/>
          </w:tcPr>
          <w:p w14:paraId="2B4D986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水产品</w:t>
            </w:r>
          </w:p>
        </w:tc>
        <w:tc>
          <w:tcPr>
            <w:tcW w:w="557" w:type="pct"/>
            <w:vMerge w:val="restart"/>
            <w:noWrap w:val="0"/>
            <w:vAlign w:val="center"/>
          </w:tcPr>
          <w:p w14:paraId="53A22900">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淡水产品</w:t>
            </w:r>
          </w:p>
        </w:tc>
        <w:tc>
          <w:tcPr>
            <w:tcW w:w="572" w:type="pct"/>
            <w:noWrap w:val="0"/>
            <w:vAlign w:val="center"/>
          </w:tcPr>
          <w:p w14:paraId="4C3552D9">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淡水鱼</w:t>
            </w:r>
          </w:p>
        </w:tc>
        <w:tc>
          <w:tcPr>
            <w:tcW w:w="180" w:type="pct"/>
            <w:noWrap w:val="0"/>
            <w:vAlign w:val="center"/>
          </w:tcPr>
          <w:p w14:paraId="215A2521">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5443E276">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阿奇霉素</w:t>
            </w:r>
          </w:p>
        </w:tc>
        <w:tc>
          <w:tcPr>
            <w:tcW w:w="1024" w:type="pct"/>
            <w:noWrap w:val="0"/>
            <w:vAlign w:val="center"/>
          </w:tcPr>
          <w:p w14:paraId="7C5005F0">
            <w:pPr>
              <w:kinsoku w:val="0"/>
              <w:autoSpaceDE w:val="0"/>
              <w:autoSpaceDN w:val="0"/>
              <w:adjustRightInd w:val="0"/>
              <w:snapToGrid w:val="0"/>
              <w:spacing w:line="260" w:lineRule="exact"/>
              <w:rPr>
                <w:rFonts w:hint="eastAsia" w:ascii="宋体" w:hAnsi="宋体" w:eastAsia="宋体" w:cs="宋体"/>
                <w:sz w:val="21"/>
                <w:szCs w:val="21"/>
              </w:rPr>
            </w:pPr>
          </w:p>
        </w:tc>
      </w:tr>
      <w:tr w14:paraId="7D81B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428D923A">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532AB1B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0D0C465C">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vMerge w:val="continue"/>
            <w:noWrap w:val="0"/>
            <w:vAlign w:val="center"/>
          </w:tcPr>
          <w:p w14:paraId="12163AB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109C5133">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淡水虾</w:t>
            </w:r>
          </w:p>
        </w:tc>
        <w:tc>
          <w:tcPr>
            <w:tcW w:w="180" w:type="pct"/>
            <w:noWrap w:val="0"/>
            <w:vAlign w:val="center"/>
          </w:tcPr>
          <w:p w14:paraId="0F1807B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46568E67">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总磷酸盐（以磷酸根（PO</w:t>
            </w:r>
            <w:r>
              <w:rPr>
                <w:rFonts w:hint="eastAsia" w:ascii="宋体" w:hAnsi="宋体" w:eastAsia="宋体" w:cs="宋体"/>
                <w:snapToGrid w:val="0"/>
                <w:kern w:val="0"/>
                <w:sz w:val="21"/>
                <w:szCs w:val="21"/>
                <w:vertAlign w:val="subscript"/>
                <w:lang w:bidi="ar"/>
              </w:rPr>
              <w:t>4</w:t>
            </w:r>
            <w:r>
              <w:rPr>
                <w:rFonts w:hint="eastAsia" w:ascii="宋体" w:hAnsi="宋体" w:eastAsia="宋体" w:cs="宋体"/>
                <w:snapToGrid w:val="0"/>
                <w:kern w:val="0"/>
                <w:sz w:val="21"/>
                <w:szCs w:val="21"/>
                <w:vertAlign w:val="superscript"/>
                <w:lang w:bidi="ar"/>
              </w:rPr>
              <w:t>3-</w:t>
            </w:r>
            <w:r>
              <w:rPr>
                <w:rFonts w:hint="eastAsia" w:ascii="宋体" w:hAnsi="宋体" w:eastAsia="宋体" w:cs="宋体"/>
                <w:snapToGrid w:val="0"/>
                <w:kern w:val="0"/>
                <w:sz w:val="21"/>
                <w:szCs w:val="21"/>
                <w:lang w:bidi="ar"/>
              </w:rPr>
              <w:t>）计）</w:t>
            </w:r>
          </w:p>
        </w:tc>
        <w:tc>
          <w:tcPr>
            <w:tcW w:w="1024" w:type="pct"/>
            <w:noWrap w:val="0"/>
            <w:vAlign w:val="center"/>
          </w:tcPr>
          <w:p w14:paraId="7943785E">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限活虾及标签未标识使用磷酸盐的冻虾仁产品</w:t>
            </w:r>
          </w:p>
        </w:tc>
      </w:tr>
      <w:tr w14:paraId="53785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53EF9A7">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5367A8C8">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2C550F7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0516046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海水产品</w:t>
            </w:r>
          </w:p>
        </w:tc>
        <w:tc>
          <w:tcPr>
            <w:tcW w:w="572" w:type="pct"/>
            <w:noWrap w:val="0"/>
            <w:vAlign w:val="center"/>
          </w:tcPr>
          <w:p w14:paraId="6B0EE7ED">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海水虾</w:t>
            </w:r>
          </w:p>
        </w:tc>
        <w:tc>
          <w:tcPr>
            <w:tcW w:w="180" w:type="pct"/>
            <w:noWrap w:val="0"/>
            <w:vAlign w:val="center"/>
          </w:tcPr>
          <w:p w14:paraId="7114710B">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一般</w:t>
            </w:r>
          </w:p>
        </w:tc>
        <w:tc>
          <w:tcPr>
            <w:tcW w:w="1644" w:type="pct"/>
            <w:noWrap w:val="0"/>
            <w:vAlign w:val="center"/>
          </w:tcPr>
          <w:p w14:paraId="0C666F86">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总磷酸盐（以磷酸根（PO</w:t>
            </w:r>
            <w:r>
              <w:rPr>
                <w:rFonts w:hint="eastAsia" w:ascii="宋体" w:hAnsi="宋体" w:eastAsia="宋体" w:cs="宋体"/>
                <w:snapToGrid w:val="0"/>
                <w:kern w:val="0"/>
                <w:sz w:val="21"/>
                <w:szCs w:val="21"/>
                <w:vertAlign w:val="subscript"/>
                <w:lang w:bidi="ar"/>
              </w:rPr>
              <w:t>4</w:t>
            </w:r>
            <w:r>
              <w:rPr>
                <w:rFonts w:hint="eastAsia" w:ascii="宋体" w:hAnsi="宋体" w:eastAsia="宋体" w:cs="宋体"/>
                <w:snapToGrid w:val="0"/>
                <w:kern w:val="0"/>
                <w:sz w:val="21"/>
                <w:szCs w:val="21"/>
                <w:vertAlign w:val="superscript"/>
                <w:lang w:bidi="ar"/>
              </w:rPr>
              <w:t>3-</w:t>
            </w:r>
            <w:r>
              <w:rPr>
                <w:rFonts w:hint="eastAsia" w:ascii="宋体" w:hAnsi="宋体" w:eastAsia="宋体" w:cs="宋体"/>
                <w:snapToGrid w:val="0"/>
                <w:kern w:val="0"/>
                <w:sz w:val="21"/>
                <w:szCs w:val="21"/>
                <w:lang w:bidi="ar"/>
              </w:rPr>
              <w:t>）计）</w:t>
            </w:r>
          </w:p>
        </w:tc>
        <w:tc>
          <w:tcPr>
            <w:tcW w:w="1024" w:type="pct"/>
            <w:noWrap w:val="0"/>
            <w:vAlign w:val="center"/>
          </w:tcPr>
          <w:p w14:paraId="5464AD08">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限活虾及标签未标识使用磷酸盐的冻虾仁产品</w:t>
            </w:r>
          </w:p>
        </w:tc>
      </w:tr>
      <w:tr w14:paraId="1747A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94CB59B">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1CE87ED4">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4BEA8FF9">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4A8F6F0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贝类</w:t>
            </w:r>
          </w:p>
        </w:tc>
        <w:tc>
          <w:tcPr>
            <w:tcW w:w="572" w:type="pct"/>
            <w:noWrap w:val="0"/>
            <w:vAlign w:val="center"/>
          </w:tcPr>
          <w:p w14:paraId="7F36BFD6">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贝类</w:t>
            </w:r>
          </w:p>
        </w:tc>
        <w:tc>
          <w:tcPr>
            <w:tcW w:w="180" w:type="pct"/>
            <w:noWrap w:val="0"/>
            <w:vAlign w:val="center"/>
          </w:tcPr>
          <w:p w14:paraId="3A1A1EC0">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高</w:t>
            </w:r>
          </w:p>
        </w:tc>
        <w:tc>
          <w:tcPr>
            <w:tcW w:w="1644" w:type="pct"/>
            <w:noWrap w:val="0"/>
            <w:vAlign w:val="center"/>
          </w:tcPr>
          <w:p w14:paraId="75066C2D">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金刚烷胺、阿奇霉素</w:t>
            </w:r>
          </w:p>
        </w:tc>
        <w:tc>
          <w:tcPr>
            <w:tcW w:w="1024" w:type="pct"/>
            <w:noWrap w:val="0"/>
            <w:vAlign w:val="center"/>
          </w:tcPr>
          <w:p w14:paraId="7E85E5FD">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p>
        </w:tc>
      </w:tr>
      <w:tr w14:paraId="6DB91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2D8ED40">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70032572">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484" w:type="pct"/>
            <w:vMerge w:val="continue"/>
            <w:noWrap w:val="0"/>
            <w:vAlign w:val="center"/>
          </w:tcPr>
          <w:p w14:paraId="76CA005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57" w:type="pct"/>
            <w:noWrap w:val="0"/>
            <w:vAlign w:val="center"/>
          </w:tcPr>
          <w:p w14:paraId="03ECC7AF">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其他水产品</w:t>
            </w:r>
          </w:p>
        </w:tc>
        <w:tc>
          <w:tcPr>
            <w:tcW w:w="572" w:type="pct"/>
            <w:noWrap w:val="0"/>
            <w:vAlign w:val="center"/>
          </w:tcPr>
          <w:p w14:paraId="7DFBC45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其他水产品</w:t>
            </w:r>
          </w:p>
        </w:tc>
        <w:tc>
          <w:tcPr>
            <w:tcW w:w="180" w:type="pct"/>
            <w:noWrap w:val="0"/>
            <w:vAlign w:val="center"/>
          </w:tcPr>
          <w:p w14:paraId="3B974E5A">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高</w:t>
            </w:r>
          </w:p>
        </w:tc>
        <w:tc>
          <w:tcPr>
            <w:tcW w:w="1644" w:type="pct"/>
            <w:noWrap w:val="0"/>
            <w:vAlign w:val="center"/>
          </w:tcPr>
          <w:p w14:paraId="7B88689C">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利巴韦林、阿奇霉素</w:t>
            </w:r>
          </w:p>
        </w:tc>
        <w:tc>
          <w:tcPr>
            <w:tcW w:w="1024" w:type="pct"/>
            <w:noWrap w:val="0"/>
            <w:vAlign w:val="center"/>
          </w:tcPr>
          <w:p w14:paraId="1C59F7F3">
            <w:pPr>
              <w:kinsoku w:val="0"/>
              <w:autoSpaceDE w:val="0"/>
              <w:autoSpaceDN w:val="0"/>
              <w:adjustRightInd w:val="0"/>
              <w:snapToGrid w:val="0"/>
              <w:spacing w:line="260" w:lineRule="exact"/>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限蛙科、鳖科食品动物</w:t>
            </w:r>
          </w:p>
        </w:tc>
      </w:tr>
      <w:tr w14:paraId="5A95D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393F6CAD">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32</w:t>
            </w:r>
          </w:p>
        </w:tc>
        <w:tc>
          <w:tcPr>
            <w:tcW w:w="352" w:type="pct"/>
            <w:vMerge w:val="restart"/>
            <w:noWrap w:val="0"/>
            <w:vAlign w:val="center"/>
          </w:tcPr>
          <w:p w14:paraId="12A44535">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水果类</w:t>
            </w:r>
          </w:p>
        </w:tc>
        <w:tc>
          <w:tcPr>
            <w:tcW w:w="484" w:type="pct"/>
            <w:vMerge w:val="restart"/>
            <w:noWrap w:val="0"/>
            <w:vAlign w:val="center"/>
          </w:tcPr>
          <w:p w14:paraId="2A767F63">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水果类</w:t>
            </w:r>
          </w:p>
        </w:tc>
        <w:tc>
          <w:tcPr>
            <w:tcW w:w="557" w:type="pct"/>
            <w:noWrap w:val="0"/>
            <w:vAlign w:val="center"/>
          </w:tcPr>
          <w:p w14:paraId="2DB8A606">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浆果和其他小型水果</w:t>
            </w:r>
          </w:p>
        </w:tc>
        <w:tc>
          <w:tcPr>
            <w:tcW w:w="572" w:type="pct"/>
            <w:noWrap w:val="0"/>
            <w:vAlign w:val="center"/>
          </w:tcPr>
          <w:p w14:paraId="3D29C600">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桑葚</w:t>
            </w:r>
          </w:p>
        </w:tc>
        <w:tc>
          <w:tcPr>
            <w:tcW w:w="180" w:type="pct"/>
            <w:noWrap w:val="0"/>
            <w:vAlign w:val="center"/>
          </w:tcPr>
          <w:p w14:paraId="532EF9E0">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040AD892">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pacing w:val="-2"/>
                <w:sz w:val="21"/>
                <w:szCs w:val="21"/>
              </w:rPr>
              <w:t>纳他霉素</w:t>
            </w:r>
          </w:p>
        </w:tc>
        <w:tc>
          <w:tcPr>
            <w:tcW w:w="1024" w:type="pct"/>
            <w:noWrap w:val="0"/>
            <w:vAlign w:val="center"/>
          </w:tcPr>
          <w:p w14:paraId="4F8C4DF7">
            <w:pPr>
              <w:kinsoku w:val="0"/>
              <w:autoSpaceDE w:val="0"/>
              <w:autoSpaceDN w:val="0"/>
              <w:adjustRightInd w:val="0"/>
              <w:snapToGrid w:val="0"/>
              <w:spacing w:line="260" w:lineRule="exact"/>
              <w:rPr>
                <w:rFonts w:hint="eastAsia" w:ascii="宋体" w:hAnsi="宋体" w:eastAsia="宋体" w:cs="宋体"/>
                <w:sz w:val="21"/>
                <w:szCs w:val="21"/>
              </w:rPr>
            </w:pPr>
          </w:p>
        </w:tc>
      </w:tr>
      <w:tr w14:paraId="6669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640CFCC3">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5A74F654">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627827A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restart"/>
            <w:noWrap w:val="0"/>
            <w:vAlign w:val="center"/>
          </w:tcPr>
          <w:p w14:paraId="39A5340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热带和亚热带水果</w:t>
            </w:r>
          </w:p>
        </w:tc>
        <w:tc>
          <w:tcPr>
            <w:tcW w:w="572" w:type="pct"/>
            <w:noWrap w:val="0"/>
            <w:vAlign w:val="center"/>
          </w:tcPr>
          <w:p w14:paraId="3F3F309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杨梅</w:t>
            </w:r>
          </w:p>
        </w:tc>
        <w:tc>
          <w:tcPr>
            <w:tcW w:w="180" w:type="pct"/>
            <w:noWrap w:val="0"/>
            <w:vAlign w:val="center"/>
          </w:tcPr>
          <w:p w14:paraId="3FFD0CA7">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较高</w:t>
            </w:r>
          </w:p>
        </w:tc>
        <w:tc>
          <w:tcPr>
            <w:tcW w:w="1644" w:type="pct"/>
            <w:noWrap w:val="0"/>
            <w:vAlign w:val="center"/>
          </w:tcPr>
          <w:p w14:paraId="71E7D999">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纳他霉素、安赛蜜</w:t>
            </w:r>
          </w:p>
        </w:tc>
        <w:tc>
          <w:tcPr>
            <w:tcW w:w="1024" w:type="pct"/>
            <w:noWrap w:val="0"/>
            <w:vAlign w:val="center"/>
          </w:tcPr>
          <w:p w14:paraId="047FFB6F">
            <w:pPr>
              <w:kinsoku w:val="0"/>
              <w:autoSpaceDE w:val="0"/>
              <w:autoSpaceDN w:val="0"/>
              <w:adjustRightInd w:val="0"/>
              <w:snapToGrid w:val="0"/>
              <w:spacing w:line="260" w:lineRule="exact"/>
              <w:rPr>
                <w:rFonts w:hint="eastAsia" w:ascii="宋体" w:hAnsi="宋体" w:eastAsia="宋体" w:cs="宋体"/>
                <w:sz w:val="21"/>
                <w:szCs w:val="21"/>
              </w:rPr>
            </w:pPr>
          </w:p>
        </w:tc>
      </w:tr>
      <w:tr w14:paraId="0CA9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3B3A9E57">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314C75A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0959648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26DF4157">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4EE7DC57">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香蕉</w:t>
            </w:r>
          </w:p>
        </w:tc>
        <w:tc>
          <w:tcPr>
            <w:tcW w:w="180" w:type="pct"/>
            <w:noWrap w:val="0"/>
            <w:vAlign w:val="center"/>
          </w:tcPr>
          <w:p w14:paraId="1F15527F">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5C96BCB4">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氯氟氰菊酯和高效氯氟氰菊酯</w:t>
            </w:r>
          </w:p>
        </w:tc>
        <w:tc>
          <w:tcPr>
            <w:tcW w:w="1024" w:type="pct"/>
            <w:noWrap w:val="0"/>
            <w:vAlign w:val="center"/>
          </w:tcPr>
          <w:p w14:paraId="5A2545C8">
            <w:pPr>
              <w:kinsoku w:val="0"/>
              <w:autoSpaceDE w:val="0"/>
              <w:autoSpaceDN w:val="0"/>
              <w:adjustRightInd w:val="0"/>
              <w:snapToGrid w:val="0"/>
              <w:spacing w:line="260" w:lineRule="exact"/>
              <w:rPr>
                <w:rFonts w:hint="eastAsia" w:ascii="宋体" w:hAnsi="宋体" w:eastAsia="宋体" w:cs="宋体"/>
                <w:sz w:val="21"/>
                <w:szCs w:val="21"/>
              </w:rPr>
            </w:pPr>
          </w:p>
        </w:tc>
      </w:tr>
      <w:tr w14:paraId="56A83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73D1386F">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56E0B5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5120138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vMerge w:val="continue"/>
            <w:noWrap w:val="0"/>
            <w:vAlign w:val="center"/>
          </w:tcPr>
          <w:p w14:paraId="31FAD28E">
            <w:pPr>
              <w:kinsoku w:val="0"/>
              <w:autoSpaceDE w:val="0"/>
              <w:autoSpaceDN w:val="0"/>
              <w:adjustRightInd w:val="0"/>
              <w:snapToGrid w:val="0"/>
              <w:spacing w:line="260" w:lineRule="exact"/>
              <w:jc w:val="center"/>
              <w:textAlignment w:val="center"/>
              <w:rPr>
                <w:rFonts w:hint="eastAsia" w:ascii="宋体" w:hAnsi="宋体" w:eastAsia="宋体" w:cs="宋体"/>
                <w:snapToGrid w:val="0"/>
                <w:kern w:val="0"/>
                <w:sz w:val="21"/>
                <w:szCs w:val="21"/>
                <w:lang w:bidi="ar"/>
              </w:rPr>
            </w:pPr>
          </w:p>
        </w:tc>
        <w:tc>
          <w:tcPr>
            <w:tcW w:w="572" w:type="pct"/>
            <w:noWrap w:val="0"/>
            <w:vAlign w:val="center"/>
          </w:tcPr>
          <w:p w14:paraId="2AE0D124">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火龙果</w:t>
            </w:r>
          </w:p>
        </w:tc>
        <w:tc>
          <w:tcPr>
            <w:tcW w:w="180" w:type="pct"/>
            <w:noWrap w:val="0"/>
            <w:vAlign w:val="center"/>
          </w:tcPr>
          <w:p w14:paraId="4C2865AF">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7C0639BF">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咪鲜胺</w:t>
            </w:r>
          </w:p>
        </w:tc>
        <w:tc>
          <w:tcPr>
            <w:tcW w:w="1024" w:type="pct"/>
            <w:noWrap w:val="0"/>
            <w:vAlign w:val="center"/>
          </w:tcPr>
          <w:p w14:paraId="28818D32">
            <w:pPr>
              <w:kinsoku w:val="0"/>
              <w:autoSpaceDE w:val="0"/>
              <w:autoSpaceDN w:val="0"/>
              <w:adjustRightInd w:val="0"/>
              <w:snapToGrid w:val="0"/>
              <w:spacing w:line="260" w:lineRule="exact"/>
              <w:rPr>
                <w:rFonts w:hint="eastAsia" w:ascii="宋体" w:hAnsi="宋体" w:eastAsia="宋体" w:cs="宋体"/>
                <w:sz w:val="21"/>
                <w:szCs w:val="21"/>
              </w:rPr>
            </w:pPr>
          </w:p>
        </w:tc>
      </w:tr>
      <w:tr w14:paraId="5474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5496094">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0CDA394F">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2DDA7246">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66D94E38">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柑橘类水果</w:t>
            </w:r>
          </w:p>
        </w:tc>
        <w:tc>
          <w:tcPr>
            <w:tcW w:w="572" w:type="pct"/>
            <w:noWrap w:val="0"/>
            <w:vAlign w:val="center"/>
          </w:tcPr>
          <w:p w14:paraId="36DD4CEF">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柑、橘、橙</w:t>
            </w:r>
          </w:p>
        </w:tc>
        <w:tc>
          <w:tcPr>
            <w:tcW w:w="180" w:type="pct"/>
            <w:noWrap w:val="0"/>
            <w:vAlign w:val="center"/>
          </w:tcPr>
          <w:p w14:paraId="41B740CD">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3E2F9A7C">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戊唑醇</w:t>
            </w:r>
          </w:p>
        </w:tc>
        <w:tc>
          <w:tcPr>
            <w:tcW w:w="1024" w:type="pct"/>
            <w:noWrap w:val="0"/>
            <w:vAlign w:val="center"/>
          </w:tcPr>
          <w:p w14:paraId="14AC2F3B">
            <w:pPr>
              <w:kinsoku w:val="0"/>
              <w:autoSpaceDE w:val="0"/>
              <w:autoSpaceDN w:val="0"/>
              <w:adjustRightInd w:val="0"/>
              <w:snapToGrid w:val="0"/>
              <w:spacing w:line="260" w:lineRule="exact"/>
              <w:rPr>
                <w:rFonts w:hint="eastAsia" w:ascii="宋体" w:hAnsi="宋体" w:eastAsia="宋体" w:cs="宋体"/>
                <w:sz w:val="21"/>
                <w:szCs w:val="21"/>
              </w:rPr>
            </w:pPr>
          </w:p>
        </w:tc>
      </w:tr>
      <w:tr w14:paraId="7C3D2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0" w:hRule="atLeast"/>
          <w:jc w:val="center"/>
        </w:trPr>
        <w:tc>
          <w:tcPr>
            <w:tcW w:w="183" w:type="pct"/>
            <w:vMerge w:val="continue"/>
            <w:noWrap w:val="0"/>
            <w:vAlign w:val="center"/>
          </w:tcPr>
          <w:p w14:paraId="3A45DA7F">
            <w:pPr>
              <w:kinsoku w:val="0"/>
              <w:autoSpaceDE w:val="0"/>
              <w:autoSpaceDN w:val="0"/>
              <w:adjustRightInd w:val="0"/>
              <w:snapToGrid w:val="0"/>
              <w:spacing w:line="260" w:lineRule="exact"/>
              <w:jc w:val="center"/>
              <w:rPr>
                <w:rFonts w:hint="eastAsia" w:ascii="宋体" w:hAnsi="宋体" w:eastAsia="宋体" w:cs="宋体"/>
                <w:sz w:val="21"/>
                <w:szCs w:val="21"/>
              </w:rPr>
            </w:pPr>
          </w:p>
        </w:tc>
        <w:tc>
          <w:tcPr>
            <w:tcW w:w="352" w:type="pct"/>
            <w:vMerge w:val="continue"/>
            <w:noWrap w:val="0"/>
            <w:vAlign w:val="center"/>
          </w:tcPr>
          <w:p w14:paraId="1545A0DE">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484" w:type="pct"/>
            <w:vMerge w:val="continue"/>
            <w:noWrap w:val="0"/>
            <w:vAlign w:val="center"/>
          </w:tcPr>
          <w:p w14:paraId="1F90A184">
            <w:pPr>
              <w:kinsoku w:val="0"/>
              <w:autoSpaceDE w:val="0"/>
              <w:autoSpaceDN w:val="0"/>
              <w:adjustRightInd w:val="0"/>
              <w:snapToGrid w:val="0"/>
              <w:spacing w:line="260" w:lineRule="exact"/>
              <w:jc w:val="center"/>
              <w:rPr>
                <w:rFonts w:hint="eastAsia" w:ascii="宋体" w:hAnsi="宋体" w:eastAsia="宋体" w:cs="宋体"/>
                <w:spacing w:val="-3"/>
                <w:sz w:val="21"/>
                <w:szCs w:val="21"/>
              </w:rPr>
            </w:pPr>
          </w:p>
        </w:tc>
        <w:tc>
          <w:tcPr>
            <w:tcW w:w="557" w:type="pct"/>
            <w:noWrap w:val="0"/>
            <w:vAlign w:val="center"/>
          </w:tcPr>
          <w:p w14:paraId="62FF67E5">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瓜果类水果</w:t>
            </w:r>
          </w:p>
        </w:tc>
        <w:tc>
          <w:tcPr>
            <w:tcW w:w="572" w:type="pct"/>
            <w:noWrap w:val="0"/>
            <w:vAlign w:val="center"/>
          </w:tcPr>
          <w:p w14:paraId="10B967C1">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西瓜</w:t>
            </w:r>
          </w:p>
        </w:tc>
        <w:tc>
          <w:tcPr>
            <w:tcW w:w="180" w:type="pct"/>
            <w:noWrap w:val="0"/>
            <w:vAlign w:val="center"/>
          </w:tcPr>
          <w:p w14:paraId="027B90CF">
            <w:pPr>
              <w:widowControl/>
              <w:jc w:val="center"/>
              <w:textAlignment w:val="center"/>
              <w:rPr>
                <w:rFonts w:hint="eastAsia" w:ascii="宋体" w:hAnsi="宋体" w:eastAsia="宋体" w:cs="宋体"/>
                <w:snapToGrid w:val="0"/>
                <w:kern w:val="0"/>
                <w:sz w:val="21"/>
                <w:szCs w:val="21"/>
                <w:lang w:bidi="ar"/>
              </w:rPr>
            </w:pPr>
            <w:r>
              <w:rPr>
                <w:rFonts w:hint="eastAsia" w:ascii="宋体" w:hAnsi="宋体" w:eastAsia="宋体" w:cs="宋体"/>
                <w:snapToGrid w:val="0"/>
                <w:kern w:val="0"/>
                <w:sz w:val="21"/>
                <w:szCs w:val="21"/>
                <w:lang w:bidi="ar"/>
              </w:rPr>
              <w:t>/</w:t>
            </w:r>
          </w:p>
        </w:tc>
        <w:tc>
          <w:tcPr>
            <w:tcW w:w="1644" w:type="pct"/>
            <w:noWrap w:val="0"/>
            <w:vAlign w:val="center"/>
          </w:tcPr>
          <w:p w14:paraId="4B2E0DEC">
            <w:pPr>
              <w:widowControl/>
              <w:jc w:val="left"/>
              <w:textAlignment w:val="center"/>
              <w:rPr>
                <w:rFonts w:hint="eastAsia" w:ascii="宋体" w:hAnsi="宋体" w:eastAsia="宋体" w:cs="宋体"/>
                <w:snapToGrid w:val="0"/>
                <w:kern w:val="0"/>
                <w:sz w:val="21"/>
                <w:szCs w:val="21"/>
                <w:lang w:bidi="ar"/>
              </w:rPr>
            </w:pPr>
            <w:r>
              <w:rPr>
                <w:rFonts w:hint="eastAsia" w:ascii="宋体" w:hAnsi="宋体" w:eastAsia="宋体" w:cs="宋体"/>
                <w:kern w:val="0"/>
                <w:sz w:val="21"/>
                <w:szCs w:val="21"/>
                <w:lang w:bidi="ar"/>
              </w:rPr>
              <w:t>氯吡脲</w:t>
            </w:r>
          </w:p>
        </w:tc>
        <w:tc>
          <w:tcPr>
            <w:tcW w:w="1024" w:type="pct"/>
            <w:noWrap w:val="0"/>
            <w:vAlign w:val="center"/>
          </w:tcPr>
          <w:p w14:paraId="14BD45D8">
            <w:pPr>
              <w:kinsoku w:val="0"/>
              <w:autoSpaceDE w:val="0"/>
              <w:autoSpaceDN w:val="0"/>
              <w:adjustRightInd w:val="0"/>
              <w:snapToGrid w:val="0"/>
              <w:spacing w:line="260" w:lineRule="exact"/>
              <w:rPr>
                <w:rFonts w:hint="eastAsia" w:ascii="宋体" w:hAnsi="宋体" w:eastAsia="宋体" w:cs="宋体"/>
                <w:sz w:val="21"/>
                <w:szCs w:val="21"/>
              </w:rPr>
            </w:pPr>
          </w:p>
        </w:tc>
      </w:tr>
      <w:tr w14:paraId="2BFF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restart"/>
            <w:noWrap w:val="0"/>
            <w:vAlign w:val="center"/>
          </w:tcPr>
          <w:p w14:paraId="33D7A661">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r>
              <w:rPr>
                <w:rFonts w:hint="eastAsia" w:ascii="宋体" w:hAnsi="宋体" w:eastAsia="宋体" w:cs="宋体"/>
                <w:sz w:val="21"/>
                <w:szCs w:val="21"/>
              </w:rPr>
              <w:t>33</w:t>
            </w:r>
          </w:p>
        </w:tc>
        <w:tc>
          <w:tcPr>
            <w:tcW w:w="352" w:type="pct"/>
            <w:vMerge w:val="restart"/>
            <w:noWrap w:val="0"/>
            <w:vAlign w:val="center"/>
          </w:tcPr>
          <w:p w14:paraId="5AB6572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鲜蛋</w:t>
            </w:r>
          </w:p>
        </w:tc>
        <w:tc>
          <w:tcPr>
            <w:tcW w:w="484" w:type="pct"/>
            <w:vMerge w:val="restart"/>
            <w:noWrap w:val="0"/>
            <w:vAlign w:val="center"/>
          </w:tcPr>
          <w:p w14:paraId="5CC1505F">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鲜蛋</w:t>
            </w:r>
          </w:p>
        </w:tc>
        <w:tc>
          <w:tcPr>
            <w:tcW w:w="557" w:type="pct"/>
            <w:vMerge w:val="restart"/>
            <w:noWrap w:val="0"/>
            <w:vAlign w:val="center"/>
          </w:tcPr>
          <w:p w14:paraId="41C32580">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鲜蛋</w:t>
            </w:r>
          </w:p>
        </w:tc>
        <w:tc>
          <w:tcPr>
            <w:tcW w:w="572" w:type="pct"/>
            <w:noWrap w:val="0"/>
            <w:vAlign w:val="center"/>
          </w:tcPr>
          <w:p w14:paraId="2DA7B98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鸡蛋</w:t>
            </w:r>
          </w:p>
        </w:tc>
        <w:tc>
          <w:tcPr>
            <w:tcW w:w="180" w:type="pct"/>
            <w:noWrap w:val="0"/>
            <w:vAlign w:val="center"/>
          </w:tcPr>
          <w:p w14:paraId="4C5C529A">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44C1E69F">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金刚烷胺、环丙氨嗪</w:t>
            </w:r>
          </w:p>
        </w:tc>
        <w:tc>
          <w:tcPr>
            <w:tcW w:w="1024" w:type="pct"/>
            <w:noWrap w:val="0"/>
            <w:vAlign w:val="center"/>
          </w:tcPr>
          <w:p w14:paraId="1C18AB93">
            <w:pPr>
              <w:kinsoku w:val="0"/>
              <w:autoSpaceDE w:val="0"/>
              <w:autoSpaceDN w:val="0"/>
              <w:adjustRightInd w:val="0"/>
              <w:snapToGrid w:val="0"/>
              <w:spacing w:line="260" w:lineRule="exact"/>
              <w:rPr>
                <w:rFonts w:hint="eastAsia" w:ascii="宋体" w:hAnsi="宋体" w:eastAsia="宋体" w:cs="宋体"/>
                <w:sz w:val="21"/>
                <w:szCs w:val="21"/>
              </w:rPr>
            </w:pPr>
          </w:p>
        </w:tc>
      </w:tr>
      <w:tr w14:paraId="3BAA3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83" w:type="pct"/>
            <w:vMerge w:val="continue"/>
            <w:noWrap w:val="0"/>
            <w:vAlign w:val="center"/>
          </w:tcPr>
          <w:p w14:paraId="50C050E6">
            <w:pPr>
              <w:kinsoku w:val="0"/>
              <w:autoSpaceDE w:val="0"/>
              <w:autoSpaceDN w:val="0"/>
              <w:adjustRightInd w:val="0"/>
              <w:snapToGrid w:val="0"/>
              <w:spacing w:line="260" w:lineRule="exact"/>
              <w:jc w:val="center"/>
              <w:textAlignment w:val="center"/>
              <w:rPr>
                <w:rFonts w:hint="eastAsia" w:ascii="宋体" w:hAnsi="宋体" w:eastAsia="宋体" w:cs="宋体"/>
                <w:sz w:val="21"/>
                <w:szCs w:val="21"/>
              </w:rPr>
            </w:pPr>
          </w:p>
        </w:tc>
        <w:tc>
          <w:tcPr>
            <w:tcW w:w="352" w:type="pct"/>
            <w:vMerge w:val="continue"/>
            <w:noWrap w:val="0"/>
            <w:vAlign w:val="center"/>
          </w:tcPr>
          <w:p w14:paraId="035FDEE8">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484" w:type="pct"/>
            <w:vMerge w:val="continue"/>
            <w:noWrap w:val="0"/>
            <w:vAlign w:val="center"/>
          </w:tcPr>
          <w:p w14:paraId="43649D4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557" w:type="pct"/>
            <w:vMerge w:val="continue"/>
            <w:noWrap w:val="0"/>
            <w:vAlign w:val="center"/>
          </w:tcPr>
          <w:p w14:paraId="0973C5FA">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p>
        </w:tc>
        <w:tc>
          <w:tcPr>
            <w:tcW w:w="572" w:type="pct"/>
            <w:noWrap w:val="0"/>
            <w:vAlign w:val="center"/>
          </w:tcPr>
          <w:p w14:paraId="7B3289CD">
            <w:pPr>
              <w:kinsoku w:val="0"/>
              <w:autoSpaceDE w:val="0"/>
              <w:autoSpaceDN w:val="0"/>
              <w:adjustRightInd w:val="0"/>
              <w:snapToGrid w:val="0"/>
              <w:spacing w:line="260" w:lineRule="exact"/>
              <w:jc w:val="center"/>
              <w:textAlignment w:val="center"/>
              <w:rPr>
                <w:rFonts w:hint="eastAsia" w:ascii="宋体" w:hAnsi="宋体" w:eastAsia="宋体" w:cs="宋体"/>
                <w:spacing w:val="-3"/>
                <w:sz w:val="21"/>
                <w:szCs w:val="21"/>
              </w:rPr>
            </w:pPr>
            <w:r>
              <w:rPr>
                <w:rFonts w:hint="eastAsia" w:ascii="宋体" w:hAnsi="宋体" w:eastAsia="宋体" w:cs="宋体"/>
                <w:snapToGrid w:val="0"/>
                <w:kern w:val="0"/>
                <w:sz w:val="21"/>
                <w:szCs w:val="21"/>
                <w:lang w:bidi="ar"/>
              </w:rPr>
              <w:t>其他禽蛋</w:t>
            </w:r>
          </w:p>
        </w:tc>
        <w:tc>
          <w:tcPr>
            <w:tcW w:w="180" w:type="pct"/>
            <w:noWrap w:val="0"/>
            <w:vAlign w:val="center"/>
          </w:tcPr>
          <w:p w14:paraId="6CC03DF4">
            <w:pPr>
              <w:kinsoku w:val="0"/>
              <w:autoSpaceDE w:val="0"/>
              <w:autoSpaceDN w:val="0"/>
              <w:adjustRightInd w:val="0"/>
              <w:snapToGrid w:val="0"/>
              <w:spacing w:line="260" w:lineRule="exact"/>
              <w:jc w:val="center"/>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高</w:t>
            </w:r>
          </w:p>
        </w:tc>
        <w:tc>
          <w:tcPr>
            <w:tcW w:w="1644" w:type="pct"/>
            <w:noWrap w:val="0"/>
            <w:vAlign w:val="center"/>
          </w:tcPr>
          <w:p w14:paraId="6F93D534">
            <w:pPr>
              <w:kinsoku w:val="0"/>
              <w:autoSpaceDE w:val="0"/>
              <w:autoSpaceDN w:val="0"/>
              <w:adjustRightInd w:val="0"/>
              <w:snapToGrid w:val="0"/>
              <w:spacing w:line="260" w:lineRule="exact"/>
              <w:textAlignment w:val="center"/>
              <w:rPr>
                <w:rFonts w:hint="eastAsia" w:ascii="宋体" w:hAnsi="宋体" w:eastAsia="宋体" w:cs="宋体"/>
                <w:spacing w:val="-2"/>
                <w:sz w:val="21"/>
                <w:szCs w:val="21"/>
              </w:rPr>
            </w:pPr>
            <w:r>
              <w:rPr>
                <w:rFonts w:hint="eastAsia" w:ascii="宋体" w:hAnsi="宋体" w:eastAsia="宋体" w:cs="宋体"/>
                <w:snapToGrid w:val="0"/>
                <w:kern w:val="0"/>
                <w:sz w:val="21"/>
                <w:szCs w:val="21"/>
                <w:lang w:bidi="ar"/>
              </w:rPr>
              <w:t>多西环素、恩诺沙星、氟苯尼考、甲硝唑、甲氧苄啶、地美硝唑、氧氟沙星、环丙氨嗪、金刚烷胺</w:t>
            </w:r>
          </w:p>
        </w:tc>
        <w:tc>
          <w:tcPr>
            <w:tcW w:w="1024" w:type="pct"/>
            <w:noWrap w:val="0"/>
            <w:vAlign w:val="center"/>
          </w:tcPr>
          <w:p w14:paraId="13298C0B">
            <w:pPr>
              <w:kinsoku w:val="0"/>
              <w:autoSpaceDE w:val="0"/>
              <w:autoSpaceDN w:val="0"/>
              <w:adjustRightInd w:val="0"/>
              <w:snapToGrid w:val="0"/>
              <w:spacing w:line="260" w:lineRule="exact"/>
              <w:rPr>
                <w:rFonts w:hint="eastAsia" w:ascii="宋体" w:hAnsi="宋体" w:eastAsia="宋体" w:cs="宋体"/>
                <w:sz w:val="21"/>
                <w:szCs w:val="21"/>
              </w:rPr>
            </w:pPr>
          </w:p>
        </w:tc>
      </w:tr>
    </w:tbl>
    <w:p w14:paraId="1ABF35A5">
      <w:pPr>
        <w:keepNext w:val="0"/>
        <w:keepLines w:val="0"/>
        <w:pageBreakBefore w:val="0"/>
        <w:widowControl w:val="0"/>
        <w:kinsoku/>
        <w:wordWrap/>
        <w:overflowPunct/>
        <w:topLinePunct w:val="0"/>
        <w:autoSpaceDE/>
        <w:autoSpaceDN/>
        <w:bidi w:val="0"/>
        <w:adjustRightInd/>
        <w:snapToGrid/>
        <w:textAlignment w:val="auto"/>
        <w:outlineLvl w:val="9"/>
        <w:rPr>
          <w:rFonts w:hint="default" w:ascii="Times New Roman" w:hAnsi="Times New Roman" w:eastAsia="宋体" w:cs="Times New Roman"/>
          <w:i w:val="0"/>
          <w:iCs w:val="0"/>
          <w:color w:val="000000"/>
          <w:kern w:val="0"/>
          <w:sz w:val="18"/>
          <w:szCs w:val="18"/>
          <w:u w:val="none"/>
          <w:lang w:val="en-US" w:eastAsia="zh-CN" w:bidi="ar"/>
        </w:rPr>
      </w:pPr>
    </w:p>
    <w:p w14:paraId="34F94105">
      <w:pPr>
        <w:spacing w:line="240" w:lineRule="auto"/>
        <w:ind w:firstLine="0" w:firstLineChars="0"/>
        <w:outlineLvl w:val="9"/>
        <w:rPr>
          <w:rFonts w:hint="eastAsia" w:ascii="宋体" w:hAnsi="宋体" w:cs="方正黑体_GBK"/>
          <w:b/>
          <w:color w:val="auto"/>
          <w:sz w:val="21"/>
          <w:szCs w:val="21"/>
          <w:highlight w:val="none"/>
        </w:rPr>
      </w:pPr>
      <w:r>
        <w:rPr>
          <w:rFonts w:hint="default" w:ascii="Times New Roman" w:hAnsi="Times New Roman" w:eastAsia="宋体" w:cs="Times New Roman"/>
          <w:i w:val="0"/>
          <w:iCs w:val="0"/>
          <w:color w:val="000000"/>
          <w:kern w:val="0"/>
          <w:sz w:val="21"/>
          <w:szCs w:val="21"/>
          <w:u w:val="none"/>
          <w:lang w:val="en-US" w:eastAsia="zh-CN" w:bidi="ar"/>
        </w:rPr>
        <w:t>注：</w:t>
      </w:r>
      <w:r>
        <w:rPr>
          <w:rFonts w:hint="eastAsia" w:ascii="Times New Roman" w:hAnsi="Times New Roman" w:eastAsia="宋体" w:cs="宋体"/>
          <w:b w:val="0"/>
          <w:bCs w:val="0"/>
          <w:snapToGrid w:val="0"/>
          <w:kern w:val="0"/>
          <w:sz w:val="21"/>
          <w:szCs w:val="21"/>
          <w:vertAlign w:val="baseline"/>
          <w:lang w:eastAsia="zh-CN" w:bidi="ar"/>
        </w:rPr>
        <w:t>风险</w:t>
      </w:r>
      <w:r>
        <w:rPr>
          <w:rFonts w:hint="eastAsia" w:ascii="Times New Roman" w:hAnsi="Times New Roman" w:eastAsia="宋体" w:cs="宋体"/>
          <w:b w:val="0"/>
          <w:bCs w:val="0"/>
          <w:snapToGrid w:val="0"/>
          <w:kern w:val="0"/>
          <w:sz w:val="21"/>
          <w:szCs w:val="21"/>
          <w:vertAlign w:val="baseline"/>
          <w:lang w:val="en-US" w:eastAsia="zh-CN" w:bidi="ar"/>
        </w:rPr>
        <w:t>抽检项目依据各部门的风险通报、食品安全舆情热点、消费者投诉以及境外预警等风险信息进行相应的增减。</w:t>
      </w:r>
    </w:p>
    <w:p w14:paraId="2FB3C02A">
      <w:pPr>
        <w:spacing w:line="360" w:lineRule="auto"/>
        <w:ind w:firstLine="422" w:firstLineChars="200"/>
        <w:rPr>
          <w:rFonts w:hint="eastAsia" w:ascii="宋体" w:hAnsi="宋体" w:cs="方正黑体_GBK"/>
          <w:b/>
          <w:color w:val="auto"/>
          <w:sz w:val="21"/>
          <w:szCs w:val="21"/>
          <w:highlight w:val="none"/>
        </w:rPr>
        <w:sectPr>
          <w:pgSz w:w="16838" w:h="11911" w:orient="landscape"/>
          <w:pgMar w:top="1803" w:right="1440" w:bottom="1803" w:left="1440" w:header="720" w:footer="720" w:gutter="0"/>
          <w:pgNumType w:fmt="decimal"/>
          <w:cols w:space="0" w:num="1"/>
          <w:rtlGutter w:val="0"/>
          <w:docGrid w:linePitch="317" w:charSpace="0"/>
        </w:sectPr>
      </w:pPr>
    </w:p>
    <w:p w14:paraId="382165B6">
      <w:pPr>
        <w:pStyle w:val="31"/>
        <w:rPr>
          <w:rFonts w:ascii="Microsoft New Tai Lue" w:hAnsi="Microsoft New Tai Lue" w:cs="Microsoft New Tai Lue"/>
          <w:color w:val="auto"/>
          <w:highlight w:val="none"/>
        </w:rPr>
      </w:pPr>
      <w:bookmarkStart w:id="266" w:name="_Toc107246272"/>
      <w:r>
        <w:rPr>
          <w:rFonts w:ascii="Microsoft New Tai Lue" w:hAnsi="Microsoft New Tai Lue" w:cs="Microsoft New Tai Lue"/>
          <w:color w:val="auto"/>
          <w:highlight w:val="none"/>
        </w:rPr>
        <w:t>第五章 评标方法与评标标准</w:t>
      </w:r>
      <w:bookmarkEnd w:id="266"/>
    </w:p>
    <w:p w14:paraId="7447C6EA">
      <w:pPr>
        <w:pStyle w:val="15"/>
        <w:spacing w:line="360" w:lineRule="auto"/>
        <w:ind w:left="0" w:leftChars="0" w:firstLine="480" w:firstLineChars="200"/>
        <w:rPr>
          <w:b w:val="0"/>
          <w:color w:val="auto"/>
          <w:highlight w:val="none"/>
        </w:rPr>
      </w:pPr>
      <w:r>
        <w:rPr>
          <w:rFonts w:hint="eastAsia"/>
          <w:b w:val="0"/>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p w14:paraId="00A6EA02">
      <w:pPr>
        <w:pStyle w:val="15"/>
        <w:spacing w:line="360" w:lineRule="auto"/>
        <w:ind w:left="0" w:leftChars="0" w:firstLine="482" w:firstLineChars="200"/>
        <w:rPr>
          <w:color w:val="auto"/>
          <w:highlight w:val="none"/>
        </w:rPr>
      </w:pPr>
      <w:r>
        <w:rPr>
          <w:rFonts w:hint="eastAsia"/>
          <w:color w:val="auto"/>
          <w:highlight w:val="none"/>
        </w:rPr>
        <w:t>本项目兼投不兼中：供应商可投标多个包，但至多只能中标一个包。评审按包号正顺序进行评审，供应商在前一包中被推荐为第一中标候选人后，其投标文件在后续包中按照无效投标处理。</w:t>
      </w:r>
    </w:p>
    <w:tbl>
      <w:tblPr>
        <w:tblStyle w:val="34"/>
        <w:tblW w:w="50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1160"/>
        <w:gridCol w:w="5593"/>
        <w:gridCol w:w="767"/>
      </w:tblGrid>
      <w:tr w14:paraId="1EA15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blHeader/>
          <w:jc w:val="center"/>
        </w:trPr>
        <w:tc>
          <w:tcPr>
            <w:tcW w:w="666" w:type="pct"/>
            <w:tcBorders>
              <w:top w:val="single" w:color="auto" w:sz="4" w:space="0"/>
              <w:left w:val="single" w:color="auto" w:sz="4" w:space="0"/>
              <w:bottom w:val="single" w:color="auto" w:sz="4" w:space="0"/>
              <w:right w:val="single" w:color="auto" w:sz="4" w:space="0"/>
            </w:tcBorders>
            <w:vAlign w:val="center"/>
          </w:tcPr>
          <w:p w14:paraId="64B70C9A">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类别</w:t>
            </w:r>
          </w:p>
        </w:tc>
        <w:tc>
          <w:tcPr>
            <w:tcW w:w="668" w:type="pct"/>
            <w:tcBorders>
              <w:top w:val="single" w:color="auto" w:sz="4" w:space="0"/>
              <w:left w:val="single" w:color="auto" w:sz="4" w:space="0"/>
              <w:bottom w:val="single" w:color="auto" w:sz="4" w:space="0"/>
              <w:right w:val="single" w:color="auto" w:sz="4" w:space="0"/>
            </w:tcBorders>
            <w:vAlign w:val="center"/>
          </w:tcPr>
          <w:p w14:paraId="686196F6">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评审内容</w:t>
            </w:r>
          </w:p>
        </w:tc>
        <w:tc>
          <w:tcPr>
            <w:tcW w:w="3222" w:type="pct"/>
            <w:tcBorders>
              <w:top w:val="single" w:color="auto" w:sz="4" w:space="0"/>
              <w:left w:val="single" w:color="auto" w:sz="4" w:space="0"/>
              <w:bottom w:val="single" w:color="auto" w:sz="4" w:space="0"/>
              <w:right w:val="single" w:color="auto" w:sz="4" w:space="0"/>
            </w:tcBorders>
            <w:vAlign w:val="center"/>
          </w:tcPr>
          <w:p w14:paraId="350B572E">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评分标准</w:t>
            </w:r>
          </w:p>
        </w:tc>
        <w:tc>
          <w:tcPr>
            <w:tcW w:w="442" w:type="pct"/>
            <w:tcBorders>
              <w:top w:val="single" w:color="auto" w:sz="4" w:space="0"/>
              <w:left w:val="single" w:color="auto" w:sz="4" w:space="0"/>
              <w:bottom w:val="single" w:color="auto" w:sz="4" w:space="0"/>
              <w:right w:val="single" w:color="auto" w:sz="4" w:space="0"/>
            </w:tcBorders>
            <w:vAlign w:val="center"/>
          </w:tcPr>
          <w:p w14:paraId="726B2FAF">
            <w:pPr>
              <w:snapToGrid w:val="0"/>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分值</w:t>
            </w:r>
          </w:p>
        </w:tc>
      </w:tr>
      <w:tr w14:paraId="3CA12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tcBorders>
              <w:top w:val="single" w:color="auto" w:sz="4" w:space="0"/>
              <w:left w:val="single" w:color="auto" w:sz="4" w:space="0"/>
              <w:bottom w:val="single" w:color="auto" w:sz="4" w:space="0"/>
              <w:right w:val="single" w:color="auto" w:sz="4" w:space="0"/>
            </w:tcBorders>
            <w:vAlign w:val="center"/>
          </w:tcPr>
          <w:p w14:paraId="27087F99">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报价部分（10分）</w:t>
            </w:r>
          </w:p>
        </w:tc>
        <w:tc>
          <w:tcPr>
            <w:tcW w:w="668" w:type="pct"/>
            <w:tcBorders>
              <w:top w:val="single" w:color="auto" w:sz="4" w:space="0"/>
              <w:left w:val="single" w:color="auto" w:sz="4" w:space="0"/>
              <w:bottom w:val="single" w:color="auto" w:sz="4" w:space="0"/>
              <w:right w:val="single" w:color="auto" w:sz="4" w:space="0"/>
            </w:tcBorders>
            <w:vAlign w:val="center"/>
          </w:tcPr>
          <w:p w14:paraId="24260CF2">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投标报价</w:t>
            </w:r>
          </w:p>
        </w:tc>
        <w:tc>
          <w:tcPr>
            <w:tcW w:w="3222" w:type="pct"/>
            <w:tcBorders>
              <w:top w:val="single" w:color="auto" w:sz="4" w:space="0"/>
              <w:left w:val="single" w:color="auto" w:sz="4" w:space="0"/>
              <w:bottom w:val="single" w:color="auto" w:sz="4" w:space="0"/>
              <w:right w:val="single" w:color="auto" w:sz="4" w:space="0"/>
            </w:tcBorders>
            <w:vAlign w:val="center"/>
          </w:tcPr>
          <w:p w14:paraId="7327E838">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zh-CN"/>
              </w:rPr>
              <w:t>价格分统一采用低价优先法，即满足招标文件要求且投标价格最低的投标报价为评标基准价，其价格分为满分。其他</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的价格分统一按照下列公式计算：投标报价得分＝（评标基准价/投标报价）×10％×100</w:t>
            </w:r>
          </w:p>
        </w:tc>
        <w:tc>
          <w:tcPr>
            <w:tcW w:w="442" w:type="pct"/>
            <w:tcBorders>
              <w:top w:val="single" w:color="auto" w:sz="4" w:space="0"/>
              <w:left w:val="single" w:color="auto" w:sz="4" w:space="0"/>
              <w:bottom w:val="single" w:color="auto" w:sz="4" w:space="0"/>
              <w:right w:val="single" w:color="auto" w:sz="4" w:space="0"/>
            </w:tcBorders>
            <w:vAlign w:val="center"/>
          </w:tcPr>
          <w:p w14:paraId="0DAE94E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10分</w:t>
            </w:r>
          </w:p>
        </w:tc>
      </w:tr>
      <w:tr w14:paraId="0CCA8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restart"/>
            <w:tcBorders>
              <w:top w:val="single" w:color="auto" w:sz="4" w:space="0"/>
              <w:left w:val="single" w:color="auto" w:sz="4" w:space="0"/>
              <w:right w:val="single" w:color="auto" w:sz="4" w:space="0"/>
            </w:tcBorders>
            <w:vAlign w:val="center"/>
          </w:tcPr>
          <w:p w14:paraId="7CCE0728">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技术部分（8</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分）</w:t>
            </w:r>
          </w:p>
        </w:tc>
        <w:tc>
          <w:tcPr>
            <w:tcW w:w="668" w:type="pct"/>
            <w:tcBorders>
              <w:top w:val="single" w:color="auto" w:sz="4" w:space="0"/>
              <w:left w:val="single" w:color="auto" w:sz="4" w:space="0"/>
              <w:bottom w:val="single" w:color="auto" w:sz="4" w:space="0"/>
              <w:right w:val="single" w:color="auto" w:sz="4" w:space="0"/>
            </w:tcBorders>
            <w:vAlign w:val="center"/>
          </w:tcPr>
          <w:p w14:paraId="3219A5F6">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人员团队</w:t>
            </w:r>
          </w:p>
        </w:tc>
        <w:tc>
          <w:tcPr>
            <w:tcW w:w="3222" w:type="pct"/>
            <w:tcBorders>
              <w:top w:val="single" w:color="auto" w:sz="4" w:space="0"/>
              <w:left w:val="single" w:color="auto" w:sz="4" w:space="0"/>
              <w:bottom w:val="single" w:color="auto" w:sz="4" w:space="0"/>
              <w:right w:val="single" w:color="auto" w:sz="4" w:space="0"/>
            </w:tcBorders>
            <w:vAlign w:val="center"/>
          </w:tcPr>
          <w:p w14:paraId="35C96E45">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对拟指派的项目团队的人员数量、人员构成、专业程度等情况进行评价，其中：</w:t>
            </w:r>
          </w:p>
          <w:p w14:paraId="7C8C9258">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lang w:val="zh-CN"/>
              </w:rPr>
              <w:t>（1）独立抽样人员达到</w:t>
            </w:r>
            <w:r>
              <w:rPr>
                <w:rFonts w:hint="eastAsia" w:ascii="宋体" w:hAnsi="宋体" w:cs="宋体"/>
                <w:color w:val="auto"/>
                <w:kern w:val="0"/>
                <w:szCs w:val="21"/>
                <w:highlight w:val="none"/>
              </w:rPr>
              <w:t>12</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10</w:t>
            </w:r>
            <w:r>
              <w:rPr>
                <w:rFonts w:hint="eastAsia" w:ascii="宋体" w:hAnsi="宋体" w:cs="宋体"/>
                <w:color w:val="auto"/>
                <w:kern w:val="0"/>
                <w:szCs w:val="21"/>
                <w:highlight w:val="none"/>
                <w:lang w:val="zh-CN"/>
              </w:rPr>
              <w:t>-1</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8</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9</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6-7</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szCs w:val="21"/>
                <w:highlight w:val="none"/>
              </w:rPr>
              <w:t>；</w:t>
            </w:r>
          </w:p>
          <w:p w14:paraId="3010CBC7">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（2）工作满2年及以上的专职食品检验人员达到</w:t>
            </w:r>
            <w:r>
              <w:rPr>
                <w:rFonts w:hint="eastAsia" w:ascii="宋体" w:hAnsi="宋体" w:cs="宋体"/>
                <w:color w:val="auto"/>
                <w:kern w:val="0"/>
                <w:szCs w:val="21"/>
                <w:highlight w:val="none"/>
              </w:rPr>
              <w:t>35</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3</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30-3</w:t>
            </w:r>
            <w:r>
              <w:rPr>
                <w:rFonts w:hint="eastAsia" w:ascii="宋体" w:hAnsi="宋体" w:cs="宋体"/>
                <w:color w:val="auto"/>
                <w:kern w:val="0"/>
                <w:szCs w:val="21"/>
                <w:highlight w:val="none"/>
                <w:lang w:val="zh-CN"/>
              </w:rPr>
              <w:t>4人，得</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5-</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9人，得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20</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24</w:t>
            </w:r>
            <w:r>
              <w:rPr>
                <w:rFonts w:hint="eastAsia" w:ascii="宋体" w:hAnsi="宋体" w:cs="宋体"/>
                <w:color w:val="auto"/>
                <w:kern w:val="0"/>
                <w:szCs w:val="21"/>
                <w:highlight w:val="none"/>
                <w:lang w:val="zh-CN"/>
              </w:rPr>
              <w:t>人，得</w:t>
            </w:r>
            <w:r>
              <w:rPr>
                <w:rFonts w:hint="eastAsia" w:ascii="宋体" w:hAnsi="宋体" w:cs="宋体"/>
                <w:color w:val="auto"/>
                <w:kern w:val="0"/>
                <w:szCs w:val="21"/>
                <w:highlight w:val="none"/>
                <w:lang w:val="en-US" w:eastAsia="zh-CN"/>
              </w:rPr>
              <w:t>0.5</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4B1B01CC">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）具备从事数据统计分析、</w:t>
            </w:r>
            <w:r>
              <w:rPr>
                <w:rFonts w:hint="eastAsia" w:ascii="宋体" w:hAnsi="宋体" w:cs="宋体"/>
                <w:color w:val="auto"/>
                <w:kern w:val="0"/>
                <w:szCs w:val="21"/>
                <w:highlight w:val="none"/>
              </w:rPr>
              <w:t>数据质量审核</w:t>
            </w:r>
            <w:r>
              <w:rPr>
                <w:rFonts w:hint="eastAsia" w:ascii="宋体" w:hAnsi="宋体" w:cs="宋体"/>
                <w:color w:val="auto"/>
                <w:kern w:val="0"/>
                <w:szCs w:val="21"/>
                <w:highlight w:val="none"/>
                <w:lang w:val="zh-CN"/>
              </w:rPr>
              <w:t>的人员达到5人，得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分；3-4人，得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分；1-2人，得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13284808">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（4）工作满2年及以上的食品检验业务领域正高级技术职称人员达到6人，得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分；4-5人，得</w:t>
            </w:r>
            <w:r>
              <w:rPr>
                <w:rFonts w:hint="eastAsia" w:ascii="宋体" w:hAnsi="宋体" w:cs="宋体"/>
                <w:color w:val="auto"/>
                <w:kern w:val="0"/>
                <w:szCs w:val="21"/>
                <w:highlight w:val="none"/>
              </w:rPr>
              <w:t>0.8</w:t>
            </w:r>
            <w:r>
              <w:rPr>
                <w:rFonts w:hint="eastAsia" w:ascii="宋体" w:hAnsi="宋体" w:cs="宋体"/>
                <w:color w:val="auto"/>
                <w:kern w:val="0"/>
                <w:szCs w:val="21"/>
                <w:highlight w:val="none"/>
                <w:lang w:val="zh-CN"/>
              </w:rPr>
              <w:t>分；2-3人，得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分；仅有1人，得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3AAA2BDA">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（5）工作满2年及以上的食品检验业务领域副高级技术职称人员达到6人，得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分；4-5人，得</w:t>
            </w:r>
            <w:r>
              <w:rPr>
                <w:rFonts w:hint="eastAsia" w:ascii="宋体" w:hAnsi="宋体" w:cs="宋体"/>
                <w:color w:val="auto"/>
                <w:kern w:val="0"/>
                <w:szCs w:val="21"/>
                <w:highlight w:val="none"/>
              </w:rPr>
              <w:t>0.8</w:t>
            </w:r>
            <w:r>
              <w:rPr>
                <w:rFonts w:hint="eastAsia" w:ascii="宋体" w:hAnsi="宋体" w:cs="宋体"/>
                <w:color w:val="auto"/>
                <w:kern w:val="0"/>
                <w:szCs w:val="21"/>
                <w:highlight w:val="none"/>
                <w:lang w:val="zh-CN"/>
              </w:rPr>
              <w:t>分；2-3人，得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分；仅有1人，得</w:t>
            </w:r>
            <w:r>
              <w:rPr>
                <w:rFonts w:hint="eastAsia" w:ascii="宋体" w:hAnsi="宋体" w:cs="宋体"/>
                <w:color w:val="auto"/>
                <w:kern w:val="0"/>
                <w:szCs w:val="21"/>
                <w:highlight w:val="none"/>
              </w:rPr>
              <w:t>0.3分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color w:val="auto"/>
                <w:kern w:val="0"/>
                <w:szCs w:val="21"/>
                <w:highlight w:val="none"/>
                <w:lang w:val="zh-CN"/>
              </w:rPr>
              <w:t>；</w:t>
            </w:r>
          </w:p>
          <w:p w14:paraId="6ED5AE44">
            <w:pPr>
              <w:snapToGrid w:val="0"/>
              <w:spacing w:line="320" w:lineRule="exact"/>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）项目负责人能力：具备研究生学历，具有食品、化学、生物等与食品检测相关专业的正高级职称，且从事食品抽检工作年限5年以上，得</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分；具备本科学历，具有食品、化学、生物等与食品检测相关专业的高级职称，且从事食品抽检工作年限3年以上，得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分；不符合上述要求的，不得分。</w:t>
            </w:r>
          </w:p>
          <w:p w14:paraId="253A4900">
            <w:pPr>
              <w:snapToGrid w:val="0"/>
              <w:spacing w:line="320" w:lineRule="exact"/>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注：</w:t>
            </w:r>
          </w:p>
          <w:p w14:paraId="535640FD">
            <w:pPr>
              <w:snapToGrid w:val="0"/>
              <w:spacing w:line="320" w:lineRule="exact"/>
              <w:jc w:val="left"/>
              <w:rPr>
                <w:rFonts w:hint="eastAsia" w:ascii="宋体" w:hAnsi="宋体" w:cs="宋体"/>
                <w:color w:val="auto"/>
                <w:kern w:val="0"/>
                <w:szCs w:val="21"/>
                <w:highlight w:val="none"/>
                <w:lang w:val="en-US" w:eastAsia="zh-CN"/>
              </w:rPr>
            </w:pPr>
            <w:r>
              <w:rPr>
                <w:rFonts w:hint="eastAsia" w:ascii="宋体" w:hAnsi="宋体" w:cs="宋体"/>
                <w:b/>
                <w:bCs/>
                <w:color w:val="auto"/>
                <w:kern w:val="0"/>
                <w:szCs w:val="21"/>
                <w:highlight w:val="none"/>
                <w:lang w:val="zh-CN"/>
              </w:rPr>
              <w:t>须按招标文件要求的格式提供人员清单，附相关人员的学历证书、职称证书、</w:t>
            </w:r>
            <w:r>
              <w:rPr>
                <w:rFonts w:hint="eastAsia" w:ascii="宋体" w:hAnsi="宋体" w:cs="宋体"/>
                <w:b/>
                <w:bCs/>
                <w:color w:val="auto"/>
                <w:kern w:val="0"/>
                <w:szCs w:val="21"/>
                <w:highlight w:val="none"/>
                <w:lang w:val="en-US" w:eastAsia="zh-CN"/>
              </w:rPr>
              <w:t>承诺函、</w:t>
            </w:r>
            <w:r>
              <w:rPr>
                <w:rFonts w:hint="eastAsia" w:ascii="宋体" w:hAnsi="宋体" w:cs="宋体"/>
                <w:b/>
                <w:bCs/>
                <w:color w:val="auto"/>
                <w:kern w:val="0"/>
                <w:highlight w:val="none"/>
                <w:lang w:val="en-US" w:eastAsia="zh-CN"/>
              </w:rPr>
              <w:t>供应商为其缴纳的</w:t>
            </w:r>
            <w:r>
              <w:rPr>
                <w:rFonts w:hint="eastAsia" w:ascii="宋体" w:hAnsi="宋体" w:cs="宋体"/>
                <w:b/>
                <w:bCs/>
                <w:color w:val="auto"/>
                <w:kern w:val="0"/>
                <w:szCs w:val="21"/>
                <w:highlight w:val="none"/>
                <w:lang w:val="zh-CN"/>
              </w:rPr>
              <w:t>近三个月（2026年01月-202</w:t>
            </w:r>
            <w:r>
              <w:rPr>
                <w:rFonts w:hint="eastAsia" w:ascii="宋体" w:hAnsi="宋体" w:cs="宋体"/>
                <w:b/>
                <w:bCs/>
                <w:color w:val="auto"/>
                <w:kern w:val="0"/>
                <w:szCs w:val="21"/>
                <w:highlight w:val="none"/>
                <w:lang w:val="en-US" w:eastAsia="zh-CN"/>
              </w:rPr>
              <w:t>6</w:t>
            </w:r>
            <w:r>
              <w:rPr>
                <w:rFonts w:hint="eastAsia" w:ascii="宋体" w:hAnsi="宋体" w:cs="宋体"/>
                <w:b/>
                <w:bCs/>
                <w:color w:val="auto"/>
                <w:kern w:val="0"/>
                <w:szCs w:val="21"/>
                <w:highlight w:val="none"/>
                <w:lang w:val="zh-CN"/>
              </w:rPr>
              <w:t>年</w:t>
            </w:r>
            <w:r>
              <w:rPr>
                <w:rFonts w:hint="eastAsia" w:ascii="宋体" w:hAnsi="宋体" w:cs="宋体"/>
                <w:b/>
                <w:bCs/>
                <w:color w:val="auto"/>
                <w:kern w:val="0"/>
                <w:szCs w:val="21"/>
                <w:highlight w:val="none"/>
                <w:lang w:val="en-US" w:eastAsia="zh-CN"/>
              </w:rPr>
              <w:t>03</w:t>
            </w:r>
            <w:r>
              <w:rPr>
                <w:rFonts w:hint="eastAsia" w:ascii="宋体" w:hAnsi="宋体" w:cs="宋体"/>
                <w:b/>
                <w:bCs/>
                <w:color w:val="auto"/>
                <w:kern w:val="0"/>
                <w:szCs w:val="21"/>
                <w:highlight w:val="none"/>
                <w:lang w:val="zh-CN"/>
              </w:rPr>
              <w:t>月）中任一月份的社保记录等证明材料，劳务派遣人员提供用工合同复印件</w:t>
            </w:r>
            <w:r>
              <w:rPr>
                <w:rFonts w:hint="eastAsia" w:ascii="宋体" w:hAnsi="宋体" w:cs="宋体"/>
                <w:b/>
                <w:bCs/>
                <w:color w:val="auto"/>
                <w:kern w:val="0"/>
                <w:highlight w:val="none"/>
                <w:lang w:val="en-US" w:eastAsia="zh-CN"/>
              </w:rPr>
              <w:t>和用工单位为其缴纳的</w:t>
            </w:r>
            <w:r>
              <w:rPr>
                <w:rFonts w:hint="eastAsia" w:ascii="宋体" w:hAnsi="宋体" w:cs="宋体"/>
                <w:b/>
                <w:bCs/>
                <w:color w:val="auto"/>
                <w:kern w:val="0"/>
                <w:highlight w:val="none"/>
                <w:lang w:val="zh-CN"/>
              </w:rPr>
              <w:t>近三个月（2026年01月</w:t>
            </w:r>
            <w:r>
              <w:rPr>
                <w:rFonts w:hint="eastAsia" w:ascii="宋体" w:hAnsi="宋体" w:eastAsia="宋体" w:cs="宋体"/>
                <w:b/>
                <w:bCs/>
                <w:color w:val="auto"/>
                <w:kern w:val="0"/>
                <w:highlight w:val="none"/>
                <w:lang w:val="zh-CN"/>
              </w:rPr>
              <w:t>-202</w:t>
            </w:r>
            <w:r>
              <w:rPr>
                <w:rFonts w:hint="eastAsia" w:ascii="宋体" w:hAnsi="宋体" w:cs="宋体"/>
                <w:b/>
                <w:bCs/>
                <w:color w:val="auto"/>
                <w:kern w:val="0"/>
                <w:highlight w:val="none"/>
                <w:lang w:val="en-US" w:eastAsia="zh-CN"/>
              </w:rPr>
              <w:t>6</w:t>
            </w:r>
            <w:r>
              <w:rPr>
                <w:rFonts w:hint="eastAsia" w:ascii="宋体" w:hAnsi="宋体" w:eastAsia="宋体" w:cs="宋体"/>
                <w:b/>
                <w:bCs/>
                <w:color w:val="auto"/>
                <w:kern w:val="0"/>
                <w:highlight w:val="none"/>
                <w:lang w:val="zh-CN"/>
              </w:rPr>
              <w:t>年</w:t>
            </w:r>
            <w:r>
              <w:rPr>
                <w:rFonts w:hint="eastAsia" w:ascii="宋体" w:hAnsi="宋体" w:cs="宋体"/>
                <w:b/>
                <w:bCs/>
                <w:color w:val="auto"/>
                <w:kern w:val="0"/>
                <w:highlight w:val="none"/>
                <w:lang w:val="en-US" w:eastAsia="zh-CN"/>
              </w:rPr>
              <w:t>03</w:t>
            </w:r>
            <w:r>
              <w:rPr>
                <w:rFonts w:hint="eastAsia" w:ascii="宋体" w:hAnsi="宋体" w:eastAsia="宋体" w:cs="宋体"/>
                <w:b/>
                <w:bCs/>
                <w:color w:val="auto"/>
                <w:kern w:val="0"/>
                <w:highlight w:val="none"/>
                <w:lang w:val="zh-CN"/>
              </w:rPr>
              <w:t>月）中任一月份的社保记录</w:t>
            </w:r>
            <w:r>
              <w:rPr>
                <w:rFonts w:hint="eastAsia" w:ascii="宋体" w:hAnsi="宋体" w:cs="宋体"/>
                <w:b/>
                <w:bCs/>
                <w:color w:val="auto"/>
                <w:kern w:val="0"/>
                <w:szCs w:val="21"/>
                <w:highlight w:val="none"/>
                <w:lang w:val="zh-CN"/>
              </w:rPr>
              <w:t>，未提供有效证明材料的不得分。（</w:t>
            </w:r>
            <w:r>
              <w:rPr>
                <w:rFonts w:hint="eastAsia" w:ascii="宋体" w:hAnsi="宋体" w:cs="宋体"/>
                <w:b/>
                <w:bCs/>
                <w:color w:val="auto"/>
                <w:kern w:val="0"/>
                <w:szCs w:val="21"/>
                <w:highlight w:val="none"/>
              </w:rPr>
              <w:t>1</w:t>
            </w: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rPr>
              <w:t>2</w:t>
            </w:r>
            <w:r>
              <w:rPr>
                <w:rFonts w:hint="eastAsia" w:ascii="宋体" w:hAnsi="宋体" w:cs="宋体"/>
                <w:b/>
                <w:bCs/>
                <w:color w:val="auto"/>
                <w:kern w:val="0"/>
                <w:szCs w:val="21"/>
                <w:highlight w:val="none"/>
                <w:lang w:val="zh-CN"/>
              </w:rPr>
              <w:t>）人员不重复计分；（</w:t>
            </w:r>
            <w:r>
              <w:rPr>
                <w:rFonts w:hint="eastAsia" w:ascii="宋体" w:hAnsi="宋体" w:cs="宋体"/>
                <w:b/>
                <w:bCs/>
                <w:color w:val="auto"/>
                <w:kern w:val="0"/>
                <w:szCs w:val="21"/>
                <w:highlight w:val="none"/>
              </w:rPr>
              <w:t>4</w:t>
            </w:r>
            <w:r>
              <w:rPr>
                <w:rFonts w:hint="eastAsia" w:ascii="宋体" w:hAnsi="宋体" w:cs="宋体"/>
                <w:b/>
                <w:bCs/>
                <w:color w:val="auto"/>
                <w:kern w:val="0"/>
                <w:szCs w:val="21"/>
                <w:highlight w:val="none"/>
                <w:lang w:val="zh-CN"/>
              </w:rPr>
              <w:t>）-（</w:t>
            </w:r>
            <w:r>
              <w:rPr>
                <w:rFonts w:hint="eastAsia" w:ascii="宋体" w:hAnsi="宋体" w:cs="宋体"/>
                <w:b/>
                <w:bCs/>
                <w:color w:val="auto"/>
                <w:kern w:val="0"/>
                <w:szCs w:val="21"/>
                <w:highlight w:val="none"/>
              </w:rPr>
              <w:t>5</w:t>
            </w:r>
            <w:r>
              <w:rPr>
                <w:rFonts w:hint="eastAsia" w:ascii="宋体" w:hAnsi="宋体" w:cs="宋体"/>
                <w:b/>
                <w:bCs/>
                <w:color w:val="auto"/>
                <w:kern w:val="0"/>
                <w:szCs w:val="21"/>
                <w:highlight w:val="none"/>
                <w:lang w:val="zh-CN"/>
              </w:rPr>
              <w:t>）一人只计一证，不重复计分，按最高级别赋分。</w:t>
            </w:r>
          </w:p>
          <w:p w14:paraId="568B7C4B">
            <w:pPr>
              <w:snapToGrid w:val="0"/>
              <w:spacing w:line="320" w:lineRule="exact"/>
              <w:jc w:val="left"/>
              <w:rPr>
                <w:rFonts w:hint="eastAsia" w:ascii="宋体" w:hAnsi="宋体" w:cs="宋体"/>
                <w:b w:val="0"/>
                <w:bCs w:val="0"/>
                <w:color w:val="auto"/>
                <w:kern w:val="0"/>
                <w:szCs w:val="21"/>
                <w:highlight w:val="none"/>
                <w:lang w:val="zh-CN"/>
              </w:rPr>
            </w:pPr>
            <w:r>
              <w:rPr>
                <w:rFonts w:hint="eastAsia" w:ascii="宋体" w:hAnsi="宋体" w:cs="宋体"/>
                <w:color w:val="auto"/>
                <w:kern w:val="0"/>
                <w:szCs w:val="21"/>
                <w:highlight w:val="none"/>
                <w:lang w:val="en-US" w:eastAsia="zh-CN"/>
              </w:rPr>
              <w:t>2.</w:t>
            </w:r>
            <w:r>
              <w:rPr>
                <w:rFonts w:hint="eastAsia" w:ascii="宋体" w:hAnsi="宋体" w:cs="宋体"/>
                <w:b w:val="0"/>
                <w:bCs w:val="0"/>
                <w:color w:val="auto"/>
                <w:kern w:val="0"/>
                <w:szCs w:val="21"/>
                <w:highlight w:val="none"/>
                <w:lang w:val="zh-CN"/>
              </w:rPr>
              <w:t>供应商承诺在被抽检地区常驻</w:t>
            </w:r>
            <w:r>
              <w:rPr>
                <w:rFonts w:hint="eastAsia" w:ascii="宋体" w:hAnsi="宋体" w:cs="宋体"/>
                <w:color w:val="auto"/>
                <w:kern w:val="0"/>
                <w:szCs w:val="21"/>
                <w:highlight w:val="none"/>
                <w:lang w:val="zh-CN"/>
              </w:rPr>
              <w:t>至少1组抽样</w:t>
            </w:r>
            <w:r>
              <w:rPr>
                <w:rFonts w:hint="eastAsia" w:ascii="宋体" w:hAnsi="宋体" w:cs="宋体"/>
                <w:b w:val="0"/>
                <w:bCs w:val="0"/>
                <w:color w:val="auto"/>
                <w:kern w:val="0"/>
                <w:szCs w:val="21"/>
                <w:highlight w:val="none"/>
                <w:lang w:val="zh-CN"/>
              </w:rPr>
              <w:t>人员</w:t>
            </w:r>
            <w:r>
              <w:rPr>
                <w:rFonts w:hint="eastAsia" w:ascii="宋体" w:hAnsi="宋体" w:cs="宋体"/>
                <w:b w:val="0"/>
                <w:bCs w:val="0"/>
                <w:color w:val="auto"/>
                <w:kern w:val="0"/>
                <w:szCs w:val="21"/>
                <w:highlight w:val="none"/>
                <w:lang w:val="en-US" w:eastAsia="zh-CN"/>
              </w:rPr>
              <w:t>的</w:t>
            </w:r>
            <w:r>
              <w:rPr>
                <w:rFonts w:hint="eastAsia" w:ascii="宋体" w:hAnsi="宋体" w:cs="宋体"/>
                <w:b w:val="0"/>
                <w:bCs w:val="0"/>
                <w:color w:val="auto"/>
                <w:kern w:val="0"/>
                <w:szCs w:val="21"/>
                <w:highlight w:val="none"/>
                <w:lang w:val="zh-CN"/>
              </w:rPr>
              <w:t>，</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lang w:val="en-US" w:eastAsia="zh-CN"/>
              </w:rPr>
              <w:t>1</w:t>
            </w:r>
            <w:r>
              <w:rPr>
                <w:rFonts w:hint="eastAsia" w:ascii="宋体" w:hAnsi="宋体" w:cs="宋体"/>
                <w:color w:val="auto"/>
                <w:kern w:val="0"/>
                <w:szCs w:val="21"/>
                <w:highlight w:val="none"/>
                <w:lang w:val="zh-CN"/>
              </w:rPr>
              <w:t>分</w:t>
            </w:r>
            <w:r>
              <w:rPr>
                <w:rFonts w:hint="eastAsia" w:ascii="宋体" w:hAnsi="宋体" w:cs="宋体"/>
                <w:color w:val="auto"/>
                <w:kern w:val="0"/>
                <w:highlight w:val="none"/>
                <w:lang w:val="zh-CN"/>
              </w:rPr>
              <w:t>，</w:t>
            </w:r>
            <w:r>
              <w:rPr>
                <w:rFonts w:hint="eastAsia" w:ascii="宋体" w:hAnsi="宋体" w:cs="宋体"/>
                <w:color w:val="auto"/>
                <w:highlight w:val="none"/>
              </w:rPr>
              <w:t>其他不得分</w:t>
            </w:r>
            <w:r>
              <w:rPr>
                <w:rFonts w:hint="eastAsia" w:ascii="宋体" w:hAnsi="宋体" w:cs="宋体"/>
                <w:b w:val="0"/>
                <w:bCs w:val="0"/>
                <w:color w:val="auto"/>
                <w:kern w:val="0"/>
                <w:szCs w:val="21"/>
                <w:highlight w:val="none"/>
                <w:lang w:val="zh-CN"/>
              </w:rPr>
              <w:t>。</w:t>
            </w:r>
          </w:p>
          <w:p w14:paraId="1797349E">
            <w:pPr>
              <w:snapToGrid w:val="0"/>
              <w:spacing w:line="320" w:lineRule="exact"/>
              <w:jc w:val="left"/>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注：</w:t>
            </w:r>
            <w:r>
              <w:rPr>
                <w:rFonts w:hint="eastAsia" w:ascii="宋体" w:hAnsi="宋体" w:cs="宋体"/>
                <w:b/>
                <w:bCs/>
                <w:color w:val="auto"/>
                <w:kern w:val="0"/>
                <w:szCs w:val="21"/>
                <w:highlight w:val="none"/>
                <w:lang w:val="zh-CN"/>
              </w:rPr>
              <w:t>须提供承诺函并加盖公章。</w:t>
            </w:r>
          </w:p>
        </w:tc>
        <w:tc>
          <w:tcPr>
            <w:tcW w:w="442" w:type="pct"/>
            <w:tcBorders>
              <w:top w:val="single" w:color="auto" w:sz="4" w:space="0"/>
              <w:left w:val="single" w:color="auto" w:sz="4" w:space="0"/>
              <w:bottom w:val="single" w:color="auto" w:sz="4" w:space="0"/>
              <w:right w:val="single" w:color="auto" w:sz="4" w:space="0"/>
            </w:tcBorders>
            <w:vAlign w:val="center"/>
          </w:tcPr>
          <w:p w14:paraId="72C7A40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12</w:t>
            </w:r>
            <w:r>
              <w:rPr>
                <w:rFonts w:hint="eastAsia" w:ascii="宋体" w:hAnsi="宋体" w:cs="宋体"/>
                <w:color w:val="auto"/>
                <w:kern w:val="0"/>
                <w:szCs w:val="21"/>
                <w:highlight w:val="none"/>
              </w:rPr>
              <w:t>分</w:t>
            </w:r>
          </w:p>
        </w:tc>
      </w:tr>
      <w:tr w14:paraId="603A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0D962975">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60701B1D">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工作场所</w:t>
            </w:r>
          </w:p>
        </w:tc>
        <w:tc>
          <w:tcPr>
            <w:tcW w:w="3222" w:type="pct"/>
            <w:tcBorders>
              <w:top w:val="single" w:color="auto" w:sz="4" w:space="0"/>
              <w:left w:val="single" w:color="auto" w:sz="4" w:space="0"/>
              <w:bottom w:val="single" w:color="auto" w:sz="4" w:space="0"/>
              <w:right w:val="single" w:color="auto" w:sz="4" w:space="0"/>
            </w:tcBorders>
            <w:vAlign w:val="center"/>
          </w:tcPr>
          <w:p w14:paraId="06A539B1">
            <w:pPr>
              <w:rPr>
                <w:rFonts w:hint="eastAsia" w:ascii="宋体" w:hAnsi="宋体" w:cs="宋体"/>
                <w:color w:val="auto"/>
                <w:szCs w:val="21"/>
                <w:highlight w:val="none"/>
              </w:rPr>
            </w:pPr>
            <w:r>
              <w:rPr>
                <w:rFonts w:hint="eastAsia" w:ascii="宋体" w:hAnsi="宋体" w:cs="宋体"/>
                <w:color w:val="auto"/>
                <w:szCs w:val="21"/>
                <w:highlight w:val="none"/>
              </w:rPr>
              <w:t>开展食品安全抽样检验工作实验场所面积：</w:t>
            </w:r>
          </w:p>
          <w:p w14:paraId="526F08B2">
            <w:pPr>
              <w:rPr>
                <w:rFonts w:hint="eastAsia" w:ascii="宋体" w:hAnsi="宋体" w:cs="宋体"/>
                <w:color w:val="auto"/>
                <w:szCs w:val="21"/>
                <w:highlight w:val="none"/>
              </w:rPr>
            </w:pPr>
            <w:r>
              <w:rPr>
                <w:rFonts w:hint="eastAsia" w:ascii="宋体" w:hAnsi="宋体" w:cs="宋体"/>
                <w:color w:val="auto"/>
                <w:szCs w:val="21"/>
                <w:highlight w:val="none"/>
              </w:rPr>
              <w:t>1、面积≥3000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，得 5 分；</w:t>
            </w:r>
          </w:p>
          <w:p w14:paraId="3F51C83B">
            <w:pPr>
              <w:rPr>
                <w:rFonts w:hint="eastAsia" w:ascii="宋体" w:hAnsi="宋体" w:cs="宋体"/>
                <w:color w:val="auto"/>
                <w:szCs w:val="21"/>
                <w:highlight w:val="none"/>
              </w:rPr>
            </w:pPr>
            <w:r>
              <w:rPr>
                <w:rFonts w:hint="eastAsia" w:ascii="宋体" w:hAnsi="宋体" w:cs="宋体"/>
                <w:color w:val="auto"/>
                <w:szCs w:val="21"/>
                <w:highlight w:val="none"/>
              </w:rPr>
              <w:t>2、2000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≤面积＜3000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，得 3 分；</w:t>
            </w:r>
          </w:p>
          <w:p w14:paraId="5B45ABD3">
            <w:pPr>
              <w:rPr>
                <w:rFonts w:hint="eastAsia" w:ascii="宋体" w:hAnsi="宋体" w:cs="宋体"/>
                <w:color w:val="auto"/>
                <w:szCs w:val="21"/>
                <w:highlight w:val="none"/>
              </w:rPr>
            </w:pPr>
            <w:r>
              <w:rPr>
                <w:rFonts w:hint="eastAsia" w:ascii="宋体" w:hAnsi="宋体" w:cs="宋体"/>
                <w:color w:val="auto"/>
                <w:szCs w:val="21"/>
                <w:highlight w:val="none"/>
              </w:rPr>
              <w:t>3、1000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≤面积＜2000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，得 1 分；</w:t>
            </w:r>
          </w:p>
          <w:p w14:paraId="4EC69FF9">
            <w:pPr>
              <w:rPr>
                <w:rFonts w:hint="eastAsia" w:ascii="宋体" w:hAnsi="宋体" w:cs="宋体"/>
                <w:color w:val="auto"/>
                <w:szCs w:val="21"/>
                <w:highlight w:val="none"/>
              </w:rPr>
            </w:pPr>
            <w:r>
              <w:rPr>
                <w:rFonts w:hint="eastAsia" w:ascii="宋体" w:hAnsi="宋体" w:cs="宋体"/>
                <w:color w:val="auto"/>
                <w:szCs w:val="21"/>
                <w:highlight w:val="none"/>
              </w:rPr>
              <w:t>4、面积＜1000 m</w:t>
            </w:r>
            <w:r>
              <w:rPr>
                <w:rFonts w:hint="eastAsia" w:ascii="宋体" w:hAnsi="宋体" w:cs="宋体"/>
                <w:color w:val="auto"/>
                <w:szCs w:val="21"/>
                <w:highlight w:val="none"/>
                <w:vertAlign w:val="superscript"/>
              </w:rPr>
              <w:t>2</w:t>
            </w:r>
            <w:r>
              <w:rPr>
                <w:rFonts w:hint="eastAsia" w:ascii="宋体" w:hAnsi="宋体" w:cs="宋体"/>
                <w:color w:val="auto"/>
                <w:szCs w:val="21"/>
                <w:highlight w:val="none"/>
              </w:rPr>
              <w:t>，不得分。</w:t>
            </w:r>
          </w:p>
          <w:p w14:paraId="355EC353">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szCs w:val="21"/>
                <w:highlight w:val="none"/>
              </w:rPr>
              <w:t>注：（1）供应商须承诺抽样检验的实验室为供应商拥有，并提供承诺书。采购人有权在合同签订前进行现场考察，一旦发现弄虚作假，将取消中标资格，并报有关部门严肃处理；（2）提供食品抽样检验工作实验场所的房产证或所有权证明文件或有效的房屋租赁合同及发票复印件；（3）提供抽样检验工作实验场所的平面布局图，并提供各组成部分面积清单</w:t>
            </w:r>
            <w:r>
              <w:rPr>
                <w:rFonts w:hint="eastAsia" w:ascii="宋体" w:hAnsi="宋体" w:cs="宋体"/>
                <w:b/>
                <w:bCs/>
                <w:color w:val="auto"/>
                <w:szCs w:val="21"/>
                <w:highlight w:val="none"/>
                <w:lang w:eastAsia="zh-CN"/>
              </w:rPr>
              <w:t>，</w:t>
            </w:r>
            <w:r>
              <w:rPr>
                <w:rFonts w:hint="eastAsia" w:ascii="宋体" w:hAnsi="宋体" w:cs="宋体"/>
                <w:b/>
                <w:bCs/>
                <w:color w:val="auto"/>
                <w:szCs w:val="21"/>
                <w:highlight w:val="none"/>
                <w:lang w:val="en-US" w:eastAsia="zh-CN"/>
              </w:rPr>
              <w:t>未提供不得分</w:t>
            </w:r>
            <w:r>
              <w:rPr>
                <w:rFonts w:hint="eastAsia" w:ascii="宋体" w:hAnsi="宋体" w:cs="宋体"/>
                <w:b/>
                <w:bCs/>
                <w:color w:val="auto"/>
                <w:szCs w:val="21"/>
                <w:highlight w:val="none"/>
              </w:rPr>
              <w:t>；（4）未达到上述要求或未提供有效证明文件的不得分。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33555F0E">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5分</w:t>
            </w:r>
          </w:p>
        </w:tc>
      </w:tr>
      <w:tr w14:paraId="1D9C9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44BE8EB1">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45D5809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抽样设备</w:t>
            </w:r>
          </w:p>
        </w:tc>
        <w:tc>
          <w:tcPr>
            <w:tcW w:w="3222" w:type="pct"/>
            <w:tcBorders>
              <w:top w:val="single" w:color="auto" w:sz="4" w:space="0"/>
              <w:left w:val="single" w:color="auto" w:sz="4" w:space="0"/>
              <w:bottom w:val="single" w:color="auto" w:sz="4" w:space="0"/>
              <w:right w:val="single" w:color="auto" w:sz="4" w:space="0"/>
            </w:tcBorders>
            <w:vAlign w:val="center"/>
          </w:tcPr>
          <w:p w14:paraId="4A087311">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（1）用于食品抽样的车辆达到</w:t>
            </w:r>
            <w:r>
              <w:rPr>
                <w:rFonts w:hint="eastAsia" w:ascii="宋体" w:hAnsi="宋体" w:cs="宋体"/>
                <w:color w:val="auto"/>
                <w:kern w:val="0"/>
                <w:szCs w:val="21"/>
                <w:highlight w:val="none"/>
              </w:rPr>
              <w:t>6</w:t>
            </w:r>
            <w:r>
              <w:rPr>
                <w:rFonts w:hint="eastAsia" w:ascii="宋体" w:hAnsi="宋体" w:cs="宋体"/>
                <w:color w:val="auto"/>
                <w:kern w:val="0"/>
                <w:szCs w:val="21"/>
                <w:highlight w:val="none"/>
                <w:lang w:val="zh-CN"/>
              </w:rPr>
              <w:t>辆，得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r>
              <w:rPr>
                <w:rFonts w:hint="eastAsia" w:ascii="宋体" w:hAnsi="宋体" w:cs="宋体"/>
                <w:color w:val="auto"/>
                <w:kern w:val="0"/>
                <w:szCs w:val="21"/>
                <w:highlight w:val="none"/>
              </w:rPr>
              <w:t>4</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5</w:t>
            </w:r>
            <w:r>
              <w:rPr>
                <w:rFonts w:hint="eastAsia" w:ascii="宋体" w:hAnsi="宋体" w:cs="宋体"/>
                <w:color w:val="auto"/>
                <w:kern w:val="0"/>
                <w:szCs w:val="21"/>
                <w:highlight w:val="none"/>
                <w:lang w:val="zh-CN"/>
              </w:rPr>
              <w:t>辆，得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分；2-</w:t>
            </w:r>
            <w:r>
              <w:rPr>
                <w:rFonts w:hint="eastAsia" w:ascii="宋体" w:hAnsi="宋体" w:cs="宋体"/>
                <w:color w:val="auto"/>
                <w:kern w:val="0"/>
                <w:szCs w:val="21"/>
                <w:highlight w:val="none"/>
              </w:rPr>
              <w:t>3</w:t>
            </w:r>
            <w:r>
              <w:rPr>
                <w:rFonts w:hint="eastAsia" w:ascii="宋体" w:hAnsi="宋体" w:cs="宋体"/>
                <w:color w:val="auto"/>
                <w:kern w:val="0"/>
                <w:szCs w:val="21"/>
                <w:highlight w:val="none"/>
                <w:lang w:val="zh-CN"/>
              </w:rPr>
              <w:t>辆，得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24098AEA">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（2）用于食品抽样的冷链运输车辆达到</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辆，得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p>
          <w:p w14:paraId="4A7B2C2A">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（3）用于食品保存的车载冰箱达到4台得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分；2-3台，得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3C3D45B6">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（4）用于食品保存的食品保温箱达到6个得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分；4-5个，得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分；2-3个，得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616ADFAF">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（5）用于抽样过程取证的执法记录仪达到6部，得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分；4-5部，得</w:t>
            </w:r>
            <w:r>
              <w:rPr>
                <w:rFonts w:hint="eastAsia" w:ascii="宋体" w:hAnsi="宋体" w:cs="宋体"/>
                <w:color w:val="auto"/>
                <w:kern w:val="0"/>
                <w:szCs w:val="21"/>
                <w:highlight w:val="none"/>
              </w:rPr>
              <w:t>0.6</w:t>
            </w:r>
            <w:r>
              <w:rPr>
                <w:rFonts w:hint="eastAsia" w:ascii="宋体" w:hAnsi="宋体" w:cs="宋体"/>
                <w:color w:val="auto"/>
                <w:kern w:val="0"/>
                <w:szCs w:val="21"/>
                <w:highlight w:val="none"/>
                <w:lang w:val="zh-CN"/>
              </w:rPr>
              <w:t>分；1-3部，得</w:t>
            </w:r>
            <w:r>
              <w:rPr>
                <w:rFonts w:hint="eastAsia" w:ascii="宋体" w:hAnsi="宋体" w:cs="宋体"/>
                <w:color w:val="auto"/>
                <w:kern w:val="0"/>
                <w:szCs w:val="21"/>
                <w:highlight w:val="none"/>
              </w:rPr>
              <w:t>0.3</w:t>
            </w:r>
            <w:r>
              <w:rPr>
                <w:rFonts w:hint="eastAsia" w:ascii="宋体" w:hAnsi="宋体" w:cs="宋体"/>
                <w:color w:val="auto"/>
                <w:kern w:val="0"/>
                <w:szCs w:val="21"/>
                <w:highlight w:val="none"/>
                <w:lang w:val="zh-CN"/>
              </w:rPr>
              <w:t>分；</w:t>
            </w:r>
            <w:r>
              <w:rPr>
                <w:rFonts w:hint="eastAsia" w:ascii="宋体" w:hAnsi="宋体" w:cs="宋体"/>
                <w:color w:val="auto"/>
                <w:highlight w:val="none"/>
              </w:rPr>
              <w:t>其他不得分</w:t>
            </w:r>
            <w:r>
              <w:rPr>
                <w:rFonts w:hint="eastAsia" w:ascii="宋体" w:hAnsi="宋体" w:cs="宋体"/>
                <w:color w:val="auto"/>
                <w:kern w:val="0"/>
                <w:highlight w:val="none"/>
              </w:rPr>
              <w:t>；</w:t>
            </w:r>
          </w:p>
          <w:p w14:paraId="23A136AA">
            <w:pPr>
              <w:autoSpaceDE w:val="0"/>
              <w:autoSpaceDN w:val="0"/>
              <w:adjustRightInd w:val="0"/>
              <w:snapToGrid w:val="0"/>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（6）具备食品保存用专用冷藏库</w:t>
            </w:r>
            <w:r>
              <w:rPr>
                <w:rFonts w:hint="eastAsia" w:ascii="宋体" w:hAnsi="宋体" w:cs="宋体"/>
                <w:color w:val="auto"/>
                <w:kern w:val="0"/>
                <w:szCs w:val="21"/>
                <w:highlight w:val="none"/>
              </w:rPr>
              <w:t>或</w:t>
            </w:r>
            <w:r>
              <w:rPr>
                <w:rFonts w:hint="eastAsia" w:ascii="宋体" w:hAnsi="宋体" w:cs="宋体"/>
                <w:color w:val="auto"/>
                <w:kern w:val="0"/>
                <w:szCs w:val="21"/>
                <w:highlight w:val="none"/>
                <w:lang w:val="zh-CN"/>
              </w:rPr>
              <w:t>冷冻库的，得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p>
          <w:p w14:paraId="4B91C28C">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注：</w:t>
            </w:r>
            <w:r>
              <w:rPr>
                <w:rFonts w:hint="eastAsia" w:ascii="宋体" w:hAnsi="宋体" w:cs="宋体"/>
                <w:b/>
                <w:bCs/>
                <w:color w:val="auto"/>
                <w:kern w:val="0"/>
                <w:szCs w:val="21"/>
                <w:highlight w:val="none"/>
                <w:lang w:val="zh-CN"/>
              </w:rPr>
              <w:t>须提供有效的购置发票及相关证明材料。车辆可为自有或租赁，自有车辆须提供购置发票或车辆行驶证复印件，租赁车辆须提供有效租赁合同复印件，租赁期须覆盖整个招标任务履行期。冷藏库和冷冻库另须提供冷库温度等参数校准证书。</w:t>
            </w:r>
          </w:p>
        </w:tc>
        <w:tc>
          <w:tcPr>
            <w:tcW w:w="442" w:type="pct"/>
            <w:tcBorders>
              <w:top w:val="single" w:color="auto" w:sz="4" w:space="0"/>
              <w:left w:val="single" w:color="auto" w:sz="4" w:space="0"/>
              <w:bottom w:val="single" w:color="auto" w:sz="4" w:space="0"/>
              <w:right w:val="single" w:color="auto" w:sz="4" w:space="0"/>
            </w:tcBorders>
            <w:vAlign w:val="center"/>
          </w:tcPr>
          <w:p w14:paraId="528CA012">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6分</w:t>
            </w:r>
          </w:p>
        </w:tc>
      </w:tr>
      <w:tr w14:paraId="1D060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6DB01BE8">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107FF500">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检验设备</w:t>
            </w:r>
          </w:p>
        </w:tc>
        <w:tc>
          <w:tcPr>
            <w:tcW w:w="3222" w:type="pct"/>
            <w:tcBorders>
              <w:top w:val="single" w:color="auto" w:sz="4" w:space="0"/>
              <w:left w:val="single" w:color="auto" w:sz="4" w:space="0"/>
              <w:bottom w:val="single" w:color="auto" w:sz="4" w:space="0"/>
              <w:right w:val="single" w:color="auto" w:sz="4" w:space="0"/>
            </w:tcBorders>
            <w:vAlign w:val="center"/>
          </w:tcPr>
          <w:p w14:paraId="6E1615FF">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应配备满足采购人检验检测项目需求的检验设备：</w:t>
            </w:r>
          </w:p>
          <w:p w14:paraId="6ADC9584">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（1）液相色谱串联质谱联用仪；</w:t>
            </w:r>
          </w:p>
          <w:p w14:paraId="6F9E806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（2）气相色谱质谱联用仪；</w:t>
            </w:r>
          </w:p>
          <w:p w14:paraId="341738D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（3）电感耦合等离子体质谱仪；</w:t>
            </w:r>
          </w:p>
          <w:p w14:paraId="10099415">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（4）离子色谱仪；</w:t>
            </w:r>
          </w:p>
          <w:p w14:paraId="3180E7F5">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（5）高效液相色谱仪；</w:t>
            </w:r>
          </w:p>
          <w:p w14:paraId="0C5813A4">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（6）气相色谱仪；</w:t>
            </w:r>
          </w:p>
          <w:p w14:paraId="1C7A63A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（7）原子吸收光谱仪；</w:t>
            </w:r>
          </w:p>
          <w:p w14:paraId="42193F96">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（8）原子荧光光谱仪；</w:t>
            </w:r>
          </w:p>
          <w:p w14:paraId="7860C5F6">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（9）PCR检测仪；</w:t>
            </w:r>
          </w:p>
          <w:p w14:paraId="2C654680">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具备以上9类设备每类同时配备至少1台，得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分；具备以上8类设备每类同时配备至少</w:t>
            </w: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台，得</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分；具备以上7类设备每类同时配备至少1台，得1分；其他不得分。</w:t>
            </w:r>
          </w:p>
          <w:p w14:paraId="1E870BBC">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2、在满足前述检验设备能力要求的基础上对多配备的设备评分：</w:t>
            </w:r>
          </w:p>
          <w:p w14:paraId="0815C888">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（1）液相色谱三重四级杆质谱联用仪；</w:t>
            </w:r>
          </w:p>
          <w:p w14:paraId="34B1B459">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（2）气相色谱质谱联用仪；</w:t>
            </w:r>
          </w:p>
          <w:p w14:paraId="14D4DEFE">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（3）电感耦合等离子体质谱仪；</w:t>
            </w:r>
          </w:p>
          <w:p w14:paraId="5E456716">
            <w:pPr>
              <w:snapToGrid w:val="0"/>
              <w:spacing w:line="320" w:lineRule="exact"/>
              <w:jc w:val="left"/>
              <w:rPr>
                <w:rFonts w:hint="eastAsia" w:ascii="宋体" w:hAnsi="宋体" w:cs="宋体"/>
                <w:color w:val="auto"/>
                <w:szCs w:val="21"/>
                <w:highlight w:val="none"/>
              </w:rPr>
            </w:pPr>
            <w:r>
              <w:rPr>
                <w:rFonts w:hint="eastAsia" w:ascii="宋体" w:hAnsi="宋体" w:cs="宋体"/>
                <w:color w:val="auto"/>
                <w:szCs w:val="21"/>
                <w:highlight w:val="none"/>
              </w:rPr>
              <w:t xml:space="preserve">以上3类设备每类同时配备2台及以上且满足招标文件要求的，得 </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 xml:space="preserve"> 分，不满足不得分；</w:t>
            </w:r>
          </w:p>
          <w:p w14:paraId="077F12B8">
            <w:pPr>
              <w:snapToGrid w:val="0"/>
              <w:spacing w:line="320" w:lineRule="exact"/>
              <w:jc w:val="left"/>
              <w:rPr>
                <w:rFonts w:hint="eastAsia" w:ascii="宋体" w:hAnsi="宋体" w:cs="宋体"/>
                <w:color w:val="auto"/>
                <w:kern w:val="0"/>
                <w:szCs w:val="21"/>
                <w:highlight w:val="none"/>
              </w:rPr>
            </w:pPr>
            <w:r>
              <w:rPr>
                <w:rFonts w:hint="eastAsia" w:ascii="宋体" w:hAnsi="宋体" w:cs="宋体"/>
                <w:b/>
                <w:color w:val="auto"/>
                <w:szCs w:val="21"/>
                <w:highlight w:val="none"/>
              </w:rPr>
              <w:t>注：须提供有效的检定或校准证书</w:t>
            </w:r>
            <w:r>
              <w:rPr>
                <w:rFonts w:hint="eastAsia" w:ascii="宋体" w:hAnsi="宋体" w:cs="宋体"/>
                <w:b/>
                <w:color w:val="auto"/>
                <w:szCs w:val="21"/>
                <w:highlight w:val="none"/>
                <w:lang w:eastAsia="zh-CN"/>
              </w:rPr>
              <w:t>、</w:t>
            </w:r>
            <w:r>
              <w:rPr>
                <w:rFonts w:hint="eastAsia" w:ascii="宋体" w:hAnsi="宋体" w:cs="宋体"/>
                <w:b/>
                <w:color w:val="auto"/>
                <w:szCs w:val="21"/>
                <w:highlight w:val="none"/>
              </w:rPr>
              <w:t>购置</w:t>
            </w:r>
            <w:r>
              <w:rPr>
                <w:rFonts w:hint="default" w:ascii="宋体" w:hAnsi="宋体" w:cs="宋体"/>
                <w:b/>
                <w:color w:val="auto"/>
                <w:szCs w:val="21"/>
                <w:highlight w:val="none"/>
                <w:lang w:val="en-US"/>
              </w:rPr>
              <w:t>发票</w:t>
            </w:r>
            <w:r>
              <w:rPr>
                <w:rFonts w:hint="eastAsia" w:ascii="宋体" w:hAnsi="宋体" w:cs="宋体"/>
                <w:b/>
                <w:color w:val="auto"/>
                <w:szCs w:val="21"/>
                <w:highlight w:val="none"/>
                <w:lang w:val="en-US" w:eastAsia="zh-CN"/>
              </w:rPr>
              <w:t>或租赁合同</w:t>
            </w:r>
            <w:r>
              <w:rPr>
                <w:rFonts w:hint="eastAsia" w:ascii="宋体" w:hAnsi="宋体" w:cs="宋体"/>
                <w:b/>
                <w:color w:val="auto"/>
                <w:szCs w:val="21"/>
                <w:highlight w:val="none"/>
              </w:rPr>
              <w:t>、检验原始记录、设备照片和存放位置等复印件，表明能有效应用在食品检验检测上。</w:t>
            </w:r>
          </w:p>
        </w:tc>
        <w:tc>
          <w:tcPr>
            <w:tcW w:w="442" w:type="pct"/>
            <w:tcBorders>
              <w:top w:val="single" w:color="auto" w:sz="4" w:space="0"/>
              <w:left w:val="single" w:color="auto" w:sz="4" w:space="0"/>
              <w:bottom w:val="single" w:color="auto" w:sz="4" w:space="0"/>
              <w:right w:val="single" w:color="auto" w:sz="4" w:space="0"/>
            </w:tcBorders>
            <w:vAlign w:val="center"/>
          </w:tcPr>
          <w:p w14:paraId="1BFBE044">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7</w:t>
            </w:r>
            <w:r>
              <w:rPr>
                <w:rFonts w:hint="eastAsia" w:ascii="宋体" w:hAnsi="宋体" w:cs="宋体"/>
                <w:color w:val="auto"/>
                <w:kern w:val="0"/>
                <w:szCs w:val="21"/>
                <w:highlight w:val="none"/>
              </w:rPr>
              <w:t>分</w:t>
            </w:r>
          </w:p>
        </w:tc>
      </w:tr>
      <w:tr w14:paraId="06213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18A22176">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70BB7D1D">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质量控制</w:t>
            </w:r>
          </w:p>
        </w:tc>
        <w:tc>
          <w:tcPr>
            <w:tcW w:w="3222" w:type="pct"/>
            <w:tcBorders>
              <w:top w:val="single" w:color="auto" w:sz="4" w:space="0"/>
              <w:left w:val="single" w:color="auto" w:sz="4" w:space="0"/>
              <w:bottom w:val="single" w:color="auto" w:sz="4" w:space="0"/>
              <w:right w:val="single" w:color="auto" w:sz="4" w:space="0"/>
            </w:tcBorders>
            <w:vAlign w:val="center"/>
          </w:tcPr>
          <w:p w14:paraId="52B431F6">
            <w:pPr>
              <w:autoSpaceDE w:val="0"/>
              <w:autoSpaceDN w:val="0"/>
              <w:adjustRightInd w:val="0"/>
              <w:snapToGrid w:val="0"/>
              <w:rPr>
                <w:rFonts w:hint="eastAsia" w:ascii="宋体" w:hAnsi="宋体" w:cs="宋体"/>
                <w:color w:val="auto"/>
                <w:kern w:val="0"/>
                <w:szCs w:val="21"/>
                <w:highlight w:val="none"/>
              </w:rPr>
            </w:pPr>
            <w:r>
              <w:rPr>
                <w:rFonts w:hint="eastAsia" w:ascii="宋体" w:hAnsi="宋体" w:cs="宋体"/>
                <w:color w:val="auto"/>
                <w:kern w:val="0"/>
                <w:szCs w:val="21"/>
                <w:highlight w:val="none"/>
                <w:lang w:val="zh-CN"/>
              </w:rPr>
              <w:t>自202</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年1月1日以来，</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参加过相关机构组织的食品检测项目的实验室能力验证或市场监管部门组织的盲样考核，并获得满意结果的，</w:t>
            </w:r>
            <w:r>
              <w:rPr>
                <w:rFonts w:hint="eastAsia" w:ascii="宋体" w:hAnsi="宋体" w:cs="宋体"/>
                <w:color w:val="auto"/>
                <w:kern w:val="0"/>
                <w:szCs w:val="21"/>
                <w:highlight w:val="none"/>
              </w:rPr>
              <w:t>具备全部9个领域，得5分；具备8个领域，得3分；具备7个领域，得</w:t>
            </w:r>
            <w:r>
              <w:rPr>
                <w:rFonts w:hint="eastAsia" w:ascii="宋体" w:hAnsi="宋体" w:cs="宋体"/>
                <w:color w:val="auto"/>
                <w:kern w:val="0"/>
                <w:highlight w:val="none"/>
              </w:rPr>
              <w:t>2</w:t>
            </w:r>
            <w:r>
              <w:rPr>
                <w:rFonts w:hint="eastAsia" w:ascii="宋体" w:hAnsi="宋体" w:cs="宋体"/>
                <w:color w:val="auto"/>
                <w:kern w:val="0"/>
                <w:szCs w:val="21"/>
                <w:highlight w:val="none"/>
              </w:rPr>
              <w:t>分；</w:t>
            </w:r>
            <w:r>
              <w:rPr>
                <w:rFonts w:hint="eastAsia" w:ascii="宋体" w:hAnsi="宋体" w:cs="宋体"/>
                <w:color w:val="auto"/>
                <w:kern w:val="0"/>
                <w:highlight w:val="none"/>
              </w:rPr>
              <w:t>具备</w:t>
            </w:r>
            <w:r>
              <w:rPr>
                <w:rFonts w:hint="eastAsia" w:ascii="宋体" w:hAnsi="宋体" w:cs="宋体"/>
                <w:color w:val="auto"/>
                <w:kern w:val="0"/>
                <w:highlight w:val="none"/>
                <w:lang w:val="en-US" w:eastAsia="zh-CN"/>
              </w:rPr>
              <w:t>5-6</w:t>
            </w:r>
            <w:r>
              <w:rPr>
                <w:rFonts w:hint="eastAsia" w:ascii="宋体" w:hAnsi="宋体" w:cs="宋体"/>
                <w:color w:val="auto"/>
                <w:kern w:val="0"/>
                <w:highlight w:val="none"/>
              </w:rPr>
              <w:t>个领域，得1分；</w:t>
            </w:r>
            <w:r>
              <w:rPr>
                <w:rFonts w:hint="eastAsia" w:ascii="宋体" w:hAnsi="宋体" w:cs="宋体"/>
                <w:color w:val="auto"/>
                <w:szCs w:val="21"/>
                <w:highlight w:val="none"/>
              </w:rPr>
              <w:t>其他</w:t>
            </w:r>
            <w:r>
              <w:rPr>
                <w:rFonts w:hint="eastAsia" w:ascii="宋体" w:hAnsi="宋体" w:cs="宋体"/>
                <w:color w:val="auto"/>
                <w:kern w:val="0"/>
                <w:szCs w:val="21"/>
                <w:highlight w:val="none"/>
              </w:rPr>
              <w:t>不得分。（9个领域为：农药残留、兽药残留、重金属、真菌毒素、食品添加剂、非法添加、微生物、营养元素、动物源性</w:t>
            </w:r>
            <w:r>
              <w:rPr>
                <w:rFonts w:hint="eastAsia" w:ascii="宋体" w:hAnsi="宋体" w:eastAsia="宋体" w:cs="宋体"/>
                <w:color w:val="auto"/>
                <w:kern w:val="0"/>
                <w:highlight w:val="none"/>
              </w:rPr>
              <w:t>成分</w:t>
            </w:r>
            <w:r>
              <w:rPr>
                <w:rFonts w:hint="eastAsia" w:ascii="宋体" w:hAnsi="宋体" w:cs="宋体"/>
                <w:color w:val="auto"/>
                <w:kern w:val="0"/>
                <w:highlight w:val="none"/>
                <w:lang w:val="en-US" w:eastAsia="zh-CN"/>
              </w:rPr>
              <w:t>/转基因</w:t>
            </w:r>
            <w:r>
              <w:rPr>
                <w:rFonts w:hint="eastAsia" w:ascii="宋体" w:hAnsi="宋体" w:cs="宋体"/>
                <w:color w:val="auto"/>
                <w:kern w:val="0"/>
                <w:szCs w:val="21"/>
                <w:highlight w:val="none"/>
              </w:rPr>
              <w:t>成分）</w:t>
            </w:r>
          </w:p>
          <w:p w14:paraId="41CE58DA">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lang w:val="zh-CN"/>
              </w:rPr>
              <w:t>注：</w:t>
            </w:r>
            <w:r>
              <w:rPr>
                <w:rFonts w:hint="eastAsia" w:ascii="宋体" w:hAnsi="宋体" w:cs="宋体"/>
                <w:b/>
                <w:color w:val="auto"/>
                <w:kern w:val="0"/>
                <w:szCs w:val="21"/>
                <w:highlight w:val="none"/>
                <w:lang w:val="zh-CN"/>
              </w:rPr>
              <w:t>须</w:t>
            </w:r>
            <w:r>
              <w:rPr>
                <w:rFonts w:hint="eastAsia" w:ascii="宋体" w:hAnsi="宋体" w:cs="宋体"/>
                <w:b/>
                <w:bCs/>
                <w:color w:val="auto"/>
                <w:kern w:val="0"/>
                <w:szCs w:val="21"/>
                <w:highlight w:val="none"/>
                <w:lang w:val="zh-CN"/>
              </w:rPr>
              <w:t>提供能力验证报告或证明结果满意的证书复印件，获得不满意结果的或未提供有效证明文件的不得分。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110A99F5">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5分</w:t>
            </w:r>
          </w:p>
        </w:tc>
      </w:tr>
      <w:tr w14:paraId="43A8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50B268F4">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0CC47D18">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复检能力</w:t>
            </w:r>
          </w:p>
        </w:tc>
        <w:tc>
          <w:tcPr>
            <w:tcW w:w="3222" w:type="pct"/>
            <w:tcBorders>
              <w:top w:val="single" w:color="auto" w:sz="4" w:space="0"/>
              <w:left w:val="single" w:color="auto" w:sz="4" w:space="0"/>
              <w:bottom w:val="single" w:color="auto" w:sz="4" w:space="0"/>
              <w:right w:val="single" w:color="auto" w:sz="4" w:space="0"/>
            </w:tcBorders>
            <w:vAlign w:val="center"/>
          </w:tcPr>
          <w:p w14:paraId="65ED5219">
            <w:pPr>
              <w:autoSpaceDE w:val="0"/>
              <w:autoSpaceDN w:val="0"/>
              <w:adjustRightInd w:val="0"/>
              <w:snapToGrid w:val="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1、</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进入市场监管总局、国家卫生健康委和农业农村部公布的食品复检机构名录的，得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p>
          <w:p w14:paraId="381FB9D4">
            <w:pPr>
              <w:autoSpaceDE w:val="0"/>
              <w:autoSpaceDN w:val="0"/>
              <w:adjustRightInd w:val="0"/>
              <w:snapToGrid w:val="0"/>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注：</w:t>
            </w:r>
            <w:r>
              <w:rPr>
                <w:rFonts w:hint="eastAsia" w:ascii="宋体" w:hAnsi="宋体" w:cs="宋体"/>
                <w:b/>
                <w:color w:val="auto"/>
                <w:kern w:val="0"/>
                <w:szCs w:val="21"/>
                <w:highlight w:val="none"/>
                <w:lang w:val="zh-CN"/>
              </w:rPr>
              <w:t>须</w:t>
            </w:r>
            <w:r>
              <w:rPr>
                <w:rFonts w:hint="eastAsia" w:ascii="宋体" w:hAnsi="宋体" w:cs="宋体"/>
                <w:b/>
                <w:bCs/>
                <w:color w:val="auto"/>
                <w:kern w:val="0"/>
                <w:szCs w:val="21"/>
                <w:highlight w:val="none"/>
                <w:lang w:val="zh-CN"/>
              </w:rPr>
              <w:t>提供复检机构证明材料或其</w:t>
            </w:r>
            <w:r>
              <w:rPr>
                <w:rFonts w:hint="eastAsia" w:ascii="宋体" w:hAnsi="宋体" w:cs="宋体"/>
                <w:b/>
                <w:bCs/>
                <w:color w:val="auto"/>
                <w:kern w:val="0"/>
                <w:szCs w:val="21"/>
                <w:highlight w:val="none"/>
              </w:rPr>
              <w:t>他</w:t>
            </w:r>
            <w:r>
              <w:rPr>
                <w:rFonts w:hint="eastAsia" w:ascii="宋体" w:hAnsi="宋体" w:cs="宋体"/>
                <w:b/>
                <w:bCs/>
                <w:color w:val="auto"/>
                <w:kern w:val="0"/>
                <w:szCs w:val="21"/>
                <w:highlight w:val="none"/>
                <w:lang w:val="zh-CN"/>
              </w:rPr>
              <w:t>有效证明材料。</w:t>
            </w:r>
          </w:p>
          <w:p w14:paraId="27DA22F2">
            <w:pPr>
              <w:autoSpaceDE w:val="0"/>
              <w:autoSpaceDN w:val="0"/>
              <w:adjustRightInd w:val="0"/>
              <w:snapToGrid w:val="0"/>
              <w:rPr>
                <w:rFonts w:hint="eastAsia" w:ascii="宋体" w:hAnsi="宋体" w:cs="宋体"/>
                <w:color w:val="auto"/>
                <w:szCs w:val="21"/>
                <w:highlight w:val="none"/>
              </w:rPr>
            </w:pPr>
            <w:r>
              <w:rPr>
                <w:rFonts w:hint="eastAsia" w:ascii="宋体" w:hAnsi="宋体" w:cs="宋体"/>
                <w:color w:val="auto"/>
                <w:szCs w:val="21"/>
                <w:highlight w:val="none"/>
              </w:rPr>
              <w:t>2、自202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年1月1日以来，累计开展复检的情况（以出具复检报告时间为准）：</w:t>
            </w:r>
          </w:p>
          <w:p w14:paraId="1122BD1C">
            <w:pPr>
              <w:autoSpaceDE w:val="0"/>
              <w:autoSpaceDN w:val="0"/>
              <w:adjustRightInd w:val="0"/>
              <w:snapToGrid w:val="0"/>
              <w:rPr>
                <w:rFonts w:hint="eastAsia" w:ascii="宋体" w:hAnsi="宋体" w:cs="宋体"/>
                <w:color w:val="auto"/>
                <w:szCs w:val="21"/>
                <w:highlight w:val="none"/>
                <w:lang w:val="zh-CN"/>
              </w:rPr>
            </w:pPr>
            <w:r>
              <w:rPr>
                <w:rFonts w:hint="eastAsia" w:ascii="宋体" w:hAnsi="宋体" w:cs="宋体"/>
                <w:color w:val="auto"/>
                <w:szCs w:val="21"/>
                <w:highlight w:val="none"/>
                <w:lang w:val="zh-CN"/>
              </w:rPr>
              <w:t>食品复检报告量高于</w:t>
            </w:r>
            <w:r>
              <w:rPr>
                <w:rFonts w:hint="eastAsia" w:ascii="宋体" w:hAnsi="宋体" w:cs="宋体"/>
                <w:color w:val="auto"/>
                <w:szCs w:val="21"/>
                <w:highlight w:val="none"/>
              </w:rPr>
              <w:t>30（含）</w:t>
            </w:r>
            <w:r>
              <w:rPr>
                <w:rFonts w:hint="eastAsia" w:ascii="宋体" w:hAnsi="宋体" w:cs="宋体"/>
                <w:color w:val="auto"/>
                <w:szCs w:val="21"/>
                <w:highlight w:val="none"/>
                <w:lang w:val="zh-CN"/>
              </w:rPr>
              <w:t>份的，得</w:t>
            </w:r>
            <w:r>
              <w:rPr>
                <w:rFonts w:hint="eastAsia" w:ascii="宋体" w:hAnsi="宋体" w:cs="宋体"/>
                <w:color w:val="auto"/>
                <w:szCs w:val="21"/>
                <w:highlight w:val="none"/>
              </w:rPr>
              <w:t xml:space="preserve"> 1 </w:t>
            </w:r>
            <w:r>
              <w:rPr>
                <w:rFonts w:hint="eastAsia" w:ascii="宋体" w:hAnsi="宋体" w:cs="宋体"/>
                <w:color w:val="auto"/>
                <w:szCs w:val="21"/>
                <w:highlight w:val="none"/>
                <w:lang w:val="zh-CN"/>
              </w:rPr>
              <w:t>分；</w:t>
            </w:r>
          </w:p>
          <w:p w14:paraId="67D9D088">
            <w:pPr>
              <w:autoSpaceDE w:val="0"/>
              <w:autoSpaceDN w:val="0"/>
              <w:adjustRightInd w:val="0"/>
              <w:snapToGrid w:val="0"/>
              <w:rPr>
                <w:rFonts w:hint="eastAsia" w:ascii="宋体" w:hAnsi="宋体" w:cs="宋体"/>
                <w:color w:val="auto"/>
                <w:szCs w:val="21"/>
                <w:highlight w:val="none"/>
                <w:lang w:val="zh-CN"/>
              </w:rPr>
            </w:pPr>
            <w:r>
              <w:rPr>
                <w:rFonts w:hint="eastAsia" w:ascii="宋体" w:hAnsi="宋体" w:cs="宋体"/>
                <w:color w:val="auto"/>
                <w:szCs w:val="21"/>
                <w:highlight w:val="none"/>
                <w:lang w:val="zh-CN"/>
              </w:rPr>
              <w:t>食品复检报告量为</w:t>
            </w:r>
            <w:r>
              <w:rPr>
                <w:rFonts w:hint="eastAsia" w:ascii="宋体" w:hAnsi="宋体" w:cs="宋体"/>
                <w:color w:val="auto"/>
                <w:szCs w:val="21"/>
                <w:highlight w:val="none"/>
              </w:rPr>
              <w:t>15（含）</w:t>
            </w:r>
            <w:r>
              <w:rPr>
                <w:rFonts w:hint="eastAsia" w:ascii="宋体" w:hAnsi="宋体" w:cs="宋体"/>
                <w:color w:val="auto"/>
                <w:szCs w:val="21"/>
                <w:highlight w:val="none"/>
                <w:lang w:val="zh-CN"/>
              </w:rPr>
              <w:t>~</w:t>
            </w:r>
            <w:r>
              <w:rPr>
                <w:rFonts w:hint="eastAsia" w:ascii="宋体" w:hAnsi="宋体" w:cs="宋体"/>
                <w:color w:val="auto"/>
                <w:szCs w:val="21"/>
                <w:highlight w:val="none"/>
              </w:rPr>
              <w:t>30</w:t>
            </w:r>
            <w:r>
              <w:rPr>
                <w:rFonts w:hint="eastAsia" w:ascii="宋体" w:hAnsi="宋体" w:cs="宋体"/>
                <w:color w:val="auto"/>
                <w:szCs w:val="21"/>
                <w:highlight w:val="none"/>
                <w:lang w:val="zh-CN"/>
              </w:rPr>
              <w:t>份的，得</w:t>
            </w:r>
            <w:r>
              <w:rPr>
                <w:rFonts w:hint="eastAsia" w:ascii="宋体" w:hAnsi="宋体" w:cs="宋体"/>
                <w:color w:val="auto"/>
                <w:szCs w:val="21"/>
                <w:highlight w:val="none"/>
              </w:rPr>
              <w:t xml:space="preserve"> 0.5 </w:t>
            </w:r>
            <w:r>
              <w:rPr>
                <w:rFonts w:hint="eastAsia" w:ascii="宋体" w:hAnsi="宋体" w:cs="宋体"/>
                <w:color w:val="auto"/>
                <w:szCs w:val="21"/>
                <w:highlight w:val="none"/>
                <w:lang w:val="zh-CN"/>
              </w:rPr>
              <w:t>分；</w:t>
            </w:r>
          </w:p>
          <w:p w14:paraId="24DDE7F4">
            <w:pPr>
              <w:autoSpaceDE w:val="0"/>
              <w:autoSpaceDN w:val="0"/>
              <w:adjustRightInd w:val="0"/>
              <w:snapToGrid w:val="0"/>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zh-CN"/>
              </w:rPr>
              <w:t>食品复检报告量</w:t>
            </w:r>
            <w:r>
              <w:rPr>
                <w:rFonts w:hint="eastAsia" w:ascii="宋体" w:hAnsi="宋体" w:cs="宋体"/>
                <w:color w:val="auto"/>
                <w:szCs w:val="21"/>
                <w:highlight w:val="none"/>
              </w:rPr>
              <w:t>小于15</w:t>
            </w:r>
            <w:r>
              <w:rPr>
                <w:rFonts w:hint="eastAsia" w:ascii="宋体" w:hAnsi="宋体" w:cs="宋体"/>
                <w:color w:val="auto"/>
                <w:szCs w:val="21"/>
                <w:highlight w:val="none"/>
                <w:lang w:val="zh-CN"/>
              </w:rPr>
              <w:t>份的，</w:t>
            </w:r>
            <w:r>
              <w:rPr>
                <w:rFonts w:hint="eastAsia" w:ascii="宋体" w:hAnsi="宋体" w:cs="宋体"/>
                <w:color w:val="auto"/>
                <w:szCs w:val="21"/>
                <w:highlight w:val="none"/>
              </w:rPr>
              <w:t>不得分</w:t>
            </w:r>
            <w:r>
              <w:rPr>
                <w:rFonts w:hint="eastAsia" w:ascii="宋体" w:hAnsi="宋体" w:cs="宋体"/>
                <w:color w:val="auto"/>
                <w:kern w:val="0"/>
                <w:szCs w:val="21"/>
                <w:highlight w:val="none"/>
                <w:lang w:val="zh-CN"/>
              </w:rPr>
              <w:t>。</w:t>
            </w:r>
          </w:p>
          <w:p w14:paraId="11DFF091">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lang w:val="zh-CN"/>
              </w:rPr>
              <w:t>注：</w:t>
            </w:r>
            <w:r>
              <w:rPr>
                <w:rFonts w:hint="eastAsia" w:ascii="宋体" w:hAnsi="宋体" w:cs="宋体"/>
                <w:b/>
                <w:color w:val="auto"/>
                <w:kern w:val="0"/>
                <w:szCs w:val="21"/>
                <w:highlight w:val="none"/>
                <w:lang w:val="zh-CN"/>
              </w:rPr>
              <w:t>须</w:t>
            </w:r>
            <w:r>
              <w:rPr>
                <w:rFonts w:hint="eastAsia" w:ascii="宋体" w:hAnsi="宋体" w:cs="宋体"/>
                <w:b/>
                <w:bCs/>
                <w:color w:val="auto"/>
                <w:kern w:val="0"/>
                <w:szCs w:val="21"/>
                <w:highlight w:val="none"/>
                <w:lang w:val="zh-CN"/>
              </w:rPr>
              <w:t>提供复检报告复印件或其</w:t>
            </w:r>
            <w:r>
              <w:rPr>
                <w:rFonts w:hint="eastAsia" w:ascii="宋体" w:hAnsi="宋体" w:cs="宋体"/>
                <w:b/>
                <w:bCs/>
                <w:color w:val="auto"/>
                <w:kern w:val="0"/>
                <w:szCs w:val="21"/>
                <w:highlight w:val="none"/>
              </w:rPr>
              <w:t>他</w:t>
            </w:r>
            <w:r>
              <w:rPr>
                <w:rFonts w:hint="eastAsia" w:ascii="宋体" w:hAnsi="宋体" w:cs="宋体"/>
                <w:b/>
                <w:bCs/>
                <w:color w:val="auto"/>
                <w:kern w:val="0"/>
                <w:szCs w:val="21"/>
                <w:highlight w:val="none"/>
                <w:lang w:val="zh-CN"/>
              </w:rPr>
              <w:t>有效证明材料。</w:t>
            </w:r>
          </w:p>
        </w:tc>
        <w:tc>
          <w:tcPr>
            <w:tcW w:w="442" w:type="pct"/>
            <w:tcBorders>
              <w:top w:val="single" w:color="auto" w:sz="4" w:space="0"/>
              <w:left w:val="single" w:color="auto" w:sz="4" w:space="0"/>
              <w:bottom w:val="single" w:color="auto" w:sz="4" w:space="0"/>
              <w:right w:val="single" w:color="auto" w:sz="4" w:space="0"/>
            </w:tcBorders>
            <w:vAlign w:val="center"/>
          </w:tcPr>
          <w:p w14:paraId="5B62F773">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2分</w:t>
            </w:r>
          </w:p>
        </w:tc>
      </w:tr>
      <w:tr w14:paraId="51409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242B172D">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48D7D5AA">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合格备份样品再利用工作</w:t>
            </w:r>
          </w:p>
        </w:tc>
        <w:tc>
          <w:tcPr>
            <w:tcW w:w="3222" w:type="pct"/>
            <w:tcBorders>
              <w:top w:val="single" w:color="auto" w:sz="4" w:space="0"/>
              <w:left w:val="single" w:color="auto" w:sz="4" w:space="0"/>
              <w:bottom w:val="single" w:color="auto" w:sz="4" w:space="0"/>
              <w:right w:val="single" w:color="auto" w:sz="4" w:space="0"/>
            </w:tcBorders>
            <w:vAlign w:val="center"/>
          </w:tcPr>
          <w:p w14:paraId="5034BAD4">
            <w:pP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自</w:t>
            </w:r>
            <w:r>
              <w:rPr>
                <w:rFonts w:hint="eastAsia" w:ascii="宋体" w:hAnsi="宋体" w:cs="宋体"/>
                <w:color w:val="auto"/>
                <w:kern w:val="0"/>
                <w:szCs w:val="21"/>
                <w:highlight w:val="none"/>
              </w:rPr>
              <w:t>202</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lang w:val="zh-CN"/>
              </w:rPr>
              <w:t>年1月1日以来，</w:t>
            </w:r>
            <w:r>
              <w:rPr>
                <w:rFonts w:hint="eastAsia" w:ascii="宋体" w:hAnsi="宋体" w:eastAsia="宋体" w:cs="宋体"/>
                <w:color w:val="auto"/>
                <w:sz w:val="21"/>
                <w:szCs w:val="21"/>
                <w:highlight w:val="none"/>
              </w:rPr>
              <w:t>供应商</w:t>
            </w:r>
            <w:r>
              <w:rPr>
                <w:rFonts w:hint="eastAsia" w:ascii="宋体" w:hAnsi="宋体" w:cs="宋体"/>
                <w:color w:val="auto"/>
                <w:kern w:val="0"/>
                <w:szCs w:val="21"/>
                <w:highlight w:val="none"/>
                <w:lang w:val="zh-CN"/>
              </w:rPr>
              <w:t>：</w:t>
            </w:r>
          </w:p>
          <w:p w14:paraId="1A01AE89">
            <w:pP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（1）已建立抽检合格备份样品再利用工作制度机制的，得</w:t>
            </w:r>
            <w:r>
              <w:rPr>
                <w:rFonts w:hint="eastAsia" w:ascii="宋体" w:hAnsi="宋体" w:cs="宋体"/>
                <w:color w:val="auto"/>
                <w:kern w:val="0"/>
                <w:szCs w:val="21"/>
                <w:highlight w:val="none"/>
              </w:rPr>
              <w:t>1</w:t>
            </w:r>
            <w:r>
              <w:rPr>
                <w:rFonts w:hint="eastAsia" w:ascii="宋体" w:hAnsi="宋体" w:cs="宋体"/>
                <w:color w:val="auto"/>
                <w:kern w:val="0"/>
                <w:szCs w:val="21"/>
                <w:highlight w:val="none"/>
                <w:lang w:val="zh-CN"/>
              </w:rPr>
              <w:t>分；</w:t>
            </w:r>
          </w:p>
          <w:p w14:paraId="110B9497">
            <w:pPr>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）开展的合格备份样品再利用工作取得良好社会效果的（如媒体报道、受益方出具的感谢信等），得</w:t>
            </w:r>
            <w:r>
              <w:rPr>
                <w:rFonts w:hint="eastAsia" w:ascii="宋体" w:hAnsi="宋体" w:cs="宋体"/>
                <w:color w:val="auto"/>
                <w:kern w:val="0"/>
                <w:szCs w:val="21"/>
                <w:highlight w:val="none"/>
              </w:rPr>
              <w:t>2</w:t>
            </w:r>
            <w:r>
              <w:rPr>
                <w:rFonts w:hint="eastAsia" w:ascii="宋体" w:hAnsi="宋体" w:cs="宋体"/>
                <w:color w:val="auto"/>
                <w:kern w:val="0"/>
                <w:szCs w:val="21"/>
                <w:highlight w:val="none"/>
                <w:lang w:val="zh-CN"/>
              </w:rPr>
              <w:t>分；不符合上述要求的，不得分。</w:t>
            </w:r>
          </w:p>
          <w:p w14:paraId="2F43F65A">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注：</w:t>
            </w:r>
            <w:r>
              <w:rPr>
                <w:rFonts w:hint="eastAsia" w:ascii="宋体" w:hAnsi="宋体" w:cs="宋体"/>
                <w:b/>
                <w:bCs/>
                <w:color w:val="auto"/>
                <w:kern w:val="0"/>
                <w:szCs w:val="21"/>
                <w:highlight w:val="none"/>
                <w:lang w:val="zh-CN"/>
              </w:rPr>
              <w:t>须提供相关工作制度、开展情况介绍、预包装食品备样再利用率、良好的社会效应等证明材料。备样再利用方式包括捐赠、拍卖、义卖等方式。</w:t>
            </w:r>
          </w:p>
        </w:tc>
        <w:tc>
          <w:tcPr>
            <w:tcW w:w="442" w:type="pct"/>
            <w:tcBorders>
              <w:top w:val="single" w:color="auto" w:sz="4" w:space="0"/>
              <w:left w:val="single" w:color="auto" w:sz="4" w:space="0"/>
              <w:bottom w:val="single" w:color="auto" w:sz="4" w:space="0"/>
              <w:right w:val="single" w:color="auto" w:sz="4" w:space="0"/>
            </w:tcBorders>
            <w:vAlign w:val="center"/>
          </w:tcPr>
          <w:p w14:paraId="042CF7E2">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3分</w:t>
            </w:r>
          </w:p>
        </w:tc>
      </w:tr>
      <w:tr w14:paraId="52BC8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5E469F39">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0E5BB75A">
            <w:pPr>
              <w:snapToGrid w:val="0"/>
              <w:spacing w:line="320" w:lineRule="exact"/>
              <w:jc w:val="center"/>
              <w:rPr>
                <w:rFonts w:hint="eastAsia" w:ascii="宋体" w:hAnsi="宋体" w:cs="宋体"/>
                <w:color w:val="auto"/>
                <w:kern w:val="0"/>
                <w:szCs w:val="21"/>
                <w:highlight w:val="none"/>
              </w:rPr>
            </w:pPr>
            <w:bookmarkStart w:id="267" w:name="_Hlk192064675"/>
            <w:r>
              <w:rPr>
                <w:rFonts w:hint="eastAsia" w:ascii="宋体" w:hAnsi="宋体" w:cs="宋体"/>
                <w:color w:val="auto"/>
                <w:kern w:val="0"/>
                <w:szCs w:val="21"/>
                <w:highlight w:val="none"/>
              </w:rPr>
              <w:t>管理制度</w:t>
            </w:r>
            <w:r>
              <w:rPr>
                <w:rFonts w:hint="eastAsia" w:ascii="宋体" w:hAnsi="宋体" w:cs="宋体"/>
                <w:color w:val="auto"/>
                <w:kern w:val="0"/>
                <w:highlight w:val="none"/>
              </w:rPr>
              <w:t>与工作质量</w:t>
            </w:r>
            <w:bookmarkEnd w:id="267"/>
          </w:p>
        </w:tc>
        <w:tc>
          <w:tcPr>
            <w:tcW w:w="3222" w:type="pct"/>
            <w:tcBorders>
              <w:top w:val="single" w:color="auto" w:sz="4" w:space="0"/>
              <w:left w:val="single" w:color="auto" w:sz="4" w:space="0"/>
              <w:bottom w:val="single" w:color="auto" w:sz="4" w:space="0"/>
              <w:right w:val="single" w:color="auto" w:sz="4" w:space="0"/>
            </w:tcBorders>
            <w:vAlign w:val="center"/>
          </w:tcPr>
          <w:p w14:paraId="26C0A405">
            <w:pPr>
              <w:pStyle w:val="15"/>
              <w:ind w:left="0" w:leftChars="0"/>
              <w:rPr>
                <w:rFonts w:hint="eastAsia" w:hAnsi="宋体" w:cs="宋体"/>
                <w:b w:val="0"/>
                <w:color w:val="auto"/>
                <w:position w:val="0"/>
                <w:sz w:val="21"/>
                <w:szCs w:val="24"/>
                <w:highlight w:val="none"/>
              </w:rPr>
            </w:pPr>
            <w:r>
              <w:rPr>
                <w:rFonts w:hint="eastAsia" w:hAnsi="宋体" w:cs="宋体"/>
                <w:b w:val="0"/>
                <w:color w:val="auto"/>
                <w:position w:val="0"/>
                <w:sz w:val="21"/>
                <w:szCs w:val="24"/>
                <w:highlight w:val="none"/>
              </w:rPr>
              <w:t>1、依据《食品安全抽样检验管理办法》等法律法规规章，建立健全相关制度，</w:t>
            </w:r>
            <w:r>
              <w:rPr>
                <w:rFonts w:hint="eastAsia" w:hAnsi="宋体" w:cs="宋体"/>
                <w:b w:val="0"/>
                <w:color w:val="auto"/>
                <w:position w:val="0"/>
                <w:sz w:val="21"/>
                <w:szCs w:val="24"/>
                <w:highlight w:val="none"/>
                <w:lang w:val="en-US" w:eastAsia="zh-CN"/>
              </w:rPr>
              <w:t>管理制度</w:t>
            </w:r>
            <w:r>
              <w:rPr>
                <w:rFonts w:hint="eastAsia" w:hAnsi="宋体" w:cs="宋体"/>
                <w:b w:val="0"/>
                <w:color w:val="auto"/>
                <w:position w:val="0"/>
                <w:sz w:val="21"/>
                <w:szCs w:val="24"/>
                <w:highlight w:val="none"/>
              </w:rPr>
              <w:t>具备全部12个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，得5分；具备10</w:t>
            </w:r>
            <w:r>
              <w:rPr>
                <w:rFonts w:hint="eastAsia" w:hAnsi="宋体" w:cs="宋体"/>
                <w:b w:val="0"/>
                <w:color w:val="auto"/>
                <w:position w:val="0"/>
                <w:sz w:val="21"/>
                <w:szCs w:val="24"/>
                <w:highlight w:val="none"/>
                <w:lang w:val="en-US" w:eastAsia="zh-CN"/>
              </w:rPr>
              <w:t>-11</w:t>
            </w:r>
            <w:r>
              <w:rPr>
                <w:rFonts w:hint="eastAsia" w:hAnsi="宋体" w:cs="宋体"/>
                <w:b w:val="0"/>
                <w:color w:val="auto"/>
                <w:position w:val="0"/>
                <w:sz w:val="21"/>
                <w:szCs w:val="24"/>
                <w:highlight w:val="none"/>
              </w:rPr>
              <w:t>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，得3分；具备8</w:t>
            </w:r>
            <w:r>
              <w:rPr>
                <w:rFonts w:hint="eastAsia" w:hAnsi="宋体" w:cs="宋体"/>
                <w:b w:val="0"/>
                <w:color w:val="auto"/>
                <w:position w:val="0"/>
                <w:sz w:val="21"/>
                <w:szCs w:val="24"/>
                <w:highlight w:val="none"/>
                <w:lang w:val="en-US" w:eastAsia="zh-CN"/>
              </w:rPr>
              <w:t>-9</w:t>
            </w:r>
            <w:r>
              <w:rPr>
                <w:rFonts w:hint="eastAsia" w:hAnsi="宋体" w:cs="宋体"/>
                <w:b w:val="0"/>
                <w:color w:val="auto"/>
                <w:position w:val="0"/>
                <w:sz w:val="21"/>
                <w:szCs w:val="24"/>
                <w:highlight w:val="none"/>
              </w:rPr>
              <w:t>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，得1分；其他不得分。（12个</w:t>
            </w:r>
            <w:r>
              <w:rPr>
                <w:rFonts w:hint="eastAsia" w:hAnsi="宋体" w:cs="宋体"/>
                <w:b w:val="0"/>
                <w:color w:val="auto"/>
                <w:position w:val="0"/>
                <w:sz w:val="21"/>
                <w:szCs w:val="24"/>
                <w:highlight w:val="none"/>
                <w:lang w:val="en-US" w:eastAsia="zh-CN"/>
              </w:rPr>
              <w:t>方面</w:t>
            </w:r>
            <w:r>
              <w:rPr>
                <w:rFonts w:hint="eastAsia" w:hAnsi="宋体" w:cs="宋体"/>
                <w:b w:val="0"/>
                <w:color w:val="auto"/>
                <w:position w:val="0"/>
                <w:sz w:val="21"/>
                <w:szCs w:val="24"/>
                <w:highlight w:val="none"/>
              </w:rPr>
              <w:t>为：抽样管理、人员管理、培训、样品管理、复验、信息报送、保密、回避、检验责任追究、档案管理、食品安全舆情应急检验预案、食品安全风险信息报送等制度）</w:t>
            </w:r>
          </w:p>
          <w:p w14:paraId="3DBBB122">
            <w:pPr>
              <w:pStyle w:val="15"/>
              <w:ind w:left="0" w:leftChars="0"/>
              <w:rPr>
                <w:rFonts w:hint="eastAsia" w:hAnsi="宋体" w:cs="宋体"/>
                <w:color w:val="auto"/>
                <w:highlight w:val="none"/>
              </w:rPr>
            </w:pPr>
            <w:r>
              <w:rPr>
                <w:rFonts w:hint="eastAsia" w:hAnsi="宋体" w:cs="宋体"/>
                <w:color w:val="auto"/>
                <w:sz w:val="21"/>
                <w:szCs w:val="21"/>
                <w:highlight w:val="none"/>
              </w:rPr>
              <w:t>注：须提供相关有效证明材料。</w:t>
            </w:r>
          </w:p>
          <w:p w14:paraId="51F444B1">
            <w:pPr>
              <w:pStyle w:val="15"/>
              <w:numPr>
                <w:ilvl w:val="-1"/>
                <w:numId w:val="0"/>
              </w:numPr>
              <w:ind w:left="0" w:leftChars="0"/>
              <w:rPr>
                <w:rFonts w:hint="eastAsia" w:hAnsi="宋体" w:cs="宋体"/>
                <w:b w:val="0"/>
                <w:color w:val="auto"/>
                <w:position w:val="0"/>
                <w:sz w:val="21"/>
                <w:szCs w:val="24"/>
                <w:highlight w:val="none"/>
                <w:lang w:val="en-US" w:eastAsia="zh-CN"/>
              </w:rPr>
            </w:pPr>
            <w:r>
              <w:rPr>
                <w:rFonts w:hint="eastAsia" w:hAnsi="宋体" w:cs="宋体"/>
                <w:b w:val="0"/>
                <w:color w:val="auto"/>
                <w:position w:val="0"/>
                <w:sz w:val="21"/>
                <w:szCs w:val="24"/>
                <w:highlight w:val="none"/>
                <w:lang w:val="en-US" w:eastAsia="zh-CN"/>
              </w:rPr>
              <w:t>2、</w:t>
            </w:r>
            <w:r>
              <w:rPr>
                <w:rFonts w:hint="eastAsia" w:hAnsi="宋体" w:cs="宋体"/>
                <w:b w:val="0"/>
                <w:color w:val="auto"/>
                <w:position w:val="0"/>
                <w:sz w:val="21"/>
                <w:szCs w:val="24"/>
                <w:highlight w:val="none"/>
              </w:rPr>
              <w:t>对管理制度落实和</w:t>
            </w:r>
            <w:r>
              <w:rPr>
                <w:rFonts w:hint="eastAsia" w:hAnsi="宋体" w:cs="宋体"/>
                <w:b w:val="0"/>
                <w:color w:val="auto"/>
                <w:position w:val="0"/>
                <w:sz w:val="21"/>
                <w:szCs w:val="24"/>
                <w:highlight w:val="none"/>
                <w:lang w:val="en-US" w:eastAsia="zh-CN"/>
              </w:rPr>
              <w:t>工作</w:t>
            </w:r>
            <w:r>
              <w:rPr>
                <w:rFonts w:hint="eastAsia" w:hAnsi="宋体" w:cs="宋体"/>
                <w:b w:val="0"/>
                <w:color w:val="auto"/>
                <w:position w:val="0"/>
                <w:sz w:val="21"/>
                <w:szCs w:val="24"/>
                <w:highlight w:val="none"/>
              </w:rPr>
              <w:t>执行情况</w:t>
            </w:r>
            <w:r>
              <w:rPr>
                <w:rFonts w:hint="eastAsia" w:hAnsi="宋体" w:cs="宋体"/>
                <w:b w:val="0"/>
                <w:color w:val="auto"/>
                <w:position w:val="0"/>
                <w:sz w:val="21"/>
                <w:szCs w:val="24"/>
                <w:highlight w:val="none"/>
                <w:lang w:val="en-US" w:eastAsia="zh-CN"/>
              </w:rPr>
              <w:t>进行打分</w:t>
            </w:r>
          </w:p>
          <w:p w14:paraId="7340371B">
            <w:pPr>
              <w:pStyle w:val="15"/>
              <w:numPr>
                <w:ilvl w:val="-1"/>
                <w:numId w:val="0"/>
              </w:numPr>
              <w:ind w:left="0" w:leftChars="0"/>
              <w:rPr>
                <w:rFonts w:hint="eastAsia" w:hAnsi="宋体" w:eastAsia="宋体" w:cs="宋体"/>
                <w:b w:val="0"/>
                <w:color w:val="auto"/>
                <w:position w:val="0"/>
                <w:sz w:val="21"/>
                <w:szCs w:val="24"/>
                <w:highlight w:val="none"/>
                <w:lang w:eastAsia="zh-CN"/>
              </w:rPr>
            </w:pPr>
            <w:r>
              <w:rPr>
                <w:rFonts w:hint="eastAsia" w:hAnsi="宋体" w:cs="宋体"/>
                <w:b w:val="0"/>
                <w:color w:val="auto"/>
                <w:position w:val="0"/>
                <w:sz w:val="21"/>
                <w:szCs w:val="24"/>
                <w:highlight w:val="none"/>
              </w:rPr>
              <w:t>管理制度落实和</w:t>
            </w:r>
            <w:r>
              <w:rPr>
                <w:rFonts w:hint="eastAsia" w:hAnsi="宋体" w:cs="宋体"/>
                <w:b w:val="0"/>
                <w:color w:val="auto"/>
                <w:position w:val="0"/>
                <w:sz w:val="21"/>
                <w:szCs w:val="24"/>
                <w:highlight w:val="none"/>
                <w:lang w:val="en-US" w:eastAsia="zh-CN"/>
              </w:rPr>
              <w:t>工作</w:t>
            </w:r>
            <w:r>
              <w:rPr>
                <w:rFonts w:hint="eastAsia" w:hAnsi="宋体" w:cs="宋体"/>
                <w:b w:val="0"/>
                <w:color w:val="auto"/>
                <w:position w:val="0"/>
                <w:sz w:val="21"/>
                <w:szCs w:val="24"/>
                <w:highlight w:val="none"/>
              </w:rPr>
              <w:t>执行情况包括但不限于管理制度执行情况，工作执行情况，工作质量通报情况</w:t>
            </w:r>
            <w:r>
              <w:rPr>
                <w:rFonts w:hint="eastAsia" w:hAnsi="宋体" w:cs="宋体"/>
                <w:b w:val="0"/>
                <w:color w:val="auto"/>
                <w:position w:val="0"/>
                <w:sz w:val="21"/>
                <w:szCs w:val="24"/>
                <w:highlight w:val="none"/>
                <w:lang w:eastAsia="zh-CN"/>
              </w:rPr>
              <w:t>。</w:t>
            </w:r>
          </w:p>
          <w:p w14:paraId="1B6B49A3">
            <w:pPr>
              <w:pStyle w:val="15"/>
              <w:numPr>
                <w:ilvl w:val="255"/>
                <w:numId w:val="0"/>
              </w:numPr>
              <w:rPr>
                <w:rFonts w:hint="eastAsia" w:hAnsi="宋体" w:cs="宋体"/>
                <w:b w:val="0"/>
                <w:color w:val="auto"/>
                <w:position w:val="0"/>
                <w:sz w:val="21"/>
                <w:szCs w:val="24"/>
                <w:highlight w:val="none"/>
              </w:rPr>
            </w:pPr>
            <w:r>
              <w:rPr>
                <w:rFonts w:hint="eastAsia" w:hAnsi="宋体" w:cs="宋体"/>
                <w:b w:val="0"/>
                <w:color w:val="auto"/>
                <w:position w:val="0"/>
                <w:sz w:val="21"/>
                <w:szCs w:val="24"/>
                <w:highlight w:val="none"/>
              </w:rPr>
              <w:t>（1）管理制度内容齐全、与现行法律法规一致，工作执行情况好，</w:t>
            </w:r>
            <w:r>
              <w:rPr>
                <w:rFonts w:hint="eastAsia" w:hAnsi="宋体" w:cs="宋体"/>
                <w:b w:val="0"/>
                <w:color w:val="auto"/>
                <w:position w:val="0"/>
                <w:sz w:val="21"/>
                <w:szCs w:val="24"/>
                <w:highlight w:val="none"/>
                <w:lang w:val="en-US" w:eastAsia="zh-CN"/>
              </w:rPr>
              <w:t>完全</w:t>
            </w:r>
            <w:r>
              <w:rPr>
                <w:rFonts w:hint="eastAsia" w:ascii="宋体" w:hAnsi="宋体" w:eastAsia="宋体" w:cs="宋体"/>
                <w:b w:val="0"/>
                <w:color w:val="auto"/>
                <w:position w:val="0"/>
                <w:sz w:val="21"/>
                <w:szCs w:val="24"/>
                <w:highlight w:val="none"/>
              </w:rPr>
              <w:t>落实相关管理制度</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rPr>
              <w:t xml:space="preserve">得 </w:t>
            </w:r>
            <w:r>
              <w:rPr>
                <w:rFonts w:hint="eastAsia" w:hAnsi="宋体" w:cs="宋体"/>
                <w:b w:val="0"/>
                <w:color w:val="auto"/>
                <w:position w:val="0"/>
                <w:sz w:val="21"/>
                <w:szCs w:val="24"/>
                <w:highlight w:val="none"/>
                <w:lang w:val="en-US" w:eastAsia="zh-CN"/>
              </w:rPr>
              <w:t>5</w:t>
            </w:r>
            <w:r>
              <w:rPr>
                <w:rFonts w:hint="eastAsia" w:hAnsi="宋体" w:cs="宋体"/>
                <w:b w:val="0"/>
                <w:color w:val="auto"/>
                <w:position w:val="0"/>
                <w:sz w:val="21"/>
                <w:szCs w:val="24"/>
                <w:highlight w:val="none"/>
              </w:rPr>
              <w:t xml:space="preserve"> 分；</w:t>
            </w:r>
          </w:p>
          <w:p w14:paraId="38820174">
            <w:pPr>
              <w:pStyle w:val="15"/>
              <w:numPr>
                <w:ilvl w:val="255"/>
                <w:numId w:val="0"/>
              </w:numPr>
              <w:rPr>
                <w:rFonts w:hint="eastAsia" w:hAnsi="宋体" w:cs="宋体"/>
                <w:b w:val="0"/>
                <w:color w:val="auto"/>
                <w:position w:val="0"/>
                <w:sz w:val="21"/>
                <w:szCs w:val="24"/>
                <w:highlight w:val="none"/>
              </w:rPr>
            </w:pPr>
            <w:r>
              <w:rPr>
                <w:rFonts w:hint="eastAsia" w:hAnsi="宋体" w:cs="宋体"/>
                <w:b w:val="0"/>
                <w:color w:val="auto"/>
                <w:position w:val="0"/>
                <w:sz w:val="21"/>
                <w:szCs w:val="24"/>
                <w:highlight w:val="none"/>
              </w:rPr>
              <w:t>（2）管理制度内容较齐全，与现行法律法规较一致，工作执行情况</w:t>
            </w:r>
            <w:r>
              <w:rPr>
                <w:rFonts w:hint="eastAsia" w:hAnsi="宋体" w:cs="宋体"/>
                <w:b w:val="0"/>
                <w:color w:val="auto"/>
                <w:position w:val="0"/>
                <w:sz w:val="21"/>
                <w:szCs w:val="24"/>
                <w:highlight w:val="none"/>
                <w:lang w:val="en-US" w:eastAsia="zh-CN"/>
              </w:rPr>
              <w:t>较</w:t>
            </w:r>
            <w:r>
              <w:rPr>
                <w:rFonts w:hint="eastAsia" w:hAnsi="宋体" w:cs="宋体"/>
                <w:b w:val="0"/>
                <w:color w:val="auto"/>
                <w:position w:val="0"/>
                <w:sz w:val="21"/>
                <w:szCs w:val="24"/>
                <w:highlight w:val="none"/>
              </w:rPr>
              <w:t>好，</w:t>
            </w:r>
            <w:r>
              <w:rPr>
                <w:rFonts w:hint="eastAsia" w:hAnsi="宋体" w:cs="宋体"/>
                <w:b w:val="0"/>
                <w:color w:val="auto"/>
                <w:position w:val="0"/>
                <w:sz w:val="21"/>
                <w:szCs w:val="24"/>
                <w:highlight w:val="none"/>
                <w:lang w:val="en-US" w:eastAsia="zh-CN"/>
              </w:rPr>
              <w:t>较好落实相关管理制度</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rPr>
              <w:t xml:space="preserve">得 </w:t>
            </w:r>
            <w:r>
              <w:rPr>
                <w:rFonts w:hint="eastAsia" w:hAnsi="宋体" w:cs="宋体"/>
                <w:b w:val="0"/>
                <w:color w:val="auto"/>
                <w:position w:val="0"/>
                <w:sz w:val="21"/>
                <w:szCs w:val="24"/>
                <w:highlight w:val="none"/>
                <w:lang w:val="en-US" w:eastAsia="zh-CN"/>
              </w:rPr>
              <w:t>3</w:t>
            </w:r>
            <w:r>
              <w:rPr>
                <w:rFonts w:hint="eastAsia" w:hAnsi="宋体" w:cs="宋体"/>
                <w:b w:val="0"/>
                <w:color w:val="auto"/>
                <w:position w:val="0"/>
                <w:sz w:val="21"/>
                <w:szCs w:val="24"/>
                <w:highlight w:val="none"/>
              </w:rPr>
              <w:t xml:space="preserve"> 分；</w:t>
            </w:r>
          </w:p>
          <w:p w14:paraId="784EC23F">
            <w:pPr>
              <w:pStyle w:val="15"/>
              <w:numPr>
                <w:ilvl w:val="255"/>
                <w:numId w:val="0"/>
              </w:numPr>
              <w:rPr>
                <w:rFonts w:hint="default" w:hAnsi="宋体" w:eastAsia="宋体" w:cs="宋体"/>
                <w:b w:val="0"/>
                <w:color w:val="auto"/>
                <w:position w:val="0"/>
                <w:sz w:val="21"/>
                <w:szCs w:val="24"/>
                <w:highlight w:val="none"/>
                <w:lang w:val="en-US" w:eastAsia="zh-CN"/>
              </w:rPr>
            </w:pPr>
            <w:r>
              <w:rPr>
                <w:rFonts w:hint="eastAsia" w:hAnsi="宋体" w:cs="宋体"/>
                <w:b w:val="0"/>
                <w:color w:val="auto"/>
                <w:position w:val="0"/>
                <w:sz w:val="21"/>
                <w:szCs w:val="24"/>
                <w:highlight w:val="none"/>
              </w:rPr>
              <w:t>（3）管理制度内容</w:t>
            </w:r>
            <w:r>
              <w:rPr>
                <w:rFonts w:hint="eastAsia" w:hAnsi="宋体" w:cs="宋体"/>
                <w:b w:val="0"/>
                <w:color w:val="auto"/>
                <w:position w:val="0"/>
                <w:sz w:val="21"/>
                <w:szCs w:val="24"/>
                <w:highlight w:val="none"/>
                <w:lang w:val="en-US" w:eastAsia="zh-CN"/>
              </w:rPr>
              <w:t>基本</w:t>
            </w:r>
            <w:r>
              <w:rPr>
                <w:rFonts w:hint="eastAsia" w:ascii="宋体" w:hAnsi="宋体" w:eastAsia="宋体" w:cs="宋体"/>
                <w:b w:val="0"/>
                <w:color w:val="auto"/>
                <w:position w:val="0"/>
                <w:sz w:val="21"/>
                <w:szCs w:val="24"/>
                <w:highlight w:val="none"/>
              </w:rPr>
              <w:t>齐全</w:t>
            </w:r>
            <w:r>
              <w:rPr>
                <w:rFonts w:hint="eastAsia" w:hAnsi="宋体" w:cs="宋体"/>
                <w:b w:val="0"/>
                <w:color w:val="auto"/>
                <w:position w:val="0"/>
                <w:sz w:val="21"/>
                <w:szCs w:val="24"/>
                <w:highlight w:val="none"/>
              </w:rPr>
              <w:t>，与现行法律法规</w:t>
            </w:r>
            <w:r>
              <w:rPr>
                <w:rFonts w:hint="eastAsia" w:hAnsi="宋体" w:cs="宋体"/>
                <w:b w:val="0"/>
                <w:color w:val="auto"/>
                <w:position w:val="0"/>
                <w:sz w:val="21"/>
                <w:szCs w:val="24"/>
                <w:highlight w:val="none"/>
                <w:lang w:val="en-US" w:eastAsia="zh-CN"/>
              </w:rPr>
              <w:t>基本</w:t>
            </w:r>
            <w:r>
              <w:rPr>
                <w:rFonts w:hint="eastAsia" w:hAnsi="宋体" w:cs="宋体"/>
                <w:b w:val="0"/>
                <w:color w:val="auto"/>
                <w:position w:val="0"/>
                <w:sz w:val="21"/>
                <w:szCs w:val="24"/>
                <w:highlight w:val="none"/>
              </w:rPr>
              <w:t>一致</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rPr>
              <w:t>工作</w:t>
            </w:r>
            <w:r>
              <w:rPr>
                <w:rFonts w:hint="eastAsia" w:hAnsi="宋体" w:cs="宋体"/>
                <w:b w:val="0"/>
                <w:color w:val="auto"/>
                <w:position w:val="0"/>
                <w:sz w:val="21"/>
                <w:szCs w:val="24"/>
                <w:highlight w:val="none"/>
                <w:lang w:val="en-US" w:eastAsia="zh-CN"/>
              </w:rPr>
              <w:t>执行情况一般，基本</w:t>
            </w:r>
            <w:r>
              <w:rPr>
                <w:rFonts w:hint="eastAsia" w:hAnsi="宋体" w:cs="宋体"/>
                <w:b w:val="0"/>
                <w:color w:val="auto"/>
                <w:position w:val="0"/>
                <w:sz w:val="21"/>
                <w:szCs w:val="24"/>
                <w:highlight w:val="none"/>
              </w:rPr>
              <w:t>落实相关管理制度</w:t>
            </w:r>
            <w:r>
              <w:rPr>
                <w:rFonts w:hint="eastAsia" w:hAnsi="宋体" w:cs="宋体"/>
                <w:b w:val="0"/>
                <w:color w:val="auto"/>
                <w:position w:val="0"/>
                <w:sz w:val="21"/>
                <w:szCs w:val="24"/>
                <w:highlight w:val="none"/>
                <w:lang w:eastAsia="zh-CN"/>
              </w:rPr>
              <w:t>，</w:t>
            </w:r>
            <w:r>
              <w:rPr>
                <w:rFonts w:hint="eastAsia" w:hAnsi="宋体" w:cs="宋体"/>
                <w:b w:val="0"/>
                <w:color w:val="auto"/>
                <w:position w:val="0"/>
                <w:sz w:val="21"/>
                <w:szCs w:val="24"/>
                <w:highlight w:val="none"/>
                <w:lang w:val="en-US" w:eastAsia="zh-CN"/>
              </w:rPr>
              <w:t>得 1 分；</w:t>
            </w:r>
          </w:p>
          <w:p w14:paraId="11AD1917">
            <w:pPr>
              <w:snapToGrid w:val="0"/>
              <w:spacing w:line="320" w:lineRule="exact"/>
              <w:jc w:val="left"/>
              <w:rPr>
                <w:rFonts w:hint="eastAsia" w:ascii="宋体" w:hAnsi="宋体" w:cs="宋体"/>
                <w:color w:val="auto"/>
                <w:kern w:val="0"/>
                <w:szCs w:val="21"/>
                <w:highlight w:val="none"/>
              </w:rPr>
            </w:pPr>
            <w:r>
              <w:rPr>
                <w:rFonts w:hint="eastAsia" w:hAnsi="宋体" w:cs="宋体"/>
                <w:b w:val="0"/>
                <w:color w:val="auto"/>
                <w:position w:val="0"/>
                <w:sz w:val="21"/>
                <w:szCs w:val="24"/>
                <w:highlight w:val="none"/>
              </w:rPr>
              <w:t>（</w:t>
            </w:r>
            <w:r>
              <w:rPr>
                <w:rFonts w:hint="eastAsia" w:hAnsi="宋体" w:cs="宋体"/>
                <w:b w:val="0"/>
                <w:color w:val="auto"/>
                <w:position w:val="0"/>
                <w:sz w:val="21"/>
                <w:szCs w:val="24"/>
                <w:highlight w:val="none"/>
                <w:lang w:val="en-US" w:eastAsia="zh-CN"/>
              </w:rPr>
              <w:t>4</w:t>
            </w:r>
            <w:r>
              <w:rPr>
                <w:rFonts w:hint="eastAsia" w:hAnsi="宋体" w:cs="宋体"/>
                <w:b w:val="0"/>
                <w:color w:val="auto"/>
                <w:position w:val="0"/>
                <w:sz w:val="21"/>
                <w:szCs w:val="24"/>
                <w:highlight w:val="none"/>
              </w:rPr>
              <w:t>）</w:t>
            </w:r>
            <w:r>
              <w:rPr>
                <w:rFonts w:hint="eastAsia" w:hAnsi="宋体" w:cs="宋体"/>
                <w:b w:val="0"/>
                <w:color w:val="auto"/>
                <w:position w:val="0"/>
                <w:sz w:val="21"/>
                <w:szCs w:val="24"/>
                <w:highlight w:val="none"/>
                <w:lang w:val="en-US" w:eastAsia="zh-CN"/>
              </w:rPr>
              <w:t>未提供</w:t>
            </w:r>
            <w:r>
              <w:rPr>
                <w:rFonts w:hint="eastAsia" w:hAnsi="宋体" w:cs="宋体"/>
                <w:b w:val="0"/>
                <w:color w:val="auto"/>
                <w:position w:val="0"/>
                <w:sz w:val="21"/>
                <w:szCs w:val="24"/>
                <w:highlight w:val="none"/>
              </w:rPr>
              <w:t>管理制度落实和</w:t>
            </w:r>
            <w:r>
              <w:rPr>
                <w:rFonts w:hint="eastAsia" w:hAnsi="宋体" w:cs="宋体"/>
                <w:b w:val="0"/>
                <w:color w:val="auto"/>
                <w:position w:val="0"/>
                <w:sz w:val="21"/>
                <w:szCs w:val="24"/>
                <w:highlight w:val="none"/>
                <w:lang w:val="en-US" w:eastAsia="zh-CN"/>
              </w:rPr>
              <w:t>工作</w:t>
            </w:r>
            <w:r>
              <w:rPr>
                <w:rFonts w:hint="eastAsia" w:hAnsi="宋体" w:cs="宋体"/>
                <w:b w:val="0"/>
                <w:color w:val="auto"/>
                <w:position w:val="0"/>
                <w:sz w:val="21"/>
                <w:szCs w:val="24"/>
                <w:highlight w:val="none"/>
              </w:rPr>
              <w:t>执行情况或在上一年度在承担食品安全抽检任务中，有因工作质量问题被通报的情况的不得分。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454BBB3A">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10</w:t>
            </w:r>
            <w:r>
              <w:rPr>
                <w:rFonts w:hint="eastAsia" w:ascii="宋体" w:hAnsi="宋体" w:cs="宋体"/>
                <w:color w:val="auto"/>
                <w:kern w:val="0"/>
                <w:szCs w:val="21"/>
                <w:highlight w:val="none"/>
              </w:rPr>
              <w:t>分</w:t>
            </w:r>
          </w:p>
        </w:tc>
      </w:tr>
      <w:tr w14:paraId="7F853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47912856">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0FE0F3EC">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快速响应服务时效</w:t>
            </w:r>
          </w:p>
        </w:tc>
        <w:tc>
          <w:tcPr>
            <w:tcW w:w="3222" w:type="pct"/>
            <w:tcBorders>
              <w:top w:val="single" w:color="auto" w:sz="4" w:space="0"/>
              <w:left w:val="single" w:color="auto" w:sz="4" w:space="0"/>
              <w:bottom w:val="single" w:color="auto" w:sz="4" w:space="0"/>
              <w:right w:val="single" w:color="auto" w:sz="4" w:space="0"/>
            </w:tcBorders>
            <w:vAlign w:val="center"/>
          </w:tcPr>
          <w:p w14:paraId="08A6F9F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在工作日工作时段出现突发状况时到达抽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地区（以抽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地区地级市人民政府所在地为准）</w:t>
            </w:r>
            <w:r>
              <w:rPr>
                <w:rFonts w:hint="eastAsia" w:ascii="宋体" w:hAnsi="宋体" w:cs="宋体"/>
                <w:color w:val="auto"/>
                <w:szCs w:val="21"/>
                <w:highlight w:val="none"/>
                <w:lang w:val="en-US" w:eastAsia="zh-CN"/>
              </w:rPr>
              <w:t>的</w:t>
            </w:r>
            <w:r>
              <w:rPr>
                <w:rFonts w:hint="eastAsia" w:ascii="宋体" w:hAnsi="宋体" w:cs="宋体"/>
                <w:color w:val="auto"/>
                <w:szCs w:val="21"/>
                <w:highlight w:val="none"/>
              </w:rPr>
              <w:t>时间进行评分。</w:t>
            </w:r>
          </w:p>
          <w:p w14:paraId="55DAC258">
            <w:pPr>
              <w:autoSpaceDE w:val="0"/>
              <w:autoSpaceDN w:val="0"/>
              <w:adjustRightInd w:val="0"/>
              <w:rPr>
                <w:rFonts w:hint="eastAsia" w:ascii="宋体" w:hAnsi="宋体" w:cs="宋体"/>
                <w:color w:val="auto"/>
                <w:szCs w:val="21"/>
                <w:highlight w:val="none"/>
              </w:rPr>
            </w:pPr>
            <w:r>
              <w:rPr>
                <w:rFonts w:hint="default" w:ascii="宋体" w:hAnsi="宋体" w:cs="宋体"/>
                <w:color w:val="auto"/>
                <w:szCs w:val="21"/>
                <w:highlight w:val="none"/>
                <w:lang w:val="en-US"/>
              </w:rPr>
              <w:t>2</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4 分；</w:t>
            </w:r>
          </w:p>
          <w:p w14:paraId="13FA2ECA">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3 分；</w:t>
            </w:r>
          </w:p>
          <w:p w14:paraId="7C2D1E51">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2 分；</w:t>
            </w:r>
          </w:p>
          <w:p w14:paraId="7A8CB366">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 xml:space="preserve"> 小时内及时响应到达抽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地区开展工作的，得 1 分；</w:t>
            </w:r>
          </w:p>
          <w:p w14:paraId="696D9F64">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不符合上述要求的，不得分。</w:t>
            </w:r>
          </w:p>
          <w:p w14:paraId="6BB5CA6F">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szCs w:val="21"/>
                <w:highlight w:val="none"/>
              </w:rPr>
              <w:t>注：</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须提交在工作日工作时段以</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实验室为起点至抽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地区（以抽</w:t>
            </w:r>
            <w:r>
              <w:rPr>
                <w:rFonts w:hint="eastAsia" w:ascii="宋体" w:hAnsi="宋体" w:cs="宋体"/>
                <w:color w:val="auto"/>
                <w:szCs w:val="21"/>
                <w:highlight w:val="none"/>
                <w:lang w:val="en-US" w:eastAsia="zh-CN"/>
              </w:rPr>
              <w:t>样</w:t>
            </w:r>
            <w:r>
              <w:rPr>
                <w:rFonts w:hint="eastAsia" w:ascii="宋体" w:hAnsi="宋体" w:cs="宋体"/>
                <w:color w:val="auto"/>
                <w:szCs w:val="21"/>
                <w:highlight w:val="none"/>
              </w:rPr>
              <w:t>地区地级市人民政府所在地为准）为终点的全部行程导航截图，</w:t>
            </w:r>
            <w:r>
              <w:rPr>
                <w:rFonts w:hint="eastAsia" w:ascii="宋体" w:hAnsi="宋体" w:cs="宋体"/>
                <w:b/>
                <w:color w:val="auto"/>
                <w:szCs w:val="21"/>
                <w:highlight w:val="none"/>
              </w:rPr>
              <w:t>若更换交通工具，须分段截图</w:t>
            </w:r>
            <w:r>
              <w:rPr>
                <w:rFonts w:hint="eastAsia" w:ascii="宋体" w:hAnsi="宋体" w:cs="宋体"/>
                <w:color w:val="auto"/>
                <w:szCs w:val="21"/>
                <w:highlight w:val="none"/>
              </w:rPr>
              <w:t>，行程方式包括飞机、火车、汽车等。此外，在</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已提供的导航截图及时间信息基础上，针对飞机、火车等不同交通方式，将分别增加额外的时间成本，具体为：飞机增加1小时，火车增加0.5小时，以覆盖机场候机、火车站候车的时间成本。</w:t>
            </w:r>
          </w:p>
        </w:tc>
        <w:tc>
          <w:tcPr>
            <w:tcW w:w="442" w:type="pct"/>
            <w:tcBorders>
              <w:top w:val="single" w:color="auto" w:sz="4" w:space="0"/>
              <w:left w:val="single" w:color="auto" w:sz="4" w:space="0"/>
              <w:bottom w:val="single" w:color="auto" w:sz="4" w:space="0"/>
              <w:right w:val="single" w:color="auto" w:sz="4" w:space="0"/>
            </w:tcBorders>
            <w:vAlign w:val="center"/>
          </w:tcPr>
          <w:p w14:paraId="07BEBF3A">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4分</w:t>
            </w:r>
          </w:p>
        </w:tc>
      </w:tr>
      <w:tr w14:paraId="32522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068FD6BD">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5E387ECB">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实施方案</w:t>
            </w:r>
          </w:p>
        </w:tc>
        <w:tc>
          <w:tcPr>
            <w:tcW w:w="3222" w:type="pct"/>
            <w:tcBorders>
              <w:top w:val="single" w:color="auto" w:sz="4" w:space="0"/>
              <w:left w:val="single" w:color="auto" w:sz="4" w:space="0"/>
              <w:bottom w:val="single" w:color="auto" w:sz="4" w:space="0"/>
              <w:right w:val="single" w:color="auto" w:sz="4" w:space="0"/>
            </w:tcBorders>
            <w:vAlign w:val="center"/>
          </w:tcPr>
          <w:p w14:paraId="3AECB870">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实施方案进行评分。</w:t>
            </w:r>
          </w:p>
          <w:p w14:paraId="57422280">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实施方案应包括但不限于任务理解分析、人员分工和培训、工作进度、质量控制及保密、结果报送、工作考核等各项内容。</w:t>
            </w:r>
          </w:p>
          <w:p w14:paraId="1A17CA2C">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（1）实施方案内容完整，科学有效，创新性、可操作性强，得10分；</w:t>
            </w:r>
          </w:p>
          <w:p w14:paraId="62AB35B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（2）实施方案内容较完整，较科学，较有效，可操作性较强，得6分；</w:t>
            </w:r>
          </w:p>
          <w:p w14:paraId="74AC5619">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（3）实施方案内容完整性、科学性、有效性有欠缺，可操作性不强，得 3 分；</w:t>
            </w:r>
          </w:p>
          <w:p w14:paraId="575458E3">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（4）实施方案内容不完整，可操作性差的得 1 分；</w:t>
            </w:r>
          </w:p>
          <w:p w14:paraId="7CA3C241">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（5）其他或未提供的不得分。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69731305">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10分</w:t>
            </w:r>
          </w:p>
        </w:tc>
      </w:tr>
      <w:tr w14:paraId="71281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4FFD7CB7">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2DBE3949">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突发事件应急处置预案</w:t>
            </w:r>
          </w:p>
        </w:tc>
        <w:tc>
          <w:tcPr>
            <w:tcW w:w="3222" w:type="pct"/>
            <w:tcBorders>
              <w:top w:val="single" w:color="auto" w:sz="4" w:space="0"/>
              <w:left w:val="single" w:color="auto" w:sz="4" w:space="0"/>
              <w:bottom w:val="single" w:color="auto" w:sz="4" w:space="0"/>
              <w:right w:val="single" w:color="auto" w:sz="4" w:space="0"/>
            </w:tcBorders>
            <w:vAlign w:val="center"/>
          </w:tcPr>
          <w:p w14:paraId="11064D5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szCs w:val="21"/>
                <w:highlight w:val="none"/>
              </w:rPr>
              <w:t>突发事件应急处置预案进行评分。</w:t>
            </w:r>
          </w:p>
          <w:p w14:paraId="631502D8">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突发事件应急处置预案包括抽检过程中可能遇到的各类突发情况，以及对应的应急解决处置措施</w:t>
            </w:r>
          </w:p>
          <w:p w14:paraId="7393D6A7">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（1）预案内容全面，处置应对措施科学有效，可操作性强，得10分；</w:t>
            </w:r>
          </w:p>
          <w:p w14:paraId="275EF3A6">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（2）预案内容较全面，处置应对措施较科学，较有效，可操作性较强，得6分；</w:t>
            </w:r>
          </w:p>
          <w:p w14:paraId="222D5575">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（3）预案内容不全面，处置应对措施科学性、有效性有欠缺，可操作性不强，得3分；</w:t>
            </w:r>
          </w:p>
          <w:p w14:paraId="39C4A9A2">
            <w:pPr>
              <w:autoSpaceDE w:val="0"/>
              <w:autoSpaceDN w:val="0"/>
              <w:adjustRightInd w:val="0"/>
              <w:rPr>
                <w:rFonts w:hint="eastAsia" w:ascii="宋体" w:hAnsi="宋体" w:cs="宋体"/>
                <w:color w:val="auto"/>
                <w:szCs w:val="21"/>
                <w:highlight w:val="none"/>
              </w:rPr>
            </w:pPr>
            <w:r>
              <w:rPr>
                <w:rFonts w:hint="eastAsia" w:ascii="宋体" w:hAnsi="宋体" w:cs="宋体"/>
                <w:color w:val="auto"/>
                <w:szCs w:val="21"/>
                <w:highlight w:val="none"/>
              </w:rPr>
              <w:t>（4）预案内容不完整，可操作性差的得1分；</w:t>
            </w:r>
          </w:p>
          <w:p w14:paraId="78C135D6">
            <w:pPr>
              <w:snapToGrid w:val="0"/>
              <w:spacing w:line="320" w:lineRule="exact"/>
              <w:jc w:val="left"/>
              <w:rPr>
                <w:rFonts w:hint="eastAsia" w:ascii="宋体" w:hAnsi="宋体" w:cs="宋体"/>
                <w:color w:val="auto"/>
                <w:kern w:val="0"/>
                <w:szCs w:val="21"/>
                <w:highlight w:val="none"/>
              </w:rPr>
            </w:pPr>
            <w:r>
              <w:rPr>
                <w:rFonts w:hint="eastAsia" w:ascii="宋体" w:hAnsi="宋体" w:cs="宋体"/>
                <w:color w:val="auto"/>
                <w:szCs w:val="21"/>
                <w:highlight w:val="none"/>
              </w:rPr>
              <w:t>（5）预案不符合服务要求及未提供方案的不得分。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6F094C64">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10分</w:t>
            </w:r>
          </w:p>
        </w:tc>
      </w:tr>
      <w:tr w14:paraId="6F30A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right w:val="single" w:color="auto" w:sz="4" w:space="0"/>
            </w:tcBorders>
            <w:vAlign w:val="center"/>
          </w:tcPr>
          <w:p w14:paraId="532E1FDC">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59B68508">
            <w:pPr>
              <w:autoSpaceDE w:val="0"/>
              <w:autoSpaceDN w:val="0"/>
              <w:adjustRightInd w:val="0"/>
              <w:snapToGrid w:val="0"/>
              <w:jc w:val="center"/>
              <w:rPr>
                <w:rFonts w:hint="eastAsia" w:ascii="宋体" w:hAnsi="宋体"/>
                <w:color w:val="auto"/>
                <w:kern w:val="0"/>
                <w:szCs w:val="21"/>
                <w:highlight w:val="none"/>
              </w:rPr>
            </w:pPr>
            <w:r>
              <w:rPr>
                <w:rFonts w:hint="eastAsia" w:ascii="宋体" w:hAnsi="宋体"/>
                <w:color w:val="auto"/>
                <w:kern w:val="0"/>
                <w:szCs w:val="21"/>
                <w:highlight w:val="none"/>
              </w:rPr>
              <w:t>分析</w:t>
            </w:r>
          </w:p>
          <w:p w14:paraId="6C0B03DE">
            <w:pPr>
              <w:snapToGrid w:val="0"/>
              <w:spacing w:line="320" w:lineRule="exact"/>
              <w:jc w:val="center"/>
              <w:rPr>
                <w:rFonts w:hint="eastAsia" w:ascii="宋体" w:hAnsi="宋体" w:cs="宋体"/>
                <w:color w:val="auto"/>
                <w:kern w:val="0"/>
                <w:szCs w:val="21"/>
                <w:highlight w:val="none"/>
              </w:rPr>
            </w:pPr>
            <w:r>
              <w:rPr>
                <w:rFonts w:hint="eastAsia" w:ascii="宋体" w:hAnsi="宋体"/>
                <w:color w:val="auto"/>
                <w:kern w:val="0"/>
                <w:szCs w:val="21"/>
                <w:highlight w:val="none"/>
              </w:rPr>
              <w:t>报告</w:t>
            </w:r>
          </w:p>
        </w:tc>
        <w:tc>
          <w:tcPr>
            <w:tcW w:w="3222" w:type="pct"/>
            <w:tcBorders>
              <w:top w:val="single" w:color="auto" w:sz="4" w:space="0"/>
              <w:left w:val="single" w:color="auto" w:sz="4" w:space="0"/>
              <w:bottom w:val="single" w:color="auto" w:sz="4" w:space="0"/>
              <w:right w:val="single" w:color="auto" w:sz="4" w:space="0"/>
            </w:tcBorders>
            <w:vAlign w:val="center"/>
          </w:tcPr>
          <w:p w14:paraId="2610E581">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根据</w:t>
            </w:r>
            <w:r>
              <w:rPr>
                <w:rFonts w:hint="eastAsia" w:ascii="宋体" w:hAnsi="宋体" w:eastAsia="宋体" w:cs="宋体"/>
                <w:color w:val="auto"/>
                <w:sz w:val="21"/>
                <w:szCs w:val="21"/>
                <w:highlight w:val="none"/>
              </w:rPr>
              <w:t>供应商</w:t>
            </w:r>
            <w:r>
              <w:rPr>
                <w:rFonts w:hint="eastAsia" w:ascii="宋体" w:hAnsi="宋体" w:cs="宋体"/>
                <w:color w:val="auto"/>
                <w:highlight w:val="none"/>
              </w:rPr>
              <w:t>上一年度（202</w:t>
            </w:r>
            <w:r>
              <w:rPr>
                <w:rFonts w:hint="eastAsia" w:ascii="宋体" w:hAnsi="宋体" w:cs="宋体"/>
                <w:color w:val="auto"/>
                <w:highlight w:val="none"/>
                <w:lang w:val="en-US" w:eastAsia="zh-CN"/>
              </w:rPr>
              <w:t>5</w:t>
            </w:r>
            <w:r>
              <w:rPr>
                <w:rFonts w:hint="eastAsia" w:ascii="宋体" w:hAnsi="宋体" w:cs="宋体"/>
                <w:color w:val="auto"/>
                <w:highlight w:val="none"/>
              </w:rPr>
              <w:t>年）分析报告进行评分。</w:t>
            </w:r>
          </w:p>
          <w:p w14:paraId="72EE89D9">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分析报告应包括但不限于任务抽检情况、结果分析、风险警示、工作建议等方面内容。</w:t>
            </w:r>
          </w:p>
          <w:p w14:paraId="51B7CF0D">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（1）分析报告内容全面、表述通俗易懂、风险提示清晰明确、建议切实可行，得 5 分；</w:t>
            </w:r>
          </w:p>
          <w:p w14:paraId="2E1B1D1D">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（2）分析报告内容相对全面、表述较通俗、风险提示较明确、建议较可行，得 4 分；</w:t>
            </w:r>
          </w:p>
          <w:p w14:paraId="1910DF53">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（3）分析报告内容存在不足、表述难理解、风险提示模糊不明、建议缺乏可行性，得 3 分；</w:t>
            </w:r>
          </w:p>
          <w:p w14:paraId="73D6EBBB">
            <w:pPr>
              <w:snapToGrid w:val="0"/>
              <w:spacing w:line="320" w:lineRule="exact"/>
              <w:jc w:val="left"/>
              <w:rPr>
                <w:rFonts w:hint="eastAsia" w:ascii="宋体" w:hAnsi="宋体" w:cs="宋体"/>
                <w:color w:val="auto"/>
                <w:highlight w:val="none"/>
              </w:rPr>
            </w:pPr>
            <w:r>
              <w:rPr>
                <w:rFonts w:hint="eastAsia" w:ascii="宋体" w:hAnsi="宋体" w:cs="宋体"/>
                <w:color w:val="auto"/>
                <w:highlight w:val="none"/>
              </w:rPr>
              <w:t>（4）分析报告内容严重不足、表述混乱、风险提示不明确、建议不可行，得 1 分；</w:t>
            </w:r>
          </w:p>
          <w:p w14:paraId="2529E0C1">
            <w:pPr>
              <w:snapToGrid w:val="0"/>
              <w:spacing w:line="320" w:lineRule="exact"/>
              <w:jc w:val="left"/>
              <w:rPr>
                <w:rFonts w:hint="eastAsia" w:ascii="宋体" w:hAnsi="宋体" w:cs="宋体"/>
                <w:color w:val="auto"/>
                <w:szCs w:val="21"/>
                <w:highlight w:val="none"/>
              </w:rPr>
            </w:pPr>
            <w:r>
              <w:rPr>
                <w:rFonts w:hint="eastAsia" w:ascii="宋体" w:hAnsi="宋体" w:cs="宋体"/>
                <w:color w:val="auto"/>
                <w:highlight w:val="none"/>
              </w:rPr>
              <w:t>（5）其他或未提供的不得分。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49276C91">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highlight w:val="none"/>
              </w:rPr>
              <w:t>5分</w:t>
            </w:r>
          </w:p>
        </w:tc>
      </w:tr>
      <w:tr w14:paraId="6985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vMerge w:val="continue"/>
            <w:tcBorders>
              <w:left w:val="single" w:color="auto" w:sz="4" w:space="0"/>
              <w:bottom w:val="single" w:color="auto" w:sz="4" w:space="0"/>
              <w:right w:val="single" w:color="auto" w:sz="4" w:space="0"/>
            </w:tcBorders>
            <w:vAlign w:val="center"/>
          </w:tcPr>
          <w:p w14:paraId="318C483A">
            <w:pPr>
              <w:snapToGrid w:val="0"/>
              <w:spacing w:line="320" w:lineRule="exact"/>
              <w:jc w:val="center"/>
              <w:rPr>
                <w:rFonts w:hint="eastAsia" w:ascii="宋体" w:hAnsi="宋体" w:cs="宋体"/>
                <w:color w:val="auto"/>
                <w:kern w:val="0"/>
                <w:szCs w:val="21"/>
                <w:highlight w:val="none"/>
              </w:rPr>
            </w:pPr>
          </w:p>
        </w:tc>
        <w:tc>
          <w:tcPr>
            <w:tcW w:w="668" w:type="pct"/>
            <w:tcBorders>
              <w:top w:val="single" w:color="auto" w:sz="4" w:space="0"/>
              <w:left w:val="single" w:color="auto" w:sz="4" w:space="0"/>
              <w:bottom w:val="single" w:color="auto" w:sz="4" w:space="0"/>
              <w:right w:val="single" w:color="auto" w:sz="4" w:space="0"/>
            </w:tcBorders>
            <w:vAlign w:val="center"/>
          </w:tcPr>
          <w:p w14:paraId="725DF3EB">
            <w:pPr>
              <w:snapToGrid w:val="0"/>
              <w:spacing w:line="320" w:lineRule="exact"/>
              <w:jc w:val="center"/>
              <w:rPr>
                <w:rFonts w:hint="eastAsia" w:ascii="宋体" w:hAnsi="宋体" w:eastAsia="宋体" w:cs="宋体"/>
                <w:color w:val="auto"/>
                <w:kern w:val="0"/>
                <w:szCs w:val="21"/>
                <w:highlight w:val="none"/>
                <w:lang w:val="en-US" w:eastAsia="zh-CN"/>
              </w:rPr>
            </w:pPr>
            <w:r>
              <w:rPr>
                <w:rFonts w:hint="eastAsia" w:ascii="宋体" w:hAnsi="宋体" w:eastAsia="宋体" w:cs="宋体"/>
                <w:color w:val="auto"/>
                <w:kern w:val="0"/>
                <w:szCs w:val="21"/>
                <w:highlight w:val="none"/>
                <w:lang w:val="en-US" w:eastAsia="zh-CN"/>
              </w:rPr>
              <w:t>检测</w:t>
            </w:r>
          </w:p>
          <w:p w14:paraId="1F507FBF">
            <w:pPr>
              <w:snapToGrid w:val="0"/>
              <w:spacing w:line="320" w:lineRule="exact"/>
              <w:jc w:val="center"/>
              <w:rPr>
                <w:rFonts w:hint="eastAsia" w:ascii="宋体" w:hAnsi="宋体"/>
                <w:color w:val="auto"/>
                <w:kern w:val="0"/>
                <w:szCs w:val="21"/>
                <w:highlight w:val="none"/>
              </w:rPr>
            </w:pPr>
            <w:r>
              <w:rPr>
                <w:rFonts w:hint="eastAsia" w:ascii="宋体" w:hAnsi="宋体" w:eastAsia="宋体" w:cs="宋体"/>
                <w:color w:val="auto"/>
                <w:kern w:val="0"/>
                <w:szCs w:val="21"/>
                <w:highlight w:val="none"/>
                <w:lang w:val="en-US" w:eastAsia="zh-CN"/>
              </w:rPr>
              <w:t>能力</w:t>
            </w:r>
          </w:p>
        </w:tc>
        <w:tc>
          <w:tcPr>
            <w:tcW w:w="3222" w:type="pct"/>
            <w:tcBorders>
              <w:top w:val="single" w:color="auto" w:sz="4" w:space="0"/>
              <w:left w:val="single" w:color="auto" w:sz="4" w:space="0"/>
              <w:bottom w:val="single" w:color="auto" w:sz="4" w:space="0"/>
              <w:right w:val="single" w:color="auto" w:sz="4" w:space="0"/>
            </w:tcBorders>
            <w:vAlign w:val="center"/>
          </w:tcPr>
          <w:p w14:paraId="3D232615">
            <w:pPr>
              <w:keepNext w:val="0"/>
              <w:keepLines w:val="0"/>
              <w:widowControl/>
              <w:suppressLineNumbers w:val="0"/>
              <w:jc w:val="left"/>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 w:val="21"/>
                <w:szCs w:val="21"/>
                <w:highlight w:val="none"/>
                <w:lang w:val="en-US" w:eastAsia="zh-CN" w:bidi="ar"/>
              </w:rPr>
              <w:t>自202</w:t>
            </w:r>
            <w:r>
              <w:rPr>
                <w:rFonts w:hint="eastAsia" w:ascii="宋体" w:hAnsi="宋体" w:cs="宋体"/>
                <w:color w:val="auto"/>
                <w:kern w:val="0"/>
                <w:sz w:val="21"/>
                <w:szCs w:val="21"/>
                <w:highlight w:val="none"/>
                <w:lang w:val="en-US" w:eastAsia="zh-CN" w:bidi="ar"/>
              </w:rPr>
              <w:t>5</w:t>
            </w:r>
            <w:r>
              <w:rPr>
                <w:rFonts w:hint="eastAsia" w:ascii="宋体" w:hAnsi="宋体" w:eastAsia="宋体" w:cs="宋体"/>
                <w:color w:val="auto"/>
                <w:kern w:val="0"/>
                <w:sz w:val="21"/>
                <w:szCs w:val="21"/>
                <w:highlight w:val="none"/>
                <w:lang w:val="en-US" w:eastAsia="zh-CN" w:bidi="ar"/>
              </w:rPr>
              <w:t>年1月1日起</w:t>
            </w:r>
            <w:r>
              <w:rPr>
                <w:rFonts w:hint="eastAsia" w:ascii="宋体" w:hAnsi="宋体" w:eastAsia="宋体" w:cs="宋体"/>
                <w:color w:val="auto"/>
                <w:sz w:val="21"/>
                <w:szCs w:val="21"/>
                <w:highlight w:val="none"/>
              </w:rPr>
              <w:t>供应商</w:t>
            </w:r>
            <w:r>
              <w:rPr>
                <w:rFonts w:hint="eastAsia" w:ascii="宋体" w:hAnsi="宋体" w:eastAsia="宋体" w:cs="宋体"/>
                <w:color w:val="auto"/>
                <w:kern w:val="0"/>
                <w:sz w:val="21"/>
                <w:szCs w:val="21"/>
                <w:highlight w:val="none"/>
                <w:lang w:val="en-US" w:eastAsia="zh-CN" w:bidi="ar"/>
              </w:rPr>
              <w:t>发现潜在系统性、区域性食品安全风险隐患，及时向监管部门报告并被采纳的，得</w:t>
            </w:r>
            <w:r>
              <w:rPr>
                <w:rFonts w:hint="eastAsia" w:ascii="宋体" w:hAnsi="宋体" w:cs="宋体"/>
                <w:color w:val="auto"/>
                <w:kern w:val="0"/>
                <w:sz w:val="21"/>
                <w:szCs w:val="21"/>
                <w:highlight w:val="none"/>
                <w:lang w:val="en-US" w:eastAsia="zh-CN" w:bidi="ar"/>
              </w:rPr>
              <w:t>1</w:t>
            </w:r>
            <w:r>
              <w:rPr>
                <w:rFonts w:hint="eastAsia" w:ascii="宋体" w:hAnsi="宋体" w:eastAsia="宋体" w:cs="宋体"/>
                <w:color w:val="auto"/>
                <w:kern w:val="0"/>
                <w:sz w:val="21"/>
                <w:szCs w:val="21"/>
                <w:highlight w:val="none"/>
                <w:lang w:val="en-US" w:eastAsia="zh-CN" w:bidi="ar"/>
              </w:rPr>
              <w:t>分</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bidi="ar"/>
              </w:rPr>
              <w:t>且所报告的风险隐患属于</w:t>
            </w:r>
            <w:r>
              <w:rPr>
                <w:rFonts w:hint="default" w:ascii="宋体" w:hAnsi="宋体" w:cs="宋体"/>
                <w:color w:val="auto"/>
                <w:kern w:val="0"/>
                <w:szCs w:val="21"/>
                <w:highlight w:val="none"/>
                <w:lang w:bidi="ar"/>
              </w:rPr>
              <w:t>市场监督管理</w:t>
            </w:r>
            <w:r>
              <w:rPr>
                <w:rFonts w:hint="eastAsia" w:ascii="宋体" w:hAnsi="宋体" w:cs="宋体"/>
                <w:color w:val="auto"/>
                <w:kern w:val="0"/>
                <w:szCs w:val="21"/>
                <w:highlight w:val="none"/>
                <w:lang w:val="en-US" w:eastAsia="zh-CN" w:bidi="ar"/>
              </w:rPr>
              <w:t>部门</w:t>
            </w:r>
            <w:r>
              <w:rPr>
                <w:rFonts w:hint="default" w:ascii="宋体" w:hAnsi="宋体" w:cs="宋体"/>
                <w:color w:val="auto"/>
                <w:kern w:val="0"/>
                <w:szCs w:val="21"/>
                <w:highlight w:val="none"/>
                <w:lang w:bidi="ar"/>
              </w:rPr>
              <w:t>食品安全抽检类</w:t>
            </w:r>
            <w:r>
              <w:rPr>
                <w:rFonts w:hint="eastAsia" w:ascii="宋体" w:hAnsi="宋体" w:cs="宋体"/>
                <w:color w:val="auto"/>
                <w:kern w:val="0"/>
                <w:szCs w:val="21"/>
                <w:highlight w:val="none"/>
                <w:lang w:bidi="ar"/>
              </w:rPr>
              <w:t>相关细则范围以外的，得2分</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本项满分3分</w:t>
            </w:r>
            <w:r>
              <w:rPr>
                <w:rFonts w:hint="eastAsia" w:ascii="宋体" w:hAnsi="宋体" w:cs="宋体"/>
                <w:color w:val="auto"/>
                <w:kern w:val="0"/>
                <w:szCs w:val="21"/>
                <w:highlight w:val="none"/>
                <w:lang w:eastAsia="zh-CN" w:bidi="ar"/>
              </w:rPr>
              <w:t>。</w:t>
            </w:r>
          </w:p>
          <w:p w14:paraId="10D8A80D">
            <w:pPr>
              <w:widowControl/>
              <w:jc w:val="left"/>
              <w:rPr>
                <w:color w:val="auto"/>
                <w:highlight w:val="none"/>
              </w:rPr>
            </w:pPr>
            <w:r>
              <w:rPr>
                <w:rFonts w:hint="eastAsia" w:ascii="宋体" w:hAnsi="宋体" w:eastAsia="宋体" w:cs="宋体"/>
                <w:color w:val="auto"/>
                <w:kern w:val="0"/>
                <w:sz w:val="21"/>
                <w:szCs w:val="21"/>
                <w:highlight w:val="none"/>
                <w:lang w:val="en-US" w:eastAsia="zh-CN" w:bidi="ar"/>
              </w:rPr>
              <w:t>不符合上述要求的，不得分。</w:t>
            </w:r>
          </w:p>
          <w:p w14:paraId="7DB40760">
            <w:pPr>
              <w:widowControl/>
              <w:snapToGrid/>
              <w:spacing w:line="240" w:lineRule="auto"/>
              <w:jc w:val="left"/>
              <w:rPr>
                <w:rFonts w:hint="eastAsia" w:ascii="宋体" w:hAnsi="宋体" w:cs="宋体"/>
                <w:color w:val="auto"/>
                <w:highlight w:val="none"/>
              </w:rPr>
            </w:pPr>
            <w:r>
              <w:rPr>
                <w:rFonts w:hint="eastAsia" w:ascii="宋体" w:hAnsi="宋体" w:eastAsia="宋体" w:cs="宋体"/>
                <w:b/>
                <w:bCs/>
                <w:color w:val="auto"/>
                <w:kern w:val="0"/>
                <w:sz w:val="21"/>
                <w:szCs w:val="21"/>
                <w:highlight w:val="none"/>
                <w:lang w:val="en-US" w:eastAsia="zh-CN" w:bidi="ar"/>
              </w:rPr>
              <w:t>注：须提供监管部门出具的相关证明材料。</w:t>
            </w:r>
          </w:p>
        </w:tc>
        <w:tc>
          <w:tcPr>
            <w:tcW w:w="442" w:type="pct"/>
            <w:tcBorders>
              <w:top w:val="single" w:color="auto" w:sz="4" w:space="0"/>
              <w:left w:val="single" w:color="auto" w:sz="4" w:space="0"/>
              <w:bottom w:val="single" w:color="auto" w:sz="4" w:space="0"/>
              <w:right w:val="single" w:color="auto" w:sz="4" w:space="0"/>
            </w:tcBorders>
            <w:vAlign w:val="center"/>
          </w:tcPr>
          <w:p w14:paraId="63CDEF8B">
            <w:pPr>
              <w:snapToGrid w:val="0"/>
              <w:spacing w:line="320" w:lineRule="exact"/>
              <w:jc w:val="center"/>
              <w:rPr>
                <w:rFonts w:hint="eastAsia" w:ascii="宋体" w:hAnsi="宋体" w:cs="宋体"/>
                <w:color w:val="auto"/>
                <w:kern w:val="0"/>
                <w:highlight w:val="none"/>
              </w:rPr>
            </w:pPr>
            <w:r>
              <w:rPr>
                <w:rFonts w:hint="eastAsia" w:ascii="宋体" w:hAnsi="宋体" w:cs="宋体"/>
                <w:color w:val="auto"/>
                <w:kern w:val="0"/>
                <w:szCs w:val="21"/>
                <w:highlight w:val="none"/>
                <w:lang w:val="en-US" w:eastAsia="zh-CN"/>
              </w:rPr>
              <w:t>3</w:t>
            </w:r>
            <w:r>
              <w:rPr>
                <w:rFonts w:hint="eastAsia" w:ascii="宋体" w:hAnsi="宋体" w:eastAsia="宋体" w:cs="宋体"/>
                <w:color w:val="auto"/>
                <w:kern w:val="0"/>
                <w:szCs w:val="21"/>
                <w:highlight w:val="none"/>
                <w:lang w:val="en-US" w:eastAsia="zh-CN"/>
              </w:rPr>
              <w:t>分</w:t>
            </w:r>
          </w:p>
        </w:tc>
      </w:tr>
      <w:tr w14:paraId="130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6" w:type="pct"/>
            <w:tcBorders>
              <w:top w:val="single" w:color="auto" w:sz="4" w:space="0"/>
              <w:left w:val="single" w:color="auto" w:sz="4" w:space="0"/>
              <w:bottom w:val="single" w:color="auto" w:sz="4" w:space="0"/>
              <w:right w:val="single" w:color="auto" w:sz="4" w:space="0"/>
            </w:tcBorders>
            <w:vAlign w:val="center"/>
          </w:tcPr>
          <w:p w14:paraId="73BF4110">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商务部分（</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分）</w:t>
            </w:r>
          </w:p>
        </w:tc>
        <w:tc>
          <w:tcPr>
            <w:tcW w:w="668" w:type="pct"/>
            <w:tcBorders>
              <w:top w:val="single" w:color="auto" w:sz="4" w:space="0"/>
              <w:left w:val="single" w:color="auto" w:sz="4" w:space="0"/>
              <w:bottom w:val="single" w:color="auto" w:sz="4" w:space="0"/>
              <w:right w:val="single" w:color="auto" w:sz="4" w:space="0"/>
            </w:tcBorders>
            <w:vAlign w:val="center"/>
          </w:tcPr>
          <w:p w14:paraId="76247FBE">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工作业绩</w:t>
            </w:r>
          </w:p>
        </w:tc>
        <w:tc>
          <w:tcPr>
            <w:tcW w:w="3222" w:type="pct"/>
            <w:tcBorders>
              <w:top w:val="single" w:color="auto" w:sz="4" w:space="0"/>
              <w:left w:val="single" w:color="auto" w:sz="4" w:space="0"/>
              <w:bottom w:val="single" w:color="auto" w:sz="4" w:space="0"/>
              <w:right w:val="single" w:color="auto" w:sz="4" w:space="0"/>
            </w:tcBorders>
            <w:vAlign w:val="center"/>
          </w:tcPr>
          <w:p w14:paraId="7342E6DF">
            <w:pPr>
              <w:rPr>
                <w:rFonts w:hint="eastAsia" w:ascii="宋体" w:hAnsi="宋体" w:cs="宋体"/>
                <w:color w:val="auto"/>
                <w:spacing w:val="-3"/>
                <w:kern w:val="0"/>
                <w:szCs w:val="21"/>
                <w:highlight w:val="none"/>
                <w:lang w:val="zh-CN"/>
              </w:rPr>
            </w:pPr>
            <w:r>
              <w:rPr>
                <w:rFonts w:hint="eastAsia" w:ascii="宋体" w:hAnsi="宋体" w:cs="宋体"/>
                <w:color w:val="auto"/>
                <w:spacing w:val="-3"/>
                <w:kern w:val="0"/>
                <w:szCs w:val="21"/>
                <w:highlight w:val="none"/>
              </w:rPr>
              <w:t>上一年度</w:t>
            </w:r>
            <w:r>
              <w:rPr>
                <w:rFonts w:hint="eastAsia" w:ascii="宋体" w:hAnsi="宋体" w:cs="宋体"/>
                <w:color w:val="auto"/>
                <w:spacing w:val="-3"/>
                <w:kern w:val="0"/>
                <w:szCs w:val="21"/>
                <w:highlight w:val="none"/>
                <w:lang w:val="zh-CN"/>
              </w:rPr>
              <w:t>（</w:t>
            </w:r>
            <w:r>
              <w:rPr>
                <w:rFonts w:hint="eastAsia" w:ascii="宋体" w:hAnsi="宋体" w:cs="宋体"/>
                <w:color w:val="auto"/>
                <w:spacing w:val="-3"/>
                <w:kern w:val="0"/>
                <w:szCs w:val="21"/>
                <w:highlight w:val="none"/>
              </w:rPr>
              <w:t>202</w:t>
            </w:r>
            <w:r>
              <w:rPr>
                <w:rFonts w:hint="eastAsia" w:ascii="宋体" w:hAnsi="宋体" w:cs="宋体"/>
                <w:color w:val="auto"/>
                <w:spacing w:val="-3"/>
                <w:kern w:val="0"/>
                <w:szCs w:val="21"/>
                <w:highlight w:val="none"/>
                <w:lang w:val="en-US" w:eastAsia="zh-CN"/>
              </w:rPr>
              <w:t>5</w:t>
            </w:r>
            <w:r>
              <w:rPr>
                <w:rFonts w:hint="eastAsia" w:ascii="宋体" w:hAnsi="宋体" w:cs="宋体"/>
                <w:color w:val="auto"/>
                <w:spacing w:val="-3"/>
                <w:kern w:val="0"/>
                <w:szCs w:val="21"/>
                <w:highlight w:val="none"/>
              </w:rPr>
              <w:t>年，</w:t>
            </w:r>
            <w:r>
              <w:rPr>
                <w:rFonts w:hint="eastAsia" w:ascii="宋体" w:hAnsi="宋体" w:cs="宋体"/>
                <w:color w:val="auto"/>
                <w:spacing w:val="-3"/>
                <w:kern w:val="0"/>
                <w:szCs w:val="21"/>
                <w:highlight w:val="none"/>
                <w:lang w:val="zh-CN"/>
              </w:rPr>
              <w:t>以</w:t>
            </w:r>
            <w:r>
              <w:rPr>
                <w:rFonts w:hint="eastAsia" w:ascii="宋体" w:hAnsi="宋体" w:cs="宋体"/>
                <w:color w:val="auto"/>
                <w:spacing w:val="-3"/>
                <w:kern w:val="0"/>
                <w:szCs w:val="21"/>
                <w:highlight w:val="none"/>
              </w:rPr>
              <w:t>委托</w:t>
            </w:r>
            <w:r>
              <w:rPr>
                <w:rFonts w:hint="eastAsia" w:ascii="宋体" w:hAnsi="宋体" w:cs="宋体"/>
                <w:color w:val="auto"/>
                <w:spacing w:val="-3"/>
                <w:kern w:val="0"/>
                <w:szCs w:val="21"/>
                <w:highlight w:val="none"/>
                <w:lang w:val="zh-CN"/>
              </w:rPr>
              <w:t>合同签订时间为准），</w:t>
            </w:r>
            <w:r>
              <w:rPr>
                <w:rFonts w:hint="eastAsia" w:ascii="宋体" w:hAnsi="宋体" w:eastAsia="宋体" w:cs="宋体"/>
                <w:color w:val="auto"/>
                <w:sz w:val="21"/>
                <w:szCs w:val="21"/>
                <w:highlight w:val="none"/>
              </w:rPr>
              <w:t>供应商</w:t>
            </w:r>
            <w:r>
              <w:rPr>
                <w:rFonts w:hint="eastAsia" w:ascii="宋体" w:hAnsi="宋体" w:cs="宋体"/>
                <w:color w:val="auto"/>
                <w:spacing w:val="-3"/>
                <w:kern w:val="0"/>
                <w:szCs w:val="21"/>
                <w:highlight w:val="none"/>
                <w:lang w:val="zh-CN"/>
              </w:rPr>
              <w:t>承担过类似本项目的食品安全</w:t>
            </w:r>
            <w:r>
              <w:rPr>
                <w:rFonts w:hint="eastAsia" w:ascii="宋体" w:hAnsi="宋体" w:cs="宋体"/>
                <w:color w:val="auto"/>
                <w:spacing w:val="-3"/>
                <w:kern w:val="0"/>
                <w:szCs w:val="21"/>
                <w:highlight w:val="none"/>
              </w:rPr>
              <w:t>抽检检验</w:t>
            </w:r>
            <w:r>
              <w:rPr>
                <w:rFonts w:hint="eastAsia" w:ascii="宋体" w:hAnsi="宋体" w:cs="宋体"/>
                <w:color w:val="auto"/>
                <w:spacing w:val="-3"/>
                <w:kern w:val="0"/>
                <w:szCs w:val="21"/>
                <w:highlight w:val="none"/>
                <w:lang w:val="zh-CN"/>
              </w:rPr>
              <w:t>任务</w:t>
            </w:r>
            <w:r>
              <w:rPr>
                <w:rFonts w:hint="eastAsia" w:ascii="宋体" w:hAnsi="宋体" w:cs="宋体"/>
                <w:color w:val="auto"/>
                <w:spacing w:val="-3"/>
                <w:kern w:val="0"/>
                <w:szCs w:val="21"/>
                <w:highlight w:val="none"/>
              </w:rPr>
              <w:t>所出具的报告份数</w:t>
            </w:r>
            <w:r>
              <w:rPr>
                <w:rFonts w:hint="eastAsia" w:ascii="宋体" w:hAnsi="宋体" w:cs="宋体"/>
                <w:color w:val="auto"/>
                <w:spacing w:val="-3"/>
                <w:kern w:val="0"/>
                <w:szCs w:val="21"/>
                <w:highlight w:val="none"/>
                <w:lang w:val="zh-CN"/>
              </w:rPr>
              <w:t>：</w:t>
            </w:r>
          </w:p>
          <w:p w14:paraId="5A8176C2">
            <w:pPr>
              <w:autoSpaceDE w:val="0"/>
              <w:autoSpaceDN w:val="0"/>
              <w:adjustRightInd w:val="0"/>
              <w:snapToGrid w:val="0"/>
              <w:jc w:val="left"/>
              <w:rPr>
                <w:rFonts w:hint="eastAsia" w:ascii="宋体" w:hAnsi="宋体" w:eastAsia="宋体" w:cs="宋体"/>
                <w:color w:val="auto"/>
                <w:kern w:val="0"/>
                <w:szCs w:val="21"/>
                <w:highlight w:val="none"/>
                <w:lang w:val="zh-CN" w:eastAsia="zh-CN"/>
              </w:rPr>
            </w:pPr>
            <w:r>
              <w:rPr>
                <w:rFonts w:hint="eastAsia" w:ascii="宋体" w:hAnsi="宋体" w:cs="宋体"/>
                <w:color w:val="auto"/>
                <w:kern w:val="0"/>
                <w:szCs w:val="21"/>
                <w:highlight w:val="none"/>
              </w:rPr>
              <w:t>1、报告份数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3000份</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分；</w:t>
            </w:r>
          </w:p>
          <w:p w14:paraId="2637360D">
            <w:pPr>
              <w:autoSpaceDE w:val="0"/>
              <w:autoSpaceDN w:val="0"/>
              <w:adjustRightInd w:val="0"/>
              <w:snapToGrid w:val="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2、2000份</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报告份数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3000份</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rPr>
              <w:t xml:space="preserve"> 6 </w:t>
            </w:r>
            <w:r>
              <w:rPr>
                <w:rFonts w:hint="eastAsia" w:ascii="宋体" w:hAnsi="宋体" w:cs="宋体"/>
                <w:color w:val="auto"/>
                <w:kern w:val="0"/>
                <w:szCs w:val="21"/>
                <w:highlight w:val="none"/>
                <w:lang w:val="zh-CN"/>
              </w:rPr>
              <w:t>分；</w:t>
            </w:r>
          </w:p>
          <w:p w14:paraId="1626F734">
            <w:pPr>
              <w:autoSpaceDE w:val="0"/>
              <w:autoSpaceDN w:val="0"/>
              <w:adjustRightInd w:val="0"/>
              <w:snapToGrid w:val="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rPr>
              <w:t>3、1000份</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报告份数</w:t>
            </w:r>
            <w:r>
              <w:rPr>
                <w:rFonts w:hint="eastAsia" w:ascii="宋体" w:hAnsi="宋体" w:cs="宋体"/>
                <w:color w:val="auto"/>
                <w:kern w:val="0"/>
                <w:szCs w:val="21"/>
                <w:highlight w:val="none"/>
                <w:lang w:val="zh-CN"/>
              </w:rPr>
              <w:t>＜</w:t>
            </w:r>
            <w:r>
              <w:rPr>
                <w:rFonts w:hint="eastAsia" w:ascii="宋体" w:hAnsi="宋体" w:cs="宋体"/>
                <w:color w:val="auto"/>
                <w:kern w:val="0"/>
                <w:szCs w:val="21"/>
                <w:highlight w:val="none"/>
              </w:rPr>
              <w:t>2000份</w:t>
            </w:r>
            <w:r>
              <w:rPr>
                <w:rFonts w:hint="eastAsia" w:ascii="宋体" w:hAnsi="宋体" w:cs="宋体"/>
                <w:color w:val="auto"/>
                <w:kern w:val="0"/>
                <w:szCs w:val="21"/>
                <w:highlight w:val="none"/>
                <w:lang w:val="zh-CN"/>
              </w:rPr>
              <w:t>，得</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en-US" w:eastAsia="zh-CN"/>
              </w:rPr>
              <w:t>4</w:t>
            </w:r>
            <w:r>
              <w:rPr>
                <w:rFonts w:hint="eastAsia" w:ascii="宋体" w:hAnsi="宋体" w:cs="宋体"/>
                <w:color w:val="auto"/>
                <w:kern w:val="0"/>
                <w:szCs w:val="21"/>
                <w:highlight w:val="none"/>
              </w:rPr>
              <w:t xml:space="preserve"> </w:t>
            </w:r>
            <w:r>
              <w:rPr>
                <w:rFonts w:hint="eastAsia" w:ascii="宋体" w:hAnsi="宋体" w:cs="宋体"/>
                <w:color w:val="auto"/>
                <w:kern w:val="0"/>
                <w:szCs w:val="21"/>
                <w:highlight w:val="none"/>
                <w:lang w:val="zh-CN"/>
              </w:rPr>
              <w:t>分；</w:t>
            </w:r>
          </w:p>
          <w:p w14:paraId="7CD5C3D4">
            <w:pPr>
              <w:autoSpaceDE w:val="0"/>
              <w:autoSpaceDN w:val="0"/>
              <w:adjustRightInd w:val="0"/>
              <w:snapToGrid w:val="0"/>
              <w:jc w:val="left"/>
              <w:rPr>
                <w:color w:val="auto"/>
                <w:highlight w:val="none"/>
                <w:lang w:val="zh-CN"/>
              </w:rPr>
            </w:pPr>
            <w:r>
              <w:rPr>
                <w:rFonts w:hint="eastAsia" w:hAnsi="宋体" w:cs="宋体"/>
                <w:color w:val="auto"/>
                <w:kern w:val="0"/>
                <w:highlight w:val="none"/>
              </w:rPr>
              <w:t>4、</w:t>
            </w:r>
            <w:r>
              <w:rPr>
                <w:rFonts w:hint="eastAsia" w:ascii="宋体" w:hAnsi="宋体" w:cs="宋体"/>
                <w:color w:val="auto"/>
                <w:kern w:val="0"/>
                <w:highlight w:val="none"/>
              </w:rPr>
              <w:t>报告份数＜1000份</w:t>
            </w:r>
            <w:r>
              <w:rPr>
                <w:rFonts w:hint="eastAsia" w:hAnsi="宋体" w:cs="宋体"/>
                <w:color w:val="auto"/>
                <w:kern w:val="0"/>
                <w:highlight w:val="none"/>
              </w:rPr>
              <w:t>，不得分。</w:t>
            </w:r>
          </w:p>
          <w:p w14:paraId="3532C912">
            <w:pPr>
              <w:snapToGrid w:val="0"/>
              <w:spacing w:line="320" w:lineRule="exact"/>
              <w:jc w:val="left"/>
              <w:rPr>
                <w:rFonts w:hint="eastAsia" w:ascii="宋体" w:hAnsi="宋体" w:cs="宋体"/>
                <w:color w:val="auto"/>
                <w:kern w:val="0"/>
                <w:szCs w:val="21"/>
                <w:highlight w:val="none"/>
              </w:rPr>
            </w:pPr>
            <w:r>
              <w:rPr>
                <w:rFonts w:hint="eastAsia" w:ascii="宋体" w:hAnsi="宋体" w:cs="宋体"/>
                <w:b/>
                <w:bCs/>
                <w:color w:val="auto"/>
                <w:spacing w:val="-3"/>
                <w:szCs w:val="21"/>
                <w:highlight w:val="none"/>
              </w:rPr>
              <w:t>注：供应商须提供合同或委托书等证明文件的主要内容页和签字盖章页的复印件，不具备类似业绩或未提供有效证明文件的不得分。</w:t>
            </w:r>
          </w:p>
        </w:tc>
        <w:tc>
          <w:tcPr>
            <w:tcW w:w="442" w:type="pct"/>
            <w:tcBorders>
              <w:top w:val="single" w:color="auto" w:sz="4" w:space="0"/>
              <w:left w:val="single" w:color="auto" w:sz="4" w:space="0"/>
              <w:bottom w:val="single" w:color="auto" w:sz="4" w:space="0"/>
              <w:right w:val="single" w:color="auto" w:sz="4" w:space="0"/>
            </w:tcBorders>
            <w:vAlign w:val="center"/>
          </w:tcPr>
          <w:p w14:paraId="27DB85FD">
            <w:pPr>
              <w:snapToGrid w:val="0"/>
              <w:spacing w:line="320" w:lineRule="exact"/>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8</w:t>
            </w:r>
            <w:r>
              <w:rPr>
                <w:rFonts w:hint="eastAsia" w:ascii="宋体" w:hAnsi="宋体" w:cs="宋体"/>
                <w:color w:val="auto"/>
                <w:kern w:val="0"/>
                <w:szCs w:val="21"/>
                <w:highlight w:val="none"/>
              </w:rPr>
              <w:t>分</w:t>
            </w:r>
          </w:p>
        </w:tc>
      </w:tr>
    </w:tbl>
    <w:p w14:paraId="4006E1ED">
      <w:pPr>
        <w:rPr>
          <w:color w:val="auto"/>
          <w:highlight w:val="none"/>
        </w:rPr>
      </w:pPr>
    </w:p>
    <w:p w14:paraId="72EB746D">
      <w:pPr>
        <w:spacing w:line="360" w:lineRule="auto"/>
        <w:rPr>
          <w:rFonts w:ascii="Microsoft New Tai Lue" w:hAnsi="Microsoft New Tai Lue" w:cs="Microsoft New Tai Lue"/>
          <w:b/>
          <w:bCs/>
          <w:color w:val="auto"/>
          <w:kern w:val="0"/>
          <w:szCs w:val="21"/>
          <w:highlight w:val="none"/>
        </w:rPr>
      </w:pPr>
      <w:r>
        <w:rPr>
          <w:rFonts w:hint="eastAsia" w:ascii="Microsoft New Tai Lue" w:hAnsi="Microsoft New Tai Lue" w:cs="Microsoft New Tai Lue"/>
          <w:b/>
          <w:bCs/>
          <w:color w:val="auto"/>
          <w:kern w:val="0"/>
          <w:szCs w:val="21"/>
          <w:highlight w:val="none"/>
        </w:rPr>
        <w:t>注：</w:t>
      </w:r>
    </w:p>
    <w:p w14:paraId="4DDE78E6">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bookmarkStart w:id="268" w:name="_Toc91836565"/>
      <w:r>
        <w:rPr>
          <w:rFonts w:ascii="Microsoft New Tai Lue" w:hAnsi="Microsoft New Tai Lue" w:cs="Microsoft New Tai Lue"/>
          <w:color w:val="auto"/>
          <w:szCs w:val="21"/>
          <w:highlight w:val="none"/>
        </w:rPr>
        <w:t>落实政府采购政策的价格调整：符合第二章《投标人须知》</w:t>
      </w: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条规定情形的，可以享受中小企业扶持政策，用扣除后的价格参加评审。</w:t>
      </w:r>
    </w:p>
    <w:p w14:paraId="6AD100C5">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对于未预留份额专门面向中小企业采购的采购项目，以及预留份额项目中的非预留部分采购包，对小微企业报价给予10%的扣除，用扣除后的价格参加评审。</w:t>
      </w:r>
    </w:p>
    <w:p w14:paraId="6F177103">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2、</w:t>
      </w:r>
      <w:r>
        <w:rPr>
          <w:rFonts w:ascii="Microsoft New Tai Lue" w:hAnsi="Microsoft New Tai Lue" w:cs="Microsoft New Tai Lue"/>
          <w:color w:val="auto"/>
          <w:szCs w:val="21"/>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71576C35">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3</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组成联合体或者接受分包的小微企业与联合体内其他企业、分包企业之间存在直接控股、管理关系的，不享受价格扣除优惠政策。</w:t>
      </w:r>
    </w:p>
    <w:p w14:paraId="41DF31A7">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4、</w:t>
      </w:r>
      <w:r>
        <w:rPr>
          <w:rFonts w:ascii="Microsoft New Tai Lue" w:hAnsi="Microsoft New Tai Lue" w:cs="Microsoft New Tai Lue"/>
          <w:color w:val="auto"/>
          <w:szCs w:val="21"/>
          <w:highlight w:val="none"/>
        </w:rPr>
        <w:t>价格扣除比例对小型企业和微型企业同等对待，不作区分。</w:t>
      </w:r>
    </w:p>
    <w:p w14:paraId="2A80AC03">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5、</w:t>
      </w:r>
      <w:r>
        <w:rPr>
          <w:rFonts w:ascii="Microsoft New Tai Lue" w:hAnsi="Microsoft New Tai Lue" w:cs="Microsoft New Tai Lue"/>
          <w:color w:val="auto"/>
          <w:szCs w:val="21"/>
          <w:highlight w:val="none"/>
        </w:rPr>
        <w:t>中小企业参加政府采购活动，应当按照招标文件给定的格式出具《中小企业声明函》，否则不得享受相关中小企业扶持政策。</w:t>
      </w:r>
    </w:p>
    <w:p w14:paraId="2553A87D">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6</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监狱企业提供了由省级以上监狱管理局、戒毒管理局（含新疆生产建设兵团）出具的属于监狱企业的证明文件的，视同小微企业。</w:t>
      </w:r>
    </w:p>
    <w:p w14:paraId="15737C22">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7、</w:t>
      </w:r>
      <w:r>
        <w:rPr>
          <w:rFonts w:ascii="Microsoft New Tai Lue" w:hAnsi="Microsoft New Tai Lue" w:cs="Microsoft New Tai Lue"/>
          <w:color w:val="auto"/>
          <w:szCs w:val="21"/>
          <w:highlight w:val="none"/>
        </w:rPr>
        <w:t>残疾人福利性单位按招标文件要求提供了《残疾人福利性单位声明函》（见附件）的，视同小微企业。</w:t>
      </w:r>
    </w:p>
    <w:p w14:paraId="0A6DEB16">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8、</w:t>
      </w:r>
      <w:r>
        <w:rPr>
          <w:rFonts w:ascii="Microsoft New Tai Lue" w:hAnsi="Microsoft New Tai Lue" w:cs="Microsoft New Tai Lue"/>
          <w:color w:val="auto"/>
          <w:szCs w:val="21"/>
          <w:highlight w:val="none"/>
        </w:rPr>
        <w:t>若投标人同时属于小型或微型企业、监狱企业、残疾人福利性单位中的两种及以上，将不重复享受小微企业价格扣减的优惠政策。</w:t>
      </w:r>
    </w:p>
    <w:p w14:paraId="35E07074">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9</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非政府强制采购的节能产品或环境标志产品，依据品目清单和认证证书实施政府优先采购。优先采购的具体规定（如涉及）__</w:t>
      </w:r>
      <w:r>
        <w:rPr>
          <w:rFonts w:hint="eastAsia" w:ascii="Microsoft New Tai Lue" w:hAnsi="Microsoft New Tai Lue" w:cs="Microsoft New Tai Lue"/>
          <w:color w:val="auto"/>
          <w:szCs w:val="21"/>
          <w:highlight w:val="none"/>
          <w:u w:val="single"/>
        </w:rPr>
        <w:t>/</w:t>
      </w:r>
      <w:r>
        <w:rPr>
          <w:rFonts w:ascii="Microsoft New Tai Lue" w:hAnsi="Microsoft New Tai Lue" w:cs="Microsoft New Tai Lue"/>
          <w:color w:val="auto"/>
          <w:szCs w:val="21"/>
          <w:highlight w:val="none"/>
        </w:rPr>
        <w:t>___。</w:t>
      </w:r>
    </w:p>
    <w:p w14:paraId="7E46D439">
      <w:pPr>
        <w:tabs>
          <w:tab w:val="left" w:pos="1080"/>
          <w:tab w:val="left" w:pos="1589"/>
        </w:tabs>
        <w:snapToGrid w:val="0"/>
        <w:spacing w:line="360" w:lineRule="auto"/>
        <w:ind w:firstLine="420" w:firstLineChars="200"/>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1</w:t>
      </w:r>
      <w:r>
        <w:rPr>
          <w:rFonts w:ascii="Microsoft New Tai Lue" w:hAnsi="Microsoft New Tai Lue" w:cs="Microsoft New Tai Lue"/>
          <w:color w:val="auto"/>
          <w:szCs w:val="21"/>
          <w:highlight w:val="none"/>
        </w:rPr>
        <w:t>0</w:t>
      </w:r>
      <w:r>
        <w:rPr>
          <w:rFonts w:hint="eastAsia" w:ascii="Microsoft New Tai Lue" w:hAnsi="Microsoft New Tai Lue" w:cs="Microsoft New Tai Lue"/>
          <w:color w:val="auto"/>
          <w:szCs w:val="21"/>
          <w:highlight w:val="none"/>
        </w:rPr>
        <w:t>、</w:t>
      </w:r>
      <w:r>
        <w:rPr>
          <w:rFonts w:ascii="Microsoft New Tai Lue" w:hAnsi="Microsoft New Tai Lue" w:cs="Microsoft New Tai Lue"/>
          <w:color w:val="auto"/>
          <w:szCs w:val="21"/>
          <w:highlight w:val="none"/>
        </w:rPr>
        <w:t>关于无线局域网认证产品政府采购清单中的产品，优先采购的具体规定（如涉及）__</w:t>
      </w:r>
      <w:r>
        <w:rPr>
          <w:rFonts w:hint="eastAsia" w:ascii="Microsoft New Tai Lue" w:hAnsi="Microsoft New Tai Lue" w:cs="Microsoft New Tai Lue"/>
          <w:color w:val="auto"/>
          <w:szCs w:val="21"/>
          <w:highlight w:val="none"/>
          <w:u w:val="single"/>
        </w:rPr>
        <w:t>/</w:t>
      </w:r>
      <w:r>
        <w:rPr>
          <w:rFonts w:ascii="Microsoft New Tai Lue" w:hAnsi="Microsoft New Tai Lue" w:cs="Microsoft New Tai Lue"/>
          <w:color w:val="auto"/>
          <w:szCs w:val="21"/>
          <w:highlight w:val="none"/>
        </w:rPr>
        <w:t>___。</w:t>
      </w:r>
    </w:p>
    <w:p w14:paraId="7E4896D9">
      <w:pPr>
        <w:pStyle w:val="31"/>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r>
      <w:bookmarkStart w:id="269" w:name="_Toc107246273"/>
      <w:r>
        <w:rPr>
          <w:rFonts w:ascii="Microsoft New Tai Lue" w:hAnsi="Microsoft New Tai Lue" w:cs="Microsoft New Tai Lue"/>
          <w:color w:val="auto"/>
          <w:highlight w:val="none"/>
        </w:rPr>
        <w:t xml:space="preserve">第六章 </w:t>
      </w:r>
      <w:bookmarkEnd w:id="268"/>
      <w:r>
        <w:rPr>
          <w:rFonts w:hint="eastAsia" w:ascii="Microsoft New Tai Lue" w:hAnsi="Microsoft New Tai Lue" w:cs="Microsoft New Tai Lue"/>
          <w:color w:val="auto"/>
          <w:highlight w:val="none"/>
        </w:rPr>
        <w:t>投标文件格式</w:t>
      </w:r>
      <w:bookmarkEnd w:id="269"/>
    </w:p>
    <w:p w14:paraId="41D004AF">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注：请</w:t>
      </w:r>
      <w:r>
        <w:rPr>
          <w:rFonts w:hint="eastAsia" w:ascii="Microsoft New Tai Lue" w:hAnsi="Microsoft New Tai Lue" w:cs="Microsoft New Tai Lue"/>
          <w:b/>
          <w:bCs/>
          <w:color w:val="auto"/>
          <w:highlight w:val="none"/>
          <w:lang w:val="en-US" w:eastAsia="zh-CN"/>
        </w:rPr>
        <w:t>供应商</w:t>
      </w:r>
      <w:r>
        <w:rPr>
          <w:rFonts w:ascii="Microsoft New Tai Lue" w:hAnsi="Microsoft New Tai Lue" w:cs="Microsoft New Tai Lue"/>
          <w:b/>
          <w:bCs/>
          <w:color w:val="auto"/>
          <w:highlight w:val="none"/>
        </w:rPr>
        <w:t>按照以下文件的要求格式、内容，顺序制作投标文件，并请编制目录及页码，否则可能将影响对投标文件的评价。</w:t>
      </w:r>
    </w:p>
    <w:p w14:paraId="64507F2B">
      <w:pPr>
        <w:pStyle w:val="77"/>
        <w:shd w:val="clear" w:color="auto" w:fill="FFFFFF"/>
        <w:spacing w:line="265" w:lineRule="atLeast"/>
        <w:ind w:firstLine="0" w:firstLineChars="0"/>
        <w:rPr>
          <w:rFonts w:ascii="Microsoft New Tai Lue" w:hAnsi="Microsoft New Tai Lue" w:eastAsia="宋体" w:cs="Microsoft New Tai Lue"/>
          <w:b/>
          <w:color w:val="auto"/>
          <w:sz w:val="24"/>
          <w:highlight w:val="none"/>
        </w:rPr>
      </w:pPr>
    </w:p>
    <w:p w14:paraId="7F2B8D67">
      <w:pPr>
        <w:spacing w:before="100" w:after="100" w:line="360" w:lineRule="auto"/>
        <w:jc w:val="left"/>
        <w:rPr>
          <w:rFonts w:ascii="Microsoft New Tai Lue" w:hAnsi="Microsoft New Tai Lue" w:cs="Microsoft New Tai Lue"/>
          <w:color w:val="auto"/>
          <w:sz w:val="24"/>
          <w:highlight w:val="none"/>
        </w:rPr>
      </w:pPr>
      <w:bookmarkStart w:id="270" w:name="_Toc96347900"/>
      <w:r>
        <w:rPr>
          <w:rFonts w:ascii="Microsoft New Tai Lue" w:hAnsi="Microsoft New Tai Lue" w:cs="Microsoft New Tai Lue"/>
          <w:color w:val="auto"/>
          <w:sz w:val="24"/>
          <w:highlight w:val="none"/>
        </w:rPr>
        <w:br w:type="page"/>
      </w:r>
      <w:r>
        <w:rPr>
          <w:rFonts w:ascii="Microsoft New Tai Lue" w:hAnsi="Microsoft New Tai Lue" w:cs="Microsoft New Tai Lue"/>
          <w:b/>
          <w:color w:val="auto"/>
          <w:sz w:val="40"/>
          <w:szCs w:val="60"/>
          <w:highlight w:val="none"/>
        </w:rPr>
        <w:t>附件</w:t>
      </w:r>
    </w:p>
    <w:p w14:paraId="702827C9">
      <w:pPr>
        <w:spacing w:before="100" w:after="100" w:line="360" w:lineRule="auto"/>
        <w:jc w:val="center"/>
        <w:rPr>
          <w:rFonts w:hint="eastAsia" w:ascii="宋体" w:hAnsi="宋体" w:cs="Microsoft New Tai Lue"/>
          <w:b/>
          <w:color w:val="auto"/>
          <w:sz w:val="44"/>
          <w:szCs w:val="44"/>
          <w:highlight w:val="none"/>
        </w:rPr>
      </w:pPr>
      <w:r>
        <w:rPr>
          <w:rFonts w:hint="eastAsia" w:ascii="宋体" w:hAnsi="宋体" w:cs="Microsoft New Tai Lue"/>
          <w:b/>
          <w:color w:val="auto"/>
          <w:sz w:val="44"/>
          <w:szCs w:val="44"/>
          <w:highlight w:val="none"/>
        </w:rPr>
        <w:t>2026年省级食品安全抽检技术服务</w:t>
      </w:r>
    </w:p>
    <w:p w14:paraId="5F1E3A71">
      <w:pPr>
        <w:spacing w:before="100" w:after="100" w:line="360" w:lineRule="auto"/>
        <w:jc w:val="center"/>
        <w:rPr>
          <w:rFonts w:hint="eastAsia" w:ascii="宋体" w:hAnsi="宋体" w:cs="Microsoft New Tai Lue"/>
          <w:b/>
          <w:color w:val="auto"/>
          <w:sz w:val="44"/>
          <w:szCs w:val="44"/>
          <w:highlight w:val="none"/>
        </w:rPr>
      </w:pPr>
      <w:r>
        <w:rPr>
          <w:rFonts w:hint="eastAsia" w:ascii="宋体" w:hAnsi="宋体" w:cs="Microsoft New Tai Lue"/>
          <w:b/>
          <w:color w:val="auto"/>
          <w:sz w:val="44"/>
          <w:szCs w:val="44"/>
          <w:highlight w:val="none"/>
        </w:rPr>
        <w:t>（第一批）</w:t>
      </w:r>
    </w:p>
    <w:p w14:paraId="25B4D785">
      <w:pPr>
        <w:adjustRightInd w:val="0"/>
        <w:snapToGrid w:val="0"/>
        <w:spacing w:line="400" w:lineRule="atLeast"/>
        <w:jc w:val="center"/>
        <w:rPr>
          <w:rFonts w:ascii="Microsoft New Tai Lue" w:hAnsi="Microsoft New Tai Lue" w:cs="Microsoft New Tai Lue"/>
          <w:b/>
          <w:color w:val="auto"/>
          <w:sz w:val="72"/>
          <w:szCs w:val="84"/>
          <w:highlight w:val="none"/>
        </w:rPr>
      </w:pPr>
    </w:p>
    <w:p w14:paraId="25BCD452">
      <w:pPr>
        <w:pStyle w:val="18"/>
        <w:jc w:val="center"/>
        <w:rPr>
          <w:rFonts w:ascii="Microsoft New Tai Lue" w:hAnsi="Microsoft New Tai Lue" w:cs="Microsoft New Tai Lue"/>
          <w:b/>
          <w:color w:val="auto"/>
          <w:sz w:val="84"/>
          <w:szCs w:val="84"/>
          <w:highlight w:val="none"/>
        </w:rPr>
      </w:pPr>
      <w:bookmarkStart w:id="271" w:name="_Toc100905255"/>
      <w:r>
        <w:rPr>
          <w:rFonts w:ascii="Microsoft New Tai Lue" w:hAnsi="Microsoft New Tai Lue" w:cs="Microsoft New Tai Lue"/>
          <w:b/>
          <w:color w:val="auto"/>
          <w:sz w:val="84"/>
          <w:szCs w:val="84"/>
          <w:highlight w:val="none"/>
        </w:rPr>
        <w:t>投 标 文 件</w:t>
      </w:r>
      <w:bookmarkEnd w:id="271"/>
    </w:p>
    <w:p w14:paraId="582A20CF">
      <w:pPr>
        <w:spacing w:line="360" w:lineRule="auto"/>
        <w:ind w:right="640"/>
        <w:jc w:val="center"/>
        <w:rPr>
          <w:rFonts w:ascii="Microsoft New Tai Lue" w:hAnsi="Microsoft New Tai Lue" w:cs="Microsoft New Tai Lue"/>
          <w:b/>
          <w:color w:val="auto"/>
          <w:sz w:val="44"/>
          <w:szCs w:val="44"/>
          <w:highlight w:val="none"/>
        </w:rPr>
      </w:pPr>
    </w:p>
    <w:p w14:paraId="633988ED">
      <w:pPr>
        <w:spacing w:line="360" w:lineRule="auto"/>
        <w:jc w:val="center"/>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项目编号：</w:t>
      </w:r>
      <w:r>
        <w:rPr>
          <w:rFonts w:hint="eastAsia" w:ascii="Microsoft New Tai Lue" w:hAnsi="Microsoft New Tai Lue" w:cs="Microsoft New Tai Lue"/>
          <w:b/>
          <w:color w:val="auto"/>
          <w:sz w:val="44"/>
          <w:szCs w:val="44"/>
          <w:highlight w:val="none"/>
          <w:lang w:eastAsia="zh-CN"/>
        </w:rPr>
        <w:t>JSTCC26022101726</w:t>
      </w:r>
    </w:p>
    <w:p w14:paraId="3146E33C">
      <w:pPr>
        <w:spacing w:line="360" w:lineRule="auto"/>
        <w:jc w:val="center"/>
        <w:rPr>
          <w:rFonts w:ascii="Microsoft New Tai Lue" w:hAnsi="Microsoft New Tai Lue" w:cs="Microsoft New Tai Lue"/>
          <w:b/>
          <w:color w:val="auto"/>
          <w:sz w:val="44"/>
          <w:szCs w:val="44"/>
          <w:highlight w:val="none"/>
        </w:rPr>
      </w:pPr>
    </w:p>
    <w:p w14:paraId="0788474C">
      <w:pPr>
        <w:spacing w:line="360" w:lineRule="auto"/>
        <w:jc w:val="center"/>
        <w:rPr>
          <w:rFonts w:ascii="Microsoft New Tai Lue" w:hAnsi="Microsoft New Tai Lue" w:cs="Microsoft New Tai Lue"/>
          <w:b/>
          <w:color w:val="auto"/>
          <w:sz w:val="44"/>
          <w:szCs w:val="44"/>
          <w:highlight w:val="none"/>
        </w:rPr>
      </w:pPr>
      <w:r>
        <w:rPr>
          <w:rFonts w:hint="eastAsia" w:ascii="Microsoft New Tai Lue" w:hAnsi="Microsoft New Tai Lue" w:cs="Microsoft New Tai Lue"/>
          <w:b/>
          <w:color w:val="auto"/>
          <w:sz w:val="44"/>
          <w:szCs w:val="44"/>
          <w:highlight w:val="none"/>
        </w:rPr>
        <w:t>包号：</w:t>
      </w:r>
      <w:r>
        <w:rPr>
          <w:rFonts w:ascii="Microsoft New Tai Lue" w:hAnsi="Microsoft New Tai Lue" w:cs="Microsoft New Tai Lue"/>
          <w:b/>
          <w:color w:val="auto"/>
          <w:sz w:val="32"/>
          <w:szCs w:val="32"/>
          <w:highlight w:val="none"/>
        </w:rPr>
        <w:t>__________</w:t>
      </w:r>
    </w:p>
    <w:p w14:paraId="1223E190">
      <w:pPr>
        <w:pStyle w:val="18"/>
        <w:rPr>
          <w:rFonts w:ascii="Microsoft New Tai Lue" w:hAnsi="Microsoft New Tai Lue" w:cs="Microsoft New Tai Lue"/>
          <w:color w:val="auto"/>
          <w:sz w:val="28"/>
          <w:szCs w:val="28"/>
          <w:highlight w:val="none"/>
        </w:rPr>
      </w:pPr>
    </w:p>
    <w:p w14:paraId="05911893">
      <w:pPr>
        <w:pStyle w:val="18"/>
        <w:rPr>
          <w:rFonts w:ascii="Microsoft New Tai Lue" w:hAnsi="Microsoft New Tai Lue" w:cs="Microsoft New Tai Lue"/>
          <w:color w:val="auto"/>
          <w:sz w:val="28"/>
          <w:szCs w:val="28"/>
          <w:highlight w:val="none"/>
        </w:rPr>
      </w:pPr>
    </w:p>
    <w:p w14:paraId="2A6868EA">
      <w:pPr>
        <w:pStyle w:val="18"/>
        <w:rPr>
          <w:rFonts w:ascii="Microsoft New Tai Lue" w:hAnsi="Microsoft New Tai Lue" w:cs="Microsoft New Tai Lue"/>
          <w:color w:val="auto"/>
          <w:sz w:val="28"/>
          <w:szCs w:val="28"/>
          <w:highlight w:val="none"/>
        </w:rPr>
      </w:pPr>
    </w:p>
    <w:p w14:paraId="028DA49D">
      <w:pPr>
        <w:pStyle w:val="18"/>
        <w:rPr>
          <w:rFonts w:ascii="Microsoft New Tai Lue" w:hAnsi="Microsoft New Tai Lue" w:cs="Microsoft New Tai Lue"/>
          <w:color w:val="auto"/>
          <w:sz w:val="28"/>
          <w:szCs w:val="28"/>
          <w:highlight w:val="none"/>
        </w:rPr>
      </w:pPr>
    </w:p>
    <w:p w14:paraId="0EF0D914">
      <w:pPr>
        <w:pStyle w:val="18"/>
        <w:rPr>
          <w:rFonts w:ascii="Microsoft New Tai Lue" w:hAnsi="Microsoft New Tai Lue" w:cs="Microsoft New Tai Lue"/>
          <w:color w:val="auto"/>
          <w:sz w:val="28"/>
          <w:szCs w:val="28"/>
          <w:highlight w:val="none"/>
        </w:rPr>
      </w:pPr>
    </w:p>
    <w:p w14:paraId="48C49707">
      <w:pPr>
        <w:pStyle w:val="18"/>
        <w:rPr>
          <w:rFonts w:ascii="Microsoft New Tai Lue" w:hAnsi="Microsoft New Tai Lue" w:cs="Microsoft New Tai Lue"/>
          <w:color w:val="auto"/>
          <w:sz w:val="28"/>
          <w:szCs w:val="28"/>
          <w:highlight w:val="none"/>
        </w:rPr>
      </w:pPr>
    </w:p>
    <w:p w14:paraId="38E2D251">
      <w:pPr>
        <w:pStyle w:val="18"/>
        <w:jc w:val="center"/>
        <w:rPr>
          <w:rFonts w:ascii="Microsoft New Tai Lue" w:hAnsi="Microsoft New Tai Lue" w:cs="Microsoft New Tai Lue"/>
          <w:b/>
          <w:color w:val="auto"/>
          <w:sz w:val="32"/>
          <w:szCs w:val="32"/>
          <w:highlight w:val="none"/>
        </w:rPr>
      </w:pPr>
      <w:r>
        <w:rPr>
          <w:rFonts w:hint="eastAsia" w:ascii="Microsoft New Tai Lue" w:hAnsi="Microsoft New Tai Lue" w:cs="Microsoft New Tai Lue"/>
          <w:b/>
          <w:color w:val="auto"/>
          <w:sz w:val="32"/>
          <w:szCs w:val="24"/>
          <w:highlight w:val="none"/>
          <w:lang w:val="en-US" w:eastAsia="zh-CN"/>
        </w:rPr>
        <w:t>供应商</w:t>
      </w:r>
      <w:r>
        <w:rPr>
          <w:rFonts w:ascii="Microsoft New Tai Lue" w:hAnsi="Microsoft New Tai Lue" w:cs="Microsoft New Tai Lue"/>
          <w:b/>
          <w:color w:val="auto"/>
          <w:sz w:val="32"/>
          <w:szCs w:val="24"/>
          <w:highlight w:val="none"/>
        </w:rPr>
        <w:t>名称：</w:t>
      </w:r>
      <w:r>
        <w:rPr>
          <w:rFonts w:hint="eastAsia" w:ascii="Microsoft New Tai Lue" w:hAnsi="Microsoft New Tai Lue" w:cs="Microsoft New Tai Lue"/>
          <w:b/>
          <w:color w:val="auto"/>
          <w:sz w:val="32"/>
          <w:szCs w:val="32"/>
          <w:highlight w:val="none"/>
          <w:u w:val="single"/>
        </w:rPr>
        <w:t>（加盖CA电子公章）</w:t>
      </w:r>
    </w:p>
    <w:p w14:paraId="70AB410B">
      <w:pPr>
        <w:pStyle w:val="18"/>
        <w:ind w:firstLine="2570" w:firstLineChars="800"/>
        <w:jc w:val="both"/>
        <w:rPr>
          <w:rFonts w:hint="default" w:ascii="Microsoft New Tai Lue" w:hAnsi="Microsoft New Tai Lue" w:eastAsia="宋体" w:cs="Microsoft New Tai Lue"/>
          <w:b/>
          <w:color w:val="auto"/>
          <w:sz w:val="32"/>
          <w:szCs w:val="32"/>
          <w:highlight w:val="none"/>
          <w:u w:val="single"/>
          <w:lang w:val="en-US" w:eastAsia="zh-CN"/>
        </w:rPr>
      </w:pPr>
      <w:r>
        <w:rPr>
          <w:rFonts w:ascii="Microsoft New Tai Lue" w:hAnsi="Microsoft New Tai Lue" w:cs="Microsoft New Tai Lue"/>
          <w:b/>
          <w:color w:val="auto"/>
          <w:sz w:val="32"/>
          <w:szCs w:val="32"/>
          <w:highlight w:val="none"/>
        </w:rPr>
        <w:t>地址：</w:t>
      </w:r>
      <w:r>
        <w:rPr>
          <w:rFonts w:hint="eastAsia" w:ascii="Microsoft New Tai Lue" w:hAnsi="Microsoft New Tai Lue" w:cs="Microsoft New Tai Lue"/>
          <w:b/>
          <w:color w:val="auto"/>
          <w:sz w:val="32"/>
          <w:szCs w:val="32"/>
          <w:highlight w:val="none"/>
          <w:u w:val="single"/>
          <w:lang w:val="en-US" w:eastAsia="zh-CN"/>
        </w:rPr>
        <w:t xml:space="preserve">            </w:t>
      </w:r>
    </w:p>
    <w:p w14:paraId="74EB381B">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二</w:t>
      </w:r>
      <w:r>
        <w:rPr>
          <w:rFonts w:hint="eastAsia" w:ascii="Microsoft New Tai Lue" w:hAnsi="Microsoft New Tai Lue" w:cs="Microsoft New Tai Lue"/>
          <w:b/>
          <w:color w:val="auto"/>
          <w:sz w:val="32"/>
          <w:highlight w:val="none"/>
        </w:rPr>
        <w:t>〇二</w:t>
      </w:r>
      <w:r>
        <w:rPr>
          <w:rFonts w:hint="eastAsia" w:ascii="Microsoft New Tai Lue" w:hAnsi="Microsoft New Tai Lue" w:cs="Microsoft New Tai Lue"/>
          <w:b/>
          <w:color w:val="auto"/>
          <w:sz w:val="32"/>
          <w:highlight w:val="none"/>
          <w:lang w:val="en-US" w:eastAsia="zh-CN"/>
        </w:rPr>
        <w:t>六</w:t>
      </w:r>
      <w:r>
        <w:rPr>
          <w:rFonts w:ascii="Microsoft New Tai Lue" w:hAnsi="Microsoft New Tai Lue" w:cs="Microsoft New Tai Lue"/>
          <w:b/>
          <w:color w:val="auto"/>
          <w:sz w:val="32"/>
          <w:highlight w:val="none"/>
        </w:rPr>
        <w:t>年  月  日</w:t>
      </w:r>
    </w:p>
    <w:p w14:paraId="7ED46069">
      <w:pPr>
        <w:pStyle w:val="18"/>
        <w:adjustRightInd w:val="0"/>
        <w:snapToGrid w:val="0"/>
        <w:spacing w:before="156" w:beforeLines="50"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r>
      <w:r>
        <w:rPr>
          <w:rFonts w:ascii="Microsoft New Tai Lue" w:hAnsi="Microsoft New Tai Lue" w:cs="Microsoft New Tai Lue"/>
          <w:b/>
          <w:color w:val="auto"/>
          <w:sz w:val="32"/>
          <w:highlight w:val="none"/>
        </w:rPr>
        <w:t>目录</w:t>
      </w:r>
    </w:p>
    <w:p w14:paraId="34839F0C">
      <w:pPr>
        <w:pStyle w:val="18"/>
        <w:adjustRightInd w:val="0"/>
        <w:snapToGrid w:val="0"/>
        <w:spacing w:before="156" w:beforeLines="50"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一</w:t>
      </w:r>
      <w:r>
        <w:rPr>
          <w:rFonts w:ascii="Microsoft New Tai Lue" w:hAnsi="Microsoft New Tai Lue" w:cs="Microsoft New Tai Lue"/>
          <w:b/>
          <w:color w:val="auto"/>
          <w:highlight w:val="none"/>
        </w:rPr>
        <w:t>、</w:t>
      </w:r>
      <w:r>
        <w:rPr>
          <w:rFonts w:hint="eastAsia" w:ascii="Microsoft New Tai Lue" w:hAnsi="Microsoft New Tai Lue" w:cs="Microsoft New Tai Lue"/>
          <w:b/>
          <w:color w:val="auto"/>
          <w:highlight w:val="none"/>
        </w:rPr>
        <w:t>价格</w:t>
      </w:r>
      <w:r>
        <w:rPr>
          <w:rFonts w:ascii="Microsoft New Tai Lue" w:hAnsi="Microsoft New Tai Lue" w:cs="Microsoft New Tai Lue"/>
          <w:b/>
          <w:color w:val="auto"/>
          <w:highlight w:val="none"/>
        </w:rPr>
        <w:t>及</w:t>
      </w:r>
      <w:r>
        <w:rPr>
          <w:rFonts w:hint="eastAsia" w:ascii="Microsoft New Tai Lue" w:hAnsi="Microsoft New Tai Lue" w:cs="Microsoft New Tai Lue"/>
          <w:b/>
          <w:color w:val="auto"/>
          <w:highlight w:val="none"/>
        </w:rPr>
        <w:t>商务部分</w:t>
      </w:r>
    </w:p>
    <w:p w14:paraId="38794F6D">
      <w:pPr>
        <w:spacing w:line="300" w:lineRule="exact"/>
        <w:jc w:val="left"/>
        <w:rPr>
          <w:color w:val="auto"/>
          <w:szCs w:val="21"/>
          <w:highlight w:val="none"/>
        </w:rPr>
      </w:pPr>
      <w:r>
        <w:rPr>
          <w:rFonts w:hint="eastAsia"/>
          <w:color w:val="auto"/>
          <w:szCs w:val="21"/>
          <w:highlight w:val="none"/>
        </w:rPr>
        <w:t>（1）投标函，格式见附件。</w:t>
      </w:r>
    </w:p>
    <w:p w14:paraId="20E8C7B1">
      <w:pPr>
        <w:spacing w:line="300" w:lineRule="exact"/>
        <w:jc w:val="left"/>
        <w:rPr>
          <w:color w:val="auto"/>
          <w:szCs w:val="21"/>
          <w:highlight w:val="none"/>
        </w:rPr>
      </w:pPr>
      <w:r>
        <w:rPr>
          <w:rFonts w:hint="eastAsia"/>
          <w:color w:val="auto"/>
          <w:szCs w:val="21"/>
          <w:highlight w:val="none"/>
        </w:rPr>
        <w:t>（2）法定代表人（单位负责人）身份证明，格式见附件。</w:t>
      </w:r>
    </w:p>
    <w:p w14:paraId="1D418288">
      <w:pPr>
        <w:spacing w:line="300" w:lineRule="exact"/>
        <w:jc w:val="left"/>
        <w:rPr>
          <w:color w:val="auto"/>
          <w:szCs w:val="21"/>
          <w:highlight w:val="none"/>
        </w:rPr>
      </w:pPr>
      <w:r>
        <w:rPr>
          <w:rFonts w:hint="eastAsia"/>
          <w:color w:val="auto"/>
          <w:szCs w:val="21"/>
          <w:highlight w:val="none"/>
        </w:rPr>
        <w:t>（3）法定代表人（单位负责人）授权委托书（适用于法人/非法人），格式见附件。</w:t>
      </w:r>
    </w:p>
    <w:p w14:paraId="75395BD7">
      <w:pPr>
        <w:spacing w:line="300" w:lineRule="exact"/>
        <w:jc w:val="left"/>
        <w:rPr>
          <w:color w:val="auto"/>
          <w:szCs w:val="21"/>
          <w:highlight w:val="none"/>
        </w:rPr>
      </w:pPr>
      <w:r>
        <w:rPr>
          <w:rFonts w:hint="eastAsia"/>
          <w:color w:val="auto"/>
          <w:szCs w:val="21"/>
          <w:highlight w:val="none"/>
        </w:rPr>
        <w:t>（4）开标一览表，格式见附件。</w:t>
      </w:r>
    </w:p>
    <w:p w14:paraId="34854F67">
      <w:pPr>
        <w:spacing w:line="300" w:lineRule="exact"/>
        <w:jc w:val="left"/>
        <w:rPr>
          <w:color w:val="auto"/>
          <w:szCs w:val="21"/>
          <w:highlight w:val="none"/>
        </w:rPr>
      </w:pPr>
      <w:r>
        <w:rPr>
          <w:rFonts w:hint="eastAsia"/>
          <w:color w:val="auto"/>
          <w:szCs w:val="21"/>
          <w:highlight w:val="none"/>
        </w:rPr>
        <w:t>（5）分项报价表，格式见附件。</w:t>
      </w:r>
    </w:p>
    <w:p w14:paraId="7943E57A">
      <w:pPr>
        <w:spacing w:line="300" w:lineRule="exact"/>
        <w:jc w:val="left"/>
        <w:rPr>
          <w:color w:val="auto"/>
          <w:szCs w:val="21"/>
          <w:highlight w:val="none"/>
        </w:rPr>
      </w:pPr>
      <w:r>
        <w:rPr>
          <w:rFonts w:hint="eastAsia"/>
          <w:color w:val="auto"/>
          <w:szCs w:val="21"/>
          <w:highlight w:val="none"/>
        </w:rPr>
        <w:t>（</w:t>
      </w:r>
      <w:r>
        <w:rPr>
          <w:color w:val="auto"/>
          <w:szCs w:val="21"/>
          <w:highlight w:val="none"/>
        </w:rPr>
        <w:t>6</w:t>
      </w:r>
      <w:r>
        <w:rPr>
          <w:rFonts w:hint="eastAsia"/>
          <w:color w:val="auto"/>
          <w:szCs w:val="21"/>
          <w:highlight w:val="none"/>
        </w:rPr>
        <w:t>）商务条款偏离表，格式见附件。</w:t>
      </w:r>
    </w:p>
    <w:p w14:paraId="3CC768F7">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w:t>
      </w:r>
      <w:r>
        <w:rPr>
          <w:rFonts w:hint="eastAsia"/>
          <w:color w:val="auto"/>
          <w:szCs w:val="21"/>
          <w:highlight w:val="none"/>
          <w:lang w:val="en-US" w:eastAsia="zh-CN"/>
        </w:rPr>
        <w:t>供应商</w:t>
      </w:r>
      <w:r>
        <w:rPr>
          <w:rFonts w:hint="eastAsia"/>
          <w:color w:val="auto"/>
          <w:szCs w:val="21"/>
          <w:highlight w:val="none"/>
        </w:rPr>
        <w:t>具备投标资格的证明文件：</w:t>
      </w:r>
    </w:p>
    <w:p w14:paraId="49129815">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-1-1）营业执照复印件或自然人的身份证明复印件（或具有同等法律效力的证照）。</w:t>
      </w:r>
    </w:p>
    <w:p w14:paraId="69613AFD">
      <w:pPr>
        <w:spacing w:line="300" w:lineRule="exact"/>
        <w:ind w:firstLine="210" w:firstLineChars="100"/>
        <w:jc w:val="left"/>
        <w:rPr>
          <w:color w:val="auto"/>
          <w:szCs w:val="21"/>
          <w:highlight w:val="none"/>
        </w:rPr>
      </w:pPr>
      <w:r>
        <w:rPr>
          <w:rFonts w:hint="eastAsia"/>
          <w:color w:val="auto"/>
          <w:szCs w:val="21"/>
          <w:highlight w:val="none"/>
        </w:rPr>
        <w:t>（a）</w:t>
      </w:r>
      <w:r>
        <w:rPr>
          <w:rFonts w:hint="eastAsia"/>
          <w:color w:val="auto"/>
          <w:szCs w:val="21"/>
          <w:highlight w:val="none"/>
          <w:lang w:val="en-US" w:eastAsia="zh-CN"/>
        </w:rPr>
        <w:t>供应商</w:t>
      </w:r>
      <w:r>
        <w:rPr>
          <w:rFonts w:hint="eastAsia"/>
          <w:color w:val="auto"/>
          <w:szCs w:val="21"/>
          <w:highlight w:val="none"/>
        </w:rPr>
        <w:t>为企业（包括合伙企业）的，应提供有效的“营业执照”。</w:t>
      </w:r>
    </w:p>
    <w:p w14:paraId="5220E230">
      <w:pPr>
        <w:spacing w:line="300" w:lineRule="exact"/>
        <w:ind w:firstLine="210" w:firstLineChars="100"/>
        <w:jc w:val="left"/>
        <w:rPr>
          <w:color w:val="auto"/>
          <w:szCs w:val="21"/>
          <w:highlight w:val="none"/>
        </w:rPr>
      </w:pPr>
      <w:r>
        <w:rPr>
          <w:rFonts w:hint="eastAsia"/>
          <w:color w:val="auto"/>
          <w:szCs w:val="21"/>
          <w:highlight w:val="none"/>
        </w:rPr>
        <w:t>（b）</w:t>
      </w:r>
      <w:r>
        <w:rPr>
          <w:rFonts w:hint="eastAsia"/>
          <w:color w:val="auto"/>
          <w:szCs w:val="21"/>
          <w:highlight w:val="none"/>
          <w:lang w:val="en-US" w:eastAsia="zh-CN"/>
        </w:rPr>
        <w:t>供应商</w:t>
      </w:r>
      <w:r>
        <w:rPr>
          <w:rFonts w:hint="eastAsia"/>
          <w:color w:val="auto"/>
          <w:szCs w:val="21"/>
          <w:highlight w:val="none"/>
        </w:rPr>
        <w:t>为事业单位的，应提供有效的“事业单位法人证书”。</w:t>
      </w:r>
    </w:p>
    <w:p w14:paraId="529222F4">
      <w:pPr>
        <w:spacing w:line="300" w:lineRule="exact"/>
        <w:ind w:firstLine="210" w:firstLineChars="100"/>
        <w:jc w:val="left"/>
        <w:rPr>
          <w:color w:val="auto"/>
          <w:szCs w:val="21"/>
          <w:highlight w:val="none"/>
        </w:rPr>
      </w:pPr>
      <w:r>
        <w:rPr>
          <w:rFonts w:hint="eastAsia"/>
          <w:color w:val="auto"/>
          <w:szCs w:val="21"/>
          <w:highlight w:val="none"/>
        </w:rPr>
        <w:t>（c）</w:t>
      </w:r>
      <w:r>
        <w:rPr>
          <w:rFonts w:hint="eastAsia"/>
          <w:color w:val="auto"/>
          <w:szCs w:val="21"/>
          <w:highlight w:val="none"/>
          <w:lang w:val="en-US" w:eastAsia="zh-CN"/>
        </w:rPr>
        <w:t>供应商</w:t>
      </w:r>
      <w:r>
        <w:rPr>
          <w:rFonts w:hint="eastAsia"/>
          <w:color w:val="auto"/>
          <w:szCs w:val="21"/>
          <w:highlight w:val="none"/>
        </w:rPr>
        <w:t>是非企业机构的，应提供有效的“执业许可证”、“登记证书”等证明文件。</w:t>
      </w:r>
    </w:p>
    <w:p w14:paraId="4B53CA79">
      <w:pPr>
        <w:spacing w:line="300" w:lineRule="exact"/>
        <w:ind w:firstLine="210" w:firstLineChars="100"/>
        <w:jc w:val="left"/>
        <w:rPr>
          <w:color w:val="auto"/>
          <w:szCs w:val="21"/>
          <w:highlight w:val="none"/>
        </w:rPr>
      </w:pPr>
      <w:r>
        <w:rPr>
          <w:rFonts w:hint="eastAsia"/>
          <w:color w:val="auto"/>
          <w:szCs w:val="21"/>
          <w:highlight w:val="none"/>
        </w:rPr>
        <w:t>（d）</w:t>
      </w:r>
      <w:r>
        <w:rPr>
          <w:rFonts w:hint="eastAsia"/>
          <w:color w:val="auto"/>
          <w:szCs w:val="21"/>
          <w:highlight w:val="none"/>
          <w:lang w:val="en-US" w:eastAsia="zh-CN"/>
        </w:rPr>
        <w:t>供应商</w:t>
      </w:r>
      <w:r>
        <w:rPr>
          <w:rFonts w:hint="eastAsia"/>
          <w:color w:val="auto"/>
          <w:szCs w:val="21"/>
          <w:highlight w:val="none"/>
        </w:rPr>
        <w:t>是个体工商户的，应提供有效的“个体工商户营业执照”。</w:t>
      </w:r>
    </w:p>
    <w:p w14:paraId="688B6A02">
      <w:pPr>
        <w:spacing w:line="300" w:lineRule="exact"/>
        <w:ind w:firstLine="210" w:firstLineChars="100"/>
        <w:jc w:val="left"/>
        <w:rPr>
          <w:color w:val="auto"/>
          <w:szCs w:val="21"/>
          <w:highlight w:val="none"/>
        </w:rPr>
      </w:pPr>
      <w:r>
        <w:rPr>
          <w:rFonts w:hint="eastAsia"/>
          <w:color w:val="auto"/>
          <w:szCs w:val="21"/>
          <w:highlight w:val="none"/>
        </w:rPr>
        <w:t>（e）</w:t>
      </w:r>
      <w:r>
        <w:rPr>
          <w:rFonts w:hint="eastAsia"/>
          <w:color w:val="auto"/>
          <w:szCs w:val="21"/>
          <w:highlight w:val="none"/>
          <w:lang w:val="en-US" w:eastAsia="zh-CN"/>
        </w:rPr>
        <w:t>供应商</w:t>
      </w:r>
      <w:r>
        <w:rPr>
          <w:rFonts w:hint="eastAsia"/>
          <w:color w:val="auto"/>
          <w:szCs w:val="21"/>
          <w:highlight w:val="none"/>
        </w:rPr>
        <w:t>是自然人的，应提供有效的自然人身份证明。</w:t>
      </w:r>
    </w:p>
    <w:p w14:paraId="476EB7B3">
      <w:pPr>
        <w:spacing w:line="300" w:lineRule="exact"/>
        <w:ind w:firstLine="210" w:firstLineChars="100"/>
        <w:jc w:val="left"/>
        <w:rPr>
          <w:color w:val="auto"/>
          <w:szCs w:val="21"/>
          <w:highlight w:val="none"/>
        </w:rPr>
      </w:pPr>
      <w:r>
        <w:rPr>
          <w:rFonts w:hint="eastAsia"/>
          <w:color w:val="auto"/>
          <w:szCs w:val="21"/>
          <w:highlight w:val="none"/>
        </w:rPr>
        <w:t>（f）若本项目允许分支机构参加投标，则分支机构参加投标的，此处可提供该分支机构或其所属法人或其他组织的相应证明文件。</w:t>
      </w:r>
    </w:p>
    <w:p w14:paraId="7D8A3A38">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-1-2）工商变更登记文件（如需），如发生了单位名称等变更的，需提供工商变更登记文件。</w:t>
      </w:r>
    </w:p>
    <w:p w14:paraId="3AE881A3">
      <w:pPr>
        <w:spacing w:line="300" w:lineRule="exact"/>
        <w:jc w:val="left"/>
        <w:rPr>
          <w:color w:val="auto"/>
          <w:szCs w:val="21"/>
          <w:highlight w:val="none"/>
        </w:rPr>
      </w:pPr>
      <w:r>
        <w:rPr>
          <w:rFonts w:hint="eastAsia"/>
          <w:color w:val="auto"/>
          <w:szCs w:val="21"/>
          <w:highlight w:val="none"/>
        </w:rPr>
        <w:t>（7-2）财务报表。</w:t>
      </w:r>
    </w:p>
    <w:p w14:paraId="04C21778">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-3）具有履行合同所必需的设备和专业技术能力的相关证明材料或承诺函，格式见附件。</w:t>
      </w:r>
    </w:p>
    <w:p w14:paraId="250B147D">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-4）依法缴纳税收的相关材料。</w:t>
      </w:r>
    </w:p>
    <w:p w14:paraId="351DB43C">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-5）依法缴纳社会保障资金的相关材料。</w:t>
      </w:r>
    </w:p>
    <w:p w14:paraId="4F983DCF">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-6）参加政府采购活动前三年内，在经营活动中没有重大违法记录，格式见附件。</w:t>
      </w:r>
    </w:p>
    <w:p w14:paraId="1E880A23">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-7）无不良信用记录承诺函（</w:t>
      </w:r>
      <w:r>
        <w:rPr>
          <w:rFonts w:hint="eastAsia"/>
          <w:color w:val="auto"/>
          <w:szCs w:val="21"/>
          <w:highlight w:val="none"/>
          <w:lang w:val="en-US" w:eastAsia="zh-CN"/>
        </w:rPr>
        <w:t>供应商</w:t>
      </w:r>
      <w:r>
        <w:rPr>
          <w:rFonts w:hint="eastAsia"/>
          <w:color w:val="auto"/>
          <w:szCs w:val="21"/>
          <w:highlight w:val="none"/>
        </w:rPr>
        <w:t>自行查询适用），格式见附件。</w:t>
      </w:r>
    </w:p>
    <w:p w14:paraId="63F9B5AF">
      <w:pPr>
        <w:spacing w:line="300" w:lineRule="exact"/>
        <w:jc w:val="left"/>
        <w:rPr>
          <w:color w:val="auto"/>
          <w:szCs w:val="21"/>
          <w:highlight w:val="none"/>
        </w:rPr>
      </w:pPr>
      <w:r>
        <w:rPr>
          <w:rFonts w:hint="eastAsia"/>
          <w:color w:val="auto"/>
          <w:szCs w:val="21"/>
          <w:highlight w:val="none"/>
        </w:rPr>
        <w:t>（</w:t>
      </w:r>
      <w:r>
        <w:rPr>
          <w:color w:val="auto"/>
          <w:szCs w:val="21"/>
          <w:highlight w:val="none"/>
        </w:rPr>
        <w:t>7</w:t>
      </w:r>
      <w:r>
        <w:rPr>
          <w:rFonts w:hint="eastAsia"/>
          <w:color w:val="auto"/>
          <w:szCs w:val="21"/>
          <w:highlight w:val="none"/>
        </w:rPr>
        <w:t>-8）招标文件要求的其它实质性资格资信证明文件。</w:t>
      </w:r>
    </w:p>
    <w:p w14:paraId="7DBBD3A9">
      <w:pPr>
        <w:spacing w:line="300" w:lineRule="exact"/>
        <w:jc w:val="left"/>
        <w:rPr>
          <w:color w:val="auto"/>
          <w:szCs w:val="21"/>
          <w:highlight w:val="none"/>
        </w:rPr>
      </w:pPr>
      <w:r>
        <w:rPr>
          <w:rFonts w:hint="eastAsia"/>
          <w:color w:val="auto"/>
          <w:szCs w:val="21"/>
          <w:highlight w:val="none"/>
        </w:rPr>
        <w:t>（</w:t>
      </w:r>
      <w:r>
        <w:rPr>
          <w:color w:val="auto"/>
          <w:szCs w:val="21"/>
          <w:highlight w:val="none"/>
        </w:rPr>
        <w:t>8</w:t>
      </w:r>
      <w:r>
        <w:rPr>
          <w:rFonts w:hint="eastAsia"/>
          <w:color w:val="auto"/>
          <w:szCs w:val="21"/>
          <w:highlight w:val="none"/>
        </w:rPr>
        <w:t>）公章授权书（如需），格式见附件。</w:t>
      </w:r>
    </w:p>
    <w:p w14:paraId="78767331">
      <w:pPr>
        <w:spacing w:line="300" w:lineRule="exact"/>
        <w:jc w:val="left"/>
        <w:rPr>
          <w:color w:val="auto"/>
          <w:szCs w:val="21"/>
          <w:highlight w:val="none"/>
        </w:rPr>
      </w:pPr>
      <w:r>
        <w:rPr>
          <w:rFonts w:hint="eastAsia"/>
          <w:color w:val="auto"/>
          <w:szCs w:val="21"/>
          <w:highlight w:val="none"/>
        </w:rPr>
        <w:t>（</w:t>
      </w:r>
      <w:r>
        <w:rPr>
          <w:rFonts w:hint="eastAsia"/>
          <w:color w:val="auto"/>
          <w:szCs w:val="21"/>
          <w:highlight w:val="none"/>
          <w:lang w:val="en-US" w:eastAsia="zh-CN"/>
        </w:rPr>
        <w:t>9</w:t>
      </w:r>
      <w:r>
        <w:rPr>
          <w:rFonts w:hint="eastAsia"/>
          <w:color w:val="auto"/>
          <w:szCs w:val="21"/>
          <w:highlight w:val="none"/>
        </w:rPr>
        <w:t>）工作业绩，格式见附件。</w:t>
      </w:r>
    </w:p>
    <w:p w14:paraId="2A5095E4">
      <w:pPr>
        <w:pStyle w:val="18"/>
        <w:adjustRightInd w:val="0"/>
        <w:snapToGrid w:val="0"/>
        <w:spacing w:before="156" w:beforeLines="50"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二</w:t>
      </w:r>
      <w:r>
        <w:rPr>
          <w:rFonts w:ascii="Microsoft New Tai Lue" w:hAnsi="Microsoft New Tai Lue" w:cs="Microsoft New Tai Lue"/>
          <w:b/>
          <w:color w:val="auto"/>
          <w:highlight w:val="none"/>
        </w:rPr>
        <w:t>、技术部分</w:t>
      </w:r>
    </w:p>
    <w:p w14:paraId="709318B4">
      <w:pPr>
        <w:spacing w:line="300" w:lineRule="exact"/>
        <w:jc w:val="left"/>
        <w:rPr>
          <w:color w:val="auto"/>
          <w:szCs w:val="21"/>
          <w:highlight w:val="none"/>
        </w:rPr>
      </w:pPr>
      <w:r>
        <w:rPr>
          <w:rFonts w:hint="eastAsia"/>
          <w:color w:val="auto"/>
          <w:szCs w:val="21"/>
          <w:highlight w:val="none"/>
        </w:rPr>
        <w:t>（1）技术条款偏离表，格式见附件。</w:t>
      </w:r>
    </w:p>
    <w:p w14:paraId="5627992A">
      <w:pPr>
        <w:spacing w:line="300" w:lineRule="exact"/>
        <w:jc w:val="left"/>
        <w:rPr>
          <w:color w:val="auto"/>
          <w:szCs w:val="21"/>
          <w:highlight w:val="none"/>
        </w:rPr>
      </w:pPr>
      <w:r>
        <w:rPr>
          <w:rFonts w:hint="eastAsia"/>
          <w:color w:val="auto"/>
          <w:szCs w:val="21"/>
          <w:highlight w:val="none"/>
        </w:rPr>
        <w:t>（2）人员团队，格式见附件。</w:t>
      </w:r>
    </w:p>
    <w:p w14:paraId="482BD020">
      <w:pPr>
        <w:spacing w:line="300" w:lineRule="exact"/>
        <w:jc w:val="left"/>
        <w:rPr>
          <w:color w:val="auto"/>
          <w:szCs w:val="21"/>
          <w:highlight w:val="none"/>
        </w:rPr>
      </w:pPr>
      <w:r>
        <w:rPr>
          <w:rFonts w:hint="eastAsia"/>
          <w:color w:val="auto"/>
          <w:szCs w:val="21"/>
          <w:highlight w:val="none"/>
        </w:rPr>
        <w:t>（3）工作场所，格式见附件。</w:t>
      </w:r>
    </w:p>
    <w:p w14:paraId="53DC3CBB">
      <w:pPr>
        <w:spacing w:line="300" w:lineRule="exact"/>
        <w:jc w:val="left"/>
        <w:rPr>
          <w:color w:val="auto"/>
          <w:szCs w:val="21"/>
          <w:highlight w:val="none"/>
        </w:rPr>
      </w:pPr>
      <w:r>
        <w:rPr>
          <w:rFonts w:hint="eastAsia"/>
          <w:color w:val="auto"/>
          <w:szCs w:val="21"/>
          <w:highlight w:val="none"/>
        </w:rPr>
        <w:t>（4）抽样设备，格式见附件。</w:t>
      </w:r>
    </w:p>
    <w:p w14:paraId="40AA81B4">
      <w:pPr>
        <w:spacing w:line="300" w:lineRule="exact"/>
        <w:jc w:val="left"/>
        <w:rPr>
          <w:color w:val="auto"/>
          <w:szCs w:val="21"/>
          <w:highlight w:val="none"/>
        </w:rPr>
      </w:pPr>
      <w:r>
        <w:rPr>
          <w:rFonts w:hint="eastAsia"/>
          <w:color w:val="auto"/>
          <w:szCs w:val="21"/>
          <w:highlight w:val="none"/>
        </w:rPr>
        <w:t>（5）检验设备，格式见附件。</w:t>
      </w:r>
    </w:p>
    <w:p w14:paraId="45F070A5">
      <w:pPr>
        <w:spacing w:line="300" w:lineRule="exact"/>
        <w:jc w:val="left"/>
        <w:rPr>
          <w:color w:val="auto"/>
          <w:szCs w:val="21"/>
          <w:highlight w:val="none"/>
        </w:rPr>
      </w:pPr>
      <w:r>
        <w:rPr>
          <w:rFonts w:hint="eastAsia"/>
          <w:color w:val="auto"/>
          <w:szCs w:val="21"/>
          <w:highlight w:val="none"/>
        </w:rPr>
        <w:t>（6）质量控制，格式见附件。</w:t>
      </w:r>
    </w:p>
    <w:p w14:paraId="5BF25B0E">
      <w:pPr>
        <w:spacing w:line="300" w:lineRule="exact"/>
        <w:jc w:val="left"/>
        <w:rPr>
          <w:color w:val="auto"/>
          <w:szCs w:val="21"/>
          <w:highlight w:val="none"/>
        </w:rPr>
      </w:pPr>
      <w:r>
        <w:rPr>
          <w:rFonts w:hint="eastAsia"/>
          <w:color w:val="auto"/>
          <w:szCs w:val="21"/>
          <w:highlight w:val="none"/>
        </w:rPr>
        <w:t>（7）复检能力，格式见附件。</w:t>
      </w:r>
    </w:p>
    <w:p w14:paraId="58B079D2">
      <w:pPr>
        <w:spacing w:line="300" w:lineRule="exact"/>
        <w:jc w:val="left"/>
        <w:rPr>
          <w:color w:val="auto"/>
          <w:szCs w:val="21"/>
          <w:highlight w:val="none"/>
        </w:rPr>
      </w:pPr>
      <w:r>
        <w:rPr>
          <w:rFonts w:hint="eastAsia"/>
          <w:color w:val="auto"/>
          <w:szCs w:val="21"/>
          <w:highlight w:val="none"/>
        </w:rPr>
        <w:t>（8）合格备份样品再利用工作情况，格式见附件。</w:t>
      </w:r>
    </w:p>
    <w:p w14:paraId="031C9317">
      <w:pPr>
        <w:spacing w:line="300" w:lineRule="exact"/>
        <w:jc w:val="left"/>
        <w:rPr>
          <w:color w:val="auto"/>
          <w:szCs w:val="21"/>
          <w:highlight w:val="none"/>
        </w:rPr>
      </w:pPr>
      <w:r>
        <w:rPr>
          <w:rFonts w:hint="eastAsia"/>
          <w:color w:val="auto"/>
          <w:szCs w:val="21"/>
          <w:highlight w:val="none"/>
        </w:rPr>
        <w:t>（9）管理制度与工作质量。</w:t>
      </w:r>
    </w:p>
    <w:p w14:paraId="2AE60F81">
      <w:pPr>
        <w:spacing w:line="300" w:lineRule="exact"/>
        <w:jc w:val="left"/>
        <w:rPr>
          <w:color w:val="auto"/>
          <w:szCs w:val="21"/>
          <w:highlight w:val="none"/>
        </w:rPr>
      </w:pPr>
      <w:r>
        <w:rPr>
          <w:rFonts w:hint="eastAsia"/>
          <w:color w:val="auto"/>
          <w:szCs w:val="21"/>
          <w:highlight w:val="none"/>
          <w:lang w:val="zh-CN"/>
        </w:rPr>
        <w:t>（</w:t>
      </w:r>
      <w:r>
        <w:rPr>
          <w:rFonts w:hint="eastAsia"/>
          <w:color w:val="auto"/>
          <w:szCs w:val="21"/>
          <w:highlight w:val="none"/>
        </w:rPr>
        <w:t>9-1</w:t>
      </w:r>
      <w:r>
        <w:rPr>
          <w:rFonts w:hint="eastAsia"/>
          <w:color w:val="auto"/>
          <w:szCs w:val="21"/>
          <w:highlight w:val="none"/>
          <w:lang w:val="zh-CN"/>
        </w:rPr>
        <w:t>）管理制度</w:t>
      </w:r>
      <w:r>
        <w:rPr>
          <w:rFonts w:hint="eastAsia"/>
          <w:color w:val="auto"/>
          <w:szCs w:val="21"/>
          <w:highlight w:val="none"/>
        </w:rPr>
        <w:t>，格式见附件。</w:t>
      </w:r>
    </w:p>
    <w:p w14:paraId="38F509C6">
      <w:pPr>
        <w:spacing w:line="300" w:lineRule="exact"/>
        <w:jc w:val="left"/>
        <w:rPr>
          <w:rFonts w:hint="eastAsia" w:eastAsia="宋体"/>
          <w:color w:val="auto"/>
          <w:szCs w:val="21"/>
          <w:highlight w:val="none"/>
          <w:lang w:val="en-US" w:eastAsia="zh-CN"/>
        </w:rPr>
      </w:pPr>
      <w:r>
        <w:rPr>
          <w:rFonts w:hint="eastAsia"/>
          <w:color w:val="auto"/>
          <w:szCs w:val="21"/>
          <w:highlight w:val="none"/>
        </w:rPr>
        <w:t>（9-2）管理制度落实和工作执行情况。</w:t>
      </w:r>
    </w:p>
    <w:p w14:paraId="341E3219">
      <w:pPr>
        <w:spacing w:line="300" w:lineRule="exact"/>
        <w:jc w:val="left"/>
        <w:rPr>
          <w:color w:val="auto"/>
          <w:szCs w:val="21"/>
          <w:highlight w:val="none"/>
        </w:rPr>
      </w:pPr>
      <w:r>
        <w:rPr>
          <w:rFonts w:hint="eastAsia"/>
          <w:color w:val="auto"/>
          <w:szCs w:val="21"/>
          <w:highlight w:val="none"/>
        </w:rPr>
        <w:t>（10）快速响应服务时效。</w:t>
      </w:r>
    </w:p>
    <w:p w14:paraId="0574BFDA">
      <w:pPr>
        <w:spacing w:line="300" w:lineRule="exact"/>
        <w:jc w:val="left"/>
        <w:rPr>
          <w:color w:val="auto"/>
          <w:szCs w:val="21"/>
          <w:highlight w:val="none"/>
        </w:rPr>
      </w:pPr>
      <w:r>
        <w:rPr>
          <w:rFonts w:hint="eastAsia"/>
          <w:color w:val="auto"/>
          <w:szCs w:val="21"/>
          <w:highlight w:val="none"/>
        </w:rPr>
        <w:t>（11）实施方案。</w:t>
      </w:r>
    </w:p>
    <w:p w14:paraId="6AF0CEB5">
      <w:pPr>
        <w:spacing w:line="300" w:lineRule="exact"/>
        <w:jc w:val="left"/>
        <w:rPr>
          <w:color w:val="auto"/>
          <w:szCs w:val="21"/>
          <w:highlight w:val="none"/>
        </w:rPr>
      </w:pPr>
      <w:r>
        <w:rPr>
          <w:rFonts w:hint="eastAsia"/>
          <w:color w:val="auto"/>
          <w:szCs w:val="21"/>
          <w:highlight w:val="none"/>
        </w:rPr>
        <w:t>（12）突发事件应急处置预案。</w:t>
      </w:r>
    </w:p>
    <w:p w14:paraId="3336DEA8">
      <w:pPr>
        <w:spacing w:line="300" w:lineRule="exact"/>
        <w:jc w:val="left"/>
        <w:rPr>
          <w:rFonts w:hint="eastAsia"/>
          <w:color w:val="auto"/>
          <w:szCs w:val="21"/>
          <w:highlight w:val="none"/>
        </w:rPr>
      </w:pPr>
      <w:r>
        <w:rPr>
          <w:rFonts w:hint="eastAsia"/>
          <w:color w:val="auto"/>
          <w:szCs w:val="21"/>
          <w:highlight w:val="none"/>
        </w:rPr>
        <w:t>（13）分析报告。</w:t>
      </w:r>
    </w:p>
    <w:p w14:paraId="055FE9A9">
      <w:pPr>
        <w:spacing w:line="300" w:lineRule="exact"/>
        <w:jc w:val="lef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14</w:t>
      </w:r>
      <w:r>
        <w:rPr>
          <w:rFonts w:hint="eastAsia" w:ascii="Times New Roman" w:hAnsi="Times New Roman" w:eastAsia="宋体" w:cs="Times New Roman"/>
          <w:color w:val="auto"/>
          <w:szCs w:val="21"/>
          <w:highlight w:val="none"/>
          <w:lang w:eastAsia="zh-CN"/>
        </w:rPr>
        <w:t>）</w:t>
      </w:r>
      <w:r>
        <w:rPr>
          <w:rFonts w:hint="eastAsia" w:ascii="Times New Roman" w:hAnsi="Times New Roman" w:eastAsia="宋体" w:cs="Times New Roman"/>
          <w:color w:val="auto"/>
          <w:szCs w:val="21"/>
          <w:highlight w:val="none"/>
          <w:lang w:val="en-US" w:eastAsia="zh-CN"/>
        </w:rPr>
        <w:t>检测能力</w:t>
      </w:r>
    </w:p>
    <w:p w14:paraId="5B0891E5">
      <w:pPr>
        <w:pStyle w:val="18"/>
        <w:adjustRightInd w:val="0"/>
        <w:snapToGrid w:val="0"/>
        <w:spacing w:before="156" w:beforeLines="50"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三</w:t>
      </w:r>
      <w:r>
        <w:rPr>
          <w:rFonts w:ascii="Microsoft New Tai Lue" w:hAnsi="Microsoft New Tai Lue" w:cs="Microsoft New Tai Lue"/>
          <w:b/>
          <w:color w:val="auto"/>
          <w:highlight w:val="none"/>
        </w:rPr>
        <w:t>、其他部分</w:t>
      </w:r>
    </w:p>
    <w:p w14:paraId="72D1E73D">
      <w:pPr>
        <w:spacing w:line="300" w:lineRule="exact"/>
        <w:jc w:val="left"/>
        <w:rPr>
          <w:color w:val="auto"/>
          <w:szCs w:val="21"/>
          <w:highlight w:val="none"/>
        </w:rPr>
      </w:pPr>
      <w:r>
        <w:rPr>
          <w:color w:val="auto"/>
          <w:szCs w:val="21"/>
          <w:highlight w:val="none"/>
        </w:rPr>
        <w:t>（1）提供符合政府采购政策的证明材料</w:t>
      </w:r>
    </w:p>
    <w:p w14:paraId="79A10252">
      <w:pPr>
        <w:spacing w:line="300" w:lineRule="exact"/>
        <w:jc w:val="left"/>
        <w:rPr>
          <w:color w:val="auto"/>
          <w:szCs w:val="21"/>
          <w:highlight w:val="none"/>
        </w:rPr>
      </w:pPr>
      <w:r>
        <w:rPr>
          <w:color w:val="auto"/>
          <w:szCs w:val="21"/>
          <w:highlight w:val="none"/>
        </w:rPr>
        <w:t>（2）</w:t>
      </w:r>
      <w:r>
        <w:rPr>
          <w:rFonts w:hint="eastAsia"/>
          <w:color w:val="auto"/>
          <w:szCs w:val="21"/>
          <w:highlight w:val="none"/>
          <w:lang w:val="en-US" w:eastAsia="zh-CN"/>
        </w:rPr>
        <w:t>供应商</w:t>
      </w:r>
      <w:r>
        <w:rPr>
          <w:color w:val="auto"/>
          <w:szCs w:val="21"/>
          <w:highlight w:val="none"/>
        </w:rPr>
        <w:t>认为需提供的其他文件或证明材料</w:t>
      </w:r>
    </w:p>
    <w:p w14:paraId="30E30B09">
      <w:pPr>
        <w:spacing w:line="300" w:lineRule="exact"/>
        <w:jc w:val="left"/>
        <w:rPr>
          <w:color w:val="auto"/>
          <w:szCs w:val="21"/>
          <w:highlight w:val="none"/>
        </w:rPr>
      </w:pPr>
      <w:r>
        <w:rPr>
          <w:color w:val="auto"/>
          <w:szCs w:val="21"/>
          <w:highlight w:val="none"/>
        </w:rPr>
        <w:t>（3）要求</w:t>
      </w:r>
      <w:r>
        <w:rPr>
          <w:rFonts w:hint="eastAsia"/>
          <w:color w:val="auto"/>
          <w:szCs w:val="21"/>
          <w:highlight w:val="none"/>
          <w:lang w:val="en-US" w:eastAsia="zh-CN"/>
        </w:rPr>
        <w:t>供应商</w:t>
      </w:r>
      <w:r>
        <w:rPr>
          <w:color w:val="auto"/>
          <w:szCs w:val="21"/>
          <w:highlight w:val="none"/>
        </w:rPr>
        <w:t>提交的其他文件材料或证明材料</w:t>
      </w:r>
    </w:p>
    <w:p w14:paraId="4ED3C1ED">
      <w:pPr>
        <w:pStyle w:val="31"/>
        <w:numPr>
          <w:ilvl w:val="0"/>
          <w:numId w:val="6"/>
        </w:numPr>
        <w:spacing w:before="0" w:line="280" w:lineRule="exact"/>
        <w:rPr>
          <w:rFonts w:ascii="Microsoft New Tai Lue" w:hAnsi="Microsoft New Tai Lue" w:cs="Microsoft New Tai Lue"/>
          <w:color w:val="auto"/>
          <w:sz w:val="28"/>
          <w:szCs w:val="24"/>
          <w:highlight w:val="none"/>
        </w:rPr>
      </w:pPr>
      <w:r>
        <w:rPr>
          <w:rFonts w:ascii="Microsoft New Tai Lue" w:hAnsi="Microsoft New Tai Lue" w:cs="Microsoft New Tai Lue"/>
          <w:color w:val="auto"/>
          <w:highlight w:val="none"/>
        </w:rPr>
        <w:br w:type="page"/>
      </w:r>
      <w:bookmarkEnd w:id="270"/>
      <w:bookmarkStart w:id="272" w:name="_Toc103848582"/>
      <w:bookmarkStart w:id="273" w:name="_Toc104560897"/>
      <w:bookmarkStart w:id="274" w:name="_Toc107246274"/>
      <w:bookmarkStart w:id="275" w:name="_Toc104560893"/>
      <w:r>
        <w:rPr>
          <w:rFonts w:hint="eastAsia" w:ascii="Microsoft New Tai Lue" w:hAnsi="Microsoft New Tai Lue" w:cs="Microsoft New Tai Lue"/>
          <w:color w:val="auto"/>
          <w:sz w:val="28"/>
          <w:szCs w:val="24"/>
          <w:highlight w:val="none"/>
        </w:rPr>
        <w:t>价格</w:t>
      </w:r>
      <w:r>
        <w:rPr>
          <w:rFonts w:ascii="Microsoft New Tai Lue" w:hAnsi="Microsoft New Tai Lue" w:cs="Microsoft New Tai Lue"/>
          <w:color w:val="auto"/>
          <w:sz w:val="28"/>
          <w:szCs w:val="24"/>
          <w:highlight w:val="none"/>
        </w:rPr>
        <w:t>及商务部分</w:t>
      </w:r>
      <w:bookmarkEnd w:id="272"/>
      <w:bookmarkEnd w:id="273"/>
      <w:bookmarkEnd w:id="274"/>
    </w:p>
    <w:p w14:paraId="611C88B2">
      <w:pPr>
        <w:pStyle w:val="31"/>
        <w:spacing w:before="0"/>
        <w:rPr>
          <w:rFonts w:ascii="Microsoft New Tai Lue" w:hAnsi="Microsoft New Tai Lue" w:cs="Microsoft New Tai Lue"/>
          <w:bCs w:val="0"/>
          <w:color w:val="auto"/>
          <w:sz w:val="24"/>
          <w:szCs w:val="24"/>
          <w:highlight w:val="none"/>
        </w:rPr>
      </w:pPr>
      <w:bookmarkStart w:id="276" w:name="_Toc107246275"/>
      <w:r>
        <w:rPr>
          <w:rFonts w:hint="eastAsia" w:ascii="Microsoft New Tai Lue" w:hAnsi="Microsoft New Tai Lue" w:cs="Microsoft New Tai Lue"/>
          <w:bCs w:val="0"/>
          <w:color w:val="auto"/>
          <w:sz w:val="24"/>
          <w:szCs w:val="24"/>
          <w:highlight w:val="none"/>
        </w:rPr>
        <w:t>（1）投标函</w:t>
      </w:r>
      <w:bookmarkEnd w:id="275"/>
      <w:bookmarkEnd w:id="276"/>
    </w:p>
    <w:p w14:paraId="1EB50103">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textAlignment w:val="auto"/>
        <w:rPr>
          <w:color w:val="auto"/>
          <w:szCs w:val="21"/>
          <w:highlight w:val="none"/>
        </w:rPr>
      </w:pPr>
      <w:bookmarkStart w:id="277" w:name="_Toc103848580"/>
      <w:bookmarkStart w:id="278" w:name="_Toc96347902"/>
      <w:r>
        <w:rPr>
          <w:color w:val="auto"/>
          <w:szCs w:val="21"/>
          <w:highlight w:val="none"/>
          <w:u w:val="single"/>
        </w:rPr>
        <w:t xml:space="preserve">                      </w:t>
      </w:r>
      <w:r>
        <w:rPr>
          <w:rFonts w:hint="eastAsia"/>
          <w:color w:val="auto"/>
          <w:szCs w:val="21"/>
          <w:highlight w:val="none"/>
        </w:rPr>
        <w:t>（采购</w:t>
      </w:r>
      <w:r>
        <w:rPr>
          <w:color w:val="auto"/>
          <w:szCs w:val="21"/>
          <w:highlight w:val="none"/>
        </w:rPr>
        <w:t>人）：</w:t>
      </w:r>
    </w:p>
    <w:p w14:paraId="20F49C98">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auto"/>
          <w:szCs w:val="21"/>
          <w:highlight w:val="none"/>
        </w:rPr>
      </w:pPr>
      <w:r>
        <w:rPr>
          <w:color w:val="auto"/>
          <w:szCs w:val="21"/>
          <w:highlight w:val="none"/>
          <w:u w:val="single"/>
        </w:rPr>
        <w:t xml:space="preserve">       (</w:t>
      </w:r>
      <w:r>
        <w:rPr>
          <w:rFonts w:hint="eastAsia"/>
          <w:color w:val="auto"/>
          <w:szCs w:val="21"/>
          <w:highlight w:val="none"/>
          <w:u w:val="single"/>
        </w:rPr>
        <w:t>供应商</w:t>
      </w:r>
      <w:r>
        <w:rPr>
          <w:color w:val="auto"/>
          <w:szCs w:val="21"/>
          <w:highlight w:val="none"/>
          <w:u w:val="single"/>
        </w:rPr>
        <w:t xml:space="preserve">全称)   </w:t>
      </w:r>
      <w:r>
        <w:rPr>
          <w:color w:val="auto"/>
          <w:szCs w:val="21"/>
          <w:highlight w:val="none"/>
        </w:rPr>
        <w:t>授权</w:t>
      </w:r>
      <w:r>
        <w:rPr>
          <w:color w:val="auto"/>
          <w:szCs w:val="21"/>
          <w:highlight w:val="none"/>
          <w:u w:val="single"/>
        </w:rPr>
        <w:t xml:space="preserve">    （授权代表姓名）   （职位） </w:t>
      </w:r>
      <w:r>
        <w:rPr>
          <w:color w:val="auto"/>
          <w:szCs w:val="21"/>
          <w:highlight w:val="none"/>
        </w:rPr>
        <w:t>为全权代表，参加贵方组织的</w:t>
      </w:r>
      <w:r>
        <w:rPr>
          <w:color w:val="auto"/>
          <w:szCs w:val="21"/>
          <w:highlight w:val="none"/>
          <w:u w:val="single"/>
        </w:rPr>
        <w:t xml:space="preserve">         （项目名称、项目编号</w:t>
      </w:r>
      <w:r>
        <w:rPr>
          <w:rFonts w:hint="eastAsia"/>
          <w:color w:val="auto"/>
          <w:szCs w:val="21"/>
          <w:highlight w:val="none"/>
          <w:u w:val="single"/>
        </w:rPr>
        <w:t>、包号</w:t>
      </w:r>
      <w:r>
        <w:rPr>
          <w:color w:val="auto"/>
          <w:szCs w:val="21"/>
          <w:highlight w:val="none"/>
          <w:u w:val="single"/>
        </w:rPr>
        <w:t xml:space="preserve">）   </w:t>
      </w:r>
      <w:r>
        <w:rPr>
          <w:rFonts w:hint="eastAsia"/>
          <w:color w:val="auto"/>
          <w:szCs w:val="21"/>
          <w:highlight w:val="none"/>
        </w:rPr>
        <w:t>投标</w:t>
      </w:r>
      <w:r>
        <w:rPr>
          <w:color w:val="auto"/>
          <w:szCs w:val="21"/>
          <w:highlight w:val="none"/>
        </w:rPr>
        <w:t>的有关活动，并对此项目进行</w:t>
      </w:r>
      <w:r>
        <w:rPr>
          <w:rFonts w:hint="eastAsia"/>
          <w:color w:val="auto"/>
          <w:szCs w:val="21"/>
          <w:highlight w:val="none"/>
        </w:rPr>
        <w:t>投标</w:t>
      </w:r>
      <w:r>
        <w:rPr>
          <w:color w:val="auto"/>
          <w:szCs w:val="21"/>
          <w:highlight w:val="none"/>
        </w:rPr>
        <w:t>。</w:t>
      </w:r>
    </w:p>
    <w:p w14:paraId="63283827">
      <w:pPr>
        <w:keepNext w:val="0"/>
        <w:keepLines w:val="0"/>
        <w:pageBreakBefore w:val="0"/>
        <w:widowControl w:val="0"/>
        <w:kinsoku/>
        <w:wordWrap/>
        <w:overflowPunct/>
        <w:topLinePunct w:val="0"/>
        <w:autoSpaceDE/>
        <w:autoSpaceDN/>
        <w:bidi w:val="0"/>
        <w:adjustRightInd w:val="0"/>
        <w:snapToGrid w:val="0"/>
        <w:spacing w:line="360" w:lineRule="exact"/>
        <w:ind w:firstLine="420" w:firstLineChars="200"/>
        <w:jc w:val="left"/>
        <w:textAlignment w:val="auto"/>
        <w:rPr>
          <w:color w:val="auto"/>
          <w:szCs w:val="21"/>
          <w:highlight w:val="none"/>
        </w:rPr>
      </w:pPr>
      <w:r>
        <w:rPr>
          <w:color w:val="auto"/>
          <w:szCs w:val="21"/>
          <w:highlight w:val="none"/>
        </w:rPr>
        <w:t>为此：</w:t>
      </w:r>
    </w:p>
    <w:p w14:paraId="615C0C52">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highlight w:val="none"/>
        </w:rPr>
      </w:pPr>
      <w:r>
        <w:rPr>
          <w:rFonts w:hint="eastAsia" w:ascii="Times New Roman" w:hAnsi="Times New Roman"/>
          <w:color w:val="auto"/>
          <w:highlight w:val="none"/>
          <w:lang w:val="en-US" w:eastAsia="zh-CN"/>
        </w:rPr>
        <w:t>1</w:t>
      </w:r>
      <w:r>
        <w:rPr>
          <w:rFonts w:ascii="Times New Roman" w:hAnsi="Times New Roman"/>
          <w:color w:val="auto"/>
          <w:highlight w:val="none"/>
        </w:rPr>
        <w:t>、我方将按采购文件的规定履行全部责任和义务。</w:t>
      </w:r>
    </w:p>
    <w:p w14:paraId="235188FF">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highlight w:val="none"/>
          <w:lang w:val="en-US" w:eastAsia="zh-CN"/>
        </w:rPr>
        <w:t>2</w:t>
      </w:r>
      <w:r>
        <w:rPr>
          <w:rFonts w:ascii="Times New Roman" w:hAnsi="Times New Roman"/>
          <w:color w:val="auto"/>
          <w:highlight w:val="none"/>
        </w:rPr>
        <w:t>、我方已详细审查全部采购文件，我们完全理解并同意</w:t>
      </w:r>
      <w:r>
        <w:rPr>
          <w:rFonts w:ascii="Times New Roman" w:hAnsi="Times New Roman"/>
          <w:color w:val="auto"/>
          <w:szCs w:val="21"/>
          <w:highlight w:val="none"/>
        </w:rPr>
        <w:t>放弃对采购文件提出质疑或争议的权利。</w:t>
      </w:r>
    </w:p>
    <w:p w14:paraId="0A0164FF">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highlight w:val="none"/>
        </w:rPr>
      </w:pPr>
      <w:r>
        <w:rPr>
          <w:rFonts w:hint="eastAsia" w:ascii="Times New Roman" w:hAnsi="Times New Roman"/>
          <w:color w:val="auto"/>
          <w:szCs w:val="21"/>
          <w:highlight w:val="none"/>
          <w:lang w:val="en-US" w:eastAsia="zh-CN"/>
        </w:rPr>
        <w:t>3</w:t>
      </w:r>
      <w:r>
        <w:rPr>
          <w:rFonts w:ascii="Times New Roman" w:hAnsi="Times New Roman"/>
          <w:color w:val="auto"/>
          <w:szCs w:val="21"/>
          <w:highlight w:val="none"/>
        </w:rPr>
        <w:t>、本</w:t>
      </w:r>
      <w:r>
        <w:rPr>
          <w:rFonts w:hint="eastAsia" w:ascii="Times New Roman" w:hAnsi="Times New Roman"/>
          <w:color w:val="auto"/>
          <w:szCs w:val="21"/>
          <w:highlight w:val="none"/>
        </w:rPr>
        <w:t>投标</w:t>
      </w:r>
      <w:r>
        <w:rPr>
          <w:rFonts w:ascii="Times New Roman" w:hAnsi="Times New Roman"/>
          <w:color w:val="auto"/>
          <w:szCs w:val="21"/>
          <w:highlight w:val="none"/>
        </w:rPr>
        <w:t>有效期为自</w:t>
      </w:r>
      <w:r>
        <w:rPr>
          <w:rFonts w:hint="eastAsia" w:ascii="Times New Roman" w:hAnsi="Times New Roman"/>
          <w:color w:val="auto"/>
          <w:szCs w:val="21"/>
          <w:highlight w:val="none"/>
        </w:rPr>
        <w:t>投标</w:t>
      </w:r>
      <w:r>
        <w:rPr>
          <w:rFonts w:ascii="Times New Roman" w:hAnsi="Times New Roman"/>
          <w:color w:val="auto"/>
          <w:szCs w:val="21"/>
          <w:highlight w:val="none"/>
        </w:rPr>
        <w:t>日起</w:t>
      </w:r>
      <w:r>
        <w:rPr>
          <w:rFonts w:ascii="Times New Roman" w:hAnsi="Times New Roman"/>
          <w:color w:val="auto"/>
          <w:szCs w:val="21"/>
          <w:highlight w:val="none"/>
          <w:u w:val="single"/>
        </w:rPr>
        <w:t xml:space="preserve"> </w:t>
      </w:r>
      <w:r>
        <w:rPr>
          <w:rFonts w:hint="eastAsia" w:ascii="Times New Roman" w:hAnsi="Times New Roman"/>
          <w:color w:val="auto"/>
          <w:szCs w:val="21"/>
          <w:highlight w:val="none"/>
          <w:u w:val="single"/>
          <w:lang w:val="en-US" w:eastAsia="zh-CN"/>
        </w:rPr>
        <w:t>90</w:t>
      </w:r>
      <w:r>
        <w:rPr>
          <w:rFonts w:ascii="Times New Roman" w:hAnsi="Times New Roman"/>
          <w:color w:val="auto"/>
          <w:szCs w:val="21"/>
          <w:highlight w:val="none"/>
          <w:u w:val="single"/>
        </w:rPr>
        <w:t xml:space="preserve"> </w:t>
      </w:r>
      <w:r>
        <w:rPr>
          <w:rFonts w:ascii="Times New Roman" w:hAnsi="Times New Roman"/>
          <w:color w:val="auto"/>
          <w:szCs w:val="21"/>
          <w:highlight w:val="none"/>
        </w:rPr>
        <w:t>个日历日。</w:t>
      </w:r>
    </w:p>
    <w:p w14:paraId="728C539D">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4</w:t>
      </w:r>
      <w:r>
        <w:rPr>
          <w:rFonts w:ascii="Times New Roman" w:hAnsi="Times New Roman"/>
          <w:color w:val="auto"/>
          <w:szCs w:val="21"/>
          <w:highlight w:val="none"/>
        </w:rPr>
        <w:t>、如果在规定的提交</w:t>
      </w:r>
      <w:r>
        <w:rPr>
          <w:rFonts w:hint="eastAsia" w:ascii="Times New Roman" w:hAnsi="Times New Roman"/>
          <w:color w:val="auto"/>
          <w:szCs w:val="21"/>
          <w:highlight w:val="none"/>
        </w:rPr>
        <w:t>投标</w:t>
      </w:r>
      <w:r>
        <w:rPr>
          <w:rFonts w:ascii="Times New Roman" w:hAnsi="Times New Roman"/>
          <w:color w:val="auto"/>
          <w:szCs w:val="21"/>
          <w:highlight w:val="none"/>
        </w:rPr>
        <w:t>文件截止时间后，我方在</w:t>
      </w:r>
      <w:r>
        <w:rPr>
          <w:rFonts w:hint="eastAsia" w:ascii="Times New Roman" w:hAnsi="Times New Roman"/>
          <w:color w:val="auto"/>
          <w:szCs w:val="21"/>
          <w:highlight w:val="none"/>
        </w:rPr>
        <w:t>投标</w:t>
      </w:r>
      <w:r>
        <w:rPr>
          <w:rFonts w:ascii="Times New Roman" w:hAnsi="Times New Roman"/>
          <w:color w:val="auto"/>
          <w:szCs w:val="21"/>
          <w:highlight w:val="none"/>
        </w:rPr>
        <w:t>有效期内撤销</w:t>
      </w:r>
      <w:r>
        <w:rPr>
          <w:rFonts w:hint="eastAsia" w:ascii="Times New Roman" w:hAnsi="Times New Roman"/>
          <w:color w:val="auto"/>
          <w:szCs w:val="21"/>
          <w:highlight w:val="none"/>
        </w:rPr>
        <w:t>投标</w:t>
      </w:r>
      <w:r>
        <w:rPr>
          <w:rFonts w:ascii="Times New Roman" w:hAnsi="Times New Roman"/>
          <w:color w:val="auto"/>
          <w:szCs w:val="21"/>
          <w:highlight w:val="none"/>
        </w:rPr>
        <w:t>文件，</w:t>
      </w:r>
      <w:r>
        <w:rPr>
          <w:rFonts w:hint="eastAsia" w:ascii="Times New Roman" w:hAnsi="Times New Roman"/>
          <w:color w:val="auto"/>
          <w:szCs w:val="21"/>
          <w:highlight w:val="none"/>
        </w:rPr>
        <w:t>投标</w:t>
      </w:r>
      <w:r>
        <w:rPr>
          <w:rFonts w:ascii="Times New Roman" w:hAnsi="Times New Roman"/>
          <w:color w:val="auto"/>
          <w:szCs w:val="21"/>
          <w:highlight w:val="none"/>
        </w:rPr>
        <w:t>保证金将不予退还。</w:t>
      </w:r>
    </w:p>
    <w:p w14:paraId="0C70AB18">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5</w:t>
      </w:r>
      <w:r>
        <w:rPr>
          <w:rFonts w:ascii="Times New Roman" w:hAnsi="Times New Roman"/>
          <w:color w:val="auto"/>
          <w:szCs w:val="21"/>
          <w:highlight w:val="none"/>
        </w:rPr>
        <w:t>、我方同意贵方查询或调查我们提交的与本</w:t>
      </w:r>
      <w:r>
        <w:rPr>
          <w:rFonts w:hint="eastAsia" w:ascii="Times New Roman" w:hAnsi="Times New Roman"/>
          <w:color w:val="auto"/>
          <w:szCs w:val="21"/>
          <w:highlight w:val="none"/>
        </w:rPr>
        <w:t>投标</w:t>
      </w:r>
      <w:r>
        <w:rPr>
          <w:rFonts w:ascii="Times New Roman" w:hAnsi="Times New Roman"/>
          <w:color w:val="auto"/>
          <w:szCs w:val="21"/>
          <w:highlight w:val="none"/>
        </w:rPr>
        <w:t>文件有关的声明、文件和资料，并同意在贵方的要求下提供相关文件或证书的原件及其他相关书面材料。</w:t>
      </w:r>
    </w:p>
    <w:p w14:paraId="59607156">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6</w:t>
      </w:r>
      <w:r>
        <w:rPr>
          <w:rFonts w:ascii="Times New Roman" w:hAnsi="Times New Roman"/>
          <w:color w:val="auto"/>
          <w:szCs w:val="21"/>
          <w:highlight w:val="none"/>
        </w:rPr>
        <w:t>、我方在法律和财务上独立、合法运作并独立于采购</w:t>
      </w:r>
      <w:r>
        <w:rPr>
          <w:rFonts w:hint="eastAsia" w:ascii="Times New Roman" w:hAnsi="Times New Roman"/>
          <w:color w:val="auto"/>
          <w:szCs w:val="21"/>
          <w:highlight w:val="none"/>
        </w:rPr>
        <w:t>方</w:t>
      </w:r>
      <w:r>
        <w:rPr>
          <w:rFonts w:ascii="Times New Roman" w:hAnsi="Times New Roman"/>
          <w:color w:val="auto"/>
          <w:szCs w:val="21"/>
          <w:highlight w:val="none"/>
        </w:rPr>
        <w:t>，与采购人为本项目所委托的咨询</w:t>
      </w:r>
      <w:r>
        <w:rPr>
          <w:rFonts w:hint="eastAsia" w:ascii="Times New Roman" w:hAnsi="Times New Roman"/>
          <w:color w:val="auto"/>
          <w:szCs w:val="21"/>
          <w:highlight w:val="none"/>
        </w:rPr>
        <w:t>单位</w:t>
      </w:r>
      <w:r>
        <w:rPr>
          <w:rFonts w:ascii="Times New Roman" w:hAnsi="Times New Roman"/>
          <w:color w:val="auto"/>
          <w:szCs w:val="21"/>
          <w:highlight w:val="none"/>
        </w:rPr>
        <w:t>或其附属机构没有直接或间接的任何关联。</w:t>
      </w:r>
    </w:p>
    <w:p w14:paraId="63E8E43B">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7</w:t>
      </w:r>
      <w:r>
        <w:rPr>
          <w:rFonts w:ascii="Times New Roman" w:hAnsi="Times New Roman"/>
          <w:color w:val="auto"/>
          <w:szCs w:val="21"/>
          <w:highlight w:val="none"/>
        </w:rPr>
        <w:t>、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p>
    <w:p w14:paraId="78888C2A">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szCs w:val="21"/>
          <w:highlight w:val="none"/>
          <w:lang w:val="en-US" w:eastAsia="zh-CN"/>
        </w:rPr>
        <w:t>8</w:t>
      </w:r>
      <w:r>
        <w:rPr>
          <w:rFonts w:ascii="Times New Roman" w:hAnsi="Times New Roman"/>
          <w:color w:val="auto"/>
          <w:szCs w:val="21"/>
          <w:highlight w:val="none"/>
        </w:rPr>
        <w:t>、</w:t>
      </w:r>
      <w:r>
        <w:rPr>
          <w:rFonts w:ascii="Times New Roman" w:hAnsi="Times New Roman"/>
          <w:color w:val="auto"/>
          <w:highlight w:val="none"/>
        </w:rPr>
        <w:t>我方保证</w:t>
      </w:r>
      <w:r>
        <w:rPr>
          <w:rFonts w:hint="eastAsia" w:ascii="Times New Roman" w:hAnsi="Times New Roman"/>
          <w:color w:val="auto"/>
          <w:highlight w:val="none"/>
        </w:rPr>
        <w:t>投标</w:t>
      </w:r>
      <w:r>
        <w:rPr>
          <w:rFonts w:ascii="Times New Roman" w:hAnsi="Times New Roman"/>
          <w:color w:val="auto"/>
          <w:highlight w:val="none"/>
        </w:rPr>
        <w:t>文件所提供的全部资料真实可靠，同意提供贵方要求的与该项</w:t>
      </w:r>
      <w:r>
        <w:rPr>
          <w:rFonts w:hint="eastAsia" w:ascii="Times New Roman" w:hAnsi="Times New Roman"/>
          <w:color w:val="auto"/>
          <w:highlight w:val="none"/>
        </w:rPr>
        <w:t>投标</w:t>
      </w:r>
      <w:r>
        <w:rPr>
          <w:rFonts w:ascii="Times New Roman" w:hAnsi="Times New Roman"/>
          <w:color w:val="auto"/>
          <w:highlight w:val="none"/>
        </w:rPr>
        <w:t>有关的数据或资料，完全理解贵方不一定接受最低价的</w:t>
      </w:r>
      <w:r>
        <w:rPr>
          <w:rFonts w:hint="eastAsia" w:ascii="Times New Roman" w:hAnsi="Times New Roman"/>
          <w:color w:val="auto"/>
          <w:highlight w:val="none"/>
        </w:rPr>
        <w:t>投标</w:t>
      </w:r>
      <w:r>
        <w:rPr>
          <w:rFonts w:ascii="Times New Roman" w:hAnsi="Times New Roman"/>
          <w:color w:val="auto"/>
          <w:highlight w:val="none"/>
        </w:rPr>
        <w:t>或收到的任何</w:t>
      </w:r>
      <w:r>
        <w:rPr>
          <w:rFonts w:hint="eastAsia" w:ascii="Times New Roman" w:hAnsi="Times New Roman"/>
          <w:color w:val="auto"/>
          <w:highlight w:val="none"/>
        </w:rPr>
        <w:t>投标</w:t>
      </w:r>
      <w:r>
        <w:rPr>
          <w:rFonts w:ascii="Times New Roman" w:hAnsi="Times New Roman"/>
          <w:color w:val="auto"/>
          <w:highlight w:val="none"/>
        </w:rPr>
        <w:t>。</w:t>
      </w:r>
    </w:p>
    <w:p w14:paraId="29761435">
      <w:pPr>
        <w:pStyle w:val="29"/>
        <w:keepNext w:val="0"/>
        <w:keepLines w:val="0"/>
        <w:pageBreakBefore w:val="0"/>
        <w:widowControl w:val="0"/>
        <w:kinsoku/>
        <w:wordWrap/>
        <w:overflowPunct/>
        <w:topLinePunct w:val="0"/>
        <w:autoSpaceDE/>
        <w:autoSpaceDN/>
        <w:bidi w:val="0"/>
        <w:spacing w:after="0" w:line="360" w:lineRule="exact"/>
        <w:ind w:firstLine="420" w:firstLineChars="200"/>
        <w:jc w:val="left"/>
        <w:textAlignment w:val="auto"/>
        <w:rPr>
          <w:rFonts w:ascii="Times New Roman" w:hAnsi="Times New Roman"/>
          <w:color w:val="auto"/>
          <w:szCs w:val="21"/>
          <w:highlight w:val="none"/>
        </w:rPr>
      </w:pPr>
      <w:r>
        <w:rPr>
          <w:rFonts w:hint="eastAsia" w:ascii="Times New Roman" w:hAnsi="Times New Roman"/>
          <w:color w:val="auto"/>
          <w:highlight w:val="none"/>
          <w:lang w:val="en-US" w:eastAsia="zh-CN"/>
        </w:rPr>
        <w:t>9</w:t>
      </w:r>
      <w:r>
        <w:rPr>
          <w:rFonts w:ascii="Times New Roman" w:hAnsi="Times New Roman"/>
          <w:color w:val="auto"/>
          <w:highlight w:val="none"/>
        </w:rPr>
        <w:t>、</w:t>
      </w:r>
      <w:r>
        <w:rPr>
          <w:rFonts w:ascii="Times New Roman" w:hAnsi="Times New Roman"/>
          <w:color w:val="auto"/>
          <w:szCs w:val="21"/>
          <w:highlight w:val="none"/>
        </w:rPr>
        <w:t>与本</w:t>
      </w:r>
      <w:r>
        <w:rPr>
          <w:rFonts w:hint="eastAsia" w:ascii="Times New Roman" w:hAnsi="Times New Roman"/>
          <w:color w:val="auto"/>
          <w:szCs w:val="21"/>
          <w:highlight w:val="none"/>
        </w:rPr>
        <w:t>投标</w:t>
      </w:r>
      <w:r>
        <w:rPr>
          <w:rFonts w:ascii="Times New Roman" w:hAnsi="Times New Roman"/>
          <w:color w:val="auto"/>
          <w:szCs w:val="21"/>
          <w:highlight w:val="none"/>
        </w:rPr>
        <w:t>有关的一切往来通讯请寄：</w:t>
      </w:r>
    </w:p>
    <w:p w14:paraId="45748473">
      <w:pPr>
        <w:spacing w:line="360" w:lineRule="auto"/>
        <w:ind w:firstLine="420" w:firstLineChars="200"/>
        <w:rPr>
          <w:color w:val="auto"/>
          <w:szCs w:val="21"/>
          <w:highlight w:val="none"/>
        </w:rPr>
      </w:pPr>
    </w:p>
    <w:p w14:paraId="31F1ECED">
      <w:pPr>
        <w:spacing w:line="360" w:lineRule="auto"/>
        <w:ind w:firstLine="420" w:firstLineChars="200"/>
        <w:rPr>
          <w:color w:val="auto"/>
          <w:szCs w:val="21"/>
          <w:highlight w:val="none"/>
        </w:rPr>
      </w:pPr>
      <w:r>
        <w:rPr>
          <w:color w:val="auto"/>
          <w:szCs w:val="21"/>
          <w:highlight w:val="none"/>
        </w:rPr>
        <w:t>地址：</w:t>
      </w:r>
      <w:r>
        <w:rPr>
          <w:color w:val="auto"/>
          <w:szCs w:val="21"/>
          <w:highlight w:val="none"/>
          <w:u w:val="single"/>
        </w:rPr>
        <w:t xml:space="preserve">                            </w:t>
      </w:r>
    </w:p>
    <w:p w14:paraId="291B185D">
      <w:pPr>
        <w:spacing w:line="360" w:lineRule="auto"/>
        <w:ind w:firstLine="420" w:firstLineChars="200"/>
        <w:rPr>
          <w:color w:val="auto"/>
          <w:szCs w:val="21"/>
          <w:highlight w:val="none"/>
        </w:rPr>
      </w:pPr>
      <w:r>
        <w:rPr>
          <w:color w:val="auto"/>
          <w:szCs w:val="21"/>
          <w:highlight w:val="none"/>
        </w:rPr>
        <w:t>邮编：</w:t>
      </w:r>
      <w:r>
        <w:rPr>
          <w:color w:val="auto"/>
          <w:szCs w:val="21"/>
          <w:highlight w:val="none"/>
          <w:u w:val="single"/>
        </w:rPr>
        <w:t xml:space="preserve">                            </w:t>
      </w:r>
    </w:p>
    <w:p w14:paraId="0F828094">
      <w:pPr>
        <w:spacing w:line="360" w:lineRule="auto"/>
        <w:ind w:firstLine="420" w:firstLineChars="200"/>
        <w:rPr>
          <w:color w:val="auto"/>
          <w:szCs w:val="21"/>
          <w:highlight w:val="none"/>
        </w:rPr>
      </w:pPr>
      <w:r>
        <w:rPr>
          <w:color w:val="auto"/>
          <w:szCs w:val="21"/>
          <w:highlight w:val="none"/>
        </w:rPr>
        <w:t>联系人：</w:t>
      </w:r>
      <w:r>
        <w:rPr>
          <w:color w:val="auto"/>
          <w:szCs w:val="21"/>
          <w:highlight w:val="none"/>
          <w:u w:val="single"/>
        </w:rPr>
        <w:t xml:space="preserve">                          </w:t>
      </w:r>
    </w:p>
    <w:p w14:paraId="1C8B6A9C">
      <w:pPr>
        <w:spacing w:line="360" w:lineRule="auto"/>
        <w:ind w:firstLine="420" w:firstLineChars="200"/>
        <w:rPr>
          <w:color w:val="auto"/>
          <w:szCs w:val="21"/>
          <w:highlight w:val="none"/>
        </w:rPr>
      </w:pPr>
      <w:r>
        <w:rPr>
          <w:color w:val="auto"/>
          <w:szCs w:val="21"/>
          <w:highlight w:val="none"/>
        </w:rPr>
        <w:t>手机：</w:t>
      </w:r>
      <w:r>
        <w:rPr>
          <w:color w:val="auto"/>
          <w:szCs w:val="21"/>
          <w:highlight w:val="none"/>
          <w:u w:val="single"/>
        </w:rPr>
        <w:t xml:space="preserve">                            </w:t>
      </w:r>
    </w:p>
    <w:p w14:paraId="2B85A908">
      <w:pPr>
        <w:spacing w:line="360" w:lineRule="auto"/>
        <w:ind w:firstLine="420" w:firstLineChars="200"/>
        <w:rPr>
          <w:color w:val="auto"/>
          <w:szCs w:val="21"/>
          <w:highlight w:val="none"/>
          <w:u w:val="single"/>
        </w:rPr>
      </w:pPr>
      <w:r>
        <w:rPr>
          <w:color w:val="auto"/>
          <w:szCs w:val="21"/>
          <w:highlight w:val="none"/>
        </w:rPr>
        <w:t>邮箱：</w:t>
      </w:r>
      <w:r>
        <w:rPr>
          <w:color w:val="auto"/>
          <w:szCs w:val="21"/>
          <w:highlight w:val="none"/>
          <w:u w:val="single"/>
        </w:rPr>
        <w:t xml:space="preserve">                            </w:t>
      </w:r>
    </w:p>
    <w:p w14:paraId="41B260E3">
      <w:pPr>
        <w:spacing w:before="0" w:line="360" w:lineRule="auto"/>
        <w:ind w:firstLine="420" w:firstLineChars="200"/>
        <w:rPr>
          <w:color w:val="auto"/>
          <w:szCs w:val="21"/>
          <w:highlight w:val="none"/>
        </w:rPr>
      </w:pPr>
      <w:r>
        <w:rPr>
          <w:rFonts w:hint="eastAsia"/>
          <w:color w:val="auto"/>
          <w:szCs w:val="21"/>
          <w:highlight w:val="none"/>
          <w:lang w:val="en-US" w:eastAsia="zh-CN"/>
        </w:rPr>
        <w:t>供应商</w:t>
      </w:r>
      <w:r>
        <w:rPr>
          <w:color w:val="auto"/>
          <w:szCs w:val="21"/>
          <w:highlight w:val="none"/>
        </w:rPr>
        <w:t>名称（</w:t>
      </w:r>
      <w:r>
        <w:rPr>
          <w:rFonts w:hint="eastAsia"/>
          <w:color w:val="auto"/>
          <w:szCs w:val="21"/>
          <w:highlight w:val="none"/>
        </w:rPr>
        <w:t>加盖CA电子公章</w:t>
      </w:r>
      <w:r>
        <w:rPr>
          <w:color w:val="auto"/>
          <w:szCs w:val="21"/>
          <w:highlight w:val="none"/>
        </w:rPr>
        <w:t>）：</w:t>
      </w:r>
      <w:r>
        <w:rPr>
          <w:color w:val="auto"/>
          <w:szCs w:val="21"/>
          <w:highlight w:val="none"/>
          <w:u w:val="single"/>
        </w:rPr>
        <w:t xml:space="preserve">               </w:t>
      </w:r>
    </w:p>
    <w:p w14:paraId="733BBB27">
      <w:pPr>
        <w:spacing w:line="360" w:lineRule="auto"/>
        <w:ind w:firstLine="420" w:firstLineChars="200"/>
        <w:rPr>
          <w:color w:val="auto"/>
          <w:szCs w:val="21"/>
          <w:highlight w:val="none"/>
        </w:rPr>
      </w:pPr>
      <w:r>
        <w:rPr>
          <w:color w:val="auto"/>
          <w:szCs w:val="21"/>
          <w:highlight w:val="none"/>
        </w:rPr>
        <w:t>法定代表人（单位负责人）</w:t>
      </w:r>
    </w:p>
    <w:p w14:paraId="5587CD70">
      <w:pPr>
        <w:spacing w:line="360" w:lineRule="auto"/>
        <w:ind w:firstLine="420" w:firstLineChars="200"/>
        <w:rPr>
          <w:color w:val="auto"/>
          <w:szCs w:val="21"/>
          <w:highlight w:val="none"/>
          <w:u w:val="single"/>
        </w:rPr>
      </w:pPr>
      <w:r>
        <w:rPr>
          <w:color w:val="auto"/>
          <w:szCs w:val="21"/>
          <w:highlight w:val="none"/>
        </w:rPr>
        <w:t>或其授权代表（签字或盖章）：</w:t>
      </w:r>
      <w:r>
        <w:rPr>
          <w:color w:val="auto"/>
          <w:szCs w:val="21"/>
          <w:highlight w:val="none"/>
          <w:u w:val="single"/>
        </w:rPr>
        <w:t xml:space="preserve">           </w:t>
      </w:r>
    </w:p>
    <w:p w14:paraId="55E12EB5">
      <w:pPr>
        <w:spacing w:line="360" w:lineRule="auto"/>
        <w:ind w:firstLine="420" w:firstLineChars="200"/>
        <w:jc w:val="left"/>
        <w:rPr>
          <w:rFonts w:eastAsia="黑体"/>
          <w:b/>
          <w:color w:val="auto"/>
          <w:sz w:val="32"/>
          <w:szCs w:val="32"/>
          <w:highlight w:val="none"/>
        </w:rPr>
      </w:pP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3AC9BA9C">
      <w:pPr>
        <w:pStyle w:val="31"/>
        <w:spacing w:before="0"/>
        <w:rPr>
          <w:rFonts w:ascii="Microsoft New Tai Lue" w:hAnsi="Microsoft New Tai Lue" w:cs="Microsoft New Tai Lue"/>
          <w:bCs w:val="0"/>
          <w:color w:val="auto"/>
          <w:sz w:val="24"/>
          <w:szCs w:val="24"/>
          <w:highlight w:val="none"/>
        </w:rPr>
      </w:pPr>
      <w:r>
        <w:rPr>
          <w:color w:val="auto"/>
          <w:highlight w:val="none"/>
        </w:rPr>
        <w:br w:type="page"/>
      </w:r>
      <w:bookmarkStart w:id="279" w:name="_Toc103848583"/>
      <w:bookmarkStart w:id="280" w:name="_Toc104560898"/>
      <w:bookmarkStart w:id="281" w:name="_Toc107246276"/>
      <w:r>
        <w:rPr>
          <w:rFonts w:ascii="Microsoft New Tai Lue" w:hAnsi="Microsoft New Tai Lue" w:cs="Microsoft New Tai Lue"/>
          <w:bCs w:val="0"/>
          <w:color w:val="auto"/>
          <w:sz w:val="24"/>
          <w:szCs w:val="24"/>
          <w:highlight w:val="none"/>
        </w:rPr>
        <w:t>（2）</w:t>
      </w:r>
      <w:bookmarkEnd w:id="279"/>
      <w:bookmarkEnd w:id="280"/>
      <w:r>
        <w:rPr>
          <w:rFonts w:hint="eastAsia" w:ascii="Microsoft New Tai Lue" w:hAnsi="Microsoft New Tai Lue" w:cs="Microsoft New Tai Lue"/>
          <w:bCs w:val="0"/>
          <w:color w:val="auto"/>
          <w:sz w:val="24"/>
          <w:szCs w:val="24"/>
          <w:highlight w:val="none"/>
        </w:rPr>
        <w:t>法定代表人（单位负责人）身份证明</w:t>
      </w:r>
      <w:bookmarkEnd w:id="281"/>
    </w:p>
    <w:p w14:paraId="6808B8E1">
      <w:pPr>
        <w:pStyle w:val="13"/>
        <w:tabs>
          <w:tab w:val="left" w:pos="4228"/>
        </w:tabs>
        <w:ind w:left="1236" w:hanging="396"/>
        <w:rPr>
          <w:rFonts w:ascii="Microsoft New Tai Lue" w:hAnsi="Microsoft New Tai Lue" w:cs="Microsoft New Tai Lue"/>
          <w:color w:val="auto"/>
          <w:spacing w:val="-1"/>
          <w:highlight w:val="none"/>
        </w:rPr>
      </w:pPr>
    </w:p>
    <w:p w14:paraId="31A97125">
      <w:pPr>
        <w:pStyle w:val="13"/>
        <w:tabs>
          <w:tab w:val="left" w:pos="4228"/>
        </w:tabs>
        <w:ind w:left="1236" w:hanging="396"/>
        <w:rPr>
          <w:rFonts w:ascii="Microsoft New Tai Lue" w:hAnsi="Microsoft New Tai Lue" w:cs="Microsoft New Tai Lue"/>
          <w:color w:val="auto"/>
          <w:spacing w:val="-1"/>
          <w:highlight w:val="none"/>
        </w:rPr>
      </w:pPr>
    </w:p>
    <w:p w14:paraId="4C667760">
      <w:pPr>
        <w:pStyle w:val="13"/>
        <w:tabs>
          <w:tab w:val="left" w:pos="4228"/>
        </w:tabs>
        <w:ind w:firstLine="420" w:firstLineChars="200"/>
        <w:rPr>
          <w:rFonts w:eastAsia="Times New Roman"/>
          <w:color w:val="auto"/>
          <w:highlight w:val="none"/>
        </w:rPr>
      </w:pPr>
      <w:r>
        <w:rPr>
          <w:rFonts w:hint="eastAsia"/>
          <w:color w:val="auto"/>
          <w:szCs w:val="21"/>
          <w:highlight w:val="none"/>
          <w:lang w:val="en-US" w:eastAsia="zh-CN"/>
        </w:rPr>
        <w:t>供应商</w:t>
      </w:r>
      <w:r>
        <w:rPr>
          <w:color w:val="auto"/>
          <w:highlight w:val="none"/>
        </w:rPr>
        <w:t>名</w:t>
      </w:r>
      <w:r>
        <w:rPr>
          <w:color w:val="auto"/>
          <w:spacing w:val="-3"/>
          <w:highlight w:val="none"/>
        </w:rPr>
        <w:t>称</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11FE7D09">
      <w:pPr>
        <w:pStyle w:val="13"/>
        <w:tabs>
          <w:tab w:val="left" w:pos="2712"/>
          <w:tab w:val="left" w:pos="4183"/>
          <w:tab w:val="left" w:pos="5652"/>
          <w:tab w:val="left" w:pos="7169"/>
        </w:tabs>
        <w:spacing w:before="170"/>
        <w:ind w:firstLine="420" w:firstLineChars="200"/>
        <w:rPr>
          <w:rFonts w:eastAsia="Times New Roman"/>
          <w:color w:val="auto"/>
          <w:highlight w:val="none"/>
        </w:rPr>
      </w:pPr>
      <w:r>
        <w:rPr>
          <w:color w:val="auto"/>
          <w:highlight w:val="none"/>
        </w:rPr>
        <w:t>姓名</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性别</w:t>
      </w:r>
      <w:r>
        <w:rPr>
          <w:color w:val="auto"/>
          <w:spacing w:val="-3"/>
          <w:highlight w:val="none"/>
        </w:rPr>
        <w:t>：</w:t>
      </w:r>
      <w:r>
        <w:rPr>
          <w:color w:val="auto"/>
          <w:spacing w:val="-3"/>
          <w:highlight w:val="none"/>
          <w:u w:val="single"/>
        </w:rPr>
        <w:t xml:space="preserve"> </w:t>
      </w:r>
      <w:r>
        <w:rPr>
          <w:color w:val="auto"/>
          <w:spacing w:val="-3"/>
          <w:highlight w:val="none"/>
          <w:u w:val="single"/>
        </w:rPr>
        <w:tab/>
      </w:r>
      <w:r>
        <w:rPr>
          <w:color w:val="auto"/>
          <w:highlight w:val="none"/>
        </w:rPr>
        <w:t>年</w:t>
      </w:r>
      <w:r>
        <w:rPr>
          <w:color w:val="auto"/>
          <w:spacing w:val="-3"/>
          <w:highlight w:val="none"/>
        </w:rPr>
        <w:t>龄</w:t>
      </w:r>
      <w:r>
        <w:rPr>
          <w:color w:val="auto"/>
          <w:highlight w:val="none"/>
        </w:rPr>
        <w:t>：</w:t>
      </w:r>
      <w:r>
        <w:rPr>
          <w:color w:val="auto"/>
          <w:highlight w:val="none"/>
          <w:u w:val="single"/>
        </w:rPr>
        <w:t xml:space="preserve"> </w:t>
      </w:r>
      <w:r>
        <w:rPr>
          <w:color w:val="auto"/>
          <w:highlight w:val="none"/>
          <w:u w:val="single"/>
        </w:rPr>
        <w:tab/>
      </w:r>
      <w:r>
        <w:rPr>
          <w:color w:val="auto"/>
          <w:spacing w:val="-1"/>
          <w:highlight w:val="none"/>
        </w:rPr>
        <w:t>职</w:t>
      </w:r>
      <w:r>
        <w:rPr>
          <w:color w:val="auto"/>
          <w:spacing w:val="-3"/>
          <w:highlight w:val="none"/>
        </w:rPr>
        <w:t>务</w:t>
      </w:r>
      <w:r>
        <w:rPr>
          <w:color w:val="auto"/>
          <w:highlight w:val="none"/>
        </w:rPr>
        <w:t>：</w:t>
      </w:r>
      <w:r>
        <w:rPr>
          <w:rFonts w:eastAsia="Times New Roman"/>
          <w:color w:val="auto"/>
          <w:highlight w:val="none"/>
          <w:u w:val="single"/>
        </w:rPr>
        <w:t xml:space="preserve"> </w:t>
      </w:r>
      <w:r>
        <w:rPr>
          <w:rFonts w:eastAsia="Times New Roman"/>
          <w:color w:val="auto"/>
          <w:highlight w:val="none"/>
          <w:u w:val="single"/>
        </w:rPr>
        <w:tab/>
      </w:r>
    </w:p>
    <w:p w14:paraId="6B0F8FF8">
      <w:pPr>
        <w:pStyle w:val="13"/>
        <w:tabs>
          <w:tab w:val="left" w:pos="3132"/>
        </w:tabs>
        <w:spacing w:before="173"/>
        <w:ind w:firstLine="420" w:firstLineChars="200"/>
        <w:rPr>
          <w:color w:val="auto"/>
          <w:highlight w:val="none"/>
        </w:rPr>
      </w:pPr>
      <w:r>
        <w:rPr>
          <w:color w:val="auto"/>
          <w:highlight w:val="none"/>
        </w:rPr>
        <w:t>系</w:t>
      </w:r>
      <w:r>
        <w:rPr>
          <w:color w:val="auto"/>
          <w:highlight w:val="none"/>
          <w:u w:val="single"/>
        </w:rPr>
        <w:t xml:space="preserve"> </w:t>
      </w:r>
      <w:r>
        <w:rPr>
          <w:color w:val="auto"/>
          <w:highlight w:val="none"/>
          <w:u w:val="single"/>
        </w:rPr>
        <w:tab/>
      </w:r>
      <w:r>
        <w:rPr>
          <w:color w:val="auto"/>
          <w:spacing w:val="-3"/>
          <w:highlight w:val="none"/>
        </w:rPr>
        <w:t>（</w:t>
      </w:r>
      <w:r>
        <w:rPr>
          <w:rFonts w:hint="eastAsia"/>
          <w:color w:val="auto"/>
          <w:szCs w:val="21"/>
          <w:highlight w:val="none"/>
          <w:lang w:val="en-US" w:eastAsia="zh-CN"/>
        </w:rPr>
        <w:t>供应商</w:t>
      </w:r>
      <w:r>
        <w:rPr>
          <w:color w:val="auto"/>
          <w:spacing w:val="-3"/>
          <w:highlight w:val="none"/>
        </w:rPr>
        <w:t>名</w:t>
      </w:r>
      <w:r>
        <w:rPr>
          <w:color w:val="auto"/>
          <w:highlight w:val="none"/>
        </w:rPr>
        <w:t>称</w:t>
      </w:r>
      <w:r>
        <w:rPr>
          <w:color w:val="auto"/>
          <w:spacing w:val="-3"/>
          <w:highlight w:val="none"/>
        </w:rPr>
        <w:t>）</w:t>
      </w:r>
      <w:r>
        <w:rPr>
          <w:color w:val="auto"/>
          <w:highlight w:val="none"/>
        </w:rPr>
        <w:t>的</w:t>
      </w:r>
      <w:r>
        <w:rPr>
          <w:color w:val="auto"/>
          <w:spacing w:val="-3"/>
          <w:highlight w:val="none"/>
        </w:rPr>
        <w:t>法定</w:t>
      </w:r>
      <w:r>
        <w:rPr>
          <w:color w:val="auto"/>
          <w:highlight w:val="none"/>
        </w:rPr>
        <w:t>代表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w:t>
      </w:r>
      <w:r>
        <w:rPr>
          <w:rFonts w:hint="eastAsia"/>
          <w:color w:val="auto"/>
          <w:spacing w:val="-3"/>
          <w:highlight w:val="none"/>
        </w:rPr>
        <w:t>人</w:t>
      </w:r>
      <w:r>
        <w:rPr>
          <w:color w:val="auto"/>
          <w:spacing w:val="-3"/>
          <w:highlight w:val="none"/>
        </w:rPr>
        <w:t>）。</w:t>
      </w:r>
    </w:p>
    <w:p w14:paraId="4F1304CB">
      <w:pPr>
        <w:pStyle w:val="13"/>
        <w:spacing w:before="170"/>
        <w:ind w:firstLine="420" w:firstLineChars="200"/>
        <w:rPr>
          <w:color w:val="auto"/>
          <w:highlight w:val="none"/>
        </w:rPr>
      </w:pPr>
      <w:r>
        <w:rPr>
          <w:color w:val="auto"/>
          <w:highlight w:val="none"/>
        </w:rPr>
        <w:t>特此证明。</w:t>
      </w:r>
    </w:p>
    <w:p w14:paraId="27ABC893">
      <w:pPr>
        <w:pStyle w:val="13"/>
        <w:ind w:left="1260"/>
        <w:rPr>
          <w:color w:val="auto"/>
          <w:sz w:val="20"/>
          <w:highlight w:val="none"/>
        </w:rPr>
      </w:pPr>
    </w:p>
    <w:p w14:paraId="043A674E">
      <w:pPr>
        <w:pStyle w:val="13"/>
        <w:spacing w:before="10"/>
        <w:ind w:left="1260"/>
        <w:rPr>
          <w:color w:val="auto"/>
          <w:sz w:val="27"/>
          <w:highlight w:val="none"/>
        </w:rPr>
      </w:pPr>
    </w:p>
    <w:p w14:paraId="5D921A5B">
      <w:pPr>
        <w:spacing w:line="480" w:lineRule="auto"/>
        <w:ind w:firstLine="420" w:firstLineChars="200"/>
        <w:rPr>
          <w:rFonts w:ascii="Microsoft New Tai Lue" w:hAnsi="Microsoft New Tai Lue" w:cs="Microsoft New Tai Lue"/>
          <w:color w:val="auto"/>
          <w:highlight w:val="none"/>
        </w:rPr>
      </w:pPr>
      <w:r>
        <w:rPr>
          <w:rFonts w:hint="eastAsia"/>
          <w:color w:val="auto"/>
          <w:szCs w:val="21"/>
          <w:highlight w:val="none"/>
          <w:lang w:val="en-US" w:eastAsia="zh-CN"/>
        </w:rPr>
        <w:t>附：</w:t>
      </w:r>
      <w:r>
        <w:rPr>
          <w:rFonts w:hint="eastAsia"/>
          <w:color w:val="auto"/>
          <w:szCs w:val="21"/>
          <w:highlight w:val="none"/>
        </w:rPr>
        <w:t>法定代表人（单位负责人）有效期内的</w:t>
      </w:r>
      <w:r>
        <w:rPr>
          <w:rFonts w:ascii="Microsoft New Tai Lue" w:hAnsi="Microsoft New Tai Lue" w:cs="Microsoft New Tai Lue"/>
          <w:color w:val="auto"/>
          <w:highlight w:val="none"/>
        </w:rPr>
        <w:t>身份证复印件（正反面）</w:t>
      </w:r>
    </w:p>
    <w:tbl>
      <w:tblPr>
        <w:tblStyle w:val="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0134B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41DE2600">
            <w:pPr>
              <w:pStyle w:val="13"/>
              <w:spacing w:line="300" w:lineRule="exact"/>
              <w:jc w:val="center"/>
              <w:rPr>
                <w:i/>
                <w:color w:val="auto"/>
                <w:sz w:val="20"/>
                <w:highlight w:val="none"/>
              </w:rPr>
            </w:pPr>
            <w:r>
              <w:rPr>
                <w:i/>
                <w:color w:val="auto"/>
                <w:sz w:val="24"/>
                <w:highlight w:val="none"/>
              </w:rPr>
              <w:t>身份证正面</w:t>
            </w:r>
          </w:p>
        </w:tc>
        <w:tc>
          <w:tcPr>
            <w:tcW w:w="284" w:type="dxa"/>
            <w:tcBorders>
              <w:top w:val="nil"/>
              <w:bottom w:val="nil"/>
            </w:tcBorders>
          </w:tcPr>
          <w:p w14:paraId="43088F15">
            <w:pPr>
              <w:widowControl/>
              <w:spacing w:line="300" w:lineRule="exact"/>
              <w:jc w:val="left"/>
              <w:rPr>
                <w:color w:val="auto"/>
                <w:sz w:val="20"/>
                <w:highlight w:val="none"/>
              </w:rPr>
            </w:pPr>
          </w:p>
        </w:tc>
        <w:tc>
          <w:tcPr>
            <w:tcW w:w="4677" w:type="dxa"/>
            <w:vAlign w:val="center"/>
          </w:tcPr>
          <w:p w14:paraId="031AA484">
            <w:pPr>
              <w:widowControl/>
              <w:spacing w:line="300" w:lineRule="exact"/>
              <w:jc w:val="center"/>
              <w:rPr>
                <w:color w:val="auto"/>
                <w:sz w:val="20"/>
                <w:highlight w:val="none"/>
              </w:rPr>
            </w:pPr>
            <w:r>
              <w:rPr>
                <w:i/>
                <w:color w:val="auto"/>
                <w:sz w:val="24"/>
                <w:highlight w:val="none"/>
              </w:rPr>
              <w:t>身份证反面</w:t>
            </w:r>
          </w:p>
        </w:tc>
      </w:tr>
    </w:tbl>
    <w:p w14:paraId="450D47CD">
      <w:pPr>
        <w:pStyle w:val="13"/>
        <w:rPr>
          <w:color w:val="auto"/>
          <w:sz w:val="20"/>
          <w:highlight w:val="none"/>
        </w:rPr>
      </w:pPr>
    </w:p>
    <w:p w14:paraId="05192BE5">
      <w:pPr>
        <w:pStyle w:val="13"/>
        <w:rPr>
          <w:color w:val="auto"/>
          <w:sz w:val="20"/>
          <w:highlight w:val="none"/>
        </w:rPr>
      </w:pPr>
    </w:p>
    <w:p w14:paraId="31B5A4DE">
      <w:pPr>
        <w:pStyle w:val="13"/>
        <w:ind w:left="1260"/>
        <w:rPr>
          <w:color w:val="auto"/>
          <w:sz w:val="20"/>
          <w:highlight w:val="none"/>
        </w:rPr>
      </w:pPr>
    </w:p>
    <w:p w14:paraId="2082A6BA">
      <w:pPr>
        <w:pStyle w:val="13"/>
        <w:spacing w:before="1"/>
        <w:ind w:left="1260"/>
        <w:rPr>
          <w:color w:val="auto"/>
          <w:sz w:val="22"/>
          <w:highlight w:val="none"/>
        </w:rPr>
      </w:pPr>
    </w:p>
    <w:p w14:paraId="4F42EB63">
      <w:pPr>
        <w:pStyle w:val="13"/>
        <w:tabs>
          <w:tab w:val="left" w:pos="7977"/>
        </w:tabs>
        <w:ind w:left="1260" w:firstLine="3060" w:firstLineChars="1500"/>
        <w:rPr>
          <w:color w:val="auto"/>
          <w:highlight w:val="none"/>
        </w:rPr>
      </w:pPr>
      <w:r>
        <w:rPr>
          <w:rFonts w:hint="eastAsia"/>
          <w:color w:val="auto"/>
          <w:spacing w:val="-3"/>
          <w:highlight w:val="none"/>
        </w:rPr>
        <w:t>供应商</w:t>
      </w:r>
      <w:r>
        <w:rPr>
          <w:color w:val="auto"/>
          <w:spacing w:val="-3"/>
          <w:highlight w:val="none"/>
        </w:rPr>
        <w:t>名称（</w:t>
      </w:r>
      <w:r>
        <w:rPr>
          <w:rFonts w:hint="eastAsia"/>
          <w:color w:val="auto"/>
          <w:spacing w:val="-3"/>
          <w:highlight w:val="none"/>
        </w:rPr>
        <w:t>加盖CA电子公章</w:t>
      </w:r>
      <w:r>
        <w:rPr>
          <w:color w:val="auto"/>
          <w:spacing w:val="-3"/>
          <w:highlight w:val="none"/>
        </w:rPr>
        <w:t>）</w:t>
      </w:r>
      <w:r>
        <w:rPr>
          <w:color w:val="auto"/>
          <w:highlight w:val="none"/>
        </w:rPr>
        <w:t>：</w:t>
      </w:r>
      <w:r>
        <w:rPr>
          <w:color w:val="auto"/>
          <w:highlight w:val="none"/>
          <w:u w:val="single"/>
        </w:rPr>
        <w:t xml:space="preserve"> </w:t>
      </w:r>
      <w:r>
        <w:rPr>
          <w:color w:val="auto"/>
          <w:highlight w:val="none"/>
          <w:u w:val="single"/>
        </w:rPr>
        <w:tab/>
      </w:r>
    </w:p>
    <w:p w14:paraId="554D092F">
      <w:pPr>
        <w:rPr>
          <w:rFonts w:eastAsia="黑体"/>
          <w:b/>
          <w:color w:val="auto"/>
          <w:sz w:val="32"/>
          <w:szCs w:val="32"/>
          <w:highlight w:val="none"/>
        </w:rPr>
      </w:pPr>
      <w:r>
        <w:rPr>
          <w:color w:val="auto"/>
          <w:spacing w:val="-3"/>
          <w:highlight w:val="none"/>
        </w:rPr>
        <w:t xml:space="preserve">                                            </w:t>
      </w:r>
      <w:r>
        <w:rPr>
          <w:bCs/>
          <w:color w:val="auto"/>
          <w:highlight w:val="none"/>
        </w:rPr>
        <w:t>日期：______年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07663036">
      <w:pPr>
        <w:pStyle w:val="31"/>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r>
      <w:bookmarkStart w:id="282" w:name="_Toc104560899"/>
      <w:bookmarkStart w:id="283" w:name="_Toc103848584"/>
      <w:bookmarkStart w:id="284" w:name="_Toc107246277"/>
      <w:r>
        <w:rPr>
          <w:rFonts w:ascii="Microsoft New Tai Lue" w:hAnsi="Microsoft New Tai Lue" w:cs="Microsoft New Tai Lue"/>
          <w:bCs w:val="0"/>
          <w:color w:val="auto"/>
          <w:sz w:val="24"/>
          <w:szCs w:val="24"/>
          <w:highlight w:val="none"/>
        </w:rPr>
        <w:t>（3）法定代表人</w:t>
      </w:r>
      <w:r>
        <w:rPr>
          <w:rFonts w:hint="eastAsia" w:ascii="Microsoft New Tai Lue" w:hAnsi="Microsoft New Tai Lue" w:cs="Microsoft New Tai Lue"/>
          <w:bCs w:val="0"/>
          <w:color w:val="auto"/>
          <w:sz w:val="24"/>
          <w:szCs w:val="24"/>
          <w:highlight w:val="none"/>
        </w:rPr>
        <w:t>（单位负责人）</w:t>
      </w:r>
      <w:r>
        <w:rPr>
          <w:rFonts w:ascii="Microsoft New Tai Lue" w:hAnsi="Microsoft New Tai Lue" w:cs="Microsoft New Tai Lue"/>
          <w:bCs w:val="0"/>
          <w:color w:val="auto"/>
          <w:sz w:val="24"/>
          <w:szCs w:val="24"/>
          <w:highlight w:val="none"/>
        </w:rPr>
        <w:t>授权委托书</w:t>
      </w:r>
      <w:bookmarkEnd w:id="282"/>
      <w:bookmarkEnd w:id="283"/>
      <w:bookmarkEnd w:id="284"/>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适用于法人/非法人</w:t>
      </w:r>
      <w:r>
        <w:rPr>
          <w:rFonts w:hint="eastAsia" w:ascii="Microsoft New Tai Lue" w:hAnsi="Microsoft New Tai Lue" w:cs="Microsoft New Tai Lue"/>
          <w:bCs w:val="0"/>
          <w:color w:val="auto"/>
          <w:sz w:val="24"/>
          <w:szCs w:val="24"/>
          <w:highlight w:val="none"/>
        </w:rPr>
        <w:t>）</w:t>
      </w:r>
    </w:p>
    <w:p w14:paraId="76543CD0">
      <w:pPr>
        <w:jc w:val="center"/>
        <w:rPr>
          <w:b/>
          <w:bCs/>
          <w:color w:val="auto"/>
          <w:sz w:val="24"/>
          <w:highlight w:val="none"/>
        </w:rPr>
      </w:pPr>
    </w:p>
    <w:p w14:paraId="18ADF66B">
      <w:pPr>
        <w:spacing w:line="300" w:lineRule="exact"/>
        <w:ind w:firstLine="420" w:firstLineChars="200"/>
        <w:rPr>
          <w:color w:val="auto"/>
          <w:szCs w:val="21"/>
          <w:highlight w:val="none"/>
        </w:rPr>
      </w:pPr>
      <w:r>
        <w:rPr>
          <w:color w:val="auto"/>
          <w:szCs w:val="21"/>
          <w:highlight w:val="none"/>
        </w:rPr>
        <w:t>本授权书声明：注册于</w:t>
      </w:r>
      <w:r>
        <w:rPr>
          <w:color w:val="auto"/>
          <w:szCs w:val="21"/>
          <w:highlight w:val="none"/>
          <w:u w:val="single"/>
        </w:rPr>
        <w:t>（国家或地区的名称）</w:t>
      </w:r>
      <w:r>
        <w:rPr>
          <w:color w:val="auto"/>
          <w:szCs w:val="21"/>
          <w:highlight w:val="none"/>
        </w:rPr>
        <w:t>的</w:t>
      </w:r>
      <w:r>
        <w:rPr>
          <w:color w:val="auto"/>
          <w:szCs w:val="21"/>
          <w:highlight w:val="none"/>
          <w:u w:val="single"/>
        </w:rPr>
        <w:t xml:space="preserve">         （</w:t>
      </w:r>
      <w:r>
        <w:rPr>
          <w:rFonts w:hint="eastAsia"/>
          <w:color w:val="auto"/>
          <w:szCs w:val="21"/>
          <w:highlight w:val="none"/>
          <w:u w:val="single"/>
        </w:rPr>
        <w:t>单位</w:t>
      </w:r>
      <w:r>
        <w:rPr>
          <w:color w:val="auto"/>
          <w:szCs w:val="21"/>
          <w:highlight w:val="none"/>
          <w:u w:val="single"/>
        </w:rPr>
        <w:t xml:space="preserve">名称）      </w:t>
      </w:r>
      <w:r>
        <w:rPr>
          <w:color w:val="auto"/>
          <w:szCs w:val="21"/>
          <w:highlight w:val="none"/>
        </w:rPr>
        <w:t>的在法定代表人（签字或盖章）处签字的</w:t>
      </w:r>
      <w:r>
        <w:rPr>
          <w:color w:val="auto"/>
          <w:szCs w:val="21"/>
          <w:highlight w:val="none"/>
          <w:u w:val="single"/>
        </w:rPr>
        <w:t xml:space="preserve">   （法定代表人姓名、职务）   </w:t>
      </w:r>
      <w:r>
        <w:rPr>
          <w:color w:val="auto"/>
          <w:szCs w:val="21"/>
          <w:highlight w:val="none"/>
        </w:rPr>
        <w:t>代表本</w:t>
      </w:r>
      <w:r>
        <w:rPr>
          <w:rFonts w:hint="eastAsia"/>
          <w:color w:val="auto"/>
          <w:szCs w:val="21"/>
          <w:highlight w:val="none"/>
        </w:rPr>
        <w:t>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的在授权代表（签字）处签字的</w:t>
      </w:r>
      <w:r>
        <w:rPr>
          <w:color w:val="auto"/>
          <w:szCs w:val="21"/>
          <w:highlight w:val="none"/>
          <w:u w:val="single"/>
        </w:rPr>
        <w:t>（授权代表的姓名、职务）（身份证号码：             ）</w:t>
      </w:r>
      <w:r>
        <w:rPr>
          <w:color w:val="auto"/>
          <w:szCs w:val="21"/>
          <w:highlight w:val="none"/>
        </w:rPr>
        <w:t>为本</w:t>
      </w:r>
      <w:r>
        <w:rPr>
          <w:rFonts w:hint="eastAsia"/>
          <w:color w:val="auto"/>
          <w:szCs w:val="21"/>
          <w:highlight w:val="none"/>
        </w:rPr>
        <w:t>单位</w:t>
      </w:r>
      <w:r>
        <w:rPr>
          <w:color w:val="auto"/>
          <w:szCs w:val="21"/>
          <w:highlight w:val="none"/>
        </w:rPr>
        <w:t>的合法代理人，就</w:t>
      </w:r>
      <w:r>
        <w:rPr>
          <w:color w:val="auto"/>
          <w:szCs w:val="21"/>
          <w:highlight w:val="none"/>
          <w:u w:val="single"/>
        </w:rPr>
        <w:t xml:space="preserve">        （项目名称、项目编号</w:t>
      </w:r>
      <w:r>
        <w:rPr>
          <w:rFonts w:hint="eastAsia"/>
          <w:color w:val="auto"/>
          <w:szCs w:val="21"/>
          <w:highlight w:val="none"/>
          <w:u w:val="single"/>
        </w:rPr>
        <w:t>、包号</w:t>
      </w:r>
      <w:r>
        <w:rPr>
          <w:color w:val="auto"/>
          <w:szCs w:val="21"/>
          <w:highlight w:val="none"/>
          <w:u w:val="single"/>
        </w:rPr>
        <w:t xml:space="preserve">）         </w:t>
      </w:r>
      <w:r>
        <w:rPr>
          <w:color w:val="auto"/>
          <w:szCs w:val="21"/>
          <w:highlight w:val="none"/>
        </w:rPr>
        <w:t>，以本</w:t>
      </w:r>
      <w:r>
        <w:rPr>
          <w:rFonts w:hint="eastAsia"/>
          <w:color w:val="auto"/>
          <w:szCs w:val="21"/>
          <w:highlight w:val="none"/>
        </w:rPr>
        <w:t>单位</w:t>
      </w:r>
      <w:r>
        <w:rPr>
          <w:color w:val="auto"/>
          <w:szCs w:val="21"/>
          <w:highlight w:val="none"/>
        </w:rPr>
        <w:t>名义处理一切与之相关的事务，其后果由我</w:t>
      </w:r>
      <w:r>
        <w:rPr>
          <w:rFonts w:hint="eastAsia"/>
          <w:color w:val="auto"/>
          <w:szCs w:val="21"/>
          <w:highlight w:val="none"/>
        </w:rPr>
        <w:t>单位</w:t>
      </w:r>
      <w:r>
        <w:rPr>
          <w:color w:val="auto"/>
          <w:szCs w:val="21"/>
          <w:highlight w:val="none"/>
        </w:rPr>
        <w:t>承担。</w:t>
      </w:r>
    </w:p>
    <w:p w14:paraId="64D32E47">
      <w:pPr>
        <w:spacing w:line="300" w:lineRule="exact"/>
        <w:ind w:firstLine="420" w:firstLineChars="20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代理人无转委托权，特此委托。</w:t>
      </w:r>
    </w:p>
    <w:p w14:paraId="14A3379B">
      <w:pPr>
        <w:spacing w:line="300" w:lineRule="exact"/>
        <w:ind w:firstLine="420" w:firstLineChars="200"/>
        <w:rPr>
          <w:color w:val="auto"/>
          <w:szCs w:val="21"/>
          <w:highlight w:val="none"/>
        </w:rPr>
      </w:pPr>
      <w:r>
        <w:rPr>
          <w:rFonts w:hint="eastAsia"/>
          <w:color w:val="auto"/>
          <w:szCs w:val="21"/>
          <w:highlight w:val="none"/>
        </w:rPr>
        <w:t>委托期限：自本授权委托书签署之日起至投标有效期届满之日止。</w:t>
      </w:r>
    </w:p>
    <w:p w14:paraId="5498F8AB">
      <w:pPr>
        <w:spacing w:line="300" w:lineRule="exact"/>
        <w:ind w:firstLine="420" w:firstLineChars="200"/>
        <w:rPr>
          <w:color w:val="auto"/>
          <w:szCs w:val="21"/>
          <w:highlight w:val="none"/>
        </w:rPr>
      </w:pPr>
      <w:r>
        <w:rPr>
          <w:rFonts w:hint="eastAsia"/>
          <w:color w:val="auto"/>
          <w:szCs w:val="21"/>
          <w:highlight w:val="none"/>
        </w:rPr>
        <w:t>供应商</w:t>
      </w:r>
      <w:r>
        <w:rPr>
          <w:color w:val="auto"/>
          <w:szCs w:val="21"/>
          <w:highlight w:val="none"/>
        </w:rPr>
        <w:t>名称（</w:t>
      </w:r>
      <w:r>
        <w:rPr>
          <w:rFonts w:hint="eastAsia"/>
          <w:color w:val="auto"/>
          <w:szCs w:val="21"/>
          <w:highlight w:val="none"/>
        </w:rPr>
        <w:t>加盖CA电子公章</w:t>
      </w:r>
      <w:r>
        <w:rPr>
          <w:color w:val="auto"/>
          <w:szCs w:val="21"/>
          <w:highlight w:val="none"/>
        </w:rPr>
        <w:t xml:space="preserve">）：  </w:t>
      </w:r>
      <w:r>
        <w:rPr>
          <w:color w:val="auto"/>
          <w:szCs w:val="21"/>
          <w:highlight w:val="none"/>
          <w:u w:val="single"/>
        </w:rPr>
        <w:t xml:space="preserve">                          </w:t>
      </w:r>
    </w:p>
    <w:p w14:paraId="0B889D47">
      <w:pPr>
        <w:spacing w:line="300" w:lineRule="exact"/>
        <w:ind w:firstLine="420" w:firstLineChars="200"/>
        <w:rPr>
          <w:color w:val="auto"/>
          <w:szCs w:val="21"/>
          <w:highlight w:val="none"/>
          <w:u w:val="single"/>
        </w:rPr>
      </w:pPr>
      <w:r>
        <w:rPr>
          <w:color w:val="auto"/>
          <w:szCs w:val="21"/>
          <w:highlight w:val="none"/>
        </w:rPr>
        <w:t xml:space="preserve">法定代表人（签字或盖章）： </w:t>
      </w:r>
      <w:r>
        <w:rPr>
          <w:color w:val="auto"/>
          <w:szCs w:val="21"/>
          <w:highlight w:val="none"/>
          <w:u w:val="single"/>
        </w:rPr>
        <w:t xml:space="preserve">                     </w:t>
      </w:r>
    </w:p>
    <w:p w14:paraId="13066884">
      <w:pPr>
        <w:pStyle w:val="29"/>
        <w:spacing w:after="0" w:line="300" w:lineRule="exact"/>
        <w:ind w:firstLine="420" w:firstLineChars="200"/>
        <w:rPr>
          <w:rFonts w:ascii="Times New Roman" w:hAnsi="Times New Roman"/>
          <w:color w:val="auto"/>
          <w:highlight w:val="none"/>
        </w:rPr>
      </w:pPr>
      <w:r>
        <w:rPr>
          <w:rFonts w:ascii="Times New Roman" w:hAnsi="Times New Roman"/>
          <w:color w:val="auto"/>
          <w:szCs w:val="21"/>
          <w:highlight w:val="none"/>
        </w:rPr>
        <w:t xml:space="preserve">身份证号码：  </w:t>
      </w:r>
      <w:r>
        <w:rPr>
          <w:rFonts w:ascii="Times New Roman" w:hAnsi="Times New Roman"/>
          <w:color w:val="auto"/>
          <w:szCs w:val="21"/>
          <w:highlight w:val="none"/>
          <w:u w:val="single"/>
        </w:rPr>
        <w:t xml:space="preserve">                                 </w:t>
      </w:r>
    </w:p>
    <w:p w14:paraId="77E43A82">
      <w:pPr>
        <w:spacing w:line="300" w:lineRule="exact"/>
        <w:ind w:firstLine="420" w:firstLineChars="200"/>
        <w:rPr>
          <w:color w:val="auto"/>
          <w:szCs w:val="21"/>
          <w:highlight w:val="none"/>
          <w:u w:val="single"/>
        </w:rPr>
      </w:pPr>
      <w:r>
        <w:rPr>
          <w:color w:val="auto"/>
          <w:szCs w:val="21"/>
          <w:highlight w:val="none"/>
        </w:rPr>
        <w:t>授权代表（签字）：</w:t>
      </w:r>
      <w:r>
        <w:rPr>
          <w:color w:val="auto"/>
          <w:szCs w:val="21"/>
          <w:highlight w:val="none"/>
          <w:u w:val="single"/>
        </w:rPr>
        <w:t xml:space="preserve">                            </w:t>
      </w:r>
    </w:p>
    <w:p w14:paraId="09A59407">
      <w:pPr>
        <w:pStyle w:val="29"/>
        <w:spacing w:after="0" w:line="300" w:lineRule="exact"/>
        <w:ind w:firstLine="420" w:firstLineChars="200"/>
        <w:rPr>
          <w:rFonts w:ascii="Times New Roman" w:hAnsi="Times New Roman"/>
          <w:color w:val="auto"/>
          <w:highlight w:val="none"/>
        </w:rPr>
      </w:pPr>
      <w:r>
        <w:rPr>
          <w:rFonts w:ascii="Times New Roman" w:hAnsi="Times New Roman"/>
          <w:color w:val="auto"/>
          <w:szCs w:val="21"/>
          <w:highlight w:val="none"/>
        </w:rPr>
        <w:t>身份证号码：</w:t>
      </w:r>
      <w:r>
        <w:rPr>
          <w:rFonts w:ascii="Times New Roman" w:hAnsi="Times New Roman"/>
          <w:color w:val="auto"/>
          <w:szCs w:val="21"/>
          <w:highlight w:val="none"/>
          <w:u w:val="single"/>
        </w:rPr>
        <w:t xml:space="preserve">                                   </w:t>
      </w:r>
    </w:p>
    <w:p w14:paraId="302C7B54">
      <w:pPr>
        <w:pStyle w:val="29"/>
        <w:spacing w:after="0" w:line="300" w:lineRule="exact"/>
        <w:ind w:firstLine="420" w:firstLineChars="200"/>
        <w:rPr>
          <w:rFonts w:ascii="Times New Roman" w:hAnsi="Times New Roman"/>
          <w:color w:val="auto"/>
          <w:highlight w:val="none"/>
        </w:rPr>
      </w:pPr>
      <w:r>
        <w:rPr>
          <w:rFonts w:hint="eastAsia" w:ascii="Times New Roman" w:hAnsi="Times New Roman"/>
          <w:color w:val="auto"/>
          <w:highlight w:val="none"/>
        </w:rPr>
        <w:t>日期：</w:t>
      </w:r>
      <w:r>
        <w:rPr>
          <w:rFonts w:hint="eastAsia" w:ascii="Times New Roman" w:hAnsi="Times New Roman"/>
          <w:color w:val="auto"/>
          <w:highlight w:val="none"/>
          <w:u w:val="single"/>
        </w:rPr>
        <w:t xml:space="preserve">                                        </w:t>
      </w:r>
      <w:r>
        <w:rPr>
          <w:rFonts w:hint="eastAsia" w:ascii="Times New Roman" w:hAnsi="Times New Roman"/>
          <w:color w:val="auto"/>
          <w:highlight w:val="none"/>
        </w:rPr>
        <w:t xml:space="preserve">   </w:t>
      </w:r>
    </w:p>
    <w:p w14:paraId="3584147E">
      <w:pPr>
        <w:spacing w:line="480" w:lineRule="auto"/>
        <w:rPr>
          <w:rFonts w:ascii="Microsoft New Tai Lue" w:hAnsi="Microsoft New Tai Lue" w:cs="Microsoft New Tai Lue"/>
          <w:color w:val="auto"/>
          <w:highlight w:val="none"/>
        </w:rPr>
      </w:pPr>
      <w:r>
        <w:rPr>
          <w:rFonts w:hint="eastAsia"/>
          <w:color w:val="auto"/>
          <w:szCs w:val="21"/>
          <w:highlight w:val="none"/>
        </w:rPr>
        <w:t>附：法定代表人（单位负责人）有效期内的</w:t>
      </w:r>
      <w:r>
        <w:rPr>
          <w:rFonts w:ascii="Microsoft New Tai Lue" w:hAnsi="Microsoft New Tai Lue" w:cs="Microsoft New Tai Lue"/>
          <w:color w:val="auto"/>
          <w:highlight w:val="none"/>
        </w:rPr>
        <w:t>身份证复印件（正反面）</w:t>
      </w:r>
    </w:p>
    <w:tbl>
      <w:tblPr>
        <w:tblStyle w:val="3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84"/>
        <w:gridCol w:w="4677"/>
      </w:tblGrid>
      <w:tr w14:paraId="59958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8" w:hRule="atLeast"/>
        </w:trPr>
        <w:tc>
          <w:tcPr>
            <w:tcW w:w="4678" w:type="dxa"/>
            <w:vAlign w:val="center"/>
          </w:tcPr>
          <w:p w14:paraId="2712EA7C">
            <w:pPr>
              <w:pStyle w:val="13"/>
              <w:spacing w:line="300" w:lineRule="exact"/>
              <w:jc w:val="center"/>
              <w:rPr>
                <w:i/>
                <w:color w:val="auto"/>
                <w:sz w:val="20"/>
                <w:highlight w:val="none"/>
              </w:rPr>
            </w:pPr>
            <w:r>
              <w:rPr>
                <w:i/>
                <w:color w:val="auto"/>
                <w:sz w:val="24"/>
                <w:highlight w:val="none"/>
              </w:rPr>
              <w:t>身份证正面</w:t>
            </w:r>
          </w:p>
        </w:tc>
        <w:tc>
          <w:tcPr>
            <w:tcW w:w="284" w:type="dxa"/>
            <w:tcBorders>
              <w:top w:val="nil"/>
              <w:bottom w:val="nil"/>
            </w:tcBorders>
          </w:tcPr>
          <w:p w14:paraId="1BBA602E">
            <w:pPr>
              <w:widowControl/>
              <w:spacing w:line="300" w:lineRule="exact"/>
              <w:jc w:val="left"/>
              <w:rPr>
                <w:color w:val="auto"/>
                <w:sz w:val="20"/>
                <w:highlight w:val="none"/>
              </w:rPr>
            </w:pPr>
          </w:p>
        </w:tc>
        <w:tc>
          <w:tcPr>
            <w:tcW w:w="4677" w:type="dxa"/>
            <w:vAlign w:val="center"/>
          </w:tcPr>
          <w:p w14:paraId="580882FA">
            <w:pPr>
              <w:widowControl/>
              <w:spacing w:line="300" w:lineRule="exact"/>
              <w:jc w:val="center"/>
              <w:rPr>
                <w:color w:val="auto"/>
                <w:sz w:val="20"/>
                <w:highlight w:val="none"/>
              </w:rPr>
            </w:pPr>
            <w:r>
              <w:rPr>
                <w:i/>
                <w:color w:val="auto"/>
                <w:sz w:val="24"/>
                <w:highlight w:val="none"/>
              </w:rPr>
              <w:t>身份证反面</w:t>
            </w:r>
          </w:p>
        </w:tc>
      </w:tr>
    </w:tbl>
    <w:p w14:paraId="58A1EAD1">
      <w:pPr>
        <w:spacing w:line="480" w:lineRule="auto"/>
        <w:rPr>
          <w:rFonts w:ascii="Microsoft New Tai Lue" w:hAnsi="Microsoft New Tai Lue"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ascii="Microsoft New Tai Lue" w:hAnsi="Microsoft New Tai Lue" w:cs="Microsoft New Tai Lue"/>
          <w:color w:val="auto"/>
          <w:highlight w:val="none"/>
        </w:rPr>
        <w:t>（正反面）</w:t>
      </w:r>
    </w:p>
    <w:tbl>
      <w:tblPr>
        <w:tblStyle w:val="3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8"/>
        <w:gridCol w:w="278"/>
        <w:gridCol w:w="4695"/>
      </w:tblGrid>
      <w:tr w14:paraId="12E9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4678" w:type="dxa"/>
            <w:vAlign w:val="center"/>
          </w:tcPr>
          <w:p w14:paraId="56BA31BC">
            <w:pPr>
              <w:pStyle w:val="13"/>
              <w:spacing w:line="300" w:lineRule="exact"/>
              <w:jc w:val="center"/>
              <w:rPr>
                <w:i/>
                <w:color w:val="auto"/>
                <w:sz w:val="20"/>
                <w:highlight w:val="none"/>
              </w:rPr>
            </w:pPr>
            <w:r>
              <w:rPr>
                <w:i/>
                <w:color w:val="auto"/>
                <w:sz w:val="24"/>
                <w:highlight w:val="none"/>
              </w:rPr>
              <w:t>身份证正面</w:t>
            </w:r>
          </w:p>
        </w:tc>
        <w:tc>
          <w:tcPr>
            <w:tcW w:w="278" w:type="dxa"/>
            <w:tcBorders>
              <w:top w:val="nil"/>
              <w:bottom w:val="nil"/>
            </w:tcBorders>
          </w:tcPr>
          <w:p w14:paraId="4012E305">
            <w:pPr>
              <w:widowControl/>
              <w:spacing w:line="300" w:lineRule="exact"/>
              <w:jc w:val="left"/>
              <w:rPr>
                <w:color w:val="auto"/>
                <w:sz w:val="20"/>
                <w:highlight w:val="none"/>
              </w:rPr>
            </w:pPr>
          </w:p>
        </w:tc>
        <w:tc>
          <w:tcPr>
            <w:tcW w:w="4695" w:type="dxa"/>
            <w:vAlign w:val="center"/>
          </w:tcPr>
          <w:p w14:paraId="2F9C1BF9">
            <w:pPr>
              <w:widowControl/>
              <w:spacing w:line="300" w:lineRule="exact"/>
              <w:jc w:val="center"/>
              <w:rPr>
                <w:color w:val="auto"/>
                <w:sz w:val="20"/>
                <w:highlight w:val="none"/>
              </w:rPr>
            </w:pPr>
            <w:r>
              <w:rPr>
                <w:i/>
                <w:color w:val="auto"/>
                <w:sz w:val="24"/>
                <w:highlight w:val="none"/>
              </w:rPr>
              <w:t>身份证反面</w:t>
            </w:r>
          </w:p>
        </w:tc>
      </w:tr>
    </w:tbl>
    <w:p w14:paraId="308A1E45">
      <w:pPr>
        <w:pStyle w:val="29"/>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注：</w:t>
      </w:r>
      <w:r>
        <w:rPr>
          <w:rFonts w:hint="eastAsia" w:ascii="Times New Roman" w:hAnsi="Times New Roman"/>
          <w:b/>
          <w:bCs/>
          <w:color w:val="auto"/>
          <w:szCs w:val="21"/>
          <w:highlight w:val="none"/>
        </w:rPr>
        <w:t xml:space="preserve"> </w:t>
      </w:r>
    </w:p>
    <w:p w14:paraId="3DB81D80">
      <w:pPr>
        <w:pStyle w:val="29"/>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1.</w:t>
      </w:r>
      <w:r>
        <w:rPr>
          <w:rFonts w:hint="eastAsia"/>
          <w:color w:val="auto"/>
          <w:highlight w:val="none"/>
        </w:rPr>
        <w:t xml:space="preserve"> </w:t>
      </w:r>
      <w:r>
        <w:rPr>
          <w:rFonts w:hint="eastAsia" w:ascii="Times New Roman" w:hAnsi="Times New Roman"/>
          <w:b/>
          <w:bCs/>
          <w:color w:val="auto"/>
          <w:szCs w:val="21"/>
          <w:highlight w:val="none"/>
        </w:rPr>
        <w:t>若供应商为分公司、分支机构等依法无需设置法定代表人职务的单位（仅当招标文件注明允许上述单位投标时），法定代表人签字处可由单位负责人签署。</w:t>
      </w:r>
    </w:p>
    <w:p w14:paraId="5B508892">
      <w:pPr>
        <w:pStyle w:val="29"/>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2.若投标文件中签字之处均为法定代表人（单位负责人）本人签署，则可不提供本《授权委托书》，但须提供《法定代表人（单位负责人）身份证明》。</w:t>
      </w:r>
      <w:bookmarkStart w:id="285" w:name="_Toc107246279"/>
      <w:bookmarkStart w:id="286" w:name="_Toc104560895"/>
    </w:p>
    <w:p w14:paraId="3B943769">
      <w:pPr>
        <w:pStyle w:val="31"/>
        <w:spacing w:line="240" w:lineRule="atLeast"/>
        <w:rPr>
          <w:rFonts w:ascii="Microsoft New Tai Lue" w:hAnsi="Microsoft New Tai Lue" w:cs="Microsoft New Tai Lue"/>
          <w:color w:val="auto"/>
          <w:szCs w:val="24"/>
          <w:highlight w:val="none"/>
        </w:rPr>
      </w:pPr>
      <w:r>
        <w:rPr>
          <w:color w:val="auto"/>
          <w:highlight w:val="none"/>
        </w:rPr>
        <w:br w:type="page"/>
      </w:r>
      <w:r>
        <w:rPr>
          <w:rFonts w:ascii="Microsoft New Tai Lue" w:hAnsi="Microsoft New Tai Lue" w:cs="Microsoft New Tai Lue"/>
          <w:bCs w:val="0"/>
          <w:color w:val="auto"/>
          <w:sz w:val="24"/>
          <w:szCs w:val="24"/>
          <w:highlight w:val="none"/>
        </w:rPr>
        <w:t>（4）开标一览表</w:t>
      </w:r>
      <w:bookmarkEnd w:id="277"/>
      <w:bookmarkEnd w:id="285"/>
      <w:bookmarkEnd w:id="286"/>
      <w:r>
        <w:rPr>
          <w:rFonts w:hint="eastAsia" w:ascii="Microsoft New Tai Lue" w:hAnsi="Microsoft New Tai Lue" w:cs="Microsoft New Tai Lue"/>
          <w:bCs w:val="0"/>
          <w:color w:val="auto"/>
          <w:sz w:val="24"/>
          <w:szCs w:val="24"/>
          <w:highlight w:val="none"/>
        </w:rPr>
        <w:t>（总价）</w:t>
      </w:r>
    </w:p>
    <w:p w14:paraId="5312F226">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p>
    <w:p w14:paraId="179DE5F4">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r>
        <w:rPr>
          <w:rFonts w:hint="eastAsia"/>
          <w:b w:val="0"/>
          <w:color w:val="auto"/>
          <w:sz w:val="24"/>
          <w:szCs w:val="24"/>
          <w:highlight w:val="none"/>
        </w:rPr>
        <w:t>投标人全称（CA公章）：供应商名称</w:t>
      </w:r>
    </w:p>
    <w:p w14:paraId="388A0419">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r>
        <w:rPr>
          <w:rFonts w:hint="eastAsia"/>
          <w:b w:val="0"/>
          <w:color w:val="auto"/>
          <w:sz w:val="24"/>
          <w:szCs w:val="24"/>
          <w:highlight w:val="none"/>
        </w:rPr>
        <w:t>项目名称：项目名称</w:t>
      </w:r>
    </w:p>
    <w:p w14:paraId="6CEAB3F8">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b w:val="0"/>
          <w:color w:val="auto"/>
          <w:sz w:val="24"/>
          <w:szCs w:val="24"/>
          <w:highlight w:val="none"/>
        </w:rPr>
      </w:pPr>
      <w:r>
        <w:rPr>
          <w:rFonts w:hint="eastAsia"/>
          <w:b w:val="0"/>
          <w:color w:val="auto"/>
          <w:sz w:val="24"/>
          <w:szCs w:val="24"/>
          <w:highlight w:val="none"/>
        </w:rPr>
        <w:t xml:space="preserve">项目编号：项目编号 </w:t>
      </w:r>
    </w:p>
    <w:p w14:paraId="6D206293">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b w:val="0"/>
          <w:color w:val="auto"/>
          <w:sz w:val="21"/>
          <w:szCs w:val="21"/>
          <w:highlight w:val="none"/>
        </w:rPr>
      </w:pPr>
      <w:r>
        <w:rPr>
          <w:rFonts w:hint="eastAsia"/>
          <w:b w:val="0"/>
          <w:color w:val="auto"/>
          <w:sz w:val="24"/>
          <w:szCs w:val="24"/>
          <w:highlight w:val="none"/>
        </w:rPr>
        <w:t>分包号：分包号</w:t>
      </w:r>
    </w:p>
    <w:tbl>
      <w:tblPr>
        <w:tblStyle w:val="34"/>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15" w:type="dxa"/>
          <w:left w:w="15" w:type="dxa"/>
          <w:bottom w:w="15" w:type="dxa"/>
          <w:right w:w="15" w:type="dxa"/>
        </w:tblCellMar>
      </w:tblPr>
      <w:tblGrid>
        <w:gridCol w:w="8335"/>
      </w:tblGrid>
      <w:tr w14:paraId="168A2FB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10"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1D5A16FA">
            <w:pPr>
              <w:pStyle w:val="30"/>
              <w:keepNext w:val="0"/>
              <w:keepLines w:val="0"/>
              <w:widowControl/>
              <w:suppressLineNumbers w:val="0"/>
              <w:jc w:val="center"/>
            </w:pPr>
            <w:r>
              <w:t>投标总报价</w:t>
            </w:r>
          </w:p>
        </w:tc>
      </w:tr>
      <w:tr w14:paraId="2AE508A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15" w:type="dxa"/>
            <w:left w:w="15" w:type="dxa"/>
            <w:bottom w:w="15" w:type="dxa"/>
            <w:right w:w="15" w:type="dxa"/>
          </w:tblCellMar>
        </w:tblPrEx>
        <w:trPr>
          <w:trHeight w:val="825" w:hRule="atLeast"/>
        </w:trPr>
        <w:tc>
          <w:tcPr>
            <w:tcW w:w="5000" w:type="pct"/>
            <w:tcBorders>
              <w:top w:val="outset" w:color="auto" w:sz="6" w:space="0"/>
              <w:left w:val="outset" w:color="auto" w:sz="6" w:space="0"/>
              <w:bottom w:val="outset" w:color="auto" w:sz="6" w:space="0"/>
              <w:right w:val="outset" w:color="auto" w:sz="6" w:space="0"/>
            </w:tcBorders>
            <w:shd w:val="clear" w:color="auto" w:fill="auto"/>
            <w:vAlign w:val="center"/>
          </w:tcPr>
          <w:p w14:paraId="23ADF7BE">
            <w:pPr>
              <w:pStyle w:val="30"/>
              <w:keepNext w:val="0"/>
              <w:keepLines w:val="0"/>
              <w:widowControl/>
              <w:suppressLineNumbers w:val="0"/>
            </w:pPr>
            <w:r>
              <w:t>小写：</w:t>
            </w:r>
            <w:r>
              <w:pict>
                <v:shape id="_x0000_i1025" o:spt="201" type="#_x0000_t201" style="height:0pt;width:0.05pt;" filled="f" coordsize="21600,21600">
                  <v:path/>
                  <v:fill on="f" focussize="0,0"/>
                  <v:stroke/>
                  <v:imagedata o:title=""/>
                  <o:lock v:ext="edit" aspectratio="t"/>
                  <w10:wrap type="none"/>
                  <w10:anchorlock/>
                </v:shape>
              </w:pict>
            </w:r>
            <w:r>
              <w:t xml:space="preserve"> </w:t>
            </w:r>
            <w:r>
              <w:rPr>
                <w:rFonts w:hint="eastAsia"/>
                <w:lang w:val="en-US" w:eastAsia="zh-CN"/>
              </w:rPr>
              <w:t xml:space="preserve">   </w:t>
            </w:r>
            <w:r>
              <w:t>（人民币：元）</w:t>
            </w:r>
          </w:p>
        </w:tc>
      </w:tr>
    </w:tbl>
    <w:p w14:paraId="5505BBC4">
      <w:pPr>
        <w:pStyle w:val="30"/>
        <w:keepNext w:val="0"/>
        <w:keepLines w:val="0"/>
        <w:widowControl/>
        <w:suppressLineNumbers w:val="0"/>
        <w:jc w:val="right"/>
      </w:pPr>
      <w:r>
        <w:rPr>
          <w:rFonts w:hint="eastAsia"/>
          <w:lang w:val="en-US" w:eastAsia="zh-CN"/>
        </w:rPr>
        <w:t xml:space="preserve">    </w:t>
      </w:r>
      <w:r>
        <w:t>年</w:t>
      </w:r>
      <w:r>
        <w:rPr>
          <w:rFonts w:hint="eastAsia"/>
          <w:lang w:val="en-US" w:eastAsia="zh-CN"/>
        </w:rPr>
        <w:t xml:space="preserve">  </w:t>
      </w:r>
      <w:r>
        <w:t>月</w:t>
      </w:r>
      <w:r>
        <w:pict>
          <v:shape id="_x0000_i1026" o:spt="201" type="#_x0000_t201" style="height:0pt;width:0.05pt;" filled="f" coordsize="21600,21600">
            <v:path/>
            <v:fill on="f" focussize="0,0"/>
            <v:stroke/>
            <v:imagedata o:title=""/>
            <o:lock v:ext="edit" aspectratio="t"/>
            <w10:wrap type="none"/>
            <w10:anchorlock/>
          </v:shape>
        </w:pict>
      </w:r>
      <w:r>
        <w:rPr>
          <w:rFonts w:hint="eastAsia"/>
          <w:lang w:val="en-US" w:eastAsia="zh-CN"/>
        </w:rPr>
        <w:t xml:space="preserve">  </w:t>
      </w:r>
      <w:r>
        <w:t>日</w:t>
      </w:r>
    </w:p>
    <w:p w14:paraId="24D7E229">
      <w:pPr>
        <w:spacing w:line="360" w:lineRule="auto"/>
        <w:rPr>
          <w:b/>
          <w:color w:val="auto"/>
          <w:highlight w:val="none"/>
        </w:rPr>
      </w:pPr>
    </w:p>
    <w:p w14:paraId="73AB2436">
      <w:pPr>
        <w:spacing w:line="360" w:lineRule="auto"/>
        <w:ind w:right="420"/>
        <w:jc w:val="center"/>
        <w:rPr>
          <w:rFonts w:eastAsia="黑体"/>
          <w:b/>
          <w:color w:val="auto"/>
          <w:sz w:val="32"/>
          <w:szCs w:val="32"/>
          <w:highlight w:val="none"/>
        </w:rPr>
      </w:pPr>
    </w:p>
    <w:p w14:paraId="07990F80">
      <w:pPr>
        <w:pStyle w:val="31"/>
        <w:spacing w:line="240" w:lineRule="atLeast"/>
        <w:rPr>
          <w:rFonts w:ascii="Microsoft New Tai Lue" w:hAnsi="Microsoft New Tai Lue" w:cs="Microsoft New Tai Lue"/>
          <w:bCs w:val="0"/>
          <w:color w:val="auto"/>
          <w:sz w:val="24"/>
          <w:szCs w:val="24"/>
          <w:highlight w:val="none"/>
        </w:rPr>
      </w:pPr>
      <w:bookmarkStart w:id="287" w:name="_Toc103848581"/>
      <w:bookmarkStart w:id="288" w:name="_Toc104560896"/>
      <w:r>
        <w:rPr>
          <w:rFonts w:ascii="Microsoft New Tai Lue" w:hAnsi="Microsoft New Tai Lue" w:cs="Microsoft New Tai Lue"/>
          <w:bCs w:val="0"/>
          <w:color w:val="auto"/>
          <w:sz w:val="24"/>
          <w:szCs w:val="24"/>
          <w:highlight w:val="none"/>
        </w:rPr>
        <w:br w:type="page"/>
      </w:r>
      <w:bookmarkStart w:id="289" w:name="_Toc107246280"/>
      <w:r>
        <w:rPr>
          <w:rFonts w:ascii="Microsoft New Tai Lue" w:hAnsi="Microsoft New Tai Lue" w:cs="Microsoft New Tai Lue"/>
          <w:bCs w:val="0"/>
          <w:color w:val="auto"/>
          <w:sz w:val="24"/>
          <w:szCs w:val="24"/>
          <w:highlight w:val="none"/>
        </w:rPr>
        <w:t>（5）分项报价表</w:t>
      </w:r>
      <w:bookmarkEnd w:id="287"/>
      <w:bookmarkEnd w:id="288"/>
      <w:bookmarkEnd w:id="289"/>
    </w:p>
    <w:p w14:paraId="15F46576">
      <w:pPr>
        <w:spacing w:line="360" w:lineRule="auto"/>
        <w:ind w:left="-120" w:firstLine="210" w:firstLineChars="1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项目名称：</w:t>
      </w:r>
      <w:r>
        <w:rPr>
          <w:rFonts w:ascii="Microsoft New Tai Lue" w:hAnsi="Microsoft New Tai Lue" w:cs="Microsoft New Tai Lue"/>
          <w:color w:val="auto"/>
          <w:szCs w:val="21"/>
          <w:highlight w:val="none"/>
          <w:u w:val="single"/>
        </w:rPr>
        <w:t xml:space="preserve">                  </w:t>
      </w:r>
    </w:p>
    <w:p w14:paraId="5BE5300A">
      <w:pPr>
        <w:spacing w:line="360" w:lineRule="auto"/>
        <w:ind w:left="-120" w:firstLine="210" w:firstLineChars="1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项目编号：</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rPr>
        <w:t>包号：</w:t>
      </w:r>
      <w:r>
        <w:rPr>
          <w:rFonts w:ascii="Microsoft New Tai Lue" w:hAnsi="Microsoft New Tai Lue" w:cs="Microsoft New Tai Lue"/>
          <w:color w:val="auto"/>
          <w:szCs w:val="21"/>
          <w:highlight w:val="none"/>
          <w:u w:val="single"/>
        </w:rPr>
        <w:t xml:space="preserve">       </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2341"/>
        <w:gridCol w:w="1109"/>
        <w:gridCol w:w="2526"/>
        <w:gridCol w:w="1714"/>
      </w:tblGrid>
      <w:tr w14:paraId="19AAC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0270D71D">
            <w:pPr>
              <w:tabs>
                <w:tab w:val="left" w:pos="6045"/>
              </w:tabs>
              <w:jc w:val="center"/>
              <w:rPr>
                <w:rFonts w:ascii="Microsoft New Tai Lue" w:hAnsi="Microsoft New Tai Lue" w:cs="Microsoft New Tai Lue"/>
                <w:b/>
                <w:bCs/>
                <w:color w:val="auto"/>
                <w:kern w:val="0"/>
                <w:sz w:val="21"/>
                <w:szCs w:val="21"/>
                <w:highlight w:val="none"/>
              </w:rPr>
            </w:pPr>
            <w:bookmarkStart w:id="290" w:name="_Hlk129799227"/>
            <w:r>
              <w:rPr>
                <w:rFonts w:hint="eastAsia" w:ascii="Microsoft New Tai Lue" w:hAnsi="Microsoft New Tai Lue" w:cs="Microsoft New Tai Lue"/>
                <w:b/>
                <w:bCs/>
                <w:color w:val="auto"/>
                <w:kern w:val="0"/>
                <w:sz w:val="21"/>
                <w:szCs w:val="21"/>
                <w:highlight w:val="none"/>
              </w:rPr>
              <w:t>序号</w:t>
            </w:r>
          </w:p>
        </w:tc>
        <w:tc>
          <w:tcPr>
            <w:tcW w:w="2341" w:type="dxa"/>
            <w:vAlign w:val="center"/>
          </w:tcPr>
          <w:p w14:paraId="3DF92118">
            <w:pPr>
              <w:tabs>
                <w:tab w:val="left" w:pos="6045"/>
              </w:tabs>
              <w:jc w:val="center"/>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服务项目</w:t>
            </w:r>
          </w:p>
        </w:tc>
        <w:tc>
          <w:tcPr>
            <w:tcW w:w="1109" w:type="dxa"/>
            <w:vAlign w:val="center"/>
          </w:tcPr>
          <w:p w14:paraId="197759FC">
            <w:pPr>
              <w:tabs>
                <w:tab w:val="left" w:pos="6045"/>
              </w:tabs>
              <w:jc w:val="center"/>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数量</w:t>
            </w:r>
          </w:p>
        </w:tc>
        <w:tc>
          <w:tcPr>
            <w:tcW w:w="2526" w:type="dxa"/>
            <w:vAlign w:val="center"/>
          </w:tcPr>
          <w:p w14:paraId="7CE40EEF">
            <w:pPr>
              <w:tabs>
                <w:tab w:val="left" w:pos="6045"/>
              </w:tabs>
              <w:jc w:val="center"/>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投标报价（</w:t>
            </w:r>
            <w:r>
              <w:rPr>
                <w:rFonts w:hint="eastAsia"/>
                <w:b/>
                <w:color w:val="auto"/>
                <w:sz w:val="21"/>
                <w:szCs w:val="21"/>
                <w:highlight w:val="none"/>
                <w:lang w:val="en-US" w:eastAsia="zh-CN"/>
              </w:rPr>
              <w:t>元</w:t>
            </w:r>
            <w:r>
              <w:rPr>
                <w:rFonts w:hint="eastAsia" w:ascii="Microsoft New Tai Lue" w:hAnsi="Microsoft New Tai Lue" w:cs="Microsoft New Tai Lue"/>
                <w:b/>
                <w:bCs/>
                <w:color w:val="auto"/>
                <w:kern w:val="0"/>
                <w:sz w:val="21"/>
                <w:szCs w:val="21"/>
                <w:highlight w:val="none"/>
              </w:rPr>
              <w:t>）</w:t>
            </w:r>
          </w:p>
        </w:tc>
        <w:tc>
          <w:tcPr>
            <w:tcW w:w="1714" w:type="dxa"/>
            <w:vAlign w:val="center"/>
          </w:tcPr>
          <w:p w14:paraId="541DE36E">
            <w:pPr>
              <w:tabs>
                <w:tab w:val="left" w:pos="6045"/>
              </w:tabs>
              <w:jc w:val="center"/>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投标标的是否由小微企业提供（填写“是”或“否）</w:t>
            </w:r>
          </w:p>
        </w:tc>
      </w:tr>
      <w:tr w14:paraId="05539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48E7217D">
            <w:pPr>
              <w:tabs>
                <w:tab w:val="left" w:pos="6045"/>
              </w:tabs>
              <w:jc w:val="center"/>
              <w:rPr>
                <w:rFonts w:hint="eastAsia" w:ascii="Microsoft New Tai Lue" w:hAnsi="Microsoft New Tai Lue" w:eastAsia="宋体" w:cs="Microsoft New Tai Lue"/>
                <w:b w:val="0"/>
                <w:bCs w:val="0"/>
                <w:color w:val="auto"/>
                <w:kern w:val="0"/>
                <w:sz w:val="21"/>
                <w:szCs w:val="21"/>
                <w:highlight w:val="none"/>
                <w:lang w:val="en-US" w:eastAsia="zh-CN"/>
              </w:rPr>
            </w:pPr>
            <w:r>
              <w:rPr>
                <w:rFonts w:hint="eastAsia" w:ascii="Microsoft New Tai Lue" w:hAnsi="Microsoft New Tai Lue" w:cs="Microsoft New Tai Lue"/>
                <w:b w:val="0"/>
                <w:bCs w:val="0"/>
                <w:color w:val="auto"/>
                <w:kern w:val="0"/>
                <w:sz w:val="21"/>
                <w:szCs w:val="21"/>
                <w:highlight w:val="none"/>
                <w:lang w:val="en-US" w:eastAsia="zh-CN"/>
              </w:rPr>
              <w:t>1</w:t>
            </w:r>
          </w:p>
        </w:tc>
        <w:tc>
          <w:tcPr>
            <w:tcW w:w="2341" w:type="dxa"/>
            <w:vAlign w:val="center"/>
          </w:tcPr>
          <w:p w14:paraId="65FC96E5">
            <w:pPr>
              <w:tabs>
                <w:tab w:val="left" w:pos="6045"/>
              </w:tabs>
              <w:jc w:val="center"/>
              <w:rPr>
                <w:rFonts w:ascii="Microsoft New Tai Lue" w:hAnsi="Microsoft New Tai Lue" w:cs="Microsoft New Tai Lue"/>
                <w:b/>
                <w:bCs/>
                <w:color w:val="auto"/>
                <w:kern w:val="0"/>
                <w:sz w:val="21"/>
                <w:szCs w:val="21"/>
                <w:highlight w:val="none"/>
              </w:rPr>
            </w:pPr>
          </w:p>
        </w:tc>
        <w:tc>
          <w:tcPr>
            <w:tcW w:w="1109" w:type="dxa"/>
            <w:vAlign w:val="center"/>
          </w:tcPr>
          <w:p w14:paraId="2635AAE8">
            <w:pPr>
              <w:tabs>
                <w:tab w:val="left" w:pos="6045"/>
              </w:tabs>
              <w:jc w:val="center"/>
              <w:rPr>
                <w:rFonts w:ascii="Microsoft New Tai Lue" w:hAnsi="Microsoft New Tai Lue" w:cs="Microsoft New Tai Lue"/>
                <w:b/>
                <w:bCs/>
                <w:color w:val="auto"/>
                <w:kern w:val="0"/>
                <w:sz w:val="21"/>
                <w:szCs w:val="21"/>
                <w:highlight w:val="none"/>
              </w:rPr>
            </w:pPr>
          </w:p>
        </w:tc>
        <w:tc>
          <w:tcPr>
            <w:tcW w:w="2526" w:type="dxa"/>
            <w:vAlign w:val="center"/>
          </w:tcPr>
          <w:p w14:paraId="73EA4658">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7D99836B">
            <w:pPr>
              <w:tabs>
                <w:tab w:val="left" w:pos="6045"/>
              </w:tabs>
              <w:jc w:val="center"/>
              <w:rPr>
                <w:rFonts w:ascii="Microsoft New Tai Lue" w:hAnsi="Microsoft New Tai Lue" w:cs="Microsoft New Tai Lue"/>
                <w:b/>
                <w:bCs/>
                <w:color w:val="auto"/>
                <w:kern w:val="0"/>
                <w:sz w:val="21"/>
                <w:szCs w:val="21"/>
                <w:highlight w:val="none"/>
              </w:rPr>
            </w:pPr>
          </w:p>
        </w:tc>
      </w:tr>
      <w:tr w14:paraId="37EC6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73E04E44">
            <w:pPr>
              <w:tabs>
                <w:tab w:val="left" w:pos="6045"/>
              </w:tabs>
              <w:jc w:val="center"/>
              <w:rPr>
                <w:rFonts w:hint="eastAsia" w:ascii="Microsoft New Tai Lue" w:hAnsi="Microsoft New Tai Lue" w:eastAsia="宋体" w:cs="Microsoft New Tai Lue"/>
                <w:b w:val="0"/>
                <w:bCs w:val="0"/>
                <w:color w:val="auto"/>
                <w:kern w:val="0"/>
                <w:sz w:val="21"/>
                <w:szCs w:val="21"/>
                <w:highlight w:val="none"/>
                <w:lang w:val="en-US" w:eastAsia="zh-CN"/>
              </w:rPr>
            </w:pPr>
            <w:r>
              <w:rPr>
                <w:rFonts w:hint="eastAsia" w:ascii="Microsoft New Tai Lue" w:hAnsi="Microsoft New Tai Lue" w:cs="Microsoft New Tai Lue"/>
                <w:b w:val="0"/>
                <w:bCs w:val="0"/>
                <w:color w:val="auto"/>
                <w:kern w:val="0"/>
                <w:sz w:val="21"/>
                <w:szCs w:val="21"/>
                <w:highlight w:val="none"/>
                <w:lang w:val="en-US" w:eastAsia="zh-CN"/>
              </w:rPr>
              <w:t>2</w:t>
            </w:r>
          </w:p>
        </w:tc>
        <w:tc>
          <w:tcPr>
            <w:tcW w:w="2341" w:type="dxa"/>
            <w:vAlign w:val="center"/>
          </w:tcPr>
          <w:p w14:paraId="7F278DB8">
            <w:pPr>
              <w:tabs>
                <w:tab w:val="left" w:pos="6045"/>
              </w:tabs>
              <w:jc w:val="center"/>
              <w:rPr>
                <w:rFonts w:ascii="Microsoft New Tai Lue" w:hAnsi="Microsoft New Tai Lue" w:cs="Microsoft New Tai Lue"/>
                <w:b/>
                <w:bCs/>
                <w:color w:val="auto"/>
                <w:kern w:val="0"/>
                <w:sz w:val="21"/>
                <w:szCs w:val="21"/>
                <w:highlight w:val="none"/>
              </w:rPr>
            </w:pPr>
          </w:p>
        </w:tc>
        <w:tc>
          <w:tcPr>
            <w:tcW w:w="1109" w:type="dxa"/>
            <w:vAlign w:val="center"/>
          </w:tcPr>
          <w:p w14:paraId="2B74D856">
            <w:pPr>
              <w:tabs>
                <w:tab w:val="left" w:pos="6045"/>
              </w:tabs>
              <w:jc w:val="center"/>
              <w:rPr>
                <w:rFonts w:ascii="Microsoft New Tai Lue" w:hAnsi="Microsoft New Tai Lue" w:cs="Microsoft New Tai Lue"/>
                <w:b/>
                <w:bCs/>
                <w:color w:val="auto"/>
                <w:kern w:val="0"/>
                <w:sz w:val="21"/>
                <w:szCs w:val="21"/>
                <w:highlight w:val="none"/>
              </w:rPr>
            </w:pPr>
          </w:p>
        </w:tc>
        <w:tc>
          <w:tcPr>
            <w:tcW w:w="2526" w:type="dxa"/>
            <w:vAlign w:val="center"/>
          </w:tcPr>
          <w:p w14:paraId="3C9C24E6">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4D40543C">
            <w:pPr>
              <w:tabs>
                <w:tab w:val="left" w:pos="6045"/>
              </w:tabs>
              <w:jc w:val="center"/>
              <w:rPr>
                <w:rFonts w:ascii="Microsoft New Tai Lue" w:hAnsi="Microsoft New Tai Lue" w:cs="Microsoft New Tai Lue"/>
                <w:b/>
                <w:bCs/>
                <w:color w:val="auto"/>
                <w:kern w:val="0"/>
                <w:sz w:val="21"/>
                <w:szCs w:val="21"/>
                <w:highlight w:val="none"/>
              </w:rPr>
            </w:pPr>
          </w:p>
        </w:tc>
      </w:tr>
      <w:tr w14:paraId="01899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029E0138">
            <w:pPr>
              <w:tabs>
                <w:tab w:val="left" w:pos="6045"/>
              </w:tabs>
              <w:jc w:val="center"/>
              <w:rPr>
                <w:rFonts w:hint="eastAsia" w:ascii="Microsoft New Tai Lue" w:hAnsi="Microsoft New Tai Lue" w:eastAsia="宋体" w:cs="Microsoft New Tai Lue"/>
                <w:b w:val="0"/>
                <w:bCs w:val="0"/>
                <w:color w:val="auto"/>
                <w:kern w:val="0"/>
                <w:sz w:val="21"/>
                <w:szCs w:val="21"/>
                <w:highlight w:val="none"/>
                <w:lang w:val="en-US" w:eastAsia="zh-CN"/>
              </w:rPr>
            </w:pPr>
            <w:r>
              <w:rPr>
                <w:rFonts w:hint="eastAsia" w:ascii="Microsoft New Tai Lue" w:hAnsi="Microsoft New Tai Lue" w:cs="Microsoft New Tai Lue"/>
                <w:b w:val="0"/>
                <w:bCs w:val="0"/>
                <w:color w:val="auto"/>
                <w:kern w:val="0"/>
                <w:sz w:val="21"/>
                <w:szCs w:val="21"/>
                <w:highlight w:val="none"/>
                <w:lang w:val="en-US" w:eastAsia="zh-CN"/>
              </w:rPr>
              <w:t>……</w:t>
            </w:r>
          </w:p>
        </w:tc>
        <w:tc>
          <w:tcPr>
            <w:tcW w:w="2341" w:type="dxa"/>
            <w:vAlign w:val="center"/>
          </w:tcPr>
          <w:p w14:paraId="02A16025">
            <w:pPr>
              <w:tabs>
                <w:tab w:val="left" w:pos="6045"/>
              </w:tabs>
              <w:jc w:val="center"/>
              <w:rPr>
                <w:rFonts w:ascii="Microsoft New Tai Lue" w:hAnsi="Microsoft New Tai Lue" w:cs="Microsoft New Tai Lue"/>
                <w:b/>
                <w:bCs/>
                <w:color w:val="auto"/>
                <w:kern w:val="0"/>
                <w:sz w:val="21"/>
                <w:szCs w:val="21"/>
                <w:highlight w:val="none"/>
              </w:rPr>
            </w:pPr>
          </w:p>
        </w:tc>
        <w:tc>
          <w:tcPr>
            <w:tcW w:w="1109" w:type="dxa"/>
            <w:vAlign w:val="center"/>
          </w:tcPr>
          <w:p w14:paraId="03F211A9">
            <w:pPr>
              <w:tabs>
                <w:tab w:val="left" w:pos="6045"/>
              </w:tabs>
              <w:jc w:val="center"/>
              <w:rPr>
                <w:rFonts w:ascii="Microsoft New Tai Lue" w:hAnsi="Microsoft New Tai Lue" w:cs="Microsoft New Tai Lue"/>
                <w:b/>
                <w:bCs/>
                <w:color w:val="auto"/>
                <w:kern w:val="0"/>
                <w:sz w:val="21"/>
                <w:szCs w:val="21"/>
                <w:highlight w:val="none"/>
              </w:rPr>
            </w:pPr>
          </w:p>
        </w:tc>
        <w:tc>
          <w:tcPr>
            <w:tcW w:w="2526" w:type="dxa"/>
            <w:vAlign w:val="center"/>
          </w:tcPr>
          <w:p w14:paraId="789C3CEE">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1CDA660C">
            <w:pPr>
              <w:tabs>
                <w:tab w:val="left" w:pos="6045"/>
              </w:tabs>
              <w:jc w:val="center"/>
              <w:rPr>
                <w:rFonts w:ascii="Microsoft New Tai Lue" w:hAnsi="Microsoft New Tai Lue" w:cs="Microsoft New Tai Lue"/>
                <w:b/>
                <w:bCs/>
                <w:color w:val="auto"/>
                <w:kern w:val="0"/>
                <w:sz w:val="21"/>
                <w:szCs w:val="21"/>
                <w:highlight w:val="none"/>
              </w:rPr>
            </w:pPr>
          </w:p>
        </w:tc>
      </w:tr>
      <w:tr w14:paraId="3364A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156F1847">
            <w:pPr>
              <w:tabs>
                <w:tab w:val="left" w:pos="6045"/>
              </w:tabs>
              <w:jc w:val="center"/>
              <w:rPr>
                <w:rFonts w:ascii="Microsoft New Tai Lue" w:hAnsi="Microsoft New Tai Lue" w:cs="Microsoft New Tai Lue"/>
                <w:b/>
                <w:bCs/>
                <w:color w:val="auto"/>
                <w:kern w:val="0"/>
                <w:sz w:val="21"/>
                <w:szCs w:val="21"/>
                <w:highlight w:val="none"/>
              </w:rPr>
            </w:pPr>
          </w:p>
        </w:tc>
        <w:tc>
          <w:tcPr>
            <w:tcW w:w="2341" w:type="dxa"/>
            <w:vAlign w:val="center"/>
          </w:tcPr>
          <w:p w14:paraId="62032466">
            <w:pPr>
              <w:tabs>
                <w:tab w:val="left" w:pos="6045"/>
              </w:tabs>
              <w:jc w:val="center"/>
              <w:rPr>
                <w:rFonts w:ascii="Microsoft New Tai Lue" w:hAnsi="Microsoft New Tai Lue" w:cs="Microsoft New Tai Lue"/>
                <w:b/>
                <w:bCs/>
                <w:color w:val="auto"/>
                <w:kern w:val="0"/>
                <w:sz w:val="21"/>
                <w:szCs w:val="21"/>
                <w:highlight w:val="none"/>
              </w:rPr>
            </w:pPr>
          </w:p>
        </w:tc>
        <w:tc>
          <w:tcPr>
            <w:tcW w:w="1109" w:type="dxa"/>
            <w:vAlign w:val="center"/>
          </w:tcPr>
          <w:p w14:paraId="2D9842C5">
            <w:pPr>
              <w:tabs>
                <w:tab w:val="left" w:pos="6045"/>
              </w:tabs>
              <w:jc w:val="center"/>
              <w:rPr>
                <w:rFonts w:ascii="Microsoft New Tai Lue" w:hAnsi="Microsoft New Tai Lue" w:cs="Microsoft New Tai Lue"/>
                <w:b/>
                <w:bCs/>
                <w:color w:val="auto"/>
                <w:kern w:val="0"/>
                <w:sz w:val="21"/>
                <w:szCs w:val="21"/>
                <w:highlight w:val="none"/>
              </w:rPr>
            </w:pPr>
          </w:p>
        </w:tc>
        <w:tc>
          <w:tcPr>
            <w:tcW w:w="2526" w:type="dxa"/>
            <w:vAlign w:val="center"/>
          </w:tcPr>
          <w:p w14:paraId="45465C54">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3750D769">
            <w:pPr>
              <w:tabs>
                <w:tab w:val="left" w:pos="6045"/>
              </w:tabs>
              <w:jc w:val="center"/>
              <w:rPr>
                <w:rFonts w:ascii="Microsoft New Tai Lue" w:hAnsi="Microsoft New Tai Lue" w:cs="Microsoft New Tai Lue"/>
                <w:b/>
                <w:bCs/>
                <w:color w:val="auto"/>
                <w:kern w:val="0"/>
                <w:sz w:val="21"/>
                <w:szCs w:val="21"/>
                <w:highlight w:val="none"/>
              </w:rPr>
            </w:pPr>
          </w:p>
        </w:tc>
      </w:tr>
      <w:tr w14:paraId="3E07C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37BE728A">
            <w:pPr>
              <w:tabs>
                <w:tab w:val="left" w:pos="6045"/>
              </w:tabs>
              <w:jc w:val="center"/>
              <w:rPr>
                <w:rFonts w:ascii="Microsoft New Tai Lue" w:hAnsi="Microsoft New Tai Lue" w:cs="Microsoft New Tai Lue"/>
                <w:b/>
                <w:bCs/>
                <w:color w:val="auto"/>
                <w:kern w:val="0"/>
                <w:sz w:val="21"/>
                <w:szCs w:val="21"/>
                <w:highlight w:val="none"/>
              </w:rPr>
            </w:pPr>
          </w:p>
        </w:tc>
        <w:tc>
          <w:tcPr>
            <w:tcW w:w="2341" w:type="dxa"/>
            <w:vAlign w:val="center"/>
          </w:tcPr>
          <w:p w14:paraId="203CF3FF">
            <w:pPr>
              <w:tabs>
                <w:tab w:val="left" w:pos="6045"/>
              </w:tabs>
              <w:jc w:val="center"/>
              <w:rPr>
                <w:rFonts w:ascii="Microsoft New Tai Lue" w:hAnsi="Microsoft New Tai Lue" w:cs="Microsoft New Tai Lue"/>
                <w:b/>
                <w:bCs/>
                <w:color w:val="auto"/>
                <w:kern w:val="0"/>
                <w:sz w:val="21"/>
                <w:szCs w:val="21"/>
                <w:highlight w:val="none"/>
              </w:rPr>
            </w:pPr>
          </w:p>
        </w:tc>
        <w:tc>
          <w:tcPr>
            <w:tcW w:w="1109" w:type="dxa"/>
            <w:vAlign w:val="center"/>
          </w:tcPr>
          <w:p w14:paraId="5D694BA3">
            <w:pPr>
              <w:tabs>
                <w:tab w:val="left" w:pos="6045"/>
              </w:tabs>
              <w:jc w:val="center"/>
              <w:rPr>
                <w:rFonts w:ascii="Microsoft New Tai Lue" w:hAnsi="Microsoft New Tai Lue" w:cs="Microsoft New Tai Lue"/>
                <w:b/>
                <w:bCs/>
                <w:color w:val="auto"/>
                <w:kern w:val="0"/>
                <w:sz w:val="21"/>
                <w:szCs w:val="21"/>
                <w:highlight w:val="none"/>
              </w:rPr>
            </w:pPr>
          </w:p>
        </w:tc>
        <w:tc>
          <w:tcPr>
            <w:tcW w:w="2526" w:type="dxa"/>
            <w:vAlign w:val="center"/>
          </w:tcPr>
          <w:p w14:paraId="2B87896D">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09AFF2F1">
            <w:pPr>
              <w:tabs>
                <w:tab w:val="left" w:pos="6045"/>
              </w:tabs>
              <w:jc w:val="center"/>
              <w:rPr>
                <w:rFonts w:ascii="Microsoft New Tai Lue" w:hAnsi="Microsoft New Tai Lue" w:cs="Microsoft New Tai Lue"/>
                <w:b/>
                <w:bCs/>
                <w:color w:val="auto"/>
                <w:kern w:val="0"/>
                <w:sz w:val="21"/>
                <w:szCs w:val="21"/>
                <w:highlight w:val="none"/>
              </w:rPr>
            </w:pPr>
          </w:p>
        </w:tc>
      </w:tr>
      <w:tr w14:paraId="2ADA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dxa"/>
            <w:vAlign w:val="center"/>
          </w:tcPr>
          <w:p w14:paraId="4A81E2FF">
            <w:pPr>
              <w:tabs>
                <w:tab w:val="left" w:pos="6045"/>
              </w:tabs>
              <w:jc w:val="center"/>
              <w:rPr>
                <w:rFonts w:ascii="Microsoft New Tai Lue" w:hAnsi="Microsoft New Tai Lue" w:cs="Microsoft New Tai Lue"/>
                <w:b/>
                <w:bCs/>
                <w:color w:val="auto"/>
                <w:kern w:val="0"/>
                <w:sz w:val="21"/>
                <w:szCs w:val="21"/>
                <w:highlight w:val="none"/>
              </w:rPr>
            </w:pPr>
          </w:p>
        </w:tc>
        <w:tc>
          <w:tcPr>
            <w:tcW w:w="2341" w:type="dxa"/>
            <w:vAlign w:val="center"/>
          </w:tcPr>
          <w:p w14:paraId="73EE3DBB">
            <w:pPr>
              <w:tabs>
                <w:tab w:val="left" w:pos="6045"/>
              </w:tabs>
              <w:jc w:val="center"/>
              <w:rPr>
                <w:rFonts w:ascii="Microsoft New Tai Lue" w:hAnsi="Microsoft New Tai Lue" w:cs="Microsoft New Tai Lue"/>
                <w:b/>
                <w:bCs/>
                <w:color w:val="auto"/>
                <w:kern w:val="0"/>
                <w:sz w:val="21"/>
                <w:szCs w:val="21"/>
                <w:highlight w:val="none"/>
              </w:rPr>
            </w:pPr>
          </w:p>
        </w:tc>
        <w:tc>
          <w:tcPr>
            <w:tcW w:w="1109" w:type="dxa"/>
            <w:vAlign w:val="center"/>
          </w:tcPr>
          <w:p w14:paraId="15C31AC2">
            <w:pPr>
              <w:tabs>
                <w:tab w:val="left" w:pos="6045"/>
              </w:tabs>
              <w:jc w:val="center"/>
              <w:rPr>
                <w:rFonts w:ascii="Microsoft New Tai Lue" w:hAnsi="Microsoft New Tai Lue" w:cs="Microsoft New Tai Lue"/>
                <w:b/>
                <w:bCs/>
                <w:color w:val="auto"/>
                <w:kern w:val="0"/>
                <w:sz w:val="21"/>
                <w:szCs w:val="21"/>
                <w:highlight w:val="none"/>
              </w:rPr>
            </w:pPr>
          </w:p>
        </w:tc>
        <w:tc>
          <w:tcPr>
            <w:tcW w:w="2526" w:type="dxa"/>
            <w:vAlign w:val="center"/>
          </w:tcPr>
          <w:p w14:paraId="78E646A3">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3530C3F7">
            <w:pPr>
              <w:tabs>
                <w:tab w:val="left" w:pos="6045"/>
              </w:tabs>
              <w:jc w:val="center"/>
              <w:rPr>
                <w:rFonts w:ascii="Microsoft New Tai Lue" w:hAnsi="Microsoft New Tai Lue" w:cs="Microsoft New Tai Lue"/>
                <w:b/>
                <w:bCs/>
                <w:color w:val="auto"/>
                <w:kern w:val="0"/>
                <w:sz w:val="21"/>
                <w:szCs w:val="21"/>
                <w:highlight w:val="none"/>
              </w:rPr>
            </w:pPr>
          </w:p>
        </w:tc>
      </w:tr>
      <w:tr w14:paraId="5327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1" w:type="dxa"/>
            <w:gridSpan w:val="3"/>
            <w:vAlign w:val="center"/>
          </w:tcPr>
          <w:p w14:paraId="4C50CBF6">
            <w:pPr>
              <w:tabs>
                <w:tab w:val="left" w:pos="6045"/>
              </w:tabs>
              <w:jc w:val="center"/>
              <w:rPr>
                <w:rFonts w:hint="eastAsia" w:ascii="Microsoft New Tai Lue" w:hAnsi="Microsoft New Tai Lue" w:eastAsia="宋体" w:cs="Microsoft New Tai Lue"/>
                <w:b/>
                <w:bCs/>
                <w:color w:val="auto"/>
                <w:kern w:val="0"/>
                <w:sz w:val="21"/>
                <w:szCs w:val="21"/>
                <w:highlight w:val="none"/>
                <w:lang w:val="en-US" w:eastAsia="zh-CN"/>
              </w:rPr>
            </w:pPr>
            <w:r>
              <w:rPr>
                <w:rFonts w:hint="eastAsia" w:ascii="Microsoft New Tai Lue" w:hAnsi="Microsoft New Tai Lue" w:cs="Microsoft New Tai Lue"/>
                <w:b/>
                <w:bCs/>
                <w:color w:val="auto"/>
                <w:kern w:val="0"/>
                <w:sz w:val="21"/>
                <w:szCs w:val="21"/>
                <w:highlight w:val="none"/>
                <w:lang w:val="en-US" w:eastAsia="zh-CN"/>
              </w:rPr>
              <w:t>合计</w:t>
            </w:r>
          </w:p>
        </w:tc>
        <w:tc>
          <w:tcPr>
            <w:tcW w:w="2526" w:type="dxa"/>
            <w:vAlign w:val="center"/>
          </w:tcPr>
          <w:p w14:paraId="52AD8C16">
            <w:pPr>
              <w:tabs>
                <w:tab w:val="left" w:pos="6045"/>
              </w:tabs>
              <w:jc w:val="center"/>
              <w:rPr>
                <w:rFonts w:ascii="Microsoft New Tai Lue" w:hAnsi="Microsoft New Tai Lue" w:cs="Microsoft New Tai Lue"/>
                <w:b/>
                <w:bCs/>
                <w:color w:val="auto"/>
                <w:kern w:val="0"/>
                <w:sz w:val="21"/>
                <w:szCs w:val="21"/>
                <w:highlight w:val="none"/>
              </w:rPr>
            </w:pPr>
          </w:p>
        </w:tc>
        <w:tc>
          <w:tcPr>
            <w:tcW w:w="1714" w:type="dxa"/>
            <w:vAlign w:val="center"/>
          </w:tcPr>
          <w:p w14:paraId="66E3FB29">
            <w:pPr>
              <w:tabs>
                <w:tab w:val="left" w:pos="6045"/>
              </w:tabs>
              <w:jc w:val="center"/>
              <w:rPr>
                <w:rFonts w:ascii="Microsoft New Tai Lue" w:hAnsi="Microsoft New Tai Lue" w:cs="Microsoft New Tai Lue"/>
                <w:b/>
                <w:bCs/>
                <w:color w:val="auto"/>
                <w:kern w:val="0"/>
                <w:sz w:val="21"/>
                <w:szCs w:val="21"/>
                <w:highlight w:val="none"/>
              </w:rPr>
            </w:pPr>
          </w:p>
        </w:tc>
      </w:tr>
    </w:tbl>
    <w:p w14:paraId="24A46DD8">
      <w:pPr>
        <w:tabs>
          <w:tab w:val="left" w:pos="6045"/>
        </w:tabs>
        <w:rPr>
          <w:rFonts w:ascii="Microsoft New Tai Lue" w:hAnsi="Microsoft New Tai Lue" w:cs="Microsoft New Tai Lue"/>
          <w:b/>
          <w:bCs/>
          <w:color w:val="auto"/>
          <w:kern w:val="0"/>
          <w:sz w:val="21"/>
          <w:szCs w:val="21"/>
          <w:highlight w:val="none"/>
        </w:rPr>
      </w:pPr>
      <w:r>
        <w:rPr>
          <w:rFonts w:ascii="Microsoft New Tai Lue" w:hAnsi="Microsoft New Tai Lue" w:cs="Microsoft New Tai Lue"/>
          <w:b/>
          <w:bCs/>
          <w:color w:val="auto"/>
          <w:kern w:val="0"/>
          <w:sz w:val="21"/>
          <w:szCs w:val="21"/>
          <w:highlight w:val="none"/>
        </w:rPr>
        <w:t>注：</w:t>
      </w:r>
      <w:bookmarkStart w:id="291" w:name="_Hlk129799295"/>
      <w:r>
        <w:rPr>
          <w:rFonts w:hint="eastAsia" w:ascii="Microsoft New Tai Lue" w:hAnsi="Microsoft New Tai Lue" w:cs="Microsoft New Tai Lue"/>
          <w:b/>
          <w:bCs/>
          <w:color w:val="auto"/>
          <w:kern w:val="0"/>
          <w:sz w:val="21"/>
          <w:szCs w:val="21"/>
          <w:highlight w:val="none"/>
        </w:rPr>
        <w:t>1、</w:t>
      </w:r>
      <w:r>
        <w:rPr>
          <w:rFonts w:ascii="Microsoft New Tai Lue" w:hAnsi="Microsoft New Tai Lue" w:cs="Microsoft New Tai Lue"/>
          <w:b/>
          <w:bCs/>
          <w:color w:val="auto"/>
          <w:kern w:val="0"/>
          <w:sz w:val="21"/>
          <w:szCs w:val="21"/>
          <w:highlight w:val="none"/>
        </w:rPr>
        <w:t>如果行数不够，请自行增加。</w:t>
      </w:r>
      <w:bookmarkEnd w:id="291"/>
    </w:p>
    <w:p w14:paraId="5316CAB7">
      <w:pPr>
        <w:tabs>
          <w:tab w:val="left" w:pos="6045"/>
        </w:tabs>
        <w:rPr>
          <w:rFonts w:ascii="Microsoft New Tai Lue" w:hAnsi="Microsoft New Tai Lue" w:cs="Microsoft New Tai Lue"/>
          <w:b/>
          <w:bCs/>
          <w:color w:val="auto"/>
          <w:kern w:val="0"/>
          <w:sz w:val="21"/>
          <w:szCs w:val="21"/>
          <w:highlight w:val="none"/>
        </w:rPr>
      </w:pPr>
      <w:r>
        <w:rPr>
          <w:rFonts w:hint="eastAsia" w:ascii="Microsoft New Tai Lue" w:hAnsi="Microsoft New Tai Lue" w:cs="Microsoft New Tai Lue"/>
          <w:b/>
          <w:bCs/>
          <w:color w:val="auto"/>
          <w:kern w:val="0"/>
          <w:sz w:val="21"/>
          <w:szCs w:val="21"/>
          <w:highlight w:val="none"/>
        </w:rPr>
        <w:t>2、在“投标标的是否由小微企业提供”栏内，填写“是”或“否”，如果小微型企业的产品报价无法划分计算的，评标时将不予认可。</w:t>
      </w:r>
    </w:p>
    <w:p w14:paraId="2C6BA0C1">
      <w:pPr>
        <w:tabs>
          <w:tab w:val="left" w:pos="6045"/>
        </w:tabs>
        <w:rPr>
          <w:color w:val="auto"/>
          <w:sz w:val="21"/>
          <w:szCs w:val="21"/>
          <w:highlight w:val="none"/>
        </w:rPr>
      </w:pPr>
      <w:r>
        <w:rPr>
          <w:rFonts w:hint="eastAsia" w:ascii="Microsoft New Tai Lue" w:hAnsi="Microsoft New Tai Lue" w:cs="Microsoft New Tai Lue"/>
          <w:b/>
          <w:bCs/>
          <w:color w:val="auto"/>
          <w:kern w:val="0"/>
          <w:sz w:val="21"/>
          <w:szCs w:val="21"/>
          <w:highlight w:val="none"/>
        </w:rPr>
        <w:t>3、供应商根据自身报价组成进行填写。</w:t>
      </w:r>
    </w:p>
    <w:bookmarkEnd w:id="290"/>
    <w:p w14:paraId="3802D086">
      <w:pPr>
        <w:pStyle w:val="15"/>
        <w:ind w:left="1260"/>
        <w:rPr>
          <w:color w:val="auto"/>
          <w:highlight w:val="none"/>
        </w:rPr>
      </w:pPr>
    </w:p>
    <w:p w14:paraId="5F06784C">
      <w:pPr>
        <w:spacing w:line="360" w:lineRule="auto"/>
        <w:ind w:firstLine="440" w:firstLineChars="200"/>
        <w:jc w:val="right"/>
        <w:rPr>
          <w:rFonts w:ascii="Microsoft New Tai Lue" w:hAnsi="Microsoft New Tai Lue" w:cs="Microsoft New Tai Lue"/>
          <w:color w:val="auto"/>
          <w:kern w:val="0"/>
          <w:sz w:val="22"/>
          <w:szCs w:val="22"/>
          <w:highlight w:val="none"/>
        </w:rPr>
      </w:pPr>
    </w:p>
    <w:p w14:paraId="1641F0BA">
      <w:pPr>
        <w:spacing w:line="360" w:lineRule="auto"/>
        <w:ind w:firstLine="440" w:firstLineChars="200"/>
        <w:jc w:val="right"/>
        <w:rPr>
          <w:rFonts w:ascii="Microsoft New Tai Lue" w:hAnsi="Microsoft New Tai Lue" w:cs="Microsoft New Tai Lue"/>
          <w:color w:val="auto"/>
          <w:kern w:val="0"/>
          <w:sz w:val="22"/>
          <w:szCs w:val="22"/>
          <w:highlight w:val="none"/>
        </w:rPr>
      </w:pPr>
    </w:p>
    <w:p w14:paraId="7ABCBF5F">
      <w:pPr>
        <w:spacing w:line="360" w:lineRule="auto"/>
        <w:ind w:firstLine="440" w:firstLineChars="200"/>
        <w:jc w:val="right"/>
        <w:rPr>
          <w:rFonts w:ascii="Microsoft New Tai Lue" w:hAnsi="Microsoft New Tai Lue" w:cs="Microsoft New Tai Lue"/>
          <w:color w:val="auto"/>
          <w:kern w:val="0"/>
          <w:sz w:val="22"/>
          <w:szCs w:val="22"/>
          <w:highlight w:val="none"/>
        </w:rPr>
      </w:pPr>
      <w:bookmarkStart w:id="292" w:name="_Hlk129799236"/>
    </w:p>
    <w:p w14:paraId="36069B5E">
      <w:pPr>
        <w:spacing w:line="360" w:lineRule="auto"/>
        <w:ind w:right="420" w:firstLine="3780" w:firstLineChars="1800"/>
        <w:rPr>
          <w:color w:val="auto"/>
          <w:highlight w:val="none"/>
          <w:u w:val="single"/>
        </w:rPr>
      </w:pPr>
      <w:r>
        <w:rPr>
          <w:rFonts w:hint="eastAsia"/>
          <w:color w:val="auto"/>
          <w:highlight w:val="none"/>
          <w:lang w:val="en-US" w:eastAsia="zh-CN"/>
        </w:rPr>
        <w:t>供应商</w:t>
      </w:r>
      <w:r>
        <w:rPr>
          <w:color w:val="auto"/>
          <w:highlight w:val="none"/>
        </w:rPr>
        <w:t>名称（</w:t>
      </w:r>
      <w:r>
        <w:rPr>
          <w:rFonts w:hint="eastAsia"/>
          <w:color w:val="auto"/>
          <w:highlight w:val="none"/>
        </w:rPr>
        <w:t>加盖CA电子公章</w:t>
      </w:r>
      <w:r>
        <w:rPr>
          <w:color w:val="auto"/>
          <w:highlight w:val="none"/>
        </w:rPr>
        <w:t>）：</w:t>
      </w:r>
      <w:r>
        <w:rPr>
          <w:color w:val="auto"/>
          <w:highlight w:val="none"/>
          <w:u w:val="single"/>
        </w:rPr>
        <w:t xml:space="preserve">                 </w:t>
      </w:r>
    </w:p>
    <w:p w14:paraId="368348BB">
      <w:pPr>
        <w:spacing w:line="360" w:lineRule="auto"/>
        <w:ind w:firstLine="3780" w:firstLineChars="18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法定代表人（单位负责人）</w:t>
      </w:r>
    </w:p>
    <w:p w14:paraId="6589F0C5">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77E6904D">
      <w:pPr>
        <w:spacing w:line="360" w:lineRule="auto"/>
        <w:ind w:firstLine="422" w:firstLineChars="200"/>
        <w:jc w:val="left"/>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日</w:t>
      </w:r>
    </w:p>
    <w:bookmarkEnd w:id="292"/>
    <w:p w14:paraId="415AC53C">
      <w:pPr>
        <w:rPr>
          <w:rFonts w:ascii="Microsoft New Tai Lue" w:hAnsi="Microsoft New Tai Lue" w:cs="Microsoft New Tai Lue"/>
          <w:color w:val="auto"/>
          <w:sz w:val="24"/>
          <w:highlight w:val="none"/>
        </w:rPr>
      </w:pPr>
      <w:bookmarkStart w:id="293" w:name="_Toc107246281"/>
      <w:bookmarkStart w:id="294" w:name="_Toc104560901"/>
      <w:bookmarkStart w:id="295" w:name="_Toc103848586"/>
      <w:bookmarkStart w:id="296" w:name="_Toc102117319"/>
      <w:r>
        <w:rPr>
          <w:rFonts w:ascii="Microsoft New Tai Lue" w:hAnsi="Microsoft New Tai Lue" w:cs="Microsoft New Tai Lue"/>
          <w:color w:val="auto"/>
          <w:sz w:val="24"/>
          <w:highlight w:val="none"/>
        </w:rPr>
        <w:br w:type="page"/>
      </w:r>
    </w:p>
    <w:p w14:paraId="639FE45E">
      <w:pPr>
        <w:pStyle w:val="31"/>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Cs w:val="0"/>
          <w:color w:val="auto"/>
          <w:sz w:val="24"/>
          <w:szCs w:val="24"/>
          <w:highlight w:val="none"/>
        </w:rPr>
        <w:t>（6）商务条款偏离表</w:t>
      </w:r>
      <w:bookmarkEnd w:id="293"/>
      <w:bookmarkEnd w:id="294"/>
      <w:bookmarkEnd w:id="295"/>
    </w:p>
    <w:p w14:paraId="545926D0">
      <w:pPr>
        <w:pStyle w:val="79"/>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项目编号：</w:t>
      </w:r>
      <w:r>
        <w:rPr>
          <w:rFonts w:ascii="Microsoft New Tai Lue" w:hAnsi="Microsoft New Tai Lue" w:cs="Microsoft New Tai Lue"/>
          <w:color w:val="auto"/>
          <w:sz w:val="21"/>
          <w:szCs w:val="21"/>
          <w:highlight w:val="none"/>
          <w:u w:val="single"/>
        </w:rPr>
        <w:t xml:space="preserve">               </w:t>
      </w:r>
    </w:p>
    <w:tbl>
      <w:tblPr>
        <w:tblStyle w:val="3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03319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7B32DB91">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序号</w:t>
            </w:r>
          </w:p>
        </w:tc>
        <w:tc>
          <w:tcPr>
            <w:tcW w:w="1394" w:type="dxa"/>
            <w:vAlign w:val="center"/>
          </w:tcPr>
          <w:p w14:paraId="691E39FE">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招标文件条目号</w:t>
            </w:r>
          </w:p>
        </w:tc>
        <w:tc>
          <w:tcPr>
            <w:tcW w:w="2295" w:type="dxa"/>
            <w:vAlign w:val="center"/>
          </w:tcPr>
          <w:p w14:paraId="47A3A9E7">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招标文件的商务条款</w:t>
            </w:r>
          </w:p>
        </w:tc>
        <w:tc>
          <w:tcPr>
            <w:tcW w:w="2383" w:type="dxa"/>
            <w:vAlign w:val="center"/>
          </w:tcPr>
          <w:p w14:paraId="6CB9DA95">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投标文件的商务条款</w:t>
            </w:r>
          </w:p>
        </w:tc>
        <w:tc>
          <w:tcPr>
            <w:tcW w:w="1134" w:type="dxa"/>
            <w:vAlign w:val="center"/>
          </w:tcPr>
          <w:p w14:paraId="310373E6">
            <w:pPr>
              <w:pStyle w:val="79"/>
              <w:spacing w:line="480" w:lineRule="auto"/>
              <w:ind w:firstLine="0" w:firstLineChars="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ascii="Microsoft New Tai Lue" w:hAnsi="Microsoft New Tai Lue" w:cs="Microsoft New Tai Lue"/>
                <w:color w:val="auto"/>
                <w:sz w:val="21"/>
                <w:szCs w:val="21"/>
                <w:highlight w:val="none"/>
              </w:rPr>
              <w:t>偏离</w:t>
            </w:r>
          </w:p>
        </w:tc>
        <w:tc>
          <w:tcPr>
            <w:tcW w:w="1006" w:type="dxa"/>
            <w:vAlign w:val="center"/>
          </w:tcPr>
          <w:p w14:paraId="6C821C70">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偏离</w:t>
            </w:r>
          </w:p>
        </w:tc>
        <w:tc>
          <w:tcPr>
            <w:tcW w:w="715" w:type="dxa"/>
            <w:vAlign w:val="center"/>
          </w:tcPr>
          <w:p w14:paraId="5689E561">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说明</w:t>
            </w:r>
          </w:p>
        </w:tc>
      </w:tr>
      <w:tr w14:paraId="21962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211E8886">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B684A16">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5AEEEA75">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1AA57AC0">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5962CEF9">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3EAAFB47">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40769DF2">
            <w:pPr>
              <w:pStyle w:val="79"/>
              <w:ind w:firstLine="0" w:firstLineChars="0"/>
              <w:jc w:val="center"/>
              <w:rPr>
                <w:rFonts w:ascii="Microsoft New Tai Lue" w:hAnsi="Microsoft New Tai Lue" w:cs="Microsoft New Tai Lue"/>
                <w:color w:val="auto"/>
                <w:sz w:val="21"/>
                <w:szCs w:val="21"/>
                <w:highlight w:val="none"/>
              </w:rPr>
            </w:pPr>
          </w:p>
        </w:tc>
      </w:tr>
      <w:tr w14:paraId="5F32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196A9F80">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A75C306">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02C788A3">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3BD18552">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6FF465CB">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0DF206C6">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18FA8E4F">
            <w:pPr>
              <w:pStyle w:val="79"/>
              <w:ind w:firstLine="0" w:firstLineChars="0"/>
              <w:jc w:val="center"/>
              <w:rPr>
                <w:rFonts w:ascii="Microsoft New Tai Lue" w:hAnsi="Microsoft New Tai Lue" w:cs="Microsoft New Tai Lue"/>
                <w:color w:val="auto"/>
                <w:sz w:val="21"/>
                <w:szCs w:val="21"/>
                <w:highlight w:val="none"/>
              </w:rPr>
            </w:pPr>
          </w:p>
        </w:tc>
      </w:tr>
      <w:tr w14:paraId="1C30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20D85238">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5D70111">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4450B108">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66A46129">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4B305941">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18DCFA04">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0703867">
            <w:pPr>
              <w:pStyle w:val="79"/>
              <w:ind w:firstLine="0" w:firstLineChars="0"/>
              <w:jc w:val="center"/>
              <w:rPr>
                <w:rFonts w:ascii="Microsoft New Tai Lue" w:hAnsi="Microsoft New Tai Lue" w:cs="Microsoft New Tai Lue"/>
                <w:color w:val="auto"/>
                <w:sz w:val="21"/>
                <w:szCs w:val="21"/>
                <w:highlight w:val="none"/>
              </w:rPr>
            </w:pPr>
          </w:p>
        </w:tc>
      </w:tr>
      <w:tr w14:paraId="5048F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13C92EB8">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28120AEF">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573A2E3E">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6E0CDBEF">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7E5E50BD">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034C58AD">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22F29B9F">
            <w:pPr>
              <w:pStyle w:val="79"/>
              <w:ind w:firstLine="0" w:firstLineChars="0"/>
              <w:jc w:val="center"/>
              <w:rPr>
                <w:rFonts w:ascii="Microsoft New Tai Lue" w:hAnsi="Microsoft New Tai Lue" w:cs="Microsoft New Tai Lue"/>
                <w:color w:val="auto"/>
                <w:sz w:val="21"/>
                <w:szCs w:val="21"/>
                <w:highlight w:val="none"/>
              </w:rPr>
            </w:pPr>
          </w:p>
        </w:tc>
      </w:tr>
      <w:tr w14:paraId="3B68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19CAB73D">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10E44E71">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21A21022">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61519BFA">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12D9A56F">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42AC3E1C">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64D78725">
            <w:pPr>
              <w:pStyle w:val="79"/>
              <w:ind w:firstLine="0" w:firstLineChars="0"/>
              <w:jc w:val="center"/>
              <w:rPr>
                <w:rFonts w:ascii="Microsoft New Tai Lue" w:hAnsi="Microsoft New Tai Lue" w:cs="Microsoft New Tai Lue"/>
                <w:color w:val="auto"/>
                <w:sz w:val="21"/>
                <w:szCs w:val="21"/>
                <w:highlight w:val="none"/>
              </w:rPr>
            </w:pPr>
          </w:p>
        </w:tc>
      </w:tr>
      <w:tr w14:paraId="1140E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333D6E16">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56B50042">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78D7BBA4">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0746705A">
            <w:pPr>
              <w:pStyle w:val="79"/>
              <w:ind w:firstLine="0" w:firstLineChars="0"/>
              <w:jc w:val="center"/>
              <w:rPr>
                <w:rFonts w:ascii="Microsoft New Tai Lue" w:hAnsi="Microsoft New Tai Lue" w:cs="Microsoft New Tai Lue"/>
                <w:color w:val="auto"/>
                <w:sz w:val="21"/>
                <w:szCs w:val="21"/>
                <w:highlight w:val="none"/>
              </w:rPr>
            </w:pPr>
          </w:p>
        </w:tc>
        <w:tc>
          <w:tcPr>
            <w:tcW w:w="1134" w:type="dxa"/>
          </w:tcPr>
          <w:p w14:paraId="3450E438">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1E5002AD">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E836183">
            <w:pPr>
              <w:pStyle w:val="79"/>
              <w:ind w:firstLine="0" w:firstLineChars="0"/>
              <w:jc w:val="center"/>
              <w:rPr>
                <w:rFonts w:ascii="Microsoft New Tai Lue" w:hAnsi="Microsoft New Tai Lue" w:cs="Microsoft New Tai Lue"/>
                <w:color w:val="auto"/>
                <w:sz w:val="21"/>
                <w:szCs w:val="21"/>
                <w:highlight w:val="none"/>
              </w:rPr>
            </w:pPr>
          </w:p>
        </w:tc>
      </w:tr>
    </w:tbl>
    <w:p w14:paraId="01FA74B3">
      <w:pPr>
        <w:pStyle w:val="29"/>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005BAA6F">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1. 供应商须根据第三章《政府采购合同条款及</w:t>
      </w:r>
      <w:r>
        <w:rPr>
          <w:rFonts w:ascii="Times New Roman" w:hAnsi="Times New Roman"/>
          <w:b/>
          <w:bCs/>
          <w:color w:val="auto"/>
          <w:highlight w:val="none"/>
        </w:rPr>
        <w:t>格式</w:t>
      </w:r>
      <w:r>
        <w:rPr>
          <w:rFonts w:hint="eastAsia" w:ascii="Times New Roman" w:hAnsi="Times New Roman"/>
          <w:b/>
          <w:bCs/>
          <w:color w:val="auto"/>
          <w:highlight w:val="none"/>
        </w:rPr>
        <w:t>》要求填写此表，作为投标文件的组成部分。</w:t>
      </w:r>
    </w:p>
    <w:p w14:paraId="57A608AA">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所有偏离必须在本表中列出，未在本偏离表中列出偏离，将视为供应商已完全接受招标文件要求。如完全无偏离，也无其他说明，可在本表第一行填写“全部无偏离”。</w:t>
      </w:r>
    </w:p>
    <w:p w14:paraId="17A75645">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偏离包括正、负偏离，正偏离指供应商的响应高于招标文件要求，负偏离指供应商的响应低于招标文件要求。</w:t>
      </w:r>
    </w:p>
    <w:p w14:paraId="09A54998">
      <w:pPr>
        <w:pStyle w:val="29"/>
        <w:spacing w:line="360" w:lineRule="exact"/>
        <w:rPr>
          <w:color w:val="auto"/>
          <w:highlight w:val="none"/>
        </w:rPr>
      </w:pPr>
      <w:r>
        <w:rPr>
          <w:rFonts w:hint="eastAsia" w:ascii="Times New Roman" w:hAnsi="Times New Roman"/>
          <w:b/>
          <w:bCs/>
          <w:color w:val="auto"/>
          <w:highlight w:val="none"/>
        </w:rPr>
        <w:t>4. 如供应商将此表空白，视为供应商无任何偏离。</w:t>
      </w:r>
    </w:p>
    <w:p w14:paraId="25050C5C">
      <w:pPr>
        <w:pStyle w:val="79"/>
        <w:ind w:firstLine="420"/>
        <w:rPr>
          <w:rFonts w:ascii="Microsoft New Tai Lue" w:hAnsi="Microsoft New Tai Lue" w:cs="Microsoft New Tai Lue"/>
          <w:color w:val="auto"/>
          <w:sz w:val="21"/>
          <w:szCs w:val="21"/>
          <w:highlight w:val="none"/>
        </w:rPr>
      </w:pPr>
    </w:p>
    <w:p w14:paraId="4DB7EB7B">
      <w:pPr>
        <w:pStyle w:val="79"/>
        <w:ind w:firstLine="0" w:firstLineChars="0"/>
        <w:rPr>
          <w:rFonts w:ascii="Microsoft New Tai Lue" w:hAnsi="Microsoft New Tai Lue" w:cs="Microsoft New Tai Lue"/>
          <w:color w:val="auto"/>
          <w:sz w:val="21"/>
          <w:szCs w:val="21"/>
          <w:highlight w:val="none"/>
        </w:rPr>
      </w:pPr>
    </w:p>
    <w:p w14:paraId="23D1A128">
      <w:pPr>
        <w:spacing w:line="360" w:lineRule="auto"/>
        <w:ind w:right="420" w:firstLine="3780" w:firstLineChars="1800"/>
        <w:rPr>
          <w:color w:val="auto"/>
          <w:highlight w:val="none"/>
          <w:u w:val="single"/>
        </w:rPr>
      </w:pPr>
      <w:bookmarkStart w:id="297" w:name="_Toc103848587"/>
      <w:bookmarkStart w:id="298" w:name="_Toc104560902"/>
      <w:r>
        <w:rPr>
          <w:rFonts w:hint="eastAsia"/>
          <w:color w:val="auto"/>
          <w:highlight w:val="none"/>
        </w:rPr>
        <w:t>供应商</w:t>
      </w:r>
      <w:r>
        <w:rPr>
          <w:color w:val="auto"/>
          <w:highlight w:val="none"/>
        </w:rPr>
        <w:t>名称（</w:t>
      </w:r>
      <w:r>
        <w:rPr>
          <w:rFonts w:hint="eastAsia"/>
          <w:color w:val="auto"/>
          <w:highlight w:val="none"/>
        </w:rPr>
        <w:t>加盖CA电子公章</w:t>
      </w:r>
      <w:r>
        <w:rPr>
          <w:color w:val="auto"/>
          <w:highlight w:val="none"/>
        </w:rPr>
        <w:t>）：</w:t>
      </w:r>
      <w:r>
        <w:rPr>
          <w:color w:val="auto"/>
          <w:highlight w:val="none"/>
          <w:u w:val="single"/>
        </w:rPr>
        <w:t xml:space="preserve">                 </w:t>
      </w:r>
    </w:p>
    <w:p w14:paraId="3C203C58">
      <w:pPr>
        <w:spacing w:line="360" w:lineRule="auto"/>
        <w:ind w:firstLine="3780" w:firstLineChars="1800"/>
        <w:jc w:val="left"/>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法定代表人（单位负责人）</w:t>
      </w:r>
    </w:p>
    <w:p w14:paraId="3BB7DA61">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17418FFC">
      <w:pPr>
        <w:spacing w:line="360" w:lineRule="auto"/>
        <w:ind w:firstLine="422" w:firstLineChars="200"/>
        <w:jc w:val="left"/>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b/>
          <w:bCs/>
          <w:color w:val="auto"/>
          <w:highlight w:val="none"/>
        </w:rPr>
        <w:t xml:space="preserve">                            </w:t>
      </w:r>
      <w:r>
        <w:rPr>
          <w:rFonts w:ascii="Microsoft New Tai Lue" w:hAnsi="Microsoft New Tai Lue" w:cs="Microsoft New Tai Lue"/>
          <w:color w:val="auto"/>
          <w:highlight w:val="none"/>
        </w:rPr>
        <w:t>日期：</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年</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月</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rPr>
        <w:t>日</w:t>
      </w:r>
    </w:p>
    <w:p w14:paraId="493D7ABB">
      <w:pPr>
        <w:pStyle w:val="15"/>
        <w:ind w:left="1260"/>
        <w:rPr>
          <w:color w:val="auto"/>
          <w:highlight w:val="none"/>
        </w:rPr>
      </w:pPr>
      <w:r>
        <w:rPr>
          <w:color w:val="auto"/>
          <w:highlight w:val="none"/>
        </w:rPr>
        <w:br w:type="page"/>
      </w:r>
    </w:p>
    <w:p w14:paraId="569A3D03">
      <w:pPr>
        <w:pStyle w:val="31"/>
        <w:spacing w:line="240" w:lineRule="atLeast"/>
        <w:rPr>
          <w:rFonts w:ascii="Microsoft New Tai Lue" w:hAnsi="Microsoft New Tai Lue" w:cs="Microsoft New Tai Lue"/>
          <w:color w:val="auto"/>
          <w:highlight w:val="none"/>
        </w:rPr>
      </w:pPr>
      <w:bookmarkStart w:id="299" w:name="_Toc107246282"/>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具备投标资格的证明文件</w:t>
      </w:r>
      <w:bookmarkEnd w:id="297"/>
      <w:bookmarkEnd w:id="298"/>
      <w:bookmarkEnd w:id="299"/>
    </w:p>
    <w:p w14:paraId="76237733">
      <w:pPr>
        <w:pStyle w:val="31"/>
        <w:spacing w:line="240" w:lineRule="atLeast"/>
        <w:rPr>
          <w:rFonts w:ascii="Microsoft New Tai Lue" w:hAnsi="Microsoft New Tai Lue" w:cs="Microsoft New Tai Lue"/>
          <w:bCs w:val="0"/>
          <w:color w:val="auto"/>
          <w:sz w:val="24"/>
          <w:szCs w:val="24"/>
          <w:highlight w:val="none"/>
        </w:rPr>
      </w:pPr>
      <w:bookmarkStart w:id="300" w:name="_Toc104560903"/>
      <w:bookmarkStart w:id="301" w:name="_Toc103848588"/>
      <w:bookmarkStart w:id="302" w:name="_Toc107246283"/>
      <w:r>
        <w:rPr>
          <w:rFonts w:ascii="Microsoft New Tai Lue" w:hAnsi="Microsoft New Tai Lue" w:cs="Microsoft New Tai Lue"/>
          <w:bCs w:val="0"/>
          <w:color w:val="auto"/>
          <w:sz w:val="24"/>
          <w:szCs w:val="24"/>
          <w:highlight w:val="none"/>
        </w:rPr>
        <w:t>（7-1-1）营业执照复印件</w:t>
      </w:r>
      <w:bookmarkEnd w:id="296"/>
      <w:bookmarkEnd w:id="300"/>
      <w:bookmarkEnd w:id="301"/>
      <w:bookmarkEnd w:id="302"/>
    </w:p>
    <w:p w14:paraId="49A0DAEF">
      <w:pPr>
        <w:spacing w:line="360" w:lineRule="auto"/>
        <w:rPr>
          <w:rFonts w:ascii="Microsoft New Tai Lue" w:hAnsi="Microsoft New Tai Lue" w:cs="Microsoft New Tai Lue"/>
          <w:b/>
          <w:bCs/>
          <w:color w:val="auto"/>
          <w:highlight w:val="none"/>
        </w:rPr>
      </w:pPr>
      <w:bookmarkStart w:id="303" w:name="_Hlk33717720"/>
    </w:p>
    <w:p w14:paraId="3AFBE2F5">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Times New Roman" w:hAnsi="Times New Roman"/>
          <w:b/>
          <w:bCs/>
          <w:color w:val="auto"/>
          <w:highlight w:val="none"/>
        </w:rPr>
        <w:t>供应商</w:t>
      </w:r>
      <w:r>
        <w:rPr>
          <w:rFonts w:ascii="Microsoft New Tai Lue" w:hAnsi="Microsoft New Tai Lue" w:cs="Microsoft New Tai Lue"/>
          <w:b/>
          <w:bCs/>
          <w:color w:val="auto"/>
          <w:highlight w:val="none"/>
        </w:rPr>
        <w:t>提供营业执照副本（或具有同等法律效力的证照）复印件。复印件应能清晰显示</w:t>
      </w:r>
      <w:r>
        <w:rPr>
          <w:rFonts w:hint="eastAsia" w:ascii="Times New Roman" w:hAnsi="Times New Roman"/>
          <w:b/>
          <w:bCs/>
          <w:color w:val="auto"/>
          <w:highlight w:val="none"/>
        </w:rPr>
        <w:t>供应商</w:t>
      </w:r>
      <w:r>
        <w:rPr>
          <w:rFonts w:ascii="Microsoft New Tai Lue" w:hAnsi="Microsoft New Tai Lue" w:cs="Microsoft New Tai Lue"/>
          <w:b/>
          <w:bCs/>
          <w:color w:val="auto"/>
          <w:highlight w:val="none"/>
        </w:rPr>
        <w:t>名称。</w:t>
      </w:r>
      <w:bookmarkEnd w:id="303"/>
    </w:p>
    <w:p w14:paraId="6C3EAC90">
      <w:pPr>
        <w:rPr>
          <w:rFonts w:ascii="Microsoft New Tai Lue" w:hAnsi="Microsoft New Tai Lue" w:cs="Microsoft New Tai Lue"/>
          <w:color w:val="auto"/>
          <w:highlight w:val="none"/>
        </w:rPr>
      </w:pPr>
    </w:p>
    <w:p w14:paraId="3B6F0F2B">
      <w:pPr>
        <w:pStyle w:val="31"/>
        <w:spacing w:line="240" w:lineRule="atLeast"/>
        <w:rPr>
          <w:rFonts w:ascii="Microsoft New Tai Lue" w:hAnsi="Microsoft New Tai Lue" w:eastAsia="黑体" w:cs="Microsoft New Tai Lue"/>
          <w:b w:val="0"/>
          <w:color w:val="auto"/>
          <w:highlight w:val="none"/>
        </w:rPr>
      </w:pPr>
      <w:bookmarkStart w:id="304" w:name="_Toc103848589"/>
      <w:bookmarkStart w:id="305" w:name="_Toc102117320"/>
      <w:r>
        <w:rPr>
          <w:rFonts w:ascii="Microsoft New Tai Lue" w:hAnsi="Microsoft New Tai Lue" w:cs="Microsoft New Tai Lue"/>
          <w:bCs w:val="0"/>
          <w:color w:val="auto"/>
          <w:sz w:val="24"/>
          <w:szCs w:val="24"/>
          <w:highlight w:val="none"/>
        </w:rPr>
        <w:br w:type="page"/>
      </w:r>
      <w:bookmarkStart w:id="306" w:name="_Toc107246284"/>
      <w:bookmarkStart w:id="307" w:name="_Toc104560904"/>
      <w:r>
        <w:rPr>
          <w:rFonts w:ascii="Microsoft New Tai Lue" w:hAnsi="Microsoft New Tai Lue" w:cs="Microsoft New Tai Lue"/>
          <w:bCs w:val="0"/>
          <w:color w:val="auto"/>
          <w:sz w:val="24"/>
          <w:szCs w:val="24"/>
          <w:highlight w:val="none"/>
        </w:rPr>
        <w:t>（7-1-2）工商变更登记文件（如需）</w:t>
      </w:r>
      <w:bookmarkEnd w:id="304"/>
      <w:bookmarkEnd w:id="305"/>
      <w:bookmarkEnd w:id="306"/>
      <w:bookmarkEnd w:id="307"/>
    </w:p>
    <w:p w14:paraId="2EA5AC07">
      <w:pPr>
        <w:spacing w:line="360" w:lineRule="auto"/>
        <w:rPr>
          <w:rFonts w:ascii="Microsoft New Tai Lue" w:hAnsi="Microsoft New Tai Lue" w:cs="Microsoft New Tai Lue"/>
          <w:b/>
          <w:bCs/>
          <w:color w:val="auto"/>
          <w:highlight w:val="none"/>
        </w:rPr>
      </w:pPr>
    </w:p>
    <w:p w14:paraId="24C5665B">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注：如</w:t>
      </w:r>
      <w:r>
        <w:rPr>
          <w:rFonts w:hint="eastAsia" w:ascii="Times New Roman" w:hAnsi="Times New Roman"/>
          <w:b/>
          <w:bCs/>
          <w:color w:val="auto"/>
          <w:highlight w:val="none"/>
        </w:rPr>
        <w:t>供应商</w:t>
      </w:r>
      <w:r>
        <w:rPr>
          <w:rFonts w:ascii="Microsoft New Tai Lue" w:hAnsi="Microsoft New Tai Lue" w:cs="Microsoft New Tai Lue"/>
          <w:b/>
          <w:bCs/>
          <w:color w:val="auto"/>
          <w:highlight w:val="none"/>
        </w:rPr>
        <w:t>在招标文件资质、业绩等要求的时间期限内发生了单位名称等变更的，提供相关工商变更登记文件的复印件。如无，则可不提供。</w:t>
      </w:r>
    </w:p>
    <w:p w14:paraId="43F4746B">
      <w:pPr>
        <w:pStyle w:val="3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bCs w:val="0"/>
          <w:color w:val="auto"/>
          <w:highlight w:val="none"/>
        </w:rPr>
        <w:br w:type="page"/>
      </w:r>
      <w:bookmarkStart w:id="308" w:name="_Toc103848590"/>
      <w:bookmarkStart w:id="309" w:name="_Toc104560905"/>
      <w:bookmarkStart w:id="310" w:name="_Toc107246285"/>
      <w:bookmarkStart w:id="311" w:name="_Toc102117321"/>
      <w:r>
        <w:rPr>
          <w:rFonts w:ascii="Microsoft New Tai Lue" w:hAnsi="Microsoft New Tai Lue" w:cs="Microsoft New Tai Lue"/>
          <w:bCs w:val="0"/>
          <w:color w:val="auto"/>
          <w:sz w:val="24"/>
          <w:szCs w:val="24"/>
          <w:highlight w:val="none"/>
        </w:rPr>
        <w:t>（7-2）</w:t>
      </w:r>
      <w:bookmarkEnd w:id="308"/>
      <w:bookmarkEnd w:id="309"/>
      <w:bookmarkEnd w:id="310"/>
      <w:bookmarkEnd w:id="311"/>
      <w:r>
        <w:rPr>
          <w:rFonts w:hint="eastAsia" w:ascii="Microsoft New Tai Lue" w:hAnsi="Microsoft New Tai Lue" w:cs="Microsoft New Tai Lue"/>
          <w:bCs w:val="0"/>
          <w:color w:val="auto"/>
          <w:sz w:val="24"/>
          <w:szCs w:val="24"/>
          <w:highlight w:val="none"/>
        </w:rPr>
        <w:t>财务报表</w:t>
      </w:r>
    </w:p>
    <w:p w14:paraId="14231207">
      <w:pPr>
        <w:jc w:val="left"/>
        <w:rPr>
          <w:rFonts w:ascii="Microsoft New Tai Lue" w:hAnsi="Microsoft New Tai Lue" w:cs="Microsoft New Tai Lue"/>
          <w:color w:val="auto"/>
          <w:highlight w:val="none"/>
        </w:rPr>
      </w:pPr>
    </w:p>
    <w:p w14:paraId="20775243">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提供202</w:t>
      </w:r>
      <w:r>
        <w:rPr>
          <w:rFonts w:hint="eastAsia" w:ascii="Microsoft New Tai Lue" w:hAnsi="Microsoft New Tai Lue" w:cs="Microsoft New Tai Lue"/>
          <w:b/>
          <w:bCs/>
          <w:color w:val="auto"/>
          <w:highlight w:val="none"/>
          <w:lang w:val="en-US" w:eastAsia="zh-CN"/>
        </w:rPr>
        <w:t>4</w:t>
      </w:r>
      <w:r>
        <w:rPr>
          <w:rFonts w:hint="eastAsia" w:ascii="Microsoft New Tai Lue" w:hAnsi="Microsoft New Tai Lue" w:cs="Microsoft New Tai Lue"/>
          <w:b/>
          <w:bCs/>
          <w:color w:val="auto"/>
          <w:highlight w:val="none"/>
        </w:rPr>
        <w:t>或20</w:t>
      </w:r>
      <w:r>
        <w:rPr>
          <w:rFonts w:hint="eastAsia" w:ascii="Microsoft New Tai Lue" w:hAnsi="Microsoft New Tai Lue" w:cs="Microsoft New Tai Lue"/>
          <w:b/>
          <w:bCs/>
          <w:color w:val="auto"/>
          <w:highlight w:val="none"/>
          <w:lang w:val="en-US" w:eastAsia="zh-CN"/>
        </w:rPr>
        <w:t>25</w:t>
      </w:r>
      <w:r>
        <w:rPr>
          <w:rFonts w:hint="eastAsia" w:ascii="Microsoft New Tai Lue" w:hAnsi="Microsoft New Tai Lue" w:cs="Microsoft New Tai Lue"/>
          <w:b/>
          <w:bCs/>
          <w:color w:val="auto"/>
          <w:highlight w:val="none"/>
        </w:rPr>
        <w:t>年度经审计的财务报表（如为成立不满一年的公司，应提供公司成立之后的财务报表）或投标截止时间前6个月内，由其基本开户银行出具的资信证明或财政部门认可的政府采购专业担保机构出具的投标担保函。</w:t>
      </w:r>
    </w:p>
    <w:p w14:paraId="1C9BA544">
      <w:pPr>
        <w:spacing w:line="360" w:lineRule="auto"/>
        <w:rPr>
          <w:rFonts w:ascii="Microsoft New Tai Lue" w:hAnsi="Microsoft New Tai Lue" w:cs="Microsoft New Tai Lue"/>
          <w:b/>
          <w:bCs/>
          <w:color w:val="auto"/>
          <w:highlight w:val="none"/>
        </w:rPr>
      </w:pPr>
    </w:p>
    <w:p w14:paraId="1A1FDBC6">
      <w:pPr>
        <w:pStyle w:val="31"/>
        <w:spacing w:line="240" w:lineRule="atLeast"/>
        <w:jc w:val="left"/>
        <w:rPr>
          <w:rFonts w:ascii="Microsoft New Tai Lue" w:hAnsi="Microsoft New Tai Lue" w:cs="Microsoft New Tai Lue"/>
          <w:bCs w:val="0"/>
          <w:color w:val="auto"/>
          <w:sz w:val="24"/>
          <w:szCs w:val="24"/>
          <w:highlight w:val="none"/>
        </w:rPr>
      </w:pPr>
      <w:bookmarkStart w:id="312" w:name="_Toc103848593"/>
      <w:bookmarkStart w:id="313" w:name="_Toc102117322"/>
      <w:bookmarkStart w:id="314" w:name="_Toc104560908"/>
      <w:r>
        <w:rPr>
          <w:rFonts w:ascii="Microsoft New Tai Lue" w:hAnsi="Microsoft New Tai Lue" w:cs="Microsoft New Tai Lue"/>
          <w:bCs w:val="0"/>
          <w:color w:val="auto"/>
          <w:sz w:val="24"/>
          <w:szCs w:val="24"/>
          <w:highlight w:val="none"/>
        </w:rPr>
        <w:br w:type="page"/>
      </w:r>
      <w:bookmarkStart w:id="315" w:name="_Toc107246286"/>
      <w:r>
        <w:rPr>
          <w:rFonts w:ascii="Microsoft New Tai Lue" w:hAnsi="Microsoft New Tai Lue" w:cs="Microsoft New Tai Lue"/>
          <w:bCs w:val="0"/>
          <w:color w:val="auto"/>
          <w:sz w:val="24"/>
          <w:szCs w:val="24"/>
          <w:highlight w:val="none"/>
        </w:rPr>
        <w:t>（7-3）具有履行合同所必需的设备和专业技术能力的相关证明材料或承诺函（提供承诺函原件）</w:t>
      </w:r>
      <w:bookmarkEnd w:id="312"/>
      <w:bookmarkEnd w:id="313"/>
      <w:bookmarkEnd w:id="314"/>
      <w:bookmarkEnd w:id="315"/>
    </w:p>
    <w:p w14:paraId="533F0C00">
      <w:pPr>
        <w:rPr>
          <w:rFonts w:ascii="Microsoft New Tai Lue" w:hAnsi="Microsoft New Tai Lue" w:cs="Microsoft New Tai Lue"/>
          <w:color w:val="auto"/>
          <w:highlight w:val="none"/>
        </w:rPr>
      </w:pPr>
    </w:p>
    <w:p w14:paraId="34BC4A5F">
      <w:pPr>
        <w:rPr>
          <w:rFonts w:ascii="Microsoft New Tai Lue" w:hAnsi="Microsoft New Tai Lue" w:cs="Microsoft New Tai Lue"/>
          <w:color w:val="auto"/>
          <w:highlight w:val="none"/>
        </w:rPr>
      </w:pPr>
    </w:p>
    <w:p w14:paraId="367DE758">
      <w:pPr>
        <w:adjustRightInd w:val="0"/>
        <w:spacing w:before="120" w:after="120" w:line="360" w:lineRule="auto"/>
        <w:ind w:firstLine="480"/>
        <w:jc w:val="center"/>
        <w:textAlignment w:val="baseline"/>
        <w:rPr>
          <w:rFonts w:ascii="Microsoft New Tai Lue" w:hAnsi="Microsoft New Tai Lue" w:cs="Microsoft New Tai Lue"/>
          <w:b/>
          <w:color w:val="auto"/>
          <w:sz w:val="44"/>
          <w:szCs w:val="44"/>
          <w:highlight w:val="none"/>
        </w:rPr>
      </w:pPr>
    </w:p>
    <w:p w14:paraId="1720E3BA">
      <w:pPr>
        <w:adjustRightInd w:val="0"/>
        <w:spacing w:before="120" w:after="120" w:line="360" w:lineRule="auto"/>
        <w:ind w:firstLine="480"/>
        <w:jc w:val="center"/>
        <w:textAlignment w:val="baseline"/>
        <w:rPr>
          <w:rFonts w:ascii="Microsoft New Tai Lue" w:hAnsi="Microsoft New Tai Lue" w:cs="Microsoft New Tai Lue"/>
          <w:b/>
          <w:color w:val="auto"/>
          <w:sz w:val="44"/>
          <w:szCs w:val="44"/>
          <w:highlight w:val="none"/>
        </w:rPr>
      </w:pPr>
    </w:p>
    <w:p w14:paraId="63CD185B">
      <w:pPr>
        <w:adjustRightInd w:val="0"/>
        <w:spacing w:before="120" w:after="120" w:line="360" w:lineRule="auto"/>
        <w:ind w:firstLine="480"/>
        <w:jc w:val="center"/>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承 诺 函</w:t>
      </w:r>
    </w:p>
    <w:p w14:paraId="4E2C4754">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我单位郑重承诺：我单位具备履行本项采购合同所必需的设备和专业技术能力</w:t>
      </w:r>
      <w:r>
        <w:rPr>
          <w:rFonts w:hint="eastAsia" w:ascii="Microsoft New Tai Lue" w:hAnsi="Microsoft New Tai Lue" w:cs="Microsoft New Tai Lue"/>
          <w:color w:val="auto"/>
          <w:highlight w:val="none"/>
        </w:rPr>
        <w:t>。</w:t>
      </w:r>
    </w:p>
    <w:p w14:paraId="13B94D6A">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p>
    <w:p w14:paraId="46DBA490">
      <w:pPr>
        <w:adjustRightInd w:val="0"/>
        <w:spacing w:before="120" w:after="120" w:line="360" w:lineRule="auto"/>
        <w:ind w:firstLine="480"/>
        <w:jc w:val="left"/>
        <w:textAlignment w:val="baseline"/>
        <w:rPr>
          <w:rFonts w:ascii="Microsoft New Tai Lue" w:hAnsi="Microsoft New Tai Lue" w:cs="Microsoft New Tai Lue"/>
          <w:color w:val="auto"/>
          <w:highlight w:val="none"/>
        </w:rPr>
      </w:pPr>
    </w:p>
    <w:p w14:paraId="734505F8">
      <w:pPr>
        <w:pStyle w:val="15"/>
        <w:ind w:left="1260"/>
        <w:rPr>
          <w:color w:val="auto"/>
          <w:highlight w:val="none"/>
        </w:rPr>
      </w:pPr>
    </w:p>
    <w:p w14:paraId="3A02FD3F">
      <w:pPr>
        <w:rPr>
          <w:color w:val="auto"/>
          <w:highlight w:val="none"/>
        </w:rPr>
      </w:pPr>
    </w:p>
    <w:p w14:paraId="1FBA20FF">
      <w:pPr>
        <w:pStyle w:val="15"/>
        <w:ind w:left="1260"/>
        <w:rPr>
          <w:color w:val="auto"/>
          <w:highlight w:val="none"/>
        </w:rPr>
      </w:pPr>
    </w:p>
    <w:p w14:paraId="42909893">
      <w:pPr>
        <w:rPr>
          <w:color w:val="auto"/>
          <w:highlight w:val="none"/>
        </w:rPr>
      </w:pPr>
    </w:p>
    <w:p w14:paraId="403A133F">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）：______________</w:t>
      </w:r>
    </w:p>
    <w:p w14:paraId="3D560D4D">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29491997">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43DDF2E3">
      <w:pPr>
        <w:spacing w:line="360" w:lineRule="auto"/>
        <w:rPr>
          <w:rFonts w:ascii="Microsoft New Tai Lue" w:hAnsi="Microsoft New Tai Lue" w:cs="Microsoft New Tai Lue"/>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4BBD318">
      <w:pPr>
        <w:spacing w:line="360" w:lineRule="auto"/>
        <w:rPr>
          <w:rFonts w:ascii="Microsoft New Tai Lue" w:hAnsi="Microsoft New Tai Lue" w:cs="Microsoft New Tai Lue"/>
          <w:b/>
          <w:color w:val="auto"/>
          <w:sz w:val="24"/>
          <w:highlight w:val="none"/>
        </w:rPr>
      </w:pPr>
    </w:p>
    <w:p w14:paraId="249E1763">
      <w:pPr>
        <w:spacing w:line="360" w:lineRule="auto"/>
        <w:rPr>
          <w:rFonts w:ascii="Microsoft New Tai Lue" w:hAnsi="Microsoft New Tai Lue" w:cs="Microsoft New Tai Lue"/>
          <w:b/>
          <w:bCs/>
          <w:color w:val="auto"/>
          <w:highlight w:val="none"/>
        </w:rPr>
      </w:pPr>
    </w:p>
    <w:p w14:paraId="5FF3F85F">
      <w:pPr>
        <w:pStyle w:val="31"/>
        <w:spacing w:line="240" w:lineRule="atLeast"/>
        <w:rPr>
          <w:rFonts w:ascii="Microsoft New Tai Lue" w:hAnsi="Microsoft New Tai Lue" w:eastAsia="黑体" w:cs="Microsoft New Tai Lue"/>
          <w:b w:val="0"/>
          <w:color w:val="auto"/>
          <w:highlight w:val="none"/>
        </w:rPr>
      </w:pPr>
      <w:bookmarkStart w:id="316" w:name="_Toc103848591"/>
      <w:bookmarkStart w:id="317" w:name="_Toc102117323"/>
      <w:r>
        <w:rPr>
          <w:rFonts w:ascii="Microsoft New Tai Lue" w:hAnsi="Microsoft New Tai Lue" w:cs="Microsoft New Tai Lue"/>
          <w:bCs w:val="0"/>
          <w:color w:val="auto"/>
          <w:sz w:val="24"/>
          <w:szCs w:val="24"/>
          <w:highlight w:val="none"/>
        </w:rPr>
        <w:br w:type="page"/>
      </w:r>
      <w:bookmarkStart w:id="318" w:name="_Toc104560906"/>
      <w:bookmarkStart w:id="319" w:name="_Toc107246287"/>
      <w:r>
        <w:rPr>
          <w:rFonts w:ascii="Microsoft New Tai Lue" w:hAnsi="Microsoft New Tai Lue" w:cs="Microsoft New Tai Lue"/>
          <w:bCs w:val="0"/>
          <w:color w:val="auto"/>
          <w:sz w:val="24"/>
          <w:szCs w:val="24"/>
          <w:highlight w:val="none"/>
        </w:rPr>
        <w:t>（7-4）依法缴纳税收的相关材料</w:t>
      </w:r>
      <w:bookmarkEnd w:id="316"/>
      <w:bookmarkEnd w:id="317"/>
      <w:bookmarkEnd w:id="318"/>
      <w:bookmarkEnd w:id="319"/>
    </w:p>
    <w:p w14:paraId="2D8C3253">
      <w:pPr>
        <w:spacing w:line="360" w:lineRule="auto"/>
        <w:jc w:val="left"/>
        <w:rPr>
          <w:rFonts w:ascii="Microsoft New Tai Lue" w:hAnsi="Microsoft New Tai Lue" w:cs="Microsoft New Tai Lue"/>
          <w:b/>
          <w:bCs/>
          <w:color w:val="auto"/>
          <w:highlight w:val="none"/>
        </w:rPr>
      </w:pPr>
    </w:p>
    <w:p w14:paraId="76735D83">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提供本次采购活动前6个月内，至少1个月缴纳税收的凭证，依法享受免缴、缓缴的，提供证明材料</w:t>
      </w:r>
      <w:r>
        <w:rPr>
          <w:rFonts w:ascii="Microsoft New Tai Lue" w:hAnsi="Microsoft New Tai Lue" w:cs="Microsoft New Tai Lue"/>
          <w:b/>
          <w:bCs/>
          <w:color w:val="auto"/>
          <w:highlight w:val="none"/>
        </w:rPr>
        <w:t>。</w:t>
      </w:r>
    </w:p>
    <w:p w14:paraId="42D74FBE">
      <w:pPr>
        <w:pStyle w:val="31"/>
        <w:spacing w:line="240" w:lineRule="atLeast"/>
        <w:rPr>
          <w:rFonts w:ascii="Microsoft New Tai Lue" w:hAnsi="Microsoft New Tai Lue" w:cs="Microsoft New Tai Lue"/>
          <w:bCs w:val="0"/>
          <w:color w:val="auto"/>
          <w:sz w:val="24"/>
          <w:szCs w:val="24"/>
          <w:highlight w:val="none"/>
        </w:rPr>
      </w:pPr>
      <w:r>
        <w:rPr>
          <w:rFonts w:ascii="Microsoft New Tai Lue" w:hAnsi="Microsoft New Tai Lue" w:cs="Microsoft New Tai Lue"/>
          <w:b w:val="0"/>
          <w:color w:val="auto"/>
          <w:sz w:val="24"/>
          <w:highlight w:val="none"/>
        </w:rPr>
        <w:br w:type="page"/>
      </w:r>
      <w:bookmarkStart w:id="320" w:name="_Toc104560907"/>
      <w:bookmarkStart w:id="321" w:name="_Toc103848592"/>
      <w:bookmarkStart w:id="322" w:name="_Toc102117324"/>
      <w:bookmarkStart w:id="323" w:name="_Toc107246288"/>
      <w:r>
        <w:rPr>
          <w:rFonts w:ascii="Microsoft New Tai Lue" w:hAnsi="Microsoft New Tai Lue" w:cs="Microsoft New Tai Lue"/>
          <w:bCs w:val="0"/>
          <w:color w:val="auto"/>
          <w:sz w:val="24"/>
          <w:szCs w:val="24"/>
          <w:highlight w:val="none"/>
        </w:rPr>
        <w:t>（7-5）依法缴纳社会保障资金的相关材料</w:t>
      </w:r>
      <w:bookmarkEnd w:id="320"/>
      <w:bookmarkEnd w:id="321"/>
      <w:bookmarkEnd w:id="322"/>
      <w:bookmarkEnd w:id="323"/>
    </w:p>
    <w:p w14:paraId="591B0E41">
      <w:pPr>
        <w:spacing w:line="360" w:lineRule="auto"/>
        <w:jc w:val="left"/>
        <w:rPr>
          <w:rFonts w:ascii="Microsoft New Tai Lue" w:hAnsi="Microsoft New Tai Lue" w:cs="Microsoft New Tai Lue"/>
          <w:b/>
          <w:bCs/>
          <w:color w:val="auto"/>
          <w:highlight w:val="none"/>
        </w:rPr>
      </w:pPr>
    </w:p>
    <w:p w14:paraId="7DFEB278">
      <w:pPr>
        <w:spacing w:line="360" w:lineRule="auto"/>
        <w:jc w:val="left"/>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w:t>
      </w:r>
      <w:r>
        <w:rPr>
          <w:rFonts w:hint="eastAsia" w:ascii="Microsoft New Tai Lue" w:hAnsi="Microsoft New Tai Lue" w:cs="Microsoft New Tai Lue"/>
          <w:b/>
          <w:bCs/>
          <w:color w:val="auto"/>
          <w:highlight w:val="none"/>
        </w:rPr>
        <w:t>：提供本次采购活动前6个月内，至少1个月缴纳社会保险的凭证，依法享受免缴、缓缴的，提供证明材料</w:t>
      </w:r>
      <w:r>
        <w:rPr>
          <w:rFonts w:ascii="Microsoft New Tai Lue" w:hAnsi="Microsoft New Tai Lue" w:cs="Microsoft New Tai Lue"/>
          <w:b/>
          <w:bCs/>
          <w:color w:val="auto"/>
          <w:highlight w:val="none"/>
        </w:rPr>
        <w:t>。</w:t>
      </w:r>
    </w:p>
    <w:p w14:paraId="2F11A426">
      <w:pPr>
        <w:spacing w:line="360" w:lineRule="auto"/>
        <w:rPr>
          <w:rFonts w:ascii="Microsoft New Tai Lue" w:hAnsi="Microsoft New Tai Lue" w:cs="Microsoft New Tai Lue"/>
          <w:b/>
          <w:bCs/>
          <w:color w:val="auto"/>
          <w:highlight w:val="none"/>
        </w:rPr>
      </w:pPr>
    </w:p>
    <w:p w14:paraId="52D317B3">
      <w:pPr>
        <w:pStyle w:val="31"/>
        <w:spacing w:line="240" w:lineRule="atLeast"/>
        <w:rPr>
          <w:rFonts w:ascii="Microsoft New Tai Lue" w:hAnsi="Microsoft New Tai Lue" w:cs="Microsoft New Tai Lue"/>
          <w:b w:val="0"/>
          <w:color w:val="auto"/>
          <w:sz w:val="24"/>
          <w:highlight w:val="none"/>
        </w:rPr>
      </w:pPr>
      <w:r>
        <w:rPr>
          <w:rFonts w:ascii="Microsoft New Tai Lue" w:hAnsi="Microsoft New Tai Lue" w:cs="Microsoft New Tai Lue"/>
          <w:b w:val="0"/>
          <w:bCs w:val="0"/>
          <w:color w:val="auto"/>
          <w:highlight w:val="none"/>
        </w:rPr>
        <w:br w:type="page"/>
      </w:r>
      <w:bookmarkStart w:id="324" w:name="_Toc107246289"/>
      <w:bookmarkStart w:id="325" w:name="_Toc103848594"/>
      <w:bookmarkStart w:id="326" w:name="_Toc104560909"/>
      <w:bookmarkStart w:id="327" w:name="_Toc102117325"/>
      <w:r>
        <w:rPr>
          <w:rFonts w:ascii="Microsoft New Tai Lue" w:hAnsi="Microsoft New Tai Lue" w:cs="Microsoft New Tai Lue"/>
          <w:bCs w:val="0"/>
          <w:color w:val="auto"/>
          <w:sz w:val="24"/>
          <w:szCs w:val="24"/>
          <w:highlight w:val="none"/>
        </w:rPr>
        <w:t>（7-6）没有重大违法记录的书面声明</w:t>
      </w:r>
      <w:bookmarkEnd w:id="324"/>
      <w:bookmarkEnd w:id="325"/>
      <w:bookmarkEnd w:id="326"/>
      <w:bookmarkEnd w:id="327"/>
    </w:p>
    <w:p w14:paraId="07411C53">
      <w:pPr>
        <w:spacing w:line="360" w:lineRule="auto"/>
        <w:rPr>
          <w:rFonts w:ascii="Microsoft New Tai Lue" w:hAnsi="Microsoft New Tai Lue" w:cs="Microsoft New Tai Lue"/>
          <w:b/>
          <w:bCs/>
          <w:color w:val="auto"/>
          <w:highlight w:val="none"/>
        </w:rPr>
      </w:pPr>
    </w:p>
    <w:p w14:paraId="67E85E03">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注：参加政府采购活动前3年内在经营活动中没有重大违法记录的书面声明（提供声明函原件）。</w:t>
      </w:r>
    </w:p>
    <w:p w14:paraId="586B8C54">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30F35A4B">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02DBB8AE">
      <w:pPr>
        <w:spacing w:line="360" w:lineRule="auto"/>
        <w:jc w:val="center"/>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声  明</w:t>
      </w:r>
    </w:p>
    <w:p w14:paraId="42489EFD">
      <w:pPr>
        <w:rPr>
          <w:rFonts w:ascii="Microsoft New Tai Lue" w:hAnsi="Microsoft New Tai Lue" w:eastAsia="楷体_GB2312" w:cs="Microsoft New Tai Lue"/>
          <w:color w:val="auto"/>
          <w:sz w:val="28"/>
          <w:szCs w:val="28"/>
          <w:highlight w:val="none"/>
        </w:rPr>
      </w:pPr>
    </w:p>
    <w:p w14:paraId="77081717">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我单位郑重声明：参加本次政府采购活动前 3 年内，我单位在经营活动中没有因违法经营受到刑事处罚或者责令停产停业、吊销许可证或者执照、较大数额罚款等行政处罚。</w:t>
      </w:r>
    </w:p>
    <w:p w14:paraId="0C6AD3A1">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79458E24">
      <w:pPr>
        <w:spacing w:line="360" w:lineRule="auto"/>
        <w:rPr>
          <w:rFonts w:ascii="Microsoft New Tai Lue" w:hAnsi="Microsoft New Tai Lue" w:cs="Microsoft New Tai Lue"/>
          <w:bCs/>
          <w:color w:val="auto"/>
          <w:highlight w:val="none"/>
        </w:rPr>
      </w:pPr>
    </w:p>
    <w:p w14:paraId="7C6B064B">
      <w:pPr>
        <w:spacing w:line="360" w:lineRule="auto"/>
        <w:rPr>
          <w:rFonts w:ascii="Microsoft New Tai Lue" w:hAnsi="Microsoft New Tai Lue" w:cs="Microsoft New Tai Lue"/>
          <w:bCs/>
          <w:color w:val="auto"/>
          <w:highlight w:val="none"/>
        </w:rPr>
      </w:pPr>
    </w:p>
    <w:p w14:paraId="30DD57F8">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p>
    <w:p w14:paraId="36848E26">
      <w:pPr>
        <w:spacing w:line="360" w:lineRule="auto"/>
        <w:ind w:firstLine="3990" w:firstLineChars="1900"/>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4F002204">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5325E0D9">
      <w:pPr>
        <w:spacing w:line="360" w:lineRule="auto"/>
        <w:ind w:firstLine="3990" w:firstLineChars="19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16D2113A">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13EB9B24">
      <w:pPr>
        <w:adjustRightInd w:val="0"/>
        <w:snapToGrid w:val="0"/>
        <w:spacing w:line="360" w:lineRule="auto"/>
        <w:jc w:val="center"/>
        <w:rPr>
          <w:rFonts w:ascii="Microsoft New Tai Lue" w:hAnsi="Microsoft New Tai Lue" w:eastAsia="黑体" w:cs="Microsoft New Tai Lue"/>
          <w:b/>
          <w:color w:val="auto"/>
          <w:sz w:val="32"/>
          <w:szCs w:val="32"/>
          <w:highlight w:val="none"/>
        </w:rPr>
      </w:pPr>
    </w:p>
    <w:p w14:paraId="50AB68FA">
      <w:pPr>
        <w:pStyle w:val="31"/>
        <w:spacing w:line="240" w:lineRule="atLeast"/>
        <w:rPr>
          <w:rFonts w:ascii="Times New Roman" w:hAnsi="Times New Roman"/>
          <w:b w:val="0"/>
          <w:color w:val="auto"/>
          <w:sz w:val="24"/>
          <w:szCs w:val="24"/>
          <w:highlight w:val="none"/>
        </w:rPr>
      </w:pPr>
      <w:r>
        <w:rPr>
          <w:rFonts w:eastAsia="黑体"/>
          <w:b w:val="0"/>
          <w:color w:val="auto"/>
          <w:highlight w:val="none"/>
        </w:rPr>
        <w:br w:type="page"/>
      </w:r>
      <w:bookmarkStart w:id="328" w:name="_Toc107246290"/>
      <w:bookmarkStart w:id="329" w:name="_Toc104560910"/>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w:t>
      </w:r>
      <w:r>
        <w:rPr>
          <w:rFonts w:ascii="Microsoft New Tai Lue" w:hAnsi="Microsoft New Tai Lue" w:cs="Microsoft New Tai Lue"/>
          <w:bCs w:val="0"/>
          <w:color w:val="auto"/>
          <w:sz w:val="24"/>
          <w:szCs w:val="24"/>
          <w:highlight w:val="none"/>
        </w:rPr>
        <w:t>7</w:t>
      </w:r>
      <w:r>
        <w:rPr>
          <w:rFonts w:hint="eastAsia" w:ascii="Microsoft New Tai Lue" w:hAnsi="Microsoft New Tai Lue" w:cs="Microsoft New Tai Lue"/>
          <w:bCs w:val="0"/>
          <w:color w:val="auto"/>
          <w:sz w:val="24"/>
          <w:szCs w:val="24"/>
          <w:highlight w:val="none"/>
        </w:rPr>
        <w:t>）无不良信用记录承诺函（供应商自行查询适用）</w:t>
      </w:r>
      <w:bookmarkEnd w:id="328"/>
      <w:bookmarkEnd w:id="329"/>
    </w:p>
    <w:p w14:paraId="5AE721CD">
      <w:pPr>
        <w:pStyle w:val="79"/>
        <w:spacing w:line="480" w:lineRule="auto"/>
        <w:ind w:firstLine="420"/>
        <w:rPr>
          <w:rFonts w:hint="eastAsia" w:hAnsi="宋体"/>
          <w:color w:val="auto"/>
          <w:sz w:val="21"/>
          <w:szCs w:val="21"/>
          <w:highlight w:val="none"/>
        </w:rPr>
      </w:pPr>
      <w:r>
        <w:rPr>
          <w:rFonts w:hint="eastAsia" w:hAnsi="宋体"/>
          <w:color w:val="auto"/>
          <w:sz w:val="21"/>
          <w:szCs w:val="21"/>
          <w:highlight w:val="none"/>
        </w:rPr>
        <w:t>本单位郑重承诺，我单位无以下不良信用记录情形：</w:t>
      </w:r>
    </w:p>
    <w:p w14:paraId="70088D49">
      <w:pPr>
        <w:pStyle w:val="79"/>
        <w:spacing w:line="480" w:lineRule="auto"/>
        <w:ind w:firstLine="420"/>
        <w:rPr>
          <w:rFonts w:hint="eastAsia" w:hAnsi="宋体"/>
          <w:color w:val="auto"/>
          <w:sz w:val="21"/>
          <w:szCs w:val="21"/>
          <w:highlight w:val="none"/>
        </w:rPr>
      </w:pPr>
      <w:r>
        <w:rPr>
          <w:rFonts w:hAnsi="宋体"/>
          <w:color w:val="auto"/>
          <w:sz w:val="21"/>
          <w:szCs w:val="21"/>
          <w:highlight w:val="none"/>
        </w:rPr>
        <w:t>1.</w:t>
      </w:r>
      <w:r>
        <w:rPr>
          <w:rFonts w:hint="eastAsia" w:hAnsi="宋体"/>
          <w:color w:val="auto"/>
          <w:sz w:val="21"/>
          <w:szCs w:val="21"/>
          <w:highlight w:val="none"/>
        </w:rPr>
        <w:t>被人民法院列入失信被执行人；</w:t>
      </w:r>
    </w:p>
    <w:p w14:paraId="1321253B">
      <w:pPr>
        <w:pStyle w:val="79"/>
        <w:spacing w:line="480" w:lineRule="auto"/>
        <w:ind w:firstLine="420"/>
        <w:rPr>
          <w:rFonts w:hint="eastAsia" w:hAnsi="宋体"/>
          <w:color w:val="auto"/>
          <w:sz w:val="21"/>
          <w:szCs w:val="21"/>
          <w:highlight w:val="none"/>
        </w:rPr>
      </w:pPr>
      <w:r>
        <w:rPr>
          <w:rFonts w:hAnsi="宋体"/>
          <w:color w:val="auto"/>
          <w:sz w:val="21"/>
          <w:szCs w:val="21"/>
          <w:highlight w:val="none"/>
        </w:rPr>
        <w:t>2.</w:t>
      </w:r>
      <w:r>
        <w:rPr>
          <w:rFonts w:hint="eastAsia" w:hAnsi="宋体"/>
          <w:color w:val="auto"/>
          <w:sz w:val="21"/>
          <w:szCs w:val="21"/>
          <w:highlight w:val="none"/>
        </w:rPr>
        <w:t>被税务部门列入重大税收违法案件当事人名单；</w:t>
      </w:r>
    </w:p>
    <w:p w14:paraId="799DF7B6">
      <w:pPr>
        <w:pStyle w:val="79"/>
        <w:spacing w:line="480" w:lineRule="auto"/>
        <w:ind w:firstLine="420"/>
        <w:rPr>
          <w:rFonts w:hint="eastAsia" w:hAnsi="宋体"/>
          <w:color w:val="auto"/>
          <w:sz w:val="21"/>
          <w:szCs w:val="21"/>
          <w:highlight w:val="none"/>
        </w:rPr>
      </w:pPr>
      <w:r>
        <w:rPr>
          <w:rFonts w:hAnsi="宋体"/>
          <w:color w:val="auto"/>
          <w:sz w:val="21"/>
          <w:szCs w:val="21"/>
          <w:highlight w:val="none"/>
        </w:rPr>
        <w:t>3.</w:t>
      </w:r>
      <w:r>
        <w:rPr>
          <w:rFonts w:hint="eastAsia" w:hAnsi="宋体"/>
          <w:color w:val="auto"/>
          <w:sz w:val="21"/>
          <w:szCs w:val="21"/>
          <w:highlight w:val="none"/>
        </w:rPr>
        <w:t>被政府采购监管部门列入政府采购严重违法失信行为记录名单；</w:t>
      </w:r>
    </w:p>
    <w:p w14:paraId="3C34F28F">
      <w:pPr>
        <w:pStyle w:val="79"/>
        <w:spacing w:line="480" w:lineRule="auto"/>
        <w:ind w:firstLine="420"/>
        <w:rPr>
          <w:rFonts w:hint="eastAsia" w:hAnsi="宋体"/>
          <w:color w:val="auto"/>
          <w:sz w:val="21"/>
          <w:szCs w:val="21"/>
          <w:highlight w:val="none"/>
        </w:rPr>
      </w:pPr>
      <w:r>
        <w:rPr>
          <w:rFonts w:hAnsi="宋体"/>
          <w:color w:val="auto"/>
          <w:sz w:val="21"/>
          <w:szCs w:val="21"/>
          <w:highlight w:val="none"/>
        </w:rPr>
        <w:t>4.</w:t>
      </w:r>
      <w:r>
        <w:rPr>
          <w:rFonts w:hint="eastAsia" w:hAnsi="宋体"/>
          <w:color w:val="auto"/>
          <w:sz w:val="21"/>
          <w:szCs w:val="21"/>
          <w:highlight w:val="none"/>
        </w:rPr>
        <w:t>不符合《政府采购法》第二十二条规定的条件。</w:t>
      </w:r>
    </w:p>
    <w:p w14:paraId="564A3216">
      <w:pPr>
        <w:pStyle w:val="79"/>
        <w:spacing w:line="480" w:lineRule="auto"/>
        <w:ind w:firstLine="420"/>
        <w:rPr>
          <w:rFonts w:hint="eastAsia" w:hAnsi="宋体"/>
          <w:color w:val="auto"/>
          <w:sz w:val="21"/>
          <w:szCs w:val="21"/>
          <w:highlight w:val="none"/>
        </w:rPr>
      </w:pPr>
      <w:r>
        <w:rPr>
          <w:rFonts w:hint="eastAsia" w:hAnsi="宋体"/>
          <w:color w:val="auto"/>
          <w:sz w:val="21"/>
          <w:szCs w:val="21"/>
          <w:highlight w:val="none"/>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77706389">
      <w:pPr>
        <w:pStyle w:val="79"/>
        <w:ind w:firstLine="400"/>
        <w:rPr>
          <w:rFonts w:ascii="Times New Roman" w:hAnsi="Times New Roman" w:eastAsia="等线"/>
          <w:color w:val="auto"/>
          <w:highlight w:val="none"/>
        </w:rPr>
      </w:pPr>
    </w:p>
    <w:p w14:paraId="2DA76E0A">
      <w:pPr>
        <w:pStyle w:val="79"/>
        <w:ind w:firstLine="400"/>
        <w:rPr>
          <w:rFonts w:ascii="Times New Roman" w:hAnsi="Times New Roman" w:eastAsia="等线"/>
          <w:color w:val="auto"/>
          <w:highlight w:val="none"/>
        </w:rPr>
      </w:pPr>
    </w:p>
    <w:p w14:paraId="0B35456F">
      <w:pPr>
        <w:pStyle w:val="79"/>
        <w:ind w:firstLine="400"/>
        <w:rPr>
          <w:rFonts w:ascii="Times New Roman" w:hAnsi="Times New Roman" w:eastAsia="等线"/>
          <w:color w:val="auto"/>
          <w:highlight w:val="none"/>
        </w:rPr>
      </w:pPr>
    </w:p>
    <w:p w14:paraId="15B577F6">
      <w:pPr>
        <w:pStyle w:val="79"/>
        <w:ind w:firstLine="400"/>
        <w:rPr>
          <w:rFonts w:ascii="Times New Roman" w:hAnsi="Times New Roman" w:eastAsia="等线"/>
          <w:color w:val="auto"/>
          <w:highlight w:val="none"/>
        </w:rPr>
      </w:pPr>
    </w:p>
    <w:p w14:paraId="6DC7DA87">
      <w:pPr>
        <w:pStyle w:val="79"/>
        <w:ind w:firstLine="400"/>
        <w:rPr>
          <w:rFonts w:ascii="Times New Roman" w:hAnsi="Times New Roman" w:eastAsia="等线"/>
          <w:color w:val="auto"/>
          <w:highlight w:val="none"/>
        </w:rPr>
      </w:pPr>
    </w:p>
    <w:p w14:paraId="271755CB">
      <w:pPr>
        <w:spacing w:line="360" w:lineRule="auto"/>
        <w:ind w:firstLine="3990" w:firstLineChars="1900"/>
        <w:rPr>
          <w:rFonts w:ascii="Microsoft New Tai Lue" w:hAnsi="Microsoft New Tai Lue" w:cs="Microsoft New Tai Lue"/>
          <w:color w:val="auto"/>
          <w:szCs w:val="21"/>
          <w:highlight w:val="none"/>
          <w:u w:val="single"/>
        </w:rPr>
      </w:pPr>
      <w:bookmarkStart w:id="330" w:name="_Toc102117326"/>
      <w:bookmarkStart w:id="331" w:name="_Toc103848596"/>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3BD01E4E">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3A275A26">
      <w:pPr>
        <w:spacing w:line="360" w:lineRule="auto"/>
        <w:ind w:firstLine="3990" w:firstLineChars="19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A523D5B">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100878DE">
      <w:pPr>
        <w:pStyle w:val="3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r>
      <w:bookmarkStart w:id="332" w:name="_Toc107246291"/>
      <w:bookmarkStart w:id="333" w:name="_Toc104560911"/>
      <w:r>
        <w:rPr>
          <w:rFonts w:ascii="Microsoft New Tai Lue" w:hAnsi="Microsoft New Tai Lue" w:cs="Microsoft New Tai Lue"/>
          <w:bCs w:val="0"/>
          <w:color w:val="auto"/>
          <w:sz w:val="24"/>
          <w:szCs w:val="24"/>
          <w:highlight w:val="none"/>
        </w:rPr>
        <w:t>（7-8）</w:t>
      </w:r>
      <w:bookmarkEnd w:id="330"/>
      <w:r>
        <w:rPr>
          <w:rFonts w:ascii="Microsoft New Tai Lue" w:hAnsi="Microsoft New Tai Lue" w:cs="Microsoft New Tai Lue"/>
          <w:bCs w:val="0"/>
          <w:color w:val="auto"/>
          <w:sz w:val="24"/>
          <w:szCs w:val="24"/>
          <w:highlight w:val="none"/>
        </w:rPr>
        <w:t>招标文件要求的其它实质性资格资信证明文件</w:t>
      </w:r>
      <w:bookmarkEnd w:id="332"/>
      <w:bookmarkEnd w:id="333"/>
    </w:p>
    <w:p w14:paraId="3011A7F4">
      <w:pPr>
        <w:pStyle w:val="79"/>
        <w:ind w:firstLine="0" w:firstLineChars="0"/>
        <w:rPr>
          <w:rFonts w:hint="eastAsia" w:hAnsi="宋体"/>
          <w:b/>
          <w:bCs/>
          <w:color w:val="auto"/>
          <w:sz w:val="21"/>
          <w:szCs w:val="21"/>
          <w:highlight w:val="none"/>
        </w:rPr>
      </w:pPr>
      <w:bookmarkStart w:id="334" w:name="_Toc107246292"/>
      <w:r>
        <w:rPr>
          <w:rFonts w:hint="eastAsia" w:hAnsi="宋体"/>
          <w:b/>
          <w:bCs/>
          <w:color w:val="auto"/>
          <w:sz w:val="21"/>
          <w:szCs w:val="21"/>
          <w:highlight w:val="none"/>
          <w:lang w:val="en-US" w:eastAsia="zh-CN"/>
        </w:rPr>
        <w:t>1.</w:t>
      </w:r>
      <w:r>
        <w:rPr>
          <w:rFonts w:hint="eastAsia" w:hAnsi="宋体"/>
          <w:b/>
          <w:bCs/>
          <w:color w:val="auto"/>
          <w:sz w:val="21"/>
          <w:szCs w:val="21"/>
          <w:highlight w:val="none"/>
        </w:rPr>
        <w:t>特定资格条件</w:t>
      </w:r>
    </w:p>
    <w:p w14:paraId="2F8AD549">
      <w:pPr>
        <w:spacing w:line="360" w:lineRule="auto"/>
        <w:ind w:firstLine="420" w:firstLineChars="200"/>
        <w:rPr>
          <w:rFonts w:hint="eastAsia"/>
          <w:color w:val="auto"/>
          <w:sz w:val="21"/>
          <w:szCs w:val="21"/>
          <w:highlight w:val="none"/>
        </w:rPr>
      </w:pPr>
      <w:r>
        <w:rPr>
          <w:rFonts w:hint="eastAsia"/>
          <w:color w:val="auto"/>
          <w:sz w:val="21"/>
          <w:szCs w:val="21"/>
          <w:highlight w:val="none"/>
          <w:lang w:eastAsia="zh-CN"/>
        </w:rPr>
        <w:t>（</w:t>
      </w:r>
      <w:r>
        <w:rPr>
          <w:rFonts w:hint="eastAsia"/>
          <w:color w:val="auto"/>
          <w:sz w:val="21"/>
          <w:szCs w:val="21"/>
          <w:highlight w:val="none"/>
          <w:lang w:val="en-US" w:eastAsia="zh-CN"/>
        </w:rPr>
        <w:t>1</w:t>
      </w:r>
      <w:r>
        <w:rPr>
          <w:rFonts w:hint="eastAsia"/>
          <w:color w:val="auto"/>
          <w:sz w:val="21"/>
          <w:szCs w:val="21"/>
          <w:highlight w:val="none"/>
          <w:lang w:eastAsia="zh-CN"/>
        </w:rPr>
        <w:t>）</w:t>
      </w:r>
      <w:r>
        <w:rPr>
          <w:rFonts w:hint="eastAsia" w:ascii="Microsoft New Tai Lue" w:hAnsi="Microsoft New Tai Lue" w:cs="Microsoft New Tai Lue"/>
          <w:bCs/>
          <w:color w:val="auto"/>
          <w:highlight w:val="none"/>
          <w:lang w:val="en-US" w:eastAsia="zh-CN"/>
        </w:rPr>
        <w:t>供应商</w:t>
      </w:r>
      <w:r>
        <w:rPr>
          <w:rFonts w:hint="eastAsia" w:ascii="Microsoft New Tai Lue" w:hAnsi="Microsoft New Tai Lue" w:cs="Microsoft New Tai Lue"/>
          <w:bCs/>
          <w:color w:val="auto"/>
          <w:szCs w:val="21"/>
          <w:highlight w:val="none"/>
        </w:rPr>
        <w:t>符合《政府购买服务管理办法》（财政部令第102号）第六条</w:t>
      </w:r>
      <w:r>
        <w:rPr>
          <w:rFonts w:hint="eastAsia" w:ascii="Microsoft New Tai Lue" w:hAnsi="Microsoft New Tai Lue" w:cs="Microsoft New Tai Lue"/>
          <w:bCs/>
          <w:color w:val="auto"/>
          <w:szCs w:val="21"/>
          <w:highlight w:val="none"/>
          <w:lang w:val="en-US" w:eastAsia="zh-CN"/>
        </w:rPr>
        <w:t>和</w:t>
      </w:r>
      <w:r>
        <w:rPr>
          <w:rFonts w:hint="eastAsia" w:ascii="Microsoft New Tai Lue" w:hAnsi="Microsoft New Tai Lue" w:cs="Microsoft New Tai Lue"/>
          <w:bCs/>
          <w:color w:val="auto"/>
          <w:szCs w:val="21"/>
          <w:highlight w:val="none"/>
        </w:rPr>
        <w:t>第八条规定</w:t>
      </w:r>
    </w:p>
    <w:p w14:paraId="36205112">
      <w:pPr>
        <w:spacing w:line="360" w:lineRule="auto"/>
        <w:ind w:firstLine="420" w:firstLineChars="200"/>
        <w:rPr>
          <w:rFonts w:hint="eastAsia"/>
          <w:color w:val="auto"/>
          <w:sz w:val="21"/>
          <w:szCs w:val="21"/>
          <w:highlight w:val="none"/>
          <w:lang w:val="en-US" w:eastAsia="zh-CN"/>
        </w:rPr>
      </w:pPr>
    </w:p>
    <w:p w14:paraId="5AC31F94">
      <w:pPr>
        <w:spacing w:line="360" w:lineRule="auto"/>
        <w:ind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注：提供声明函并加盖公章。</w:t>
      </w:r>
    </w:p>
    <w:p w14:paraId="668E51EF">
      <w:pPr>
        <w:adjustRightInd w:val="0"/>
        <w:spacing w:before="120" w:after="120" w:line="360" w:lineRule="auto"/>
        <w:jc w:val="center"/>
        <w:textAlignment w:val="baseline"/>
        <w:rPr>
          <w:rFonts w:ascii="Microsoft New Tai Lue" w:hAnsi="Microsoft New Tai Lue" w:cs="Microsoft New Tai Lue"/>
          <w:color w:val="auto"/>
          <w:sz w:val="44"/>
          <w:szCs w:val="44"/>
          <w:highlight w:val="none"/>
        </w:rPr>
      </w:pPr>
      <w:r>
        <w:rPr>
          <w:rFonts w:hint="eastAsia" w:ascii="Microsoft New Tai Lue" w:hAnsi="Microsoft New Tai Lue" w:cs="Microsoft New Tai Lue"/>
          <w:color w:val="auto"/>
          <w:sz w:val="44"/>
          <w:szCs w:val="44"/>
          <w:highlight w:val="none"/>
        </w:rPr>
        <w:t>声明函</w:t>
      </w:r>
    </w:p>
    <w:p w14:paraId="4ADF8244">
      <w:pPr>
        <w:pStyle w:val="15"/>
        <w:ind w:left="1260"/>
        <w:rPr>
          <w:color w:val="auto"/>
          <w:highlight w:val="none"/>
        </w:rPr>
      </w:pPr>
    </w:p>
    <w:p w14:paraId="778ACC4F">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w:t>
      </w:r>
      <w:r>
        <w:rPr>
          <w:rFonts w:hint="eastAsia" w:ascii="Microsoft New Tai Lue" w:hAnsi="Microsoft New Tai Lue" w:cs="Microsoft New Tai Lue"/>
          <w:color w:val="auto"/>
          <w:highlight w:val="none"/>
        </w:rPr>
        <w:t>声明</w:t>
      </w:r>
      <w:r>
        <w:rPr>
          <w:rFonts w:ascii="Microsoft New Tai Lue" w:hAnsi="Microsoft New Tai Lue" w:cs="Microsoft New Tai Lue"/>
          <w:color w:val="auto"/>
          <w:highlight w:val="none"/>
        </w:rPr>
        <w:t>：</w:t>
      </w:r>
    </w:p>
    <w:p w14:paraId="5541A705">
      <w:pPr>
        <w:adjustRightInd w:val="0"/>
        <w:spacing w:before="120" w:after="120" w:line="360" w:lineRule="auto"/>
        <w:ind w:firstLine="480"/>
        <w:jc w:val="left"/>
        <w:textAlignment w:val="baseline"/>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rPr>
        <w:t>我单位符合《政府购买服务管理办法》（财政部令第102号）第六条和第八条规定</w:t>
      </w:r>
      <w:r>
        <w:rPr>
          <w:rFonts w:hint="eastAsia" w:ascii="Microsoft New Tai Lue" w:hAnsi="Microsoft New Tai Lue" w:cs="Microsoft New Tai Lue"/>
          <w:color w:val="auto"/>
          <w:highlight w:val="none"/>
          <w:lang w:val="en-US" w:eastAsia="zh-CN"/>
        </w:rPr>
        <w:t>。</w:t>
      </w:r>
    </w:p>
    <w:p w14:paraId="6F0E8518">
      <w:pPr>
        <w:pStyle w:val="15"/>
        <w:ind w:left="1260"/>
        <w:rPr>
          <w:color w:val="auto"/>
          <w:highlight w:val="none"/>
        </w:rPr>
      </w:pPr>
    </w:p>
    <w:p w14:paraId="5D08135A">
      <w:pPr>
        <w:rPr>
          <w:color w:val="auto"/>
          <w:highlight w:val="none"/>
        </w:rPr>
      </w:pPr>
    </w:p>
    <w:p w14:paraId="468C7CE7">
      <w:pPr>
        <w:pStyle w:val="15"/>
        <w:ind w:left="1260"/>
        <w:rPr>
          <w:color w:val="auto"/>
          <w:highlight w:val="none"/>
        </w:rPr>
      </w:pPr>
    </w:p>
    <w:p w14:paraId="013B2192">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 xml:space="preserve">    </w:t>
      </w:r>
      <w:r>
        <w:rPr>
          <w:rFonts w:hint="eastAsia" w:ascii="Microsoft New Tai Lue" w:hAnsi="Microsoft New Tai Lue" w:cs="Microsoft New Tai Lue"/>
          <w:bCs/>
          <w:color w:val="auto"/>
          <w:highlight w:val="none"/>
        </w:rPr>
        <w:t xml:space="preserve">    </w:t>
      </w:r>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241519F2">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4B80FEBC">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13259A1C">
      <w:pPr>
        <w:spacing w:line="360" w:lineRule="auto"/>
        <w:rPr>
          <w:rFonts w:hint="eastAsia" w:hAnsi="宋体"/>
          <w:b/>
          <w:bCs/>
          <w:color w:val="auto"/>
          <w:sz w:val="21"/>
          <w:szCs w:val="21"/>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r>
        <w:rPr>
          <w:rFonts w:hint="eastAsia" w:hAnsi="宋体"/>
          <w:b/>
          <w:bCs/>
          <w:color w:val="auto"/>
          <w:sz w:val="21"/>
          <w:szCs w:val="21"/>
          <w:highlight w:val="none"/>
        </w:rPr>
        <w:br w:type="page"/>
      </w:r>
    </w:p>
    <w:p w14:paraId="2E5DDF3B">
      <w:pPr>
        <w:spacing w:line="360" w:lineRule="auto"/>
        <w:ind w:firstLine="420" w:firstLineChars="200"/>
        <w:rPr>
          <w:b/>
          <w:color w:val="auto"/>
          <w:highlight w:val="none"/>
        </w:rPr>
      </w:pPr>
      <w:r>
        <w:rPr>
          <w:rFonts w:hint="eastAsia"/>
          <w:color w:val="auto"/>
          <w:sz w:val="21"/>
          <w:szCs w:val="21"/>
          <w:highlight w:val="none"/>
        </w:rPr>
        <w:t>（</w:t>
      </w:r>
      <w:r>
        <w:rPr>
          <w:rFonts w:hint="eastAsia"/>
          <w:color w:val="auto"/>
          <w:sz w:val="21"/>
          <w:szCs w:val="21"/>
          <w:highlight w:val="none"/>
          <w:lang w:val="en-US" w:eastAsia="zh-CN"/>
        </w:rPr>
        <w:t>2</w:t>
      </w:r>
      <w:r>
        <w:rPr>
          <w:rFonts w:hint="eastAsia"/>
          <w:color w:val="auto"/>
          <w:sz w:val="21"/>
          <w:szCs w:val="21"/>
          <w:highlight w:val="none"/>
        </w:rPr>
        <w:t>）</w:t>
      </w:r>
      <w:r>
        <w:rPr>
          <w:rFonts w:hint="eastAsia" w:ascii="Microsoft New Tai Lue" w:hAnsi="Microsoft New Tai Lue" w:cs="Microsoft New Tai Lue"/>
          <w:bCs/>
          <w:color w:val="auto"/>
          <w:highlight w:val="none"/>
          <w:lang w:val="en-US" w:eastAsia="zh-CN"/>
        </w:rPr>
        <w:t>供应商具备检验检测机构资质认定证书（CMA），合同履行期限内CMA资质附表中的项目包含所投标包检测内容。</w:t>
      </w:r>
    </w:p>
    <w:p w14:paraId="4D5D10A7">
      <w:pPr>
        <w:spacing w:line="360" w:lineRule="auto"/>
        <w:ind w:firstLine="422" w:firstLineChars="200"/>
        <w:rPr>
          <w:rFonts w:hint="eastAsia"/>
          <w:b/>
          <w:color w:val="auto"/>
          <w:highlight w:val="none"/>
        </w:rPr>
      </w:pPr>
    </w:p>
    <w:p w14:paraId="6249ACB4">
      <w:pPr>
        <w:spacing w:line="360" w:lineRule="auto"/>
        <w:ind w:firstLine="420" w:firstLineChars="200"/>
        <w:rPr>
          <w:b w:val="0"/>
          <w:bCs/>
          <w:color w:val="auto"/>
          <w:highlight w:val="none"/>
        </w:rPr>
      </w:pPr>
      <w:r>
        <w:rPr>
          <w:rFonts w:hint="eastAsia"/>
          <w:b w:val="0"/>
          <w:bCs/>
          <w:color w:val="auto"/>
          <w:highlight w:val="none"/>
        </w:rPr>
        <w:t>注</w:t>
      </w:r>
      <w:r>
        <w:rPr>
          <w:b w:val="0"/>
          <w:bCs/>
          <w:color w:val="auto"/>
          <w:highlight w:val="none"/>
        </w:rPr>
        <w:t>：</w:t>
      </w:r>
      <w:r>
        <w:rPr>
          <w:rFonts w:hint="eastAsia"/>
          <w:b w:val="0"/>
          <w:bCs/>
          <w:color w:val="auto"/>
          <w:highlight w:val="none"/>
        </w:rPr>
        <w:t>提供有效期内的证书复印件并加盖公章和合同履行期限内CMA资质附表中的项目包含所投标包检测内容的承诺函并加盖公章，如证书有效期未能覆盖合同履行期限的，须提供证书有效期能覆盖合同履行期限的承诺函并加盖公章。</w:t>
      </w:r>
    </w:p>
    <w:p w14:paraId="3F73602A">
      <w:pPr>
        <w:pStyle w:val="15"/>
        <w:ind w:left="1260"/>
        <w:rPr>
          <w:color w:val="auto"/>
          <w:highlight w:val="none"/>
        </w:rPr>
      </w:pPr>
    </w:p>
    <w:p w14:paraId="670ACC7C">
      <w:pPr>
        <w:pStyle w:val="15"/>
        <w:ind w:left="1260"/>
        <w:rPr>
          <w:color w:val="auto"/>
          <w:highlight w:val="none"/>
        </w:rPr>
      </w:pPr>
    </w:p>
    <w:p w14:paraId="38AA5EE1">
      <w:pPr>
        <w:adjustRightInd w:val="0"/>
        <w:spacing w:before="120" w:after="120" w:line="360" w:lineRule="auto"/>
        <w:jc w:val="center"/>
        <w:textAlignment w:val="baseline"/>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承诺函</w:t>
      </w:r>
    </w:p>
    <w:p w14:paraId="139AA41E">
      <w:pPr>
        <w:pStyle w:val="15"/>
        <w:ind w:left="1260"/>
        <w:rPr>
          <w:color w:val="auto"/>
          <w:highlight w:val="none"/>
        </w:rPr>
      </w:pPr>
    </w:p>
    <w:p w14:paraId="641DD874">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w:t>
      </w:r>
    </w:p>
    <w:p w14:paraId="1EEDE127">
      <w:pPr>
        <w:adjustRightInd w:val="0"/>
        <w:spacing w:before="120" w:after="120" w:line="360" w:lineRule="auto"/>
        <w:ind w:firstLine="480"/>
        <w:jc w:val="left"/>
        <w:textAlignment w:val="baseline"/>
        <w:rPr>
          <w:rFonts w:hint="default" w:ascii="Microsoft New Tai Lue" w:hAnsi="Microsoft New Tai Lue" w:eastAsia="宋体" w:cs="Microsoft New Tai Lue"/>
          <w:color w:val="auto"/>
          <w:highlight w:val="none"/>
          <w:lang w:val="en-US" w:eastAsia="zh-CN"/>
        </w:rPr>
      </w:pPr>
      <w:r>
        <w:rPr>
          <w:rFonts w:hint="default" w:ascii="Microsoft New Tai Lue" w:hAnsi="Microsoft New Tai Lue" w:eastAsia="宋体" w:cs="Microsoft New Tai Lue"/>
          <w:color w:val="auto"/>
          <w:highlight w:val="none"/>
          <w:lang w:val="en-US" w:eastAsia="zh-CN"/>
        </w:rPr>
        <w:t>合同履行期限内CMA资质附表中的项目包含所投标包检测内容。</w:t>
      </w:r>
    </w:p>
    <w:p w14:paraId="3EFD8A9D">
      <w:pPr>
        <w:pStyle w:val="15"/>
        <w:ind w:left="1260"/>
        <w:rPr>
          <w:color w:val="auto"/>
          <w:highlight w:val="none"/>
        </w:rPr>
      </w:pPr>
    </w:p>
    <w:p w14:paraId="59E20060">
      <w:pPr>
        <w:rPr>
          <w:color w:val="auto"/>
          <w:highlight w:val="none"/>
        </w:rPr>
      </w:pPr>
    </w:p>
    <w:p w14:paraId="69DC1967">
      <w:pPr>
        <w:pStyle w:val="15"/>
        <w:ind w:left="1260"/>
        <w:rPr>
          <w:color w:val="auto"/>
          <w:highlight w:val="none"/>
        </w:rPr>
      </w:pPr>
    </w:p>
    <w:p w14:paraId="43916E9E">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0A1E6DAD">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1F157B53">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43792409">
      <w:pPr>
        <w:spacing w:line="36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60B322E7">
      <w:pPr>
        <w:spacing w:line="360" w:lineRule="auto"/>
        <w:rPr>
          <w:rFonts w:ascii="Microsoft New Tai Lue" w:hAnsi="Microsoft New Tai Lue" w:cs="Microsoft New Tai Lue"/>
          <w:bCs/>
          <w:color w:val="auto"/>
          <w:highlight w:val="none"/>
        </w:rPr>
      </w:pPr>
    </w:p>
    <w:p w14:paraId="3C8E855A">
      <w:pPr>
        <w:spacing w:line="360" w:lineRule="auto"/>
        <w:rPr>
          <w:rFonts w:ascii="Microsoft New Tai Lue" w:hAnsi="Microsoft New Tai Lue" w:cs="Microsoft New Tai Lue"/>
          <w:bCs/>
          <w:color w:val="auto"/>
          <w:highlight w:val="none"/>
        </w:rPr>
      </w:pPr>
    </w:p>
    <w:p w14:paraId="5F06CFE5">
      <w:pPr>
        <w:spacing w:line="360" w:lineRule="auto"/>
        <w:rPr>
          <w:rFonts w:ascii="Microsoft New Tai Lue" w:hAnsi="Microsoft New Tai Lue" w:cs="Microsoft New Tai Lue"/>
          <w:bCs/>
          <w:color w:val="auto"/>
          <w:highlight w:val="none"/>
        </w:rPr>
        <w:sectPr>
          <w:pgSz w:w="11911" w:h="16838"/>
          <w:pgMar w:top="1440" w:right="1803" w:bottom="1440" w:left="1803" w:header="720" w:footer="720" w:gutter="0"/>
          <w:pgNumType w:fmt="decimal"/>
          <w:cols w:space="0" w:num="1"/>
          <w:rtlGutter w:val="0"/>
          <w:docGrid w:linePitch="317" w:charSpace="0"/>
        </w:sectPr>
      </w:pPr>
    </w:p>
    <w:p w14:paraId="623A5B77">
      <w:pPr>
        <w:adjustRightInd w:val="0"/>
        <w:spacing w:before="120" w:after="120" w:line="360" w:lineRule="auto"/>
        <w:jc w:val="center"/>
        <w:textAlignment w:val="baseline"/>
        <w:rPr>
          <w:rFonts w:hint="eastAsia" w:ascii="Microsoft New Tai Lue" w:hAnsi="Microsoft New Tai Lue" w:eastAsia="宋体" w:cs="Microsoft New Tai Lue"/>
          <w:color w:val="auto"/>
          <w:sz w:val="44"/>
          <w:szCs w:val="44"/>
          <w:highlight w:val="none"/>
          <w:lang w:eastAsia="zh-CN"/>
        </w:rPr>
      </w:pPr>
      <w:r>
        <w:rPr>
          <w:rFonts w:hint="eastAsia" w:ascii="Microsoft New Tai Lue" w:hAnsi="Microsoft New Tai Lue" w:cs="Microsoft New Tai Lue"/>
          <w:color w:val="auto"/>
          <w:sz w:val="44"/>
          <w:szCs w:val="44"/>
          <w:highlight w:val="none"/>
        </w:rPr>
        <w:t>承诺函</w:t>
      </w:r>
      <w:r>
        <w:rPr>
          <w:rFonts w:hint="eastAsia" w:ascii="Microsoft New Tai Lue" w:hAnsi="Microsoft New Tai Lue" w:cs="Microsoft New Tai Lue"/>
          <w:color w:val="auto"/>
          <w:sz w:val="44"/>
          <w:szCs w:val="44"/>
          <w:highlight w:val="none"/>
          <w:lang w:eastAsia="zh-CN"/>
        </w:rPr>
        <w:t>（</w:t>
      </w:r>
      <w:r>
        <w:rPr>
          <w:rFonts w:hint="eastAsia" w:ascii="Microsoft New Tai Lue" w:hAnsi="Microsoft New Tai Lue" w:cs="Microsoft New Tai Lue"/>
          <w:color w:val="auto"/>
          <w:sz w:val="44"/>
          <w:szCs w:val="44"/>
          <w:highlight w:val="none"/>
          <w:lang w:val="en-US" w:eastAsia="zh-CN"/>
        </w:rPr>
        <w:t>如需</w:t>
      </w:r>
      <w:r>
        <w:rPr>
          <w:rFonts w:hint="eastAsia" w:ascii="Microsoft New Tai Lue" w:hAnsi="Microsoft New Tai Lue" w:cs="Microsoft New Tai Lue"/>
          <w:color w:val="auto"/>
          <w:sz w:val="44"/>
          <w:szCs w:val="44"/>
          <w:highlight w:val="none"/>
          <w:lang w:eastAsia="zh-CN"/>
        </w:rPr>
        <w:t>）</w:t>
      </w:r>
    </w:p>
    <w:p w14:paraId="02AFDA40">
      <w:pPr>
        <w:pStyle w:val="15"/>
        <w:ind w:left="1260"/>
        <w:rPr>
          <w:color w:val="auto"/>
          <w:highlight w:val="none"/>
        </w:rPr>
      </w:pPr>
    </w:p>
    <w:p w14:paraId="101EB54D">
      <w:pPr>
        <w:adjustRightInd w:val="0"/>
        <w:spacing w:before="120" w:after="120" w:line="360" w:lineRule="auto"/>
        <w:jc w:val="left"/>
        <w:textAlignment w:val="baseline"/>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我单位郑重承诺：</w:t>
      </w:r>
    </w:p>
    <w:p w14:paraId="7D599B45">
      <w:pPr>
        <w:adjustRightInd w:val="0"/>
        <w:spacing w:before="120" w:after="120" w:line="360" w:lineRule="auto"/>
        <w:ind w:firstLine="420" w:firstLineChars="200"/>
        <w:jc w:val="left"/>
        <w:textAlignment w:val="baseline"/>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我单位检验检测机构资质认定证书（CMA）有效期能覆盖合同履行期限。</w:t>
      </w:r>
    </w:p>
    <w:p w14:paraId="55D444CB">
      <w:pPr>
        <w:adjustRightInd w:val="0"/>
        <w:spacing w:before="120" w:after="120" w:line="360" w:lineRule="auto"/>
        <w:ind w:firstLine="480"/>
        <w:jc w:val="left"/>
        <w:textAlignment w:val="baseline"/>
        <w:rPr>
          <w:rFonts w:hint="eastAsia" w:ascii="Microsoft New Tai Lue" w:hAnsi="Microsoft New Tai Lue" w:cs="Microsoft New Tai Lue"/>
          <w:color w:val="auto"/>
          <w:highlight w:val="none"/>
          <w:lang w:val="en-US" w:eastAsia="zh-CN"/>
        </w:rPr>
      </w:pPr>
    </w:p>
    <w:p w14:paraId="07B91DC8">
      <w:pPr>
        <w:rPr>
          <w:color w:val="auto"/>
          <w:highlight w:val="none"/>
        </w:rPr>
      </w:pPr>
    </w:p>
    <w:p w14:paraId="50AB63DC">
      <w:pPr>
        <w:spacing w:line="360" w:lineRule="auto"/>
        <w:jc w:val="center"/>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lang w:val="en-US" w:eastAsia="zh-CN"/>
        </w:rPr>
        <w:t xml:space="preserve">                               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）：________</w:t>
      </w:r>
    </w:p>
    <w:p w14:paraId="72B87DB4">
      <w:pP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344128E9">
      <w:pPr>
        <w:spacing w:line="360" w:lineRule="auto"/>
        <w:ind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3D7421C4">
      <w:pPr>
        <w:spacing w:line="360" w:lineRule="auto"/>
        <w:rPr>
          <w:rFonts w:ascii="Microsoft New Tai Lue" w:hAnsi="Microsoft New Tai Lue" w:cs="Microsoft New Tai Lue"/>
          <w:bCs/>
          <w:color w:val="auto"/>
          <w:highlight w:val="none"/>
        </w:rPr>
        <w:sectPr>
          <w:pgSz w:w="11911" w:h="16838"/>
          <w:pgMar w:top="1440" w:right="1803" w:bottom="1440" w:left="1803" w:header="720" w:footer="720" w:gutter="0"/>
          <w:pgNumType w:fmt="decimal"/>
          <w:cols w:space="0" w:num="1"/>
          <w:rtlGutter w:val="0"/>
          <w:docGrid w:linePitch="317" w:charSpace="0"/>
        </w:sect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bookmarkEnd w:id="331"/>
    <w:bookmarkEnd w:id="334"/>
    <w:p w14:paraId="31F3869A">
      <w:pPr>
        <w:spacing w:line="360" w:lineRule="auto"/>
        <w:ind w:firstLine="420" w:firstLineChars="200"/>
        <w:rPr>
          <w:rFonts w:hint="eastAsia"/>
          <w:color w:val="auto"/>
          <w:sz w:val="21"/>
          <w:szCs w:val="21"/>
          <w:highlight w:val="none"/>
        </w:rPr>
      </w:pPr>
      <w:bookmarkStart w:id="335" w:name="_Toc104560915"/>
      <w:bookmarkStart w:id="336" w:name="_Toc107246296"/>
      <w:bookmarkStart w:id="337" w:name="_Toc103848598"/>
      <w:bookmarkStart w:id="338" w:name="_Toc102117330"/>
      <w:r>
        <w:rPr>
          <w:rFonts w:hint="eastAsia"/>
          <w:color w:val="auto"/>
          <w:sz w:val="21"/>
          <w:szCs w:val="21"/>
          <w:highlight w:val="none"/>
        </w:rPr>
        <w:t>（</w:t>
      </w:r>
      <w:r>
        <w:rPr>
          <w:rFonts w:hint="eastAsia"/>
          <w:color w:val="auto"/>
          <w:sz w:val="21"/>
          <w:szCs w:val="21"/>
          <w:highlight w:val="none"/>
          <w:lang w:val="en-US" w:eastAsia="zh-CN"/>
        </w:rPr>
        <w:t>3</w:t>
      </w:r>
      <w:r>
        <w:rPr>
          <w:rFonts w:hint="eastAsia"/>
          <w:color w:val="auto"/>
          <w:sz w:val="21"/>
          <w:szCs w:val="21"/>
          <w:highlight w:val="none"/>
        </w:rPr>
        <w:t>）其他</w:t>
      </w:r>
    </w:p>
    <w:p w14:paraId="667F8FDE">
      <w:pPr>
        <w:rPr>
          <w:color w:val="auto"/>
          <w:highlight w:val="none"/>
        </w:rPr>
      </w:pPr>
    </w:p>
    <w:p w14:paraId="46BF3441">
      <w:pPr>
        <w:pStyle w:val="15"/>
        <w:ind w:left="1260"/>
        <w:rPr>
          <w:color w:val="auto"/>
          <w:highlight w:val="none"/>
        </w:rPr>
      </w:pPr>
    </w:p>
    <w:p w14:paraId="30447E13">
      <w:pPr>
        <w:widowControl/>
        <w:jc w:val="left"/>
        <w:rPr>
          <w:rFonts w:ascii="Microsoft New Tai Lue" w:hAnsi="Microsoft New Tai Lue" w:cs="Microsoft New Tai Lue"/>
          <w:b/>
          <w:bCs/>
          <w:color w:val="auto"/>
          <w:sz w:val="24"/>
          <w:highlight w:val="none"/>
        </w:rPr>
      </w:pPr>
      <w:r>
        <w:rPr>
          <w:rFonts w:ascii="Microsoft New Tai Lue" w:hAnsi="Microsoft New Tai Lue" w:cs="Microsoft New Tai Lue"/>
          <w:color w:val="auto"/>
          <w:sz w:val="24"/>
          <w:highlight w:val="none"/>
        </w:rPr>
        <w:br w:type="page"/>
      </w:r>
    </w:p>
    <w:p w14:paraId="4EA57E49">
      <w:pPr>
        <w:pStyle w:val="31"/>
        <w:spacing w:before="0" w:after="0" w:line="360" w:lineRule="auto"/>
        <w:rPr>
          <w:rFonts w:ascii="Microsoft New Tai Lue" w:hAnsi="Microsoft New Tai Lue" w:cs="Microsoft New Tai Lue"/>
          <w:b w:val="0"/>
          <w:color w:val="auto"/>
          <w:sz w:val="24"/>
          <w:szCs w:val="24"/>
          <w:highlight w:val="none"/>
        </w:rPr>
      </w:pPr>
      <w:r>
        <w:rPr>
          <w:rFonts w:ascii="Microsoft New Tai Lue" w:hAnsi="Microsoft New Tai Lue" w:cs="Microsoft New Tai Lue"/>
          <w:color w:val="auto"/>
          <w:sz w:val="24"/>
          <w:szCs w:val="24"/>
          <w:highlight w:val="none"/>
        </w:rPr>
        <w:t>（8）公章授权书（如需）</w:t>
      </w:r>
      <w:bookmarkEnd w:id="335"/>
      <w:bookmarkEnd w:id="336"/>
      <w:bookmarkEnd w:id="337"/>
      <w:bookmarkEnd w:id="338"/>
    </w:p>
    <w:p w14:paraId="3DEA9920">
      <w:pPr>
        <w:pStyle w:val="79"/>
        <w:ind w:firstLine="0" w:firstLineChars="0"/>
        <w:rPr>
          <w:rFonts w:ascii="Microsoft New Tai Lue" w:hAnsi="Microsoft New Tai Lue" w:cs="Microsoft New Tai Lue"/>
          <w:b/>
          <w:color w:val="auto"/>
          <w:sz w:val="21"/>
          <w:szCs w:val="21"/>
          <w:highlight w:val="none"/>
        </w:rPr>
      </w:pPr>
    </w:p>
    <w:p w14:paraId="6C013BF6">
      <w:pPr>
        <w:pStyle w:val="79"/>
        <w:ind w:firstLine="0" w:firstLineChars="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______________________（采购人）</w:t>
      </w:r>
    </w:p>
    <w:p w14:paraId="06663652">
      <w:pPr>
        <w:pStyle w:val="79"/>
        <w:ind w:firstLine="42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u w:val="single"/>
          <w:lang w:val="en-US" w:eastAsia="zh-CN"/>
        </w:rPr>
        <w:t xml:space="preserve">     </w:t>
      </w:r>
      <w:r>
        <w:rPr>
          <w:rFonts w:ascii="Microsoft New Tai Lue" w:hAnsi="Microsoft New Tai Lue" w:cs="Microsoft New Tai Lue"/>
          <w:color w:val="auto"/>
          <w:sz w:val="21"/>
          <w:szCs w:val="21"/>
          <w:highlight w:val="none"/>
          <w:u w:val="single"/>
        </w:rPr>
        <w:t>(</w:t>
      </w:r>
      <w:r>
        <w:rPr>
          <w:rFonts w:hint="eastAsia" w:ascii="Microsoft New Tai Lue" w:hAnsi="Microsoft New Tai Lue" w:cs="Microsoft New Tai Lue"/>
          <w:color w:val="auto"/>
          <w:sz w:val="21"/>
          <w:szCs w:val="21"/>
          <w:highlight w:val="none"/>
          <w:u w:val="single"/>
        </w:rPr>
        <w:t>供应商</w:t>
      </w:r>
      <w:r>
        <w:rPr>
          <w:rFonts w:ascii="Microsoft New Tai Lue" w:hAnsi="Microsoft New Tai Lue" w:cs="Microsoft New Tai Lue"/>
          <w:color w:val="auto"/>
          <w:sz w:val="21"/>
          <w:szCs w:val="21"/>
          <w:highlight w:val="none"/>
          <w:u w:val="single"/>
        </w:rPr>
        <w:t>名称)</w:t>
      </w:r>
      <w:r>
        <w:rPr>
          <w:rFonts w:hint="eastAsia" w:ascii="Microsoft New Tai Lue" w:hAnsi="Microsoft New Tai Lue" w:cs="Microsoft New Tai Lue"/>
          <w:color w:val="auto"/>
          <w:sz w:val="21"/>
          <w:szCs w:val="21"/>
          <w:highlight w:val="none"/>
          <w:u w:val="single"/>
          <w:lang w:val="en-US" w:eastAsia="zh-CN"/>
        </w:rPr>
        <w:t xml:space="preserve">      </w:t>
      </w:r>
      <w:r>
        <w:rPr>
          <w:rFonts w:ascii="Microsoft New Tai Lue" w:hAnsi="Microsoft New Tai Lue" w:cs="Microsoft New Tai Lue"/>
          <w:color w:val="auto"/>
          <w:sz w:val="21"/>
          <w:szCs w:val="21"/>
          <w:highlight w:val="none"/>
        </w:rPr>
        <w:t>，中华人民共和国合法企业，法定地址：____________________。在参与</w:t>
      </w:r>
      <w:r>
        <w:rPr>
          <w:rFonts w:hint="eastAsia" w:ascii="Microsoft New Tai Lue" w:hAnsi="Microsoft New Tai Lue" w:cs="Microsoft New Tai Lue"/>
          <w:color w:val="auto"/>
          <w:sz w:val="21"/>
          <w:szCs w:val="21"/>
          <w:highlight w:val="none"/>
          <w:u w:val="single"/>
          <w:lang w:val="en-US" w:eastAsia="zh-CN"/>
        </w:rPr>
        <w:t xml:space="preserve">      </w:t>
      </w:r>
      <w:r>
        <w:rPr>
          <w:rFonts w:ascii="Microsoft New Tai Lue" w:hAnsi="Microsoft New Tai Lue" w:cs="Microsoft New Tai Lue"/>
          <w:color w:val="auto"/>
          <w:sz w:val="21"/>
          <w:szCs w:val="21"/>
          <w:highlight w:val="none"/>
          <w:u w:val="single"/>
        </w:rPr>
        <w:t>(项目名称)(项目编号) (</w:t>
      </w:r>
      <w:r>
        <w:rPr>
          <w:rFonts w:hint="eastAsia" w:ascii="Microsoft New Tai Lue" w:hAnsi="Microsoft New Tai Lue" w:cs="Microsoft New Tai Lue"/>
          <w:color w:val="auto"/>
          <w:sz w:val="21"/>
          <w:szCs w:val="21"/>
          <w:highlight w:val="none"/>
          <w:u w:val="single"/>
        </w:rPr>
        <w:t>包号</w:t>
      </w:r>
      <w:r>
        <w:rPr>
          <w:rFonts w:ascii="Microsoft New Tai Lue" w:hAnsi="Microsoft New Tai Lue" w:cs="Microsoft New Tai Lue"/>
          <w:color w:val="auto"/>
          <w:sz w:val="21"/>
          <w:szCs w:val="21"/>
          <w:highlight w:val="none"/>
          <w:u w:val="single"/>
        </w:rPr>
        <w:t>)</w:t>
      </w:r>
      <w:r>
        <w:rPr>
          <w:rFonts w:hint="eastAsia" w:ascii="Microsoft New Tai Lue" w:hAnsi="Microsoft New Tai Lue" w:cs="Microsoft New Tai Lue"/>
          <w:color w:val="auto"/>
          <w:sz w:val="21"/>
          <w:szCs w:val="21"/>
          <w:highlight w:val="none"/>
          <w:u w:val="single"/>
          <w:lang w:val="en-US" w:eastAsia="zh-CN"/>
        </w:rPr>
        <w:t xml:space="preserve">     </w:t>
      </w:r>
      <w:r>
        <w:rPr>
          <w:rFonts w:ascii="Microsoft New Tai Lue" w:hAnsi="Microsoft New Tai Lue" w:cs="Microsoft New Tai Lue"/>
          <w:color w:val="auto"/>
          <w:sz w:val="21"/>
          <w:szCs w:val="21"/>
          <w:highlight w:val="none"/>
        </w:rPr>
        <w:t>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（样式附后）在此次活动中代为公章使用。</w:t>
      </w:r>
    </w:p>
    <w:p w14:paraId="1A3E9546">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所签署的投标文件、澄清等，我单位承认并同意具备与我单位公章签署等同的法律效力。</w:t>
      </w:r>
    </w:p>
    <w:p w14:paraId="6DF15BB8">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签署的所有文件、协议不因授权的撤销而失效。</w:t>
      </w:r>
    </w:p>
    <w:p w14:paraId="5F589203">
      <w:pPr>
        <w:pStyle w:val="79"/>
        <w:ind w:right="840" w:firstLine="0" w:firstLineChars="0"/>
        <w:rPr>
          <w:rFonts w:ascii="Microsoft New Tai Lue" w:hAnsi="Microsoft New Tai Lue" w:cs="Microsoft New Tai Lue"/>
          <w:color w:val="auto"/>
          <w:sz w:val="21"/>
          <w:szCs w:val="21"/>
          <w:highlight w:val="none"/>
        </w:rPr>
      </w:pPr>
    </w:p>
    <w:p w14:paraId="63E653C8">
      <w:pPr>
        <w:pStyle w:val="79"/>
        <w:ind w:right="840" w:firstLine="199" w:firstLineChars="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其他形式的印章名称：______________</w:t>
      </w:r>
    </w:p>
    <w:p w14:paraId="1628FF91">
      <w:pPr>
        <w:pStyle w:val="79"/>
        <w:ind w:right="420" w:firstLine="190" w:firstLineChars="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s">
            <w:drawing>
              <wp:anchor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8255" t="13335" r="10795" b="11430"/>
                <wp:wrapSquare wrapText="bothSides"/>
                <wp:docPr id="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14:paraId="246E3D46"/>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81pt;margin-top:8.85pt;height:178.05pt;width:180.75pt;mso-wrap-distance-bottom:3.6pt;mso-wrap-distance-left:9pt;mso-wrap-distance-right:9pt;mso-wrap-distance-top:3.6pt;z-index:251659264;mso-width-relative:page;mso-height-relative:page;" fillcolor="#FFFFFF" filled="t" stroked="t" coordsize="21600,21600" o:gfxdata="UEsDBAoAAAAAAIdO4kAAAAAAAAAAAAAAAAAEAAAAZHJzL1BLAwQUAAAACACHTuJA09v33NkAAAAK&#10;AQAADwAAAGRycy9kb3ducmV2LnhtbE2PwU7DMBBE70j8g7VIXBB1mtAkhDg9IIHgVgqCq5tskwh7&#10;HWw3LX/PcoLbjnY086Zen6wRM/owOlKwXCQgkFrXjdQreHt9uC5BhKip08YRKvjGAOvm/KzWVeeO&#10;9ILzNvaCQyhUWsEQ41RJGdoBrQ4LNyHxb++81ZGl72Xn9ZHDrZFpkuTS6pG4YdAT3g/Yfm4PVkF5&#10;8zR/hOds897me3Mbr4r58csrdXmxTO5ARDzFPzP84jM6NMy0cwfqgjCs85S3RD6KAgQbVmm2ArFT&#10;kBVZCbKp5f8JzQ9QSwMEFAAAAAgAh07iQGVVKjc/AgAAiAQAAA4AAABkcnMvZTJvRG9jLnhtbK1U&#10;zW7UMBC+I/EOlu80u2m3tFGzVWlVhMSfVHgAr+NsLGyPGXs3KQ8Ab8CJC3eeq8/B2EnLUhDqgRys&#10;Gc/4m5lvZnJyOljDtgqDBlfz+d6MM+UkNNqta/7+3eWTI85CFK4RBpyq+bUK/HT5+NFJ7ytVQgem&#10;UcgIxIWq9zXvYvRVUQTZKSvCHnjlyNgCWhFJxXXRoOgJ3ZqinM0Oix6w8QhShUC3F6ORT4j4EEBo&#10;Wy3VBciNVS6OqKiMiFRS6LQPfJmzbVsl45u2DSoyU3OqNOaTgpC8SmexPBHVGoXvtJxSEA9J4V5N&#10;VmhHQe+gLkQUbIP6DyirJUKANu5JsMVYSGaEqpjP7nFz1Qmvci1EdfB3pIf/Bytfb98i003N9zlz&#10;wlLDb75+ufn24+b7Z1YmenofKvK68uQXh2cw0NDkUoN/CfJDYA7OO+HW6gwR+k6JhtKbp5fFztMR&#10;JySQVf8KGoojNhEy0NCiTdwRG4zQqTXXd61RQ2SSLsvyeLEoF5xJspXl4bzcX+QYorp97jHE5wos&#10;S0LNkXqf4cX2ZYgpHVHduqRoAYxuLrUxWcH16twg2wqak8v8Tei/uRnH+pofp0T+DTHL398grI60&#10;Pkbbmh/tOhk3EZY4GtmKw2qYGrCC5pqoQxgHmNaXhA7wE2c9DW/Nw8eNQMWZeeGI/uP5wUGa9qwc&#10;LJ6WpOCuZbVrEU4SVM0jZ6N4HscN2XjU644ijQ13cEYta3UmM/V2zGrKmwY0czwtU9qAXT17/fqB&#10;LH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09v33NkAAAAKAQAADwAAAAAAAAABACAAAAAiAAAA&#10;ZHJzL2Rvd25yZXYueG1sUEsBAhQAFAAAAAgAh07iQGVVKjc/AgAAiAQAAA4AAAAAAAAAAQAgAAAA&#10;KAEAAGRycy9lMm9Eb2MueG1sUEsFBgAAAAAGAAYAWQEAANkFAAAAAA==&#10;">
                <v:fill on="t" focussize="0,0"/>
                <v:stroke color="#000000" miterlimit="8" joinstyle="miter"/>
                <v:imagedata o:title=""/>
                <o:lock v:ext="edit" aspectratio="f"/>
                <v:textbox>
                  <w:txbxContent>
                    <w:p w14:paraId="246E3D46"/>
                  </w:txbxContent>
                </v:textbox>
                <w10:wrap type="square"/>
              </v:shape>
            </w:pict>
          </mc:Fallback>
        </mc:AlternateContent>
      </w:r>
      <w:r>
        <w:rPr>
          <w:rFonts w:ascii="Microsoft New Tai Lue" w:hAnsi="Microsoft New Tai Lue" w:cs="Microsoft New Tai Lue"/>
          <w:color w:val="auto"/>
          <w:sz w:val="21"/>
          <w:szCs w:val="21"/>
          <w:highlight w:val="none"/>
        </w:rPr>
        <w:t>印章样式：</w:t>
      </w:r>
    </w:p>
    <w:p w14:paraId="34316A77">
      <w:pPr>
        <w:pStyle w:val="79"/>
        <w:ind w:right="420" w:firstLine="4819" w:firstLineChars="2295"/>
        <w:rPr>
          <w:rFonts w:ascii="Microsoft New Tai Lue" w:hAnsi="Microsoft New Tai Lue" w:cs="Microsoft New Tai Lue"/>
          <w:color w:val="auto"/>
          <w:sz w:val="21"/>
          <w:szCs w:val="21"/>
          <w:highlight w:val="none"/>
        </w:rPr>
      </w:pPr>
    </w:p>
    <w:p w14:paraId="66CE2E5F">
      <w:pPr>
        <w:pStyle w:val="79"/>
        <w:ind w:right="420" w:firstLine="4819" w:firstLineChars="2295"/>
        <w:rPr>
          <w:rFonts w:ascii="Microsoft New Tai Lue" w:hAnsi="Microsoft New Tai Lue" w:cs="Microsoft New Tai Lue"/>
          <w:color w:val="auto"/>
          <w:sz w:val="21"/>
          <w:szCs w:val="21"/>
          <w:highlight w:val="none"/>
        </w:rPr>
      </w:pPr>
    </w:p>
    <w:p w14:paraId="0ED5D5DF">
      <w:pPr>
        <w:pStyle w:val="79"/>
        <w:ind w:right="420" w:firstLine="4819" w:firstLineChars="2295"/>
        <w:rPr>
          <w:rFonts w:ascii="Microsoft New Tai Lue" w:hAnsi="Microsoft New Tai Lue" w:cs="Microsoft New Tai Lue"/>
          <w:color w:val="auto"/>
          <w:sz w:val="21"/>
          <w:szCs w:val="21"/>
          <w:highlight w:val="none"/>
        </w:rPr>
      </w:pPr>
    </w:p>
    <w:p w14:paraId="3C7A79F1">
      <w:pPr>
        <w:pStyle w:val="79"/>
        <w:spacing w:line="360" w:lineRule="auto"/>
        <w:ind w:right="420" w:firstLine="3150" w:firstLineChars="1500"/>
        <w:jc w:val="left"/>
        <w:rPr>
          <w:rFonts w:ascii="Microsoft New Tai Lue" w:hAnsi="Microsoft New Tai Lue" w:cs="Microsoft New Tai Lue"/>
          <w:color w:val="auto"/>
          <w:sz w:val="21"/>
          <w:szCs w:val="21"/>
          <w:highlight w:val="none"/>
          <w:u w:val="singl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rPr>
        <w:t>加盖CA电子公章</w:t>
      </w:r>
      <w:r>
        <w:rPr>
          <w:rFonts w:ascii="Microsoft New Tai Lue" w:hAnsi="Microsoft New Tai Lue" w:cs="Microsoft New Tai Lue"/>
          <w:color w:val="auto"/>
          <w:sz w:val="21"/>
          <w:szCs w:val="21"/>
          <w:highlight w:val="none"/>
        </w:rPr>
        <w:t>）：</w:t>
      </w:r>
      <w:r>
        <w:rPr>
          <w:rFonts w:ascii="Microsoft New Tai Lue" w:hAnsi="Microsoft New Tai Lue" w:cs="Microsoft New Tai Lue"/>
          <w:color w:val="auto"/>
          <w:sz w:val="21"/>
          <w:szCs w:val="21"/>
          <w:highlight w:val="none"/>
          <w:u w:val="single"/>
        </w:rPr>
        <w:t xml:space="preserve">             </w:t>
      </w:r>
    </w:p>
    <w:p w14:paraId="710A531B">
      <w:pPr>
        <w:pStyle w:val="79"/>
        <w:spacing w:line="360" w:lineRule="auto"/>
        <w:ind w:right="420" w:firstLine="3150" w:firstLineChars="15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3423320A">
      <w:pPr>
        <w:pStyle w:val="79"/>
        <w:spacing w:line="360" w:lineRule="auto"/>
        <w:ind w:right="420" w:firstLine="3150" w:firstLineChars="15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或其授权代表（签字或盖章）：_________________</w:t>
      </w:r>
    </w:p>
    <w:p w14:paraId="46D03064">
      <w:pPr>
        <w:spacing w:line="360" w:lineRule="auto"/>
        <w:jc w:val="left"/>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3BDD53CE">
      <w:pPr>
        <w:spacing w:line="276" w:lineRule="auto"/>
        <w:jc w:val="left"/>
        <w:rPr>
          <w:rFonts w:ascii="Microsoft New Tai Lue" w:hAnsi="Microsoft New Tai Lue" w:eastAsia="黑体" w:cs="Microsoft New Tai Lue"/>
          <w:b/>
          <w:color w:val="auto"/>
          <w:sz w:val="32"/>
          <w:szCs w:val="32"/>
          <w:highlight w:val="none"/>
        </w:rPr>
      </w:pPr>
    </w:p>
    <w:p w14:paraId="2EC8A08D">
      <w:pPr>
        <w:pStyle w:val="31"/>
        <w:rPr>
          <w:rFonts w:ascii="Microsoft New Tai Lue" w:hAnsi="Microsoft New Tai Lue" w:cs="Microsoft New Tai Lue"/>
          <w:color w:val="auto"/>
          <w:sz w:val="24"/>
          <w:szCs w:val="24"/>
          <w:highlight w:val="none"/>
        </w:rPr>
      </w:pPr>
      <w:r>
        <w:rPr>
          <w:color w:val="auto"/>
          <w:highlight w:val="none"/>
        </w:rPr>
        <w:br w:type="page"/>
      </w:r>
      <w:r>
        <w:rPr>
          <w:rFonts w:hint="eastAsia" w:ascii="Microsoft New Tai Lue" w:hAnsi="Microsoft New Tai Lue" w:cs="Microsoft New Tai Lue"/>
          <w:color w:val="auto"/>
          <w:sz w:val="24"/>
          <w:szCs w:val="24"/>
          <w:highlight w:val="none"/>
        </w:rPr>
        <w:t>（</w:t>
      </w:r>
      <w:r>
        <w:rPr>
          <w:rFonts w:hint="eastAsia" w:ascii="Microsoft New Tai Lue" w:hAnsi="Microsoft New Tai Lue" w:cs="Microsoft New Tai Lue"/>
          <w:color w:val="auto"/>
          <w:sz w:val="24"/>
          <w:szCs w:val="24"/>
          <w:highlight w:val="none"/>
          <w:lang w:val="en-US" w:eastAsia="zh-CN"/>
        </w:rPr>
        <w:t>9</w:t>
      </w:r>
      <w:r>
        <w:rPr>
          <w:rFonts w:hint="eastAsia" w:ascii="Microsoft New Tai Lue" w:hAnsi="Microsoft New Tai Lue" w:cs="Microsoft New Tai Lue"/>
          <w:color w:val="auto"/>
          <w:sz w:val="24"/>
          <w:szCs w:val="24"/>
          <w:highlight w:val="none"/>
        </w:rPr>
        <w:t>）工作业绩</w:t>
      </w:r>
    </w:p>
    <w:tbl>
      <w:tblPr>
        <w:tblStyle w:val="34"/>
        <w:tblW w:w="95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5"/>
        <w:gridCol w:w="2655"/>
        <w:gridCol w:w="2587"/>
        <w:gridCol w:w="1541"/>
        <w:gridCol w:w="1541"/>
        <w:gridCol w:w="712"/>
      </w:tblGrid>
      <w:tr w14:paraId="65720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25" w:type="dxa"/>
            <w:vAlign w:val="center"/>
          </w:tcPr>
          <w:p w14:paraId="6CF4B9BD">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655" w:type="dxa"/>
            <w:vAlign w:val="center"/>
          </w:tcPr>
          <w:p w14:paraId="038680F9">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587" w:type="dxa"/>
            <w:vAlign w:val="center"/>
          </w:tcPr>
          <w:p w14:paraId="5A0E86EE">
            <w:pPr>
              <w:jc w:val="center"/>
              <w:rPr>
                <w:rFonts w:ascii="Microsoft New Tai Lue" w:hAnsi="Microsoft New Tai Lue" w:cs="Microsoft New Tai Lue"/>
                <w:color w:val="auto"/>
                <w:szCs w:val="21"/>
                <w:highlight w:val="none"/>
              </w:rPr>
            </w:pPr>
            <w:r>
              <w:rPr>
                <w:rFonts w:hint="eastAsia" w:ascii="宋体" w:hAnsi="宋体" w:cs="宋体"/>
                <w:color w:val="auto"/>
                <w:szCs w:val="21"/>
                <w:highlight w:val="none"/>
              </w:rPr>
              <w:t>报告份数</w:t>
            </w:r>
          </w:p>
        </w:tc>
        <w:tc>
          <w:tcPr>
            <w:tcW w:w="1541" w:type="dxa"/>
            <w:vAlign w:val="center"/>
          </w:tcPr>
          <w:p w14:paraId="583954C8">
            <w:pPr>
              <w:jc w:val="cente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委托合同签订时间</w:t>
            </w:r>
          </w:p>
        </w:tc>
        <w:tc>
          <w:tcPr>
            <w:tcW w:w="1541" w:type="dxa"/>
            <w:vAlign w:val="center"/>
          </w:tcPr>
          <w:p w14:paraId="7A5B3452">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12" w:type="dxa"/>
            <w:vAlign w:val="center"/>
          </w:tcPr>
          <w:p w14:paraId="17F32228">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6C2B9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525" w:type="dxa"/>
            <w:vAlign w:val="center"/>
          </w:tcPr>
          <w:p w14:paraId="1418AE84">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2655" w:type="dxa"/>
            <w:vAlign w:val="center"/>
          </w:tcPr>
          <w:p w14:paraId="11EBC8F6">
            <w:pPr>
              <w:jc w:val="left"/>
              <w:rPr>
                <w:rFonts w:hint="eastAsia" w:ascii="宋体" w:hAnsi="宋体" w:cs="宋体"/>
                <w:color w:val="auto"/>
                <w:szCs w:val="21"/>
                <w:highlight w:val="none"/>
              </w:rPr>
            </w:pPr>
            <w:r>
              <w:rPr>
                <w:rFonts w:hint="eastAsia" w:ascii="宋体" w:hAnsi="宋体"/>
                <w:color w:val="auto"/>
                <w:szCs w:val="21"/>
                <w:highlight w:val="none"/>
                <w:lang w:bidi="zh-CN"/>
              </w:rPr>
              <w:t>上一年度（202</w:t>
            </w:r>
            <w:r>
              <w:rPr>
                <w:rFonts w:hint="eastAsia" w:ascii="宋体" w:hAnsi="宋体"/>
                <w:color w:val="auto"/>
                <w:szCs w:val="21"/>
                <w:highlight w:val="none"/>
                <w:lang w:val="en-US" w:bidi="zh-CN"/>
              </w:rPr>
              <w:t>5</w:t>
            </w:r>
            <w:r>
              <w:rPr>
                <w:rFonts w:hint="eastAsia" w:ascii="宋体" w:hAnsi="宋体"/>
                <w:color w:val="auto"/>
                <w:szCs w:val="21"/>
                <w:highlight w:val="none"/>
                <w:lang w:bidi="zh-CN"/>
              </w:rPr>
              <w:t>年，以委托合同签订时间为准），</w:t>
            </w:r>
            <w:r>
              <w:rPr>
                <w:rFonts w:hint="eastAsia" w:ascii="Microsoft New Tai Lue" w:hAnsi="Microsoft New Tai Lue" w:cs="Microsoft New Tai Lue"/>
                <w:bCs/>
                <w:color w:val="auto"/>
                <w:highlight w:val="none"/>
                <w:lang w:val="en-US" w:eastAsia="zh-CN"/>
              </w:rPr>
              <w:t>供应商</w:t>
            </w:r>
            <w:r>
              <w:rPr>
                <w:rFonts w:hint="eastAsia" w:ascii="宋体" w:hAnsi="宋体"/>
                <w:color w:val="auto"/>
                <w:szCs w:val="21"/>
                <w:highlight w:val="none"/>
                <w:lang w:bidi="zh-CN"/>
              </w:rPr>
              <w:t>承担过类似本项目的食品安全抽检检验任务所出具的报告份数</w:t>
            </w:r>
          </w:p>
        </w:tc>
        <w:tc>
          <w:tcPr>
            <w:tcW w:w="2587" w:type="dxa"/>
            <w:vAlign w:val="center"/>
          </w:tcPr>
          <w:p w14:paraId="1D893207">
            <w:pPr>
              <w:jc w:val="center"/>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tc>
        <w:tc>
          <w:tcPr>
            <w:tcW w:w="1541" w:type="dxa"/>
            <w:vAlign w:val="center"/>
          </w:tcPr>
          <w:p w14:paraId="193FF38B">
            <w:pPr>
              <w:jc w:val="center"/>
              <w:rPr>
                <w:rFonts w:hint="eastAsia" w:ascii="宋体" w:hAnsi="宋体" w:cs="宋体"/>
                <w:color w:val="auto"/>
                <w:szCs w:val="21"/>
                <w:highlight w:val="none"/>
              </w:rPr>
            </w:pPr>
          </w:p>
        </w:tc>
        <w:tc>
          <w:tcPr>
            <w:tcW w:w="1541" w:type="dxa"/>
            <w:vAlign w:val="center"/>
          </w:tcPr>
          <w:p w14:paraId="3350F3E9">
            <w:pPr>
              <w:jc w:val="center"/>
              <w:rPr>
                <w:rFonts w:hint="eastAsia" w:ascii="宋体" w:hAnsi="宋体" w:cs="宋体"/>
                <w:color w:val="auto"/>
                <w:szCs w:val="21"/>
                <w:highlight w:val="none"/>
              </w:rPr>
            </w:pPr>
          </w:p>
        </w:tc>
        <w:tc>
          <w:tcPr>
            <w:tcW w:w="712" w:type="dxa"/>
            <w:vAlign w:val="center"/>
          </w:tcPr>
          <w:p w14:paraId="43AA026B">
            <w:pPr>
              <w:jc w:val="center"/>
              <w:rPr>
                <w:rFonts w:hint="eastAsia" w:ascii="宋体" w:hAnsi="宋体" w:cs="宋体"/>
                <w:color w:val="auto"/>
                <w:szCs w:val="21"/>
                <w:highlight w:val="none"/>
              </w:rPr>
            </w:pPr>
          </w:p>
        </w:tc>
      </w:tr>
    </w:tbl>
    <w:p w14:paraId="448B62AA">
      <w:pPr>
        <w:spacing w:line="380" w:lineRule="exact"/>
        <w:jc w:val="left"/>
        <w:rPr>
          <w:color w:val="auto"/>
          <w:highlight w:val="none"/>
        </w:rPr>
      </w:pPr>
      <w:r>
        <w:rPr>
          <w:b/>
          <w:bCs/>
          <w:color w:val="auto"/>
          <w:spacing w:val="-3"/>
          <w:szCs w:val="21"/>
          <w:highlight w:val="none"/>
        </w:rPr>
        <w:t>注：</w:t>
      </w:r>
      <w:r>
        <w:rPr>
          <w:rFonts w:hint="eastAsia"/>
          <w:b/>
          <w:bCs/>
          <w:color w:val="auto"/>
          <w:spacing w:val="-3"/>
          <w:szCs w:val="21"/>
          <w:highlight w:val="none"/>
        </w:rPr>
        <w:t>供应商须提供合同或委托书等证明文件的主要内容页和签字盖章页的复印件，不具备类似业绩或未提供有效证明文件的不得分。</w:t>
      </w:r>
    </w:p>
    <w:p w14:paraId="3254E1E9">
      <w:pPr>
        <w:spacing w:line="360" w:lineRule="auto"/>
        <w:ind w:firstLine="3990" w:firstLineChars="1900"/>
        <w:rPr>
          <w:rFonts w:ascii="Microsoft New Tai Lue" w:hAnsi="Microsoft New Tai Lue" w:cs="Microsoft New Tai Lue"/>
          <w:bCs/>
          <w:color w:val="auto"/>
          <w:highlight w:val="none"/>
        </w:rPr>
      </w:pPr>
    </w:p>
    <w:p w14:paraId="7D6B6C6D">
      <w:pPr>
        <w:spacing w:line="360" w:lineRule="auto"/>
        <w:ind w:firstLine="3990" w:firstLineChars="1900"/>
        <w:rPr>
          <w:rFonts w:ascii="Microsoft New Tai Lue" w:hAnsi="Microsoft New Tai Lue" w:cs="Microsoft New Tai Lue"/>
          <w:bCs/>
          <w:color w:val="auto"/>
          <w:highlight w:val="none"/>
        </w:rPr>
      </w:pPr>
    </w:p>
    <w:p w14:paraId="1D2B8810">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lang w:val="en-US" w:eastAsia="zh-CN"/>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30E279E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7B6BEC22">
      <w:pPr>
        <w:keepNext w:val="0"/>
        <w:keepLines w:val="0"/>
        <w:pageBreakBefore w:val="0"/>
        <w:widowControl w:val="0"/>
        <w:kinsoku/>
        <w:wordWrap/>
        <w:overflowPunct/>
        <w:topLinePunct w:val="0"/>
        <w:autoSpaceDE/>
        <w:autoSpaceDN/>
        <w:bidi w:val="0"/>
        <w:adjustRightInd/>
        <w:snapToGrid/>
        <w:spacing w:line="360" w:lineRule="auto"/>
        <w:ind w:left="0" w:leftChars="0"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46CD5979">
      <w:pPr>
        <w:pStyle w:val="15"/>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hAnsi="宋体"/>
          <w:b w:val="0"/>
          <w:color w:val="auto"/>
          <w:sz w:val="21"/>
          <w:szCs w:val="21"/>
          <w:highlight w:val="none"/>
        </w:rPr>
      </w:pPr>
      <w:r>
        <w:rPr>
          <w:rFonts w:ascii="Microsoft New Tai Lue" w:hAnsi="Microsoft New Tai Lue" w:cs="Microsoft New Tai Lue"/>
          <w:b w:val="0"/>
          <w:bCs/>
          <w:color w:val="auto"/>
          <w:highlight w:val="none"/>
        </w:rPr>
        <w:t xml:space="preserve">                      </w:t>
      </w:r>
      <w:r>
        <w:rPr>
          <w:rFonts w:hint="eastAsia" w:ascii="Microsoft New Tai Lue" w:hAnsi="Microsoft New Tai Lue" w:cs="Microsoft New Tai Lue"/>
          <w:b w:val="0"/>
          <w:bCs/>
          <w:color w:val="auto"/>
          <w:highlight w:val="none"/>
          <w:lang w:val="en-US" w:eastAsia="zh-CN"/>
        </w:rPr>
        <w:t xml:space="preserve">           </w:t>
      </w:r>
      <w:r>
        <w:rPr>
          <w:rFonts w:hAnsi="宋体" w:cs="Microsoft New Tai Lue"/>
          <w:b w:val="0"/>
          <w:bCs/>
          <w:color w:val="auto"/>
          <w:sz w:val="21"/>
          <w:szCs w:val="21"/>
          <w:highlight w:val="none"/>
        </w:rPr>
        <w:t>日期：</w:t>
      </w:r>
      <w:r>
        <w:rPr>
          <w:rFonts w:hint="eastAsia" w:hAnsi="宋体" w:cs="Microsoft New Tai Lue"/>
          <w:b w:val="0"/>
          <w:bCs/>
          <w:color w:val="auto"/>
          <w:sz w:val="21"/>
          <w:szCs w:val="21"/>
          <w:highlight w:val="none"/>
          <w:u w:val="single"/>
          <w:lang w:val="en-US" w:eastAsia="zh-CN"/>
        </w:rPr>
        <w:t xml:space="preserve">      </w:t>
      </w:r>
      <w:r>
        <w:rPr>
          <w:rFonts w:hAnsi="宋体" w:cs="Microsoft New Tai Lue"/>
          <w:b w:val="0"/>
          <w:bCs/>
          <w:color w:val="auto"/>
          <w:sz w:val="21"/>
          <w:szCs w:val="21"/>
          <w:highlight w:val="none"/>
        </w:rPr>
        <w:t>年</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月</w:t>
      </w:r>
      <w:r>
        <w:rPr>
          <w:rFonts w:hAnsi="宋体" w:cs="Microsoft New Tai Lue"/>
          <w:b w:val="0"/>
          <w:bCs/>
          <w:color w:val="auto"/>
          <w:sz w:val="21"/>
          <w:szCs w:val="21"/>
          <w:highlight w:val="none"/>
          <w:u w:val="single"/>
        </w:rPr>
        <w:t xml:space="preserve">    </w:t>
      </w:r>
      <w:r>
        <w:rPr>
          <w:rFonts w:hAnsi="宋体" w:cs="Microsoft New Tai Lue"/>
          <w:b w:val="0"/>
          <w:bCs/>
          <w:color w:val="auto"/>
          <w:sz w:val="21"/>
          <w:szCs w:val="21"/>
          <w:highlight w:val="none"/>
        </w:rPr>
        <w:t>日</w:t>
      </w:r>
    </w:p>
    <w:p w14:paraId="6329941A">
      <w:pPr>
        <w:pStyle w:val="31"/>
        <w:rPr>
          <w:rFonts w:ascii="Microsoft New Tai Lue" w:hAnsi="Microsoft New Tai Lue" w:cs="Microsoft New Tai Lue"/>
          <w:color w:val="auto"/>
          <w:sz w:val="28"/>
          <w:szCs w:val="24"/>
          <w:highlight w:val="none"/>
        </w:rPr>
      </w:pPr>
      <w:r>
        <w:rPr>
          <w:color w:val="auto"/>
          <w:highlight w:val="none"/>
        </w:rPr>
        <w:br w:type="page"/>
      </w:r>
      <w:bookmarkStart w:id="339" w:name="_Toc103848599"/>
      <w:bookmarkStart w:id="340" w:name="_Toc107246299"/>
      <w:bookmarkStart w:id="341" w:name="_Toc104560916"/>
      <w:r>
        <w:rPr>
          <w:rFonts w:hint="eastAsia" w:ascii="Microsoft New Tai Lue" w:hAnsi="Microsoft New Tai Lue" w:cs="Microsoft New Tai Lue"/>
          <w:color w:val="auto"/>
          <w:sz w:val="28"/>
          <w:szCs w:val="24"/>
          <w:highlight w:val="none"/>
        </w:rPr>
        <w:t>二</w:t>
      </w:r>
      <w:r>
        <w:rPr>
          <w:rFonts w:ascii="Microsoft New Tai Lue" w:hAnsi="Microsoft New Tai Lue" w:cs="Microsoft New Tai Lue"/>
          <w:color w:val="auto"/>
          <w:sz w:val="28"/>
          <w:szCs w:val="24"/>
          <w:highlight w:val="none"/>
        </w:rPr>
        <w:t>、技术部分</w:t>
      </w:r>
      <w:bookmarkEnd w:id="339"/>
      <w:bookmarkEnd w:id="340"/>
      <w:bookmarkEnd w:id="341"/>
    </w:p>
    <w:p w14:paraId="68C35E6B">
      <w:pPr>
        <w:pStyle w:val="31"/>
        <w:spacing w:before="0"/>
        <w:rPr>
          <w:rFonts w:ascii="Microsoft New Tai Lue" w:hAnsi="Microsoft New Tai Lue" w:cs="Microsoft New Tai Lue"/>
          <w:bCs w:val="0"/>
          <w:color w:val="auto"/>
          <w:sz w:val="24"/>
          <w:szCs w:val="24"/>
          <w:highlight w:val="none"/>
        </w:rPr>
      </w:pPr>
      <w:bookmarkStart w:id="342" w:name="_Toc104560918"/>
      <w:bookmarkStart w:id="343" w:name="_Toc107246301"/>
      <w:bookmarkStart w:id="344" w:name="_Toc103848601"/>
      <w:r>
        <w:rPr>
          <w:rFonts w:ascii="Microsoft New Tai Lue" w:hAnsi="Microsoft New Tai Lue" w:cs="Microsoft New Tai Lue"/>
          <w:bCs w:val="0"/>
          <w:color w:val="auto"/>
          <w:sz w:val="24"/>
          <w:szCs w:val="24"/>
          <w:highlight w:val="none"/>
        </w:rPr>
        <w:t>（1）技术</w:t>
      </w:r>
      <w:r>
        <w:rPr>
          <w:rFonts w:hint="eastAsia" w:ascii="Microsoft New Tai Lue" w:hAnsi="Microsoft New Tai Lue" w:cs="Microsoft New Tai Lue"/>
          <w:bCs w:val="0"/>
          <w:color w:val="auto"/>
          <w:sz w:val="24"/>
          <w:szCs w:val="24"/>
          <w:highlight w:val="none"/>
        </w:rPr>
        <w:t>条款</w:t>
      </w:r>
      <w:r>
        <w:rPr>
          <w:rFonts w:ascii="Microsoft New Tai Lue" w:hAnsi="Microsoft New Tai Lue" w:cs="Microsoft New Tai Lue"/>
          <w:bCs w:val="0"/>
          <w:color w:val="auto"/>
          <w:sz w:val="24"/>
          <w:szCs w:val="24"/>
          <w:highlight w:val="none"/>
        </w:rPr>
        <w:t>偏离表</w:t>
      </w:r>
      <w:bookmarkEnd w:id="342"/>
      <w:bookmarkEnd w:id="343"/>
      <w:bookmarkEnd w:id="344"/>
    </w:p>
    <w:p w14:paraId="2A0A258F">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项目编号：</w:t>
      </w:r>
    </w:p>
    <w:tbl>
      <w:tblPr>
        <w:tblStyle w:val="3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1394"/>
        <w:gridCol w:w="2295"/>
        <w:gridCol w:w="2383"/>
        <w:gridCol w:w="1134"/>
        <w:gridCol w:w="1006"/>
        <w:gridCol w:w="715"/>
      </w:tblGrid>
      <w:tr w14:paraId="78F5D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733" w:type="dxa"/>
            <w:vAlign w:val="center"/>
          </w:tcPr>
          <w:p w14:paraId="624FADFF">
            <w:pPr>
              <w:pStyle w:val="79"/>
              <w:ind w:firstLine="0" w:firstLineChars="0"/>
              <w:jc w:val="center"/>
              <w:rPr>
                <w:rFonts w:ascii="Microsoft New Tai Lue" w:hAnsi="Microsoft New Tai Lue" w:cs="Microsoft New Tai Lue"/>
                <w:color w:val="auto"/>
                <w:sz w:val="21"/>
                <w:szCs w:val="21"/>
                <w:highlight w:val="none"/>
              </w:rPr>
            </w:pPr>
            <w:bookmarkStart w:id="345" w:name="_Hlk170897022"/>
            <w:r>
              <w:rPr>
                <w:rFonts w:ascii="Microsoft New Tai Lue" w:hAnsi="Microsoft New Tai Lue" w:cs="Microsoft New Tai Lue"/>
                <w:color w:val="auto"/>
                <w:sz w:val="21"/>
                <w:szCs w:val="21"/>
                <w:highlight w:val="none"/>
              </w:rPr>
              <w:t>序号</w:t>
            </w:r>
          </w:p>
        </w:tc>
        <w:tc>
          <w:tcPr>
            <w:tcW w:w="1394" w:type="dxa"/>
            <w:vAlign w:val="center"/>
          </w:tcPr>
          <w:p w14:paraId="25D301AE">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招标文件条目号</w:t>
            </w:r>
          </w:p>
        </w:tc>
        <w:tc>
          <w:tcPr>
            <w:tcW w:w="2295" w:type="dxa"/>
            <w:vAlign w:val="center"/>
          </w:tcPr>
          <w:p w14:paraId="2AF43539">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招标文件的</w:t>
            </w:r>
            <w:r>
              <w:rPr>
                <w:rFonts w:hint="eastAsia" w:ascii="Microsoft New Tai Lue" w:hAnsi="Microsoft New Tai Lue" w:cs="Microsoft New Tai Lue"/>
                <w:color w:val="auto"/>
                <w:sz w:val="21"/>
                <w:szCs w:val="21"/>
                <w:highlight w:val="none"/>
              </w:rPr>
              <w:t>技术</w:t>
            </w:r>
            <w:r>
              <w:rPr>
                <w:rFonts w:ascii="Microsoft New Tai Lue" w:hAnsi="Microsoft New Tai Lue" w:cs="Microsoft New Tai Lue"/>
                <w:color w:val="auto"/>
                <w:sz w:val="21"/>
                <w:szCs w:val="21"/>
                <w:highlight w:val="none"/>
              </w:rPr>
              <w:t>条款</w:t>
            </w:r>
          </w:p>
        </w:tc>
        <w:tc>
          <w:tcPr>
            <w:tcW w:w="2383" w:type="dxa"/>
            <w:vAlign w:val="center"/>
          </w:tcPr>
          <w:p w14:paraId="75AA8A58">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投标文件的</w:t>
            </w:r>
            <w:r>
              <w:rPr>
                <w:rFonts w:hint="eastAsia" w:ascii="Microsoft New Tai Lue" w:hAnsi="Microsoft New Tai Lue" w:cs="Microsoft New Tai Lue"/>
                <w:color w:val="auto"/>
                <w:sz w:val="21"/>
                <w:szCs w:val="21"/>
                <w:highlight w:val="none"/>
              </w:rPr>
              <w:t>技术</w:t>
            </w:r>
            <w:r>
              <w:rPr>
                <w:rFonts w:ascii="Microsoft New Tai Lue" w:hAnsi="Microsoft New Tai Lue" w:cs="Microsoft New Tai Lue"/>
                <w:color w:val="auto"/>
                <w:sz w:val="21"/>
                <w:szCs w:val="21"/>
                <w:highlight w:val="none"/>
              </w:rPr>
              <w:t>条款</w:t>
            </w:r>
          </w:p>
        </w:tc>
        <w:tc>
          <w:tcPr>
            <w:tcW w:w="1134" w:type="dxa"/>
            <w:vAlign w:val="center"/>
          </w:tcPr>
          <w:p w14:paraId="2A8A4C7A">
            <w:pPr>
              <w:pStyle w:val="79"/>
              <w:spacing w:line="480" w:lineRule="auto"/>
              <w:ind w:firstLine="0" w:firstLineChars="0"/>
              <w:jc w:val="center"/>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是否</w:t>
            </w:r>
            <w:r>
              <w:rPr>
                <w:rFonts w:ascii="Microsoft New Tai Lue" w:hAnsi="Microsoft New Tai Lue" w:cs="Microsoft New Tai Lue"/>
                <w:color w:val="auto"/>
                <w:sz w:val="21"/>
                <w:szCs w:val="21"/>
                <w:highlight w:val="none"/>
              </w:rPr>
              <w:t>偏离</w:t>
            </w:r>
          </w:p>
        </w:tc>
        <w:tc>
          <w:tcPr>
            <w:tcW w:w="1006" w:type="dxa"/>
            <w:vAlign w:val="center"/>
          </w:tcPr>
          <w:p w14:paraId="16A4BD90">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偏离</w:t>
            </w:r>
          </w:p>
        </w:tc>
        <w:tc>
          <w:tcPr>
            <w:tcW w:w="715" w:type="dxa"/>
            <w:vAlign w:val="center"/>
          </w:tcPr>
          <w:p w14:paraId="4908FD9A">
            <w:pPr>
              <w:pStyle w:val="79"/>
              <w:ind w:firstLine="0" w:firstLineChars="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说明</w:t>
            </w:r>
          </w:p>
        </w:tc>
      </w:tr>
      <w:tr w14:paraId="0473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733" w:type="dxa"/>
            <w:vAlign w:val="center"/>
          </w:tcPr>
          <w:p w14:paraId="095D78C8">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61EF5237">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353205B6">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5B11E903">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59250662">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7C72C5D3">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5A1C22E4">
            <w:pPr>
              <w:pStyle w:val="79"/>
              <w:ind w:firstLine="0" w:firstLineChars="0"/>
              <w:jc w:val="center"/>
              <w:rPr>
                <w:rFonts w:ascii="Microsoft New Tai Lue" w:hAnsi="Microsoft New Tai Lue" w:cs="Microsoft New Tai Lue"/>
                <w:color w:val="auto"/>
                <w:sz w:val="21"/>
                <w:szCs w:val="21"/>
                <w:highlight w:val="none"/>
              </w:rPr>
            </w:pPr>
          </w:p>
        </w:tc>
      </w:tr>
      <w:tr w14:paraId="15255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733" w:type="dxa"/>
            <w:vAlign w:val="center"/>
          </w:tcPr>
          <w:p w14:paraId="5B1FFF7A">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7598E394">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055F9310">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3E998EAD">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24034FBA">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2E1653FC">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29A0B3FA">
            <w:pPr>
              <w:pStyle w:val="79"/>
              <w:ind w:firstLine="0" w:firstLineChars="0"/>
              <w:jc w:val="center"/>
              <w:rPr>
                <w:rFonts w:ascii="Microsoft New Tai Lue" w:hAnsi="Microsoft New Tai Lue" w:cs="Microsoft New Tai Lue"/>
                <w:color w:val="auto"/>
                <w:sz w:val="21"/>
                <w:szCs w:val="21"/>
                <w:highlight w:val="none"/>
              </w:rPr>
            </w:pPr>
          </w:p>
        </w:tc>
      </w:tr>
      <w:tr w14:paraId="0EB4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733" w:type="dxa"/>
            <w:vAlign w:val="center"/>
          </w:tcPr>
          <w:p w14:paraId="54AC3F8C">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6F0ECD20">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25E03AB7">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26393C26">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7CC54416">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36D1E85E">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2DCC390A">
            <w:pPr>
              <w:pStyle w:val="79"/>
              <w:ind w:firstLine="0" w:firstLineChars="0"/>
              <w:jc w:val="center"/>
              <w:rPr>
                <w:rFonts w:ascii="Microsoft New Tai Lue" w:hAnsi="Microsoft New Tai Lue" w:cs="Microsoft New Tai Lue"/>
                <w:color w:val="auto"/>
                <w:sz w:val="21"/>
                <w:szCs w:val="21"/>
                <w:highlight w:val="none"/>
              </w:rPr>
            </w:pPr>
          </w:p>
        </w:tc>
      </w:tr>
      <w:tr w14:paraId="035BC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33" w:type="dxa"/>
            <w:vAlign w:val="center"/>
          </w:tcPr>
          <w:p w14:paraId="4F1F15FD">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769B5E61">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4180966A">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7D173EFD">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7FD871FB">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2D99B6FA">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D0D53FB">
            <w:pPr>
              <w:pStyle w:val="79"/>
              <w:ind w:firstLine="0" w:firstLineChars="0"/>
              <w:jc w:val="center"/>
              <w:rPr>
                <w:rFonts w:ascii="Microsoft New Tai Lue" w:hAnsi="Microsoft New Tai Lue" w:cs="Microsoft New Tai Lue"/>
                <w:color w:val="auto"/>
                <w:sz w:val="21"/>
                <w:szCs w:val="21"/>
                <w:highlight w:val="none"/>
              </w:rPr>
            </w:pPr>
          </w:p>
        </w:tc>
      </w:tr>
      <w:tr w14:paraId="4FEE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733" w:type="dxa"/>
            <w:vAlign w:val="center"/>
          </w:tcPr>
          <w:p w14:paraId="733EF3A3">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5115A475">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4652FA3D">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7856D8EA">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36CC7248">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5C4915F0">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7ADB7399">
            <w:pPr>
              <w:pStyle w:val="79"/>
              <w:ind w:firstLine="0" w:firstLineChars="0"/>
              <w:jc w:val="center"/>
              <w:rPr>
                <w:rFonts w:ascii="Microsoft New Tai Lue" w:hAnsi="Microsoft New Tai Lue" w:cs="Microsoft New Tai Lue"/>
                <w:color w:val="auto"/>
                <w:sz w:val="21"/>
                <w:szCs w:val="21"/>
                <w:highlight w:val="none"/>
              </w:rPr>
            </w:pPr>
          </w:p>
        </w:tc>
      </w:tr>
      <w:tr w14:paraId="1BE40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733" w:type="dxa"/>
            <w:vAlign w:val="center"/>
          </w:tcPr>
          <w:p w14:paraId="114FEF27">
            <w:pPr>
              <w:pStyle w:val="79"/>
              <w:ind w:firstLine="0" w:firstLineChars="0"/>
              <w:jc w:val="center"/>
              <w:rPr>
                <w:rFonts w:ascii="Microsoft New Tai Lue" w:hAnsi="Microsoft New Tai Lue" w:cs="Microsoft New Tai Lue"/>
                <w:color w:val="auto"/>
                <w:sz w:val="21"/>
                <w:szCs w:val="21"/>
                <w:highlight w:val="none"/>
              </w:rPr>
            </w:pPr>
          </w:p>
        </w:tc>
        <w:tc>
          <w:tcPr>
            <w:tcW w:w="1394" w:type="dxa"/>
            <w:vAlign w:val="center"/>
          </w:tcPr>
          <w:p w14:paraId="429661DE">
            <w:pPr>
              <w:pStyle w:val="79"/>
              <w:ind w:firstLine="0" w:firstLineChars="0"/>
              <w:jc w:val="center"/>
              <w:rPr>
                <w:rFonts w:ascii="Microsoft New Tai Lue" w:hAnsi="Microsoft New Tai Lue" w:cs="Microsoft New Tai Lue"/>
                <w:color w:val="auto"/>
                <w:sz w:val="21"/>
                <w:szCs w:val="21"/>
                <w:highlight w:val="none"/>
              </w:rPr>
            </w:pPr>
          </w:p>
        </w:tc>
        <w:tc>
          <w:tcPr>
            <w:tcW w:w="2295" w:type="dxa"/>
            <w:vAlign w:val="center"/>
          </w:tcPr>
          <w:p w14:paraId="1E354C0E">
            <w:pPr>
              <w:pStyle w:val="79"/>
              <w:ind w:firstLine="0" w:firstLineChars="0"/>
              <w:jc w:val="center"/>
              <w:rPr>
                <w:rFonts w:ascii="Microsoft New Tai Lue" w:hAnsi="Microsoft New Tai Lue" w:cs="Microsoft New Tai Lue"/>
                <w:color w:val="auto"/>
                <w:sz w:val="21"/>
                <w:szCs w:val="21"/>
                <w:highlight w:val="none"/>
              </w:rPr>
            </w:pPr>
          </w:p>
        </w:tc>
        <w:tc>
          <w:tcPr>
            <w:tcW w:w="2383" w:type="dxa"/>
            <w:vAlign w:val="center"/>
          </w:tcPr>
          <w:p w14:paraId="7DB376B8">
            <w:pPr>
              <w:pStyle w:val="79"/>
              <w:ind w:firstLine="0" w:firstLineChars="0"/>
              <w:jc w:val="center"/>
              <w:rPr>
                <w:rFonts w:ascii="Microsoft New Tai Lue" w:hAnsi="Microsoft New Tai Lue" w:cs="Microsoft New Tai Lue"/>
                <w:color w:val="auto"/>
                <w:sz w:val="21"/>
                <w:szCs w:val="21"/>
                <w:highlight w:val="none"/>
              </w:rPr>
            </w:pPr>
          </w:p>
        </w:tc>
        <w:tc>
          <w:tcPr>
            <w:tcW w:w="1134" w:type="dxa"/>
            <w:vAlign w:val="center"/>
          </w:tcPr>
          <w:p w14:paraId="68DE758A">
            <w:pPr>
              <w:pStyle w:val="79"/>
              <w:ind w:firstLine="0" w:firstLineChars="0"/>
              <w:jc w:val="center"/>
              <w:rPr>
                <w:rFonts w:ascii="Microsoft New Tai Lue" w:hAnsi="Microsoft New Tai Lue" w:cs="Microsoft New Tai Lue"/>
                <w:color w:val="auto"/>
                <w:sz w:val="21"/>
                <w:szCs w:val="21"/>
                <w:highlight w:val="none"/>
              </w:rPr>
            </w:pPr>
          </w:p>
        </w:tc>
        <w:tc>
          <w:tcPr>
            <w:tcW w:w="1006" w:type="dxa"/>
            <w:vAlign w:val="center"/>
          </w:tcPr>
          <w:p w14:paraId="39502359">
            <w:pPr>
              <w:pStyle w:val="79"/>
              <w:ind w:firstLine="0" w:firstLineChars="0"/>
              <w:jc w:val="center"/>
              <w:rPr>
                <w:rFonts w:ascii="Microsoft New Tai Lue" w:hAnsi="Microsoft New Tai Lue" w:cs="Microsoft New Tai Lue"/>
                <w:color w:val="auto"/>
                <w:sz w:val="21"/>
                <w:szCs w:val="21"/>
                <w:highlight w:val="none"/>
              </w:rPr>
            </w:pPr>
          </w:p>
        </w:tc>
        <w:tc>
          <w:tcPr>
            <w:tcW w:w="715" w:type="dxa"/>
            <w:vAlign w:val="center"/>
          </w:tcPr>
          <w:p w14:paraId="5268DC9B">
            <w:pPr>
              <w:pStyle w:val="79"/>
              <w:ind w:firstLine="0" w:firstLineChars="0"/>
              <w:jc w:val="center"/>
              <w:rPr>
                <w:rFonts w:ascii="Microsoft New Tai Lue" w:hAnsi="Microsoft New Tai Lue" w:cs="Microsoft New Tai Lue"/>
                <w:color w:val="auto"/>
                <w:sz w:val="21"/>
                <w:szCs w:val="21"/>
                <w:highlight w:val="none"/>
              </w:rPr>
            </w:pPr>
          </w:p>
        </w:tc>
      </w:tr>
      <w:bookmarkEnd w:id="345"/>
    </w:tbl>
    <w:p w14:paraId="15E937D7">
      <w:pPr>
        <w:pStyle w:val="29"/>
        <w:spacing w:line="360" w:lineRule="exact"/>
        <w:rPr>
          <w:rFonts w:ascii="Times New Roman" w:hAnsi="Times New Roman"/>
          <w:b/>
          <w:bCs/>
          <w:color w:val="auto"/>
          <w:highlight w:val="none"/>
        </w:rPr>
      </w:pPr>
      <w:r>
        <w:rPr>
          <w:rFonts w:ascii="Times New Roman" w:hAnsi="Times New Roman"/>
          <w:b/>
          <w:bCs/>
          <w:color w:val="auto"/>
          <w:highlight w:val="none"/>
        </w:rPr>
        <w:t>注：</w:t>
      </w:r>
    </w:p>
    <w:p w14:paraId="2F0FF2DF">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1. 供应商须根据第四章《采购需求》要求填写此表，作为投标文件的组成部分。</w:t>
      </w:r>
    </w:p>
    <w:p w14:paraId="11E51E98">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2. 所有偏离必须在本表中列出，未在本偏离表中列出偏离，将视为供应商已完全接受招标文件要求。如完全无偏离，也无其他说明，可在本表第一行填写“全部无偏离”。</w:t>
      </w:r>
    </w:p>
    <w:p w14:paraId="1DD36EEF">
      <w:pPr>
        <w:pStyle w:val="29"/>
        <w:spacing w:line="360" w:lineRule="exact"/>
        <w:rPr>
          <w:rFonts w:ascii="Times New Roman" w:hAnsi="Times New Roman"/>
          <w:b/>
          <w:bCs/>
          <w:color w:val="auto"/>
          <w:highlight w:val="none"/>
        </w:rPr>
      </w:pPr>
      <w:r>
        <w:rPr>
          <w:rFonts w:hint="eastAsia" w:ascii="Times New Roman" w:hAnsi="Times New Roman"/>
          <w:b/>
          <w:bCs/>
          <w:color w:val="auto"/>
          <w:highlight w:val="none"/>
        </w:rPr>
        <w:t>3. 偏离包括正、负偏离，正偏离指供应商的响应高于招标文件要求，负偏离指供应商的响应低于招标文件要求。</w:t>
      </w:r>
    </w:p>
    <w:p w14:paraId="535385C3">
      <w:pPr>
        <w:pStyle w:val="29"/>
        <w:spacing w:line="360" w:lineRule="exact"/>
        <w:rPr>
          <w:rFonts w:ascii="Times New Roman" w:hAnsi="Times New Roman"/>
          <w:b/>
          <w:bCs/>
          <w:color w:val="auto"/>
          <w:highlight w:val="none"/>
        </w:rPr>
      </w:pPr>
      <w:r>
        <w:rPr>
          <w:rFonts w:hint="eastAsia"/>
          <w:b/>
          <w:color w:val="auto"/>
          <w:highlight w:val="none"/>
        </w:rPr>
        <w:t>4. 如</w:t>
      </w:r>
      <w:r>
        <w:rPr>
          <w:rFonts w:hint="eastAsia" w:ascii="Times New Roman" w:hAnsi="Times New Roman"/>
          <w:b/>
          <w:bCs/>
          <w:color w:val="auto"/>
          <w:highlight w:val="none"/>
        </w:rPr>
        <w:t>供应商</w:t>
      </w:r>
      <w:r>
        <w:rPr>
          <w:rFonts w:hint="eastAsia"/>
          <w:b/>
          <w:color w:val="auto"/>
          <w:highlight w:val="none"/>
        </w:rPr>
        <w:t>将此表空白，视为</w:t>
      </w:r>
      <w:r>
        <w:rPr>
          <w:rFonts w:hint="eastAsia" w:ascii="Times New Roman" w:hAnsi="Times New Roman"/>
          <w:b/>
          <w:bCs/>
          <w:color w:val="auto"/>
          <w:highlight w:val="none"/>
        </w:rPr>
        <w:t>供应商</w:t>
      </w:r>
      <w:r>
        <w:rPr>
          <w:rFonts w:hint="eastAsia"/>
          <w:b/>
          <w:color w:val="auto"/>
          <w:highlight w:val="none"/>
        </w:rPr>
        <w:t>无任何偏离。</w:t>
      </w:r>
    </w:p>
    <w:p w14:paraId="0C32B59B">
      <w:pPr>
        <w:pStyle w:val="79"/>
        <w:ind w:firstLine="0" w:firstLineChars="0"/>
        <w:rPr>
          <w:rFonts w:ascii="Microsoft New Tai Lue" w:hAnsi="Microsoft New Tai Lue" w:cs="Microsoft New Tai Lue"/>
          <w:color w:val="auto"/>
          <w:sz w:val="21"/>
          <w:szCs w:val="21"/>
          <w:highlight w:val="none"/>
        </w:rPr>
      </w:pPr>
    </w:p>
    <w:p w14:paraId="5BF0DA04">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41E8B6FA">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17C0616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w:t>
      </w:r>
    </w:p>
    <w:p w14:paraId="4A6551F5">
      <w:pPr>
        <w:pStyle w:val="79"/>
        <w:ind w:firstLine="3780" w:firstLineChars="180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日期：______年____月____日</w:t>
      </w:r>
    </w:p>
    <w:p w14:paraId="61D9FF3C">
      <w:pPr>
        <w:rPr>
          <w:rFonts w:ascii="Microsoft New Tai Lue" w:hAnsi="Microsoft New Tai Lue" w:cs="Microsoft New Tai Lue"/>
          <w:bCs w:val="0"/>
          <w:color w:val="auto"/>
          <w:sz w:val="24"/>
          <w:szCs w:val="24"/>
          <w:highlight w:val="none"/>
        </w:rPr>
      </w:pPr>
      <w:bookmarkStart w:id="346" w:name="_Toc104560917"/>
      <w:bookmarkStart w:id="347" w:name="_Toc107246300"/>
      <w:bookmarkStart w:id="348" w:name="_Toc103848600"/>
      <w:bookmarkStart w:id="349" w:name="_Toc104560919"/>
      <w:bookmarkStart w:id="350" w:name="_Toc103848602"/>
      <w:bookmarkStart w:id="351" w:name="_Toc107246302"/>
      <w:r>
        <w:rPr>
          <w:rFonts w:ascii="Microsoft New Tai Lue" w:hAnsi="Microsoft New Tai Lue" w:cs="Microsoft New Tai Lue"/>
          <w:bCs w:val="0"/>
          <w:color w:val="auto"/>
          <w:sz w:val="24"/>
          <w:szCs w:val="24"/>
          <w:highlight w:val="none"/>
        </w:rPr>
        <w:br w:type="page"/>
      </w:r>
    </w:p>
    <w:p w14:paraId="5D5FBD5B">
      <w:pPr>
        <w:pStyle w:val="3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（2）</w:t>
      </w:r>
      <w:bookmarkEnd w:id="346"/>
      <w:bookmarkEnd w:id="347"/>
      <w:bookmarkEnd w:id="348"/>
      <w:r>
        <w:rPr>
          <w:rFonts w:hint="eastAsia" w:ascii="Microsoft New Tai Lue" w:hAnsi="Microsoft New Tai Lue" w:cs="Microsoft New Tai Lue"/>
          <w:bCs w:val="0"/>
          <w:color w:val="auto"/>
          <w:sz w:val="24"/>
          <w:szCs w:val="24"/>
          <w:highlight w:val="none"/>
        </w:rPr>
        <w:t>人员团队</w:t>
      </w:r>
    </w:p>
    <w:p w14:paraId="3CF0412C">
      <w:pPr>
        <w:pStyle w:val="15"/>
        <w:ind w:left="0" w:leftChars="0"/>
        <w:jc w:val="left"/>
        <w:rPr>
          <w:color w:val="auto"/>
          <w:highlight w:val="none"/>
        </w:rPr>
      </w:pPr>
      <w:r>
        <w:rPr>
          <w:rFonts w:hint="eastAsia"/>
          <w:color w:val="auto"/>
          <w:highlight w:val="none"/>
          <w:lang w:val="en-US" w:eastAsia="zh-CN"/>
        </w:rPr>
        <w:t>1.</w:t>
      </w:r>
      <w:r>
        <w:rPr>
          <w:rFonts w:hint="eastAsia"/>
          <w:color w:val="auto"/>
          <w:highlight w:val="none"/>
        </w:rPr>
        <w:t>人员配备表</w:t>
      </w:r>
    </w:p>
    <w:tbl>
      <w:tblPr>
        <w:tblStyle w:val="34"/>
        <w:tblW w:w="98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6"/>
        <w:gridCol w:w="785"/>
        <w:gridCol w:w="918"/>
        <w:gridCol w:w="767"/>
        <w:gridCol w:w="850"/>
        <w:gridCol w:w="1134"/>
        <w:gridCol w:w="1418"/>
        <w:gridCol w:w="1984"/>
        <w:gridCol w:w="1172"/>
      </w:tblGrid>
      <w:tr w14:paraId="76B196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5" w:hRule="atLeast"/>
          <w:jc w:val="center"/>
        </w:trPr>
        <w:tc>
          <w:tcPr>
            <w:tcW w:w="786" w:type="dxa"/>
            <w:vAlign w:val="center"/>
          </w:tcPr>
          <w:p w14:paraId="68010B26">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序号</w:t>
            </w:r>
          </w:p>
        </w:tc>
        <w:tc>
          <w:tcPr>
            <w:tcW w:w="785" w:type="dxa"/>
            <w:vAlign w:val="center"/>
          </w:tcPr>
          <w:p w14:paraId="0B15ACAA">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姓名</w:t>
            </w:r>
          </w:p>
        </w:tc>
        <w:tc>
          <w:tcPr>
            <w:tcW w:w="918" w:type="dxa"/>
            <w:vAlign w:val="center"/>
          </w:tcPr>
          <w:p w14:paraId="598DB2E6">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岗位</w:t>
            </w:r>
          </w:p>
        </w:tc>
        <w:tc>
          <w:tcPr>
            <w:tcW w:w="767" w:type="dxa"/>
            <w:vAlign w:val="center"/>
          </w:tcPr>
          <w:p w14:paraId="2C1503CA">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学历</w:t>
            </w:r>
          </w:p>
        </w:tc>
        <w:tc>
          <w:tcPr>
            <w:tcW w:w="850" w:type="dxa"/>
            <w:vAlign w:val="center"/>
          </w:tcPr>
          <w:p w14:paraId="3D3F14E1">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职称</w:t>
            </w:r>
          </w:p>
        </w:tc>
        <w:tc>
          <w:tcPr>
            <w:tcW w:w="1134" w:type="dxa"/>
            <w:vAlign w:val="center"/>
          </w:tcPr>
          <w:p w14:paraId="3810D3EE">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职称专业</w:t>
            </w:r>
          </w:p>
        </w:tc>
        <w:tc>
          <w:tcPr>
            <w:tcW w:w="1418" w:type="dxa"/>
            <w:vAlign w:val="center"/>
          </w:tcPr>
          <w:p w14:paraId="789F2348">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从事食品检验工作年限</w:t>
            </w:r>
          </w:p>
        </w:tc>
        <w:tc>
          <w:tcPr>
            <w:tcW w:w="1984" w:type="dxa"/>
            <w:vAlign w:val="center"/>
          </w:tcPr>
          <w:p w14:paraId="0C19687C">
            <w:pPr>
              <w:widowControl/>
              <w:spacing w:line="400" w:lineRule="exact"/>
              <w:jc w:val="center"/>
              <w:rPr>
                <w:rFonts w:hint="eastAsia" w:ascii="宋体" w:hAnsi="宋体"/>
                <w:bCs/>
                <w:color w:val="auto"/>
                <w:szCs w:val="21"/>
                <w:highlight w:val="none"/>
              </w:rPr>
            </w:pPr>
            <w:r>
              <w:rPr>
                <w:rFonts w:hint="eastAsia" w:ascii="Microsoft New Tai Lue" w:hAnsi="Microsoft New Tai Lue" w:cs="Microsoft New Tai Lue"/>
                <w:color w:val="auto"/>
                <w:sz w:val="21"/>
                <w:szCs w:val="21"/>
                <w:highlight w:val="none"/>
              </w:rPr>
              <w:t>供应商</w:t>
            </w:r>
            <w:r>
              <w:rPr>
                <w:rFonts w:hint="eastAsia" w:ascii="宋体" w:hAnsi="宋体"/>
                <w:bCs/>
                <w:color w:val="auto"/>
                <w:szCs w:val="21"/>
                <w:highlight w:val="none"/>
              </w:rPr>
              <w:t>是否为其缴纳近三个月（2026年01月-2026年03月）中任一月份的社保记录</w:t>
            </w:r>
          </w:p>
        </w:tc>
        <w:tc>
          <w:tcPr>
            <w:tcW w:w="1172" w:type="dxa"/>
            <w:vAlign w:val="center"/>
          </w:tcPr>
          <w:p w14:paraId="45CA231B">
            <w:pPr>
              <w:widowControl/>
              <w:spacing w:line="400" w:lineRule="exact"/>
              <w:jc w:val="center"/>
              <w:rPr>
                <w:rFonts w:hint="eastAsia" w:ascii="宋体" w:hAnsi="宋体"/>
                <w:bCs/>
                <w:color w:val="auto"/>
                <w:szCs w:val="21"/>
                <w:highlight w:val="none"/>
              </w:rPr>
            </w:pPr>
            <w:r>
              <w:rPr>
                <w:rFonts w:hint="eastAsia" w:ascii="宋体" w:hAnsi="宋体"/>
                <w:bCs/>
                <w:color w:val="auto"/>
                <w:szCs w:val="21"/>
                <w:highlight w:val="none"/>
              </w:rPr>
              <w:t>在投标文件中的页码位置</w:t>
            </w:r>
          </w:p>
        </w:tc>
      </w:tr>
      <w:tr w14:paraId="640E7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15DF08F9">
            <w:pPr>
              <w:widowControl/>
              <w:spacing w:line="400" w:lineRule="exact"/>
              <w:jc w:val="left"/>
              <w:rPr>
                <w:rFonts w:hint="eastAsia" w:ascii="宋体" w:hAnsi="宋体"/>
                <w:color w:val="auto"/>
                <w:sz w:val="24"/>
                <w:highlight w:val="none"/>
              </w:rPr>
            </w:pPr>
          </w:p>
        </w:tc>
        <w:tc>
          <w:tcPr>
            <w:tcW w:w="785" w:type="dxa"/>
            <w:vAlign w:val="center"/>
          </w:tcPr>
          <w:p w14:paraId="2867F095">
            <w:pPr>
              <w:widowControl/>
              <w:spacing w:line="400" w:lineRule="exact"/>
              <w:jc w:val="left"/>
              <w:rPr>
                <w:rFonts w:hint="eastAsia" w:ascii="宋体" w:hAnsi="宋体"/>
                <w:color w:val="auto"/>
                <w:sz w:val="24"/>
                <w:highlight w:val="none"/>
              </w:rPr>
            </w:pPr>
          </w:p>
        </w:tc>
        <w:tc>
          <w:tcPr>
            <w:tcW w:w="918" w:type="dxa"/>
            <w:vAlign w:val="center"/>
          </w:tcPr>
          <w:p w14:paraId="3685397B">
            <w:pPr>
              <w:widowControl/>
              <w:spacing w:line="400" w:lineRule="exact"/>
              <w:jc w:val="left"/>
              <w:rPr>
                <w:rFonts w:hint="eastAsia" w:ascii="宋体" w:hAnsi="宋体"/>
                <w:color w:val="auto"/>
                <w:sz w:val="24"/>
                <w:highlight w:val="none"/>
              </w:rPr>
            </w:pPr>
          </w:p>
        </w:tc>
        <w:tc>
          <w:tcPr>
            <w:tcW w:w="767" w:type="dxa"/>
            <w:vAlign w:val="center"/>
          </w:tcPr>
          <w:p w14:paraId="2FFAE3C0">
            <w:pPr>
              <w:widowControl/>
              <w:spacing w:line="400" w:lineRule="exact"/>
              <w:jc w:val="left"/>
              <w:rPr>
                <w:rFonts w:hint="eastAsia" w:ascii="宋体" w:hAnsi="宋体"/>
                <w:color w:val="auto"/>
                <w:sz w:val="24"/>
                <w:highlight w:val="none"/>
              </w:rPr>
            </w:pPr>
          </w:p>
        </w:tc>
        <w:tc>
          <w:tcPr>
            <w:tcW w:w="850" w:type="dxa"/>
            <w:vAlign w:val="center"/>
          </w:tcPr>
          <w:p w14:paraId="46FFFBD7">
            <w:pPr>
              <w:widowControl/>
              <w:spacing w:line="400" w:lineRule="exact"/>
              <w:jc w:val="left"/>
              <w:rPr>
                <w:rFonts w:hint="eastAsia" w:ascii="宋体" w:hAnsi="宋体"/>
                <w:color w:val="auto"/>
                <w:sz w:val="24"/>
                <w:highlight w:val="none"/>
              </w:rPr>
            </w:pPr>
          </w:p>
        </w:tc>
        <w:tc>
          <w:tcPr>
            <w:tcW w:w="1134" w:type="dxa"/>
            <w:vAlign w:val="center"/>
          </w:tcPr>
          <w:p w14:paraId="656D3EB2">
            <w:pPr>
              <w:widowControl/>
              <w:spacing w:line="400" w:lineRule="exact"/>
              <w:jc w:val="left"/>
              <w:rPr>
                <w:rFonts w:hint="eastAsia" w:ascii="宋体" w:hAnsi="宋体"/>
                <w:color w:val="auto"/>
                <w:sz w:val="24"/>
                <w:highlight w:val="none"/>
              </w:rPr>
            </w:pPr>
          </w:p>
        </w:tc>
        <w:tc>
          <w:tcPr>
            <w:tcW w:w="1418" w:type="dxa"/>
            <w:vAlign w:val="center"/>
          </w:tcPr>
          <w:p w14:paraId="2B0B1978">
            <w:pPr>
              <w:widowControl/>
              <w:spacing w:line="400" w:lineRule="exact"/>
              <w:jc w:val="left"/>
              <w:rPr>
                <w:rFonts w:hint="eastAsia" w:ascii="宋体" w:hAnsi="宋体"/>
                <w:color w:val="auto"/>
                <w:sz w:val="24"/>
                <w:highlight w:val="none"/>
              </w:rPr>
            </w:pPr>
          </w:p>
        </w:tc>
        <w:tc>
          <w:tcPr>
            <w:tcW w:w="1984" w:type="dxa"/>
            <w:vAlign w:val="center"/>
          </w:tcPr>
          <w:p w14:paraId="63DCCC29">
            <w:pPr>
              <w:widowControl/>
              <w:spacing w:line="400" w:lineRule="exact"/>
              <w:jc w:val="left"/>
              <w:rPr>
                <w:rFonts w:hint="eastAsia" w:ascii="宋体" w:hAnsi="宋体"/>
                <w:color w:val="auto"/>
                <w:sz w:val="24"/>
                <w:highlight w:val="none"/>
              </w:rPr>
            </w:pPr>
          </w:p>
        </w:tc>
        <w:tc>
          <w:tcPr>
            <w:tcW w:w="1172" w:type="dxa"/>
            <w:vAlign w:val="center"/>
          </w:tcPr>
          <w:p w14:paraId="28912A3F">
            <w:pPr>
              <w:widowControl/>
              <w:spacing w:line="400" w:lineRule="exact"/>
              <w:jc w:val="left"/>
              <w:rPr>
                <w:rFonts w:hint="eastAsia" w:ascii="宋体" w:hAnsi="宋体"/>
                <w:color w:val="auto"/>
                <w:sz w:val="24"/>
                <w:highlight w:val="none"/>
              </w:rPr>
            </w:pPr>
          </w:p>
        </w:tc>
      </w:tr>
      <w:tr w14:paraId="716339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19B2F5DA">
            <w:pPr>
              <w:widowControl/>
              <w:spacing w:line="400" w:lineRule="exact"/>
              <w:jc w:val="left"/>
              <w:rPr>
                <w:rFonts w:hint="eastAsia" w:ascii="宋体" w:hAnsi="宋体"/>
                <w:color w:val="auto"/>
                <w:sz w:val="24"/>
                <w:highlight w:val="none"/>
              </w:rPr>
            </w:pPr>
          </w:p>
        </w:tc>
        <w:tc>
          <w:tcPr>
            <w:tcW w:w="785" w:type="dxa"/>
            <w:vAlign w:val="center"/>
          </w:tcPr>
          <w:p w14:paraId="018E7B40">
            <w:pPr>
              <w:widowControl/>
              <w:spacing w:line="400" w:lineRule="exact"/>
              <w:jc w:val="left"/>
              <w:rPr>
                <w:rFonts w:hint="eastAsia" w:ascii="宋体" w:hAnsi="宋体"/>
                <w:color w:val="auto"/>
                <w:sz w:val="24"/>
                <w:highlight w:val="none"/>
              </w:rPr>
            </w:pPr>
          </w:p>
        </w:tc>
        <w:tc>
          <w:tcPr>
            <w:tcW w:w="918" w:type="dxa"/>
            <w:vAlign w:val="center"/>
          </w:tcPr>
          <w:p w14:paraId="521AEB90">
            <w:pPr>
              <w:widowControl/>
              <w:spacing w:line="400" w:lineRule="exact"/>
              <w:jc w:val="left"/>
              <w:rPr>
                <w:rFonts w:hint="eastAsia" w:ascii="宋体" w:hAnsi="宋体"/>
                <w:color w:val="auto"/>
                <w:sz w:val="24"/>
                <w:highlight w:val="none"/>
              </w:rPr>
            </w:pPr>
          </w:p>
        </w:tc>
        <w:tc>
          <w:tcPr>
            <w:tcW w:w="767" w:type="dxa"/>
            <w:vAlign w:val="center"/>
          </w:tcPr>
          <w:p w14:paraId="6DCBDEAF">
            <w:pPr>
              <w:widowControl/>
              <w:spacing w:line="400" w:lineRule="exact"/>
              <w:jc w:val="left"/>
              <w:rPr>
                <w:rFonts w:hint="eastAsia" w:ascii="宋体" w:hAnsi="宋体"/>
                <w:color w:val="auto"/>
                <w:sz w:val="24"/>
                <w:highlight w:val="none"/>
              </w:rPr>
            </w:pPr>
          </w:p>
        </w:tc>
        <w:tc>
          <w:tcPr>
            <w:tcW w:w="850" w:type="dxa"/>
            <w:vAlign w:val="center"/>
          </w:tcPr>
          <w:p w14:paraId="412AD00B">
            <w:pPr>
              <w:widowControl/>
              <w:spacing w:line="400" w:lineRule="exact"/>
              <w:jc w:val="left"/>
              <w:rPr>
                <w:rFonts w:hint="eastAsia" w:ascii="宋体" w:hAnsi="宋体"/>
                <w:color w:val="auto"/>
                <w:sz w:val="24"/>
                <w:highlight w:val="none"/>
              </w:rPr>
            </w:pPr>
          </w:p>
        </w:tc>
        <w:tc>
          <w:tcPr>
            <w:tcW w:w="1134" w:type="dxa"/>
            <w:vAlign w:val="center"/>
          </w:tcPr>
          <w:p w14:paraId="227C0233">
            <w:pPr>
              <w:widowControl/>
              <w:spacing w:line="400" w:lineRule="exact"/>
              <w:jc w:val="left"/>
              <w:rPr>
                <w:rFonts w:hint="eastAsia" w:ascii="宋体" w:hAnsi="宋体"/>
                <w:color w:val="auto"/>
                <w:sz w:val="24"/>
                <w:highlight w:val="none"/>
              </w:rPr>
            </w:pPr>
          </w:p>
        </w:tc>
        <w:tc>
          <w:tcPr>
            <w:tcW w:w="1418" w:type="dxa"/>
            <w:vAlign w:val="center"/>
          </w:tcPr>
          <w:p w14:paraId="0A6D2DF4">
            <w:pPr>
              <w:widowControl/>
              <w:spacing w:line="400" w:lineRule="exact"/>
              <w:jc w:val="left"/>
              <w:rPr>
                <w:rFonts w:hint="eastAsia" w:ascii="宋体" w:hAnsi="宋体"/>
                <w:color w:val="auto"/>
                <w:sz w:val="24"/>
                <w:highlight w:val="none"/>
              </w:rPr>
            </w:pPr>
          </w:p>
        </w:tc>
        <w:tc>
          <w:tcPr>
            <w:tcW w:w="1984" w:type="dxa"/>
            <w:vAlign w:val="center"/>
          </w:tcPr>
          <w:p w14:paraId="1988B1CD">
            <w:pPr>
              <w:widowControl/>
              <w:spacing w:line="400" w:lineRule="exact"/>
              <w:jc w:val="left"/>
              <w:rPr>
                <w:rFonts w:hint="eastAsia" w:ascii="宋体" w:hAnsi="宋体"/>
                <w:color w:val="auto"/>
                <w:sz w:val="24"/>
                <w:highlight w:val="none"/>
              </w:rPr>
            </w:pPr>
          </w:p>
        </w:tc>
        <w:tc>
          <w:tcPr>
            <w:tcW w:w="1172" w:type="dxa"/>
            <w:vAlign w:val="center"/>
          </w:tcPr>
          <w:p w14:paraId="2C19B5E1">
            <w:pPr>
              <w:widowControl/>
              <w:spacing w:line="400" w:lineRule="exact"/>
              <w:jc w:val="left"/>
              <w:rPr>
                <w:rFonts w:hint="eastAsia" w:ascii="宋体" w:hAnsi="宋体"/>
                <w:color w:val="auto"/>
                <w:sz w:val="24"/>
                <w:highlight w:val="none"/>
              </w:rPr>
            </w:pPr>
          </w:p>
        </w:tc>
      </w:tr>
      <w:tr w14:paraId="37D72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06983527">
            <w:pPr>
              <w:widowControl/>
              <w:spacing w:line="400" w:lineRule="exact"/>
              <w:jc w:val="left"/>
              <w:rPr>
                <w:rFonts w:hint="eastAsia" w:ascii="宋体" w:hAnsi="宋体"/>
                <w:color w:val="auto"/>
                <w:sz w:val="24"/>
                <w:highlight w:val="none"/>
              </w:rPr>
            </w:pPr>
          </w:p>
        </w:tc>
        <w:tc>
          <w:tcPr>
            <w:tcW w:w="785" w:type="dxa"/>
            <w:vAlign w:val="center"/>
          </w:tcPr>
          <w:p w14:paraId="183BD809">
            <w:pPr>
              <w:widowControl/>
              <w:spacing w:line="400" w:lineRule="exact"/>
              <w:jc w:val="left"/>
              <w:rPr>
                <w:rFonts w:hint="eastAsia" w:ascii="宋体" w:hAnsi="宋体"/>
                <w:color w:val="auto"/>
                <w:sz w:val="24"/>
                <w:highlight w:val="none"/>
              </w:rPr>
            </w:pPr>
          </w:p>
        </w:tc>
        <w:tc>
          <w:tcPr>
            <w:tcW w:w="918" w:type="dxa"/>
            <w:vAlign w:val="center"/>
          </w:tcPr>
          <w:p w14:paraId="4ADB93F5">
            <w:pPr>
              <w:widowControl/>
              <w:spacing w:line="400" w:lineRule="exact"/>
              <w:jc w:val="left"/>
              <w:rPr>
                <w:rFonts w:hint="eastAsia" w:ascii="宋体" w:hAnsi="宋体"/>
                <w:color w:val="auto"/>
                <w:sz w:val="24"/>
                <w:highlight w:val="none"/>
              </w:rPr>
            </w:pPr>
          </w:p>
        </w:tc>
        <w:tc>
          <w:tcPr>
            <w:tcW w:w="767" w:type="dxa"/>
            <w:vAlign w:val="center"/>
          </w:tcPr>
          <w:p w14:paraId="64C7EACE">
            <w:pPr>
              <w:widowControl/>
              <w:spacing w:line="400" w:lineRule="exact"/>
              <w:jc w:val="left"/>
              <w:rPr>
                <w:rFonts w:hint="eastAsia" w:ascii="宋体" w:hAnsi="宋体"/>
                <w:color w:val="auto"/>
                <w:sz w:val="24"/>
                <w:highlight w:val="none"/>
              </w:rPr>
            </w:pPr>
          </w:p>
        </w:tc>
        <w:tc>
          <w:tcPr>
            <w:tcW w:w="850" w:type="dxa"/>
            <w:vAlign w:val="center"/>
          </w:tcPr>
          <w:p w14:paraId="6487C1A4">
            <w:pPr>
              <w:widowControl/>
              <w:spacing w:line="400" w:lineRule="exact"/>
              <w:jc w:val="left"/>
              <w:rPr>
                <w:rFonts w:hint="eastAsia" w:ascii="宋体" w:hAnsi="宋体"/>
                <w:color w:val="auto"/>
                <w:sz w:val="24"/>
                <w:highlight w:val="none"/>
              </w:rPr>
            </w:pPr>
          </w:p>
        </w:tc>
        <w:tc>
          <w:tcPr>
            <w:tcW w:w="1134" w:type="dxa"/>
            <w:vAlign w:val="center"/>
          </w:tcPr>
          <w:p w14:paraId="471CA47E">
            <w:pPr>
              <w:widowControl/>
              <w:spacing w:line="400" w:lineRule="exact"/>
              <w:jc w:val="left"/>
              <w:rPr>
                <w:rFonts w:hint="eastAsia" w:ascii="宋体" w:hAnsi="宋体"/>
                <w:color w:val="auto"/>
                <w:sz w:val="24"/>
                <w:highlight w:val="none"/>
              </w:rPr>
            </w:pPr>
          </w:p>
        </w:tc>
        <w:tc>
          <w:tcPr>
            <w:tcW w:w="1418" w:type="dxa"/>
            <w:vAlign w:val="center"/>
          </w:tcPr>
          <w:p w14:paraId="30DF4F8A">
            <w:pPr>
              <w:widowControl/>
              <w:spacing w:line="400" w:lineRule="exact"/>
              <w:jc w:val="left"/>
              <w:rPr>
                <w:rFonts w:hint="eastAsia" w:ascii="宋体" w:hAnsi="宋体"/>
                <w:color w:val="auto"/>
                <w:sz w:val="24"/>
                <w:highlight w:val="none"/>
              </w:rPr>
            </w:pPr>
          </w:p>
        </w:tc>
        <w:tc>
          <w:tcPr>
            <w:tcW w:w="1984" w:type="dxa"/>
            <w:vAlign w:val="center"/>
          </w:tcPr>
          <w:p w14:paraId="01FB2BD7">
            <w:pPr>
              <w:widowControl/>
              <w:spacing w:line="400" w:lineRule="exact"/>
              <w:jc w:val="left"/>
              <w:rPr>
                <w:rFonts w:hint="eastAsia" w:ascii="宋体" w:hAnsi="宋体"/>
                <w:color w:val="auto"/>
                <w:sz w:val="24"/>
                <w:highlight w:val="none"/>
              </w:rPr>
            </w:pPr>
          </w:p>
        </w:tc>
        <w:tc>
          <w:tcPr>
            <w:tcW w:w="1172" w:type="dxa"/>
            <w:vAlign w:val="center"/>
          </w:tcPr>
          <w:p w14:paraId="1BCD8E41">
            <w:pPr>
              <w:widowControl/>
              <w:spacing w:line="400" w:lineRule="exact"/>
              <w:jc w:val="left"/>
              <w:rPr>
                <w:rFonts w:hint="eastAsia" w:ascii="宋体" w:hAnsi="宋体"/>
                <w:color w:val="auto"/>
                <w:sz w:val="24"/>
                <w:highlight w:val="none"/>
              </w:rPr>
            </w:pPr>
          </w:p>
        </w:tc>
      </w:tr>
      <w:tr w14:paraId="6D68A0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532BB882">
            <w:pPr>
              <w:widowControl/>
              <w:spacing w:line="400" w:lineRule="exact"/>
              <w:jc w:val="left"/>
              <w:rPr>
                <w:rFonts w:hint="eastAsia" w:ascii="宋体" w:hAnsi="宋体"/>
                <w:color w:val="auto"/>
                <w:sz w:val="24"/>
                <w:highlight w:val="none"/>
              </w:rPr>
            </w:pPr>
          </w:p>
        </w:tc>
        <w:tc>
          <w:tcPr>
            <w:tcW w:w="785" w:type="dxa"/>
            <w:vAlign w:val="center"/>
          </w:tcPr>
          <w:p w14:paraId="4F522ABE">
            <w:pPr>
              <w:widowControl/>
              <w:spacing w:line="400" w:lineRule="exact"/>
              <w:jc w:val="left"/>
              <w:rPr>
                <w:rFonts w:hint="eastAsia" w:ascii="宋体" w:hAnsi="宋体"/>
                <w:color w:val="auto"/>
                <w:sz w:val="24"/>
                <w:highlight w:val="none"/>
              </w:rPr>
            </w:pPr>
          </w:p>
        </w:tc>
        <w:tc>
          <w:tcPr>
            <w:tcW w:w="918" w:type="dxa"/>
            <w:vAlign w:val="center"/>
          </w:tcPr>
          <w:p w14:paraId="1E3E9ADC">
            <w:pPr>
              <w:widowControl/>
              <w:spacing w:line="400" w:lineRule="exact"/>
              <w:jc w:val="left"/>
              <w:rPr>
                <w:rFonts w:hint="eastAsia" w:ascii="宋体" w:hAnsi="宋体"/>
                <w:color w:val="auto"/>
                <w:sz w:val="24"/>
                <w:highlight w:val="none"/>
              </w:rPr>
            </w:pPr>
          </w:p>
        </w:tc>
        <w:tc>
          <w:tcPr>
            <w:tcW w:w="767" w:type="dxa"/>
            <w:vAlign w:val="center"/>
          </w:tcPr>
          <w:p w14:paraId="62C7A99C">
            <w:pPr>
              <w:widowControl/>
              <w:spacing w:line="400" w:lineRule="exact"/>
              <w:jc w:val="left"/>
              <w:rPr>
                <w:rFonts w:hint="eastAsia" w:ascii="宋体" w:hAnsi="宋体"/>
                <w:color w:val="auto"/>
                <w:sz w:val="24"/>
                <w:highlight w:val="none"/>
              </w:rPr>
            </w:pPr>
          </w:p>
        </w:tc>
        <w:tc>
          <w:tcPr>
            <w:tcW w:w="850" w:type="dxa"/>
            <w:vAlign w:val="center"/>
          </w:tcPr>
          <w:p w14:paraId="20C2AEA6">
            <w:pPr>
              <w:widowControl/>
              <w:spacing w:line="400" w:lineRule="exact"/>
              <w:jc w:val="left"/>
              <w:rPr>
                <w:rFonts w:hint="eastAsia" w:ascii="宋体" w:hAnsi="宋体"/>
                <w:color w:val="auto"/>
                <w:sz w:val="24"/>
                <w:highlight w:val="none"/>
              </w:rPr>
            </w:pPr>
          </w:p>
        </w:tc>
        <w:tc>
          <w:tcPr>
            <w:tcW w:w="1134" w:type="dxa"/>
            <w:vAlign w:val="center"/>
          </w:tcPr>
          <w:p w14:paraId="67B2DC23">
            <w:pPr>
              <w:widowControl/>
              <w:spacing w:line="400" w:lineRule="exact"/>
              <w:jc w:val="left"/>
              <w:rPr>
                <w:rFonts w:hint="eastAsia" w:ascii="宋体" w:hAnsi="宋体"/>
                <w:color w:val="auto"/>
                <w:sz w:val="24"/>
                <w:highlight w:val="none"/>
              </w:rPr>
            </w:pPr>
          </w:p>
        </w:tc>
        <w:tc>
          <w:tcPr>
            <w:tcW w:w="1418" w:type="dxa"/>
            <w:vAlign w:val="center"/>
          </w:tcPr>
          <w:p w14:paraId="53B40FA4">
            <w:pPr>
              <w:widowControl/>
              <w:spacing w:line="400" w:lineRule="exact"/>
              <w:jc w:val="left"/>
              <w:rPr>
                <w:rFonts w:hint="eastAsia" w:ascii="宋体" w:hAnsi="宋体"/>
                <w:color w:val="auto"/>
                <w:sz w:val="24"/>
                <w:highlight w:val="none"/>
              </w:rPr>
            </w:pPr>
          </w:p>
        </w:tc>
        <w:tc>
          <w:tcPr>
            <w:tcW w:w="1984" w:type="dxa"/>
            <w:vAlign w:val="center"/>
          </w:tcPr>
          <w:p w14:paraId="3DC8FA1E">
            <w:pPr>
              <w:widowControl/>
              <w:spacing w:line="400" w:lineRule="exact"/>
              <w:jc w:val="left"/>
              <w:rPr>
                <w:rFonts w:hint="eastAsia" w:ascii="宋体" w:hAnsi="宋体"/>
                <w:color w:val="auto"/>
                <w:sz w:val="24"/>
                <w:highlight w:val="none"/>
              </w:rPr>
            </w:pPr>
          </w:p>
        </w:tc>
        <w:tc>
          <w:tcPr>
            <w:tcW w:w="1172" w:type="dxa"/>
            <w:vAlign w:val="center"/>
          </w:tcPr>
          <w:p w14:paraId="62302E2F">
            <w:pPr>
              <w:widowControl/>
              <w:spacing w:line="400" w:lineRule="exact"/>
              <w:jc w:val="left"/>
              <w:rPr>
                <w:rFonts w:hint="eastAsia" w:ascii="宋体" w:hAnsi="宋体"/>
                <w:color w:val="auto"/>
                <w:sz w:val="24"/>
                <w:highlight w:val="none"/>
              </w:rPr>
            </w:pPr>
          </w:p>
        </w:tc>
      </w:tr>
      <w:tr w14:paraId="6B150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61DDAB3D">
            <w:pPr>
              <w:widowControl/>
              <w:spacing w:line="400" w:lineRule="exact"/>
              <w:jc w:val="left"/>
              <w:rPr>
                <w:rFonts w:hint="eastAsia" w:ascii="宋体" w:hAnsi="宋体"/>
                <w:color w:val="auto"/>
                <w:sz w:val="24"/>
                <w:highlight w:val="none"/>
              </w:rPr>
            </w:pPr>
          </w:p>
        </w:tc>
        <w:tc>
          <w:tcPr>
            <w:tcW w:w="785" w:type="dxa"/>
            <w:vAlign w:val="center"/>
          </w:tcPr>
          <w:p w14:paraId="0FFF22B2">
            <w:pPr>
              <w:widowControl/>
              <w:spacing w:line="400" w:lineRule="exact"/>
              <w:jc w:val="left"/>
              <w:rPr>
                <w:rFonts w:hint="eastAsia" w:ascii="宋体" w:hAnsi="宋体"/>
                <w:color w:val="auto"/>
                <w:sz w:val="24"/>
                <w:highlight w:val="none"/>
              </w:rPr>
            </w:pPr>
          </w:p>
        </w:tc>
        <w:tc>
          <w:tcPr>
            <w:tcW w:w="918" w:type="dxa"/>
            <w:vAlign w:val="center"/>
          </w:tcPr>
          <w:p w14:paraId="49E2D0D8">
            <w:pPr>
              <w:widowControl/>
              <w:spacing w:line="400" w:lineRule="exact"/>
              <w:jc w:val="left"/>
              <w:rPr>
                <w:rFonts w:hint="eastAsia" w:ascii="宋体" w:hAnsi="宋体"/>
                <w:color w:val="auto"/>
                <w:sz w:val="24"/>
                <w:highlight w:val="none"/>
              </w:rPr>
            </w:pPr>
          </w:p>
        </w:tc>
        <w:tc>
          <w:tcPr>
            <w:tcW w:w="767" w:type="dxa"/>
            <w:vAlign w:val="center"/>
          </w:tcPr>
          <w:p w14:paraId="1D72C191">
            <w:pPr>
              <w:widowControl/>
              <w:spacing w:line="400" w:lineRule="exact"/>
              <w:jc w:val="left"/>
              <w:rPr>
                <w:rFonts w:hint="eastAsia" w:ascii="宋体" w:hAnsi="宋体"/>
                <w:color w:val="auto"/>
                <w:sz w:val="24"/>
                <w:highlight w:val="none"/>
              </w:rPr>
            </w:pPr>
          </w:p>
        </w:tc>
        <w:tc>
          <w:tcPr>
            <w:tcW w:w="850" w:type="dxa"/>
            <w:vAlign w:val="center"/>
          </w:tcPr>
          <w:p w14:paraId="56789C02">
            <w:pPr>
              <w:widowControl/>
              <w:spacing w:line="400" w:lineRule="exact"/>
              <w:jc w:val="left"/>
              <w:rPr>
                <w:rFonts w:hint="eastAsia" w:ascii="宋体" w:hAnsi="宋体"/>
                <w:color w:val="auto"/>
                <w:sz w:val="24"/>
                <w:highlight w:val="none"/>
              </w:rPr>
            </w:pPr>
          </w:p>
        </w:tc>
        <w:tc>
          <w:tcPr>
            <w:tcW w:w="1134" w:type="dxa"/>
            <w:vAlign w:val="center"/>
          </w:tcPr>
          <w:p w14:paraId="6C05EBBD">
            <w:pPr>
              <w:widowControl/>
              <w:spacing w:line="400" w:lineRule="exact"/>
              <w:jc w:val="left"/>
              <w:rPr>
                <w:rFonts w:hint="eastAsia" w:ascii="宋体" w:hAnsi="宋体"/>
                <w:color w:val="auto"/>
                <w:sz w:val="24"/>
                <w:highlight w:val="none"/>
              </w:rPr>
            </w:pPr>
          </w:p>
        </w:tc>
        <w:tc>
          <w:tcPr>
            <w:tcW w:w="1418" w:type="dxa"/>
            <w:vAlign w:val="center"/>
          </w:tcPr>
          <w:p w14:paraId="3A31AAE5">
            <w:pPr>
              <w:widowControl/>
              <w:spacing w:line="400" w:lineRule="exact"/>
              <w:jc w:val="left"/>
              <w:rPr>
                <w:rFonts w:hint="eastAsia" w:ascii="宋体" w:hAnsi="宋体"/>
                <w:color w:val="auto"/>
                <w:sz w:val="24"/>
                <w:highlight w:val="none"/>
              </w:rPr>
            </w:pPr>
          </w:p>
        </w:tc>
        <w:tc>
          <w:tcPr>
            <w:tcW w:w="1984" w:type="dxa"/>
            <w:vAlign w:val="center"/>
          </w:tcPr>
          <w:p w14:paraId="1E75E923">
            <w:pPr>
              <w:widowControl/>
              <w:spacing w:line="400" w:lineRule="exact"/>
              <w:jc w:val="left"/>
              <w:rPr>
                <w:rFonts w:hint="eastAsia" w:ascii="宋体" w:hAnsi="宋体"/>
                <w:color w:val="auto"/>
                <w:sz w:val="24"/>
                <w:highlight w:val="none"/>
              </w:rPr>
            </w:pPr>
          </w:p>
        </w:tc>
        <w:tc>
          <w:tcPr>
            <w:tcW w:w="1172" w:type="dxa"/>
            <w:vAlign w:val="center"/>
          </w:tcPr>
          <w:p w14:paraId="2C7DA44E">
            <w:pPr>
              <w:widowControl/>
              <w:spacing w:line="400" w:lineRule="exact"/>
              <w:jc w:val="left"/>
              <w:rPr>
                <w:rFonts w:hint="eastAsia" w:ascii="宋体" w:hAnsi="宋体"/>
                <w:color w:val="auto"/>
                <w:sz w:val="24"/>
                <w:highlight w:val="none"/>
              </w:rPr>
            </w:pPr>
          </w:p>
        </w:tc>
      </w:tr>
      <w:tr w14:paraId="0B5AC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21C0D237">
            <w:pPr>
              <w:widowControl/>
              <w:spacing w:line="400" w:lineRule="exact"/>
              <w:jc w:val="left"/>
              <w:rPr>
                <w:rFonts w:hint="eastAsia" w:ascii="宋体" w:hAnsi="宋体"/>
                <w:color w:val="auto"/>
                <w:sz w:val="24"/>
                <w:highlight w:val="none"/>
              </w:rPr>
            </w:pPr>
          </w:p>
        </w:tc>
        <w:tc>
          <w:tcPr>
            <w:tcW w:w="785" w:type="dxa"/>
            <w:vAlign w:val="center"/>
          </w:tcPr>
          <w:p w14:paraId="7D4D4B0A">
            <w:pPr>
              <w:widowControl/>
              <w:spacing w:line="400" w:lineRule="exact"/>
              <w:jc w:val="left"/>
              <w:rPr>
                <w:rFonts w:hint="eastAsia" w:ascii="宋体" w:hAnsi="宋体"/>
                <w:color w:val="auto"/>
                <w:sz w:val="24"/>
                <w:highlight w:val="none"/>
              </w:rPr>
            </w:pPr>
          </w:p>
        </w:tc>
        <w:tc>
          <w:tcPr>
            <w:tcW w:w="918" w:type="dxa"/>
            <w:vAlign w:val="center"/>
          </w:tcPr>
          <w:p w14:paraId="1944AE47">
            <w:pPr>
              <w:widowControl/>
              <w:spacing w:line="400" w:lineRule="exact"/>
              <w:jc w:val="left"/>
              <w:rPr>
                <w:rFonts w:hint="eastAsia" w:ascii="宋体" w:hAnsi="宋体"/>
                <w:color w:val="auto"/>
                <w:sz w:val="24"/>
                <w:highlight w:val="none"/>
              </w:rPr>
            </w:pPr>
          </w:p>
        </w:tc>
        <w:tc>
          <w:tcPr>
            <w:tcW w:w="767" w:type="dxa"/>
            <w:vAlign w:val="center"/>
          </w:tcPr>
          <w:p w14:paraId="7ADEA624">
            <w:pPr>
              <w:widowControl/>
              <w:spacing w:line="400" w:lineRule="exact"/>
              <w:jc w:val="left"/>
              <w:rPr>
                <w:rFonts w:hint="eastAsia" w:ascii="宋体" w:hAnsi="宋体"/>
                <w:color w:val="auto"/>
                <w:sz w:val="24"/>
                <w:highlight w:val="none"/>
              </w:rPr>
            </w:pPr>
          </w:p>
        </w:tc>
        <w:tc>
          <w:tcPr>
            <w:tcW w:w="850" w:type="dxa"/>
            <w:vAlign w:val="center"/>
          </w:tcPr>
          <w:p w14:paraId="4A98B6CD">
            <w:pPr>
              <w:widowControl/>
              <w:spacing w:line="400" w:lineRule="exact"/>
              <w:jc w:val="left"/>
              <w:rPr>
                <w:rFonts w:hint="eastAsia" w:ascii="宋体" w:hAnsi="宋体"/>
                <w:color w:val="auto"/>
                <w:sz w:val="24"/>
                <w:highlight w:val="none"/>
              </w:rPr>
            </w:pPr>
          </w:p>
        </w:tc>
        <w:tc>
          <w:tcPr>
            <w:tcW w:w="1134" w:type="dxa"/>
            <w:vAlign w:val="center"/>
          </w:tcPr>
          <w:p w14:paraId="5FA9BCE6">
            <w:pPr>
              <w:widowControl/>
              <w:spacing w:line="400" w:lineRule="exact"/>
              <w:jc w:val="left"/>
              <w:rPr>
                <w:rFonts w:hint="eastAsia" w:ascii="宋体" w:hAnsi="宋体"/>
                <w:color w:val="auto"/>
                <w:sz w:val="24"/>
                <w:highlight w:val="none"/>
              </w:rPr>
            </w:pPr>
          </w:p>
        </w:tc>
        <w:tc>
          <w:tcPr>
            <w:tcW w:w="1418" w:type="dxa"/>
            <w:vAlign w:val="center"/>
          </w:tcPr>
          <w:p w14:paraId="0DC0A903">
            <w:pPr>
              <w:widowControl/>
              <w:spacing w:line="400" w:lineRule="exact"/>
              <w:jc w:val="left"/>
              <w:rPr>
                <w:rFonts w:hint="eastAsia" w:ascii="宋体" w:hAnsi="宋体"/>
                <w:color w:val="auto"/>
                <w:sz w:val="24"/>
                <w:highlight w:val="none"/>
              </w:rPr>
            </w:pPr>
          </w:p>
        </w:tc>
        <w:tc>
          <w:tcPr>
            <w:tcW w:w="1984" w:type="dxa"/>
            <w:vAlign w:val="center"/>
          </w:tcPr>
          <w:p w14:paraId="33208952">
            <w:pPr>
              <w:widowControl/>
              <w:spacing w:line="400" w:lineRule="exact"/>
              <w:jc w:val="left"/>
              <w:rPr>
                <w:rFonts w:hint="eastAsia" w:ascii="宋体" w:hAnsi="宋体"/>
                <w:color w:val="auto"/>
                <w:sz w:val="24"/>
                <w:highlight w:val="none"/>
              </w:rPr>
            </w:pPr>
          </w:p>
        </w:tc>
        <w:tc>
          <w:tcPr>
            <w:tcW w:w="1172" w:type="dxa"/>
            <w:vAlign w:val="center"/>
          </w:tcPr>
          <w:p w14:paraId="0240CF3B">
            <w:pPr>
              <w:widowControl/>
              <w:spacing w:line="400" w:lineRule="exact"/>
              <w:jc w:val="left"/>
              <w:rPr>
                <w:rFonts w:hint="eastAsia" w:ascii="宋体" w:hAnsi="宋体"/>
                <w:color w:val="auto"/>
                <w:sz w:val="24"/>
                <w:highlight w:val="none"/>
              </w:rPr>
            </w:pPr>
          </w:p>
        </w:tc>
      </w:tr>
      <w:tr w14:paraId="419A3E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86" w:type="dxa"/>
            <w:vAlign w:val="center"/>
          </w:tcPr>
          <w:p w14:paraId="346AD75A">
            <w:pPr>
              <w:widowControl/>
              <w:spacing w:line="400" w:lineRule="exact"/>
              <w:jc w:val="left"/>
              <w:rPr>
                <w:rFonts w:hint="eastAsia" w:ascii="宋体" w:hAnsi="宋体"/>
                <w:color w:val="auto"/>
                <w:sz w:val="24"/>
                <w:highlight w:val="none"/>
              </w:rPr>
            </w:pPr>
          </w:p>
        </w:tc>
        <w:tc>
          <w:tcPr>
            <w:tcW w:w="785" w:type="dxa"/>
            <w:vAlign w:val="center"/>
          </w:tcPr>
          <w:p w14:paraId="01D47101">
            <w:pPr>
              <w:widowControl/>
              <w:spacing w:line="400" w:lineRule="exact"/>
              <w:jc w:val="left"/>
              <w:rPr>
                <w:rFonts w:hint="eastAsia" w:ascii="宋体" w:hAnsi="宋体"/>
                <w:color w:val="auto"/>
                <w:sz w:val="24"/>
                <w:highlight w:val="none"/>
              </w:rPr>
            </w:pPr>
          </w:p>
        </w:tc>
        <w:tc>
          <w:tcPr>
            <w:tcW w:w="918" w:type="dxa"/>
            <w:vAlign w:val="center"/>
          </w:tcPr>
          <w:p w14:paraId="4DFFEB5F">
            <w:pPr>
              <w:widowControl/>
              <w:spacing w:line="400" w:lineRule="exact"/>
              <w:jc w:val="left"/>
              <w:rPr>
                <w:rFonts w:hint="eastAsia" w:ascii="宋体" w:hAnsi="宋体"/>
                <w:color w:val="auto"/>
                <w:sz w:val="24"/>
                <w:highlight w:val="none"/>
              </w:rPr>
            </w:pPr>
          </w:p>
        </w:tc>
        <w:tc>
          <w:tcPr>
            <w:tcW w:w="767" w:type="dxa"/>
            <w:vAlign w:val="center"/>
          </w:tcPr>
          <w:p w14:paraId="6DF57FF4">
            <w:pPr>
              <w:widowControl/>
              <w:spacing w:line="400" w:lineRule="exact"/>
              <w:jc w:val="left"/>
              <w:rPr>
                <w:rFonts w:hint="eastAsia" w:ascii="宋体" w:hAnsi="宋体"/>
                <w:color w:val="auto"/>
                <w:sz w:val="24"/>
                <w:highlight w:val="none"/>
              </w:rPr>
            </w:pPr>
          </w:p>
        </w:tc>
        <w:tc>
          <w:tcPr>
            <w:tcW w:w="850" w:type="dxa"/>
            <w:vAlign w:val="center"/>
          </w:tcPr>
          <w:p w14:paraId="7E3AA408">
            <w:pPr>
              <w:widowControl/>
              <w:spacing w:line="400" w:lineRule="exact"/>
              <w:jc w:val="left"/>
              <w:rPr>
                <w:rFonts w:hint="eastAsia" w:ascii="宋体" w:hAnsi="宋体"/>
                <w:color w:val="auto"/>
                <w:sz w:val="24"/>
                <w:highlight w:val="none"/>
              </w:rPr>
            </w:pPr>
          </w:p>
        </w:tc>
        <w:tc>
          <w:tcPr>
            <w:tcW w:w="1134" w:type="dxa"/>
            <w:vAlign w:val="center"/>
          </w:tcPr>
          <w:p w14:paraId="2AB3B26E">
            <w:pPr>
              <w:widowControl/>
              <w:spacing w:line="400" w:lineRule="exact"/>
              <w:jc w:val="left"/>
              <w:rPr>
                <w:rFonts w:hint="eastAsia" w:ascii="宋体" w:hAnsi="宋体"/>
                <w:color w:val="auto"/>
                <w:sz w:val="24"/>
                <w:highlight w:val="none"/>
              </w:rPr>
            </w:pPr>
          </w:p>
        </w:tc>
        <w:tc>
          <w:tcPr>
            <w:tcW w:w="1418" w:type="dxa"/>
            <w:vAlign w:val="center"/>
          </w:tcPr>
          <w:p w14:paraId="4AD0F29D">
            <w:pPr>
              <w:widowControl/>
              <w:spacing w:line="400" w:lineRule="exact"/>
              <w:jc w:val="left"/>
              <w:rPr>
                <w:rFonts w:hint="eastAsia" w:ascii="宋体" w:hAnsi="宋体"/>
                <w:color w:val="auto"/>
                <w:sz w:val="24"/>
                <w:highlight w:val="none"/>
              </w:rPr>
            </w:pPr>
          </w:p>
        </w:tc>
        <w:tc>
          <w:tcPr>
            <w:tcW w:w="1984" w:type="dxa"/>
            <w:vAlign w:val="center"/>
          </w:tcPr>
          <w:p w14:paraId="4CF843E8">
            <w:pPr>
              <w:widowControl/>
              <w:spacing w:line="400" w:lineRule="exact"/>
              <w:jc w:val="left"/>
              <w:rPr>
                <w:rFonts w:hint="eastAsia" w:ascii="宋体" w:hAnsi="宋体"/>
                <w:color w:val="auto"/>
                <w:sz w:val="24"/>
                <w:highlight w:val="none"/>
              </w:rPr>
            </w:pPr>
          </w:p>
        </w:tc>
        <w:tc>
          <w:tcPr>
            <w:tcW w:w="1172" w:type="dxa"/>
            <w:vAlign w:val="center"/>
          </w:tcPr>
          <w:p w14:paraId="6B51F112">
            <w:pPr>
              <w:widowControl/>
              <w:spacing w:line="400" w:lineRule="exact"/>
              <w:jc w:val="left"/>
              <w:rPr>
                <w:rFonts w:hint="eastAsia" w:ascii="宋体" w:hAnsi="宋体"/>
                <w:color w:val="auto"/>
                <w:sz w:val="24"/>
                <w:highlight w:val="none"/>
              </w:rPr>
            </w:pPr>
          </w:p>
        </w:tc>
      </w:tr>
      <w:tr w14:paraId="2B03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86" w:type="dxa"/>
            <w:vAlign w:val="center"/>
          </w:tcPr>
          <w:p w14:paraId="556C8F1E">
            <w:pPr>
              <w:widowControl/>
              <w:spacing w:line="400" w:lineRule="exact"/>
              <w:jc w:val="left"/>
              <w:rPr>
                <w:rFonts w:hint="eastAsia" w:ascii="宋体" w:hAnsi="宋体"/>
                <w:color w:val="auto"/>
                <w:sz w:val="24"/>
                <w:highlight w:val="none"/>
              </w:rPr>
            </w:pPr>
          </w:p>
        </w:tc>
        <w:tc>
          <w:tcPr>
            <w:tcW w:w="785" w:type="dxa"/>
            <w:vAlign w:val="center"/>
          </w:tcPr>
          <w:p w14:paraId="40BB5242">
            <w:pPr>
              <w:widowControl/>
              <w:spacing w:line="400" w:lineRule="exact"/>
              <w:jc w:val="left"/>
              <w:rPr>
                <w:rFonts w:hint="eastAsia" w:ascii="宋体" w:hAnsi="宋体"/>
                <w:color w:val="auto"/>
                <w:sz w:val="24"/>
                <w:highlight w:val="none"/>
              </w:rPr>
            </w:pPr>
          </w:p>
        </w:tc>
        <w:tc>
          <w:tcPr>
            <w:tcW w:w="918" w:type="dxa"/>
            <w:vAlign w:val="center"/>
          </w:tcPr>
          <w:p w14:paraId="6D4F7814">
            <w:pPr>
              <w:widowControl/>
              <w:spacing w:line="400" w:lineRule="exact"/>
              <w:jc w:val="left"/>
              <w:rPr>
                <w:rFonts w:hint="eastAsia" w:ascii="宋体" w:hAnsi="宋体"/>
                <w:color w:val="auto"/>
                <w:sz w:val="24"/>
                <w:highlight w:val="none"/>
              </w:rPr>
            </w:pPr>
          </w:p>
        </w:tc>
        <w:tc>
          <w:tcPr>
            <w:tcW w:w="767" w:type="dxa"/>
            <w:vAlign w:val="center"/>
          </w:tcPr>
          <w:p w14:paraId="1CBE89C2">
            <w:pPr>
              <w:widowControl/>
              <w:spacing w:line="400" w:lineRule="exact"/>
              <w:jc w:val="left"/>
              <w:rPr>
                <w:rFonts w:hint="eastAsia" w:ascii="宋体" w:hAnsi="宋体"/>
                <w:color w:val="auto"/>
                <w:sz w:val="24"/>
                <w:highlight w:val="none"/>
              </w:rPr>
            </w:pPr>
          </w:p>
        </w:tc>
        <w:tc>
          <w:tcPr>
            <w:tcW w:w="850" w:type="dxa"/>
            <w:vAlign w:val="center"/>
          </w:tcPr>
          <w:p w14:paraId="54B79FEE">
            <w:pPr>
              <w:widowControl/>
              <w:spacing w:line="400" w:lineRule="exact"/>
              <w:jc w:val="left"/>
              <w:rPr>
                <w:rFonts w:hint="eastAsia" w:ascii="宋体" w:hAnsi="宋体"/>
                <w:color w:val="auto"/>
                <w:sz w:val="24"/>
                <w:highlight w:val="none"/>
              </w:rPr>
            </w:pPr>
          </w:p>
        </w:tc>
        <w:tc>
          <w:tcPr>
            <w:tcW w:w="1134" w:type="dxa"/>
            <w:vAlign w:val="center"/>
          </w:tcPr>
          <w:p w14:paraId="237F601A">
            <w:pPr>
              <w:widowControl/>
              <w:spacing w:line="400" w:lineRule="exact"/>
              <w:jc w:val="left"/>
              <w:rPr>
                <w:rFonts w:hint="eastAsia" w:ascii="宋体" w:hAnsi="宋体"/>
                <w:color w:val="auto"/>
                <w:sz w:val="24"/>
                <w:highlight w:val="none"/>
              </w:rPr>
            </w:pPr>
          </w:p>
        </w:tc>
        <w:tc>
          <w:tcPr>
            <w:tcW w:w="1418" w:type="dxa"/>
            <w:vAlign w:val="center"/>
          </w:tcPr>
          <w:p w14:paraId="68969BD6">
            <w:pPr>
              <w:widowControl/>
              <w:spacing w:line="400" w:lineRule="exact"/>
              <w:jc w:val="left"/>
              <w:rPr>
                <w:rFonts w:hint="eastAsia" w:ascii="宋体" w:hAnsi="宋体"/>
                <w:color w:val="auto"/>
                <w:sz w:val="24"/>
                <w:highlight w:val="none"/>
              </w:rPr>
            </w:pPr>
          </w:p>
        </w:tc>
        <w:tc>
          <w:tcPr>
            <w:tcW w:w="1984" w:type="dxa"/>
            <w:vAlign w:val="center"/>
          </w:tcPr>
          <w:p w14:paraId="74E54B23">
            <w:pPr>
              <w:widowControl/>
              <w:spacing w:line="400" w:lineRule="exact"/>
              <w:jc w:val="left"/>
              <w:rPr>
                <w:rFonts w:hint="eastAsia" w:ascii="宋体" w:hAnsi="宋体"/>
                <w:color w:val="auto"/>
                <w:sz w:val="24"/>
                <w:highlight w:val="none"/>
              </w:rPr>
            </w:pPr>
          </w:p>
        </w:tc>
        <w:tc>
          <w:tcPr>
            <w:tcW w:w="1172" w:type="dxa"/>
            <w:vAlign w:val="center"/>
          </w:tcPr>
          <w:p w14:paraId="1B807B39">
            <w:pPr>
              <w:widowControl/>
              <w:spacing w:line="400" w:lineRule="exact"/>
              <w:jc w:val="left"/>
              <w:rPr>
                <w:rFonts w:hint="eastAsia" w:ascii="宋体" w:hAnsi="宋体"/>
                <w:color w:val="auto"/>
                <w:sz w:val="24"/>
                <w:highlight w:val="none"/>
              </w:rPr>
            </w:pPr>
          </w:p>
        </w:tc>
      </w:tr>
    </w:tbl>
    <w:p w14:paraId="036EF549">
      <w:pPr>
        <w:rPr>
          <w:rFonts w:hint="eastAsia"/>
          <w:b/>
          <w:color w:val="auto"/>
          <w:highlight w:val="none"/>
        </w:rPr>
      </w:pPr>
      <w:r>
        <w:rPr>
          <w:rFonts w:hint="eastAsia"/>
          <w:b/>
          <w:color w:val="auto"/>
          <w:highlight w:val="none"/>
        </w:rPr>
        <w:t>注：</w:t>
      </w:r>
    </w:p>
    <w:p w14:paraId="44D93C89">
      <w:pPr>
        <w:rPr>
          <w:rFonts w:hint="default" w:ascii="宋体" w:hAnsi="宋体" w:eastAsia="宋体"/>
          <w:b/>
          <w:bCs/>
          <w:color w:val="auto"/>
          <w:kern w:val="0"/>
          <w:szCs w:val="21"/>
          <w:highlight w:val="none"/>
          <w:lang w:val="en-US" w:eastAsia="zh-CN"/>
        </w:rPr>
      </w:pPr>
      <w:r>
        <w:rPr>
          <w:rFonts w:hint="eastAsia"/>
          <w:b/>
          <w:color w:val="auto"/>
          <w:highlight w:val="none"/>
          <w:lang w:val="en-US" w:eastAsia="zh-CN"/>
        </w:rPr>
        <w:t>须按招标文件要求的格式提供人员清单，附相关人员的学历证书、职称证书、供应商为其缴纳的近三个月（2026年01月-2026年03月）中任一月份的社保记录等证明材料，劳务派遣人员提供用工合同复印件和用工单位为其缴纳的近三个月（2026年01月-2026年03月）中任一月份的社保记录，未提供有效证明材料的不得分。（1）-（2）人员不重复计分；（4）-（5）一人只计一证，不重复计分，按最高级别赋分。</w:t>
      </w:r>
    </w:p>
    <w:p w14:paraId="064B6BC9">
      <w:pPr>
        <w:pStyle w:val="15"/>
        <w:ind w:left="1260"/>
        <w:rPr>
          <w:color w:val="auto"/>
          <w:highlight w:val="none"/>
        </w:rPr>
      </w:pPr>
    </w:p>
    <w:p w14:paraId="1672AF7A">
      <w:pPr>
        <w:pStyle w:val="79"/>
        <w:ind w:firstLine="3780" w:firstLineChars="1800"/>
        <w:rPr>
          <w:rFonts w:ascii="Microsoft New Tai Lue" w:hAnsi="Microsoft New Tai Lue" w:cs="Microsoft New Tai Lue"/>
          <w:color w:val="auto"/>
          <w:sz w:val="21"/>
          <w:szCs w:val="21"/>
          <w:highlight w:val="none"/>
        </w:rPr>
      </w:pPr>
    </w:p>
    <w:p w14:paraId="48C28A4D">
      <w:pPr>
        <w:pStyle w:val="79"/>
        <w:ind w:firstLine="3780" w:firstLineChars="1800"/>
        <w:rPr>
          <w:rFonts w:ascii="Microsoft New Tai Lue" w:hAnsi="Microsoft New Tai Lue" w:cs="Microsoft New Tai Lue"/>
          <w:color w:val="auto"/>
          <w:sz w:val="21"/>
          <w:szCs w:val="21"/>
          <w:highlight w:val="none"/>
        </w:rPr>
      </w:pPr>
    </w:p>
    <w:p w14:paraId="47B6759B">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3DCA996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206C7D1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w:t>
      </w:r>
    </w:p>
    <w:p w14:paraId="7D084979">
      <w:pPr>
        <w:jc w:val="center"/>
        <w:rPr>
          <w:color w:val="auto"/>
          <w:highlight w:val="none"/>
        </w:rPr>
      </w:pPr>
      <w:r>
        <w:rPr>
          <w:rFonts w:hint="eastAsia" w:ascii="Microsoft New Tai Lue" w:hAnsi="Microsoft New Tai Lue" w:cs="Microsoft New Tai Lue"/>
          <w:color w:val="auto"/>
          <w:szCs w:val="21"/>
          <w:highlight w:val="none"/>
        </w:rPr>
        <w:t xml:space="preserve">           </w:t>
      </w:r>
      <w:r>
        <w:rPr>
          <w:rFonts w:hint="eastAsia" w:ascii="Microsoft New Tai Lue" w:hAnsi="Microsoft New Tai Lue" w:cs="Microsoft New Tai Lue"/>
          <w:color w:val="auto"/>
          <w:szCs w:val="21"/>
          <w:highlight w:val="none"/>
          <w:lang w:val="en-US" w:eastAsia="zh-CN"/>
        </w:rPr>
        <w:t xml:space="preserve">   </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日期：______年____月____日</w:t>
      </w:r>
    </w:p>
    <w:p w14:paraId="75C9060E">
      <w:pPr>
        <w:pStyle w:val="31"/>
        <w:spacing w:before="0"/>
        <w:rPr>
          <w:color w:val="auto"/>
          <w:highlight w:val="none"/>
        </w:rPr>
        <w:sectPr>
          <w:pgSz w:w="11911" w:h="16838"/>
          <w:pgMar w:top="1440" w:right="1803" w:bottom="1440" w:left="1803" w:header="720" w:footer="720" w:gutter="0"/>
          <w:pgNumType w:fmt="decimal"/>
          <w:cols w:space="0" w:num="1"/>
          <w:rtlGutter w:val="0"/>
          <w:docGrid w:linePitch="317" w:charSpace="0"/>
        </w:sectPr>
      </w:pPr>
      <w:r>
        <w:rPr>
          <w:color w:val="auto"/>
          <w:highlight w:val="none"/>
        </w:rPr>
        <w:br w:type="page"/>
      </w:r>
    </w:p>
    <w:p w14:paraId="2F1CB907">
      <w:pPr>
        <w:pStyle w:val="15"/>
        <w:ind w:left="0" w:leftChars="0"/>
        <w:jc w:val="left"/>
        <w:rPr>
          <w:rFonts w:hint="eastAsia"/>
          <w:color w:val="auto"/>
          <w:highlight w:val="none"/>
          <w:lang w:val="zh-CN" w:eastAsia="zh-CN"/>
        </w:rPr>
      </w:pPr>
      <w:r>
        <w:rPr>
          <w:rFonts w:hint="eastAsia"/>
          <w:color w:val="auto"/>
          <w:highlight w:val="none"/>
          <w:lang w:val="en-US" w:eastAsia="zh-CN"/>
        </w:rPr>
        <w:t>2.</w:t>
      </w:r>
      <w:r>
        <w:rPr>
          <w:rFonts w:hint="eastAsia"/>
          <w:color w:val="auto"/>
          <w:highlight w:val="none"/>
          <w:lang w:val="zh-CN" w:eastAsia="zh-CN"/>
        </w:rPr>
        <w:t>供应商承诺在被抽检地区常驻至少1组抽样人员</w:t>
      </w:r>
    </w:p>
    <w:p w14:paraId="1A4C5EAC">
      <w:pPr>
        <w:rPr>
          <w:rFonts w:hint="eastAsia"/>
          <w:b/>
          <w:color w:val="auto"/>
          <w:highlight w:val="none"/>
          <w:lang w:val="en-US" w:eastAsia="zh-CN"/>
        </w:rPr>
      </w:pPr>
    </w:p>
    <w:p w14:paraId="2F0669BA">
      <w:pPr>
        <w:rPr>
          <w:rFonts w:hint="eastAsia"/>
          <w:b/>
          <w:color w:val="auto"/>
          <w:highlight w:val="none"/>
          <w:lang w:val="en-US" w:eastAsia="zh-CN"/>
        </w:rPr>
      </w:pPr>
    </w:p>
    <w:p w14:paraId="7CCC184E">
      <w:pPr>
        <w:rPr>
          <w:rFonts w:hint="eastAsia"/>
          <w:b/>
          <w:color w:val="auto"/>
          <w:highlight w:val="none"/>
        </w:rPr>
        <w:sectPr>
          <w:pgSz w:w="11911" w:h="16838"/>
          <w:pgMar w:top="1440" w:right="1803" w:bottom="1440" w:left="1803" w:header="720" w:footer="720" w:gutter="0"/>
          <w:pgNumType w:fmt="decimal"/>
          <w:cols w:space="0" w:num="1"/>
          <w:rtlGutter w:val="0"/>
          <w:docGrid w:linePitch="317" w:charSpace="0"/>
        </w:sectPr>
      </w:pPr>
      <w:r>
        <w:rPr>
          <w:rFonts w:hint="eastAsia"/>
          <w:b/>
          <w:color w:val="auto"/>
          <w:highlight w:val="none"/>
          <w:lang w:val="en-US" w:eastAsia="zh-CN"/>
        </w:rPr>
        <w:t>注：</w:t>
      </w:r>
      <w:r>
        <w:rPr>
          <w:rFonts w:hint="eastAsia"/>
          <w:b/>
          <w:color w:val="auto"/>
          <w:highlight w:val="none"/>
          <w:lang w:val="zh-CN"/>
        </w:rPr>
        <w:t>须提供承诺函并加盖公章。</w:t>
      </w:r>
    </w:p>
    <w:p w14:paraId="41F7B0E6">
      <w:pPr>
        <w:pStyle w:val="31"/>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t>（3）</w:t>
      </w:r>
      <w:bookmarkEnd w:id="349"/>
      <w:bookmarkEnd w:id="350"/>
      <w:bookmarkEnd w:id="351"/>
      <w:r>
        <w:rPr>
          <w:rFonts w:hint="eastAsia" w:ascii="Microsoft New Tai Lue" w:hAnsi="Microsoft New Tai Lue" w:cs="Microsoft New Tai Lue"/>
          <w:bCs w:val="0"/>
          <w:color w:val="auto"/>
          <w:sz w:val="24"/>
          <w:szCs w:val="24"/>
          <w:highlight w:val="none"/>
        </w:rPr>
        <w:t>工作场所</w:t>
      </w:r>
    </w:p>
    <w:p w14:paraId="564A50D4">
      <w:pPr>
        <w:ind w:firstLine="420" w:firstLineChars="200"/>
        <w:rPr>
          <w:color w:val="auto"/>
          <w:highlight w:val="none"/>
        </w:rPr>
      </w:pPr>
      <w:r>
        <w:rPr>
          <w:rFonts w:hint="eastAsia"/>
          <w:color w:val="auto"/>
          <w:highlight w:val="none"/>
        </w:rPr>
        <w:t>开展食品安全抽样检验工作实验场所面积：</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6"/>
        <w:gridCol w:w="5108"/>
        <w:gridCol w:w="1707"/>
      </w:tblGrid>
      <w:tr w14:paraId="1FD38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1744" w:type="dxa"/>
            <w:vAlign w:val="center"/>
          </w:tcPr>
          <w:p w14:paraId="7C0BB6B8">
            <w:pPr>
              <w:pStyle w:val="31"/>
              <w:spacing w:before="0"/>
              <w:rPr>
                <w:rFonts w:ascii="Microsoft New Tai Lue" w:hAnsi="Microsoft New Tai Lue" w:cs="Microsoft New Tai Lue"/>
                <w:b w:val="0"/>
                <w:color w:val="auto"/>
                <w:sz w:val="21"/>
                <w:szCs w:val="21"/>
                <w:highlight w:val="none"/>
              </w:rPr>
            </w:pPr>
            <w:r>
              <w:rPr>
                <w:rFonts w:hint="eastAsia" w:ascii="Microsoft New Tai Lue" w:hAnsi="Microsoft New Tai Lue" w:cs="Microsoft New Tai Lue"/>
                <w:b w:val="0"/>
                <w:color w:val="auto"/>
                <w:sz w:val="21"/>
                <w:szCs w:val="21"/>
                <w:highlight w:val="none"/>
              </w:rPr>
              <w:t>供应商</w:t>
            </w:r>
            <w:r>
              <w:rPr>
                <w:rFonts w:ascii="Microsoft New Tai Lue" w:hAnsi="Microsoft New Tai Lue" w:cs="Microsoft New Tai Lue"/>
                <w:b w:val="0"/>
                <w:color w:val="auto"/>
                <w:sz w:val="21"/>
                <w:szCs w:val="21"/>
                <w:highlight w:val="none"/>
              </w:rPr>
              <w:t>名称</w:t>
            </w:r>
          </w:p>
        </w:tc>
        <w:tc>
          <w:tcPr>
            <w:tcW w:w="5232" w:type="dxa"/>
            <w:vAlign w:val="center"/>
          </w:tcPr>
          <w:p w14:paraId="686DABA6">
            <w:pPr>
              <w:pStyle w:val="31"/>
              <w:spacing w:before="0"/>
              <w:rPr>
                <w:rFonts w:ascii="Microsoft New Tai Lue" w:hAnsi="Microsoft New Tai Lue" w:cs="Microsoft New Tai Lue"/>
                <w:b w:val="0"/>
                <w:color w:val="auto"/>
                <w:sz w:val="21"/>
                <w:szCs w:val="21"/>
                <w:highlight w:val="none"/>
              </w:rPr>
            </w:pPr>
            <w:r>
              <w:rPr>
                <w:rFonts w:hint="eastAsia" w:ascii="Microsoft New Tai Lue" w:hAnsi="Microsoft New Tai Lue" w:cs="Microsoft New Tai Lue"/>
                <w:b w:val="0"/>
                <w:color w:val="auto"/>
                <w:sz w:val="21"/>
                <w:szCs w:val="21"/>
                <w:highlight w:val="none"/>
              </w:rPr>
              <w:t>实验</w:t>
            </w:r>
            <w:r>
              <w:rPr>
                <w:rFonts w:ascii="Microsoft New Tai Lue" w:hAnsi="Microsoft New Tai Lue" w:cs="Microsoft New Tai Lue"/>
                <w:b w:val="0"/>
                <w:color w:val="auto"/>
                <w:sz w:val="21"/>
                <w:szCs w:val="21"/>
                <w:highlight w:val="none"/>
              </w:rPr>
              <w:t>场所</w:t>
            </w:r>
            <w:r>
              <w:rPr>
                <w:rFonts w:hint="eastAsia" w:ascii="Microsoft New Tai Lue" w:hAnsi="Microsoft New Tai Lue" w:cs="Microsoft New Tai Lue"/>
                <w:b w:val="0"/>
                <w:color w:val="auto"/>
                <w:sz w:val="21"/>
                <w:szCs w:val="21"/>
                <w:highlight w:val="none"/>
              </w:rPr>
              <w:t>面积（</w:t>
            </w:r>
            <w:r>
              <w:rPr>
                <w:b w:val="0"/>
                <w:color w:val="auto"/>
                <w:sz w:val="21"/>
                <w:szCs w:val="21"/>
                <w:highlight w:val="none"/>
              </w:rPr>
              <w:t>m</w:t>
            </w:r>
            <w:r>
              <w:rPr>
                <w:b w:val="0"/>
                <w:color w:val="auto"/>
                <w:sz w:val="21"/>
                <w:szCs w:val="21"/>
                <w:highlight w:val="none"/>
                <w:vertAlign w:val="superscript"/>
              </w:rPr>
              <w:t>2</w:t>
            </w:r>
            <w:r>
              <w:rPr>
                <w:rFonts w:hint="eastAsia" w:ascii="Microsoft New Tai Lue" w:hAnsi="Microsoft New Tai Lue" w:cs="Microsoft New Tai Lue"/>
                <w:b w:val="0"/>
                <w:color w:val="auto"/>
                <w:sz w:val="21"/>
                <w:szCs w:val="21"/>
                <w:highlight w:val="none"/>
              </w:rPr>
              <w:t>）</w:t>
            </w:r>
          </w:p>
        </w:tc>
        <w:tc>
          <w:tcPr>
            <w:tcW w:w="1744" w:type="dxa"/>
            <w:vAlign w:val="center"/>
          </w:tcPr>
          <w:p w14:paraId="525EF46B">
            <w:pPr>
              <w:pStyle w:val="31"/>
              <w:spacing w:before="0"/>
              <w:rPr>
                <w:rFonts w:ascii="Microsoft New Tai Lue" w:hAnsi="Microsoft New Tai Lue" w:cs="Microsoft New Tai Lue"/>
                <w:b w:val="0"/>
                <w:color w:val="auto"/>
                <w:sz w:val="21"/>
                <w:szCs w:val="21"/>
                <w:highlight w:val="none"/>
              </w:rPr>
            </w:pPr>
            <w:r>
              <w:rPr>
                <w:rFonts w:hint="eastAsia" w:ascii="Microsoft New Tai Lue" w:hAnsi="Microsoft New Tai Lue" w:cs="Microsoft New Tai Lue"/>
                <w:b w:val="0"/>
                <w:color w:val="auto"/>
                <w:sz w:val="21"/>
                <w:szCs w:val="21"/>
                <w:highlight w:val="none"/>
              </w:rPr>
              <w:t>在投标文件中的页码位置</w:t>
            </w:r>
          </w:p>
        </w:tc>
      </w:tr>
      <w:tr w14:paraId="342F4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1744" w:type="dxa"/>
            <w:vAlign w:val="center"/>
          </w:tcPr>
          <w:p w14:paraId="1056EC21">
            <w:pPr>
              <w:pStyle w:val="31"/>
              <w:spacing w:befor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 </w:t>
            </w:r>
          </w:p>
        </w:tc>
        <w:tc>
          <w:tcPr>
            <w:tcW w:w="5232" w:type="dxa"/>
            <w:vAlign w:val="center"/>
          </w:tcPr>
          <w:p w14:paraId="71AD6B21">
            <w:pPr>
              <w:pStyle w:val="31"/>
              <w:spacing w:before="0"/>
              <w:rPr>
                <w:rFonts w:ascii="Microsoft New Tai Lue" w:hAnsi="Microsoft New Tai Lue" w:cs="Microsoft New Tai Lue"/>
                <w:color w:val="auto"/>
                <w:sz w:val="21"/>
                <w:szCs w:val="21"/>
                <w:highlight w:val="none"/>
              </w:rPr>
            </w:pPr>
          </w:p>
        </w:tc>
        <w:tc>
          <w:tcPr>
            <w:tcW w:w="1744" w:type="dxa"/>
            <w:vAlign w:val="center"/>
          </w:tcPr>
          <w:p w14:paraId="24F3B339">
            <w:pPr>
              <w:pStyle w:val="31"/>
              <w:spacing w:before="0"/>
              <w:rPr>
                <w:rFonts w:ascii="Microsoft New Tai Lue" w:hAnsi="Microsoft New Tai Lue" w:cs="Microsoft New Tai Lue"/>
                <w:color w:val="auto"/>
                <w:sz w:val="21"/>
                <w:szCs w:val="21"/>
                <w:highlight w:val="none"/>
              </w:rPr>
            </w:pPr>
          </w:p>
        </w:tc>
      </w:tr>
    </w:tbl>
    <w:p w14:paraId="19672398">
      <w:pPr>
        <w:rPr>
          <w:rFonts w:hint="eastAsia" w:ascii="宋体" w:hAnsi="宋体"/>
          <w:b/>
          <w:bCs/>
          <w:color w:val="auto"/>
          <w:szCs w:val="21"/>
          <w:highlight w:val="none"/>
        </w:rPr>
      </w:pPr>
      <w:bookmarkStart w:id="352" w:name="_Toc103848604"/>
      <w:bookmarkStart w:id="353" w:name="_Toc104560921"/>
      <w:bookmarkStart w:id="354" w:name="_Toc107246304"/>
      <w:r>
        <w:rPr>
          <w:rFonts w:hint="eastAsia" w:ascii="宋体" w:hAnsi="宋体"/>
          <w:b/>
          <w:bCs/>
          <w:color w:val="auto"/>
          <w:szCs w:val="21"/>
          <w:highlight w:val="none"/>
        </w:rPr>
        <w:t>注：（1）供应商须承诺抽样检验的实验室为供应商拥有，并提供承诺书。采购人有权在合同签订前进行现场考察，一旦发现弄虚作假，将取消中标资格，并报有关部门严肃处理；</w:t>
      </w:r>
    </w:p>
    <w:p w14:paraId="6783A8B2">
      <w:pPr>
        <w:numPr>
          <w:ilvl w:val="0"/>
          <w:numId w:val="5"/>
        </w:numPr>
        <w:ind w:left="0" w:leftChars="0" w:firstLine="0" w:firstLineChars="0"/>
        <w:rPr>
          <w:rFonts w:hint="eastAsia" w:ascii="宋体" w:hAnsi="宋体"/>
          <w:b/>
          <w:bCs/>
          <w:color w:val="auto"/>
          <w:szCs w:val="21"/>
          <w:highlight w:val="none"/>
        </w:rPr>
      </w:pPr>
      <w:r>
        <w:rPr>
          <w:rFonts w:hint="eastAsia" w:ascii="宋体" w:hAnsi="宋体"/>
          <w:b/>
          <w:bCs/>
          <w:color w:val="auto"/>
          <w:szCs w:val="21"/>
          <w:highlight w:val="none"/>
        </w:rPr>
        <w:t>提供食品抽样检验工作实验场所的房产证或所有权证明文件或有效的房屋租赁合同及发票复印件；</w:t>
      </w:r>
    </w:p>
    <w:p w14:paraId="2A0B189E">
      <w:pPr>
        <w:numPr>
          <w:ilvl w:val="0"/>
          <w:numId w:val="5"/>
        </w:numPr>
        <w:ind w:left="0" w:leftChars="0" w:firstLine="0" w:firstLineChars="0"/>
        <w:rPr>
          <w:rFonts w:hint="eastAsia" w:ascii="宋体" w:hAnsi="宋体"/>
          <w:b/>
          <w:bCs/>
          <w:color w:val="auto"/>
          <w:szCs w:val="21"/>
          <w:highlight w:val="none"/>
        </w:rPr>
      </w:pPr>
      <w:r>
        <w:rPr>
          <w:rFonts w:hint="eastAsia" w:ascii="宋体" w:hAnsi="宋体"/>
          <w:b/>
          <w:bCs/>
          <w:color w:val="auto"/>
          <w:szCs w:val="21"/>
          <w:highlight w:val="none"/>
        </w:rPr>
        <w:t>提供抽样检验工作实验场所的平面布局图，并提供各组成部分面积清单，未提供不得分；</w:t>
      </w:r>
    </w:p>
    <w:p w14:paraId="27DAE82A">
      <w:pPr>
        <w:numPr>
          <w:ilvl w:val="0"/>
          <w:numId w:val="0"/>
        </w:numPr>
        <w:ind w:leftChars="0"/>
        <w:rPr>
          <w:color w:val="auto"/>
          <w:highlight w:val="none"/>
        </w:rPr>
      </w:pPr>
      <w:r>
        <w:rPr>
          <w:rFonts w:hint="eastAsia" w:ascii="宋体" w:hAnsi="宋体"/>
          <w:b/>
          <w:bCs/>
          <w:color w:val="auto"/>
          <w:szCs w:val="21"/>
          <w:highlight w:val="none"/>
        </w:rPr>
        <w:t>（4）未达到上述要求或未提供有效证明文件的不得分。</w:t>
      </w:r>
    </w:p>
    <w:p w14:paraId="14094B28">
      <w:pPr>
        <w:pStyle w:val="15"/>
        <w:ind w:left="1260"/>
        <w:rPr>
          <w:color w:val="auto"/>
          <w:highlight w:val="none"/>
        </w:rPr>
      </w:pPr>
    </w:p>
    <w:p w14:paraId="43950457">
      <w:pPr>
        <w:pStyle w:val="15"/>
        <w:ind w:left="1260"/>
        <w:rPr>
          <w:color w:val="auto"/>
          <w:highlight w:val="none"/>
        </w:rPr>
      </w:pPr>
    </w:p>
    <w:p w14:paraId="46D44A08">
      <w:pPr>
        <w:pStyle w:val="15"/>
        <w:ind w:left="1260"/>
        <w:rPr>
          <w:color w:val="auto"/>
          <w:highlight w:val="none"/>
        </w:rPr>
      </w:pPr>
    </w:p>
    <w:p w14:paraId="17A7F9B8">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2223D94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5453D6BB">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w:t>
      </w:r>
    </w:p>
    <w:p w14:paraId="2F619E86">
      <w:pPr>
        <w:pStyle w:val="15"/>
        <w:ind w:left="1260"/>
        <w:rPr>
          <w:color w:val="auto"/>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w:t>
      </w:r>
      <w:r>
        <w:rPr>
          <w:rFonts w:ascii="Microsoft New Tai Lue" w:hAnsi="Microsoft New Tai Lue" w:cs="Microsoft New Tai Lue"/>
          <w:b w:val="0"/>
          <w:color w:val="auto"/>
          <w:sz w:val="21"/>
          <w:szCs w:val="21"/>
          <w:highlight w:val="none"/>
        </w:rPr>
        <w:t>日期：______年____月____日</w:t>
      </w:r>
    </w:p>
    <w:p w14:paraId="4F0B454F">
      <w:pPr>
        <w:widowControl/>
        <w:jc w:val="left"/>
        <w:rPr>
          <w:rFonts w:ascii="宋体"/>
          <w:b/>
          <w:color w:val="auto"/>
          <w:kern w:val="0"/>
          <w:position w:val="-10"/>
          <w:sz w:val="24"/>
          <w:szCs w:val="20"/>
          <w:highlight w:val="none"/>
        </w:rPr>
      </w:pPr>
      <w:r>
        <w:rPr>
          <w:color w:val="auto"/>
          <w:highlight w:val="none"/>
        </w:rPr>
        <w:br w:type="page"/>
      </w:r>
    </w:p>
    <w:p w14:paraId="5ACC3BBE">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（4）抽样设备</w:t>
      </w:r>
    </w:p>
    <w:tbl>
      <w:tblPr>
        <w:tblStyle w:val="34"/>
        <w:tblW w:w="8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91"/>
        <w:gridCol w:w="1259"/>
        <w:gridCol w:w="1290"/>
        <w:gridCol w:w="1513"/>
        <w:gridCol w:w="845"/>
      </w:tblGrid>
      <w:tr w14:paraId="7184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jc w:val="center"/>
        </w:trPr>
        <w:tc>
          <w:tcPr>
            <w:tcW w:w="3291" w:type="dxa"/>
            <w:vAlign w:val="center"/>
          </w:tcPr>
          <w:p w14:paraId="681CC9BA">
            <w:pPr>
              <w:jc w:val="center"/>
              <w:rPr>
                <w:color w:val="auto"/>
                <w:szCs w:val="21"/>
                <w:highlight w:val="none"/>
              </w:rPr>
            </w:pPr>
            <w:r>
              <w:rPr>
                <w:rFonts w:hint="eastAsia"/>
                <w:color w:val="auto"/>
                <w:szCs w:val="21"/>
                <w:highlight w:val="none"/>
              </w:rPr>
              <w:t>设备名称</w:t>
            </w:r>
          </w:p>
        </w:tc>
        <w:tc>
          <w:tcPr>
            <w:tcW w:w="1259" w:type="dxa"/>
            <w:vAlign w:val="center"/>
          </w:tcPr>
          <w:p w14:paraId="3373DF61">
            <w:pPr>
              <w:jc w:val="center"/>
              <w:rPr>
                <w:color w:val="auto"/>
                <w:szCs w:val="21"/>
                <w:highlight w:val="none"/>
              </w:rPr>
            </w:pPr>
            <w:r>
              <w:rPr>
                <w:rFonts w:hint="eastAsia"/>
                <w:color w:val="auto"/>
                <w:szCs w:val="21"/>
                <w:highlight w:val="none"/>
              </w:rPr>
              <w:t>单位</w:t>
            </w:r>
          </w:p>
        </w:tc>
        <w:tc>
          <w:tcPr>
            <w:tcW w:w="1290" w:type="dxa"/>
            <w:vAlign w:val="center"/>
          </w:tcPr>
          <w:p w14:paraId="7F4D5AE9">
            <w:pPr>
              <w:jc w:val="center"/>
              <w:rPr>
                <w:color w:val="auto"/>
                <w:szCs w:val="21"/>
                <w:highlight w:val="none"/>
              </w:rPr>
            </w:pPr>
            <w:r>
              <w:rPr>
                <w:rFonts w:hint="eastAsia"/>
                <w:color w:val="auto"/>
                <w:szCs w:val="21"/>
                <w:highlight w:val="none"/>
              </w:rPr>
              <w:t>数量</w:t>
            </w:r>
          </w:p>
        </w:tc>
        <w:tc>
          <w:tcPr>
            <w:tcW w:w="1513" w:type="dxa"/>
            <w:vAlign w:val="center"/>
          </w:tcPr>
          <w:p w14:paraId="55A59235">
            <w:pPr>
              <w:jc w:val="center"/>
              <w:rPr>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845" w:type="dxa"/>
            <w:vAlign w:val="center"/>
          </w:tcPr>
          <w:p w14:paraId="4BE6D4F1">
            <w:pPr>
              <w:jc w:val="center"/>
              <w:rPr>
                <w:color w:val="auto"/>
                <w:szCs w:val="21"/>
                <w:highlight w:val="none"/>
              </w:rPr>
            </w:pPr>
            <w:r>
              <w:rPr>
                <w:rFonts w:hint="eastAsia" w:ascii="宋体" w:hAnsi="宋体" w:cs="宋体"/>
                <w:color w:val="auto"/>
                <w:szCs w:val="21"/>
                <w:highlight w:val="none"/>
              </w:rPr>
              <w:t>备注</w:t>
            </w:r>
          </w:p>
        </w:tc>
      </w:tr>
      <w:tr w14:paraId="276F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3291" w:type="dxa"/>
            <w:vAlign w:val="center"/>
          </w:tcPr>
          <w:p w14:paraId="71BFC0EF">
            <w:pPr>
              <w:jc w:val="center"/>
              <w:rPr>
                <w:color w:val="auto"/>
                <w:szCs w:val="21"/>
                <w:highlight w:val="none"/>
              </w:rPr>
            </w:pPr>
            <w:r>
              <w:rPr>
                <w:rFonts w:hint="eastAsia"/>
                <w:color w:val="auto"/>
                <w:szCs w:val="21"/>
                <w:highlight w:val="none"/>
              </w:rPr>
              <w:t>食品抽样的车辆</w:t>
            </w:r>
          </w:p>
        </w:tc>
        <w:tc>
          <w:tcPr>
            <w:tcW w:w="1259" w:type="dxa"/>
            <w:vAlign w:val="center"/>
          </w:tcPr>
          <w:p w14:paraId="645984BD">
            <w:pPr>
              <w:jc w:val="center"/>
              <w:rPr>
                <w:b/>
                <w:bCs/>
                <w:color w:val="auto"/>
                <w:szCs w:val="21"/>
                <w:highlight w:val="none"/>
              </w:rPr>
            </w:pPr>
            <w:r>
              <w:rPr>
                <w:rFonts w:ascii="宋体" w:hAnsi="宋体"/>
                <w:color w:val="auto"/>
                <w:kern w:val="0"/>
                <w:szCs w:val="21"/>
                <w:highlight w:val="none"/>
                <w:lang w:val="zh-CN" w:bidi="zh-CN"/>
              </w:rPr>
              <w:t>辆</w:t>
            </w:r>
          </w:p>
        </w:tc>
        <w:tc>
          <w:tcPr>
            <w:tcW w:w="1290" w:type="dxa"/>
            <w:vAlign w:val="center"/>
          </w:tcPr>
          <w:p w14:paraId="5946207F">
            <w:pPr>
              <w:jc w:val="center"/>
              <w:rPr>
                <w:b/>
                <w:bCs/>
                <w:color w:val="auto"/>
                <w:szCs w:val="21"/>
                <w:highlight w:val="none"/>
              </w:rPr>
            </w:pPr>
          </w:p>
        </w:tc>
        <w:tc>
          <w:tcPr>
            <w:tcW w:w="1513" w:type="dxa"/>
            <w:vAlign w:val="center"/>
          </w:tcPr>
          <w:p w14:paraId="7259A02B">
            <w:pPr>
              <w:jc w:val="center"/>
              <w:rPr>
                <w:b/>
                <w:bCs/>
                <w:color w:val="auto"/>
                <w:szCs w:val="21"/>
                <w:highlight w:val="none"/>
              </w:rPr>
            </w:pPr>
          </w:p>
        </w:tc>
        <w:tc>
          <w:tcPr>
            <w:tcW w:w="845" w:type="dxa"/>
            <w:vAlign w:val="center"/>
          </w:tcPr>
          <w:p w14:paraId="7362915F">
            <w:pPr>
              <w:jc w:val="center"/>
              <w:rPr>
                <w:b/>
                <w:bCs/>
                <w:color w:val="auto"/>
                <w:szCs w:val="21"/>
                <w:highlight w:val="none"/>
              </w:rPr>
            </w:pPr>
          </w:p>
        </w:tc>
      </w:tr>
      <w:tr w14:paraId="71A33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09AB3726">
            <w:pPr>
              <w:jc w:val="center"/>
              <w:rPr>
                <w:color w:val="auto"/>
                <w:szCs w:val="21"/>
                <w:highlight w:val="none"/>
              </w:rPr>
            </w:pPr>
            <w:r>
              <w:rPr>
                <w:rFonts w:hint="eastAsia"/>
                <w:color w:val="auto"/>
                <w:szCs w:val="21"/>
                <w:highlight w:val="none"/>
              </w:rPr>
              <w:t>食品抽样的冷链运输车辆</w:t>
            </w:r>
          </w:p>
        </w:tc>
        <w:tc>
          <w:tcPr>
            <w:tcW w:w="1259" w:type="dxa"/>
            <w:vAlign w:val="center"/>
          </w:tcPr>
          <w:p w14:paraId="086F5545">
            <w:pPr>
              <w:jc w:val="center"/>
              <w:rPr>
                <w:b/>
                <w:bCs/>
                <w:color w:val="auto"/>
                <w:szCs w:val="21"/>
                <w:highlight w:val="none"/>
              </w:rPr>
            </w:pPr>
            <w:r>
              <w:rPr>
                <w:rFonts w:ascii="宋体" w:hAnsi="宋体"/>
                <w:color w:val="auto"/>
                <w:kern w:val="0"/>
                <w:szCs w:val="21"/>
                <w:highlight w:val="none"/>
                <w:lang w:val="zh-CN" w:bidi="zh-CN"/>
              </w:rPr>
              <w:t>辆</w:t>
            </w:r>
          </w:p>
        </w:tc>
        <w:tc>
          <w:tcPr>
            <w:tcW w:w="1290" w:type="dxa"/>
            <w:vAlign w:val="center"/>
          </w:tcPr>
          <w:p w14:paraId="3226EED7">
            <w:pPr>
              <w:jc w:val="center"/>
              <w:rPr>
                <w:b/>
                <w:bCs/>
                <w:color w:val="auto"/>
                <w:szCs w:val="21"/>
                <w:highlight w:val="none"/>
              </w:rPr>
            </w:pPr>
          </w:p>
        </w:tc>
        <w:tc>
          <w:tcPr>
            <w:tcW w:w="1513" w:type="dxa"/>
            <w:vAlign w:val="center"/>
          </w:tcPr>
          <w:p w14:paraId="1AA57F7B">
            <w:pPr>
              <w:jc w:val="center"/>
              <w:rPr>
                <w:b/>
                <w:bCs/>
                <w:color w:val="auto"/>
                <w:szCs w:val="21"/>
                <w:highlight w:val="none"/>
              </w:rPr>
            </w:pPr>
          </w:p>
        </w:tc>
        <w:tc>
          <w:tcPr>
            <w:tcW w:w="845" w:type="dxa"/>
            <w:vAlign w:val="center"/>
          </w:tcPr>
          <w:p w14:paraId="5A184F33">
            <w:pPr>
              <w:jc w:val="center"/>
              <w:rPr>
                <w:b/>
                <w:bCs/>
                <w:color w:val="auto"/>
                <w:szCs w:val="21"/>
                <w:highlight w:val="none"/>
              </w:rPr>
            </w:pPr>
          </w:p>
        </w:tc>
      </w:tr>
      <w:tr w14:paraId="319DB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1D648C6B">
            <w:pPr>
              <w:jc w:val="center"/>
              <w:rPr>
                <w:b/>
                <w:bCs/>
                <w:color w:val="auto"/>
                <w:szCs w:val="21"/>
                <w:highlight w:val="none"/>
              </w:rPr>
            </w:pPr>
            <w:r>
              <w:rPr>
                <w:rFonts w:hint="eastAsia"/>
                <w:color w:val="auto"/>
                <w:szCs w:val="21"/>
                <w:highlight w:val="none"/>
              </w:rPr>
              <w:t>食品保存的车载冰箱</w:t>
            </w:r>
          </w:p>
        </w:tc>
        <w:tc>
          <w:tcPr>
            <w:tcW w:w="1259" w:type="dxa"/>
            <w:vAlign w:val="center"/>
          </w:tcPr>
          <w:p w14:paraId="356B98A6">
            <w:pPr>
              <w:jc w:val="center"/>
              <w:rPr>
                <w:b/>
                <w:bCs/>
                <w:color w:val="auto"/>
                <w:szCs w:val="21"/>
                <w:highlight w:val="none"/>
              </w:rPr>
            </w:pPr>
            <w:r>
              <w:rPr>
                <w:rFonts w:ascii="宋体" w:hAnsi="宋体"/>
                <w:color w:val="auto"/>
                <w:kern w:val="0"/>
                <w:szCs w:val="21"/>
                <w:highlight w:val="none"/>
                <w:lang w:val="zh-CN" w:bidi="zh-CN"/>
              </w:rPr>
              <w:t>台</w:t>
            </w:r>
          </w:p>
        </w:tc>
        <w:tc>
          <w:tcPr>
            <w:tcW w:w="1290" w:type="dxa"/>
            <w:vAlign w:val="center"/>
          </w:tcPr>
          <w:p w14:paraId="7BCBDF7C">
            <w:pPr>
              <w:jc w:val="center"/>
              <w:rPr>
                <w:b/>
                <w:bCs/>
                <w:color w:val="auto"/>
                <w:szCs w:val="21"/>
                <w:highlight w:val="none"/>
              </w:rPr>
            </w:pPr>
          </w:p>
        </w:tc>
        <w:tc>
          <w:tcPr>
            <w:tcW w:w="1513" w:type="dxa"/>
            <w:vAlign w:val="center"/>
          </w:tcPr>
          <w:p w14:paraId="57498750">
            <w:pPr>
              <w:jc w:val="center"/>
              <w:rPr>
                <w:b/>
                <w:bCs/>
                <w:color w:val="auto"/>
                <w:szCs w:val="21"/>
                <w:highlight w:val="none"/>
              </w:rPr>
            </w:pPr>
          </w:p>
        </w:tc>
        <w:tc>
          <w:tcPr>
            <w:tcW w:w="845" w:type="dxa"/>
            <w:vAlign w:val="center"/>
          </w:tcPr>
          <w:p w14:paraId="3AD8FE3A">
            <w:pPr>
              <w:jc w:val="center"/>
              <w:rPr>
                <w:b/>
                <w:bCs/>
                <w:color w:val="auto"/>
                <w:szCs w:val="21"/>
                <w:highlight w:val="none"/>
              </w:rPr>
            </w:pPr>
          </w:p>
        </w:tc>
      </w:tr>
      <w:tr w14:paraId="63165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0B36D0EB">
            <w:pPr>
              <w:jc w:val="center"/>
              <w:rPr>
                <w:b/>
                <w:bCs/>
                <w:color w:val="auto"/>
                <w:szCs w:val="21"/>
                <w:highlight w:val="none"/>
              </w:rPr>
            </w:pPr>
            <w:r>
              <w:rPr>
                <w:rFonts w:hint="eastAsia"/>
                <w:color w:val="auto"/>
                <w:szCs w:val="21"/>
                <w:highlight w:val="none"/>
              </w:rPr>
              <w:t>食品保存的食品保温箱</w:t>
            </w:r>
          </w:p>
        </w:tc>
        <w:tc>
          <w:tcPr>
            <w:tcW w:w="1259" w:type="dxa"/>
            <w:vAlign w:val="center"/>
          </w:tcPr>
          <w:p w14:paraId="50F989C2">
            <w:pPr>
              <w:jc w:val="center"/>
              <w:rPr>
                <w:b/>
                <w:bCs/>
                <w:color w:val="auto"/>
                <w:szCs w:val="21"/>
                <w:highlight w:val="none"/>
              </w:rPr>
            </w:pPr>
            <w:r>
              <w:rPr>
                <w:rFonts w:ascii="宋体" w:hAnsi="宋体"/>
                <w:color w:val="auto"/>
                <w:kern w:val="0"/>
                <w:szCs w:val="21"/>
                <w:highlight w:val="none"/>
                <w:lang w:val="zh-CN" w:bidi="zh-CN"/>
              </w:rPr>
              <w:t>个</w:t>
            </w:r>
          </w:p>
        </w:tc>
        <w:tc>
          <w:tcPr>
            <w:tcW w:w="1290" w:type="dxa"/>
            <w:vAlign w:val="center"/>
          </w:tcPr>
          <w:p w14:paraId="1026AEC5">
            <w:pPr>
              <w:jc w:val="center"/>
              <w:rPr>
                <w:b/>
                <w:bCs/>
                <w:color w:val="auto"/>
                <w:szCs w:val="21"/>
                <w:highlight w:val="none"/>
              </w:rPr>
            </w:pPr>
          </w:p>
        </w:tc>
        <w:tc>
          <w:tcPr>
            <w:tcW w:w="1513" w:type="dxa"/>
            <w:vAlign w:val="center"/>
          </w:tcPr>
          <w:p w14:paraId="370B867F">
            <w:pPr>
              <w:jc w:val="center"/>
              <w:rPr>
                <w:b/>
                <w:bCs/>
                <w:color w:val="auto"/>
                <w:szCs w:val="21"/>
                <w:highlight w:val="none"/>
              </w:rPr>
            </w:pPr>
          </w:p>
        </w:tc>
        <w:tc>
          <w:tcPr>
            <w:tcW w:w="845" w:type="dxa"/>
            <w:vAlign w:val="center"/>
          </w:tcPr>
          <w:p w14:paraId="50338230">
            <w:pPr>
              <w:jc w:val="center"/>
              <w:rPr>
                <w:b/>
                <w:bCs/>
                <w:color w:val="auto"/>
                <w:szCs w:val="21"/>
                <w:highlight w:val="none"/>
              </w:rPr>
            </w:pPr>
          </w:p>
        </w:tc>
      </w:tr>
      <w:tr w14:paraId="6B54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3291" w:type="dxa"/>
            <w:vAlign w:val="center"/>
          </w:tcPr>
          <w:p w14:paraId="6A860E47">
            <w:pPr>
              <w:jc w:val="center"/>
              <w:rPr>
                <w:color w:val="auto"/>
                <w:szCs w:val="21"/>
                <w:highlight w:val="none"/>
              </w:rPr>
            </w:pPr>
            <w:r>
              <w:rPr>
                <w:rFonts w:hint="eastAsia"/>
                <w:color w:val="auto"/>
                <w:szCs w:val="21"/>
                <w:highlight w:val="none"/>
              </w:rPr>
              <w:t>抽样过程取证的执法记录仪</w:t>
            </w:r>
          </w:p>
        </w:tc>
        <w:tc>
          <w:tcPr>
            <w:tcW w:w="1259" w:type="dxa"/>
            <w:vAlign w:val="center"/>
          </w:tcPr>
          <w:p w14:paraId="33DEB62D">
            <w:pPr>
              <w:jc w:val="center"/>
              <w:rPr>
                <w:b/>
                <w:bCs/>
                <w:color w:val="auto"/>
                <w:szCs w:val="21"/>
                <w:highlight w:val="none"/>
              </w:rPr>
            </w:pPr>
            <w:r>
              <w:rPr>
                <w:rFonts w:ascii="宋体" w:hAnsi="宋体"/>
                <w:color w:val="auto"/>
                <w:kern w:val="0"/>
                <w:szCs w:val="21"/>
                <w:highlight w:val="none"/>
                <w:lang w:val="zh-CN" w:bidi="zh-CN"/>
              </w:rPr>
              <w:t>部</w:t>
            </w:r>
          </w:p>
        </w:tc>
        <w:tc>
          <w:tcPr>
            <w:tcW w:w="1290" w:type="dxa"/>
            <w:vAlign w:val="center"/>
          </w:tcPr>
          <w:p w14:paraId="01FFA3E9">
            <w:pPr>
              <w:jc w:val="center"/>
              <w:rPr>
                <w:b/>
                <w:bCs/>
                <w:color w:val="auto"/>
                <w:szCs w:val="21"/>
                <w:highlight w:val="none"/>
              </w:rPr>
            </w:pPr>
          </w:p>
        </w:tc>
        <w:tc>
          <w:tcPr>
            <w:tcW w:w="1513" w:type="dxa"/>
            <w:vAlign w:val="center"/>
          </w:tcPr>
          <w:p w14:paraId="473FC0AA">
            <w:pPr>
              <w:jc w:val="center"/>
              <w:rPr>
                <w:b/>
                <w:bCs/>
                <w:color w:val="auto"/>
                <w:szCs w:val="21"/>
                <w:highlight w:val="none"/>
              </w:rPr>
            </w:pPr>
          </w:p>
        </w:tc>
        <w:tc>
          <w:tcPr>
            <w:tcW w:w="845" w:type="dxa"/>
            <w:vAlign w:val="center"/>
          </w:tcPr>
          <w:p w14:paraId="73CF1B3D">
            <w:pPr>
              <w:jc w:val="center"/>
              <w:rPr>
                <w:b/>
                <w:bCs/>
                <w:color w:val="auto"/>
                <w:szCs w:val="21"/>
                <w:highlight w:val="none"/>
              </w:rPr>
            </w:pPr>
          </w:p>
        </w:tc>
      </w:tr>
      <w:tr w14:paraId="4F4B2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7" w:hRule="atLeast"/>
          <w:jc w:val="center"/>
        </w:trPr>
        <w:tc>
          <w:tcPr>
            <w:tcW w:w="3291" w:type="dxa"/>
            <w:vAlign w:val="center"/>
          </w:tcPr>
          <w:p w14:paraId="427EF6A6">
            <w:pPr>
              <w:jc w:val="center"/>
              <w:rPr>
                <w:color w:val="auto"/>
                <w:szCs w:val="21"/>
                <w:highlight w:val="none"/>
              </w:rPr>
            </w:pPr>
            <w:r>
              <w:rPr>
                <w:rFonts w:hint="eastAsia"/>
                <w:color w:val="auto"/>
                <w:szCs w:val="21"/>
                <w:highlight w:val="none"/>
              </w:rPr>
              <w:t>食品保存用专用冷藏库或冷冻库</w:t>
            </w:r>
          </w:p>
        </w:tc>
        <w:tc>
          <w:tcPr>
            <w:tcW w:w="1259" w:type="dxa"/>
            <w:vAlign w:val="center"/>
          </w:tcPr>
          <w:p w14:paraId="1BC92542">
            <w:pPr>
              <w:jc w:val="center"/>
              <w:rPr>
                <w:b/>
                <w:bCs/>
                <w:color w:val="auto"/>
                <w:szCs w:val="21"/>
                <w:highlight w:val="none"/>
              </w:rPr>
            </w:pPr>
            <w:r>
              <w:rPr>
                <w:rFonts w:hint="eastAsia"/>
                <w:b/>
                <w:bCs/>
                <w:color w:val="auto"/>
                <w:szCs w:val="21"/>
                <w:highlight w:val="none"/>
              </w:rPr>
              <w:t>/</w:t>
            </w:r>
          </w:p>
        </w:tc>
        <w:tc>
          <w:tcPr>
            <w:tcW w:w="1290" w:type="dxa"/>
            <w:vAlign w:val="center"/>
          </w:tcPr>
          <w:p w14:paraId="0EA71E7C">
            <w:pPr>
              <w:jc w:val="center"/>
              <w:rPr>
                <w:b/>
                <w:bCs/>
                <w:color w:val="auto"/>
                <w:szCs w:val="21"/>
                <w:highlight w:val="none"/>
              </w:rPr>
            </w:pPr>
          </w:p>
        </w:tc>
        <w:tc>
          <w:tcPr>
            <w:tcW w:w="1513" w:type="dxa"/>
            <w:vAlign w:val="center"/>
          </w:tcPr>
          <w:p w14:paraId="3C4935CB">
            <w:pPr>
              <w:jc w:val="center"/>
              <w:rPr>
                <w:b/>
                <w:bCs/>
                <w:color w:val="auto"/>
                <w:szCs w:val="21"/>
                <w:highlight w:val="none"/>
              </w:rPr>
            </w:pPr>
          </w:p>
        </w:tc>
        <w:tc>
          <w:tcPr>
            <w:tcW w:w="845" w:type="dxa"/>
            <w:vAlign w:val="center"/>
          </w:tcPr>
          <w:p w14:paraId="5FA16FCE">
            <w:pPr>
              <w:jc w:val="center"/>
              <w:rPr>
                <w:b/>
                <w:bCs/>
                <w:color w:val="auto"/>
                <w:szCs w:val="21"/>
                <w:highlight w:val="none"/>
              </w:rPr>
            </w:pPr>
          </w:p>
        </w:tc>
      </w:tr>
    </w:tbl>
    <w:p w14:paraId="105037E4">
      <w:pPr>
        <w:rPr>
          <w:b/>
          <w:bCs/>
          <w:color w:val="auto"/>
          <w:szCs w:val="21"/>
          <w:highlight w:val="none"/>
        </w:rPr>
      </w:pPr>
      <w:r>
        <w:rPr>
          <w:rFonts w:hint="eastAsia"/>
          <w:b/>
          <w:bCs/>
          <w:color w:val="auto"/>
          <w:szCs w:val="21"/>
          <w:highlight w:val="none"/>
        </w:rPr>
        <w:t>注：须提供有效的购置发票及相关证明材料。车辆可为自有或租赁，自有车辆须提供购置发票或车辆行驶证复印件，租赁车辆须提供有效租赁合同复印件，租赁期须覆盖整个招标任务履行期。冷藏库和冷冻库另须提供冷库温度等参数校准证书。</w:t>
      </w:r>
    </w:p>
    <w:p w14:paraId="707CCEE3">
      <w:pPr>
        <w:pStyle w:val="15"/>
        <w:ind w:left="1260"/>
        <w:rPr>
          <w:color w:val="auto"/>
          <w:highlight w:val="none"/>
        </w:rPr>
      </w:pPr>
    </w:p>
    <w:p w14:paraId="7F19C8FB">
      <w:pPr>
        <w:rPr>
          <w:color w:val="auto"/>
          <w:highlight w:val="none"/>
        </w:rPr>
      </w:pPr>
    </w:p>
    <w:p w14:paraId="1B404264">
      <w:pPr>
        <w:pStyle w:val="15"/>
        <w:ind w:left="1260"/>
        <w:rPr>
          <w:color w:val="auto"/>
          <w:highlight w:val="none"/>
        </w:rPr>
      </w:pPr>
    </w:p>
    <w:p w14:paraId="5BC272F7">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4DC148C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0B117BA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w:t>
      </w:r>
    </w:p>
    <w:p w14:paraId="38C126C2">
      <w:pPr>
        <w:pStyle w:val="15"/>
        <w:ind w:left="1260"/>
        <w:jc w:val="center"/>
        <w:rPr>
          <w:b w:val="0"/>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日期：______年____月____日</w:t>
      </w:r>
    </w:p>
    <w:p w14:paraId="0BD25E27">
      <w:pPr>
        <w:pStyle w:val="31"/>
        <w:spacing w:before="0"/>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NumType w:fmt="decimal"/>
          <w:cols w:space="0" w:num="1"/>
          <w:rtlGutter w:val="0"/>
          <w:docGrid w:linePitch="317" w:charSpace="0"/>
        </w:sectPr>
      </w:pPr>
      <w:r>
        <w:rPr>
          <w:color w:val="auto"/>
          <w:highlight w:val="none"/>
        </w:rPr>
        <w:br w:type="page"/>
      </w:r>
    </w:p>
    <w:p w14:paraId="78A4B184">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（5）检验设备</w:t>
      </w:r>
    </w:p>
    <w:tbl>
      <w:tblPr>
        <w:tblStyle w:val="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559"/>
        <w:gridCol w:w="2268"/>
        <w:gridCol w:w="850"/>
        <w:gridCol w:w="2694"/>
        <w:gridCol w:w="709"/>
      </w:tblGrid>
      <w:tr w14:paraId="5E6B3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04" w:type="dxa"/>
            <w:vAlign w:val="center"/>
          </w:tcPr>
          <w:p w14:paraId="5044AD57">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559" w:type="dxa"/>
            <w:vAlign w:val="center"/>
          </w:tcPr>
          <w:p w14:paraId="63C27064">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268" w:type="dxa"/>
            <w:vAlign w:val="center"/>
          </w:tcPr>
          <w:p w14:paraId="0615CDE9">
            <w:pPr>
              <w:jc w:val="center"/>
              <w:rPr>
                <w:rFonts w:hint="eastAsia" w:ascii="宋体" w:hAnsi="宋体" w:cs="宋体"/>
                <w:color w:val="auto"/>
                <w:szCs w:val="21"/>
                <w:highlight w:val="none"/>
              </w:rPr>
            </w:pPr>
            <w:r>
              <w:rPr>
                <w:rFonts w:hint="eastAsia" w:ascii="宋体" w:hAnsi="宋体" w:cs="宋体"/>
                <w:color w:val="auto"/>
                <w:szCs w:val="21"/>
                <w:highlight w:val="none"/>
              </w:rPr>
              <w:t>设备</w:t>
            </w:r>
            <w:r>
              <w:rPr>
                <w:rFonts w:ascii="宋体" w:hAnsi="宋体" w:cs="宋体"/>
                <w:color w:val="auto"/>
                <w:szCs w:val="21"/>
                <w:highlight w:val="none"/>
              </w:rPr>
              <w:t>名称</w:t>
            </w:r>
          </w:p>
        </w:tc>
        <w:tc>
          <w:tcPr>
            <w:tcW w:w="850" w:type="dxa"/>
            <w:vAlign w:val="center"/>
          </w:tcPr>
          <w:p w14:paraId="78721A91">
            <w:pPr>
              <w:jc w:val="center"/>
              <w:rPr>
                <w:rFonts w:hint="eastAsia" w:ascii="宋体" w:hAnsi="宋体" w:cs="宋体"/>
                <w:color w:val="auto"/>
                <w:szCs w:val="21"/>
                <w:highlight w:val="none"/>
              </w:rPr>
            </w:pPr>
            <w:r>
              <w:rPr>
                <w:rFonts w:hint="eastAsia" w:ascii="宋体" w:hAnsi="宋体" w:cs="宋体"/>
                <w:color w:val="auto"/>
                <w:szCs w:val="21"/>
                <w:highlight w:val="none"/>
              </w:rPr>
              <w:t>台数</w:t>
            </w:r>
          </w:p>
        </w:tc>
        <w:tc>
          <w:tcPr>
            <w:tcW w:w="2694" w:type="dxa"/>
            <w:vAlign w:val="center"/>
          </w:tcPr>
          <w:p w14:paraId="2EEE0CF2">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09" w:type="dxa"/>
            <w:vAlign w:val="center"/>
          </w:tcPr>
          <w:p w14:paraId="7253285F">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3DB1A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E58734F">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559" w:type="dxa"/>
            <w:vMerge w:val="restart"/>
            <w:vAlign w:val="center"/>
          </w:tcPr>
          <w:p w14:paraId="0DDEEFB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供应商应配备满足采购人检验检测项目需求的检验设备</w:t>
            </w:r>
          </w:p>
        </w:tc>
        <w:tc>
          <w:tcPr>
            <w:tcW w:w="2268" w:type="dxa"/>
            <w:vAlign w:val="center"/>
          </w:tcPr>
          <w:p w14:paraId="00A135AD">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液相色谱串联质谱联用仪</w:t>
            </w:r>
          </w:p>
        </w:tc>
        <w:tc>
          <w:tcPr>
            <w:tcW w:w="850" w:type="dxa"/>
            <w:vAlign w:val="center"/>
          </w:tcPr>
          <w:p w14:paraId="0F8BF84F">
            <w:pPr>
              <w:jc w:val="center"/>
              <w:rPr>
                <w:rFonts w:hint="eastAsia" w:ascii="宋体" w:hAnsi="宋体" w:cs="宋体"/>
                <w:color w:val="auto"/>
                <w:szCs w:val="21"/>
                <w:highlight w:val="none"/>
              </w:rPr>
            </w:pPr>
          </w:p>
        </w:tc>
        <w:tc>
          <w:tcPr>
            <w:tcW w:w="2694" w:type="dxa"/>
            <w:vAlign w:val="center"/>
          </w:tcPr>
          <w:p w14:paraId="092ACE69">
            <w:pPr>
              <w:jc w:val="center"/>
              <w:rPr>
                <w:rFonts w:hint="eastAsia" w:ascii="宋体" w:hAnsi="宋体" w:cs="宋体"/>
                <w:color w:val="auto"/>
                <w:szCs w:val="21"/>
                <w:highlight w:val="none"/>
              </w:rPr>
            </w:pPr>
          </w:p>
        </w:tc>
        <w:tc>
          <w:tcPr>
            <w:tcW w:w="709" w:type="dxa"/>
            <w:vAlign w:val="center"/>
          </w:tcPr>
          <w:p w14:paraId="070BCA7F">
            <w:pPr>
              <w:jc w:val="center"/>
              <w:rPr>
                <w:rFonts w:hint="eastAsia" w:ascii="宋体" w:hAnsi="宋体" w:cs="宋体"/>
                <w:color w:val="auto"/>
                <w:szCs w:val="21"/>
                <w:highlight w:val="none"/>
              </w:rPr>
            </w:pPr>
          </w:p>
        </w:tc>
      </w:tr>
      <w:tr w14:paraId="3C43D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4190459A">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559" w:type="dxa"/>
            <w:vMerge w:val="continue"/>
            <w:vAlign w:val="center"/>
          </w:tcPr>
          <w:p w14:paraId="61B08AB7">
            <w:pPr>
              <w:jc w:val="center"/>
              <w:rPr>
                <w:rFonts w:hint="eastAsia" w:ascii="宋体" w:hAnsi="宋体" w:cs="宋体"/>
                <w:color w:val="auto"/>
                <w:szCs w:val="21"/>
                <w:highlight w:val="none"/>
              </w:rPr>
            </w:pPr>
          </w:p>
        </w:tc>
        <w:tc>
          <w:tcPr>
            <w:tcW w:w="2268" w:type="dxa"/>
            <w:vAlign w:val="center"/>
          </w:tcPr>
          <w:p w14:paraId="11291E7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气相色谱质谱联用仪</w:t>
            </w:r>
          </w:p>
        </w:tc>
        <w:tc>
          <w:tcPr>
            <w:tcW w:w="850" w:type="dxa"/>
            <w:vAlign w:val="center"/>
          </w:tcPr>
          <w:p w14:paraId="5D2BCFAF">
            <w:pPr>
              <w:jc w:val="center"/>
              <w:rPr>
                <w:rFonts w:hint="eastAsia" w:ascii="宋体" w:hAnsi="宋体" w:cs="宋体"/>
                <w:color w:val="auto"/>
                <w:szCs w:val="21"/>
                <w:highlight w:val="none"/>
              </w:rPr>
            </w:pPr>
          </w:p>
        </w:tc>
        <w:tc>
          <w:tcPr>
            <w:tcW w:w="2694" w:type="dxa"/>
            <w:vAlign w:val="center"/>
          </w:tcPr>
          <w:p w14:paraId="4D1436F2">
            <w:pPr>
              <w:jc w:val="center"/>
              <w:rPr>
                <w:rFonts w:hint="eastAsia" w:ascii="宋体" w:hAnsi="宋体" w:cs="宋体"/>
                <w:color w:val="auto"/>
                <w:szCs w:val="21"/>
                <w:highlight w:val="none"/>
              </w:rPr>
            </w:pPr>
          </w:p>
        </w:tc>
        <w:tc>
          <w:tcPr>
            <w:tcW w:w="709" w:type="dxa"/>
            <w:vAlign w:val="center"/>
          </w:tcPr>
          <w:p w14:paraId="1E8D6E81">
            <w:pPr>
              <w:jc w:val="center"/>
              <w:rPr>
                <w:rFonts w:hint="eastAsia" w:ascii="宋体" w:hAnsi="宋体" w:cs="宋体"/>
                <w:color w:val="auto"/>
                <w:szCs w:val="21"/>
                <w:highlight w:val="none"/>
              </w:rPr>
            </w:pPr>
          </w:p>
        </w:tc>
      </w:tr>
      <w:tr w14:paraId="45C70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4882AE29">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559" w:type="dxa"/>
            <w:vMerge w:val="continue"/>
            <w:vAlign w:val="center"/>
          </w:tcPr>
          <w:p w14:paraId="65C1915B">
            <w:pPr>
              <w:jc w:val="center"/>
              <w:rPr>
                <w:rFonts w:hint="eastAsia" w:ascii="宋体" w:hAnsi="宋体" w:cs="宋体"/>
                <w:color w:val="auto"/>
                <w:szCs w:val="21"/>
                <w:highlight w:val="none"/>
              </w:rPr>
            </w:pPr>
          </w:p>
        </w:tc>
        <w:tc>
          <w:tcPr>
            <w:tcW w:w="2268" w:type="dxa"/>
            <w:vAlign w:val="center"/>
          </w:tcPr>
          <w:p w14:paraId="418BB252">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电感耦合等离子体质谱仪</w:t>
            </w:r>
          </w:p>
        </w:tc>
        <w:tc>
          <w:tcPr>
            <w:tcW w:w="850" w:type="dxa"/>
            <w:vAlign w:val="center"/>
          </w:tcPr>
          <w:p w14:paraId="2034EA96">
            <w:pPr>
              <w:jc w:val="center"/>
              <w:rPr>
                <w:rFonts w:hint="eastAsia" w:ascii="宋体" w:hAnsi="宋体" w:cs="宋体"/>
                <w:color w:val="auto"/>
                <w:szCs w:val="21"/>
                <w:highlight w:val="none"/>
              </w:rPr>
            </w:pPr>
          </w:p>
        </w:tc>
        <w:tc>
          <w:tcPr>
            <w:tcW w:w="2694" w:type="dxa"/>
            <w:vAlign w:val="center"/>
          </w:tcPr>
          <w:p w14:paraId="50ED8BD6">
            <w:pPr>
              <w:jc w:val="center"/>
              <w:rPr>
                <w:rFonts w:hint="eastAsia" w:ascii="宋体" w:hAnsi="宋体" w:cs="宋体"/>
                <w:color w:val="auto"/>
                <w:szCs w:val="21"/>
                <w:highlight w:val="none"/>
              </w:rPr>
            </w:pPr>
          </w:p>
        </w:tc>
        <w:tc>
          <w:tcPr>
            <w:tcW w:w="709" w:type="dxa"/>
            <w:vAlign w:val="center"/>
          </w:tcPr>
          <w:p w14:paraId="3A73944A">
            <w:pPr>
              <w:jc w:val="center"/>
              <w:rPr>
                <w:rFonts w:hint="eastAsia" w:ascii="宋体" w:hAnsi="宋体" w:cs="宋体"/>
                <w:color w:val="auto"/>
                <w:szCs w:val="21"/>
                <w:highlight w:val="none"/>
              </w:rPr>
            </w:pPr>
          </w:p>
        </w:tc>
      </w:tr>
      <w:tr w14:paraId="7D3E5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04" w:type="dxa"/>
            <w:vAlign w:val="center"/>
          </w:tcPr>
          <w:p w14:paraId="625CBCB8">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559" w:type="dxa"/>
            <w:vMerge w:val="continue"/>
            <w:vAlign w:val="center"/>
          </w:tcPr>
          <w:p w14:paraId="22396AB1">
            <w:pPr>
              <w:jc w:val="center"/>
              <w:rPr>
                <w:rFonts w:hint="eastAsia" w:ascii="宋体" w:hAnsi="宋体" w:cs="宋体"/>
                <w:color w:val="auto"/>
                <w:szCs w:val="21"/>
                <w:highlight w:val="none"/>
              </w:rPr>
            </w:pPr>
          </w:p>
        </w:tc>
        <w:tc>
          <w:tcPr>
            <w:tcW w:w="2268" w:type="dxa"/>
            <w:vAlign w:val="center"/>
          </w:tcPr>
          <w:p w14:paraId="141946F7">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离子色谱仪</w:t>
            </w:r>
          </w:p>
        </w:tc>
        <w:tc>
          <w:tcPr>
            <w:tcW w:w="850" w:type="dxa"/>
            <w:vAlign w:val="center"/>
          </w:tcPr>
          <w:p w14:paraId="6845EC6D">
            <w:pPr>
              <w:jc w:val="center"/>
              <w:rPr>
                <w:rFonts w:hint="eastAsia" w:ascii="宋体" w:hAnsi="宋体" w:cs="宋体"/>
                <w:color w:val="auto"/>
                <w:szCs w:val="21"/>
                <w:highlight w:val="none"/>
              </w:rPr>
            </w:pPr>
          </w:p>
        </w:tc>
        <w:tc>
          <w:tcPr>
            <w:tcW w:w="2694" w:type="dxa"/>
            <w:vAlign w:val="center"/>
          </w:tcPr>
          <w:p w14:paraId="675BA2AF">
            <w:pPr>
              <w:jc w:val="center"/>
              <w:rPr>
                <w:rFonts w:hint="eastAsia" w:ascii="宋体" w:hAnsi="宋体" w:cs="宋体"/>
                <w:color w:val="auto"/>
                <w:szCs w:val="21"/>
                <w:highlight w:val="none"/>
              </w:rPr>
            </w:pPr>
          </w:p>
        </w:tc>
        <w:tc>
          <w:tcPr>
            <w:tcW w:w="709" w:type="dxa"/>
            <w:vAlign w:val="center"/>
          </w:tcPr>
          <w:p w14:paraId="0C79C259">
            <w:pPr>
              <w:jc w:val="center"/>
              <w:rPr>
                <w:rFonts w:hint="eastAsia" w:ascii="宋体" w:hAnsi="宋体" w:cs="宋体"/>
                <w:color w:val="auto"/>
                <w:szCs w:val="21"/>
                <w:highlight w:val="none"/>
              </w:rPr>
            </w:pPr>
          </w:p>
        </w:tc>
      </w:tr>
      <w:tr w14:paraId="4719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704" w:type="dxa"/>
            <w:vAlign w:val="center"/>
          </w:tcPr>
          <w:p w14:paraId="328EC2D8">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559" w:type="dxa"/>
            <w:vMerge w:val="continue"/>
            <w:vAlign w:val="center"/>
          </w:tcPr>
          <w:p w14:paraId="294EB250">
            <w:pPr>
              <w:jc w:val="center"/>
              <w:rPr>
                <w:rFonts w:hint="eastAsia" w:ascii="宋体" w:hAnsi="宋体" w:cs="宋体"/>
                <w:color w:val="auto"/>
                <w:szCs w:val="21"/>
                <w:highlight w:val="none"/>
              </w:rPr>
            </w:pPr>
          </w:p>
        </w:tc>
        <w:tc>
          <w:tcPr>
            <w:tcW w:w="2268" w:type="dxa"/>
            <w:vAlign w:val="center"/>
          </w:tcPr>
          <w:p w14:paraId="61DA41DB">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高效液相色谱仪</w:t>
            </w:r>
          </w:p>
        </w:tc>
        <w:tc>
          <w:tcPr>
            <w:tcW w:w="850" w:type="dxa"/>
            <w:vAlign w:val="center"/>
          </w:tcPr>
          <w:p w14:paraId="3542735E">
            <w:pPr>
              <w:jc w:val="center"/>
              <w:rPr>
                <w:rFonts w:hint="eastAsia" w:ascii="宋体" w:hAnsi="宋体" w:cs="宋体"/>
                <w:color w:val="auto"/>
                <w:szCs w:val="21"/>
                <w:highlight w:val="none"/>
              </w:rPr>
            </w:pPr>
          </w:p>
        </w:tc>
        <w:tc>
          <w:tcPr>
            <w:tcW w:w="2694" w:type="dxa"/>
            <w:vAlign w:val="center"/>
          </w:tcPr>
          <w:p w14:paraId="0D0F62AD">
            <w:pPr>
              <w:jc w:val="center"/>
              <w:rPr>
                <w:rFonts w:hint="eastAsia" w:ascii="宋体" w:hAnsi="宋体" w:cs="宋体"/>
                <w:color w:val="auto"/>
                <w:szCs w:val="21"/>
                <w:highlight w:val="none"/>
              </w:rPr>
            </w:pPr>
          </w:p>
        </w:tc>
        <w:tc>
          <w:tcPr>
            <w:tcW w:w="709" w:type="dxa"/>
            <w:vAlign w:val="center"/>
          </w:tcPr>
          <w:p w14:paraId="6378BC9D">
            <w:pPr>
              <w:jc w:val="center"/>
              <w:rPr>
                <w:rFonts w:hint="eastAsia" w:ascii="宋体" w:hAnsi="宋体" w:cs="宋体"/>
                <w:color w:val="auto"/>
                <w:szCs w:val="21"/>
                <w:highlight w:val="none"/>
              </w:rPr>
            </w:pPr>
          </w:p>
        </w:tc>
      </w:tr>
      <w:tr w14:paraId="41A5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04" w:type="dxa"/>
            <w:vAlign w:val="center"/>
          </w:tcPr>
          <w:p w14:paraId="2F66C84C">
            <w:pPr>
              <w:jc w:val="center"/>
              <w:rPr>
                <w:rFonts w:hint="eastAsia" w:ascii="宋体" w:hAnsi="宋体" w:cs="宋体"/>
                <w:color w:val="auto"/>
                <w:szCs w:val="21"/>
                <w:highlight w:val="none"/>
              </w:rPr>
            </w:pPr>
            <w:r>
              <w:rPr>
                <w:rFonts w:hint="eastAsia" w:ascii="宋体" w:hAnsi="宋体" w:cs="宋体"/>
                <w:color w:val="auto"/>
                <w:szCs w:val="21"/>
                <w:highlight w:val="none"/>
              </w:rPr>
              <w:t>6</w:t>
            </w:r>
          </w:p>
        </w:tc>
        <w:tc>
          <w:tcPr>
            <w:tcW w:w="1559" w:type="dxa"/>
            <w:vMerge w:val="continue"/>
            <w:vAlign w:val="center"/>
          </w:tcPr>
          <w:p w14:paraId="6E20867C">
            <w:pPr>
              <w:jc w:val="center"/>
              <w:rPr>
                <w:rFonts w:hint="eastAsia" w:ascii="宋体" w:hAnsi="宋体" w:cs="宋体"/>
                <w:color w:val="auto"/>
                <w:szCs w:val="21"/>
                <w:highlight w:val="none"/>
              </w:rPr>
            </w:pPr>
          </w:p>
        </w:tc>
        <w:tc>
          <w:tcPr>
            <w:tcW w:w="2268" w:type="dxa"/>
            <w:vAlign w:val="center"/>
          </w:tcPr>
          <w:p w14:paraId="70B212AD">
            <w:pPr>
              <w:jc w:val="center"/>
              <w:rPr>
                <w:rFonts w:hint="eastAsia" w:ascii="宋体" w:hAnsi="宋体" w:cs="宋体"/>
                <w:color w:val="auto"/>
                <w:szCs w:val="21"/>
                <w:highlight w:val="none"/>
              </w:rPr>
            </w:pPr>
            <w:r>
              <w:rPr>
                <w:rFonts w:hint="eastAsia" w:ascii="宋体" w:hAnsi="宋体" w:cs="宋体"/>
                <w:color w:val="auto"/>
                <w:szCs w:val="21"/>
                <w:highlight w:val="none"/>
              </w:rPr>
              <w:t>气相色谱仪</w:t>
            </w:r>
          </w:p>
        </w:tc>
        <w:tc>
          <w:tcPr>
            <w:tcW w:w="850" w:type="dxa"/>
            <w:vAlign w:val="center"/>
          </w:tcPr>
          <w:p w14:paraId="7F5CE944">
            <w:pPr>
              <w:jc w:val="center"/>
              <w:rPr>
                <w:rFonts w:hint="eastAsia" w:ascii="宋体" w:hAnsi="宋体" w:cs="宋体"/>
                <w:color w:val="auto"/>
                <w:szCs w:val="21"/>
                <w:highlight w:val="none"/>
              </w:rPr>
            </w:pPr>
          </w:p>
        </w:tc>
        <w:tc>
          <w:tcPr>
            <w:tcW w:w="2694" w:type="dxa"/>
            <w:vAlign w:val="center"/>
          </w:tcPr>
          <w:p w14:paraId="6AAA970F">
            <w:pPr>
              <w:jc w:val="center"/>
              <w:rPr>
                <w:rFonts w:hint="eastAsia" w:ascii="宋体" w:hAnsi="宋体" w:cs="宋体"/>
                <w:color w:val="auto"/>
                <w:szCs w:val="21"/>
                <w:highlight w:val="none"/>
              </w:rPr>
            </w:pPr>
          </w:p>
        </w:tc>
        <w:tc>
          <w:tcPr>
            <w:tcW w:w="709" w:type="dxa"/>
            <w:vAlign w:val="center"/>
          </w:tcPr>
          <w:p w14:paraId="12E1E42F">
            <w:pPr>
              <w:jc w:val="center"/>
              <w:rPr>
                <w:rFonts w:hint="eastAsia" w:ascii="宋体" w:hAnsi="宋体" w:cs="宋体"/>
                <w:color w:val="auto"/>
                <w:szCs w:val="21"/>
                <w:highlight w:val="none"/>
              </w:rPr>
            </w:pPr>
          </w:p>
        </w:tc>
      </w:tr>
      <w:tr w14:paraId="32B97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704" w:type="dxa"/>
            <w:vAlign w:val="center"/>
          </w:tcPr>
          <w:p w14:paraId="24F5E4A2">
            <w:pPr>
              <w:jc w:val="center"/>
              <w:rPr>
                <w:rFonts w:hint="eastAsia" w:ascii="宋体" w:hAnsi="宋体" w:cs="宋体"/>
                <w:color w:val="auto"/>
                <w:szCs w:val="21"/>
                <w:highlight w:val="none"/>
              </w:rPr>
            </w:pPr>
            <w:r>
              <w:rPr>
                <w:rFonts w:hint="eastAsia" w:ascii="宋体" w:hAnsi="宋体" w:cs="宋体"/>
                <w:color w:val="auto"/>
                <w:szCs w:val="21"/>
                <w:highlight w:val="none"/>
              </w:rPr>
              <w:t>7</w:t>
            </w:r>
          </w:p>
        </w:tc>
        <w:tc>
          <w:tcPr>
            <w:tcW w:w="1559" w:type="dxa"/>
            <w:vMerge w:val="continue"/>
            <w:vAlign w:val="center"/>
          </w:tcPr>
          <w:p w14:paraId="4B07B0AF">
            <w:pPr>
              <w:jc w:val="center"/>
              <w:rPr>
                <w:rFonts w:hint="eastAsia" w:ascii="宋体" w:hAnsi="宋体" w:cs="宋体"/>
                <w:color w:val="auto"/>
                <w:szCs w:val="21"/>
                <w:highlight w:val="none"/>
              </w:rPr>
            </w:pPr>
          </w:p>
        </w:tc>
        <w:tc>
          <w:tcPr>
            <w:tcW w:w="2268" w:type="dxa"/>
            <w:vAlign w:val="center"/>
          </w:tcPr>
          <w:p w14:paraId="48722F35">
            <w:pPr>
              <w:jc w:val="center"/>
              <w:rPr>
                <w:rFonts w:hint="eastAsia" w:ascii="宋体" w:hAnsi="宋体" w:cs="宋体"/>
                <w:color w:val="auto"/>
                <w:szCs w:val="21"/>
                <w:highlight w:val="none"/>
              </w:rPr>
            </w:pPr>
            <w:r>
              <w:rPr>
                <w:rFonts w:hint="eastAsia" w:ascii="宋体" w:hAnsi="宋体" w:cs="宋体"/>
                <w:color w:val="auto"/>
                <w:szCs w:val="21"/>
                <w:highlight w:val="none"/>
              </w:rPr>
              <w:t>原子吸收光谱仪</w:t>
            </w:r>
          </w:p>
        </w:tc>
        <w:tc>
          <w:tcPr>
            <w:tcW w:w="850" w:type="dxa"/>
            <w:vAlign w:val="center"/>
          </w:tcPr>
          <w:p w14:paraId="09FF03A9">
            <w:pPr>
              <w:jc w:val="center"/>
              <w:rPr>
                <w:rFonts w:hint="eastAsia" w:ascii="宋体" w:hAnsi="宋体" w:cs="宋体"/>
                <w:color w:val="auto"/>
                <w:szCs w:val="21"/>
                <w:highlight w:val="none"/>
              </w:rPr>
            </w:pPr>
          </w:p>
        </w:tc>
        <w:tc>
          <w:tcPr>
            <w:tcW w:w="2694" w:type="dxa"/>
            <w:vAlign w:val="center"/>
          </w:tcPr>
          <w:p w14:paraId="095A72D8">
            <w:pPr>
              <w:jc w:val="center"/>
              <w:rPr>
                <w:rFonts w:hint="eastAsia" w:ascii="宋体" w:hAnsi="宋体" w:cs="宋体"/>
                <w:color w:val="auto"/>
                <w:szCs w:val="21"/>
                <w:highlight w:val="none"/>
              </w:rPr>
            </w:pPr>
          </w:p>
        </w:tc>
        <w:tc>
          <w:tcPr>
            <w:tcW w:w="709" w:type="dxa"/>
            <w:vAlign w:val="center"/>
          </w:tcPr>
          <w:p w14:paraId="10A8B68F">
            <w:pPr>
              <w:jc w:val="center"/>
              <w:rPr>
                <w:rFonts w:hint="eastAsia" w:ascii="宋体" w:hAnsi="宋体" w:cs="宋体"/>
                <w:color w:val="auto"/>
                <w:szCs w:val="21"/>
                <w:highlight w:val="none"/>
              </w:rPr>
            </w:pPr>
          </w:p>
        </w:tc>
      </w:tr>
      <w:tr w14:paraId="7528D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47A3EA7C">
            <w:pPr>
              <w:jc w:val="center"/>
              <w:rPr>
                <w:rFonts w:hint="eastAsia" w:ascii="宋体" w:hAnsi="宋体" w:cs="宋体"/>
                <w:color w:val="auto"/>
                <w:szCs w:val="21"/>
                <w:highlight w:val="none"/>
              </w:rPr>
            </w:pPr>
            <w:r>
              <w:rPr>
                <w:rFonts w:hint="eastAsia" w:ascii="宋体" w:hAnsi="宋体" w:cs="宋体"/>
                <w:color w:val="auto"/>
                <w:szCs w:val="21"/>
                <w:highlight w:val="none"/>
              </w:rPr>
              <w:t>8</w:t>
            </w:r>
          </w:p>
        </w:tc>
        <w:tc>
          <w:tcPr>
            <w:tcW w:w="1559" w:type="dxa"/>
            <w:vMerge w:val="continue"/>
            <w:vAlign w:val="center"/>
          </w:tcPr>
          <w:p w14:paraId="70BFCE3C">
            <w:pPr>
              <w:jc w:val="center"/>
              <w:rPr>
                <w:rFonts w:hint="eastAsia" w:ascii="宋体" w:hAnsi="宋体" w:cs="宋体"/>
                <w:color w:val="auto"/>
                <w:szCs w:val="21"/>
                <w:highlight w:val="none"/>
              </w:rPr>
            </w:pPr>
          </w:p>
        </w:tc>
        <w:tc>
          <w:tcPr>
            <w:tcW w:w="2268" w:type="dxa"/>
            <w:vAlign w:val="center"/>
          </w:tcPr>
          <w:p w14:paraId="775133AF">
            <w:pPr>
              <w:jc w:val="center"/>
              <w:rPr>
                <w:rFonts w:hint="eastAsia" w:ascii="宋体" w:hAnsi="宋体" w:cs="宋体"/>
                <w:color w:val="auto"/>
                <w:szCs w:val="21"/>
                <w:highlight w:val="none"/>
              </w:rPr>
            </w:pPr>
            <w:r>
              <w:rPr>
                <w:rFonts w:hint="eastAsia" w:ascii="宋体" w:hAnsi="宋体" w:cs="宋体"/>
                <w:color w:val="auto"/>
                <w:szCs w:val="21"/>
                <w:highlight w:val="none"/>
              </w:rPr>
              <w:t>原子荧光光谱仪</w:t>
            </w:r>
          </w:p>
        </w:tc>
        <w:tc>
          <w:tcPr>
            <w:tcW w:w="850" w:type="dxa"/>
            <w:vAlign w:val="center"/>
          </w:tcPr>
          <w:p w14:paraId="54805E71">
            <w:pPr>
              <w:jc w:val="center"/>
              <w:rPr>
                <w:rFonts w:hint="eastAsia" w:ascii="宋体" w:hAnsi="宋体" w:cs="宋体"/>
                <w:color w:val="auto"/>
                <w:szCs w:val="21"/>
                <w:highlight w:val="none"/>
              </w:rPr>
            </w:pPr>
          </w:p>
        </w:tc>
        <w:tc>
          <w:tcPr>
            <w:tcW w:w="2694" w:type="dxa"/>
            <w:vAlign w:val="center"/>
          </w:tcPr>
          <w:p w14:paraId="2561436B">
            <w:pPr>
              <w:jc w:val="center"/>
              <w:rPr>
                <w:rFonts w:hint="eastAsia" w:ascii="宋体" w:hAnsi="宋体" w:cs="宋体"/>
                <w:color w:val="auto"/>
                <w:szCs w:val="21"/>
                <w:highlight w:val="none"/>
              </w:rPr>
            </w:pPr>
          </w:p>
        </w:tc>
        <w:tc>
          <w:tcPr>
            <w:tcW w:w="709" w:type="dxa"/>
            <w:vAlign w:val="center"/>
          </w:tcPr>
          <w:p w14:paraId="6A6523FF">
            <w:pPr>
              <w:jc w:val="center"/>
              <w:rPr>
                <w:rFonts w:hint="eastAsia" w:ascii="宋体" w:hAnsi="宋体" w:cs="宋体"/>
                <w:color w:val="auto"/>
                <w:szCs w:val="21"/>
                <w:highlight w:val="none"/>
              </w:rPr>
            </w:pPr>
          </w:p>
        </w:tc>
      </w:tr>
      <w:tr w14:paraId="4A1E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704" w:type="dxa"/>
            <w:vAlign w:val="center"/>
          </w:tcPr>
          <w:p w14:paraId="4FD0F2DD">
            <w:pPr>
              <w:jc w:val="center"/>
              <w:rPr>
                <w:rFonts w:hint="eastAsia" w:ascii="宋体" w:hAnsi="宋体" w:cs="宋体"/>
                <w:color w:val="auto"/>
                <w:szCs w:val="21"/>
                <w:highlight w:val="none"/>
              </w:rPr>
            </w:pPr>
            <w:r>
              <w:rPr>
                <w:rFonts w:hint="eastAsia" w:ascii="宋体" w:hAnsi="宋体" w:cs="宋体"/>
                <w:color w:val="auto"/>
                <w:szCs w:val="21"/>
                <w:highlight w:val="none"/>
              </w:rPr>
              <w:t>9</w:t>
            </w:r>
          </w:p>
        </w:tc>
        <w:tc>
          <w:tcPr>
            <w:tcW w:w="1559" w:type="dxa"/>
            <w:vMerge w:val="continue"/>
            <w:vAlign w:val="center"/>
          </w:tcPr>
          <w:p w14:paraId="32CDCBF1">
            <w:pPr>
              <w:jc w:val="center"/>
              <w:rPr>
                <w:rFonts w:hint="eastAsia" w:ascii="宋体" w:hAnsi="宋体" w:cs="宋体"/>
                <w:color w:val="auto"/>
                <w:szCs w:val="21"/>
                <w:highlight w:val="none"/>
              </w:rPr>
            </w:pPr>
          </w:p>
        </w:tc>
        <w:tc>
          <w:tcPr>
            <w:tcW w:w="2268" w:type="dxa"/>
            <w:vAlign w:val="center"/>
          </w:tcPr>
          <w:p w14:paraId="50360E6E">
            <w:pPr>
              <w:jc w:val="center"/>
              <w:rPr>
                <w:rFonts w:hint="eastAsia" w:ascii="宋体" w:hAnsi="宋体" w:cs="宋体"/>
                <w:color w:val="auto"/>
                <w:szCs w:val="21"/>
                <w:highlight w:val="none"/>
              </w:rPr>
            </w:pPr>
            <w:r>
              <w:rPr>
                <w:rFonts w:hint="eastAsia" w:ascii="宋体" w:hAnsi="宋体" w:cs="宋体"/>
                <w:color w:val="auto"/>
                <w:szCs w:val="21"/>
                <w:highlight w:val="none"/>
              </w:rPr>
              <w:t>PCR检测仪</w:t>
            </w:r>
          </w:p>
        </w:tc>
        <w:tc>
          <w:tcPr>
            <w:tcW w:w="850" w:type="dxa"/>
            <w:vAlign w:val="center"/>
          </w:tcPr>
          <w:p w14:paraId="375252ED">
            <w:pPr>
              <w:jc w:val="center"/>
              <w:rPr>
                <w:rFonts w:hint="eastAsia" w:ascii="宋体" w:hAnsi="宋体" w:cs="宋体"/>
                <w:color w:val="auto"/>
                <w:szCs w:val="21"/>
                <w:highlight w:val="none"/>
              </w:rPr>
            </w:pPr>
          </w:p>
        </w:tc>
        <w:tc>
          <w:tcPr>
            <w:tcW w:w="2694" w:type="dxa"/>
            <w:vAlign w:val="center"/>
          </w:tcPr>
          <w:p w14:paraId="20154F45">
            <w:pPr>
              <w:jc w:val="center"/>
              <w:rPr>
                <w:rFonts w:hint="eastAsia" w:ascii="宋体" w:hAnsi="宋体" w:cs="宋体"/>
                <w:color w:val="auto"/>
                <w:szCs w:val="21"/>
                <w:highlight w:val="none"/>
              </w:rPr>
            </w:pPr>
          </w:p>
        </w:tc>
        <w:tc>
          <w:tcPr>
            <w:tcW w:w="709" w:type="dxa"/>
            <w:vAlign w:val="center"/>
          </w:tcPr>
          <w:p w14:paraId="07A196A8">
            <w:pPr>
              <w:jc w:val="center"/>
              <w:rPr>
                <w:rFonts w:hint="eastAsia" w:ascii="宋体" w:hAnsi="宋体" w:cs="宋体"/>
                <w:color w:val="auto"/>
                <w:szCs w:val="21"/>
                <w:highlight w:val="none"/>
              </w:rPr>
            </w:pPr>
          </w:p>
        </w:tc>
      </w:tr>
      <w:tr w14:paraId="779F3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1B5ABBB7">
            <w:pPr>
              <w:jc w:val="center"/>
              <w:rPr>
                <w:rFonts w:hint="eastAsia" w:ascii="宋体" w:hAnsi="宋体" w:cs="宋体"/>
                <w:color w:val="auto"/>
                <w:szCs w:val="21"/>
                <w:highlight w:val="none"/>
              </w:rPr>
            </w:pPr>
            <w:r>
              <w:rPr>
                <w:rFonts w:ascii="宋体" w:hAnsi="宋体" w:cs="宋体"/>
                <w:color w:val="auto"/>
                <w:szCs w:val="21"/>
                <w:highlight w:val="none"/>
              </w:rPr>
              <w:t>10</w:t>
            </w:r>
          </w:p>
        </w:tc>
        <w:tc>
          <w:tcPr>
            <w:tcW w:w="1559" w:type="dxa"/>
            <w:vMerge w:val="restart"/>
            <w:vAlign w:val="center"/>
          </w:tcPr>
          <w:p w14:paraId="50A79593">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在满足前述检验设备能力要求的基础上对多配备的设备评分</w:t>
            </w:r>
          </w:p>
        </w:tc>
        <w:tc>
          <w:tcPr>
            <w:tcW w:w="2268" w:type="dxa"/>
            <w:vAlign w:val="center"/>
          </w:tcPr>
          <w:p w14:paraId="03E71329">
            <w:pPr>
              <w:jc w:val="center"/>
              <w:rPr>
                <w:rFonts w:hint="eastAsia" w:ascii="宋体" w:hAnsi="宋体" w:cs="宋体"/>
                <w:color w:val="auto"/>
                <w:szCs w:val="21"/>
                <w:highlight w:val="none"/>
              </w:rPr>
            </w:pPr>
            <w:r>
              <w:rPr>
                <w:rFonts w:hint="eastAsia" w:ascii="宋体" w:hAnsi="宋体"/>
                <w:color w:val="auto"/>
                <w:kern w:val="0"/>
                <w:szCs w:val="21"/>
                <w:highlight w:val="none"/>
                <w:lang w:val="zh-CN" w:bidi="zh-CN"/>
              </w:rPr>
              <w:t>液相色谱三重四级杆质谱联用仪</w:t>
            </w:r>
          </w:p>
        </w:tc>
        <w:tc>
          <w:tcPr>
            <w:tcW w:w="850" w:type="dxa"/>
            <w:vAlign w:val="center"/>
          </w:tcPr>
          <w:p w14:paraId="16241D7E">
            <w:pPr>
              <w:jc w:val="center"/>
              <w:rPr>
                <w:rFonts w:hint="eastAsia" w:ascii="宋体" w:hAnsi="宋体" w:cs="宋体"/>
                <w:color w:val="auto"/>
                <w:szCs w:val="21"/>
                <w:highlight w:val="none"/>
              </w:rPr>
            </w:pPr>
          </w:p>
        </w:tc>
        <w:tc>
          <w:tcPr>
            <w:tcW w:w="2694" w:type="dxa"/>
            <w:vAlign w:val="center"/>
          </w:tcPr>
          <w:p w14:paraId="231D12FF">
            <w:pPr>
              <w:jc w:val="center"/>
              <w:rPr>
                <w:rFonts w:hint="eastAsia" w:ascii="宋体" w:hAnsi="宋体" w:cs="宋体"/>
                <w:color w:val="auto"/>
                <w:szCs w:val="21"/>
                <w:highlight w:val="none"/>
              </w:rPr>
            </w:pPr>
          </w:p>
        </w:tc>
        <w:tc>
          <w:tcPr>
            <w:tcW w:w="709" w:type="dxa"/>
            <w:vAlign w:val="center"/>
          </w:tcPr>
          <w:p w14:paraId="42017466">
            <w:pPr>
              <w:jc w:val="center"/>
              <w:rPr>
                <w:rFonts w:hint="eastAsia" w:ascii="宋体" w:hAnsi="宋体" w:cs="宋体"/>
                <w:color w:val="auto"/>
                <w:szCs w:val="21"/>
                <w:highlight w:val="none"/>
              </w:rPr>
            </w:pPr>
          </w:p>
        </w:tc>
      </w:tr>
      <w:tr w14:paraId="4D43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704" w:type="dxa"/>
            <w:vAlign w:val="center"/>
          </w:tcPr>
          <w:p w14:paraId="38B755AF">
            <w:pPr>
              <w:jc w:val="center"/>
              <w:rPr>
                <w:rFonts w:hint="eastAsia" w:ascii="宋体" w:hAnsi="宋体" w:cs="宋体"/>
                <w:color w:val="auto"/>
                <w:szCs w:val="21"/>
                <w:highlight w:val="none"/>
              </w:rPr>
            </w:pPr>
            <w:r>
              <w:rPr>
                <w:rFonts w:ascii="宋体" w:hAnsi="宋体" w:cs="宋体"/>
                <w:color w:val="auto"/>
                <w:szCs w:val="21"/>
                <w:highlight w:val="none"/>
              </w:rPr>
              <w:t>11</w:t>
            </w:r>
          </w:p>
        </w:tc>
        <w:tc>
          <w:tcPr>
            <w:tcW w:w="1559" w:type="dxa"/>
            <w:vMerge w:val="continue"/>
            <w:vAlign w:val="center"/>
          </w:tcPr>
          <w:p w14:paraId="4FFE7D9D">
            <w:pPr>
              <w:jc w:val="center"/>
              <w:rPr>
                <w:rFonts w:hint="eastAsia" w:ascii="宋体" w:hAnsi="宋体" w:cs="宋体"/>
                <w:color w:val="auto"/>
                <w:szCs w:val="21"/>
                <w:highlight w:val="none"/>
              </w:rPr>
            </w:pPr>
          </w:p>
        </w:tc>
        <w:tc>
          <w:tcPr>
            <w:tcW w:w="2268" w:type="dxa"/>
            <w:vAlign w:val="center"/>
          </w:tcPr>
          <w:p w14:paraId="05CA772D">
            <w:pPr>
              <w:jc w:val="center"/>
              <w:rPr>
                <w:rFonts w:hint="eastAsia" w:ascii="宋体" w:hAnsi="宋体" w:cs="宋体"/>
                <w:color w:val="auto"/>
                <w:szCs w:val="21"/>
                <w:highlight w:val="none"/>
              </w:rPr>
            </w:pPr>
            <w:r>
              <w:rPr>
                <w:rFonts w:hint="eastAsia" w:ascii="宋体" w:hAnsi="宋体" w:cs="宋体"/>
                <w:color w:val="auto"/>
                <w:kern w:val="0"/>
                <w:highlight w:val="none"/>
                <w:lang w:val="zh-CN"/>
              </w:rPr>
              <w:t>气相色谱质谱联用仪</w:t>
            </w:r>
          </w:p>
        </w:tc>
        <w:tc>
          <w:tcPr>
            <w:tcW w:w="850" w:type="dxa"/>
            <w:vAlign w:val="center"/>
          </w:tcPr>
          <w:p w14:paraId="6E9BD281">
            <w:pPr>
              <w:jc w:val="center"/>
              <w:rPr>
                <w:rFonts w:hint="eastAsia" w:ascii="宋体" w:hAnsi="宋体" w:cs="宋体"/>
                <w:color w:val="auto"/>
                <w:szCs w:val="21"/>
                <w:highlight w:val="none"/>
              </w:rPr>
            </w:pPr>
          </w:p>
        </w:tc>
        <w:tc>
          <w:tcPr>
            <w:tcW w:w="2694" w:type="dxa"/>
            <w:vAlign w:val="center"/>
          </w:tcPr>
          <w:p w14:paraId="0DC23E99">
            <w:pPr>
              <w:jc w:val="center"/>
              <w:rPr>
                <w:rFonts w:hint="eastAsia" w:ascii="宋体" w:hAnsi="宋体" w:cs="宋体"/>
                <w:color w:val="auto"/>
                <w:szCs w:val="21"/>
                <w:highlight w:val="none"/>
              </w:rPr>
            </w:pPr>
          </w:p>
        </w:tc>
        <w:tc>
          <w:tcPr>
            <w:tcW w:w="709" w:type="dxa"/>
            <w:vAlign w:val="center"/>
          </w:tcPr>
          <w:p w14:paraId="35DD72DA">
            <w:pPr>
              <w:jc w:val="center"/>
              <w:rPr>
                <w:rFonts w:hint="eastAsia" w:ascii="宋体" w:hAnsi="宋体" w:cs="宋体"/>
                <w:color w:val="auto"/>
                <w:szCs w:val="21"/>
                <w:highlight w:val="none"/>
              </w:rPr>
            </w:pPr>
          </w:p>
        </w:tc>
      </w:tr>
      <w:tr w14:paraId="61A60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B4AD752">
            <w:pPr>
              <w:jc w:val="center"/>
              <w:rPr>
                <w:rFonts w:hint="eastAsia" w:ascii="宋体" w:hAnsi="宋体" w:cs="宋体"/>
                <w:color w:val="auto"/>
                <w:szCs w:val="21"/>
                <w:highlight w:val="none"/>
              </w:rPr>
            </w:pPr>
            <w:r>
              <w:rPr>
                <w:rFonts w:ascii="宋体" w:hAnsi="宋体" w:cs="宋体"/>
                <w:color w:val="auto"/>
                <w:szCs w:val="21"/>
                <w:highlight w:val="none"/>
              </w:rPr>
              <w:t>12</w:t>
            </w:r>
          </w:p>
        </w:tc>
        <w:tc>
          <w:tcPr>
            <w:tcW w:w="1559" w:type="dxa"/>
            <w:vMerge w:val="continue"/>
            <w:vAlign w:val="center"/>
          </w:tcPr>
          <w:p w14:paraId="703F00A6">
            <w:pPr>
              <w:jc w:val="center"/>
              <w:rPr>
                <w:rFonts w:hint="eastAsia" w:ascii="宋体" w:hAnsi="宋体" w:cs="宋体"/>
                <w:color w:val="auto"/>
                <w:szCs w:val="21"/>
                <w:highlight w:val="none"/>
              </w:rPr>
            </w:pPr>
          </w:p>
        </w:tc>
        <w:tc>
          <w:tcPr>
            <w:tcW w:w="2268" w:type="dxa"/>
            <w:vAlign w:val="center"/>
          </w:tcPr>
          <w:p w14:paraId="36E7160D">
            <w:pPr>
              <w:jc w:val="center"/>
              <w:rPr>
                <w:rFonts w:hint="eastAsia" w:ascii="宋体" w:hAnsi="宋体" w:cs="宋体"/>
                <w:color w:val="auto"/>
                <w:szCs w:val="21"/>
                <w:highlight w:val="none"/>
              </w:rPr>
            </w:pPr>
            <w:r>
              <w:rPr>
                <w:rFonts w:hint="eastAsia" w:ascii="宋体" w:hAnsi="宋体" w:cs="宋体"/>
                <w:color w:val="auto"/>
                <w:szCs w:val="21"/>
                <w:highlight w:val="none"/>
              </w:rPr>
              <w:t>电感耦合等离子体质谱仪</w:t>
            </w:r>
          </w:p>
        </w:tc>
        <w:tc>
          <w:tcPr>
            <w:tcW w:w="850" w:type="dxa"/>
            <w:vAlign w:val="center"/>
          </w:tcPr>
          <w:p w14:paraId="1D19E552">
            <w:pPr>
              <w:jc w:val="center"/>
              <w:rPr>
                <w:rFonts w:hint="eastAsia" w:ascii="宋体" w:hAnsi="宋体" w:cs="宋体"/>
                <w:color w:val="auto"/>
                <w:szCs w:val="21"/>
                <w:highlight w:val="none"/>
              </w:rPr>
            </w:pPr>
          </w:p>
        </w:tc>
        <w:tc>
          <w:tcPr>
            <w:tcW w:w="2694" w:type="dxa"/>
            <w:vAlign w:val="center"/>
          </w:tcPr>
          <w:p w14:paraId="77689658">
            <w:pPr>
              <w:jc w:val="center"/>
              <w:rPr>
                <w:rFonts w:hint="eastAsia" w:ascii="宋体" w:hAnsi="宋体" w:cs="宋体"/>
                <w:color w:val="auto"/>
                <w:szCs w:val="21"/>
                <w:highlight w:val="none"/>
              </w:rPr>
            </w:pPr>
          </w:p>
        </w:tc>
        <w:tc>
          <w:tcPr>
            <w:tcW w:w="709" w:type="dxa"/>
            <w:vAlign w:val="center"/>
          </w:tcPr>
          <w:p w14:paraId="505B1CE3">
            <w:pPr>
              <w:jc w:val="center"/>
              <w:rPr>
                <w:rFonts w:hint="eastAsia" w:ascii="宋体" w:hAnsi="宋体" w:cs="宋体"/>
                <w:color w:val="auto"/>
                <w:szCs w:val="21"/>
                <w:highlight w:val="none"/>
              </w:rPr>
            </w:pPr>
          </w:p>
        </w:tc>
      </w:tr>
    </w:tbl>
    <w:p w14:paraId="3BCA2563">
      <w:pPr>
        <w:rPr>
          <w:rFonts w:hint="eastAsia" w:ascii="宋体" w:hAnsi="宋体" w:cs="宋体"/>
          <w:b/>
          <w:bCs/>
          <w:color w:val="auto"/>
          <w:szCs w:val="21"/>
          <w:highlight w:val="none"/>
        </w:rPr>
      </w:pPr>
      <w:r>
        <w:rPr>
          <w:rFonts w:hint="eastAsia" w:ascii="宋体" w:hAnsi="宋体" w:cs="宋体"/>
          <w:b/>
          <w:bCs/>
          <w:color w:val="auto"/>
          <w:szCs w:val="21"/>
          <w:highlight w:val="none"/>
        </w:rPr>
        <w:t>注：</w:t>
      </w:r>
      <w:r>
        <w:rPr>
          <w:rFonts w:hint="eastAsia" w:ascii="宋体" w:hAnsi="宋体"/>
          <w:b/>
          <w:color w:val="auto"/>
          <w:kern w:val="0"/>
          <w:szCs w:val="21"/>
          <w:highlight w:val="none"/>
          <w:lang w:val="zh-CN" w:bidi="zh-CN"/>
        </w:rPr>
        <w:t>须提供有效的检定或校准证书、购置发票或租赁合同、检验原始记录、设备照片和存放位置等复印件，表明能有效应用在食品检验检测上。</w:t>
      </w:r>
    </w:p>
    <w:p w14:paraId="7C62487A">
      <w:pPr>
        <w:rPr>
          <w:color w:val="auto"/>
          <w:highlight w:val="none"/>
        </w:rPr>
      </w:pPr>
    </w:p>
    <w:p w14:paraId="3F9DC051">
      <w:pPr>
        <w:pStyle w:val="79"/>
        <w:ind w:firstLine="3780" w:firstLineChars="1800"/>
        <w:rPr>
          <w:rFonts w:hint="eastAsia" w:ascii="Microsoft New Tai Lue" w:hAnsi="Microsoft New Tai Lue" w:cs="Microsoft New Tai Lue"/>
          <w:color w:val="auto"/>
          <w:sz w:val="21"/>
          <w:szCs w:val="21"/>
          <w:highlight w:val="none"/>
        </w:rPr>
      </w:pPr>
    </w:p>
    <w:p w14:paraId="02CED87E">
      <w:pPr>
        <w:pStyle w:val="79"/>
        <w:ind w:firstLine="3780" w:firstLineChars="1800"/>
        <w:rPr>
          <w:rFonts w:hint="eastAsia" w:ascii="Microsoft New Tai Lue" w:hAnsi="Microsoft New Tai Lue" w:cs="Microsoft New Tai Lue"/>
          <w:color w:val="auto"/>
          <w:sz w:val="21"/>
          <w:szCs w:val="21"/>
          <w:highlight w:val="none"/>
        </w:rPr>
      </w:pPr>
    </w:p>
    <w:p w14:paraId="33DA3641">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0AC1A4F7">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04920378">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w:t>
      </w:r>
    </w:p>
    <w:p w14:paraId="360C93EE">
      <w:pPr>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                       日期：______年____月____日</w:t>
      </w:r>
    </w:p>
    <w:p w14:paraId="64DAFBB1">
      <w:pPr>
        <w:pStyle w:val="79"/>
        <w:ind w:right="420" w:firstLine="3780" w:firstLineChars="1800"/>
        <w:jc w:val="left"/>
        <w:rPr>
          <w:rFonts w:hint="default" w:ascii="Microsoft New Tai Lue" w:hAnsi="Microsoft New Tai Lue" w:cs="Microsoft New Tai Lue"/>
          <w:bCs w:val="0"/>
          <w:color w:val="auto"/>
          <w:sz w:val="21"/>
          <w:szCs w:val="21"/>
          <w:highlight w:val="none"/>
        </w:rPr>
      </w:pPr>
    </w:p>
    <w:p w14:paraId="7CB4E290">
      <w:pPr>
        <w:pStyle w:val="79"/>
        <w:ind w:right="420" w:firstLine="3780" w:firstLineChars="1800"/>
        <w:jc w:val="left"/>
        <w:rPr>
          <w:rFonts w:hint="default" w:ascii="Microsoft New Tai Lue" w:hAnsi="Microsoft New Tai Lue" w:cs="Microsoft New Tai Lue"/>
          <w:bCs w:val="0"/>
          <w:color w:val="auto"/>
          <w:sz w:val="21"/>
          <w:szCs w:val="21"/>
          <w:highlight w:val="none"/>
        </w:rPr>
      </w:pPr>
    </w:p>
    <w:p w14:paraId="31ADF795">
      <w:pPr>
        <w:pStyle w:val="79"/>
        <w:ind w:right="420" w:firstLine="3780" w:firstLineChars="1800"/>
        <w:jc w:val="left"/>
        <w:rPr>
          <w:rFonts w:hint="default" w:ascii="Microsoft New Tai Lue" w:hAnsi="Microsoft New Tai Lue" w:cs="Microsoft New Tai Lue"/>
          <w:bCs w:val="0"/>
          <w:color w:val="auto"/>
          <w:sz w:val="21"/>
          <w:szCs w:val="21"/>
          <w:highlight w:val="none"/>
        </w:rPr>
      </w:pPr>
      <w:r>
        <w:rPr>
          <w:rFonts w:hint="default" w:ascii="Microsoft New Tai Lue" w:hAnsi="Microsoft New Tai Lue" w:cs="Microsoft New Tai Lue"/>
          <w:bCs w:val="0"/>
          <w:color w:val="auto"/>
          <w:sz w:val="21"/>
          <w:szCs w:val="21"/>
          <w:highlight w:val="none"/>
        </w:rPr>
        <w:br w:type="page"/>
      </w:r>
    </w:p>
    <w:p w14:paraId="4EF4A99C">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（6）质量控制</w:t>
      </w:r>
    </w:p>
    <w:p w14:paraId="1B1BAFFF">
      <w:pPr>
        <w:ind w:firstLine="420" w:firstLineChars="200"/>
        <w:rPr>
          <w:bCs/>
          <w:color w:val="auto"/>
          <w:szCs w:val="21"/>
          <w:highlight w:val="none"/>
        </w:rPr>
      </w:pPr>
      <w:r>
        <w:rPr>
          <w:rFonts w:hint="eastAsia"/>
          <w:bCs/>
          <w:color w:val="auto"/>
          <w:szCs w:val="21"/>
          <w:highlight w:val="none"/>
        </w:rPr>
        <w:t>自2025年1月1日以来，供应商参加过相关机构组织的食品检测项目的实验室能力验证或市场监管部门组织的盲样考核（9个领域为：农药残留、兽药残留、重金属、真菌毒素、食品添加剂、非法添加、微生物、营养元素、动物源性成分/转基因成分）</w:t>
      </w:r>
    </w:p>
    <w:tbl>
      <w:tblPr>
        <w:tblStyle w:val="3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3452"/>
        <w:gridCol w:w="1593"/>
        <w:gridCol w:w="1317"/>
        <w:gridCol w:w="1062"/>
        <w:gridCol w:w="1305"/>
      </w:tblGrid>
      <w:tr w14:paraId="57664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6" w:hRule="atLeast"/>
          <w:jc w:val="center"/>
        </w:trPr>
        <w:tc>
          <w:tcPr>
            <w:tcW w:w="673" w:type="dxa"/>
            <w:vAlign w:val="center"/>
          </w:tcPr>
          <w:p w14:paraId="103B99D0">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452" w:type="dxa"/>
            <w:vAlign w:val="center"/>
          </w:tcPr>
          <w:p w14:paraId="598881AD">
            <w:pPr>
              <w:jc w:val="center"/>
              <w:rPr>
                <w:rFonts w:hint="eastAsia" w:ascii="宋体" w:hAnsi="宋体"/>
                <w:color w:val="auto"/>
                <w:szCs w:val="21"/>
                <w:highlight w:val="none"/>
              </w:rPr>
            </w:pPr>
            <w:r>
              <w:rPr>
                <w:rFonts w:hint="eastAsia" w:ascii="宋体" w:hAnsi="宋体"/>
                <w:color w:val="auto"/>
                <w:szCs w:val="21"/>
                <w:highlight w:val="none"/>
              </w:rPr>
              <w:t>能力验证报告或证书</w:t>
            </w:r>
          </w:p>
        </w:tc>
        <w:tc>
          <w:tcPr>
            <w:tcW w:w="1593" w:type="dxa"/>
            <w:vAlign w:val="center"/>
          </w:tcPr>
          <w:p w14:paraId="64E39DC4">
            <w:pPr>
              <w:jc w:val="center"/>
              <w:rPr>
                <w:rFonts w:hint="eastAsia" w:ascii="宋体" w:hAnsi="宋体"/>
                <w:color w:val="auto"/>
                <w:szCs w:val="21"/>
                <w:highlight w:val="none"/>
              </w:rPr>
            </w:pPr>
            <w:r>
              <w:rPr>
                <w:rFonts w:hint="eastAsia" w:ascii="宋体" w:hAnsi="宋体"/>
                <w:color w:val="auto"/>
                <w:szCs w:val="21"/>
                <w:highlight w:val="none"/>
              </w:rPr>
              <w:t>具备领域</w:t>
            </w:r>
          </w:p>
        </w:tc>
        <w:tc>
          <w:tcPr>
            <w:tcW w:w="1317" w:type="dxa"/>
            <w:vAlign w:val="center"/>
          </w:tcPr>
          <w:p w14:paraId="0B2852D4">
            <w:pPr>
              <w:jc w:val="center"/>
              <w:rPr>
                <w:rFonts w:hint="eastAsia" w:ascii="宋体" w:hAnsi="宋体"/>
                <w:color w:val="auto"/>
                <w:szCs w:val="21"/>
                <w:highlight w:val="none"/>
              </w:rPr>
            </w:pPr>
            <w:r>
              <w:rPr>
                <w:rFonts w:hint="eastAsia" w:ascii="宋体" w:hAnsi="宋体"/>
                <w:color w:val="auto"/>
                <w:szCs w:val="21"/>
                <w:highlight w:val="none"/>
              </w:rPr>
              <w:t>验证或</w:t>
            </w:r>
            <w:r>
              <w:rPr>
                <w:rFonts w:ascii="宋体" w:hAnsi="宋体"/>
                <w:color w:val="auto"/>
                <w:szCs w:val="21"/>
                <w:highlight w:val="none"/>
              </w:rPr>
              <w:t>考核时间</w:t>
            </w:r>
          </w:p>
        </w:tc>
        <w:tc>
          <w:tcPr>
            <w:tcW w:w="1062" w:type="dxa"/>
            <w:vAlign w:val="center"/>
          </w:tcPr>
          <w:p w14:paraId="24FE54B3">
            <w:pPr>
              <w:jc w:val="center"/>
              <w:rPr>
                <w:rFonts w:hint="eastAsia" w:ascii="宋体" w:hAnsi="宋体" w:cs="宋体"/>
                <w:color w:val="auto"/>
                <w:szCs w:val="21"/>
                <w:highlight w:val="none"/>
                <w:lang w:val="zh-CN" w:bidi="zh-CN"/>
              </w:rPr>
            </w:pPr>
            <w:r>
              <w:rPr>
                <w:rFonts w:hint="eastAsia" w:ascii="宋体" w:hAnsi="宋体" w:cs="宋体"/>
                <w:color w:val="auto"/>
                <w:szCs w:val="21"/>
                <w:highlight w:val="none"/>
                <w:lang w:val="zh-CN" w:bidi="zh-CN"/>
              </w:rPr>
              <w:t>结果</w:t>
            </w:r>
          </w:p>
        </w:tc>
        <w:tc>
          <w:tcPr>
            <w:tcW w:w="1305" w:type="dxa"/>
            <w:vAlign w:val="center"/>
          </w:tcPr>
          <w:p w14:paraId="4C042E05">
            <w:pPr>
              <w:jc w:val="center"/>
              <w:rPr>
                <w:rFonts w:hint="eastAsia" w:ascii="宋体" w:hAnsi="宋体"/>
                <w:color w:val="auto"/>
                <w:szCs w:val="21"/>
                <w:highlight w:val="none"/>
              </w:rPr>
            </w:pPr>
            <w:r>
              <w:rPr>
                <w:rFonts w:hint="eastAsia" w:ascii="宋体" w:hAnsi="宋体" w:cs="宋体"/>
                <w:color w:val="auto"/>
                <w:szCs w:val="21"/>
                <w:highlight w:val="none"/>
                <w:lang w:val="zh-CN" w:bidi="zh-CN"/>
              </w:rPr>
              <w:t>在投标文件中的页码位置</w:t>
            </w:r>
          </w:p>
        </w:tc>
      </w:tr>
      <w:tr w14:paraId="074C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0A611956">
            <w:pPr>
              <w:spacing w:line="360" w:lineRule="auto"/>
              <w:jc w:val="center"/>
              <w:rPr>
                <w:rFonts w:hint="eastAsia" w:ascii="宋体" w:hAnsi="宋体"/>
                <w:bCs/>
                <w:color w:val="auto"/>
                <w:szCs w:val="21"/>
                <w:highlight w:val="none"/>
              </w:rPr>
            </w:pPr>
          </w:p>
        </w:tc>
        <w:tc>
          <w:tcPr>
            <w:tcW w:w="3452" w:type="dxa"/>
            <w:vAlign w:val="center"/>
          </w:tcPr>
          <w:p w14:paraId="4A15B83B">
            <w:pPr>
              <w:spacing w:line="360" w:lineRule="auto"/>
              <w:jc w:val="center"/>
              <w:rPr>
                <w:rFonts w:hint="eastAsia" w:ascii="宋体" w:hAnsi="宋体"/>
                <w:bCs/>
                <w:color w:val="auto"/>
                <w:szCs w:val="21"/>
                <w:highlight w:val="none"/>
              </w:rPr>
            </w:pPr>
          </w:p>
        </w:tc>
        <w:tc>
          <w:tcPr>
            <w:tcW w:w="1593" w:type="dxa"/>
            <w:vAlign w:val="center"/>
          </w:tcPr>
          <w:p w14:paraId="3E498DEB">
            <w:pPr>
              <w:spacing w:line="360" w:lineRule="auto"/>
              <w:jc w:val="center"/>
              <w:rPr>
                <w:rFonts w:hint="eastAsia" w:ascii="宋体" w:hAnsi="宋体"/>
                <w:bCs/>
                <w:color w:val="auto"/>
                <w:szCs w:val="21"/>
                <w:highlight w:val="none"/>
              </w:rPr>
            </w:pPr>
          </w:p>
        </w:tc>
        <w:tc>
          <w:tcPr>
            <w:tcW w:w="1317" w:type="dxa"/>
            <w:vAlign w:val="center"/>
          </w:tcPr>
          <w:p w14:paraId="26D64C16">
            <w:pPr>
              <w:spacing w:line="360" w:lineRule="auto"/>
              <w:jc w:val="center"/>
              <w:rPr>
                <w:rFonts w:hint="eastAsia" w:ascii="宋体" w:hAnsi="宋体"/>
                <w:bCs/>
                <w:color w:val="auto"/>
                <w:szCs w:val="21"/>
                <w:highlight w:val="none"/>
              </w:rPr>
            </w:pPr>
          </w:p>
        </w:tc>
        <w:tc>
          <w:tcPr>
            <w:tcW w:w="1062" w:type="dxa"/>
            <w:vAlign w:val="center"/>
          </w:tcPr>
          <w:p w14:paraId="0631A80F">
            <w:pPr>
              <w:spacing w:line="360" w:lineRule="auto"/>
              <w:jc w:val="center"/>
              <w:rPr>
                <w:rFonts w:hint="eastAsia" w:ascii="宋体" w:hAnsi="宋体"/>
                <w:bCs/>
                <w:color w:val="auto"/>
                <w:szCs w:val="21"/>
                <w:highlight w:val="none"/>
              </w:rPr>
            </w:pPr>
          </w:p>
        </w:tc>
        <w:tc>
          <w:tcPr>
            <w:tcW w:w="1305" w:type="dxa"/>
            <w:vAlign w:val="center"/>
          </w:tcPr>
          <w:p w14:paraId="3A09068A">
            <w:pPr>
              <w:spacing w:line="360" w:lineRule="auto"/>
              <w:jc w:val="center"/>
              <w:rPr>
                <w:rFonts w:hint="eastAsia" w:ascii="宋体" w:hAnsi="宋体"/>
                <w:bCs/>
                <w:color w:val="auto"/>
                <w:szCs w:val="21"/>
                <w:highlight w:val="none"/>
              </w:rPr>
            </w:pPr>
          </w:p>
        </w:tc>
      </w:tr>
      <w:tr w14:paraId="310CA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2497A703">
            <w:pPr>
              <w:spacing w:line="360" w:lineRule="auto"/>
              <w:jc w:val="center"/>
              <w:rPr>
                <w:rFonts w:hint="eastAsia" w:ascii="宋体" w:hAnsi="宋体"/>
                <w:bCs/>
                <w:color w:val="auto"/>
                <w:szCs w:val="21"/>
                <w:highlight w:val="none"/>
              </w:rPr>
            </w:pPr>
          </w:p>
        </w:tc>
        <w:tc>
          <w:tcPr>
            <w:tcW w:w="3452" w:type="dxa"/>
            <w:vAlign w:val="center"/>
          </w:tcPr>
          <w:p w14:paraId="68EED9A8">
            <w:pPr>
              <w:spacing w:line="360" w:lineRule="auto"/>
              <w:jc w:val="center"/>
              <w:rPr>
                <w:rFonts w:hint="eastAsia" w:ascii="宋体" w:hAnsi="宋体"/>
                <w:bCs/>
                <w:color w:val="auto"/>
                <w:szCs w:val="21"/>
                <w:highlight w:val="none"/>
              </w:rPr>
            </w:pPr>
          </w:p>
        </w:tc>
        <w:tc>
          <w:tcPr>
            <w:tcW w:w="1593" w:type="dxa"/>
            <w:vAlign w:val="center"/>
          </w:tcPr>
          <w:p w14:paraId="2E20EB62">
            <w:pPr>
              <w:spacing w:line="360" w:lineRule="auto"/>
              <w:jc w:val="center"/>
              <w:rPr>
                <w:rFonts w:hint="eastAsia" w:ascii="宋体" w:hAnsi="宋体"/>
                <w:bCs/>
                <w:color w:val="auto"/>
                <w:szCs w:val="21"/>
                <w:highlight w:val="none"/>
              </w:rPr>
            </w:pPr>
          </w:p>
        </w:tc>
        <w:tc>
          <w:tcPr>
            <w:tcW w:w="1317" w:type="dxa"/>
            <w:vAlign w:val="center"/>
          </w:tcPr>
          <w:p w14:paraId="3FF2D0EA">
            <w:pPr>
              <w:spacing w:line="360" w:lineRule="auto"/>
              <w:jc w:val="center"/>
              <w:rPr>
                <w:rFonts w:hint="eastAsia" w:ascii="宋体" w:hAnsi="宋体"/>
                <w:bCs/>
                <w:color w:val="auto"/>
                <w:szCs w:val="21"/>
                <w:highlight w:val="none"/>
              </w:rPr>
            </w:pPr>
          </w:p>
        </w:tc>
        <w:tc>
          <w:tcPr>
            <w:tcW w:w="1062" w:type="dxa"/>
            <w:vAlign w:val="center"/>
          </w:tcPr>
          <w:p w14:paraId="61457154">
            <w:pPr>
              <w:spacing w:line="360" w:lineRule="auto"/>
              <w:jc w:val="center"/>
              <w:rPr>
                <w:rFonts w:hint="eastAsia" w:ascii="宋体" w:hAnsi="宋体"/>
                <w:bCs/>
                <w:color w:val="auto"/>
                <w:szCs w:val="21"/>
                <w:highlight w:val="none"/>
              </w:rPr>
            </w:pPr>
          </w:p>
        </w:tc>
        <w:tc>
          <w:tcPr>
            <w:tcW w:w="1305" w:type="dxa"/>
            <w:vAlign w:val="center"/>
          </w:tcPr>
          <w:p w14:paraId="401998EE">
            <w:pPr>
              <w:spacing w:line="360" w:lineRule="auto"/>
              <w:jc w:val="center"/>
              <w:rPr>
                <w:rFonts w:hint="eastAsia" w:ascii="宋体" w:hAnsi="宋体"/>
                <w:bCs/>
                <w:color w:val="auto"/>
                <w:szCs w:val="21"/>
                <w:highlight w:val="none"/>
              </w:rPr>
            </w:pPr>
          </w:p>
        </w:tc>
      </w:tr>
      <w:tr w14:paraId="5F04B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4E816016">
            <w:pPr>
              <w:spacing w:line="360" w:lineRule="auto"/>
              <w:jc w:val="center"/>
              <w:rPr>
                <w:rFonts w:hint="eastAsia" w:ascii="宋体" w:hAnsi="宋体"/>
                <w:bCs/>
                <w:color w:val="auto"/>
                <w:szCs w:val="21"/>
                <w:highlight w:val="none"/>
              </w:rPr>
            </w:pPr>
          </w:p>
        </w:tc>
        <w:tc>
          <w:tcPr>
            <w:tcW w:w="3452" w:type="dxa"/>
            <w:vAlign w:val="center"/>
          </w:tcPr>
          <w:p w14:paraId="545010FF">
            <w:pPr>
              <w:spacing w:line="360" w:lineRule="auto"/>
              <w:jc w:val="center"/>
              <w:rPr>
                <w:rFonts w:hint="eastAsia" w:ascii="宋体" w:hAnsi="宋体"/>
                <w:bCs/>
                <w:color w:val="auto"/>
                <w:szCs w:val="21"/>
                <w:highlight w:val="none"/>
              </w:rPr>
            </w:pPr>
          </w:p>
        </w:tc>
        <w:tc>
          <w:tcPr>
            <w:tcW w:w="1593" w:type="dxa"/>
            <w:vAlign w:val="center"/>
          </w:tcPr>
          <w:p w14:paraId="1EA8DAC9">
            <w:pPr>
              <w:spacing w:line="360" w:lineRule="auto"/>
              <w:jc w:val="center"/>
              <w:rPr>
                <w:rFonts w:hint="eastAsia" w:ascii="宋体" w:hAnsi="宋体"/>
                <w:bCs/>
                <w:color w:val="auto"/>
                <w:szCs w:val="21"/>
                <w:highlight w:val="none"/>
              </w:rPr>
            </w:pPr>
          </w:p>
        </w:tc>
        <w:tc>
          <w:tcPr>
            <w:tcW w:w="1317" w:type="dxa"/>
            <w:vAlign w:val="center"/>
          </w:tcPr>
          <w:p w14:paraId="4EDE03D2">
            <w:pPr>
              <w:spacing w:line="360" w:lineRule="auto"/>
              <w:jc w:val="center"/>
              <w:rPr>
                <w:rFonts w:hint="eastAsia" w:ascii="宋体" w:hAnsi="宋体"/>
                <w:bCs/>
                <w:color w:val="auto"/>
                <w:szCs w:val="21"/>
                <w:highlight w:val="none"/>
              </w:rPr>
            </w:pPr>
          </w:p>
        </w:tc>
        <w:tc>
          <w:tcPr>
            <w:tcW w:w="1062" w:type="dxa"/>
            <w:vAlign w:val="center"/>
          </w:tcPr>
          <w:p w14:paraId="36456EF9">
            <w:pPr>
              <w:spacing w:line="360" w:lineRule="auto"/>
              <w:jc w:val="center"/>
              <w:rPr>
                <w:rFonts w:hint="eastAsia" w:ascii="宋体" w:hAnsi="宋体"/>
                <w:bCs/>
                <w:color w:val="auto"/>
                <w:szCs w:val="21"/>
                <w:highlight w:val="none"/>
              </w:rPr>
            </w:pPr>
          </w:p>
        </w:tc>
        <w:tc>
          <w:tcPr>
            <w:tcW w:w="1305" w:type="dxa"/>
            <w:vAlign w:val="center"/>
          </w:tcPr>
          <w:p w14:paraId="20BF1E93">
            <w:pPr>
              <w:spacing w:line="360" w:lineRule="auto"/>
              <w:jc w:val="center"/>
              <w:rPr>
                <w:rFonts w:hint="eastAsia" w:ascii="宋体" w:hAnsi="宋体"/>
                <w:bCs/>
                <w:color w:val="auto"/>
                <w:szCs w:val="21"/>
                <w:highlight w:val="none"/>
              </w:rPr>
            </w:pPr>
          </w:p>
        </w:tc>
      </w:tr>
      <w:tr w14:paraId="75D7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531D810F">
            <w:pPr>
              <w:spacing w:line="360" w:lineRule="auto"/>
              <w:jc w:val="center"/>
              <w:rPr>
                <w:rFonts w:hint="eastAsia" w:ascii="宋体" w:hAnsi="宋体"/>
                <w:bCs/>
                <w:color w:val="auto"/>
                <w:szCs w:val="21"/>
                <w:highlight w:val="none"/>
              </w:rPr>
            </w:pPr>
          </w:p>
        </w:tc>
        <w:tc>
          <w:tcPr>
            <w:tcW w:w="3452" w:type="dxa"/>
            <w:vAlign w:val="center"/>
          </w:tcPr>
          <w:p w14:paraId="2DED086C">
            <w:pPr>
              <w:spacing w:line="360" w:lineRule="auto"/>
              <w:jc w:val="center"/>
              <w:rPr>
                <w:rFonts w:hint="eastAsia" w:ascii="宋体" w:hAnsi="宋体"/>
                <w:bCs/>
                <w:color w:val="auto"/>
                <w:szCs w:val="21"/>
                <w:highlight w:val="none"/>
              </w:rPr>
            </w:pPr>
          </w:p>
        </w:tc>
        <w:tc>
          <w:tcPr>
            <w:tcW w:w="1593" w:type="dxa"/>
            <w:vAlign w:val="center"/>
          </w:tcPr>
          <w:p w14:paraId="7968E741">
            <w:pPr>
              <w:spacing w:line="360" w:lineRule="auto"/>
              <w:jc w:val="center"/>
              <w:rPr>
                <w:rFonts w:hint="eastAsia" w:ascii="宋体" w:hAnsi="宋体"/>
                <w:bCs/>
                <w:color w:val="auto"/>
                <w:szCs w:val="21"/>
                <w:highlight w:val="none"/>
              </w:rPr>
            </w:pPr>
          </w:p>
        </w:tc>
        <w:tc>
          <w:tcPr>
            <w:tcW w:w="1317" w:type="dxa"/>
            <w:vAlign w:val="center"/>
          </w:tcPr>
          <w:p w14:paraId="487CA884">
            <w:pPr>
              <w:spacing w:line="360" w:lineRule="auto"/>
              <w:jc w:val="center"/>
              <w:rPr>
                <w:rFonts w:hint="eastAsia" w:ascii="宋体" w:hAnsi="宋体"/>
                <w:bCs/>
                <w:color w:val="auto"/>
                <w:szCs w:val="21"/>
                <w:highlight w:val="none"/>
              </w:rPr>
            </w:pPr>
          </w:p>
        </w:tc>
        <w:tc>
          <w:tcPr>
            <w:tcW w:w="1062" w:type="dxa"/>
            <w:vAlign w:val="center"/>
          </w:tcPr>
          <w:p w14:paraId="7159AC30">
            <w:pPr>
              <w:spacing w:line="360" w:lineRule="auto"/>
              <w:jc w:val="center"/>
              <w:rPr>
                <w:rFonts w:hint="eastAsia" w:ascii="宋体" w:hAnsi="宋体"/>
                <w:bCs/>
                <w:color w:val="auto"/>
                <w:szCs w:val="21"/>
                <w:highlight w:val="none"/>
              </w:rPr>
            </w:pPr>
          </w:p>
        </w:tc>
        <w:tc>
          <w:tcPr>
            <w:tcW w:w="1305" w:type="dxa"/>
            <w:vAlign w:val="center"/>
          </w:tcPr>
          <w:p w14:paraId="182F9E48">
            <w:pPr>
              <w:spacing w:line="360" w:lineRule="auto"/>
              <w:jc w:val="center"/>
              <w:rPr>
                <w:rFonts w:hint="eastAsia" w:ascii="宋体" w:hAnsi="宋体"/>
                <w:bCs/>
                <w:color w:val="auto"/>
                <w:szCs w:val="21"/>
                <w:highlight w:val="none"/>
              </w:rPr>
            </w:pPr>
          </w:p>
        </w:tc>
      </w:tr>
      <w:tr w14:paraId="43B6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7974EACB">
            <w:pPr>
              <w:spacing w:line="360" w:lineRule="auto"/>
              <w:jc w:val="center"/>
              <w:rPr>
                <w:rFonts w:hint="eastAsia" w:ascii="宋体" w:hAnsi="宋体"/>
                <w:bCs/>
                <w:color w:val="auto"/>
                <w:szCs w:val="21"/>
                <w:highlight w:val="none"/>
              </w:rPr>
            </w:pPr>
          </w:p>
        </w:tc>
        <w:tc>
          <w:tcPr>
            <w:tcW w:w="3452" w:type="dxa"/>
            <w:vAlign w:val="center"/>
          </w:tcPr>
          <w:p w14:paraId="15605A2C">
            <w:pPr>
              <w:spacing w:line="360" w:lineRule="auto"/>
              <w:jc w:val="center"/>
              <w:rPr>
                <w:rFonts w:hint="eastAsia" w:ascii="宋体" w:hAnsi="宋体"/>
                <w:bCs/>
                <w:color w:val="auto"/>
                <w:szCs w:val="21"/>
                <w:highlight w:val="none"/>
              </w:rPr>
            </w:pPr>
          </w:p>
        </w:tc>
        <w:tc>
          <w:tcPr>
            <w:tcW w:w="1593" w:type="dxa"/>
            <w:vAlign w:val="center"/>
          </w:tcPr>
          <w:p w14:paraId="2C6FF72B">
            <w:pPr>
              <w:spacing w:line="360" w:lineRule="auto"/>
              <w:jc w:val="center"/>
              <w:rPr>
                <w:rFonts w:hint="eastAsia" w:ascii="宋体" w:hAnsi="宋体"/>
                <w:bCs/>
                <w:color w:val="auto"/>
                <w:szCs w:val="21"/>
                <w:highlight w:val="none"/>
              </w:rPr>
            </w:pPr>
          </w:p>
        </w:tc>
        <w:tc>
          <w:tcPr>
            <w:tcW w:w="1317" w:type="dxa"/>
            <w:vAlign w:val="center"/>
          </w:tcPr>
          <w:p w14:paraId="5E69F467">
            <w:pPr>
              <w:spacing w:line="360" w:lineRule="auto"/>
              <w:jc w:val="center"/>
              <w:rPr>
                <w:rFonts w:hint="eastAsia" w:ascii="宋体" w:hAnsi="宋体"/>
                <w:bCs/>
                <w:color w:val="auto"/>
                <w:szCs w:val="21"/>
                <w:highlight w:val="none"/>
              </w:rPr>
            </w:pPr>
          </w:p>
        </w:tc>
        <w:tc>
          <w:tcPr>
            <w:tcW w:w="1062" w:type="dxa"/>
            <w:vAlign w:val="center"/>
          </w:tcPr>
          <w:p w14:paraId="21D1EDB5">
            <w:pPr>
              <w:spacing w:line="360" w:lineRule="auto"/>
              <w:jc w:val="center"/>
              <w:rPr>
                <w:rFonts w:hint="eastAsia" w:ascii="宋体" w:hAnsi="宋体"/>
                <w:bCs/>
                <w:color w:val="auto"/>
                <w:szCs w:val="21"/>
                <w:highlight w:val="none"/>
              </w:rPr>
            </w:pPr>
          </w:p>
        </w:tc>
        <w:tc>
          <w:tcPr>
            <w:tcW w:w="1305" w:type="dxa"/>
            <w:vAlign w:val="center"/>
          </w:tcPr>
          <w:p w14:paraId="0D990DE0">
            <w:pPr>
              <w:spacing w:line="360" w:lineRule="auto"/>
              <w:jc w:val="center"/>
              <w:rPr>
                <w:rFonts w:hint="eastAsia" w:ascii="宋体" w:hAnsi="宋体"/>
                <w:bCs/>
                <w:color w:val="auto"/>
                <w:szCs w:val="21"/>
                <w:highlight w:val="none"/>
              </w:rPr>
            </w:pPr>
          </w:p>
        </w:tc>
      </w:tr>
      <w:tr w14:paraId="02FB2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39D24F1B">
            <w:pPr>
              <w:spacing w:line="360" w:lineRule="auto"/>
              <w:jc w:val="center"/>
              <w:rPr>
                <w:rFonts w:hint="eastAsia" w:ascii="宋体" w:hAnsi="宋体"/>
                <w:bCs/>
                <w:color w:val="auto"/>
                <w:szCs w:val="21"/>
                <w:highlight w:val="none"/>
              </w:rPr>
            </w:pPr>
          </w:p>
        </w:tc>
        <w:tc>
          <w:tcPr>
            <w:tcW w:w="3452" w:type="dxa"/>
            <w:vAlign w:val="center"/>
          </w:tcPr>
          <w:p w14:paraId="54319BCB">
            <w:pPr>
              <w:spacing w:line="360" w:lineRule="auto"/>
              <w:jc w:val="center"/>
              <w:rPr>
                <w:rFonts w:hint="eastAsia" w:ascii="宋体" w:hAnsi="宋体"/>
                <w:bCs/>
                <w:color w:val="auto"/>
                <w:szCs w:val="21"/>
                <w:highlight w:val="none"/>
              </w:rPr>
            </w:pPr>
          </w:p>
        </w:tc>
        <w:tc>
          <w:tcPr>
            <w:tcW w:w="1593" w:type="dxa"/>
            <w:vAlign w:val="center"/>
          </w:tcPr>
          <w:p w14:paraId="0E32A48C">
            <w:pPr>
              <w:spacing w:line="360" w:lineRule="auto"/>
              <w:jc w:val="center"/>
              <w:rPr>
                <w:rFonts w:hint="eastAsia" w:ascii="宋体" w:hAnsi="宋体"/>
                <w:bCs/>
                <w:color w:val="auto"/>
                <w:szCs w:val="21"/>
                <w:highlight w:val="none"/>
              </w:rPr>
            </w:pPr>
          </w:p>
        </w:tc>
        <w:tc>
          <w:tcPr>
            <w:tcW w:w="1317" w:type="dxa"/>
            <w:vAlign w:val="center"/>
          </w:tcPr>
          <w:p w14:paraId="47DF549E">
            <w:pPr>
              <w:spacing w:line="360" w:lineRule="auto"/>
              <w:jc w:val="center"/>
              <w:rPr>
                <w:rFonts w:hint="eastAsia" w:ascii="宋体" w:hAnsi="宋体"/>
                <w:bCs/>
                <w:color w:val="auto"/>
                <w:szCs w:val="21"/>
                <w:highlight w:val="none"/>
              </w:rPr>
            </w:pPr>
          </w:p>
        </w:tc>
        <w:tc>
          <w:tcPr>
            <w:tcW w:w="1062" w:type="dxa"/>
            <w:vAlign w:val="center"/>
          </w:tcPr>
          <w:p w14:paraId="5DBE0F5B">
            <w:pPr>
              <w:spacing w:line="360" w:lineRule="auto"/>
              <w:jc w:val="center"/>
              <w:rPr>
                <w:rFonts w:hint="eastAsia" w:ascii="宋体" w:hAnsi="宋体"/>
                <w:bCs/>
                <w:color w:val="auto"/>
                <w:szCs w:val="21"/>
                <w:highlight w:val="none"/>
              </w:rPr>
            </w:pPr>
          </w:p>
        </w:tc>
        <w:tc>
          <w:tcPr>
            <w:tcW w:w="1305" w:type="dxa"/>
            <w:vAlign w:val="center"/>
          </w:tcPr>
          <w:p w14:paraId="5F600DB8">
            <w:pPr>
              <w:spacing w:line="360" w:lineRule="auto"/>
              <w:jc w:val="center"/>
              <w:rPr>
                <w:rFonts w:hint="eastAsia" w:ascii="宋体" w:hAnsi="宋体"/>
                <w:bCs/>
                <w:color w:val="auto"/>
                <w:szCs w:val="21"/>
                <w:highlight w:val="none"/>
              </w:rPr>
            </w:pPr>
          </w:p>
        </w:tc>
      </w:tr>
      <w:tr w14:paraId="76B11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673" w:type="dxa"/>
            <w:vAlign w:val="center"/>
          </w:tcPr>
          <w:p w14:paraId="785756F1">
            <w:pPr>
              <w:spacing w:line="360" w:lineRule="auto"/>
              <w:jc w:val="center"/>
              <w:rPr>
                <w:rFonts w:hint="eastAsia" w:ascii="宋体" w:hAnsi="宋体"/>
                <w:bCs/>
                <w:color w:val="auto"/>
                <w:szCs w:val="21"/>
                <w:highlight w:val="none"/>
              </w:rPr>
            </w:pPr>
          </w:p>
        </w:tc>
        <w:tc>
          <w:tcPr>
            <w:tcW w:w="3452" w:type="dxa"/>
            <w:vAlign w:val="center"/>
          </w:tcPr>
          <w:p w14:paraId="49AF4BCC">
            <w:pPr>
              <w:spacing w:line="360" w:lineRule="auto"/>
              <w:jc w:val="center"/>
              <w:rPr>
                <w:rFonts w:hint="eastAsia" w:ascii="宋体" w:hAnsi="宋体"/>
                <w:bCs/>
                <w:color w:val="auto"/>
                <w:szCs w:val="21"/>
                <w:highlight w:val="none"/>
              </w:rPr>
            </w:pPr>
          </w:p>
        </w:tc>
        <w:tc>
          <w:tcPr>
            <w:tcW w:w="1593" w:type="dxa"/>
            <w:vAlign w:val="center"/>
          </w:tcPr>
          <w:p w14:paraId="64FB9F68">
            <w:pPr>
              <w:spacing w:line="360" w:lineRule="auto"/>
              <w:jc w:val="center"/>
              <w:rPr>
                <w:rFonts w:hint="eastAsia" w:ascii="宋体" w:hAnsi="宋体"/>
                <w:bCs/>
                <w:color w:val="auto"/>
                <w:szCs w:val="21"/>
                <w:highlight w:val="none"/>
              </w:rPr>
            </w:pPr>
          </w:p>
        </w:tc>
        <w:tc>
          <w:tcPr>
            <w:tcW w:w="1317" w:type="dxa"/>
            <w:vAlign w:val="center"/>
          </w:tcPr>
          <w:p w14:paraId="241F51DE">
            <w:pPr>
              <w:spacing w:line="360" w:lineRule="auto"/>
              <w:jc w:val="center"/>
              <w:rPr>
                <w:rFonts w:hint="eastAsia" w:ascii="宋体" w:hAnsi="宋体"/>
                <w:bCs/>
                <w:color w:val="auto"/>
                <w:szCs w:val="21"/>
                <w:highlight w:val="none"/>
              </w:rPr>
            </w:pPr>
          </w:p>
        </w:tc>
        <w:tc>
          <w:tcPr>
            <w:tcW w:w="1062" w:type="dxa"/>
            <w:vAlign w:val="center"/>
          </w:tcPr>
          <w:p w14:paraId="60947981">
            <w:pPr>
              <w:spacing w:line="360" w:lineRule="auto"/>
              <w:jc w:val="center"/>
              <w:rPr>
                <w:rFonts w:hint="eastAsia" w:ascii="宋体" w:hAnsi="宋体"/>
                <w:bCs/>
                <w:color w:val="auto"/>
                <w:szCs w:val="21"/>
                <w:highlight w:val="none"/>
              </w:rPr>
            </w:pPr>
          </w:p>
        </w:tc>
        <w:tc>
          <w:tcPr>
            <w:tcW w:w="1305" w:type="dxa"/>
            <w:vAlign w:val="center"/>
          </w:tcPr>
          <w:p w14:paraId="3B062B1F">
            <w:pPr>
              <w:spacing w:line="360" w:lineRule="auto"/>
              <w:jc w:val="center"/>
              <w:rPr>
                <w:rFonts w:hint="eastAsia" w:ascii="宋体" w:hAnsi="宋体"/>
                <w:bCs/>
                <w:color w:val="auto"/>
                <w:szCs w:val="21"/>
                <w:highlight w:val="none"/>
              </w:rPr>
            </w:pPr>
          </w:p>
        </w:tc>
      </w:tr>
      <w:tr w14:paraId="5458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673" w:type="dxa"/>
            <w:vAlign w:val="center"/>
          </w:tcPr>
          <w:p w14:paraId="02896C62">
            <w:pPr>
              <w:spacing w:line="360" w:lineRule="auto"/>
              <w:jc w:val="center"/>
              <w:rPr>
                <w:rFonts w:hint="eastAsia" w:ascii="宋体" w:hAnsi="宋体"/>
                <w:bCs/>
                <w:color w:val="auto"/>
                <w:szCs w:val="21"/>
                <w:highlight w:val="none"/>
              </w:rPr>
            </w:pPr>
          </w:p>
        </w:tc>
        <w:tc>
          <w:tcPr>
            <w:tcW w:w="3452" w:type="dxa"/>
            <w:vAlign w:val="center"/>
          </w:tcPr>
          <w:p w14:paraId="6D0F9230">
            <w:pPr>
              <w:spacing w:line="360" w:lineRule="auto"/>
              <w:jc w:val="center"/>
              <w:rPr>
                <w:rFonts w:hint="eastAsia" w:ascii="宋体" w:hAnsi="宋体"/>
                <w:bCs/>
                <w:color w:val="auto"/>
                <w:szCs w:val="21"/>
                <w:highlight w:val="none"/>
              </w:rPr>
            </w:pPr>
          </w:p>
        </w:tc>
        <w:tc>
          <w:tcPr>
            <w:tcW w:w="1593" w:type="dxa"/>
            <w:vAlign w:val="center"/>
          </w:tcPr>
          <w:p w14:paraId="09682A30">
            <w:pPr>
              <w:spacing w:line="360" w:lineRule="auto"/>
              <w:jc w:val="center"/>
              <w:rPr>
                <w:rFonts w:hint="eastAsia" w:ascii="宋体" w:hAnsi="宋体"/>
                <w:bCs/>
                <w:color w:val="auto"/>
                <w:szCs w:val="21"/>
                <w:highlight w:val="none"/>
              </w:rPr>
            </w:pPr>
          </w:p>
        </w:tc>
        <w:tc>
          <w:tcPr>
            <w:tcW w:w="1317" w:type="dxa"/>
            <w:vAlign w:val="center"/>
          </w:tcPr>
          <w:p w14:paraId="7C272975">
            <w:pPr>
              <w:spacing w:line="360" w:lineRule="auto"/>
              <w:jc w:val="center"/>
              <w:rPr>
                <w:rFonts w:hint="eastAsia" w:ascii="宋体" w:hAnsi="宋体"/>
                <w:bCs/>
                <w:color w:val="auto"/>
                <w:szCs w:val="21"/>
                <w:highlight w:val="none"/>
              </w:rPr>
            </w:pPr>
          </w:p>
        </w:tc>
        <w:tc>
          <w:tcPr>
            <w:tcW w:w="1062" w:type="dxa"/>
            <w:vAlign w:val="center"/>
          </w:tcPr>
          <w:p w14:paraId="056E6C49">
            <w:pPr>
              <w:spacing w:line="360" w:lineRule="auto"/>
              <w:jc w:val="center"/>
              <w:rPr>
                <w:rFonts w:hint="eastAsia" w:ascii="宋体" w:hAnsi="宋体"/>
                <w:bCs/>
                <w:color w:val="auto"/>
                <w:szCs w:val="21"/>
                <w:highlight w:val="none"/>
              </w:rPr>
            </w:pPr>
          </w:p>
        </w:tc>
        <w:tc>
          <w:tcPr>
            <w:tcW w:w="1305" w:type="dxa"/>
            <w:vAlign w:val="center"/>
          </w:tcPr>
          <w:p w14:paraId="783CECE1">
            <w:pPr>
              <w:spacing w:line="360" w:lineRule="auto"/>
              <w:jc w:val="center"/>
              <w:rPr>
                <w:rFonts w:hint="eastAsia" w:ascii="宋体" w:hAnsi="宋体"/>
                <w:bCs/>
                <w:color w:val="auto"/>
                <w:szCs w:val="21"/>
                <w:highlight w:val="none"/>
              </w:rPr>
            </w:pPr>
          </w:p>
        </w:tc>
      </w:tr>
    </w:tbl>
    <w:p w14:paraId="608FD46E">
      <w:pPr>
        <w:rPr>
          <w:b/>
          <w:bCs/>
          <w:color w:val="auto"/>
          <w:szCs w:val="21"/>
          <w:highlight w:val="none"/>
        </w:rPr>
      </w:pPr>
      <w:r>
        <w:rPr>
          <w:rFonts w:hint="eastAsia"/>
          <w:b/>
          <w:bCs/>
          <w:color w:val="auto"/>
          <w:szCs w:val="21"/>
          <w:highlight w:val="none"/>
        </w:rPr>
        <w:t>注：</w:t>
      </w:r>
      <w:r>
        <w:rPr>
          <w:rFonts w:hint="eastAsia" w:ascii="宋体" w:hAnsi="宋体"/>
          <w:b/>
          <w:color w:val="auto"/>
          <w:kern w:val="0"/>
          <w:szCs w:val="21"/>
          <w:highlight w:val="none"/>
          <w:lang w:val="zh-CN" w:bidi="zh-CN"/>
        </w:rPr>
        <w:t>须提供能力验证报告或证明结果满意的证书复印件，获得不满意结果的或未提供有效证明文件的不得分</w:t>
      </w:r>
      <w:r>
        <w:rPr>
          <w:rFonts w:hint="eastAsia"/>
          <w:b/>
          <w:bCs/>
          <w:color w:val="auto"/>
          <w:szCs w:val="21"/>
          <w:highlight w:val="none"/>
        </w:rPr>
        <w:t>。</w:t>
      </w:r>
    </w:p>
    <w:p w14:paraId="08D57634">
      <w:pPr>
        <w:pStyle w:val="15"/>
        <w:ind w:left="1260"/>
        <w:rPr>
          <w:color w:val="auto"/>
          <w:highlight w:val="none"/>
        </w:rPr>
      </w:pPr>
    </w:p>
    <w:p w14:paraId="00244E22">
      <w:pPr>
        <w:rPr>
          <w:color w:val="auto"/>
          <w:highlight w:val="none"/>
        </w:rPr>
      </w:pPr>
    </w:p>
    <w:p w14:paraId="0BD62C65">
      <w:pPr>
        <w:pStyle w:val="15"/>
        <w:ind w:left="1260"/>
        <w:rPr>
          <w:color w:val="auto"/>
          <w:highlight w:val="none"/>
        </w:rPr>
      </w:pPr>
    </w:p>
    <w:p w14:paraId="43DFD186">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7C75CA48">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DDE3832">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w:t>
      </w:r>
    </w:p>
    <w:p w14:paraId="611EC2BC">
      <w:pPr>
        <w:pStyle w:val="15"/>
        <w:ind w:left="1260"/>
        <w:jc w:val="center"/>
        <w:rPr>
          <w:color w:val="auto"/>
          <w:highlight w:val="none"/>
        </w:rPr>
      </w:pPr>
      <w:r>
        <w:rPr>
          <w:rFonts w:hint="eastAsia" w:ascii="Microsoft New Tai Lue" w:hAnsi="Microsoft New Tai Lue" w:cs="Microsoft New Tai Lue"/>
          <w:b w:val="0"/>
          <w:color w:val="auto"/>
          <w:sz w:val="21"/>
          <w:szCs w:val="21"/>
          <w:highlight w:val="none"/>
          <w:lang w:val="en-US" w:eastAsia="zh-CN"/>
        </w:rPr>
        <w:t xml:space="preserve">    </w:t>
      </w:r>
      <w:r>
        <w:rPr>
          <w:rFonts w:ascii="Microsoft New Tai Lue" w:hAnsi="Microsoft New Tai Lue" w:cs="Microsoft New Tai Lue"/>
          <w:b w:val="0"/>
          <w:color w:val="auto"/>
          <w:sz w:val="21"/>
          <w:szCs w:val="21"/>
          <w:highlight w:val="none"/>
        </w:rPr>
        <w:t>日期：______年____月____日</w:t>
      </w:r>
    </w:p>
    <w:p w14:paraId="742187B3">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br w:type="page"/>
      </w:r>
    </w:p>
    <w:p w14:paraId="5D026E70">
      <w:pPr>
        <w:pStyle w:val="79"/>
        <w:ind w:right="420" w:firstLine="3780" w:firstLineChars="1800"/>
        <w:jc w:val="left"/>
        <w:rPr>
          <w:rFonts w:ascii="Microsoft New Tai Lue" w:hAnsi="Microsoft New Tai Lue" w:cs="Microsoft New Tai Lue"/>
          <w:color w:val="auto"/>
          <w:sz w:val="21"/>
          <w:szCs w:val="21"/>
          <w:highlight w:val="none"/>
        </w:rPr>
        <w:sectPr>
          <w:pgSz w:w="11911" w:h="16838"/>
          <w:pgMar w:top="1440" w:right="1803" w:bottom="1440" w:left="1803" w:header="720" w:footer="720" w:gutter="0"/>
          <w:pgNumType w:fmt="decimal"/>
          <w:cols w:space="0" w:num="1"/>
          <w:rtlGutter w:val="0"/>
          <w:docGrid w:linePitch="317" w:charSpace="0"/>
        </w:sectPr>
      </w:pPr>
    </w:p>
    <w:p w14:paraId="1850CE7C">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（7）复检能力</w:t>
      </w:r>
    </w:p>
    <w:tbl>
      <w:tblPr>
        <w:tblStyle w:val="3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954"/>
        <w:gridCol w:w="2879"/>
        <w:gridCol w:w="1715"/>
        <w:gridCol w:w="793"/>
      </w:tblGrid>
      <w:tr w14:paraId="4403F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585" w:type="dxa"/>
            <w:vAlign w:val="center"/>
          </w:tcPr>
          <w:p w14:paraId="0F8A1C22">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54" w:type="dxa"/>
            <w:vAlign w:val="center"/>
          </w:tcPr>
          <w:p w14:paraId="4065FFD8">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879" w:type="dxa"/>
            <w:vAlign w:val="center"/>
          </w:tcPr>
          <w:p w14:paraId="09E047F9">
            <w:pPr>
              <w:jc w:val="center"/>
              <w:rPr>
                <w:rFonts w:hint="eastAsia" w:ascii="宋体" w:hAnsi="宋体" w:cs="宋体"/>
                <w:color w:val="auto"/>
                <w:szCs w:val="21"/>
                <w:highlight w:val="none"/>
              </w:rPr>
            </w:pPr>
            <w:r>
              <w:rPr>
                <w:rFonts w:hint="eastAsia" w:ascii="宋体" w:hAnsi="宋体" w:cs="宋体"/>
                <w:color w:val="auto"/>
                <w:szCs w:val="21"/>
                <w:highlight w:val="none"/>
              </w:rPr>
              <w:t>内容</w:t>
            </w:r>
          </w:p>
        </w:tc>
        <w:tc>
          <w:tcPr>
            <w:tcW w:w="1715" w:type="dxa"/>
            <w:vAlign w:val="center"/>
          </w:tcPr>
          <w:p w14:paraId="5075E8A1">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93" w:type="dxa"/>
            <w:vAlign w:val="center"/>
          </w:tcPr>
          <w:p w14:paraId="566A3870">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92FE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32CA0B63">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2954" w:type="dxa"/>
            <w:vAlign w:val="center"/>
          </w:tcPr>
          <w:p w14:paraId="0C23B21B">
            <w:pPr>
              <w:jc w:val="left"/>
              <w:rPr>
                <w:rFonts w:hint="eastAsia" w:ascii="宋体" w:hAnsi="宋体" w:cs="宋体"/>
                <w:color w:val="auto"/>
                <w:szCs w:val="21"/>
                <w:highlight w:val="none"/>
              </w:rPr>
            </w:pPr>
            <w:r>
              <w:rPr>
                <w:rFonts w:hint="eastAsia" w:ascii="宋体" w:hAnsi="宋体" w:cs="宋体"/>
                <w:color w:val="auto"/>
                <w:szCs w:val="21"/>
                <w:highlight w:val="none"/>
              </w:rPr>
              <w:t>供应商是否进入市场监管总局、国家卫生健康委和农业农村部公布的食品复检机构名录</w:t>
            </w:r>
          </w:p>
        </w:tc>
        <w:tc>
          <w:tcPr>
            <w:tcW w:w="2879" w:type="dxa"/>
            <w:vAlign w:val="center"/>
          </w:tcPr>
          <w:p w14:paraId="507460D1">
            <w:pPr>
              <w:jc w:val="center"/>
              <w:rPr>
                <w:rFonts w:hint="eastAsia" w:ascii="宋体" w:hAnsi="宋体" w:cs="宋体"/>
                <w:color w:val="auto"/>
                <w:szCs w:val="21"/>
                <w:highlight w:val="none"/>
              </w:rPr>
            </w:pPr>
            <w:r>
              <w:rPr>
                <w:rFonts w:hint="eastAsia" w:ascii="宋体" w:hAnsi="宋体" w:cs="宋体"/>
                <w:color w:val="auto"/>
                <w:szCs w:val="21"/>
                <w:highlight w:val="none"/>
              </w:rPr>
              <w:t>是/</w:t>
            </w:r>
            <w:r>
              <w:rPr>
                <w:rFonts w:ascii="宋体" w:hAnsi="宋体" w:cs="宋体"/>
                <w:color w:val="auto"/>
                <w:szCs w:val="21"/>
                <w:highlight w:val="none"/>
              </w:rPr>
              <w:t>否</w:t>
            </w:r>
          </w:p>
        </w:tc>
        <w:tc>
          <w:tcPr>
            <w:tcW w:w="1715" w:type="dxa"/>
            <w:vAlign w:val="center"/>
          </w:tcPr>
          <w:p w14:paraId="1BB315CF">
            <w:pPr>
              <w:jc w:val="center"/>
              <w:rPr>
                <w:rFonts w:hint="eastAsia" w:ascii="宋体" w:hAnsi="宋体" w:cs="宋体"/>
                <w:color w:val="auto"/>
                <w:szCs w:val="21"/>
                <w:highlight w:val="none"/>
              </w:rPr>
            </w:pPr>
          </w:p>
        </w:tc>
        <w:tc>
          <w:tcPr>
            <w:tcW w:w="793" w:type="dxa"/>
            <w:vAlign w:val="center"/>
          </w:tcPr>
          <w:p w14:paraId="40585E8C">
            <w:pPr>
              <w:jc w:val="center"/>
              <w:rPr>
                <w:rFonts w:hint="eastAsia" w:ascii="宋体" w:hAnsi="宋体" w:cs="宋体"/>
                <w:color w:val="auto"/>
                <w:szCs w:val="21"/>
                <w:highlight w:val="none"/>
              </w:rPr>
            </w:pPr>
          </w:p>
        </w:tc>
      </w:tr>
      <w:tr w14:paraId="7F56D3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5E5B9199">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2</w:t>
            </w:r>
          </w:p>
        </w:tc>
        <w:tc>
          <w:tcPr>
            <w:tcW w:w="2954" w:type="dxa"/>
            <w:vAlign w:val="center"/>
          </w:tcPr>
          <w:p w14:paraId="79ED8128">
            <w:pPr>
              <w:jc w:val="left"/>
              <w:rPr>
                <w:rFonts w:hint="eastAsia" w:ascii="宋体" w:hAnsi="宋体" w:cs="宋体"/>
                <w:color w:val="auto"/>
                <w:szCs w:val="21"/>
                <w:highlight w:val="none"/>
              </w:rPr>
            </w:pPr>
            <w:r>
              <w:rPr>
                <w:rFonts w:hint="eastAsia" w:ascii="宋体" w:hAnsi="宋体" w:cs="宋体"/>
                <w:color w:val="auto"/>
                <w:szCs w:val="21"/>
                <w:highlight w:val="none"/>
              </w:rPr>
              <w:t>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年1月1日以来，累计开展复检的情况（以出具复检报告时间为准）</w:t>
            </w:r>
          </w:p>
        </w:tc>
        <w:tc>
          <w:tcPr>
            <w:tcW w:w="2879" w:type="dxa"/>
            <w:vAlign w:val="center"/>
          </w:tcPr>
          <w:p w14:paraId="2780CEEC">
            <w:pPr>
              <w:jc w:val="center"/>
              <w:rPr>
                <w:rFonts w:hint="eastAsia" w:ascii="宋体" w:hAnsi="宋体" w:cs="宋体"/>
                <w:color w:val="auto"/>
                <w:szCs w:val="21"/>
                <w:highlight w:val="none"/>
                <w:u w:val="single"/>
              </w:rPr>
            </w:pPr>
            <w:r>
              <w:rPr>
                <w:rFonts w:hint="eastAsia" w:ascii="宋体" w:hAnsi="宋体" w:cs="宋体"/>
                <w:color w:val="auto"/>
                <w:szCs w:val="21"/>
                <w:highlight w:val="none"/>
              </w:rPr>
              <w:t>食品复检报告量：</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份</w:t>
            </w:r>
          </w:p>
        </w:tc>
        <w:tc>
          <w:tcPr>
            <w:tcW w:w="1715" w:type="dxa"/>
            <w:vAlign w:val="center"/>
          </w:tcPr>
          <w:p w14:paraId="138F0316">
            <w:pPr>
              <w:jc w:val="center"/>
              <w:rPr>
                <w:rFonts w:hint="eastAsia" w:ascii="宋体" w:hAnsi="宋体" w:cs="宋体"/>
                <w:color w:val="auto"/>
                <w:szCs w:val="21"/>
                <w:highlight w:val="none"/>
              </w:rPr>
            </w:pPr>
          </w:p>
        </w:tc>
        <w:tc>
          <w:tcPr>
            <w:tcW w:w="793" w:type="dxa"/>
            <w:vAlign w:val="center"/>
          </w:tcPr>
          <w:p w14:paraId="7076242D">
            <w:pPr>
              <w:jc w:val="center"/>
              <w:rPr>
                <w:rFonts w:hint="eastAsia" w:ascii="宋体" w:hAnsi="宋体" w:cs="宋体"/>
                <w:color w:val="auto"/>
                <w:szCs w:val="21"/>
                <w:highlight w:val="none"/>
              </w:rPr>
            </w:pPr>
          </w:p>
        </w:tc>
      </w:tr>
    </w:tbl>
    <w:p w14:paraId="12917723">
      <w:pPr>
        <w:rPr>
          <w:b/>
          <w:bCs/>
          <w:color w:val="auto"/>
          <w:szCs w:val="21"/>
          <w:highlight w:val="none"/>
        </w:rPr>
      </w:pPr>
      <w:r>
        <w:rPr>
          <w:rFonts w:hint="eastAsia"/>
          <w:b/>
          <w:bCs/>
          <w:color w:val="auto"/>
          <w:szCs w:val="21"/>
          <w:highlight w:val="none"/>
        </w:rPr>
        <w:t>注：1.须提供复检机构证明材料或其他有效证明材料；</w:t>
      </w:r>
    </w:p>
    <w:p w14:paraId="60293D08">
      <w:pPr>
        <w:numPr>
          <w:ilvl w:val="-1"/>
          <w:numId w:val="0"/>
        </w:numPr>
        <w:rPr>
          <w:b/>
          <w:bCs/>
          <w:color w:val="auto"/>
          <w:szCs w:val="21"/>
          <w:highlight w:val="none"/>
          <w:lang w:val="zh-CN"/>
        </w:rPr>
      </w:pPr>
      <w:r>
        <w:rPr>
          <w:rFonts w:hint="eastAsia"/>
          <w:b/>
          <w:bCs/>
          <w:color w:val="auto"/>
          <w:szCs w:val="21"/>
          <w:highlight w:val="none"/>
          <w:lang w:val="en-US" w:eastAsia="zh-CN"/>
        </w:rPr>
        <w:t>2.</w:t>
      </w:r>
      <w:r>
        <w:rPr>
          <w:rFonts w:hint="eastAsia"/>
          <w:b/>
          <w:bCs/>
          <w:color w:val="auto"/>
          <w:szCs w:val="21"/>
          <w:highlight w:val="none"/>
          <w:lang w:val="zh-CN"/>
        </w:rPr>
        <w:t>须提供复检报告复印件或其</w:t>
      </w:r>
      <w:r>
        <w:rPr>
          <w:rFonts w:hint="eastAsia"/>
          <w:b/>
          <w:bCs/>
          <w:color w:val="auto"/>
          <w:szCs w:val="21"/>
          <w:highlight w:val="none"/>
        </w:rPr>
        <w:t>他</w:t>
      </w:r>
      <w:r>
        <w:rPr>
          <w:rFonts w:hint="eastAsia"/>
          <w:b/>
          <w:bCs/>
          <w:color w:val="auto"/>
          <w:szCs w:val="21"/>
          <w:highlight w:val="none"/>
          <w:lang w:val="zh-CN"/>
        </w:rPr>
        <w:t>有效证明材料。</w:t>
      </w:r>
    </w:p>
    <w:p w14:paraId="5BF1B0BA">
      <w:pPr>
        <w:pStyle w:val="15"/>
        <w:ind w:left="0" w:leftChars="0"/>
        <w:rPr>
          <w:color w:val="auto"/>
          <w:highlight w:val="none"/>
        </w:rPr>
      </w:pPr>
    </w:p>
    <w:p w14:paraId="0E1F2E0C">
      <w:pPr>
        <w:rPr>
          <w:color w:val="auto"/>
          <w:highlight w:val="none"/>
        </w:rPr>
      </w:pPr>
    </w:p>
    <w:p w14:paraId="0CC32813">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3CA2C2A5">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7959B5A">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或其授权代表（签字或盖章）：________________</w:t>
      </w:r>
    </w:p>
    <w:p w14:paraId="6D9F32B9">
      <w:pPr>
        <w:ind w:firstLine="3780" w:firstLineChars="1800"/>
        <w:rPr>
          <w:color w:val="auto"/>
          <w:highlight w:val="none"/>
        </w:rPr>
        <w:sectPr>
          <w:pgSz w:w="11911" w:h="16838"/>
          <w:pgMar w:top="1440" w:right="1803" w:bottom="1440" w:left="1803" w:header="720" w:footer="720" w:gutter="0"/>
          <w:pgNumType w:fmt="decimal"/>
          <w:cols w:space="0" w:num="1"/>
          <w:rtlGutter w:val="0"/>
          <w:docGrid w:linePitch="317" w:charSpace="0"/>
        </w:sectPr>
      </w:pPr>
      <w:r>
        <w:rPr>
          <w:rFonts w:ascii="Microsoft New Tai Lue" w:hAnsi="Microsoft New Tai Lue" w:cs="Microsoft New Tai Lue"/>
          <w:color w:val="auto"/>
          <w:szCs w:val="21"/>
          <w:highlight w:val="none"/>
        </w:rPr>
        <w:t>日期：______年____月____日</w:t>
      </w:r>
    </w:p>
    <w:p w14:paraId="34195B6B">
      <w:pPr>
        <w:pStyle w:val="31"/>
        <w:rPr>
          <w:rFonts w:ascii="Microsoft New Tai Lue" w:hAnsi="Microsoft New Tai Lue" w:cs="Microsoft New Tai Lue"/>
          <w:color w:val="auto"/>
          <w:sz w:val="24"/>
          <w:szCs w:val="24"/>
          <w:highlight w:val="none"/>
        </w:rPr>
      </w:pPr>
      <w:r>
        <w:rPr>
          <w:rFonts w:hint="eastAsia" w:ascii="Microsoft New Tai Lue" w:hAnsi="Microsoft New Tai Lue" w:cs="Microsoft New Tai Lue"/>
          <w:color w:val="auto"/>
          <w:sz w:val="24"/>
          <w:szCs w:val="24"/>
          <w:highlight w:val="none"/>
        </w:rPr>
        <w:t>（8）合格备份样品再利用工作情况</w:t>
      </w:r>
    </w:p>
    <w:p w14:paraId="78223B2D">
      <w:pPr>
        <w:ind w:firstLine="420" w:firstLineChars="200"/>
        <w:rPr>
          <w:color w:val="auto"/>
          <w:highlight w:val="none"/>
        </w:rPr>
      </w:pPr>
      <w:r>
        <w:rPr>
          <w:rFonts w:hint="eastAsia"/>
          <w:color w:val="auto"/>
          <w:highlight w:val="none"/>
        </w:rPr>
        <w:t>自202</w:t>
      </w:r>
      <w:r>
        <w:rPr>
          <w:rFonts w:hint="eastAsia"/>
          <w:color w:val="auto"/>
          <w:highlight w:val="none"/>
          <w:lang w:val="en-US" w:eastAsia="zh-CN"/>
        </w:rPr>
        <w:t>5</w:t>
      </w:r>
      <w:r>
        <w:rPr>
          <w:rFonts w:hint="eastAsia"/>
          <w:color w:val="auto"/>
          <w:highlight w:val="none"/>
        </w:rPr>
        <w:t>年1月1日以来，</w:t>
      </w:r>
      <w:r>
        <w:rPr>
          <w:rFonts w:hint="eastAsia" w:ascii="Microsoft New Tai Lue" w:hAnsi="Microsoft New Tai Lue" w:cs="Microsoft New Tai Lue"/>
          <w:color w:val="auto"/>
          <w:sz w:val="21"/>
          <w:szCs w:val="21"/>
          <w:highlight w:val="none"/>
        </w:rPr>
        <w:t>供应商</w:t>
      </w:r>
      <w:r>
        <w:rPr>
          <w:rFonts w:hint="eastAsia"/>
          <w:color w:val="auto"/>
          <w:highlight w:val="none"/>
        </w:rPr>
        <w:t>：</w:t>
      </w:r>
    </w:p>
    <w:tbl>
      <w:tblPr>
        <w:tblStyle w:val="34"/>
        <w:tblW w:w="8948" w:type="dxa"/>
        <w:jc w:val="center"/>
        <w:tblLayout w:type="autofit"/>
        <w:tblCellMar>
          <w:top w:w="0" w:type="dxa"/>
          <w:left w:w="108" w:type="dxa"/>
          <w:bottom w:w="0" w:type="dxa"/>
          <w:right w:w="108" w:type="dxa"/>
        </w:tblCellMar>
      </w:tblPr>
      <w:tblGrid>
        <w:gridCol w:w="4673"/>
        <w:gridCol w:w="2410"/>
        <w:gridCol w:w="1865"/>
      </w:tblGrid>
      <w:tr w14:paraId="621F374D">
        <w:tblPrEx>
          <w:tblCellMar>
            <w:top w:w="0" w:type="dxa"/>
            <w:left w:w="108" w:type="dxa"/>
            <w:bottom w:w="0" w:type="dxa"/>
            <w:right w:w="108" w:type="dxa"/>
          </w:tblCellMar>
        </w:tblPrEx>
        <w:trPr>
          <w:jc w:val="center"/>
        </w:trPr>
        <w:tc>
          <w:tcPr>
            <w:tcW w:w="4673" w:type="dxa"/>
            <w:tcBorders>
              <w:top w:val="single" w:color="auto" w:sz="4" w:space="0"/>
              <w:left w:val="single" w:color="auto" w:sz="4" w:space="0"/>
              <w:bottom w:val="single" w:color="auto" w:sz="4" w:space="0"/>
              <w:right w:val="single" w:color="auto" w:sz="4" w:space="0"/>
            </w:tcBorders>
            <w:vAlign w:val="center"/>
          </w:tcPr>
          <w:p w14:paraId="40F30343">
            <w:pPr>
              <w:spacing w:line="380" w:lineRule="exact"/>
              <w:jc w:val="center"/>
              <w:rPr>
                <w:rFonts w:hint="eastAsia" w:ascii="宋体" w:hAnsi="宋体"/>
                <w:color w:val="auto"/>
                <w:szCs w:val="21"/>
                <w:highlight w:val="none"/>
              </w:rPr>
            </w:pPr>
            <w:r>
              <w:rPr>
                <w:rFonts w:hint="eastAsia" w:ascii="Microsoft New Tai Lue" w:hAnsi="Microsoft New Tai Lue" w:cs="Microsoft New Tai Lue"/>
                <w:color w:val="auto"/>
                <w:szCs w:val="21"/>
                <w:highlight w:val="none"/>
              </w:rPr>
              <w:t>合格备份样品再利用工作情况</w:t>
            </w:r>
          </w:p>
        </w:tc>
        <w:tc>
          <w:tcPr>
            <w:tcW w:w="2410" w:type="dxa"/>
            <w:tcBorders>
              <w:top w:val="single" w:color="auto" w:sz="4" w:space="0"/>
              <w:left w:val="single" w:color="auto" w:sz="4" w:space="0"/>
              <w:bottom w:val="single" w:color="auto" w:sz="4" w:space="0"/>
              <w:right w:val="single" w:color="auto" w:sz="4" w:space="0"/>
            </w:tcBorders>
            <w:vAlign w:val="center"/>
          </w:tcPr>
          <w:p w14:paraId="531B2F00">
            <w:pPr>
              <w:spacing w:line="380" w:lineRule="exact"/>
              <w:jc w:val="center"/>
              <w:rPr>
                <w:rFonts w:hint="eastAsia" w:ascii="宋体" w:hAnsi="宋体"/>
                <w:color w:val="auto"/>
                <w:highlight w:val="none"/>
              </w:rPr>
            </w:pPr>
            <w:r>
              <w:rPr>
                <w:rFonts w:hint="eastAsia" w:ascii="宋体" w:hAnsi="宋体"/>
                <w:color w:val="auto"/>
                <w:highlight w:val="none"/>
              </w:rPr>
              <w:t>证明材料名称</w:t>
            </w:r>
          </w:p>
        </w:tc>
        <w:tc>
          <w:tcPr>
            <w:tcW w:w="1865" w:type="dxa"/>
            <w:tcBorders>
              <w:top w:val="single" w:color="auto" w:sz="4" w:space="0"/>
              <w:left w:val="single" w:color="auto" w:sz="4" w:space="0"/>
              <w:bottom w:val="single" w:color="auto" w:sz="4" w:space="0"/>
              <w:right w:val="single" w:color="auto" w:sz="4" w:space="0"/>
            </w:tcBorders>
            <w:vAlign w:val="center"/>
          </w:tcPr>
          <w:p w14:paraId="09ABFC0E">
            <w:pPr>
              <w:spacing w:line="380" w:lineRule="exact"/>
              <w:jc w:val="center"/>
              <w:rPr>
                <w:rFonts w:hint="eastAsia" w:ascii="宋体" w:hAnsi="宋体"/>
                <w:color w:val="auto"/>
                <w:highlight w:val="none"/>
              </w:rPr>
            </w:pPr>
            <w:r>
              <w:rPr>
                <w:rFonts w:hint="eastAsia" w:ascii="宋体" w:hAnsi="宋体"/>
                <w:color w:val="auto"/>
                <w:highlight w:val="none"/>
              </w:rPr>
              <w:t>在投标文件中的页码位置</w:t>
            </w:r>
          </w:p>
        </w:tc>
      </w:tr>
      <w:tr w14:paraId="4D9A3851">
        <w:tblPrEx>
          <w:tblCellMar>
            <w:top w:w="0" w:type="dxa"/>
            <w:left w:w="108" w:type="dxa"/>
            <w:bottom w:w="0" w:type="dxa"/>
            <w:right w:w="108" w:type="dxa"/>
          </w:tblCellMar>
        </w:tblPrEx>
        <w:trPr>
          <w:trHeight w:val="638" w:hRule="atLeast"/>
          <w:jc w:val="center"/>
        </w:trPr>
        <w:tc>
          <w:tcPr>
            <w:tcW w:w="4673" w:type="dxa"/>
            <w:tcBorders>
              <w:top w:val="single" w:color="auto" w:sz="4" w:space="0"/>
              <w:left w:val="single" w:color="auto" w:sz="4" w:space="0"/>
              <w:bottom w:val="single" w:color="auto" w:sz="4" w:space="0"/>
              <w:right w:val="single" w:color="auto" w:sz="4" w:space="0"/>
            </w:tcBorders>
            <w:vAlign w:val="center"/>
          </w:tcPr>
          <w:p w14:paraId="1BE8F9EB">
            <w:pPr>
              <w:spacing w:line="380" w:lineRule="exact"/>
              <w:jc w:val="left"/>
              <w:rPr>
                <w:rFonts w:hint="eastAsia" w:ascii="宋体" w:hAnsi="宋体"/>
                <w:color w:val="auto"/>
                <w:highlight w:val="none"/>
              </w:rPr>
            </w:pPr>
            <w:r>
              <w:rPr>
                <w:rFonts w:hint="eastAsia" w:ascii="宋体" w:hAnsi="宋体"/>
                <w:color w:val="auto"/>
                <w:highlight w:val="none"/>
              </w:rPr>
              <w:t>已建立抽检合格备份样品再利用工作制度机制的</w:t>
            </w:r>
          </w:p>
        </w:tc>
        <w:tc>
          <w:tcPr>
            <w:tcW w:w="2410" w:type="dxa"/>
            <w:tcBorders>
              <w:top w:val="single" w:color="auto" w:sz="4" w:space="0"/>
              <w:left w:val="single" w:color="auto" w:sz="4" w:space="0"/>
              <w:bottom w:val="single" w:color="auto" w:sz="4" w:space="0"/>
              <w:right w:val="single" w:color="auto" w:sz="4" w:space="0"/>
            </w:tcBorders>
            <w:vAlign w:val="center"/>
          </w:tcPr>
          <w:p w14:paraId="5448AA8E">
            <w:pPr>
              <w:spacing w:line="380" w:lineRule="exact"/>
              <w:jc w:val="left"/>
              <w:rPr>
                <w:rFonts w:hint="eastAsia" w:ascii="宋体" w:hAnsi="宋体"/>
                <w:color w:val="auto"/>
                <w:highlight w:val="none"/>
              </w:rPr>
            </w:pPr>
          </w:p>
        </w:tc>
        <w:tc>
          <w:tcPr>
            <w:tcW w:w="1865" w:type="dxa"/>
            <w:tcBorders>
              <w:top w:val="single" w:color="auto" w:sz="4" w:space="0"/>
              <w:left w:val="single" w:color="auto" w:sz="4" w:space="0"/>
              <w:bottom w:val="single" w:color="auto" w:sz="4" w:space="0"/>
              <w:right w:val="single" w:color="auto" w:sz="4" w:space="0"/>
            </w:tcBorders>
            <w:vAlign w:val="center"/>
          </w:tcPr>
          <w:p w14:paraId="2FBF5E4E">
            <w:pPr>
              <w:spacing w:line="380" w:lineRule="exact"/>
              <w:jc w:val="left"/>
              <w:rPr>
                <w:rFonts w:hint="eastAsia" w:ascii="宋体" w:hAnsi="宋体"/>
                <w:color w:val="auto"/>
                <w:highlight w:val="none"/>
              </w:rPr>
            </w:pPr>
          </w:p>
        </w:tc>
      </w:tr>
      <w:tr w14:paraId="4C6CA36B">
        <w:tblPrEx>
          <w:tblCellMar>
            <w:top w:w="0" w:type="dxa"/>
            <w:left w:w="108" w:type="dxa"/>
            <w:bottom w:w="0" w:type="dxa"/>
            <w:right w:w="108" w:type="dxa"/>
          </w:tblCellMar>
        </w:tblPrEx>
        <w:trPr>
          <w:trHeight w:val="578" w:hRule="atLeast"/>
          <w:jc w:val="center"/>
        </w:trPr>
        <w:tc>
          <w:tcPr>
            <w:tcW w:w="4673" w:type="dxa"/>
            <w:tcBorders>
              <w:top w:val="single" w:color="auto" w:sz="4" w:space="0"/>
              <w:left w:val="single" w:color="auto" w:sz="4" w:space="0"/>
              <w:bottom w:val="single" w:color="auto" w:sz="4" w:space="0"/>
              <w:right w:val="single" w:color="auto" w:sz="4" w:space="0"/>
            </w:tcBorders>
            <w:vAlign w:val="center"/>
          </w:tcPr>
          <w:p w14:paraId="6B147812">
            <w:pPr>
              <w:spacing w:line="380" w:lineRule="exact"/>
              <w:jc w:val="left"/>
              <w:rPr>
                <w:rFonts w:hint="eastAsia" w:ascii="宋体" w:hAnsi="宋体"/>
                <w:color w:val="auto"/>
                <w:highlight w:val="none"/>
              </w:rPr>
            </w:pPr>
            <w:r>
              <w:rPr>
                <w:rFonts w:hint="eastAsia" w:ascii="宋体" w:hAnsi="宋体"/>
                <w:color w:val="auto"/>
                <w:kern w:val="0"/>
                <w:szCs w:val="21"/>
                <w:highlight w:val="none"/>
                <w:lang w:val="zh-CN"/>
              </w:rPr>
              <w:t>开展的合格备份样品再利用工作取得良好社会效果的（如媒体报道、受益方出具的感谢信等）</w:t>
            </w:r>
          </w:p>
        </w:tc>
        <w:tc>
          <w:tcPr>
            <w:tcW w:w="2410" w:type="dxa"/>
            <w:tcBorders>
              <w:top w:val="single" w:color="auto" w:sz="4" w:space="0"/>
              <w:left w:val="single" w:color="auto" w:sz="4" w:space="0"/>
              <w:bottom w:val="single" w:color="auto" w:sz="4" w:space="0"/>
              <w:right w:val="single" w:color="auto" w:sz="4" w:space="0"/>
            </w:tcBorders>
            <w:vAlign w:val="center"/>
          </w:tcPr>
          <w:p w14:paraId="7D851CC8">
            <w:pPr>
              <w:spacing w:line="380" w:lineRule="exact"/>
              <w:jc w:val="left"/>
              <w:rPr>
                <w:rFonts w:hint="eastAsia" w:ascii="宋体" w:hAnsi="宋体"/>
                <w:color w:val="auto"/>
                <w:highlight w:val="none"/>
              </w:rPr>
            </w:pPr>
          </w:p>
        </w:tc>
        <w:tc>
          <w:tcPr>
            <w:tcW w:w="1865" w:type="dxa"/>
            <w:tcBorders>
              <w:top w:val="single" w:color="auto" w:sz="4" w:space="0"/>
              <w:left w:val="single" w:color="auto" w:sz="4" w:space="0"/>
              <w:bottom w:val="single" w:color="auto" w:sz="4" w:space="0"/>
              <w:right w:val="single" w:color="auto" w:sz="4" w:space="0"/>
            </w:tcBorders>
            <w:vAlign w:val="center"/>
          </w:tcPr>
          <w:p w14:paraId="55D41A3E">
            <w:pPr>
              <w:spacing w:line="380" w:lineRule="exact"/>
              <w:jc w:val="left"/>
              <w:rPr>
                <w:rFonts w:hint="eastAsia" w:ascii="宋体" w:hAnsi="宋体"/>
                <w:color w:val="auto"/>
                <w:highlight w:val="none"/>
              </w:rPr>
            </w:pPr>
          </w:p>
        </w:tc>
      </w:tr>
    </w:tbl>
    <w:p w14:paraId="707FA81E">
      <w:pPr>
        <w:spacing w:line="380" w:lineRule="exact"/>
        <w:jc w:val="left"/>
        <w:rPr>
          <w:rFonts w:hint="eastAsia" w:ascii="宋体" w:hAnsi="宋体" w:cs="宋体"/>
          <w:b/>
          <w:bCs/>
          <w:color w:val="auto"/>
          <w:szCs w:val="21"/>
          <w:highlight w:val="none"/>
          <w:lang w:val="zh-CN"/>
        </w:rPr>
      </w:pPr>
      <w:r>
        <w:rPr>
          <w:rFonts w:hint="eastAsia"/>
          <w:b/>
          <w:bCs/>
          <w:color w:val="auto"/>
          <w:spacing w:val="-3"/>
          <w:szCs w:val="21"/>
          <w:highlight w:val="none"/>
        </w:rPr>
        <w:t>注：须提供相关工作制度、开展情况介绍、预包装食品备样再利用率、良好的社会效应等证明材料。备样再利用方式包括捐赠、拍卖、义卖等方式。</w:t>
      </w:r>
    </w:p>
    <w:p w14:paraId="01450FA0">
      <w:pPr>
        <w:jc w:val="center"/>
        <w:rPr>
          <w:color w:val="auto"/>
          <w:highlight w:val="none"/>
        </w:rPr>
      </w:pPr>
    </w:p>
    <w:p w14:paraId="25C9CF25">
      <w:pPr>
        <w:pStyle w:val="15"/>
        <w:ind w:left="1260"/>
        <w:rPr>
          <w:color w:val="auto"/>
          <w:highlight w:val="none"/>
        </w:rPr>
      </w:pPr>
    </w:p>
    <w:p w14:paraId="63B87985">
      <w:pPr>
        <w:rPr>
          <w:color w:val="auto"/>
          <w:highlight w:val="none"/>
        </w:rPr>
      </w:pPr>
    </w:p>
    <w:p w14:paraId="18A194F0">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hint="eastAsia" w:ascii="Microsoft New Tai Lue" w:hAnsi="Microsoft New Tai Lue" w:cs="Microsoft New Tai Lue"/>
          <w:bCs/>
          <w:color w:val="auto"/>
          <w:highlight w:val="none"/>
        </w:rPr>
        <w:t>供应商</w:t>
      </w:r>
      <w:r>
        <w:rPr>
          <w:rFonts w:ascii="Microsoft New Tai Lue" w:hAnsi="Microsoft New Tai Lue" w:cs="Microsoft New Tai Lue"/>
          <w:bCs/>
          <w:color w:val="auto"/>
          <w:highlight w:val="none"/>
        </w:rPr>
        <w:t>名称（</w:t>
      </w:r>
      <w:r>
        <w:rPr>
          <w:rFonts w:hint="eastAsia" w:ascii="Microsoft New Tai Lue" w:hAnsi="Microsoft New Tai Lue" w:cs="Microsoft New Tai Lue"/>
          <w:bCs/>
          <w:color w:val="auto"/>
          <w:highlight w:val="none"/>
        </w:rPr>
        <w:t>加盖CA电子公章</w:t>
      </w:r>
      <w:r>
        <w:rPr>
          <w:rFonts w:ascii="Microsoft New Tai Lue" w:hAnsi="Microsoft New Tai Lue" w:cs="Microsoft New Tai Lue"/>
          <w:bCs/>
          <w:color w:val="auto"/>
          <w:highlight w:val="none"/>
        </w:rPr>
        <w:t>）：</w:t>
      </w:r>
      <w:r>
        <w:rPr>
          <w:rFonts w:ascii="Microsoft New Tai Lue" w:hAnsi="Microsoft New Tai Lue" w:cs="Microsoft New Tai Lue"/>
          <w:color w:val="auto"/>
          <w:szCs w:val="21"/>
          <w:highlight w:val="none"/>
          <w:u w:val="single"/>
        </w:rPr>
        <w:t xml:space="preserve">                </w:t>
      </w:r>
    </w:p>
    <w:p w14:paraId="57FDD07F">
      <w:pPr>
        <w:keepNext w:val="0"/>
        <w:keepLines w:val="0"/>
        <w:pageBreakBefore w:val="0"/>
        <w:widowControl w:val="0"/>
        <w:kinsoku/>
        <w:wordWrap/>
        <w:overflowPunct/>
        <w:topLinePunct w:val="0"/>
        <w:autoSpaceDE/>
        <w:autoSpaceDN/>
        <w:bidi w:val="0"/>
        <w:adjustRightInd/>
        <w:snapToGrid/>
        <w:spacing w:line="360" w:lineRule="auto"/>
        <w:textAlignment w:val="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法定代表人（单位负责人）</w:t>
      </w:r>
    </w:p>
    <w:p w14:paraId="3119B0B9">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或其授权代表（签字或盖章）：</w:t>
      </w:r>
      <w:r>
        <w:rPr>
          <w:rFonts w:ascii="Microsoft New Tai Lue" w:hAnsi="Microsoft New Tai Lue" w:cs="Microsoft New Tai Lue"/>
          <w:color w:val="auto"/>
          <w:szCs w:val="21"/>
          <w:highlight w:val="none"/>
          <w:u w:val="single"/>
        </w:rPr>
        <w:t xml:space="preserve">       </w:t>
      </w:r>
    </w:p>
    <w:p w14:paraId="053942B6">
      <w:pPr>
        <w:keepNext w:val="0"/>
        <w:keepLines w:val="0"/>
        <w:pageBreakBefore w:val="0"/>
        <w:widowControl w:val="0"/>
        <w:kinsoku/>
        <w:wordWrap/>
        <w:overflowPunct/>
        <w:topLinePunct w:val="0"/>
        <w:autoSpaceDE/>
        <w:autoSpaceDN/>
        <w:bidi w:val="0"/>
        <w:adjustRightInd/>
        <w:snapToGrid/>
        <w:spacing w:line="360" w:lineRule="auto"/>
        <w:ind w:firstLine="3990" w:firstLineChars="1900"/>
        <w:textAlignment w:val="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日</w:t>
      </w:r>
    </w:p>
    <w:p w14:paraId="72B3C130">
      <w:pPr>
        <w:pStyle w:val="31"/>
        <w:spacing w:before="0"/>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NumType w:fmt="decimal"/>
          <w:cols w:space="0" w:num="1"/>
          <w:rtlGutter w:val="0"/>
          <w:docGrid w:linePitch="317" w:charSpace="0"/>
        </w:sectPr>
      </w:pPr>
      <w:r>
        <w:rPr>
          <w:color w:val="auto"/>
          <w:highlight w:val="none"/>
        </w:rPr>
        <w:br w:type="page"/>
      </w:r>
    </w:p>
    <w:p w14:paraId="70504EE2">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（9）管理制度与工作质量</w:t>
      </w:r>
    </w:p>
    <w:p w14:paraId="4FDBFD50">
      <w:pPr>
        <w:pStyle w:val="31"/>
        <w:spacing w:before="0"/>
        <w:rPr>
          <w:rFonts w:ascii="Microsoft New Tai Lue" w:hAnsi="Microsoft New Tai Lue" w:cs="Microsoft New Tai Lue"/>
          <w:bCs w:val="0"/>
          <w:color w:val="auto"/>
          <w:sz w:val="24"/>
          <w:szCs w:val="24"/>
          <w:highlight w:val="none"/>
          <w:lang w:val="zh-CN"/>
        </w:rPr>
      </w:pPr>
      <w:r>
        <w:rPr>
          <w:rFonts w:hint="eastAsia" w:ascii="Microsoft New Tai Lue" w:hAnsi="Microsoft New Tai Lue" w:cs="Microsoft New Tai Lue"/>
          <w:bCs w:val="0"/>
          <w:color w:val="auto"/>
          <w:sz w:val="24"/>
          <w:szCs w:val="24"/>
          <w:highlight w:val="none"/>
          <w:lang w:val="zh-CN"/>
        </w:rPr>
        <w:t>（</w:t>
      </w:r>
      <w:r>
        <w:rPr>
          <w:rFonts w:hint="eastAsia" w:ascii="Microsoft New Tai Lue" w:hAnsi="Microsoft New Tai Lue" w:cs="Microsoft New Tai Lue"/>
          <w:bCs w:val="0"/>
          <w:color w:val="auto"/>
          <w:sz w:val="24"/>
          <w:szCs w:val="24"/>
          <w:highlight w:val="none"/>
        </w:rPr>
        <w:t>9-1</w:t>
      </w:r>
      <w:r>
        <w:rPr>
          <w:rFonts w:hint="eastAsia" w:ascii="Microsoft New Tai Lue" w:hAnsi="Microsoft New Tai Lue" w:cs="Microsoft New Tai Lue"/>
          <w:bCs w:val="0"/>
          <w:color w:val="auto"/>
          <w:sz w:val="24"/>
          <w:szCs w:val="24"/>
          <w:highlight w:val="none"/>
          <w:lang w:val="zh-CN"/>
        </w:rPr>
        <w:t>）管理制度</w:t>
      </w:r>
    </w:p>
    <w:p w14:paraId="300A4782">
      <w:pPr>
        <w:ind w:firstLine="420" w:firstLineChars="200"/>
        <w:rPr>
          <w:bCs/>
          <w:color w:val="auto"/>
          <w:szCs w:val="21"/>
          <w:highlight w:val="none"/>
        </w:rPr>
      </w:pPr>
      <w:r>
        <w:rPr>
          <w:rFonts w:hint="eastAsia"/>
          <w:bCs/>
          <w:color w:val="auto"/>
          <w:szCs w:val="21"/>
          <w:highlight w:val="none"/>
        </w:rPr>
        <w:t>依据《食品安全抽样检验管理办法》等法律法规规章，建立健全相关制度。（12个方面为：抽样管理、人员管理、培训、样品管理、复验、信息报送、保密、回避、检验责任追究、档案管理、食品安全舆情应急检验预案、食品安全风险信息报送等制度）</w:t>
      </w:r>
    </w:p>
    <w:tbl>
      <w:tblPr>
        <w:tblStyle w:val="34"/>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3729"/>
        <w:gridCol w:w="3055"/>
      </w:tblGrid>
      <w:tr w14:paraId="1CCBB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575" w:type="dxa"/>
            <w:vAlign w:val="center"/>
          </w:tcPr>
          <w:p w14:paraId="0E1CAF8F">
            <w:pPr>
              <w:jc w:val="center"/>
              <w:rPr>
                <w:rFonts w:hint="eastAsia" w:ascii="宋体" w:hAnsi="宋体"/>
                <w:color w:val="auto"/>
                <w:szCs w:val="21"/>
                <w:highlight w:val="none"/>
              </w:rPr>
            </w:pPr>
            <w:r>
              <w:rPr>
                <w:rFonts w:hint="eastAsia" w:ascii="宋体" w:hAnsi="宋体"/>
                <w:color w:val="auto"/>
                <w:szCs w:val="21"/>
                <w:highlight w:val="none"/>
              </w:rPr>
              <w:t>序号</w:t>
            </w:r>
          </w:p>
        </w:tc>
        <w:tc>
          <w:tcPr>
            <w:tcW w:w="3729" w:type="dxa"/>
            <w:vAlign w:val="center"/>
          </w:tcPr>
          <w:p w14:paraId="48022E3B">
            <w:pPr>
              <w:jc w:val="center"/>
              <w:rPr>
                <w:rFonts w:hint="eastAsia" w:ascii="宋体" w:hAnsi="宋体"/>
                <w:color w:val="auto"/>
                <w:szCs w:val="21"/>
                <w:highlight w:val="none"/>
              </w:rPr>
            </w:pPr>
            <w:r>
              <w:rPr>
                <w:rFonts w:hint="eastAsia" w:ascii="宋体" w:hAnsi="宋体"/>
                <w:color w:val="auto"/>
                <w:szCs w:val="21"/>
                <w:highlight w:val="none"/>
              </w:rPr>
              <w:t>制度名称</w:t>
            </w:r>
          </w:p>
        </w:tc>
        <w:tc>
          <w:tcPr>
            <w:tcW w:w="3055" w:type="dxa"/>
            <w:vAlign w:val="center"/>
          </w:tcPr>
          <w:p w14:paraId="4CE5F0BE">
            <w:pPr>
              <w:jc w:val="center"/>
              <w:rPr>
                <w:rFonts w:hint="eastAsia" w:ascii="宋体" w:hAnsi="宋体"/>
                <w:color w:val="auto"/>
                <w:szCs w:val="21"/>
                <w:highlight w:val="none"/>
              </w:rPr>
            </w:pPr>
            <w:r>
              <w:rPr>
                <w:rFonts w:hint="eastAsia" w:ascii="宋体" w:hAnsi="宋体" w:cs="宋体"/>
                <w:color w:val="auto"/>
                <w:szCs w:val="21"/>
                <w:highlight w:val="none"/>
                <w:lang w:val="zh-CN" w:bidi="zh-CN"/>
              </w:rPr>
              <w:t>在投标文件中的页码位置</w:t>
            </w:r>
          </w:p>
        </w:tc>
      </w:tr>
      <w:tr w14:paraId="238C1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7816B86A">
            <w:pPr>
              <w:spacing w:line="360" w:lineRule="auto"/>
              <w:jc w:val="center"/>
              <w:rPr>
                <w:rFonts w:hint="eastAsia" w:ascii="宋体" w:hAnsi="宋体"/>
                <w:bCs/>
                <w:color w:val="auto"/>
                <w:szCs w:val="21"/>
                <w:highlight w:val="none"/>
              </w:rPr>
            </w:pPr>
          </w:p>
        </w:tc>
        <w:tc>
          <w:tcPr>
            <w:tcW w:w="3729" w:type="dxa"/>
            <w:vAlign w:val="center"/>
          </w:tcPr>
          <w:p w14:paraId="593FC68B">
            <w:pPr>
              <w:spacing w:line="360" w:lineRule="auto"/>
              <w:jc w:val="center"/>
              <w:rPr>
                <w:rFonts w:hint="eastAsia" w:ascii="宋体" w:hAnsi="宋体"/>
                <w:bCs/>
                <w:color w:val="auto"/>
                <w:szCs w:val="21"/>
                <w:highlight w:val="none"/>
              </w:rPr>
            </w:pPr>
          </w:p>
        </w:tc>
        <w:tc>
          <w:tcPr>
            <w:tcW w:w="3055" w:type="dxa"/>
            <w:vAlign w:val="center"/>
          </w:tcPr>
          <w:p w14:paraId="2ED513C3">
            <w:pPr>
              <w:spacing w:line="360" w:lineRule="auto"/>
              <w:jc w:val="center"/>
              <w:rPr>
                <w:rFonts w:hint="eastAsia" w:ascii="宋体" w:hAnsi="宋体"/>
                <w:bCs/>
                <w:color w:val="auto"/>
                <w:szCs w:val="21"/>
                <w:highlight w:val="none"/>
              </w:rPr>
            </w:pPr>
          </w:p>
        </w:tc>
      </w:tr>
      <w:tr w14:paraId="23D77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D9EC2E8">
            <w:pPr>
              <w:spacing w:line="360" w:lineRule="auto"/>
              <w:jc w:val="center"/>
              <w:rPr>
                <w:rFonts w:hint="eastAsia" w:ascii="宋体" w:hAnsi="宋体"/>
                <w:bCs/>
                <w:color w:val="auto"/>
                <w:szCs w:val="21"/>
                <w:highlight w:val="none"/>
              </w:rPr>
            </w:pPr>
          </w:p>
        </w:tc>
        <w:tc>
          <w:tcPr>
            <w:tcW w:w="3729" w:type="dxa"/>
            <w:vAlign w:val="center"/>
          </w:tcPr>
          <w:p w14:paraId="046D5A6E">
            <w:pPr>
              <w:spacing w:line="360" w:lineRule="auto"/>
              <w:jc w:val="center"/>
              <w:rPr>
                <w:rFonts w:hint="eastAsia" w:ascii="宋体" w:hAnsi="宋体"/>
                <w:bCs/>
                <w:color w:val="auto"/>
                <w:szCs w:val="21"/>
                <w:highlight w:val="none"/>
              </w:rPr>
            </w:pPr>
          </w:p>
        </w:tc>
        <w:tc>
          <w:tcPr>
            <w:tcW w:w="3055" w:type="dxa"/>
            <w:vAlign w:val="center"/>
          </w:tcPr>
          <w:p w14:paraId="4AC29F83">
            <w:pPr>
              <w:spacing w:line="360" w:lineRule="auto"/>
              <w:jc w:val="center"/>
              <w:rPr>
                <w:rFonts w:hint="eastAsia" w:ascii="宋体" w:hAnsi="宋体"/>
                <w:bCs/>
                <w:color w:val="auto"/>
                <w:szCs w:val="21"/>
                <w:highlight w:val="none"/>
              </w:rPr>
            </w:pPr>
          </w:p>
        </w:tc>
      </w:tr>
      <w:tr w14:paraId="5CA33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332F4927">
            <w:pPr>
              <w:spacing w:line="360" w:lineRule="auto"/>
              <w:jc w:val="center"/>
              <w:rPr>
                <w:rFonts w:hint="eastAsia" w:ascii="宋体" w:hAnsi="宋体"/>
                <w:bCs/>
                <w:color w:val="auto"/>
                <w:szCs w:val="21"/>
                <w:highlight w:val="none"/>
              </w:rPr>
            </w:pPr>
          </w:p>
        </w:tc>
        <w:tc>
          <w:tcPr>
            <w:tcW w:w="3729" w:type="dxa"/>
            <w:vAlign w:val="center"/>
          </w:tcPr>
          <w:p w14:paraId="7E2D436E">
            <w:pPr>
              <w:spacing w:line="360" w:lineRule="auto"/>
              <w:jc w:val="center"/>
              <w:rPr>
                <w:rFonts w:hint="eastAsia" w:ascii="宋体" w:hAnsi="宋体"/>
                <w:bCs/>
                <w:color w:val="auto"/>
                <w:szCs w:val="21"/>
                <w:highlight w:val="none"/>
              </w:rPr>
            </w:pPr>
          </w:p>
        </w:tc>
        <w:tc>
          <w:tcPr>
            <w:tcW w:w="3055" w:type="dxa"/>
            <w:vAlign w:val="center"/>
          </w:tcPr>
          <w:p w14:paraId="20CAA561">
            <w:pPr>
              <w:spacing w:line="360" w:lineRule="auto"/>
              <w:jc w:val="center"/>
              <w:rPr>
                <w:rFonts w:hint="eastAsia" w:ascii="宋体" w:hAnsi="宋体"/>
                <w:bCs/>
                <w:color w:val="auto"/>
                <w:szCs w:val="21"/>
                <w:highlight w:val="none"/>
              </w:rPr>
            </w:pPr>
          </w:p>
        </w:tc>
      </w:tr>
      <w:tr w14:paraId="67D8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3531F67A">
            <w:pPr>
              <w:spacing w:line="360" w:lineRule="auto"/>
              <w:jc w:val="center"/>
              <w:rPr>
                <w:rFonts w:hint="eastAsia" w:ascii="宋体" w:hAnsi="宋体"/>
                <w:bCs/>
                <w:color w:val="auto"/>
                <w:szCs w:val="21"/>
                <w:highlight w:val="none"/>
              </w:rPr>
            </w:pPr>
          </w:p>
        </w:tc>
        <w:tc>
          <w:tcPr>
            <w:tcW w:w="3729" w:type="dxa"/>
            <w:vAlign w:val="center"/>
          </w:tcPr>
          <w:p w14:paraId="0AC87C63">
            <w:pPr>
              <w:spacing w:line="360" w:lineRule="auto"/>
              <w:jc w:val="center"/>
              <w:rPr>
                <w:rFonts w:hint="eastAsia" w:ascii="宋体" w:hAnsi="宋体"/>
                <w:bCs/>
                <w:color w:val="auto"/>
                <w:szCs w:val="21"/>
                <w:highlight w:val="none"/>
              </w:rPr>
            </w:pPr>
          </w:p>
        </w:tc>
        <w:tc>
          <w:tcPr>
            <w:tcW w:w="3055" w:type="dxa"/>
            <w:vAlign w:val="center"/>
          </w:tcPr>
          <w:p w14:paraId="50848402">
            <w:pPr>
              <w:spacing w:line="360" w:lineRule="auto"/>
              <w:jc w:val="center"/>
              <w:rPr>
                <w:rFonts w:hint="eastAsia" w:ascii="宋体" w:hAnsi="宋体"/>
                <w:bCs/>
                <w:color w:val="auto"/>
                <w:szCs w:val="21"/>
                <w:highlight w:val="none"/>
              </w:rPr>
            </w:pPr>
          </w:p>
        </w:tc>
      </w:tr>
      <w:tr w14:paraId="7E6F9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0B120DB">
            <w:pPr>
              <w:spacing w:line="360" w:lineRule="auto"/>
              <w:jc w:val="center"/>
              <w:rPr>
                <w:rFonts w:hint="eastAsia" w:ascii="宋体" w:hAnsi="宋体"/>
                <w:bCs/>
                <w:color w:val="auto"/>
                <w:szCs w:val="21"/>
                <w:highlight w:val="none"/>
              </w:rPr>
            </w:pPr>
          </w:p>
        </w:tc>
        <w:tc>
          <w:tcPr>
            <w:tcW w:w="3729" w:type="dxa"/>
            <w:vAlign w:val="center"/>
          </w:tcPr>
          <w:p w14:paraId="75CB3650">
            <w:pPr>
              <w:spacing w:line="360" w:lineRule="auto"/>
              <w:jc w:val="center"/>
              <w:rPr>
                <w:rFonts w:hint="eastAsia" w:ascii="宋体" w:hAnsi="宋体"/>
                <w:bCs/>
                <w:color w:val="auto"/>
                <w:szCs w:val="21"/>
                <w:highlight w:val="none"/>
              </w:rPr>
            </w:pPr>
          </w:p>
        </w:tc>
        <w:tc>
          <w:tcPr>
            <w:tcW w:w="3055" w:type="dxa"/>
            <w:vAlign w:val="center"/>
          </w:tcPr>
          <w:p w14:paraId="1E32778D">
            <w:pPr>
              <w:spacing w:line="360" w:lineRule="auto"/>
              <w:jc w:val="center"/>
              <w:rPr>
                <w:rFonts w:hint="eastAsia" w:ascii="宋体" w:hAnsi="宋体"/>
                <w:bCs/>
                <w:color w:val="auto"/>
                <w:szCs w:val="21"/>
                <w:highlight w:val="none"/>
              </w:rPr>
            </w:pPr>
          </w:p>
        </w:tc>
      </w:tr>
      <w:tr w14:paraId="0DFA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6771A26E">
            <w:pPr>
              <w:spacing w:line="360" w:lineRule="auto"/>
              <w:jc w:val="center"/>
              <w:rPr>
                <w:rFonts w:hint="eastAsia" w:ascii="宋体" w:hAnsi="宋体"/>
                <w:bCs/>
                <w:color w:val="auto"/>
                <w:szCs w:val="21"/>
                <w:highlight w:val="none"/>
              </w:rPr>
            </w:pPr>
          </w:p>
        </w:tc>
        <w:tc>
          <w:tcPr>
            <w:tcW w:w="3729" w:type="dxa"/>
            <w:vAlign w:val="center"/>
          </w:tcPr>
          <w:p w14:paraId="52A9A3FE">
            <w:pPr>
              <w:spacing w:line="360" w:lineRule="auto"/>
              <w:jc w:val="center"/>
              <w:rPr>
                <w:rFonts w:hint="eastAsia" w:ascii="宋体" w:hAnsi="宋体"/>
                <w:bCs/>
                <w:color w:val="auto"/>
                <w:szCs w:val="21"/>
                <w:highlight w:val="none"/>
              </w:rPr>
            </w:pPr>
          </w:p>
        </w:tc>
        <w:tc>
          <w:tcPr>
            <w:tcW w:w="3055" w:type="dxa"/>
            <w:vAlign w:val="center"/>
          </w:tcPr>
          <w:p w14:paraId="0C0B2D05">
            <w:pPr>
              <w:spacing w:line="360" w:lineRule="auto"/>
              <w:jc w:val="center"/>
              <w:rPr>
                <w:rFonts w:hint="eastAsia" w:ascii="宋体" w:hAnsi="宋体"/>
                <w:bCs/>
                <w:color w:val="auto"/>
                <w:szCs w:val="21"/>
                <w:highlight w:val="none"/>
              </w:rPr>
            </w:pPr>
          </w:p>
        </w:tc>
      </w:tr>
      <w:tr w14:paraId="4F74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575" w:type="dxa"/>
            <w:vAlign w:val="center"/>
          </w:tcPr>
          <w:p w14:paraId="5970B4A5">
            <w:pPr>
              <w:spacing w:line="360" w:lineRule="auto"/>
              <w:jc w:val="center"/>
              <w:rPr>
                <w:rFonts w:hint="eastAsia" w:ascii="宋体" w:hAnsi="宋体"/>
                <w:bCs/>
                <w:color w:val="auto"/>
                <w:szCs w:val="21"/>
                <w:highlight w:val="none"/>
              </w:rPr>
            </w:pPr>
          </w:p>
        </w:tc>
        <w:tc>
          <w:tcPr>
            <w:tcW w:w="3729" w:type="dxa"/>
            <w:vAlign w:val="center"/>
          </w:tcPr>
          <w:p w14:paraId="67C90E36">
            <w:pPr>
              <w:spacing w:line="360" w:lineRule="auto"/>
              <w:jc w:val="center"/>
              <w:rPr>
                <w:rFonts w:hint="eastAsia" w:ascii="宋体" w:hAnsi="宋体"/>
                <w:bCs/>
                <w:color w:val="auto"/>
                <w:szCs w:val="21"/>
                <w:highlight w:val="none"/>
              </w:rPr>
            </w:pPr>
          </w:p>
        </w:tc>
        <w:tc>
          <w:tcPr>
            <w:tcW w:w="3055" w:type="dxa"/>
            <w:vAlign w:val="center"/>
          </w:tcPr>
          <w:p w14:paraId="19190D34">
            <w:pPr>
              <w:spacing w:line="360" w:lineRule="auto"/>
              <w:jc w:val="center"/>
              <w:rPr>
                <w:rFonts w:hint="eastAsia" w:ascii="宋体" w:hAnsi="宋体"/>
                <w:bCs/>
                <w:color w:val="auto"/>
                <w:szCs w:val="21"/>
                <w:highlight w:val="none"/>
              </w:rPr>
            </w:pPr>
          </w:p>
        </w:tc>
      </w:tr>
      <w:tr w14:paraId="6758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1575" w:type="dxa"/>
            <w:vAlign w:val="center"/>
          </w:tcPr>
          <w:p w14:paraId="2F410199">
            <w:pPr>
              <w:spacing w:line="360" w:lineRule="auto"/>
              <w:jc w:val="center"/>
              <w:rPr>
                <w:rFonts w:hint="eastAsia" w:ascii="宋体" w:hAnsi="宋体"/>
                <w:bCs/>
                <w:color w:val="auto"/>
                <w:szCs w:val="21"/>
                <w:highlight w:val="none"/>
              </w:rPr>
            </w:pPr>
          </w:p>
        </w:tc>
        <w:tc>
          <w:tcPr>
            <w:tcW w:w="3729" w:type="dxa"/>
            <w:vAlign w:val="center"/>
          </w:tcPr>
          <w:p w14:paraId="7CD1CDAD">
            <w:pPr>
              <w:spacing w:line="360" w:lineRule="auto"/>
              <w:jc w:val="center"/>
              <w:rPr>
                <w:rFonts w:hint="eastAsia" w:ascii="宋体" w:hAnsi="宋体"/>
                <w:bCs/>
                <w:color w:val="auto"/>
                <w:szCs w:val="21"/>
                <w:highlight w:val="none"/>
              </w:rPr>
            </w:pPr>
          </w:p>
        </w:tc>
        <w:tc>
          <w:tcPr>
            <w:tcW w:w="3055" w:type="dxa"/>
            <w:vAlign w:val="center"/>
          </w:tcPr>
          <w:p w14:paraId="6FDACD29">
            <w:pPr>
              <w:spacing w:line="360" w:lineRule="auto"/>
              <w:jc w:val="center"/>
              <w:rPr>
                <w:rFonts w:hint="eastAsia" w:ascii="宋体" w:hAnsi="宋体"/>
                <w:bCs/>
                <w:color w:val="auto"/>
                <w:szCs w:val="21"/>
                <w:highlight w:val="none"/>
              </w:rPr>
            </w:pPr>
          </w:p>
        </w:tc>
      </w:tr>
    </w:tbl>
    <w:p w14:paraId="497A6E54">
      <w:pPr>
        <w:rPr>
          <w:b/>
          <w:bCs/>
          <w:color w:val="auto"/>
          <w:szCs w:val="21"/>
          <w:highlight w:val="none"/>
        </w:rPr>
      </w:pPr>
      <w:r>
        <w:rPr>
          <w:rFonts w:hint="eastAsia"/>
          <w:b/>
          <w:bCs/>
          <w:color w:val="auto"/>
          <w:szCs w:val="21"/>
          <w:highlight w:val="none"/>
        </w:rPr>
        <w:t>注：</w:t>
      </w:r>
      <w:r>
        <w:rPr>
          <w:rFonts w:hint="eastAsia" w:ascii="宋体" w:hAnsi="宋体"/>
          <w:b/>
          <w:color w:val="auto"/>
          <w:kern w:val="0"/>
          <w:szCs w:val="21"/>
          <w:highlight w:val="none"/>
          <w:lang w:val="zh-CN" w:bidi="zh-CN"/>
        </w:rPr>
        <w:t>须提供相关有效证明材料</w:t>
      </w:r>
      <w:r>
        <w:rPr>
          <w:rFonts w:hint="eastAsia"/>
          <w:b/>
          <w:bCs/>
          <w:color w:val="auto"/>
          <w:szCs w:val="21"/>
          <w:highlight w:val="none"/>
        </w:rPr>
        <w:t>。</w:t>
      </w:r>
    </w:p>
    <w:p w14:paraId="18A3E1EB">
      <w:pPr>
        <w:pStyle w:val="15"/>
        <w:ind w:left="1260"/>
        <w:rPr>
          <w:color w:val="auto"/>
          <w:highlight w:val="none"/>
        </w:rPr>
      </w:pPr>
    </w:p>
    <w:p w14:paraId="4D341672">
      <w:pPr>
        <w:rPr>
          <w:color w:val="auto"/>
          <w:highlight w:val="none"/>
        </w:rPr>
      </w:pPr>
    </w:p>
    <w:p w14:paraId="23C80AEB">
      <w:pPr>
        <w:pStyle w:val="15"/>
        <w:ind w:left="1260"/>
        <w:rPr>
          <w:color w:val="auto"/>
          <w:highlight w:val="none"/>
        </w:rPr>
      </w:pPr>
    </w:p>
    <w:p w14:paraId="20ED6E7F">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3D733048">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5265E6E6">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或其授权代表（签字或盖章）：_______________</w:t>
      </w:r>
    </w:p>
    <w:p w14:paraId="5644454C">
      <w:pPr>
        <w:spacing w:line="360" w:lineRule="auto"/>
        <w:ind w:firstLine="3780" w:firstLineChars="1800"/>
        <w:rPr>
          <w:rFonts w:hint="eastAsia" w:ascii="宋体" w:hAnsi="宋体" w:cs="宋体"/>
          <w:b/>
          <w:bCs/>
          <w:color w:val="auto"/>
          <w:szCs w:val="21"/>
          <w:highlight w:val="none"/>
          <w:lang w:val="zh-CN"/>
        </w:rPr>
      </w:pPr>
      <w:r>
        <w:rPr>
          <w:rFonts w:ascii="Microsoft New Tai Lue" w:hAnsi="Microsoft New Tai Lue" w:cs="Microsoft New Tai Lue"/>
          <w:color w:val="auto"/>
          <w:szCs w:val="21"/>
          <w:highlight w:val="none"/>
        </w:rPr>
        <w:t>日期：______年____月____日</w:t>
      </w:r>
    </w:p>
    <w:p w14:paraId="2782E334">
      <w:pPr>
        <w:pStyle w:val="31"/>
        <w:spacing w:before="0"/>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NumType w:fmt="decimal"/>
          <w:cols w:space="0" w:num="1"/>
          <w:rtlGutter w:val="0"/>
          <w:docGrid w:linePitch="317" w:charSpace="0"/>
        </w:sectPr>
      </w:pPr>
    </w:p>
    <w:p w14:paraId="209E7A4C">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（9-2）管理制度落实和工作执行情况</w:t>
      </w:r>
    </w:p>
    <w:p w14:paraId="7AF10B84">
      <w:pPr>
        <w:rPr>
          <w:rFonts w:hint="eastAsia" w:ascii="宋体" w:hAnsi="宋体" w:cs="宋体"/>
          <w:b/>
          <w:bCs/>
          <w:color w:val="auto"/>
          <w:szCs w:val="21"/>
          <w:highlight w:val="none"/>
          <w:lang w:val="zh-CN"/>
        </w:rPr>
      </w:pPr>
    </w:p>
    <w:p w14:paraId="362DFB6C">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供应商按照招标文件的要求，根据项目需求及评审办法做出全面响应并编制管理制度落实和工作执行情况。</w:t>
      </w:r>
    </w:p>
    <w:p w14:paraId="6358430D">
      <w:pPr>
        <w:jc w:val="center"/>
        <w:rPr>
          <w:b/>
          <w:bCs/>
          <w:color w:val="auto"/>
          <w:highlight w:val="none"/>
          <w:lang w:val="zh-CN"/>
        </w:rPr>
        <w:sectPr>
          <w:pgSz w:w="11911" w:h="16838"/>
          <w:pgMar w:top="1440" w:right="1803" w:bottom="1440" w:left="1803" w:header="720" w:footer="720" w:gutter="0"/>
          <w:pgNumType w:fmt="decimal"/>
          <w:cols w:space="0" w:num="1"/>
          <w:rtlGutter w:val="0"/>
          <w:docGrid w:linePitch="317" w:charSpace="0"/>
        </w:sectPr>
      </w:pPr>
      <w:r>
        <w:rPr>
          <w:rFonts w:hint="eastAsia"/>
          <w:b/>
          <w:bCs/>
          <w:color w:val="auto"/>
          <w:highlight w:val="none"/>
          <w:lang w:val="zh-CN"/>
        </w:rPr>
        <w:t>（格式自拟）</w:t>
      </w:r>
    </w:p>
    <w:p w14:paraId="12DA00FD">
      <w:pPr>
        <w:pStyle w:val="31"/>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（10）快速响应服务时效</w:t>
      </w:r>
    </w:p>
    <w:p w14:paraId="09A96889">
      <w:pPr>
        <w:rPr>
          <w:rFonts w:hint="eastAsia" w:ascii="宋体" w:hAnsi="宋体" w:cs="宋体"/>
          <w:b/>
          <w:bCs/>
          <w:color w:val="auto"/>
          <w:szCs w:val="21"/>
          <w:highlight w:val="none"/>
          <w:lang w:val="zh-CN"/>
        </w:rPr>
      </w:pPr>
    </w:p>
    <w:p w14:paraId="6B260976">
      <w:pPr>
        <w:jc w:val="left"/>
        <w:rPr>
          <w:b/>
          <w:bCs/>
          <w:color w:val="auto"/>
          <w:highlight w:val="none"/>
          <w:lang w:val="zh-CN"/>
        </w:rPr>
        <w:sectPr>
          <w:pgSz w:w="11911" w:h="16838"/>
          <w:pgMar w:top="1440" w:right="1803" w:bottom="1440" w:left="1803" w:header="720" w:footer="720" w:gutter="0"/>
          <w:pgNumType w:fmt="decimal"/>
          <w:cols w:space="0" w:num="1"/>
          <w:rtlGutter w:val="0"/>
          <w:docGrid w:linePitch="317" w:charSpace="0"/>
        </w:sectPr>
      </w:pPr>
      <w:r>
        <w:rPr>
          <w:rFonts w:hint="eastAsia"/>
          <w:b w:val="0"/>
          <w:bCs w:val="0"/>
          <w:color w:val="auto"/>
          <w:highlight w:val="none"/>
          <w:lang w:val="zh-CN"/>
        </w:rPr>
        <w:t>注：供应商须提交在工作日工作时段以供应商实验室为起点至抽样地区（以抽样地区地级市人民政府所在地为准）为终点的全部行程导航截图，</w:t>
      </w:r>
      <w:r>
        <w:rPr>
          <w:rFonts w:hint="eastAsia"/>
          <w:b/>
          <w:bCs/>
          <w:color w:val="auto"/>
          <w:highlight w:val="none"/>
          <w:lang w:val="zh-CN"/>
        </w:rPr>
        <w:t>若更换交通工具，须分段截图</w:t>
      </w:r>
      <w:r>
        <w:rPr>
          <w:rFonts w:hint="eastAsia"/>
          <w:b w:val="0"/>
          <w:bCs w:val="0"/>
          <w:color w:val="auto"/>
          <w:highlight w:val="none"/>
          <w:lang w:val="zh-CN"/>
        </w:rPr>
        <w:t>，行程方式包括飞机、火车、汽车等。此外，在供应商已提供的导航截图及时间信息基础上，针对飞机、火车等不同交通方式，将分别增加额外的时间成本，具体为：飞机增加1小时，火车增加0.5小时，以覆盖机场候机、火车站候车的时间成本。</w:t>
      </w:r>
    </w:p>
    <w:p w14:paraId="455FE353">
      <w:pPr>
        <w:pStyle w:val="31"/>
        <w:spacing w:before="0"/>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（11）实施方案</w:t>
      </w:r>
    </w:p>
    <w:p w14:paraId="0AA0C664">
      <w:pPr>
        <w:rPr>
          <w:rFonts w:hint="eastAsia" w:ascii="宋体" w:hAnsi="宋体" w:cs="宋体"/>
          <w:b/>
          <w:bCs/>
          <w:color w:val="auto"/>
          <w:szCs w:val="21"/>
          <w:highlight w:val="none"/>
          <w:lang w:val="zh-CN"/>
        </w:rPr>
      </w:pPr>
    </w:p>
    <w:p w14:paraId="54E798A2">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供应商按照招标文件的要求，根据项目需求及评审办法做出全面响应并编制实施方案。</w:t>
      </w:r>
    </w:p>
    <w:p w14:paraId="53D7626E">
      <w:pPr>
        <w:jc w:val="center"/>
        <w:rPr>
          <w:rFonts w:hint="eastAsia" w:ascii="宋体" w:hAnsi="宋体" w:cs="宋体"/>
          <w:b/>
          <w:bCs/>
          <w:color w:val="auto"/>
          <w:szCs w:val="21"/>
          <w:highlight w:val="none"/>
          <w:lang w:val="zh-CN"/>
        </w:rPr>
      </w:pPr>
      <w:r>
        <w:rPr>
          <w:rFonts w:hint="eastAsia"/>
          <w:b/>
          <w:bCs/>
          <w:color w:val="auto"/>
          <w:highlight w:val="none"/>
          <w:lang w:val="zh-CN"/>
        </w:rPr>
        <w:t>（格式自拟）</w:t>
      </w:r>
    </w:p>
    <w:p w14:paraId="08E7FF2A">
      <w:pPr>
        <w:pStyle w:val="15"/>
        <w:ind w:left="1260"/>
        <w:rPr>
          <w:color w:val="auto"/>
          <w:highlight w:val="none"/>
        </w:rPr>
      </w:pPr>
    </w:p>
    <w:p w14:paraId="4734A2A2">
      <w:pPr>
        <w:pStyle w:val="15"/>
        <w:ind w:left="1260"/>
        <w:rPr>
          <w:color w:val="auto"/>
          <w:highlight w:val="none"/>
        </w:rPr>
      </w:pPr>
      <w:r>
        <w:rPr>
          <w:color w:val="auto"/>
          <w:highlight w:val="none"/>
        </w:rPr>
        <w:br w:type="page"/>
      </w:r>
    </w:p>
    <w:p w14:paraId="3A12712A">
      <w:pPr>
        <w:pStyle w:val="31"/>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NumType w:fmt="decimal"/>
          <w:cols w:space="0" w:num="1"/>
          <w:rtlGutter w:val="0"/>
          <w:docGrid w:linePitch="317" w:charSpace="0"/>
        </w:sectPr>
      </w:pPr>
    </w:p>
    <w:p w14:paraId="44B24629">
      <w:pPr>
        <w:pStyle w:val="31"/>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（12）突发事件应急处置预案</w:t>
      </w:r>
    </w:p>
    <w:p w14:paraId="50472159">
      <w:pPr>
        <w:rPr>
          <w:rFonts w:hint="eastAsia" w:ascii="宋体" w:hAnsi="宋体" w:cs="宋体"/>
          <w:b/>
          <w:bCs/>
          <w:color w:val="auto"/>
          <w:szCs w:val="21"/>
          <w:highlight w:val="none"/>
          <w:lang w:val="zh-CN"/>
        </w:rPr>
      </w:pPr>
    </w:p>
    <w:p w14:paraId="1488F150">
      <w:pPr>
        <w:spacing w:line="360" w:lineRule="auto"/>
        <w:ind w:firstLine="422" w:firstLineChars="20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供应商按照招标文件的要求，根据项目需求及评审办法做出全面响应并编制突发事件应急处置预案。</w:t>
      </w:r>
    </w:p>
    <w:p w14:paraId="208E8029">
      <w:pPr>
        <w:spacing w:line="360" w:lineRule="auto"/>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（格式自拟）</w:t>
      </w:r>
    </w:p>
    <w:p w14:paraId="2A70F2C6">
      <w:pPr>
        <w:pStyle w:val="31"/>
        <w:rPr>
          <w:rFonts w:ascii="Microsoft New Tai Lue" w:hAnsi="Microsoft New Tai Lue" w:cs="Microsoft New Tai Lue"/>
          <w:bCs w:val="0"/>
          <w:color w:val="auto"/>
          <w:sz w:val="24"/>
          <w:szCs w:val="24"/>
          <w:highlight w:val="none"/>
        </w:rPr>
        <w:sectPr>
          <w:pgSz w:w="11911" w:h="16838"/>
          <w:pgMar w:top="1440" w:right="1803" w:bottom="1440" w:left="1803" w:header="720" w:footer="720" w:gutter="0"/>
          <w:pgNumType w:fmt="decimal"/>
          <w:cols w:space="0" w:num="1"/>
          <w:rtlGutter w:val="0"/>
          <w:docGrid w:linePitch="317" w:charSpace="0"/>
        </w:sectPr>
      </w:pPr>
    </w:p>
    <w:p w14:paraId="494FF96B">
      <w:pPr>
        <w:pStyle w:val="31"/>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（13）分析报告</w:t>
      </w:r>
    </w:p>
    <w:p w14:paraId="1C204C2C">
      <w:pPr>
        <w:pStyle w:val="15"/>
        <w:ind w:left="0" w:leftChars="0"/>
        <w:rPr>
          <w:color w:val="auto"/>
          <w:highlight w:val="none"/>
        </w:rPr>
      </w:pPr>
    </w:p>
    <w:p w14:paraId="1E1706B5">
      <w:pPr>
        <w:spacing w:line="360" w:lineRule="auto"/>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供应商按照招标文件的要求，根据项目需求及评审办法做出全面响应并编制分析报告。</w:t>
      </w:r>
    </w:p>
    <w:p w14:paraId="7469159B">
      <w:pPr>
        <w:spacing w:line="360" w:lineRule="auto"/>
        <w:jc w:val="center"/>
        <w:rPr>
          <w:rFonts w:hint="eastAsia" w:ascii="宋体" w:hAnsi="宋体" w:cs="宋体"/>
          <w:b/>
          <w:bCs/>
          <w:color w:val="auto"/>
          <w:szCs w:val="21"/>
          <w:highlight w:val="none"/>
          <w:lang w:val="zh-CN"/>
        </w:rPr>
        <w:sectPr>
          <w:pgSz w:w="11911" w:h="16838"/>
          <w:pgMar w:top="1440" w:right="1803" w:bottom="1440" w:left="1803" w:header="720" w:footer="720" w:gutter="0"/>
          <w:pgNumType w:fmt="decimal"/>
          <w:cols w:space="0" w:num="1"/>
          <w:rtlGutter w:val="0"/>
          <w:docGrid w:linePitch="317" w:charSpace="0"/>
        </w:sectPr>
      </w:pPr>
      <w:r>
        <w:rPr>
          <w:rFonts w:hint="eastAsia" w:ascii="宋体" w:hAnsi="宋体" w:cs="宋体"/>
          <w:b/>
          <w:bCs/>
          <w:color w:val="auto"/>
          <w:szCs w:val="21"/>
          <w:highlight w:val="none"/>
          <w:lang w:val="zh-CN"/>
        </w:rPr>
        <w:t>（格式自拟）</w:t>
      </w:r>
    </w:p>
    <w:p w14:paraId="7CC203F6">
      <w:pPr>
        <w:pStyle w:val="31"/>
        <w:rPr>
          <w:rFonts w:ascii="Microsoft New Tai Lue" w:hAnsi="Microsoft New Tai Lue" w:cs="Microsoft New Tai Lue"/>
          <w:bCs w:val="0"/>
          <w:color w:val="auto"/>
          <w:sz w:val="24"/>
          <w:szCs w:val="24"/>
          <w:highlight w:val="none"/>
        </w:rPr>
      </w:pPr>
      <w:r>
        <w:rPr>
          <w:rFonts w:hint="eastAsia" w:ascii="Microsoft New Tai Lue" w:hAnsi="Microsoft New Tai Lue" w:cs="Microsoft New Tai Lue"/>
          <w:bCs w:val="0"/>
          <w:color w:val="auto"/>
          <w:sz w:val="24"/>
          <w:szCs w:val="24"/>
          <w:highlight w:val="none"/>
        </w:rPr>
        <w:t>（</w:t>
      </w:r>
      <w:r>
        <w:rPr>
          <w:rFonts w:hint="eastAsia" w:ascii="Microsoft New Tai Lue" w:hAnsi="Microsoft New Tai Lue" w:cs="Microsoft New Tai Lue"/>
          <w:bCs w:val="0"/>
          <w:color w:val="auto"/>
          <w:sz w:val="24"/>
          <w:szCs w:val="24"/>
          <w:highlight w:val="none"/>
          <w:lang w:val="en-US" w:eastAsia="zh-CN"/>
        </w:rPr>
        <w:t>14</w:t>
      </w:r>
      <w:r>
        <w:rPr>
          <w:rFonts w:hint="eastAsia" w:ascii="Microsoft New Tai Lue" w:hAnsi="Microsoft New Tai Lue" w:cs="Microsoft New Tai Lue"/>
          <w:bCs w:val="0"/>
          <w:color w:val="auto"/>
          <w:sz w:val="24"/>
          <w:szCs w:val="24"/>
          <w:highlight w:val="none"/>
        </w:rPr>
        <w:t>）检测能力</w:t>
      </w:r>
    </w:p>
    <w:tbl>
      <w:tblPr>
        <w:tblStyle w:val="34"/>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5"/>
        <w:gridCol w:w="2954"/>
        <w:gridCol w:w="2879"/>
        <w:gridCol w:w="1715"/>
        <w:gridCol w:w="793"/>
      </w:tblGrid>
      <w:tr w14:paraId="644C5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jc w:val="center"/>
        </w:trPr>
        <w:tc>
          <w:tcPr>
            <w:tcW w:w="585" w:type="dxa"/>
            <w:vAlign w:val="center"/>
          </w:tcPr>
          <w:p w14:paraId="5B626DB5">
            <w:pPr>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2954" w:type="dxa"/>
            <w:vAlign w:val="center"/>
          </w:tcPr>
          <w:p w14:paraId="4404B611">
            <w:pPr>
              <w:jc w:val="center"/>
              <w:rPr>
                <w:rFonts w:hint="eastAsia" w:ascii="宋体" w:hAnsi="宋体" w:cs="宋体"/>
                <w:color w:val="auto"/>
                <w:szCs w:val="21"/>
                <w:highlight w:val="none"/>
              </w:rPr>
            </w:pPr>
            <w:r>
              <w:rPr>
                <w:rFonts w:hint="eastAsia" w:ascii="宋体" w:hAnsi="宋体" w:cs="宋体"/>
                <w:color w:val="auto"/>
                <w:szCs w:val="21"/>
                <w:highlight w:val="none"/>
              </w:rPr>
              <w:t>评分标准</w:t>
            </w:r>
          </w:p>
        </w:tc>
        <w:tc>
          <w:tcPr>
            <w:tcW w:w="2879" w:type="dxa"/>
            <w:vAlign w:val="center"/>
          </w:tcPr>
          <w:p w14:paraId="09EDAB73">
            <w:pPr>
              <w:jc w:val="center"/>
              <w:rPr>
                <w:rFonts w:hint="eastAsia" w:ascii="宋体" w:hAnsi="宋体" w:cs="宋体"/>
                <w:color w:val="auto"/>
                <w:szCs w:val="21"/>
                <w:highlight w:val="none"/>
              </w:rPr>
            </w:pPr>
            <w:r>
              <w:rPr>
                <w:rFonts w:hint="eastAsia" w:ascii="宋体" w:hAnsi="宋体" w:cs="宋体"/>
                <w:color w:val="auto"/>
                <w:szCs w:val="21"/>
                <w:highlight w:val="none"/>
              </w:rPr>
              <w:t>内容</w:t>
            </w:r>
          </w:p>
        </w:tc>
        <w:tc>
          <w:tcPr>
            <w:tcW w:w="1715" w:type="dxa"/>
            <w:vAlign w:val="center"/>
          </w:tcPr>
          <w:p w14:paraId="2EEE5B0F">
            <w:pPr>
              <w:jc w:val="center"/>
              <w:rPr>
                <w:rFonts w:hint="eastAsia" w:ascii="宋体" w:hAnsi="宋体" w:cs="宋体"/>
                <w:color w:val="auto"/>
                <w:szCs w:val="21"/>
                <w:highlight w:val="none"/>
              </w:rPr>
            </w:pPr>
            <w:r>
              <w:rPr>
                <w:rFonts w:hint="eastAsia" w:ascii="Microsoft New Tai Lue" w:hAnsi="Microsoft New Tai Lue" w:cs="Microsoft New Tai Lue"/>
                <w:color w:val="auto"/>
                <w:szCs w:val="21"/>
                <w:highlight w:val="none"/>
              </w:rPr>
              <w:t>在投标文件中的页码位置</w:t>
            </w:r>
          </w:p>
        </w:tc>
        <w:tc>
          <w:tcPr>
            <w:tcW w:w="793" w:type="dxa"/>
            <w:vAlign w:val="center"/>
          </w:tcPr>
          <w:p w14:paraId="277EB19A">
            <w:pPr>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0C8EE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3D372A40">
            <w:pPr>
              <w:jc w:val="center"/>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1</w:t>
            </w:r>
          </w:p>
        </w:tc>
        <w:tc>
          <w:tcPr>
            <w:tcW w:w="2954" w:type="dxa"/>
            <w:vAlign w:val="center"/>
          </w:tcPr>
          <w:p w14:paraId="6F426958">
            <w:pPr>
              <w:jc w:val="left"/>
              <w:rPr>
                <w:rFonts w:hint="eastAsia" w:ascii="宋体" w:hAnsi="宋体" w:cs="宋体"/>
                <w:color w:val="auto"/>
                <w:szCs w:val="21"/>
                <w:highlight w:val="none"/>
              </w:rPr>
            </w:pPr>
            <w:r>
              <w:rPr>
                <w:rFonts w:hint="eastAsia" w:ascii="宋体" w:hAnsi="宋体" w:cs="宋体"/>
                <w:color w:val="auto"/>
                <w:szCs w:val="21"/>
                <w:highlight w:val="none"/>
              </w:rPr>
              <w:t>自202</w:t>
            </w: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年1月1日起供应商</w:t>
            </w:r>
            <w:r>
              <w:rPr>
                <w:rFonts w:hint="eastAsia" w:ascii="宋体" w:hAnsi="宋体" w:cs="宋体"/>
                <w:color w:val="auto"/>
                <w:szCs w:val="21"/>
                <w:highlight w:val="none"/>
                <w:lang w:val="en-US" w:eastAsia="zh-CN"/>
              </w:rPr>
              <w:t>是否</w:t>
            </w:r>
            <w:r>
              <w:rPr>
                <w:rFonts w:hint="eastAsia" w:ascii="宋体" w:hAnsi="宋体" w:cs="宋体"/>
                <w:color w:val="auto"/>
                <w:szCs w:val="21"/>
                <w:highlight w:val="none"/>
              </w:rPr>
              <w:t>发现潜在系统性、区域性食品安全风险隐患，及时向监管部门报告并被采纳的</w:t>
            </w:r>
          </w:p>
        </w:tc>
        <w:tc>
          <w:tcPr>
            <w:tcW w:w="2879" w:type="dxa"/>
            <w:vAlign w:val="center"/>
          </w:tcPr>
          <w:p w14:paraId="09232CDB">
            <w:pPr>
              <w:jc w:val="center"/>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lang w:val="en-US" w:eastAsia="zh-CN"/>
              </w:rPr>
              <w:t>是/否</w:t>
            </w:r>
          </w:p>
        </w:tc>
        <w:tc>
          <w:tcPr>
            <w:tcW w:w="1715" w:type="dxa"/>
            <w:vAlign w:val="center"/>
          </w:tcPr>
          <w:p w14:paraId="529AEDAD">
            <w:pPr>
              <w:jc w:val="center"/>
              <w:rPr>
                <w:rFonts w:hint="eastAsia" w:ascii="宋体" w:hAnsi="宋体" w:cs="宋体"/>
                <w:color w:val="auto"/>
                <w:szCs w:val="21"/>
                <w:highlight w:val="none"/>
              </w:rPr>
            </w:pPr>
          </w:p>
        </w:tc>
        <w:tc>
          <w:tcPr>
            <w:tcW w:w="793" w:type="dxa"/>
            <w:vAlign w:val="center"/>
          </w:tcPr>
          <w:p w14:paraId="437A06CF">
            <w:pPr>
              <w:jc w:val="center"/>
              <w:rPr>
                <w:rFonts w:hint="eastAsia" w:ascii="宋体" w:hAnsi="宋体" w:cs="宋体"/>
                <w:color w:val="auto"/>
                <w:szCs w:val="21"/>
                <w:highlight w:val="none"/>
              </w:rPr>
            </w:pPr>
          </w:p>
        </w:tc>
      </w:tr>
      <w:tr w14:paraId="6686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585" w:type="dxa"/>
            <w:vAlign w:val="center"/>
          </w:tcPr>
          <w:p w14:paraId="31E6902F">
            <w:pPr>
              <w:jc w:val="center"/>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2954" w:type="dxa"/>
            <w:vAlign w:val="center"/>
          </w:tcPr>
          <w:p w14:paraId="41652B3A">
            <w:pPr>
              <w:jc w:val="left"/>
              <w:rPr>
                <w:rFonts w:hint="eastAsia" w:ascii="宋体" w:hAnsi="宋体" w:cs="宋体"/>
                <w:color w:val="auto"/>
                <w:szCs w:val="21"/>
                <w:highlight w:val="none"/>
              </w:rPr>
            </w:pPr>
            <w:r>
              <w:rPr>
                <w:rFonts w:hint="eastAsia" w:ascii="宋体" w:hAnsi="宋体" w:cs="宋体"/>
                <w:color w:val="auto"/>
                <w:szCs w:val="21"/>
                <w:highlight w:val="none"/>
              </w:rPr>
              <w:t>所报告的风险隐患</w:t>
            </w:r>
            <w:r>
              <w:rPr>
                <w:rFonts w:hint="eastAsia" w:ascii="宋体" w:hAnsi="宋体" w:cs="宋体"/>
                <w:color w:val="auto"/>
                <w:szCs w:val="21"/>
                <w:highlight w:val="none"/>
                <w:lang w:val="en-US" w:eastAsia="zh-CN"/>
              </w:rPr>
              <w:t>是否</w:t>
            </w:r>
            <w:r>
              <w:rPr>
                <w:rFonts w:hint="eastAsia" w:ascii="宋体" w:hAnsi="宋体" w:cs="宋体"/>
                <w:color w:val="auto"/>
                <w:szCs w:val="21"/>
                <w:highlight w:val="none"/>
              </w:rPr>
              <w:t>属于</w:t>
            </w:r>
            <w:r>
              <w:rPr>
                <w:rFonts w:hint="eastAsia" w:ascii="宋体" w:hAnsi="宋体" w:cs="宋体"/>
                <w:color w:val="auto"/>
                <w:kern w:val="0"/>
                <w:szCs w:val="21"/>
                <w:highlight w:val="none"/>
                <w:lang w:bidi="ar"/>
              </w:rPr>
              <w:t>市场监督管理</w:t>
            </w:r>
            <w:r>
              <w:rPr>
                <w:rFonts w:hint="eastAsia" w:ascii="宋体" w:hAnsi="宋体" w:cs="宋体"/>
                <w:color w:val="auto"/>
                <w:kern w:val="0"/>
                <w:szCs w:val="21"/>
                <w:highlight w:val="none"/>
                <w:lang w:val="en-US" w:eastAsia="zh-CN" w:bidi="ar"/>
              </w:rPr>
              <w:t>部门</w:t>
            </w:r>
            <w:r>
              <w:rPr>
                <w:rFonts w:hint="eastAsia" w:ascii="宋体" w:hAnsi="宋体" w:cs="宋体"/>
                <w:color w:val="auto"/>
                <w:kern w:val="0"/>
                <w:szCs w:val="21"/>
                <w:highlight w:val="none"/>
                <w:lang w:bidi="ar"/>
              </w:rPr>
              <w:t>食品安全抽检类相关细则范围以外</w:t>
            </w:r>
          </w:p>
        </w:tc>
        <w:tc>
          <w:tcPr>
            <w:tcW w:w="2879" w:type="dxa"/>
            <w:vAlign w:val="center"/>
          </w:tcPr>
          <w:p w14:paraId="192D8165">
            <w:pPr>
              <w:jc w:val="center"/>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是/否</w:t>
            </w:r>
          </w:p>
        </w:tc>
        <w:tc>
          <w:tcPr>
            <w:tcW w:w="1715" w:type="dxa"/>
            <w:vAlign w:val="center"/>
          </w:tcPr>
          <w:p w14:paraId="1F8F7B4D">
            <w:pPr>
              <w:jc w:val="center"/>
              <w:rPr>
                <w:rFonts w:hint="eastAsia" w:ascii="宋体" w:hAnsi="宋体" w:cs="宋体"/>
                <w:color w:val="auto"/>
                <w:szCs w:val="21"/>
                <w:highlight w:val="none"/>
              </w:rPr>
            </w:pPr>
          </w:p>
        </w:tc>
        <w:tc>
          <w:tcPr>
            <w:tcW w:w="793" w:type="dxa"/>
            <w:vAlign w:val="center"/>
          </w:tcPr>
          <w:p w14:paraId="5EF3400E">
            <w:pPr>
              <w:jc w:val="center"/>
              <w:rPr>
                <w:rFonts w:hint="eastAsia" w:ascii="宋体" w:hAnsi="宋体" w:cs="宋体"/>
                <w:color w:val="auto"/>
                <w:szCs w:val="21"/>
                <w:highlight w:val="none"/>
              </w:rPr>
            </w:pPr>
          </w:p>
        </w:tc>
      </w:tr>
    </w:tbl>
    <w:p w14:paraId="750BB375">
      <w:pPr>
        <w:pStyle w:val="15"/>
        <w:ind w:left="0" w:leftChars="0"/>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注：须提供监管部门出具的相关证明材料。</w:t>
      </w:r>
    </w:p>
    <w:p w14:paraId="035BEA06">
      <w:pPr>
        <w:rPr>
          <w:rFonts w:hint="eastAsia" w:ascii="宋体" w:hAnsi="宋体" w:eastAsia="宋体" w:cs="宋体"/>
          <w:b/>
          <w:bCs/>
          <w:color w:val="auto"/>
          <w:sz w:val="21"/>
          <w:szCs w:val="21"/>
          <w:highlight w:val="none"/>
          <w:lang w:val="en-US" w:eastAsia="zh-CN"/>
        </w:rPr>
      </w:pPr>
    </w:p>
    <w:p w14:paraId="7C05CDB1">
      <w:pPr>
        <w:pStyle w:val="15"/>
        <w:rPr>
          <w:rFonts w:hint="eastAsia" w:ascii="宋体" w:hAnsi="宋体" w:eastAsia="宋体" w:cs="宋体"/>
          <w:b/>
          <w:bCs/>
          <w:color w:val="auto"/>
          <w:sz w:val="21"/>
          <w:szCs w:val="21"/>
          <w:highlight w:val="none"/>
          <w:lang w:val="en-US" w:eastAsia="zh-CN"/>
        </w:rPr>
      </w:pPr>
    </w:p>
    <w:p w14:paraId="5ABAF0C4">
      <w:pPr>
        <w:rPr>
          <w:rFonts w:hint="eastAsia" w:ascii="宋体" w:hAnsi="宋体" w:eastAsia="宋体" w:cs="宋体"/>
          <w:b/>
          <w:bCs/>
          <w:color w:val="auto"/>
          <w:sz w:val="21"/>
          <w:szCs w:val="21"/>
          <w:highlight w:val="none"/>
          <w:lang w:val="en-US" w:eastAsia="zh-CN"/>
        </w:rPr>
      </w:pPr>
    </w:p>
    <w:p w14:paraId="47DD005C">
      <w:pPr>
        <w:pStyle w:val="15"/>
        <w:rPr>
          <w:rFonts w:hint="eastAsia" w:ascii="宋体" w:hAnsi="宋体" w:eastAsia="宋体" w:cs="宋体"/>
          <w:b/>
          <w:bCs/>
          <w:color w:val="auto"/>
          <w:sz w:val="21"/>
          <w:szCs w:val="21"/>
          <w:highlight w:val="none"/>
          <w:lang w:val="en-US" w:eastAsia="zh-CN"/>
        </w:rPr>
      </w:pPr>
    </w:p>
    <w:p w14:paraId="4AF6A0A6">
      <w:pPr>
        <w:pStyle w:val="79"/>
        <w:ind w:firstLine="3780" w:firstLineChars="180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供应商</w:t>
      </w:r>
      <w:r>
        <w:rPr>
          <w:rFonts w:ascii="Microsoft New Tai Lue" w:hAnsi="Microsoft New Tai Lue" w:cs="Microsoft New Tai Lue"/>
          <w:color w:val="auto"/>
          <w:sz w:val="21"/>
          <w:szCs w:val="21"/>
          <w:highlight w:val="none"/>
        </w:rPr>
        <w:t>名称</w:t>
      </w:r>
      <w:r>
        <w:rPr>
          <w:rFonts w:hint="eastAsia" w:ascii="Microsoft New Tai Lue" w:hAnsi="Microsoft New Tai Lue" w:cs="Microsoft New Tai Lue"/>
          <w:color w:val="auto"/>
          <w:sz w:val="21"/>
          <w:szCs w:val="21"/>
          <w:highlight w:val="none"/>
          <w:lang w:eastAsia="zh-CN"/>
        </w:rPr>
        <w:t>（</w:t>
      </w:r>
      <w:r>
        <w:rPr>
          <w:rFonts w:hint="eastAsia" w:ascii="Microsoft New Tai Lue" w:hAnsi="Microsoft New Tai Lue" w:cs="Microsoft New Tai Lue"/>
          <w:color w:val="auto"/>
          <w:sz w:val="21"/>
          <w:szCs w:val="21"/>
          <w:highlight w:val="none"/>
        </w:rPr>
        <w:t>加盖CA电子公章</w:t>
      </w:r>
      <w:r>
        <w:rPr>
          <w:rFonts w:hint="eastAsia" w:ascii="Microsoft New Tai Lue" w:hAnsi="Microsoft New Tai Lue" w:cs="Microsoft New Tai Lue"/>
          <w:color w:val="auto"/>
          <w:sz w:val="21"/>
          <w:szCs w:val="21"/>
          <w:highlight w:val="none"/>
          <w:lang w:eastAsia="zh-CN"/>
        </w:rPr>
        <w:t>）</w:t>
      </w:r>
      <w:r>
        <w:rPr>
          <w:rFonts w:ascii="Microsoft New Tai Lue" w:hAnsi="Microsoft New Tai Lue" w:cs="Microsoft New Tai Lue"/>
          <w:color w:val="auto"/>
          <w:sz w:val="21"/>
          <w:szCs w:val="21"/>
          <w:highlight w:val="none"/>
        </w:rPr>
        <w:t>：____________</w:t>
      </w:r>
    </w:p>
    <w:p w14:paraId="7D639CD3">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法定代表人（单位负责人）</w:t>
      </w:r>
    </w:p>
    <w:p w14:paraId="456FEB9D">
      <w:pPr>
        <w:pStyle w:val="79"/>
        <w:ind w:right="420" w:firstLine="3780" w:firstLineChars="180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或其授权代表（签字或盖章）：</w:t>
      </w:r>
    </w:p>
    <w:p w14:paraId="7D7767FA">
      <w:pPr>
        <w:pStyle w:val="79"/>
        <w:ind w:right="420" w:firstLine="3780" w:firstLineChars="1800"/>
        <w:jc w:val="left"/>
        <w:rPr>
          <w:rFonts w:hint="eastAsia" w:ascii="Microsoft New Tai Lue" w:hAnsi="Microsoft New Tai Lue" w:cs="Microsoft New Tai Lue"/>
          <w:color w:val="auto"/>
          <w:sz w:val="21"/>
          <w:szCs w:val="21"/>
          <w:highlight w:val="none"/>
          <w:lang w:val="zh-CN"/>
        </w:rPr>
        <w:sectPr>
          <w:pgSz w:w="11911" w:h="16838"/>
          <w:pgMar w:top="1440" w:right="1803" w:bottom="1440" w:left="1803" w:header="720" w:footer="720" w:gutter="0"/>
          <w:pgNumType w:fmt="decimal"/>
          <w:cols w:space="0" w:num="1"/>
          <w:rtlGutter w:val="0"/>
          <w:docGrid w:linePitch="317" w:charSpace="0"/>
        </w:sectPr>
      </w:pPr>
      <w:r>
        <w:rPr>
          <w:rFonts w:ascii="Microsoft New Tai Lue" w:hAnsi="Microsoft New Tai Lue" w:cs="Microsoft New Tai Lue"/>
          <w:color w:val="auto"/>
          <w:sz w:val="21"/>
          <w:szCs w:val="21"/>
          <w:highlight w:val="none"/>
        </w:rPr>
        <w:t>日期：______年____月____日</w:t>
      </w:r>
    </w:p>
    <w:bookmarkEnd w:id="278"/>
    <w:bookmarkEnd w:id="352"/>
    <w:bookmarkEnd w:id="353"/>
    <w:bookmarkEnd w:id="354"/>
    <w:p w14:paraId="4999929C">
      <w:pPr>
        <w:pStyle w:val="31"/>
        <w:rPr>
          <w:rFonts w:ascii="Microsoft New Tai Lue" w:hAnsi="Microsoft New Tai Lue" w:cs="Microsoft New Tai Lue"/>
          <w:color w:val="auto"/>
          <w:highlight w:val="none"/>
        </w:rPr>
      </w:pPr>
      <w:bookmarkStart w:id="355" w:name="_Toc103848605"/>
      <w:bookmarkStart w:id="356" w:name="_Toc107246305"/>
      <w:bookmarkStart w:id="357" w:name="_Toc104560922"/>
      <w:bookmarkStart w:id="358" w:name="_Toc100905289"/>
      <w:bookmarkStart w:id="359" w:name="_Toc96347904"/>
      <w:r>
        <w:rPr>
          <w:rFonts w:hint="eastAsia" w:ascii="Microsoft New Tai Lue" w:hAnsi="Microsoft New Tai Lue" w:cs="Microsoft New Tai Lue"/>
          <w:color w:val="auto"/>
          <w:sz w:val="28"/>
          <w:szCs w:val="24"/>
          <w:highlight w:val="none"/>
        </w:rPr>
        <w:t>三</w:t>
      </w:r>
      <w:r>
        <w:rPr>
          <w:rFonts w:ascii="Microsoft New Tai Lue" w:hAnsi="Microsoft New Tai Lue" w:cs="Microsoft New Tai Lue"/>
          <w:color w:val="auto"/>
          <w:sz w:val="28"/>
          <w:szCs w:val="24"/>
          <w:highlight w:val="none"/>
        </w:rPr>
        <w:t>、其他部分</w:t>
      </w:r>
      <w:bookmarkEnd w:id="355"/>
      <w:bookmarkEnd w:id="356"/>
      <w:bookmarkEnd w:id="357"/>
    </w:p>
    <w:p w14:paraId="239A499C">
      <w:pPr>
        <w:pStyle w:val="31"/>
        <w:spacing w:before="0"/>
        <w:rPr>
          <w:rFonts w:ascii="Microsoft New Tai Lue" w:hAnsi="Microsoft New Tai Lue" w:cs="Microsoft New Tai Lue"/>
          <w:bCs w:val="0"/>
          <w:color w:val="auto"/>
          <w:sz w:val="24"/>
          <w:szCs w:val="24"/>
          <w:highlight w:val="none"/>
        </w:rPr>
      </w:pPr>
      <w:bookmarkStart w:id="360" w:name="_Toc107246306"/>
      <w:bookmarkStart w:id="361" w:name="_Toc103848606"/>
      <w:bookmarkStart w:id="362" w:name="_Toc104560923"/>
      <w:r>
        <w:rPr>
          <w:rFonts w:ascii="Microsoft New Tai Lue" w:hAnsi="Microsoft New Tai Lue" w:cs="Microsoft New Tai Lue"/>
          <w:bCs w:val="0"/>
          <w:color w:val="auto"/>
          <w:sz w:val="24"/>
          <w:szCs w:val="24"/>
          <w:highlight w:val="none"/>
        </w:rPr>
        <w:t>（1）提供符合政府采购政策的证明材料</w:t>
      </w:r>
      <w:bookmarkEnd w:id="358"/>
      <w:bookmarkEnd w:id="360"/>
      <w:bookmarkEnd w:id="361"/>
      <w:bookmarkEnd w:id="362"/>
    </w:p>
    <w:p w14:paraId="25FA2F4C">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（请根据本项目</w:t>
      </w:r>
      <w:r>
        <w:rPr>
          <w:rFonts w:hint="eastAsia" w:ascii="Microsoft New Tai Lue" w:hAnsi="Microsoft New Tai Lue" w:cs="Microsoft New Tai Lue"/>
          <w:bCs/>
          <w:color w:val="auto"/>
          <w:szCs w:val="21"/>
          <w:highlight w:val="none"/>
        </w:rPr>
        <w:t>“</w:t>
      </w:r>
      <w:r>
        <w:rPr>
          <w:rFonts w:ascii="Microsoft New Tai Lue" w:hAnsi="Microsoft New Tai Lue" w:cs="Microsoft New Tai Lue"/>
          <w:color w:val="auto"/>
          <w:highlight w:val="none"/>
        </w:rPr>
        <w:t>采购项目类型</w:t>
      </w:r>
      <w:r>
        <w:rPr>
          <w:rFonts w:hint="eastAsia" w:ascii="Microsoft New Tai Lue" w:hAnsi="Microsoft New Tai Lue" w:cs="Microsoft New Tai Lue"/>
          <w:bCs/>
          <w:color w:val="auto"/>
          <w:highlight w:val="none"/>
        </w:rPr>
        <w:t>”</w:t>
      </w:r>
      <w:r>
        <w:rPr>
          <w:rFonts w:ascii="Microsoft New Tai Lue" w:hAnsi="Microsoft New Tai Lue" w:cs="Microsoft New Tai Lue"/>
          <w:color w:val="auto"/>
          <w:highlight w:val="none"/>
        </w:rPr>
        <w:t>选择合适的中小企业声明函，不适用的可以不提交）</w:t>
      </w:r>
    </w:p>
    <w:p w14:paraId="09F53807">
      <w:pPr>
        <w:pStyle w:val="7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中小企业声明函（工程、服务）</w:t>
      </w:r>
    </w:p>
    <w:p w14:paraId="1F73079D">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（单位名称）</w:t>
      </w:r>
      <w:r>
        <w:rPr>
          <w:rFonts w:ascii="Microsoft New Tai Lue" w:hAnsi="Microsoft New Tai Lue" w:cs="Microsoft New Tai Lue"/>
          <w:color w:val="auto"/>
          <w:spacing w:val="3"/>
          <w:szCs w:val="21"/>
          <w:highlight w:val="none"/>
        </w:rPr>
        <w:t>的</w:t>
      </w:r>
      <w:r>
        <w:rPr>
          <w:rFonts w:ascii="Microsoft New Tai Lue" w:hAnsi="Microsoft New Tai Lue" w:cs="Microsoft New Tai Lue"/>
          <w:i/>
          <w:color w:val="auto"/>
          <w:spacing w:val="3"/>
          <w:szCs w:val="21"/>
          <w:highlight w:val="none"/>
          <w:u w:val="single"/>
        </w:rPr>
        <w:t>（项目名称）</w:t>
      </w:r>
      <w:r>
        <w:rPr>
          <w:rFonts w:ascii="Microsoft New Tai Lue" w:hAnsi="Microsoft New Tai Lue" w:cs="Microsoft New Tai Lue"/>
          <w:color w:val="auto"/>
          <w:spacing w:val="3"/>
          <w:szCs w:val="21"/>
          <w:highlight w:val="none"/>
        </w:rPr>
        <w:t>采购活动，工程的施工单位全部为符合政策要求的中小企业（或者：服务 全部由符合政策要求的中小企业承接）。相关企业（含联合 体中的中小企业、签订分包意向协议的中小企业）的具体情 况如下：</w:t>
      </w:r>
    </w:p>
    <w:p w14:paraId="1AF7C5D0">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（标的名称）</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（招标文件中明确的所属行业）</w:t>
      </w:r>
      <w:r>
        <w:rPr>
          <w:rFonts w:ascii="Microsoft New Tai Lue" w:hAnsi="Microsoft New Tai Lue" w:cs="Microsoft New Tai Lue"/>
          <w:color w:val="auto"/>
          <w:spacing w:val="3"/>
          <w:szCs w:val="21"/>
          <w:highlight w:val="none"/>
        </w:rPr>
        <w:t>； 承建（承接）企业为</w:t>
      </w:r>
      <w:r>
        <w:rPr>
          <w:rFonts w:ascii="Microsoft New Tai Lue" w:hAnsi="Microsoft New Tai Lue" w:cs="Microsoft New Tai Lue"/>
          <w:i/>
          <w:color w:val="auto"/>
          <w:spacing w:val="3"/>
          <w:szCs w:val="21"/>
          <w:highlight w:val="none"/>
          <w:u w:val="single"/>
        </w:rPr>
        <w:t>（企业名称）</w:t>
      </w:r>
      <w:r>
        <w:rPr>
          <w:rFonts w:ascii="Microsoft New Tai Lue" w:hAnsi="Microsoft New Tai Lue" w:cs="Microsoft New Tai Lue"/>
          <w:color w:val="auto"/>
          <w:spacing w:val="3"/>
          <w:szCs w:val="21"/>
          <w:highlight w:val="none"/>
        </w:rPr>
        <w:t>，从业人员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万元</w:t>
      </w:r>
      <w:r>
        <w:rPr>
          <w:rFonts w:ascii="Microsoft New Tai Lue" w:hAnsi="Microsoft New Tai Lue" w:cs="Microsoft New Tai Lue"/>
          <w:color w:val="auto"/>
          <w:spacing w:val="3"/>
          <w:szCs w:val="21"/>
          <w:highlight w:val="none"/>
          <w:vertAlign w:val="superscript"/>
        </w:rPr>
        <w:t>1</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（中型企业、 小型企业、微型企业）</w:t>
      </w:r>
      <w:r>
        <w:rPr>
          <w:rFonts w:ascii="Microsoft New Tai Lue" w:hAnsi="Microsoft New Tai Lue" w:cs="Microsoft New Tai Lue"/>
          <w:color w:val="auto"/>
          <w:spacing w:val="3"/>
          <w:szCs w:val="21"/>
          <w:highlight w:val="none"/>
        </w:rPr>
        <w:t>；</w:t>
      </w:r>
    </w:p>
    <w:p w14:paraId="2E6C83BF">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（标的名称）</w:t>
      </w:r>
      <w:r>
        <w:rPr>
          <w:rFonts w:ascii="Microsoft New Tai Lue" w:hAnsi="Microsoft New Tai Lue" w:cs="Microsoft New Tai Lue"/>
          <w:color w:val="auto"/>
          <w:spacing w:val="3"/>
          <w:szCs w:val="21"/>
          <w:highlight w:val="none"/>
        </w:rPr>
        <w:t>，属于</w:t>
      </w:r>
      <w:r>
        <w:rPr>
          <w:rFonts w:ascii="Microsoft New Tai Lue" w:hAnsi="Microsoft New Tai Lue" w:cs="Microsoft New Tai Lue"/>
          <w:i/>
          <w:color w:val="auto"/>
          <w:spacing w:val="3"/>
          <w:szCs w:val="21"/>
          <w:highlight w:val="none"/>
          <w:u w:val="single"/>
        </w:rPr>
        <w:t>（招标文件中明确的所属行业）</w:t>
      </w:r>
      <w:r>
        <w:rPr>
          <w:rFonts w:ascii="Microsoft New Tai Lue" w:hAnsi="Microsoft New Tai Lue" w:cs="Microsoft New Tai Lue"/>
          <w:color w:val="auto"/>
          <w:spacing w:val="3"/>
          <w:szCs w:val="21"/>
          <w:highlight w:val="none"/>
        </w:rPr>
        <w:t>； 承建（承接）企业为</w:t>
      </w:r>
      <w:r>
        <w:rPr>
          <w:rFonts w:ascii="Microsoft New Tai Lue" w:hAnsi="Microsoft New Tai Lue" w:cs="Microsoft New Tai Lue"/>
          <w:i/>
          <w:color w:val="auto"/>
          <w:spacing w:val="3"/>
          <w:szCs w:val="21"/>
          <w:highlight w:val="none"/>
          <w:u w:val="single"/>
        </w:rPr>
        <w:t>（企业名称）</w:t>
      </w:r>
      <w:r>
        <w:rPr>
          <w:rFonts w:ascii="Microsoft New Tai Lue" w:hAnsi="Microsoft New Tai Lue" w:cs="Microsoft New Tai Lue"/>
          <w:color w:val="auto"/>
          <w:spacing w:val="3"/>
          <w:szCs w:val="21"/>
          <w:highlight w:val="none"/>
        </w:rPr>
        <w:t>，从业人员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万元，属于</w:t>
      </w:r>
      <w:r>
        <w:rPr>
          <w:rFonts w:ascii="Microsoft New Tai Lue" w:hAnsi="Microsoft New Tai Lue" w:cs="Microsoft New Tai Lue"/>
          <w:i/>
          <w:color w:val="auto"/>
          <w:spacing w:val="3"/>
          <w:szCs w:val="21"/>
          <w:highlight w:val="none"/>
          <w:u w:val="single"/>
        </w:rPr>
        <w:t>（中型企业、 小型企业、微型企业）</w:t>
      </w:r>
      <w:r>
        <w:rPr>
          <w:rFonts w:ascii="Microsoft New Tai Lue" w:hAnsi="Microsoft New Tai Lue" w:cs="Microsoft New Tai Lue"/>
          <w:color w:val="auto"/>
          <w:spacing w:val="3"/>
          <w:szCs w:val="21"/>
          <w:highlight w:val="none"/>
        </w:rPr>
        <w:t>；</w:t>
      </w:r>
    </w:p>
    <w:p w14:paraId="1406FF4C">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p>
    <w:p w14:paraId="6B7CAFF8">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以上企业，不属于大企业的分支机构，不存在控股股东为大企业的情形，也不存在与大企业的负责人为同一人的情形。</w:t>
      </w:r>
    </w:p>
    <w:p w14:paraId="2977A120">
      <w:pPr>
        <w:spacing w:line="360" w:lineRule="auto"/>
        <w:ind w:left="120" w:right="207" w:firstLine="641"/>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本企业对上述声明内容的真实性负责。如有虚假，将依法承担相应责任。</w:t>
      </w:r>
    </w:p>
    <w:p w14:paraId="6D6D0EFB">
      <w:pPr>
        <w:spacing w:before="3" w:line="360" w:lineRule="auto"/>
        <w:rPr>
          <w:rFonts w:ascii="Microsoft New Tai Lue" w:hAnsi="Microsoft New Tai Lue" w:cs="Microsoft New Tai Lue"/>
          <w:color w:val="auto"/>
          <w:szCs w:val="21"/>
          <w:highlight w:val="none"/>
        </w:rPr>
      </w:pPr>
    </w:p>
    <w:p w14:paraId="0BE4A288">
      <w:pPr>
        <w:spacing w:line="360" w:lineRule="auto"/>
        <w:ind w:right="400" w:firstLine="3780" w:firstLineChars="1800"/>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企</w:t>
      </w:r>
      <w:r>
        <w:rPr>
          <w:rFonts w:ascii="Microsoft New Tai Lue" w:hAnsi="Microsoft New Tai Lue" w:cs="Microsoft New Tai Lue"/>
          <w:color w:val="auto"/>
          <w:spacing w:val="3"/>
          <w:position w:val="-2"/>
          <w:szCs w:val="21"/>
          <w:highlight w:val="none"/>
        </w:rPr>
        <w:t>业</w:t>
      </w:r>
      <w:r>
        <w:rPr>
          <w:rFonts w:ascii="Microsoft New Tai Lue" w:hAnsi="Microsoft New Tai Lue" w:cs="Microsoft New Tai Lue"/>
          <w:color w:val="auto"/>
          <w:position w:val="-2"/>
          <w:szCs w:val="21"/>
          <w:highlight w:val="none"/>
        </w:rPr>
        <w:t>名称</w:t>
      </w:r>
      <w:r>
        <w:rPr>
          <w:rFonts w:ascii="Microsoft New Tai Lue" w:hAnsi="Microsoft New Tai Lue" w:cs="Microsoft New Tai Lue"/>
          <w:color w:val="auto"/>
          <w:spacing w:val="3"/>
          <w:position w:val="-2"/>
          <w:szCs w:val="21"/>
          <w:highlight w:val="none"/>
        </w:rPr>
        <w:t>（</w:t>
      </w:r>
      <w:r>
        <w:rPr>
          <w:rFonts w:hint="eastAsia" w:ascii="Microsoft New Tai Lue" w:hAnsi="Microsoft New Tai Lue" w:cs="Microsoft New Tai Lue"/>
          <w:color w:val="auto"/>
          <w:position w:val="-2"/>
          <w:szCs w:val="21"/>
          <w:highlight w:val="none"/>
        </w:rPr>
        <w:t>加盖CA电子公章</w:t>
      </w:r>
      <w:r>
        <w:rPr>
          <w:rFonts w:ascii="Microsoft New Tai Lue" w:hAnsi="Microsoft New Tai Lue" w:cs="Microsoft New Tai Lue"/>
          <w:color w:val="auto"/>
          <w:spacing w:val="-158"/>
          <w:position w:val="-2"/>
          <w:szCs w:val="21"/>
          <w:highlight w:val="none"/>
        </w:rPr>
        <w:t>）</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p>
    <w:p w14:paraId="5D3BEBE2">
      <w:pPr>
        <w:snapToGrid w:val="0"/>
        <w:spacing w:line="360" w:lineRule="auto"/>
        <w:ind w:right="420" w:firstLine="3780" w:firstLineChars="1800"/>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日</w:t>
      </w:r>
    </w:p>
    <w:p w14:paraId="32DD6AB2">
      <w:pPr>
        <w:spacing w:line="360" w:lineRule="auto"/>
        <w:jc w:val="center"/>
        <w:rPr>
          <w:rFonts w:ascii="Microsoft New Tai Lue" w:hAnsi="Microsoft New Tai Lue" w:cs="Microsoft New Tai Lue"/>
          <w:color w:val="auto"/>
          <w:szCs w:val="21"/>
          <w:highlight w:val="none"/>
        </w:rPr>
      </w:pPr>
    </w:p>
    <w:p w14:paraId="7352EDE7">
      <w:pPr>
        <w:spacing w:line="360" w:lineRule="auto"/>
        <w:ind w:right="-20"/>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1</w:t>
      </w:r>
      <w:r>
        <w:rPr>
          <w:rFonts w:ascii="Microsoft New Tai Lue" w:hAnsi="Microsoft New Tai Lue" w:cs="Microsoft New Tai Lue"/>
          <w:color w:val="auto"/>
          <w:position w:val="-2"/>
          <w:szCs w:val="21"/>
          <w:highlight w:val="none"/>
        </w:rPr>
        <w:t>从业人员、营业收入、资产总额填报上一年度数据，无上一年度数据的新成立企业可不填报。</w:t>
      </w:r>
    </w:p>
    <w:p w14:paraId="4F7D9C72">
      <w:pPr>
        <w:rPr>
          <w:rFonts w:ascii="Microsoft New Tai Lue" w:hAnsi="Microsoft New Tai Lue" w:cs="Microsoft New Tai Lue"/>
          <w:color w:val="auto"/>
          <w:szCs w:val="21"/>
          <w:highlight w:val="none"/>
        </w:rPr>
      </w:pPr>
    </w:p>
    <w:p w14:paraId="20E7A00D">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p>
    <w:p w14:paraId="70F3D601">
      <w:pPr>
        <w:pStyle w:val="79"/>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r>
      <w:r>
        <w:rPr>
          <w:rFonts w:ascii="Microsoft New Tai Lue" w:hAnsi="Microsoft New Tai Lue" w:cs="Microsoft New Tai Lue"/>
          <w:b/>
          <w:color w:val="auto"/>
          <w:sz w:val="24"/>
          <w:szCs w:val="24"/>
          <w:highlight w:val="none"/>
        </w:rPr>
        <w:t>监狱企业证明</w:t>
      </w:r>
    </w:p>
    <w:p w14:paraId="5565E8E9">
      <w:pPr>
        <w:pStyle w:val="79"/>
        <w:spacing w:line="276" w:lineRule="auto"/>
        <w:ind w:firstLine="482"/>
        <w:jc w:val="center"/>
        <w:rPr>
          <w:rFonts w:ascii="Microsoft New Tai Lue" w:hAnsi="Microsoft New Tai Lue" w:cs="Microsoft New Tai Lue"/>
          <w:b/>
          <w:color w:val="auto"/>
          <w:sz w:val="24"/>
          <w:szCs w:val="24"/>
          <w:highlight w:val="none"/>
        </w:rPr>
      </w:pPr>
    </w:p>
    <w:p w14:paraId="41A518EC">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p>
    <w:p w14:paraId="75B9ED3F">
      <w:pPr>
        <w:pStyle w:val="79"/>
        <w:ind w:firstLine="400"/>
        <w:rPr>
          <w:rFonts w:ascii="Microsoft New Tai Lue" w:hAnsi="Microsoft New Tai Lue" w:cs="Microsoft New Tai Lue"/>
          <w:color w:val="auto"/>
          <w:highlight w:val="none"/>
        </w:rPr>
      </w:pPr>
    </w:p>
    <w:p w14:paraId="78CF9015">
      <w:pPr>
        <w:rPr>
          <w:color w:val="auto"/>
          <w:highlight w:val="none"/>
        </w:rPr>
      </w:pPr>
    </w:p>
    <w:p w14:paraId="4DD75BC1">
      <w:pPr>
        <w:pStyle w:val="79"/>
        <w:ind w:firstLine="198" w:firstLineChars="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br w:type="page"/>
      </w:r>
      <w:r>
        <w:rPr>
          <w:rFonts w:ascii="Microsoft New Tai Lue" w:hAnsi="Microsoft New Tai Lue" w:cs="Microsoft New Tai Lue"/>
          <w:b/>
          <w:color w:val="auto"/>
          <w:sz w:val="24"/>
          <w:szCs w:val="24"/>
          <w:highlight w:val="none"/>
        </w:rPr>
        <w:t>残疾人福利性单位声明函</w:t>
      </w:r>
    </w:p>
    <w:p w14:paraId="59E7EB21">
      <w:pPr>
        <w:spacing w:line="276" w:lineRule="auto"/>
        <w:rPr>
          <w:rFonts w:ascii="Microsoft New Tai Lue" w:hAnsi="Microsoft New Tai Lue" w:eastAsia="仿宋_GB2312" w:cs="Microsoft New Tai Lue"/>
          <w:b/>
          <w:color w:val="auto"/>
          <w:spacing w:val="6"/>
          <w:sz w:val="30"/>
          <w:szCs w:val="30"/>
          <w:highlight w:val="none"/>
        </w:rPr>
      </w:pPr>
    </w:p>
    <w:p w14:paraId="31344009">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C895417">
      <w:pPr>
        <w:pStyle w:val="79"/>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本单位对上述声明的真实性负责。如有虚假，将依法承担相应责任。</w:t>
      </w:r>
    </w:p>
    <w:p w14:paraId="7B6BC062">
      <w:pPr>
        <w:pStyle w:val="79"/>
        <w:ind w:firstLine="420"/>
        <w:rPr>
          <w:rFonts w:ascii="Microsoft New Tai Lue" w:hAnsi="Microsoft New Tai Lue" w:cs="Microsoft New Tai Lue"/>
          <w:color w:val="auto"/>
          <w:sz w:val="21"/>
          <w:szCs w:val="21"/>
          <w:highlight w:val="none"/>
        </w:rPr>
      </w:pPr>
    </w:p>
    <w:p w14:paraId="6FC05B1F">
      <w:pPr>
        <w:pStyle w:val="79"/>
        <w:ind w:firstLine="420"/>
        <w:rPr>
          <w:rFonts w:ascii="Microsoft New Tai Lue" w:hAnsi="Microsoft New Tai Lue" w:cs="Microsoft New Tai Lue"/>
          <w:color w:val="auto"/>
          <w:sz w:val="21"/>
          <w:szCs w:val="21"/>
          <w:highlight w:val="none"/>
        </w:rPr>
      </w:pPr>
    </w:p>
    <w:p w14:paraId="4174A747">
      <w:pPr>
        <w:pStyle w:val="79"/>
        <w:ind w:firstLine="420"/>
        <w:rPr>
          <w:rFonts w:ascii="Microsoft New Tai Lue" w:hAnsi="Microsoft New Tai Lue" w:cs="Microsoft New Tai Lue"/>
          <w:color w:val="auto"/>
          <w:sz w:val="21"/>
          <w:szCs w:val="21"/>
          <w:highlight w:val="none"/>
        </w:rPr>
      </w:pPr>
    </w:p>
    <w:p w14:paraId="334221BD">
      <w:pPr>
        <w:pStyle w:val="79"/>
        <w:ind w:firstLine="3769" w:firstLineChars="1795"/>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单位名称（</w:t>
      </w:r>
      <w:r>
        <w:rPr>
          <w:rFonts w:hint="eastAsia" w:ascii="Microsoft New Tai Lue" w:hAnsi="Microsoft New Tai Lue" w:cs="Microsoft New Tai Lue"/>
          <w:color w:val="auto"/>
          <w:sz w:val="21"/>
          <w:szCs w:val="21"/>
          <w:highlight w:val="none"/>
        </w:rPr>
        <w:t>加盖CA电子公章</w:t>
      </w:r>
      <w:r>
        <w:rPr>
          <w:rFonts w:ascii="Microsoft New Tai Lue" w:hAnsi="Microsoft New Tai Lue" w:cs="Microsoft New Tai Lue"/>
          <w:color w:val="auto"/>
          <w:sz w:val="21"/>
          <w:szCs w:val="21"/>
          <w:highlight w:val="none"/>
        </w:rPr>
        <w:t>）：____________</w:t>
      </w:r>
    </w:p>
    <w:p w14:paraId="0B152C6D">
      <w:pPr>
        <w:spacing w:line="360" w:lineRule="auto"/>
        <w:ind w:firstLine="3780" w:firstLineChars="1800"/>
        <w:jc w:val="left"/>
        <w:rPr>
          <w:rFonts w:ascii="Microsoft New Tai Lue" w:hAnsi="Microsoft New Tai Lue" w:cs="Microsoft New Tai Lue"/>
          <w:bCs/>
          <w:color w:val="auto"/>
          <w:kern w:val="0"/>
          <w:szCs w:val="21"/>
          <w:highlight w:val="none"/>
        </w:rPr>
      </w:pPr>
      <w:r>
        <w:rPr>
          <w:rFonts w:ascii="Microsoft New Tai Lue" w:hAnsi="Microsoft New Tai Lue" w:cs="Microsoft New Tai Lue"/>
          <w:bCs/>
          <w:color w:val="auto"/>
          <w:kern w:val="0"/>
          <w:szCs w:val="21"/>
          <w:highlight w:val="none"/>
        </w:rPr>
        <w:t>日期：</w:t>
      </w:r>
      <w:r>
        <w:rPr>
          <w:rFonts w:ascii="Microsoft New Tai Lue" w:hAnsi="Microsoft New Tai Lue" w:cs="Microsoft New Tai Lue"/>
          <w:bCs/>
          <w:color w:val="auto"/>
          <w:kern w:val="0"/>
          <w:szCs w:val="21"/>
          <w:highlight w:val="none"/>
          <w:u w:val="single"/>
        </w:rPr>
        <w:tab/>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rPr>
        <w:t>年</w:t>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u w:val="single"/>
        </w:rPr>
        <w:tab/>
      </w:r>
      <w:r>
        <w:rPr>
          <w:rFonts w:ascii="Microsoft New Tai Lue" w:hAnsi="Microsoft New Tai Lue" w:cs="Microsoft New Tai Lue"/>
          <w:bCs/>
          <w:color w:val="auto"/>
          <w:kern w:val="0"/>
          <w:szCs w:val="21"/>
          <w:highlight w:val="none"/>
        </w:rPr>
        <w:t>月</w:t>
      </w:r>
      <w:r>
        <w:rPr>
          <w:rFonts w:ascii="Microsoft New Tai Lue" w:hAnsi="Microsoft New Tai Lue" w:cs="Microsoft New Tai Lue"/>
          <w:bCs/>
          <w:color w:val="auto"/>
          <w:kern w:val="0"/>
          <w:szCs w:val="21"/>
          <w:highlight w:val="none"/>
          <w:u w:val="single"/>
        </w:rPr>
        <w:t xml:space="preserve">   </w:t>
      </w:r>
      <w:r>
        <w:rPr>
          <w:rFonts w:ascii="Microsoft New Tai Lue" w:hAnsi="Microsoft New Tai Lue" w:cs="Microsoft New Tai Lue"/>
          <w:bCs/>
          <w:color w:val="auto"/>
          <w:kern w:val="0"/>
          <w:szCs w:val="21"/>
          <w:highlight w:val="none"/>
          <w:u w:val="single"/>
        </w:rPr>
        <w:tab/>
      </w:r>
      <w:r>
        <w:rPr>
          <w:rFonts w:ascii="Microsoft New Tai Lue" w:hAnsi="Microsoft New Tai Lue" w:cs="Microsoft New Tai Lue"/>
          <w:bCs/>
          <w:color w:val="auto"/>
          <w:kern w:val="0"/>
          <w:szCs w:val="21"/>
          <w:highlight w:val="none"/>
        </w:rPr>
        <w:t>日</w:t>
      </w:r>
    </w:p>
    <w:p w14:paraId="46560021">
      <w:pPr>
        <w:rPr>
          <w:rFonts w:ascii="Microsoft New Tai Lue" w:hAnsi="Microsoft New Tai Lue" w:cs="Microsoft New Tai Lue"/>
          <w:color w:val="auto"/>
          <w:highlight w:val="none"/>
        </w:rPr>
      </w:pPr>
    </w:p>
    <w:bookmarkEnd w:id="359"/>
    <w:p w14:paraId="6C4FC41B">
      <w:pPr>
        <w:pStyle w:val="79"/>
        <w:ind w:firstLine="198" w:firstLineChars="82"/>
        <w:jc w:val="center"/>
        <w:rPr>
          <w:rFonts w:ascii="Microsoft New Tai Lue" w:hAnsi="Microsoft New Tai Lue" w:cs="Microsoft New Tai Lue"/>
          <w:color w:val="auto"/>
          <w:szCs w:val="21"/>
          <w:highlight w:val="none"/>
        </w:rPr>
      </w:pPr>
      <w:bookmarkStart w:id="363" w:name="_Toc68159635"/>
      <w:bookmarkStart w:id="364" w:name="_Toc96347933"/>
      <w:bookmarkStart w:id="365" w:name="_Toc520719716"/>
      <w:bookmarkStart w:id="366" w:name="_Toc13233103"/>
      <w:bookmarkStart w:id="367" w:name="_Toc17097051"/>
      <w:bookmarkStart w:id="368" w:name="_Toc9515977"/>
      <w:bookmarkStart w:id="369" w:name="_Toc11678078"/>
      <w:bookmarkStart w:id="370" w:name="_Toc525720156"/>
      <w:bookmarkStart w:id="371" w:name="_Toc8742841"/>
      <w:bookmarkStart w:id="372" w:name="_Toc522290174"/>
      <w:bookmarkStart w:id="373" w:name="_Toc10472943"/>
      <w:bookmarkStart w:id="374" w:name="_Toc63695313"/>
      <w:r>
        <w:rPr>
          <w:rFonts w:ascii="Microsoft New Tai Lue" w:hAnsi="Microsoft New Tai Lue" w:cs="Microsoft New Tai Lue"/>
          <w:b/>
          <w:color w:val="auto"/>
          <w:sz w:val="24"/>
          <w:szCs w:val="24"/>
          <w:highlight w:val="none"/>
        </w:rPr>
        <w:br w:type="page"/>
      </w:r>
      <w:bookmarkEnd w:id="363"/>
      <w:bookmarkEnd w:id="364"/>
      <w:bookmarkEnd w:id="365"/>
      <w:bookmarkEnd w:id="366"/>
      <w:bookmarkEnd w:id="367"/>
      <w:bookmarkEnd w:id="368"/>
      <w:bookmarkEnd w:id="369"/>
      <w:bookmarkEnd w:id="370"/>
      <w:bookmarkEnd w:id="371"/>
      <w:bookmarkEnd w:id="372"/>
      <w:bookmarkEnd w:id="373"/>
      <w:bookmarkEnd w:id="374"/>
    </w:p>
    <w:p w14:paraId="4B234302">
      <w:pPr>
        <w:pStyle w:val="31"/>
        <w:spacing w:before="0"/>
        <w:rPr>
          <w:rFonts w:ascii="Microsoft New Tai Lue" w:hAnsi="Microsoft New Tai Lue" w:cs="Microsoft New Tai Lue"/>
          <w:bCs w:val="0"/>
          <w:color w:val="auto"/>
          <w:sz w:val="24"/>
          <w:szCs w:val="24"/>
          <w:highlight w:val="none"/>
        </w:rPr>
      </w:pPr>
      <w:bookmarkStart w:id="375" w:name="_Toc100905295"/>
      <w:bookmarkStart w:id="376" w:name="_Toc103848607"/>
      <w:bookmarkStart w:id="377" w:name="_Toc107246307"/>
      <w:bookmarkStart w:id="378" w:name="_Toc104560924"/>
      <w:r>
        <w:rPr>
          <w:rFonts w:ascii="Microsoft New Tai Lue" w:hAnsi="Microsoft New Tai Lue" w:cs="Microsoft New Tai Lue"/>
          <w:bCs w:val="0"/>
          <w:color w:val="auto"/>
          <w:sz w:val="24"/>
          <w:szCs w:val="24"/>
          <w:highlight w:val="none"/>
        </w:rPr>
        <w:t>（2）</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认为需提供的其他</w:t>
      </w:r>
      <w:bookmarkEnd w:id="375"/>
      <w:r>
        <w:rPr>
          <w:rFonts w:ascii="Microsoft New Tai Lue" w:hAnsi="Microsoft New Tai Lue" w:cs="Microsoft New Tai Lue"/>
          <w:bCs w:val="0"/>
          <w:color w:val="auto"/>
          <w:sz w:val="24"/>
          <w:szCs w:val="24"/>
          <w:highlight w:val="none"/>
        </w:rPr>
        <w:t>文件或证明材料</w:t>
      </w:r>
      <w:bookmarkEnd w:id="376"/>
      <w:bookmarkEnd w:id="377"/>
      <w:bookmarkEnd w:id="378"/>
    </w:p>
    <w:p w14:paraId="22CE7FAA">
      <w:pPr>
        <w:pStyle w:val="31"/>
        <w:spacing w:before="0"/>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br w:type="page"/>
      </w:r>
      <w:bookmarkStart w:id="379" w:name="_Toc107246308"/>
      <w:bookmarkStart w:id="380" w:name="_Toc104560925"/>
      <w:bookmarkStart w:id="381" w:name="_Toc103848608"/>
      <w:r>
        <w:rPr>
          <w:rFonts w:ascii="Microsoft New Tai Lue" w:hAnsi="Microsoft New Tai Lue" w:cs="Microsoft New Tai Lue"/>
          <w:bCs w:val="0"/>
          <w:color w:val="auto"/>
          <w:sz w:val="24"/>
          <w:szCs w:val="24"/>
          <w:highlight w:val="none"/>
        </w:rPr>
        <w:t>（3）要求</w:t>
      </w:r>
      <w:r>
        <w:rPr>
          <w:rFonts w:hint="eastAsia" w:ascii="Microsoft New Tai Lue" w:hAnsi="Microsoft New Tai Lue" w:cs="Microsoft New Tai Lue"/>
          <w:bCs w:val="0"/>
          <w:color w:val="auto"/>
          <w:sz w:val="24"/>
          <w:szCs w:val="24"/>
          <w:highlight w:val="none"/>
        </w:rPr>
        <w:t>供应商</w:t>
      </w:r>
      <w:r>
        <w:rPr>
          <w:rFonts w:ascii="Microsoft New Tai Lue" w:hAnsi="Microsoft New Tai Lue" w:cs="Microsoft New Tai Lue"/>
          <w:bCs w:val="0"/>
          <w:color w:val="auto"/>
          <w:sz w:val="24"/>
          <w:szCs w:val="24"/>
          <w:highlight w:val="none"/>
        </w:rPr>
        <w:t>提交的其他文件材料或证明材料</w:t>
      </w:r>
      <w:bookmarkEnd w:id="379"/>
      <w:bookmarkEnd w:id="380"/>
      <w:bookmarkEnd w:id="381"/>
    </w:p>
    <w:p w14:paraId="670471B9">
      <w:pPr>
        <w:rPr>
          <w:color w:val="auto"/>
          <w:highlight w:val="none"/>
        </w:rPr>
      </w:pPr>
    </w:p>
    <w:p w14:paraId="0CC7B507">
      <w:pPr>
        <w:spacing w:before="100" w:after="100" w:line="360" w:lineRule="auto"/>
        <w:rPr>
          <w:rFonts w:ascii="Microsoft New Tai Lue" w:hAnsi="Microsoft New Tai Lue" w:cs="Microsoft New Tai Lue"/>
          <w:color w:val="auto"/>
          <w:highlight w:val="none"/>
        </w:rPr>
      </w:pPr>
    </w:p>
    <w:sectPr>
      <w:pgSz w:w="11911" w:h="16838"/>
      <w:pgMar w:top="1440" w:right="1803" w:bottom="1440" w:left="1803" w:header="720" w:footer="720" w:gutter="0"/>
      <w:pgNumType w:fmt="decimal"/>
      <w:cols w:space="0" w:num="1"/>
      <w:rtlGutter w:val="0"/>
      <w:docGrid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2E765F4-F2C5-41B5-8AB1-F1A78F2FDEBE}"/>
  </w:font>
  <w:font w:name="黑体">
    <w:panose1 w:val="02010609060101010101"/>
    <w:charset w:val="86"/>
    <w:family w:val="auto"/>
    <w:pitch w:val="default"/>
    <w:sig w:usb0="800002BF" w:usb1="38CF7CFA" w:usb2="00000016" w:usb3="00000000" w:csb0="00040001" w:csb1="00000000"/>
    <w:embedRegular r:id="rId2" w:fontKey="{C047F433-8FEF-435E-87F6-95FE1FE5192E}"/>
  </w:font>
  <w:font w:name="Courier New">
    <w:panose1 w:val="02070309020205020404"/>
    <w:charset w:val="01"/>
    <w:family w:val="modern"/>
    <w:pitch w:val="default"/>
    <w:sig w:usb0="E0002EFF" w:usb1="C0007843" w:usb2="00000009" w:usb3="00000000" w:csb0="400001FF" w:csb1="FFFF0000"/>
    <w:embedRegular r:id="rId3" w:fontKey="{8B84F670-DA38-4889-9AD9-B851759FC3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4" w:fontKey="{5986F65A-7E9F-4FBA-B697-572FF7E639A2}"/>
  </w:font>
  <w:font w:name="仿宋_GB2312">
    <w:panose1 w:val="02010609030101010101"/>
    <w:charset w:val="86"/>
    <w:family w:val="auto"/>
    <w:pitch w:val="default"/>
    <w:sig w:usb0="00000001" w:usb1="080E0000" w:usb2="00000000" w:usb3="00000000" w:csb0="00040000" w:csb1="00000000"/>
    <w:embedRegular r:id="rId5" w:fontKey="{6A142835-3516-4321-8654-FBDCBF984DF1}"/>
  </w:font>
  <w:font w:name="楷体_GB2312">
    <w:altName w:val="楷体"/>
    <w:panose1 w:val="00000000000000000000"/>
    <w:charset w:val="86"/>
    <w:family w:val="modern"/>
    <w:pitch w:val="default"/>
    <w:sig w:usb0="00000000" w:usb1="00000000" w:usb2="00000010" w:usb3="00000000" w:csb0="00040000" w:csb1="00000000"/>
    <w:embedRegular r:id="rId6" w:fontKey="{201279CE-D81E-4E1C-A849-FA6C0F2E7112}"/>
  </w:font>
  <w:font w:name="楷体">
    <w:panose1 w:val="02010609060101010101"/>
    <w:charset w:val="86"/>
    <w:family w:val="auto"/>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embedRegular r:id="rId7" w:fontKey="{40022815-5A16-4E5F-ACC5-8FF17F41DAFA}"/>
  </w:font>
  <w:font w:name="Microsoft New Tai Lue">
    <w:panose1 w:val="020B0502040204020203"/>
    <w:charset w:val="00"/>
    <w:family w:val="swiss"/>
    <w:pitch w:val="default"/>
    <w:sig w:usb0="00000003" w:usb1="00000000" w:usb2="80000000" w:usb3="00000000" w:csb0="00000001" w:csb1="00000000"/>
    <w:embedRegular r:id="rId8" w:fontKey="{8B68842E-CB9D-464F-A61F-6E04FC88BD61}"/>
  </w:font>
  <w:font w:name="方正小标宋_GBK">
    <w:panose1 w:val="03000509000000000000"/>
    <w:charset w:val="86"/>
    <w:family w:val="script"/>
    <w:pitch w:val="default"/>
    <w:sig w:usb0="00000001" w:usb1="080E0000" w:usb2="00000000" w:usb3="00000000" w:csb0="00040000" w:csb1="00000000"/>
    <w:embedRegular r:id="rId9" w:fontKey="{2E9D55D4-0D68-4E2E-8035-87BC25F2F457}"/>
  </w:font>
  <w:font w:name="Segoe UI Symbol">
    <w:panose1 w:val="020B0502040204020203"/>
    <w:charset w:val="00"/>
    <w:family w:val="swiss"/>
    <w:pitch w:val="default"/>
    <w:sig w:usb0="800001E3" w:usb1="1200FFEF" w:usb2="00040000" w:usb3="04000000" w:csb0="00000001" w:csb1="40000000"/>
    <w:embedRegular r:id="rId10" w:fontKey="{99B2E05B-2CA4-42CF-96DE-BEEB47E56F82}"/>
  </w:font>
  <w:font w:name="Wingdings 2">
    <w:panose1 w:val="05020102010507070707"/>
    <w:charset w:val="02"/>
    <w:family w:val="decorative"/>
    <w:pitch w:val="default"/>
    <w:sig w:usb0="00000000" w:usb1="00000000" w:usb2="00000000" w:usb3="00000000" w:csb0="80000000" w:csb1="00000000"/>
    <w:embedRegular r:id="rId11" w:fontKey="{8518AAF7-EFF2-4C46-AC79-D9E090002AFE}"/>
  </w:font>
  <w:font w:name="方正黑体_GBK">
    <w:panose1 w:val="03000509000000000000"/>
    <w:charset w:val="86"/>
    <w:family w:val="auto"/>
    <w:pitch w:val="default"/>
    <w:sig w:usb0="00000001" w:usb1="080E0000" w:usb2="00000000" w:usb3="00000000" w:csb0="00040000" w:csb1="00000000"/>
    <w:embedRegular r:id="rId12" w:fontKey="{04F5F8BB-EF58-4575-B445-BC533D2277CB}"/>
  </w:font>
  <w:font w:name="WPSEMBED26">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11028">
    <w:pPr>
      <w:pStyle w:val="22"/>
      <w:jc w:val="center"/>
    </w:pPr>
  </w:p>
  <w:p w14:paraId="2B05A42D">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7712700"/>
    </w:sdtPr>
    <w:sdtContent>
      <w:p w14:paraId="475D9EEE">
        <w:pPr>
          <w:pStyle w:val="22"/>
          <w:jc w:val="center"/>
        </w:pPr>
        <w:r>
          <w:fldChar w:fldCharType="begin"/>
        </w:r>
        <w:r>
          <w:instrText xml:space="preserve">PAGE   \* MERGEFORMAT</w:instrText>
        </w:r>
        <w:r>
          <w:fldChar w:fldCharType="separate"/>
        </w:r>
        <w:r>
          <w:rPr>
            <w:lang w:val="zh-CN"/>
          </w:rPr>
          <w:t>7</w:t>
        </w:r>
        <w:r>
          <w:fldChar w:fldCharType="end"/>
        </w:r>
      </w:p>
    </w:sdtContent>
  </w:sdt>
  <w:p w14:paraId="6DA6DBE9">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9B2">
    <w:pPr>
      <w:pStyle w:val="2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E10B6F">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6E10B6F">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B8574">
    <w:pPr>
      <w:pStyle w:val="13"/>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D6C653">
                          <w:pPr>
                            <w:pStyle w:val="2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BD6C653">
                    <w:pPr>
                      <w:pStyle w:val="2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66B5A">
    <w:pPr>
      <w:pStyle w:val="13"/>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1181735</wp:posOffset>
              </wp:positionH>
              <wp:positionV relativeFrom="page">
                <wp:posOffset>9573260</wp:posOffset>
              </wp:positionV>
              <wp:extent cx="648335" cy="2032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8335" cy="203200"/>
                      </a:xfrm>
                      <a:prstGeom prst="rect">
                        <a:avLst/>
                      </a:prstGeom>
                      <a:noFill/>
                      <a:ln w="9525">
                        <a:noFill/>
                      </a:ln>
                      <a:effectLst/>
                    </wps:spPr>
                    <wps:txbx>
                      <w:txbxContent>
                        <w:p w14:paraId="2C7FAF18">
                          <w:pPr>
                            <w:spacing w:before="0" w:line="320" w:lineRule="exact"/>
                            <w:ind w:left="20" w:right="0" w:firstLine="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z w:val="28"/>
                            </w:rPr>
                            <w:t xml:space="preserve"> —</w:t>
                          </w:r>
                        </w:p>
                      </w:txbxContent>
                    </wps:txbx>
                    <wps:bodyPr lIns="0" tIns="0" rIns="0" bIns="0" upright="1"/>
                  </wps:wsp>
                </a:graphicData>
              </a:graphic>
            </wp:anchor>
          </w:drawing>
        </mc:Choice>
        <mc:Fallback>
          <w:pict>
            <v:shape id="_x0000_s1026" o:spid="_x0000_s1026" o:spt="202" type="#_x0000_t202" style="position:absolute;left:0pt;margin-left:93.05pt;margin-top:753.8pt;height:16pt;width:51.05pt;mso-position-horizontal-relative:page;mso-position-vertical-relative:page;z-index:-251655168;mso-width-relative:page;mso-height-relative:page;" filled="f" stroked="f" coordsize="21600,21600" o:gfxdata="UEsDBAoAAAAAAIdO4kAAAAAAAAAAAAAAAAAEAAAAZHJzL1BLAwQUAAAACACHTuJAk0gnNNoAAAAN&#10;AQAADwAAAGRycy9kb3ducmV2LnhtbE2PzU7DMBCE70h9B2srcaN2gghpiFMhBCckRBoOHJ3YTazG&#10;6xC7P7w92xO97eyOZr8pN2c3sqOZg/UoIVkJYAY7ry32Er6at7scWIgKtRo9Ggm/JsCmWtyUqtD+&#10;hLU5bmPPKARDoSQMMU4F56EbjFNh5SeDdNv52alIcu65ntWJwt3IUyEy7pRF+jCoybwMpttvD07C&#10;8zfWr/bno/2sd7VtmrXA92wv5e0yEU/AojnHfzNc8AkdKmJq/QF1YCPpPEvISsODeMyAkSXN8xRY&#10;e1ndrzPgVcmvW1R/UEsDBBQAAAAIAIdO4kDKi3nYxwEAAIgDAAAOAAAAZHJzL2Uyb0RvYy54bWyt&#10;U8Fu2zAMvQ/oPwi6N3aTpeiMOAWKoMWAYhvQ7QMUWYoFSKIgKbHzA90f7LTL7vuufMco2c6K7tLD&#10;LjJFUo98j/TqtjeaHIQPCmxNr2YlJcJyaJTd1fTb1/vLG0pCZLZhGqyo6VEEeru+eLfqXCXm0IJu&#10;hCcIYkPVuZq2MbqqKAJvhWFhBk5YDErwhkW8+l3ReNYhutHFvCyviw584zxwEQJ6N0OQjoj+LYAg&#10;peJiA3xvhI0DqheaRaQUWuUCXedupRQ8fpYyiEh0TZFpzCcWQXubzmK9YtXOM9cqPrbA3tLCK06G&#10;KYtFz1AbFhnZe/UPlFHcQwAZZxxMMRDJiiCLq/KVNk8tcyJzQamDO4se/h8s/3T44olqarqkxDKD&#10;Az/9+H76+fv065kskzydCxVmPTnMi/0d9Lg0kz+gM7HupTfpi3wIxlHc41lc0UfC0Xn9/maxwCIc&#10;Q/NygauQUIq/j50P8UGAIcmoqcfZZUnZ4THEIXVKSbUs3Cut8/y0JV1NPyzny/zgHEFwbVOuyJsw&#10;wiRCQ+PJiv22H1luoTkiSf3RosBpWSbDT8Z2MvbOq12LXWYpigSEA8p0xmVKG/DyjvbLH2j9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JNIJzTaAAAADQEAAA8AAAAAAAAAAQAgAAAAIgAAAGRycy9k&#10;b3ducmV2LnhtbFBLAQIUABQAAAAIAIdO4kDKi3nYxwEAAIgDAAAOAAAAAAAAAAEAIAAAACkBAABk&#10;cnMvZTJvRG9jLnhtbFBLBQYAAAAABgAGAFkBAABiBQAAAAA=&#10;">
              <v:fill on="f" focussize="0,0"/>
              <v:stroke on="f"/>
              <v:imagedata o:title=""/>
              <o:lock v:ext="edit" aspectratio="f"/>
              <v:textbox inset="0mm,0mm,0mm,0mm">
                <w:txbxContent>
                  <w:p w14:paraId="2C7FAF18">
                    <w:pPr>
                      <w:spacing w:before="0" w:line="320" w:lineRule="exact"/>
                      <w:ind w:left="20" w:right="0" w:firstLine="0"/>
                      <w:jc w:val="left"/>
                      <w:rPr>
                        <w:rFonts w:ascii="宋体" w:hAnsi="宋体"/>
                        <w:sz w:val="28"/>
                      </w:rPr>
                    </w:pPr>
                    <w:r>
                      <w:rPr>
                        <w:rFonts w:ascii="宋体" w:hAnsi="宋体"/>
                        <w:sz w:val="28"/>
                      </w:rPr>
                      <w:t xml:space="preserve">— </w:t>
                    </w:r>
                    <w:r>
                      <w:fldChar w:fldCharType="begin"/>
                    </w:r>
                    <w:r>
                      <w:rPr>
                        <w:rFonts w:ascii="宋体" w:hAnsi="宋体"/>
                        <w:sz w:val="28"/>
                      </w:rPr>
                      <w:instrText xml:space="preserve"> PAGE </w:instrText>
                    </w:r>
                    <w:r>
                      <w:fldChar w:fldCharType="separate"/>
                    </w:r>
                    <w:r>
                      <w:t>2</w:t>
                    </w:r>
                    <w:r>
                      <w:fldChar w:fldCharType="end"/>
                    </w:r>
                    <w:r>
                      <w:rPr>
                        <w:rFonts w:ascii="宋体" w:hAnsi="宋体"/>
                        <w:sz w:val="28"/>
                      </w:rPr>
                      <w:t xml:space="preserve">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553E4">
    <w:pPr>
      <w:pStyle w:val="13"/>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05E9D8">
                          <w:pPr>
                            <w:pStyle w:val="2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F05E9D8">
                    <w:pPr>
                      <w:pStyle w:val="2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D6C5">
    <w:pPr>
      <w:pStyle w:val="22"/>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546"/>
                          </w:sdtPr>
                          <w:sdtContent>
                            <w:p w14:paraId="39F740C1">
                              <w:pPr>
                                <w:pStyle w:val="22"/>
                                <w:jc w:val="center"/>
                              </w:pPr>
                              <w:r>
                                <w:fldChar w:fldCharType="begin"/>
                              </w:r>
                              <w:r>
                                <w:instrText xml:space="preserve">PAGE   \* MERGEFORMAT</w:instrText>
                              </w:r>
                              <w:r>
                                <w:fldChar w:fldCharType="separate"/>
                              </w:r>
                              <w:r>
                                <w:rPr>
                                  <w:lang w:val="zh-CN"/>
                                </w:rPr>
                                <w:t>2</w:t>
                              </w:r>
                              <w:r>
                                <w:fldChar w:fldCharType="end"/>
                              </w:r>
                            </w:p>
                          </w:sdtContent>
                        </w:sdt>
                        <w:p w14:paraId="45C1A703"/>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sdt>
                    <w:sdtPr>
                      <w:id w:val="147467546"/>
                    </w:sdtPr>
                    <w:sdtContent>
                      <w:p w14:paraId="39F740C1">
                        <w:pPr>
                          <w:pStyle w:val="22"/>
                          <w:jc w:val="center"/>
                        </w:pPr>
                        <w:r>
                          <w:fldChar w:fldCharType="begin"/>
                        </w:r>
                        <w:r>
                          <w:instrText xml:space="preserve">PAGE   \* MERGEFORMAT</w:instrText>
                        </w:r>
                        <w:r>
                          <w:fldChar w:fldCharType="separate"/>
                        </w:r>
                        <w:r>
                          <w:rPr>
                            <w:lang w:val="zh-CN"/>
                          </w:rPr>
                          <w:t>2</w:t>
                        </w:r>
                        <w:r>
                          <w:fldChar w:fldCharType="end"/>
                        </w:r>
                      </w:p>
                    </w:sdtContent>
                  </w:sdt>
                  <w:p w14:paraId="45C1A703"/>
                </w:txbxContent>
              </v:textbox>
            </v:shape>
          </w:pict>
        </mc:Fallback>
      </mc:AlternateContent>
    </w:r>
  </w:p>
  <w:p w14:paraId="1F38F15A">
    <w:pPr>
      <w:pStyle w:val="13"/>
      <w:spacing w:line="14" w:lineRule="auto"/>
      <w:ind w:left="1260"/>
      <w:rPr>
        <w:sz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3E7E0">
    <w:pPr>
      <w:pStyle w:val="22"/>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084D90">
                          <w:pPr>
                            <w:pStyle w:val="22"/>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9084D90">
                    <w:pPr>
                      <w:pStyle w:val="22"/>
                    </w:pPr>
                    <w:r>
                      <w:fldChar w:fldCharType="begin"/>
                    </w:r>
                    <w:r>
                      <w:instrText xml:space="preserve"> PAGE  \* MERGEFORMAT </w:instrText>
                    </w:r>
                    <w:r>
                      <w:fldChar w:fldCharType="separate"/>
                    </w:r>
                    <w:r>
                      <w:t>45</w:t>
                    </w:r>
                    <w:r>
                      <w:fldChar w:fldCharType="end"/>
                    </w:r>
                  </w:p>
                </w:txbxContent>
              </v:textbox>
            </v:shape>
          </w:pict>
        </mc:Fallback>
      </mc:AlternateContent>
    </w:r>
  </w:p>
  <w:p w14:paraId="7A18EAA1">
    <w:pPr>
      <w:pStyle w:val="13"/>
      <w:spacing w:line="14" w:lineRule="auto"/>
      <w:rPr>
        <w:sz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F4A78E"/>
    <w:multiLevelType w:val="singleLevel"/>
    <w:tmpl w:val="A2F4A78E"/>
    <w:lvl w:ilvl="0" w:tentative="0">
      <w:start w:val="1"/>
      <w:numFmt w:val="decimal"/>
      <w:suff w:val="nothing"/>
      <w:lvlText w:val="（%1）"/>
      <w:lvlJc w:val="left"/>
    </w:lvl>
  </w:abstractNum>
  <w:abstractNum w:abstractNumId="1">
    <w:nsid w:val="AB1454C0"/>
    <w:multiLevelType w:val="singleLevel"/>
    <w:tmpl w:val="AB1454C0"/>
    <w:lvl w:ilvl="0" w:tentative="0">
      <w:start w:val="1"/>
      <w:numFmt w:val="decimal"/>
      <w:suff w:val="nothing"/>
      <w:lvlText w:val="（%1）"/>
      <w:lvlJc w:val="left"/>
    </w:lvl>
  </w:abstractNum>
  <w:abstractNum w:abstractNumId="2">
    <w:nsid w:val="17ABAED6"/>
    <w:multiLevelType w:val="singleLevel"/>
    <w:tmpl w:val="17ABAED6"/>
    <w:lvl w:ilvl="0" w:tentative="0">
      <w:start w:val="1"/>
      <w:numFmt w:val="decimal"/>
      <w:suff w:val="nothing"/>
      <w:lvlText w:val="（%1）"/>
      <w:lvlJc w:val="left"/>
    </w:lvl>
  </w:abstractNum>
  <w:abstractNum w:abstractNumId="3">
    <w:nsid w:val="28A6EDA0"/>
    <w:multiLevelType w:val="singleLevel"/>
    <w:tmpl w:val="28A6EDA0"/>
    <w:lvl w:ilvl="0" w:tentative="0">
      <w:start w:val="1"/>
      <w:numFmt w:val="decimal"/>
      <w:suff w:val="nothing"/>
      <w:lvlText w:val="（%1）"/>
      <w:lvlJc w:val="left"/>
    </w:lvl>
  </w:abstractNum>
  <w:abstractNum w:abstractNumId="4">
    <w:nsid w:val="31754219"/>
    <w:multiLevelType w:val="singleLevel"/>
    <w:tmpl w:val="31754219"/>
    <w:lvl w:ilvl="0" w:tentative="0">
      <w:start w:val="1"/>
      <w:numFmt w:val="decimal"/>
      <w:suff w:val="nothing"/>
      <w:lvlText w:val="（%1）"/>
      <w:lvlJc w:val="left"/>
    </w:lvl>
  </w:abstractNum>
  <w:abstractNum w:abstractNumId="5">
    <w:nsid w:val="73A43DCA"/>
    <w:multiLevelType w:val="multilevel"/>
    <w:tmpl w:val="73A43DCA"/>
    <w:lvl w:ilvl="0" w:tentative="0">
      <w:start w:val="1"/>
      <w:numFmt w:val="japaneseCounting"/>
      <w:lvlText w:val="%1、"/>
      <w:lvlJc w:val="left"/>
      <w:pPr>
        <w:ind w:left="600" w:hanging="6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TrueTypeFonts/>
  <w:saveSubsetFonts/>
  <w:bordersDoNotSurroundHeader w:val="0"/>
  <w:bordersDoNotSurroundFooter w:val="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EwNTM5NzYwMDRjMzkwZTVkZjY2ODkwMGIxNGU0OTUifQ=="/>
  </w:docVars>
  <w:rsids>
    <w:rsidRoot w:val="00DD0DD6"/>
    <w:rsid w:val="000017B7"/>
    <w:rsid w:val="000018CA"/>
    <w:rsid w:val="00001CE4"/>
    <w:rsid w:val="00001E0C"/>
    <w:rsid w:val="00002566"/>
    <w:rsid w:val="00003745"/>
    <w:rsid w:val="00004332"/>
    <w:rsid w:val="00005996"/>
    <w:rsid w:val="00007E66"/>
    <w:rsid w:val="000102E9"/>
    <w:rsid w:val="00011741"/>
    <w:rsid w:val="000119EA"/>
    <w:rsid w:val="00012618"/>
    <w:rsid w:val="00013C5E"/>
    <w:rsid w:val="00014509"/>
    <w:rsid w:val="000155F5"/>
    <w:rsid w:val="00015A35"/>
    <w:rsid w:val="00016D06"/>
    <w:rsid w:val="00016EB2"/>
    <w:rsid w:val="00017749"/>
    <w:rsid w:val="00020349"/>
    <w:rsid w:val="00020A54"/>
    <w:rsid w:val="00020E4D"/>
    <w:rsid w:val="0002133F"/>
    <w:rsid w:val="0002152B"/>
    <w:rsid w:val="0002225C"/>
    <w:rsid w:val="000238D8"/>
    <w:rsid w:val="0002394A"/>
    <w:rsid w:val="000243C4"/>
    <w:rsid w:val="00025219"/>
    <w:rsid w:val="00025C24"/>
    <w:rsid w:val="00025D41"/>
    <w:rsid w:val="00026A51"/>
    <w:rsid w:val="00026F05"/>
    <w:rsid w:val="0002739C"/>
    <w:rsid w:val="0003036F"/>
    <w:rsid w:val="000310C9"/>
    <w:rsid w:val="0003110D"/>
    <w:rsid w:val="00031248"/>
    <w:rsid w:val="000317BD"/>
    <w:rsid w:val="00032450"/>
    <w:rsid w:val="000327BB"/>
    <w:rsid w:val="00032B74"/>
    <w:rsid w:val="000341BE"/>
    <w:rsid w:val="000344D6"/>
    <w:rsid w:val="000344E7"/>
    <w:rsid w:val="000356B6"/>
    <w:rsid w:val="0003707F"/>
    <w:rsid w:val="0003769A"/>
    <w:rsid w:val="00040230"/>
    <w:rsid w:val="000408A4"/>
    <w:rsid w:val="00041CB7"/>
    <w:rsid w:val="000432C8"/>
    <w:rsid w:val="00043AEA"/>
    <w:rsid w:val="000450CC"/>
    <w:rsid w:val="000450E2"/>
    <w:rsid w:val="0004532B"/>
    <w:rsid w:val="000461DF"/>
    <w:rsid w:val="000465BC"/>
    <w:rsid w:val="00046AD5"/>
    <w:rsid w:val="00047CA0"/>
    <w:rsid w:val="00050306"/>
    <w:rsid w:val="00053380"/>
    <w:rsid w:val="000533F1"/>
    <w:rsid w:val="00054915"/>
    <w:rsid w:val="00054C9C"/>
    <w:rsid w:val="000554C8"/>
    <w:rsid w:val="0005557A"/>
    <w:rsid w:val="000555AF"/>
    <w:rsid w:val="00055C3B"/>
    <w:rsid w:val="000565E0"/>
    <w:rsid w:val="000567D5"/>
    <w:rsid w:val="00056D1A"/>
    <w:rsid w:val="000572AD"/>
    <w:rsid w:val="000576A6"/>
    <w:rsid w:val="00061DBB"/>
    <w:rsid w:val="00063A5F"/>
    <w:rsid w:val="00063EB9"/>
    <w:rsid w:val="00064004"/>
    <w:rsid w:val="000647F9"/>
    <w:rsid w:val="00064BA1"/>
    <w:rsid w:val="00065A8C"/>
    <w:rsid w:val="00066C11"/>
    <w:rsid w:val="00066CDD"/>
    <w:rsid w:val="00071922"/>
    <w:rsid w:val="00072507"/>
    <w:rsid w:val="00072741"/>
    <w:rsid w:val="00072BB7"/>
    <w:rsid w:val="0007378E"/>
    <w:rsid w:val="000738E7"/>
    <w:rsid w:val="00074C1B"/>
    <w:rsid w:val="00076280"/>
    <w:rsid w:val="0007707A"/>
    <w:rsid w:val="00080165"/>
    <w:rsid w:val="0008030D"/>
    <w:rsid w:val="00080645"/>
    <w:rsid w:val="0008077C"/>
    <w:rsid w:val="00081C7E"/>
    <w:rsid w:val="00082016"/>
    <w:rsid w:val="00082100"/>
    <w:rsid w:val="0008219F"/>
    <w:rsid w:val="00082414"/>
    <w:rsid w:val="00082AD0"/>
    <w:rsid w:val="0008522F"/>
    <w:rsid w:val="0008664F"/>
    <w:rsid w:val="000867E9"/>
    <w:rsid w:val="00087702"/>
    <w:rsid w:val="000903DD"/>
    <w:rsid w:val="00090550"/>
    <w:rsid w:val="00091BC7"/>
    <w:rsid w:val="0009211F"/>
    <w:rsid w:val="0009293A"/>
    <w:rsid w:val="00094C65"/>
    <w:rsid w:val="00094C9F"/>
    <w:rsid w:val="00095BF0"/>
    <w:rsid w:val="0009713A"/>
    <w:rsid w:val="000A0A88"/>
    <w:rsid w:val="000A1B05"/>
    <w:rsid w:val="000A1F90"/>
    <w:rsid w:val="000A6C79"/>
    <w:rsid w:val="000A7792"/>
    <w:rsid w:val="000A7A5C"/>
    <w:rsid w:val="000B0A03"/>
    <w:rsid w:val="000B13C9"/>
    <w:rsid w:val="000B21B1"/>
    <w:rsid w:val="000B22E8"/>
    <w:rsid w:val="000B27A3"/>
    <w:rsid w:val="000B32C6"/>
    <w:rsid w:val="000B494F"/>
    <w:rsid w:val="000B5A31"/>
    <w:rsid w:val="000B7901"/>
    <w:rsid w:val="000C0112"/>
    <w:rsid w:val="000C01BB"/>
    <w:rsid w:val="000C02BA"/>
    <w:rsid w:val="000C1010"/>
    <w:rsid w:val="000C1851"/>
    <w:rsid w:val="000C1E7C"/>
    <w:rsid w:val="000C297D"/>
    <w:rsid w:val="000C4DEC"/>
    <w:rsid w:val="000C4E8B"/>
    <w:rsid w:val="000C4F26"/>
    <w:rsid w:val="000C5A56"/>
    <w:rsid w:val="000C5E63"/>
    <w:rsid w:val="000C5EDD"/>
    <w:rsid w:val="000C625D"/>
    <w:rsid w:val="000C6E11"/>
    <w:rsid w:val="000D0EEE"/>
    <w:rsid w:val="000D16B8"/>
    <w:rsid w:val="000D176F"/>
    <w:rsid w:val="000D288B"/>
    <w:rsid w:val="000D3826"/>
    <w:rsid w:val="000D39B1"/>
    <w:rsid w:val="000D4A44"/>
    <w:rsid w:val="000D4A95"/>
    <w:rsid w:val="000D51C5"/>
    <w:rsid w:val="000D575A"/>
    <w:rsid w:val="000D619C"/>
    <w:rsid w:val="000E02E7"/>
    <w:rsid w:val="000E032D"/>
    <w:rsid w:val="000E11D9"/>
    <w:rsid w:val="000E1663"/>
    <w:rsid w:val="000E1F07"/>
    <w:rsid w:val="000E2170"/>
    <w:rsid w:val="000E277E"/>
    <w:rsid w:val="000E36F9"/>
    <w:rsid w:val="000E476C"/>
    <w:rsid w:val="000E4973"/>
    <w:rsid w:val="000E65F1"/>
    <w:rsid w:val="000E786A"/>
    <w:rsid w:val="000F0CF6"/>
    <w:rsid w:val="000F2B21"/>
    <w:rsid w:val="000F301A"/>
    <w:rsid w:val="000F47BF"/>
    <w:rsid w:val="000F5056"/>
    <w:rsid w:val="000F50AD"/>
    <w:rsid w:val="000F5D62"/>
    <w:rsid w:val="000F744F"/>
    <w:rsid w:val="000F77D5"/>
    <w:rsid w:val="000F7D47"/>
    <w:rsid w:val="001000FA"/>
    <w:rsid w:val="00100FA9"/>
    <w:rsid w:val="0010116A"/>
    <w:rsid w:val="00101C8B"/>
    <w:rsid w:val="00101D03"/>
    <w:rsid w:val="0010228C"/>
    <w:rsid w:val="0010241F"/>
    <w:rsid w:val="001041A5"/>
    <w:rsid w:val="00104548"/>
    <w:rsid w:val="00105F06"/>
    <w:rsid w:val="00106E40"/>
    <w:rsid w:val="00107146"/>
    <w:rsid w:val="00107238"/>
    <w:rsid w:val="00107797"/>
    <w:rsid w:val="00107F23"/>
    <w:rsid w:val="001124C4"/>
    <w:rsid w:val="00113FBD"/>
    <w:rsid w:val="00114CE3"/>
    <w:rsid w:val="00114D15"/>
    <w:rsid w:val="00116BF1"/>
    <w:rsid w:val="00116CD6"/>
    <w:rsid w:val="00116ED1"/>
    <w:rsid w:val="001170E8"/>
    <w:rsid w:val="00117935"/>
    <w:rsid w:val="001209F2"/>
    <w:rsid w:val="00120E45"/>
    <w:rsid w:val="0012260D"/>
    <w:rsid w:val="00122895"/>
    <w:rsid w:val="0012400D"/>
    <w:rsid w:val="001254BA"/>
    <w:rsid w:val="00126D23"/>
    <w:rsid w:val="0013092D"/>
    <w:rsid w:val="00131AF3"/>
    <w:rsid w:val="00131FD9"/>
    <w:rsid w:val="001324E3"/>
    <w:rsid w:val="00136E7F"/>
    <w:rsid w:val="0013748B"/>
    <w:rsid w:val="00137B17"/>
    <w:rsid w:val="00140D6E"/>
    <w:rsid w:val="00141136"/>
    <w:rsid w:val="001427B1"/>
    <w:rsid w:val="001453B6"/>
    <w:rsid w:val="0014543F"/>
    <w:rsid w:val="00146105"/>
    <w:rsid w:val="00146532"/>
    <w:rsid w:val="001478A2"/>
    <w:rsid w:val="00147C07"/>
    <w:rsid w:val="00147E68"/>
    <w:rsid w:val="001516A3"/>
    <w:rsid w:val="001516EB"/>
    <w:rsid w:val="0015238A"/>
    <w:rsid w:val="001526FE"/>
    <w:rsid w:val="00152DA4"/>
    <w:rsid w:val="00153264"/>
    <w:rsid w:val="0015373A"/>
    <w:rsid w:val="00153D96"/>
    <w:rsid w:val="001542CE"/>
    <w:rsid w:val="001542F1"/>
    <w:rsid w:val="001571DB"/>
    <w:rsid w:val="0016055F"/>
    <w:rsid w:val="00160699"/>
    <w:rsid w:val="00161587"/>
    <w:rsid w:val="001629A1"/>
    <w:rsid w:val="00162A41"/>
    <w:rsid w:val="0016319A"/>
    <w:rsid w:val="001634F1"/>
    <w:rsid w:val="001637BE"/>
    <w:rsid w:val="001655C6"/>
    <w:rsid w:val="00166067"/>
    <w:rsid w:val="00170637"/>
    <w:rsid w:val="00170869"/>
    <w:rsid w:val="0017171D"/>
    <w:rsid w:val="00171A07"/>
    <w:rsid w:val="00171FB0"/>
    <w:rsid w:val="00172F1D"/>
    <w:rsid w:val="001735A8"/>
    <w:rsid w:val="00174A20"/>
    <w:rsid w:val="0017631B"/>
    <w:rsid w:val="00180552"/>
    <w:rsid w:val="0018098D"/>
    <w:rsid w:val="00181297"/>
    <w:rsid w:val="00181574"/>
    <w:rsid w:val="001818EE"/>
    <w:rsid w:val="00182FF5"/>
    <w:rsid w:val="001830CF"/>
    <w:rsid w:val="00184BDF"/>
    <w:rsid w:val="00184E26"/>
    <w:rsid w:val="00185282"/>
    <w:rsid w:val="0018601D"/>
    <w:rsid w:val="001862C8"/>
    <w:rsid w:val="00190183"/>
    <w:rsid w:val="00191B5E"/>
    <w:rsid w:val="0019200C"/>
    <w:rsid w:val="00194241"/>
    <w:rsid w:val="0019427F"/>
    <w:rsid w:val="00195C21"/>
    <w:rsid w:val="00195E95"/>
    <w:rsid w:val="001968C2"/>
    <w:rsid w:val="00196D94"/>
    <w:rsid w:val="001A4A2F"/>
    <w:rsid w:val="001A4A35"/>
    <w:rsid w:val="001A5C27"/>
    <w:rsid w:val="001A635F"/>
    <w:rsid w:val="001A6941"/>
    <w:rsid w:val="001B178B"/>
    <w:rsid w:val="001B2327"/>
    <w:rsid w:val="001B2363"/>
    <w:rsid w:val="001B2467"/>
    <w:rsid w:val="001B24C0"/>
    <w:rsid w:val="001B303F"/>
    <w:rsid w:val="001B3772"/>
    <w:rsid w:val="001B4C59"/>
    <w:rsid w:val="001B4C93"/>
    <w:rsid w:val="001B54A2"/>
    <w:rsid w:val="001B6424"/>
    <w:rsid w:val="001B6BBE"/>
    <w:rsid w:val="001B71E4"/>
    <w:rsid w:val="001B7DB4"/>
    <w:rsid w:val="001C1638"/>
    <w:rsid w:val="001C1CCA"/>
    <w:rsid w:val="001C4359"/>
    <w:rsid w:val="001C5BAF"/>
    <w:rsid w:val="001C5EC1"/>
    <w:rsid w:val="001C6BAA"/>
    <w:rsid w:val="001C70EB"/>
    <w:rsid w:val="001C7EF2"/>
    <w:rsid w:val="001D02ED"/>
    <w:rsid w:val="001D0B07"/>
    <w:rsid w:val="001D0BA6"/>
    <w:rsid w:val="001D0E6C"/>
    <w:rsid w:val="001D0E81"/>
    <w:rsid w:val="001D1166"/>
    <w:rsid w:val="001D2BB0"/>
    <w:rsid w:val="001D5226"/>
    <w:rsid w:val="001D5CC0"/>
    <w:rsid w:val="001D5D12"/>
    <w:rsid w:val="001D78C6"/>
    <w:rsid w:val="001E04BA"/>
    <w:rsid w:val="001E063E"/>
    <w:rsid w:val="001E3D13"/>
    <w:rsid w:val="001E3DD9"/>
    <w:rsid w:val="001E4000"/>
    <w:rsid w:val="001E4187"/>
    <w:rsid w:val="001E4342"/>
    <w:rsid w:val="001E4B12"/>
    <w:rsid w:val="001E537B"/>
    <w:rsid w:val="001E5D7A"/>
    <w:rsid w:val="001E6025"/>
    <w:rsid w:val="001E71BF"/>
    <w:rsid w:val="001E77D9"/>
    <w:rsid w:val="001F0357"/>
    <w:rsid w:val="001F0CF6"/>
    <w:rsid w:val="001F2115"/>
    <w:rsid w:val="001F35AF"/>
    <w:rsid w:val="001F39DC"/>
    <w:rsid w:val="001F4D73"/>
    <w:rsid w:val="001F5F22"/>
    <w:rsid w:val="001F6A15"/>
    <w:rsid w:val="001F7147"/>
    <w:rsid w:val="001F7FF7"/>
    <w:rsid w:val="00202121"/>
    <w:rsid w:val="002024A5"/>
    <w:rsid w:val="00203902"/>
    <w:rsid w:val="00203D84"/>
    <w:rsid w:val="002050A6"/>
    <w:rsid w:val="00205BEE"/>
    <w:rsid w:val="00207252"/>
    <w:rsid w:val="0020744A"/>
    <w:rsid w:val="00207E1E"/>
    <w:rsid w:val="0021215D"/>
    <w:rsid w:val="00213D8E"/>
    <w:rsid w:val="0021489C"/>
    <w:rsid w:val="00214A8D"/>
    <w:rsid w:val="00214E82"/>
    <w:rsid w:val="00214EEF"/>
    <w:rsid w:val="00215182"/>
    <w:rsid w:val="002159DF"/>
    <w:rsid w:val="00215E35"/>
    <w:rsid w:val="002165B2"/>
    <w:rsid w:val="002174E9"/>
    <w:rsid w:val="00220DC4"/>
    <w:rsid w:val="00220DCD"/>
    <w:rsid w:val="0022126B"/>
    <w:rsid w:val="00221A7B"/>
    <w:rsid w:val="00223DC3"/>
    <w:rsid w:val="0022556D"/>
    <w:rsid w:val="00225F10"/>
    <w:rsid w:val="002272C7"/>
    <w:rsid w:val="00230E6F"/>
    <w:rsid w:val="00231C51"/>
    <w:rsid w:val="00231F3C"/>
    <w:rsid w:val="0023454A"/>
    <w:rsid w:val="00236C0C"/>
    <w:rsid w:val="002402B6"/>
    <w:rsid w:val="002426E3"/>
    <w:rsid w:val="0024377E"/>
    <w:rsid w:val="002440F0"/>
    <w:rsid w:val="00244C7A"/>
    <w:rsid w:val="00245277"/>
    <w:rsid w:val="00246560"/>
    <w:rsid w:val="00246AA7"/>
    <w:rsid w:val="0024716F"/>
    <w:rsid w:val="002474D0"/>
    <w:rsid w:val="00251340"/>
    <w:rsid w:val="00253373"/>
    <w:rsid w:val="00253811"/>
    <w:rsid w:val="00254482"/>
    <w:rsid w:val="002545FD"/>
    <w:rsid w:val="002551F1"/>
    <w:rsid w:val="00255502"/>
    <w:rsid w:val="00255773"/>
    <w:rsid w:val="00257AB9"/>
    <w:rsid w:val="00257C14"/>
    <w:rsid w:val="00261BC8"/>
    <w:rsid w:val="00263165"/>
    <w:rsid w:val="00265341"/>
    <w:rsid w:val="00267073"/>
    <w:rsid w:val="00270C25"/>
    <w:rsid w:val="00270C4D"/>
    <w:rsid w:val="00270D8F"/>
    <w:rsid w:val="00272C03"/>
    <w:rsid w:val="0027318B"/>
    <w:rsid w:val="002733F5"/>
    <w:rsid w:val="002748B3"/>
    <w:rsid w:val="00274D63"/>
    <w:rsid w:val="00275E66"/>
    <w:rsid w:val="00276E95"/>
    <w:rsid w:val="0028034C"/>
    <w:rsid w:val="002824AA"/>
    <w:rsid w:val="00285C3A"/>
    <w:rsid w:val="002867D5"/>
    <w:rsid w:val="002867D7"/>
    <w:rsid w:val="0028692C"/>
    <w:rsid w:val="00286DD5"/>
    <w:rsid w:val="00287442"/>
    <w:rsid w:val="00287637"/>
    <w:rsid w:val="002879D3"/>
    <w:rsid w:val="0029003A"/>
    <w:rsid w:val="00291D15"/>
    <w:rsid w:val="002947E6"/>
    <w:rsid w:val="00295159"/>
    <w:rsid w:val="00295F1A"/>
    <w:rsid w:val="00296039"/>
    <w:rsid w:val="00297162"/>
    <w:rsid w:val="002A0B51"/>
    <w:rsid w:val="002A1EA2"/>
    <w:rsid w:val="002A3C0E"/>
    <w:rsid w:val="002A52BD"/>
    <w:rsid w:val="002A626B"/>
    <w:rsid w:val="002A72E9"/>
    <w:rsid w:val="002B013D"/>
    <w:rsid w:val="002B1EDF"/>
    <w:rsid w:val="002B2496"/>
    <w:rsid w:val="002B2AAC"/>
    <w:rsid w:val="002B2B57"/>
    <w:rsid w:val="002B2EA3"/>
    <w:rsid w:val="002B3468"/>
    <w:rsid w:val="002B3541"/>
    <w:rsid w:val="002B3F92"/>
    <w:rsid w:val="002B4A0A"/>
    <w:rsid w:val="002B4CAA"/>
    <w:rsid w:val="002B502C"/>
    <w:rsid w:val="002B507F"/>
    <w:rsid w:val="002B7745"/>
    <w:rsid w:val="002B7E7B"/>
    <w:rsid w:val="002C0450"/>
    <w:rsid w:val="002C3826"/>
    <w:rsid w:val="002C3B9A"/>
    <w:rsid w:val="002C4500"/>
    <w:rsid w:val="002C45C9"/>
    <w:rsid w:val="002C4A55"/>
    <w:rsid w:val="002C5CBF"/>
    <w:rsid w:val="002C6986"/>
    <w:rsid w:val="002C6EE0"/>
    <w:rsid w:val="002C7B5A"/>
    <w:rsid w:val="002D0585"/>
    <w:rsid w:val="002D113D"/>
    <w:rsid w:val="002D23CD"/>
    <w:rsid w:val="002D2506"/>
    <w:rsid w:val="002D2D46"/>
    <w:rsid w:val="002D31C5"/>
    <w:rsid w:val="002D4198"/>
    <w:rsid w:val="002D6043"/>
    <w:rsid w:val="002D72D4"/>
    <w:rsid w:val="002D7B92"/>
    <w:rsid w:val="002E0580"/>
    <w:rsid w:val="002E23F9"/>
    <w:rsid w:val="002E43D0"/>
    <w:rsid w:val="002E569D"/>
    <w:rsid w:val="002E6610"/>
    <w:rsid w:val="002E6A62"/>
    <w:rsid w:val="002E7157"/>
    <w:rsid w:val="002F05AF"/>
    <w:rsid w:val="002F1ADE"/>
    <w:rsid w:val="002F1EC3"/>
    <w:rsid w:val="002F378D"/>
    <w:rsid w:val="002F3E17"/>
    <w:rsid w:val="002F537E"/>
    <w:rsid w:val="002F57DE"/>
    <w:rsid w:val="002F72F8"/>
    <w:rsid w:val="0030018F"/>
    <w:rsid w:val="0030051B"/>
    <w:rsid w:val="00301FFB"/>
    <w:rsid w:val="00302B51"/>
    <w:rsid w:val="00302FF3"/>
    <w:rsid w:val="003031C2"/>
    <w:rsid w:val="003034CD"/>
    <w:rsid w:val="00303540"/>
    <w:rsid w:val="00304C4E"/>
    <w:rsid w:val="00305222"/>
    <w:rsid w:val="00306037"/>
    <w:rsid w:val="00310910"/>
    <w:rsid w:val="00310AD8"/>
    <w:rsid w:val="00311254"/>
    <w:rsid w:val="00311782"/>
    <w:rsid w:val="00312D1D"/>
    <w:rsid w:val="00312D64"/>
    <w:rsid w:val="00314D90"/>
    <w:rsid w:val="00315DE4"/>
    <w:rsid w:val="00316B86"/>
    <w:rsid w:val="00317613"/>
    <w:rsid w:val="0032033A"/>
    <w:rsid w:val="0032098D"/>
    <w:rsid w:val="0032101C"/>
    <w:rsid w:val="00321315"/>
    <w:rsid w:val="00321431"/>
    <w:rsid w:val="00321A0E"/>
    <w:rsid w:val="00321E33"/>
    <w:rsid w:val="0032215F"/>
    <w:rsid w:val="00323EDF"/>
    <w:rsid w:val="003247D4"/>
    <w:rsid w:val="00325FF6"/>
    <w:rsid w:val="00326304"/>
    <w:rsid w:val="00326888"/>
    <w:rsid w:val="00326ABE"/>
    <w:rsid w:val="003270D8"/>
    <w:rsid w:val="00327240"/>
    <w:rsid w:val="00330030"/>
    <w:rsid w:val="003302C1"/>
    <w:rsid w:val="00330520"/>
    <w:rsid w:val="00332046"/>
    <w:rsid w:val="00332281"/>
    <w:rsid w:val="00332941"/>
    <w:rsid w:val="00333A40"/>
    <w:rsid w:val="00334761"/>
    <w:rsid w:val="00335104"/>
    <w:rsid w:val="00335C6D"/>
    <w:rsid w:val="00335DA8"/>
    <w:rsid w:val="00337144"/>
    <w:rsid w:val="00337277"/>
    <w:rsid w:val="00337775"/>
    <w:rsid w:val="003401CC"/>
    <w:rsid w:val="00340669"/>
    <w:rsid w:val="00341E63"/>
    <w:rsid w:val="00343F76"/>
    <w:rsid w:val="00344454"/>
    <w:rsid w:val="00344B98"/>
    <w:rsid w:val="00346436"/>
    <w:rsid w:val="003466C3"/>
    <w:rsid w:val="0034677E"/>
    <w:rsid w:val="00347909"/>
    <w:rsid w:val="00347BD2"/>
    <w:rsid w:val="003526DD"/>
    <w:rsid w:val="00352A2E"/>
    <w:rsid w:val="00354166"/>
    <w:rsid w:val="00354221"/>
    <w:rsid w:val="0035507D"/>
    <w:rsid w:val="00355995"/>
    <w:rsid w:val="00360D65"/>
    <w:rsid w:val="0036344B"/>
    <w:rsid w:val="00363811"/>
    <w:rsid w:val="00363EFE"/>
    <w:rsid w:val="00364594"/>
    <w:rsid w:val="003704A7"/>
    <w:rsid w:val="00371433"/>
    <w:rsid w:val="0037157C"/>
    <w:rsid w:val="003715C3"/>
    <w:rsid w:val="003730C9"/>
    <w:rsid w:val="003732CB"/>
    <w:rsid w:val="00376489"/>
    <w:rsid w:val="00376D2F"/>
    <w:rsid w:val="00376F47"/>
    <w:rsid w:val="00377E3F"/>
    <w:rsid w:val="00377FDC"/>
    <w:rsid w:val="00380878"/>
    <w:rsid w:val="00381811"/>
    <w:rsid w:val="0038401D"/>
    <w:rsid w:val="00384D63"/>
    <w:rsid w:val="0038510F"/>
    <w:rsid w:val="00385B02"/>
    <w:rsid w:val="00387EA3"/>
    <w:rsid w:val="00390B45"/>
    <w:rsid w:val="00390BD9"/>
    <w:rsid w:val="00390ED0"/>
    <w:rsid w:val="0039203E"/>
    <w:rsid w:val="0039471D"/>
    <w:rsid w:val="003950B6"/>
    <w:rsid w:val="003961EF"/>
    <w:rsid w:val="00396276"/>
    <w:rsid w:val="003A12C9"/>
    <w:rsid w:val="003A14C9"/>
    <w:rsid w:val="003A18F3"/>
    <w:rsid w:val="003A34E8"/>
    <w:rsid w:val="003A3B6F"/>
    <w:rsid w:val="003A4461"/>
    <w:rsid w:val="003A495A"/>
    <w:rsid w:val="003A53D7"/>
    <w:rsid w:val="003A5608"/>
    <w:rsid w:val="003A5691"/>
    <w:rsid w:val="003A6AC0"/>
    <w:rsid w:val="003A6EF3"/>
    <w:rsid w:val="003A74EE"/>
    <w:rsid w:val="003B119D"/>
    <w:rsid w:val="003B1274"/>
    <w:rsid w:val="003B15AE"/>
    <w:rsid w:val="003B176F"/>
    <w:rsid w:val="003B2FD7"/>
    <w:rsid w:val="003B436D"/>
    <w:rsid w:val="003B5C5B"/>
    <w:rsid w:val="003B6212"/>
    <w:rsid w:val="003B67D3"/>
    <w:rsid w:val="003B67E7"/>
    <w:rsid w:val="003B6FBE"/>
    <w:rsid w:val="003B724F"/>
    <w:rsid w:val="003C06EA"/>
    <w:rsid w:val="003C1225"/>
    <w:rsid w:val="003C15A3"/>
    <w:rsid w:val="003C16A6"/>
    <w:rsid w:val="003C306B"/>
    <w:rsid w:val="003C331D"/>
    <w:rsid w:val="003C34E6"/>
    <w:rsid w:val="003C3706"/>
    <w:rsid w:val="003C463D"/>
    <w:rsid w:val="003C55C2"/>
    <w:rsid w:val="003C55EF"/>
    <w:rsid w:val="003C692C"/>
    <w:rsid w:val="003D14C1"/>
    <w:rsid w:val="003D15A2"/>
    <w:rsid w:val="003D350C"/>
    <w:rsid w:val="003D579B"/>
    <w:rsid w:val="003D6C43"/>
    <w:rsid w:val="003E05F1"/>
    <w:rsid w:val="003E101E"/>
    <w:rsid w:val="003E1085"/>
    <w:rsid w:val="003E23EB"/>
    <w:rsid w:val="003E2443"/>
    <w:rsid w:val="003E2A12"/>
    <w:rsid w:val="003E30AB"/>
    <w:rsid w:val="003E3115"/>
    <w:rsid w:val="003E35CD"/>
    <w:rsid w:val="003E488C"/>
    <w:rsid w:val="003E5996"/>
    <w:rsid w:val="003F1824"/>
    <w:rsid w:val="003F1834"/>
    <w:rsid w:val="003F2228"/>
    <w:rsid w:val="003F31FA"/>
    <w:rsid w:val="003F5774"/>
    <w:rsid w:val="003F58BB"/>
    <w:rsid w:val="003F617F"/>
    <w:rsid w:val="003F67FB"/>
    <w:rsid w:val="00400DAC"/>
    <w:rsid w:val="00402A46"/>
    <w:rsid w:val="00403332"/>
    <w:rsid w:val="004033B4"/>
    <w:rsid w:val="004037CB"/>
    <w:rsid w:val="004045F1"/>
    <w:rsid w:val="00405832"/>
    <w:rsid w:val="00407DAB"/>
    <w:rsid w:val="004100DA"/>
    <w:rsid w:val="00411A84"/>
    <w:rsid w:val="00411B73"/>
    <w:rsid w:val="00411BDE"/>
    <w:rsid w:val="004128C1"/>
    <w:rsid w:val="00412B4A"/>
    <w:rsid w:val="00412C23"/>
    <w:rsid w:val="00413C28"/>
    <w:rsid w:val="0041423C"/>
    <w:rsid w:val="00414AF2"/>
    <w:rsid w:val="00414C48"/>
    <w:rsid w:val="00414E61"/>
    <w:rsid w:val="0041532F"/>
    <w:rsid w:val="0041536C"/>
    <w:rsid w:val="00415CD4"/>
    <w:rsid w:val="00416037"/>
    <w:rsid w:val="004160ED"/>
    <w:rsid w:val="00417127"/>
    <w:rsid w:val="00420094"/>
    <w:rsid w:val="004222EC"/>
    <w:rsid w:val="0042443A"/>
    <w:rsid w:val="00424DED"/>
    <w:rsid w:val="004258BB"/>
    <w:rsid w:val="00425CC5"/>
    <w:rsid w:val="00427542"/>
    <w:rsid w:val="0042793B"/>
    <w:rsid w:val="00430456"/>
    <w:rsid w:val="0043107D"/>
    <w:rsid w:val="00431989"/>
    <w:rsid w:val="00433D4D"/>
    <w:rsid w:val="00435AF3"/>
    <w:rsid w:val="00436458"/>
    <w:rsid w:val="00441A34"/>
    <w:rsid w:val="004456B6"/>
    <w:rsid w:val="004474D8"/>
    <w:rsid w:val="00451C59"/>
    <w:rsid w:val="00451E2F"/>
    <w:rsid w:val="0045315D"/>
    <w:rsid w:val="004543BD"/>
    <w:rsid w:val="00454730"/>
    <w:rsid w:val="00455AD1"/>
    <w:rsid w:val="004560C1"/>
    <w:rsid w:val="004563FA"/>
    <w:rsid w:val="004567ED"/>
    <w:rsid w:val="00457800"/>
    <w:rsid w:val="00457B4E"/>
    <w:rsid w:val="00457BE2"/>
    <w:rsid w:val="00457D01"/>
    <w:rsid w:val="00460AA8"/>
    <w:rsid w:val="00460AC8"/>
    <w:rsid w:val="004630BD"/>
    <w:rsid w:val="004642FE"/>
    <w:rsid w:val="00464302"/>
    <w:rsid w:val="00464645"/>
    <w:rsid w:val="00470ADC"/>
    <w:rsid w:val="00471B83"/>
    <w:rsid w:val="004743A0"/>
    <w:rsid w:val="0047575E"/>
    <w:rsid w:val="00475B5D"/>
    <w:rsid w:val="004761D6"/>
    <w:rsid w:val="0048008F"/>
    <w:rsid w:val="00481602"/>
    <w:rsid w:val="00482275"/>
    <w:rsid w:val="004825BA"/>
    <w:rsid w:val="00487461"/>
    <w:rsid w:val="00487DDB"/>
    <w:rsid w:val="00487E6A"/>
    <w:rsid w:val="00490DFB"/>
    <w:rsid w:val="00491517"/>
    <w:rsid w:val="00491A5A"/>
    <w:rsid w:val="00491FB8"/>
    <w:rsid w:val="004926C9"/>
    <w:rsid w:val="00493B9E"/>
    <w:rsid w:val="00494E36"/>
    <w:rsid w:val="0049607B"/>
    <w:rsid w:val="004962EF"/>
    <w:rsid w:val="00496CDA"/>
    <w:rsid w:val="004972CB"/>
    <w:rsid w:val="004A00AE"/>
    <w:rsid w:val="004A01FE"/>
    <w:rsid w:val="004A1081"/>
    <w:rsid w:val="004A282B"/>
    <w:rsid w:val="004A2EAD"/>
    <w:rsid w:val="004A3EA6"/>
    <w:rsid w:val="004A4582"/>
    <w:rsid w:val="004A4E12"/>
    <w:rsid w:val="004A533F"/>
    <w:rsid w:val="004A58D7"/>
    <w:rsid w:val="004A6120"/>
    <w:rsid w:val="004A682A"/>
    <w:rsid w:val="004B00E1"/>
    <w:rsid w:val="004B02E1"/>
    <w:rsid w:val="004B0B0B"/>
    <w:rsid w:val="004B0D6B"/>
    <w:rsid w:val="004B1581"/>
    <w:rsid w:val="004B3D68"/>
    <w:rsid w:val="004B5417"/>
    <w:rsid w:val="004B6C28"/>
    <w:rsid w:val="004B7E04"/>
    <w:rsid w:val="004C0111"/>
    <w:rsid w:val="004C013F"/>
    <w:rsid w:val="004C0B0C"/>
    <w:rsid w:val="004C0B3E"/>
    <w:rsid w:val="004C12A1"/>
    <w:rsid w:val="004C14CB"/>
    <w:rsid w:val="004C2323"/>
    <w:rsid w:val="004C345B"/>
    <w:rsid w:val="004C4D73"/>
    <w:rsid w:val="004C674D"/>
    <w:rsid w:val="004C6BB5"/>
    <w:rsid w:val="004D0372"/>
    <w:rsid w:val="004D1C00"/>
    <w:rsid w:val="004D224F"/>
    <w:rsid w:val="004D2461"/>
    <w:rsid w:val="004D3028"/>
    <w:rsid w:val="004D31C1"/>
    <w:rsid w:val="004D36BB"/>
    <w:rsid w:val="004D67EC"/>
    <w:rsid w:val="004D7844"/>
    <w:rsid w:val="004E15C1"/>
    <w:rsid w:val="004E1A0B"/>
    <w:rsid w:val="004E2164"/>
    <w:rsid w:val="004E221F"/>
    <w:rsid w:val="004E2FBF"/>
    <w:rsid w:val="004E3BC0"/>
    <w:rsid w:val="004E6B5F"/>
    <w:rsid w:val="004E70C9"/>
    <w:rsid w:val="004F0006"/>
    <w:rsid w:val="004F0EDB"/>
    <w:rsid w:val="004F104B"/>
    <w:rsid w:val="004F1106"/>
    <w:rsid w:val="004F272F"/>
    <w:rsid w:val="004F3944"/>
    <w:rsid w:val="004F3FF2"/>
    <w:rsid w:val="004F4951"/>
    <w:rsid w:val="004F5015"/>
    <w:rsid w:val="004F6DEA"/>
    <w:rsid w:val="004F72BA"/>
    <w:rsid w:val="004F7785"/>
    <w:rsid w:val="004F7A91"/>
    <w:rsid w:val="004F7C9E"/>
    <w:rsid w:val="00500D76"/>
    <w:rsid w:val="005024D6"/>
    <w:rsid w:val="00503B0F"/>
    <w:rsid w:val="00503B86"/>
    <w:rsid w:val="00504A22"/>
    <w:rsid w:val="00505668"/>
    <w:rsid w:val="00506426"/>
    <w:rsid w:val="00506FC8"/>
    <w:rsid w:val="005074E6"/>
    <w:rsid w:val="0050773B"/>
    <w:rsid w:val="00507D9B"/>
    <w:rsid w:val="00507F13"/>
    <w:rsid w:val="0051022E"/>
    <w:rsid w:val="005109FB"/>
    <w:rsid w:val="00510DB0"/>
    <w:rsid w:val="005110DC"/>
    <w:rsid w:val="00511856"/>
    <w:rsid w:val="005119A0"/>
    <w:rsid w:val="00511D52"/>
    <w:rsid w:val="00513C8E"/>
    <w:rsid w:val="00513D50"/>
    <w:rsid w:val="005144B5"/>
    <w:rsid w:val="00514E17"/>
    <w:rsid w:val="00515135"/>
    <w:rsid w:val="00515212"/>
    <w:rsid w:val="00515D29"/>
    <w:rsid w:val="005162D4"/>
    <w:rsid w:val="00516920"/>
    <w:rsid w:val="00516C14"/>
    <w:rsid w:val="0051761A"/>
    <w:rsid w:val="00520306"/>
    <w:rsid w:val="005234FA"/>
    <w:rsid w:val="00524B9B"/>
    <w:rsid w:val="0052510D"/>
    <w:rsid w:val="005255D3"/>
    <w:rsid w:val="005262E6"/>
    <w:rsid w:val="005268A8"/>
    <w:rsid w:val="005274D2"/>
    <w:rsid w:val="0053070A"/>
    <w:rsid w:val="00530CEE"/>
    <w:rsid w:val="00530E0E"/>
    <w:rsid w:val="00530FA1"/>
    <w:rsid w:val="005316EF"/>
    <w:rsid w:val="00531D3C"/>
    <w:rsid w:val="00531F70"/>
    <w:rsid w:val="00532575"/>
    <w:rsid w:val="00532E44"/>
    <w:rsid w:val="00533CE6"/>
    <w:rsid w:val="00534295"/>
    <w:rsid w:val="005362A9"/>
    <w:rsid w:val="005378EA"/>
    <w:rsid w:val="005400BA"/>
    <w:rsid w:val="00541D3B"/>
    <w:rsid w:val="00542625"/>
    <w:rsid w:val="00542D6F"/>
    <w:rsid w:val="00543064"/>
    <w:rsid w:val="005448D0"/>
    <w:rsid w:val="005470CB"/>
    <w:rsid w:val="005522D6"/>
    <w:rsid w:val="0055264C"/>
    <w:rsid w:val="005530D7"/>
    <w:rsid w:val="0055334C"/>
    <w:rsid w:val="0055401F"/>
    <w:rsid w:val="0055467C"/>
    <w:rsid w:val="0055485E"/>
    <w:rsid w:val="005563F9"/>
    <w:rsid w:val="00556E60"/>
    <w:rsid w:val="005571C0"/>
    <w:rsid w:val="00557F3A"/>
    <w:rsid w:val="005610E3"/>
    <w:rsid w:val="00561ADC"/>
    <w:rsid w:val="00561BE9"/>
    <w:rsid w:val="0056287C"/>
    <w:rsid w:val="00564D28"/>
    <w:rsid w:val="00566A57"/>
    <w:rsid w:val="005670B0"/>
    <w:rsid w:val="00567521"/>
    <w:rsid w:val="00567C4D"/>
    <w:rsid w:val="00567F48"/>
    <w:rsid w:val="0057099B"/>
    <w:rsid w:val="00571DDC"/>
    <w:rsid w:val="00572196"/>
    <w:rsid w:val="005734B9"/>
    <w:rsid w:val="00573D1C"/>
    <w:rsid w:val="00574393"/>
    <w:rsid w:val="00574EE2"/>
    <w:rsid w:val="00574FEC"/>
    <w:rsid w:val="005751C4"/>
    <w:rsid w:val="00577A9A"/>
    <w:rsid w:val="00580B03"/>
    <w:rsid w:val="00580EEF"/>
    <w:rsid w:val="0058136D"/>
    <w:rsid w:val="00581D75"/>
    <w:rsid w:val="00582787"/>
    <w:rsid w:val="00583300"/>
    <w:rsid w:val="00583F77"/>
    <w:rsid w:val="0058513F"/>
    <w:rsid w:val="00585252"/>
    <w:rsid w:val="005853F6"/>
    <w:rsid w:val="005854C3"/>
    <w:rsid w:val="005858E7"/>
    <w:rsid w:val="00585C65"/>
    <w:rsid w:val="005873C7"/>
    <w:rsid w:val="005876AA"/>
    <w:rsid w:val="00590C06"/>
    <w:rsid w:val="005918B5"/>
    <w:rsid w:val="005925E3"/>
    <w:rsid w:val="00592B2C"/>
    <w:rsid w:val="00592E06"/>
    <w:rsid w:val="00595237"/>
    <w:rsid w:val="005954D0"/>
    <w:rsid w:val="00595DE9"/>
    <w:rsid w:val="005963D5"/>
    <w:rsid w:val="005A12F7"/>
    <w:rsid w:val="005A31F6"/>
    <w:rsid w:val="005A488E"/>
    <w:rsid w:val="005A6080"/>
    <w:rsid w:val="005A665D"/>
    <w:rsid w:val="005A729F"/>
    <w:rsid w:val="005A78B6"/>
    <w:rsid w:val="005A7AA2"/>
    <w:rsid w:val="005A7D80"/>
    <w:rsid w:val="005B11D9"/>
    <w:rsid w:val="005B16EF"/>
    <w:rsid w:val="005B24AC"/>
    <w:rsid w:val="005B2F30"/>
    <w:rsid w:val="005B2F54"/>
    <w:rsid w:val="005B3B25"/>
    <w:rsid w:val="005B4305"/>
    <w:rsid w:val="005B63EA"/>
    <w:rsid w:val="005B6F90"/>
    <w:rsid w:val="005B75EA"/>
    <w:rsid w:val="005B7ACA"/>
    <w:rsid w:val="005C04E8"/>
    <w:rsid w:val="005C09F8"/>
    <w:rsid w:val="005C22E8"/>
    <w:rsid w:val="005C2305"/>
    <w:rsid w:val="005C3B2D"/>
    <w:rsid w:val="005C4290"/>
    <w:rsid w:val="005C4D01"/>
    <w:rsid w:val="005C50CF"/>
    <w:rsid w:val="005C5B17"/>
    <w:rsid w:val="005C6740"/>
    <w:rsid w:val="005D1C7E"/>
    <w:rsid w:val="005D2C69"/>
    <w:rsid w:val="005D4331"/>
    <w:rsid w:val="005D50FF"/>
    <w:rsid w:val="005D711C"/>
    <w:rsid w:val="005E1CD6"/>
    <w:rsid w:val="005E1E78"/>
    <w:rsid w:val="005E250B"/>
    <w:rsid w:val="005E31AC"/>
    <w:rsid w:val="005E37CE"/>
    <w:rsid w:val="005E6098"/>
    <w:rsid w:val="005E7E61"/>
    <w:rsid w:val="005F06B4"/>
    <w:rsid w:val="005F155E"/>
    <w:rsid w:val="005F4000"/>
    <w:rsid w:val="005F4888"/>
    <w:rsid w:val="005F4D20"/>
    <w:rsid w:val="005F5390"/>
    <w:rsid w:val="005F6546"/>
    <w:rsid w:val="00600318"/>
    <w:rsid w:val="006018FB"/>
    <w:rsid w:val="0060403C"/>
    <w:rsid w:val="00606648"/>
    <w:rsid w:val="00606989"/>
    <w:rsid w:val="006108C9"/>
    <w:rsid w:val="00610BA9"/>
    <w:rsid w:val="00611634"/>
    <w:rsid w:val="00611913"/>
    <w:rsid w:val="00611BC9"/>
    <w:rsid w:val="00612F4C"/>
    <w:rsid w:val="0061372E"/>
    <w:rsid w:val="00613825"/>
    <w:rsid w:val="00613881"/>
    <w:rsid w:val="00614646"/>
    <w:rsid w:val="006158F7"/>
    <w:rsid w:val="006159C4"/>
    <w:rsid w:val="00617FE0"/>
    <w:rsid w:val="00622EC6"/>
    <w:rsid w:val="00623528"/>
    <w:rsid w:val="00624C7F"/>
    <w:rsid w:val="006265AA"/>
    <w:rsid w:val="006267EA"/>
    <w:rsid w:val="00626A04"/>
    <w:rsid w:val="00630936"/>
    <w:rsid w:val="006318F0"/>
    <w:rsid w:val="00631D7F"/>
    <w:rsid w:val="00632A53"/>
    <w:rsid w:val="006336AD"/>
    <w:rsid w:val="00633A2B"/>
    <w:rsid w:val="00634537"/>
    <w:rsid w:val="00634D8A"/>
    <w:rsid w:val="00636C09"/>
    <w:rsid w:val="0063727E"/>
    <w:rsid w:val="0063780B"/>
    <w:rsid w:val="00641325"/>
    <w:rsid w:val="006425AF"/>
    <w:rsid w:val="00642901"/>
    <w:rsid w:val="00642BC1"/>
    <w:rsid w:val="00644E22"/>
    <w:rsid w:val="006461D4"/>
    <w:rsid w:val="0064644C"/>
    <w:rsid w:val="00646A96"/>
    <w:rsid w:val="00646F9C"/>
    <w:rsid w:val="00647F83"/>
    <w:rsid w:val="006511EA"/>
    <w:rsid w:val="00651BAD"/>
    <w:rsid w:val="00653D17"/>
    <w:rsid w:val="006545CC"/>
    <w:rsid w:val="00654DDA"/>
    <w:rsid w:val="006553EC"/>
    <w:rsid w:val="006559AA"/>
    <w:rsid w:val="0065711E"/>
    <w:rsid w:val="006620DD"/>
    <w:rsid w:val="006626B4"/>
    <w:rsid w:val="00662C4D"/>
    <w:rsid w:val="006635FF"/>
    <w:rsid w:val="0066378F"/>
    <w:rsid w:val="00663ABF"/>
    <w:rsid w:val="00663F60"/>
    <w:rsid w:val="0066450E"/>
    <w:rsid w:val="00667B6F"/>
    <w:rsid w:val="00671045"/>
    <w:rsid w:val="006711AE"/>
    <w:rsid w:val="00671DAF"/>
    <w:rsid w:val="00672656"/>
    <w:rsid w:val="0067450F"/>
    <w:rsid w:val="006767F9"/>
    <w:rsid w:val="00677DEC"/>
    <w:rsid w:val="00680B53"/>
    <w:rsid w:val="00682665"/>
    <w:rsid w:val="00683B85"/>
    <w:rsid w:val="0068516A"/>
    <w:rsid w:val="00686307"/>
    <w:rsid w:val="0068631C"/>
    <w:rsid w:val="0068792D"/>
    <w:rsid w:val="006901C0"/>
    <w:rsid w:val="00691953"/>
    <w:rsid w:val="00691EBC"/>
    <w:rsid w:val="006921B5"/>
    <w:rsid w:val="00692F09"/>
    <w:rsid w:val="00694F0E"/>
    <w:rsid w:val="00695EF0"/>
    <w:rsid w:val="0069739B"/>
    <w:rsid w:val="006A0F73"/>
    <w:rsid w:val="006A0FF1"/>
    <w:rsid w:val="006A14BE"/>
    <w:rsid w:val="006A2959"/>
    <w:rsid w:val="006A2C52"/>
    <w:rsid w:val="006A38B6"/>
    <w:rsid w:val="006A3A25"/>
    <w:rsid w:val="006A42D4"/>
    <w:rsid w:val="006A4AEE"/>
    <w:rsid w:val="006A4C5B"/>
    <w:rsid w:val="006A5B1F"/>
    <w:rsid w:val="006A5FA8"/>
    <w:rsid w:val="006A6627"/>
    <w:rsid w:val="006A6AEC"/>
    <w:rsid w:val="006A7A59"/>
    <w:rsid w:val="006A7FA7"/>
    <w:rsid w:val="006B0178"/>
    <w:rsid w:val="006B08B6"/>
    <w:rsid w:val="006B1261"/>
    <w:rsid w:val="006B1511"/>
    <w:rsid w:val="006B1FBD"/>
    <w:rsid w:val="006B2BAD"/>
    <w:rsid w:val="006B3F85"/>
    <w:rsid w:val="006B4FD3"/>
    <w:rsid w:val="006C146C"/>
    <w:rsid w:val="006C277F"/>
    <w:rsid w:val="006C324C"/>
    <w:rsid w:val="006C352E"/>
    <w:rsid w:val="006C3895"/>
    <w:rsid w:val="006C4E09"/>
    <w:rsid w:val="006C50C2"/>
    <w:rsid w:val="006C615E"/>
    <w:rsid w:val="006D1E6A"/>
    <w:rsid w:val="006D27C2"/>
    <w:rsid w:val="006D68A0"/>
    <w:rsid w:val="006E179F"/>
    <w:rsid w:val="006E193F"/>
    <w:rsid w:val="006E2930"/>
    <w:rsid w:val="006E2938"/>
    <w:rsid w:val="006E29C1"/>
    <w:rsid w:val="006E2AD0"/>
    <w:rsid w:val="006E4235"/>
    <w:rsid w:val="006E7211"/>
    <w:rsid w:val="006E79E3"/>
    <w:rsid w:val="006E7A99"/>
    <w:rsid w:val="006E7FD1"/>
    <w:rsid w:val="006F21A5"/>
    <w:rsid w:val="006F27BF"/>
    <w:rsid w:val="006F3775"/>
    <w:rsid w:val="006F37F8"/>
    <w:rsid w:val="006F6DCE"/>
    <w:rsid w:val="006F7668"/>
    <w:rsid w:val="006F7B21"/>
    <w:rsid w:val="00700B2A"/>
    <w:rsid w:val="007011E3"/>
    <w:rsid w:val="00701681"/>
    <w:rsid w:val="0070171F"/>
    <w:rsid w:val="007023FB"/>
    <w:rsid w:val="0070247B"/>
    <w:rsid w:val="00703376"/>
    <w:rsid w:val="0070381C"/>
    <w:rsid w:val="007048B0"/>
    <w:rsid w:val="007051EB"/>
    <w:rsid w:val="00705E9B"/>
    <w:rsid w:val="007066F0"/>
    <w:rsid w:val="00706F41"/>
    <w:rsid w:val="00710886"/>
    <w:rsid w:val="00710B55"/>
    <w:rsid w:val="00711DC3"/>
    <w:rsid w:val="007126F1"/>
    <w:rsid w:val="00712885"/>
    <w:rsid w:val="00713DF5"/>
    <w:rsid w:val="007142DA"/>
    <w:rsid w:val="00715195"/>
    <w:rsid w:val="0071542F"/>
    <w:rsid w:val="007154F5"/>
    <w:rsid w:val="007159E8"/>
    <w:rsid w:val="00715E2A"/>
    <w:rsid w:val="007160FC"/>
    <w:rsid w:val="00716191"/>
    <w:rsid w:val="007165D1"/>
    <w:rsid w:val="0071662D"/>
    <w:rsid w:val="00720033"/>
    <w:rsid w:val="0072068A"/>
    <w:rsid w:val="00720C10"/>
    <w:rsid w:val="00720CDF"/>
    <w:rsid w:val="00724594"/>
    <w:rsid w:val="0072775E"/>
    <w:rsid w:val="007309F4"/>
    <w:rsid w:val="00731137"/>
    <w:rsid w:val="00731212"/>
    <w:rsid w:val="00731ACF"/>
    <w:rsid w:val="00731E1A"/>
    <w:rsid w:val="00731EDA"/>
    <w:rsid w:val="00733008"/>
    <w:rsid w:val="0073368A"/>
    <w:rsid w:val="007339B6"/>
    <w:rsid w:val="00735461"/>
    <w:rsid w:val="00736ADE"/>
    <w:rsid w:val="007412D2"/>
    <w:rsid w:val="00742D3A"/>
    <w:rsid w:val="00744861"/>
    <w:rsid w:val="007448BB"/>
    <w:rsid w:val="007478D6"/>
    <w:rsid w:val="00747BB1"/>
    <w:rsid w:val="00747F28"/>
    <w:rsid w:val="00751B6B"/>
    <w:rsid w:val="007528C2"/>
    <w:rsid w:val="00753859"/>
    <w:rsid w:val="00754E48"/>
    <w:rsid w:val="00755145"/>
    <w:rsid w:val="0075617D"/>
    <w:rsid w:val="00756D27"/>
    <w:rsid w:val="0076199F"/>
    <w:rsid w:val="00762158"/>
    <w:rsid w:val="007630B3"/>
    <w:rsid w:val="00763941"/>
    <w:rsid w:val="00764E5F"/>
    <w:rsid w:val="00765195"/>
    <w:rsid w:val="0076540F"/>
    <w:rsid w:val="00765567"/>
    <w:rsid w:val="0076647D"/>
    <w:rsid w:val="0076683F"/>
    <w:rsid w:val="00767A49"/>
    <w:rsid w:val="00770052"/>
    <w:rsid w:val="0077065C"/>
    <w:rsid w:val="00770F73"/>
    <w:rsid w:val="00771183"/>
    <w:rsid w:val="0077125D"/>
    <w:rsid w:val="00772A14"/>
    <w:rsid w:val="00772C5B"/>
    <w:rsid w:val="00772EB8"/>
    <w:rsid w:val="007735E7"/>
    <w:rsid w:val="00773C6F"/>
    <w:rsid w:val="00774BA8"/>
    <w:rsid w:val="00774CA4"/>
    <w:rsid w:val="00774FA3"/>
    <w:rsid w:val="00775861"/>
    <w:rsid w:val="00776226"/>
    <w:rsid w:val="00777122"/>
    <w:rsid w:val="0077784E"/>
    <w:rsid w:val="0078090C"/>
    <w:rsid w:val="0078190C"/>
    <w:rsid w:val="00781D2E"/>
    <w:rsid w:val="00781D60"/>
    <w:rsid w:val="00781F77"/>
    <w:rsid w:val="0078218F"/>
    <w:rsid w:val="00782A6A"/>
    <w:rsid w:val="00782B3C"/>
    <w:rsid w:val="00783429"/>
    <w:rsid w:val="00783FC4"/>
    <w:rsid w:val="00784765"/>
    <w:rsid w:val="00785F3B"/>
    <w:rsid w:val="00786EFE"/>
    <w:rsid w:val="007873B4"/>
    <w:rsid w:val="007877DB"/>
    <w:rsid w:val="007901A6"/>
    <w:rsid w:val="00790D4C"/>
    <w:rsid w:val="00790DE9"/>
    <w:rsid w:val="00790EDE"/>
    <w:rsid w:val="007920C1"/>
    <w:rsid w:val="0079316F"/>
    <w:rsid w:val="007A1CCF"/>
    <w:rsid w:val="007A3C9C"/>
    <w:rsid w:val="007A50AA"/>
    <w:rsid w:val="007A5908"/>
    <w:rsid w:val="007A62FF"/>
    <w:rsid w:val="007A65D5"/>
    <w:rsid w:val="007A66F7"/>
    <w:rsid w:val="007A67EA"/>
    <w:rsid w:val="007A7214"/>
    <w:rsid w:val="007B14A3"/>
    <w:rsid w:val="007B2E88"/>
    <w:rsid w:val="007B5FE6"/>
    <w:rsid w:val="007B6BD8"/>
    <w:rsid w:val="007B7145"/>
    <w:rsid w:val="007B718D"/>
    <w:rsid w:val="007C1599"/>
    <w:rsid w:val="007C171A"/>
    <w:rsid w:val="007C3748"/>
    <w:rsid w:val="007C39B5"/>
    <w:rsid w:val="007C5797"/>
    <w:rsid w:val="007C5806"/>
    <w:rsid w:val="007C6026"/>
    <w:rsid w:val="007C650D"/>
    <w:rsid w:val="007C68B0"/>
    <w:rsid w:val="007C68B5"/>
    <w:rsid w:val="007C7238"/>
    <w:rsid w:val="007D264C"/>
    <w:rsid w:val="007D2ABA"/>
    <w:rsid w:val="007D3AC0"/>
    <w:rsid w:val="007D44D3"/>
    <w:rsid w:val="007D53F3"/>
    <w:rsid w:val="007D5AC3"/>
    <w:rsid w:val="007D634D"/>
    <w:rsid w:val="007D68F6"/>
    <w:rsid w:val="007D6C02"/>
    <w:rsid w:val="007D7A8F"/>
    <w:rsid w:val="007D7DD5"/>
    <w:rsid w:val="007E1784"/>
    <w:rsid w:val="007E3015"/>
    <w:rsid w:val="007E3238"/>
    <w:rsid w:val="007E38AB"/>
    <w:rsid w:val="007E4103"/>
    <w:rsid w:val="007E4F94"/>
    <w:rsid w:val="007E55A5"/>
    <w:rsid w:val="007E7143"/>
    <w:rsid w:val="007E77C5"/>
    <w:rsid w:val="007F2366"/>
    <w:rsid w:val="007F31AE"/>
    <w:rsid w:val="007F3EDB"/>
    <w:rsid w:val="007F410D"/>
    <w:rsid w:val="007F6084"/>
    <w:rsid w:val="007F6250"/>
    <w:rsid w:val="007F6B0A"/>
    <w:rsid w:val="007F6F40"/>
    <w:rsid w:val="007F7135"/>
    <w:rsid w:val="00800CF1"/>
    <w:rsid w:val="008018D4"/>
    <w:rsid w:val="00801A45"/>
    <w:rsid w:val="008020D8"/>
    <w:rsid w:val="008040C2"/>
    <w:rsid w:val="00804E16"/>
    <w:rsid w:val="00805056"/>
    <w:rsid w:val="0080581F"/>
    <w:rsid w:val="00805AC4"/>
    <w:rsid w:val="0080662B"/>
    <w:rsid w:val="008069E9"/>
    <w:rsid w:val="00806CB9"/>
    <w:rsid w:val="00807374"/>
    <w:rsid w:val="008074EF"/>
    <w:rsid w:val="008105F1"/>
    <w:rsid w:val="0081081A"/>
    <w:rsid w:val="00811992"/>
    <w:rsid w:val="0081257D"/>
    <w:rsid w:val="00812B61"/>
    <w:rsid w:val="00812F26"/>
    <w:rsid w:val="00812F77"/>
    <w:rsid w:val="008139E5"/>
    <w:rsid w:val="008147D7"/>
    <w:rsid w:val="00815CA2"/>
    <w:rsid w:val="00815FBA"/>
    <w:rsid w:val="00816D8F"/>
    <w:rsid w:val="00816EB9"/>
    <w:rsid w:val="00820C32"/>
    <w:rsid w:val="00821787"/>
    <w:rsid w:val="00822A8C"/>
    <w:rsid w:val="00822A9C"/>
    <w:rsid w:val="00822CE1"/>
    <w:rsid w:val="00823608"/>
    <w:rsid w:val="008247C9"/>
    <w:rsid w:val="00824BFE"/>
    <w:rsid w:val="0082512F"/>
    <w:rsid w:val="00826162"/>
    <w:rsid w:val="00826E90"/>
    <w:rsid w:val="00827967"/>
    <w:rsid w:val="00827EC1"/>
    <w:rsid w:val="00830583"/>
    <w:rsid w:val="00831047"/>
    <w:rsid w:val="00831340"/>
    <w:rsid w:val="008314EA"/>
    <w:rsid w:val="00832F95"/>
    <w:rsid w:val="00834720"/>
    <w:rsid w:val="008361D8"/>
    <w:rsid w:val="00836572"/>
    <w:rsid w:val="008409D1"/>
    <w:rsid w:val="00841780"/>
    <w:rsid w:val="008431C6"/>
    <w:rsid w:val="00843AEA"/>
    <w:rsid w:val="008462A1"/>
    <w:rsid w:val="00846852"/>
    <w:rsid w:val="00850AAF"/>
    <w:rsid w:val="0085169D"/>
    <w:rsid w:val="008520B3"/>
    <w:rsid w:val="00852449"/>
    <w:rsid w:val="00853082"/>
    <w:rsid w:val="00853C3C"/>
    <w:rsid w:val="00853EB6"/>
    <w:rsid w:val="00856915"/>
    <w:rsid w:val="00856BA2"/>
    <w:rsid w:val="00857B6B"/>
    <w:rsid w:val="00861D08"/>
    <w:rsid w:val="00862CD7"/>
    <w:rsid w:val="0086634E"/>
    <w:rsid w:val="008675B1"/>
    <w:rsid w:val="00870CA4"/>
    <w:rsid w:val="00870EED"/>
    <w:rsid w:val="00873DCB"/>
    <w:rsid w:val="0087448D"/>
    <w:rsid w:val="00875900"/>
    <w:rsid w:val="00875DF8"/>
    <w:rsid w:val="0088138E"/>
    <w:rsid w:val="00881843"/>
    <w:rsid w:val="00881D0A"/>
    <w:rsid w:val="00884125"/>
    <w:rsid w:val="008845B0"/>
    <w:rsid w:val="00886AA7"/>
    <w:rsid w:val="0088705B"/>
    <w:rsid w:val="00887C7F"/>
    <w:rsid w:val="0089275A"/>
    <w:rsid w:val="0089426D"/>
    <w:rsid w:val="00894C37"/>
    <w:rsid w:val="00894F9B"/>
    <w:rsid w:val="008951F1"/>
    <w:rsid w:val="008961A2"/>
    <w:rsid w:val="008A1014"/>
    <w:rsid w:val="008A36AD"/>
    <w:rsid w:val="008A4217"/>
    <w:rsid w:val="008A5FED"/>
    <w:rsid w:val="008A6C66"/>
    <w:rsid w:val="008B021E"/>
    <w:rsid w:val="008B087F"/>
    <w:rsid w:val="008B120C"/>
    <w:rsid w:val="008B2428"/>
    <w:rsid w:val="008B2F1F"/>
    <w:rsid w:val="008B50EF"/>
    <w:rsid w:val="008B6803"/>
    <w:rsid w:val="008C1A56"/>
    <w:rsid w:val="008C28E2"/>
    <w:rsid w:val="008C4389"/>
    <w:rsid w:val="008C4754"/>
    <w:rsid w:val="008C5A25"/>
    <w:rsid w:val="008C5B46"/>
    <w:rsid w:val="008D058C"/>
    <w:rsid w:val="008D062B"/>
    <w:rsid w:val="008D0821"/>
    <w:rsid w:val="008D193A"/>
    <w:rsid w:val="008D3991"/>
    <w:rsid w:val="008D41EE"/>
    <w:rsid w:val="008D5BCE"/>
    <w:rsid w:val="008D6989"/>
    <w:rsid w:val="008E1392"/>
    <w:rsid w:val="008E20C5"/>
    <w:rsid w:val="008E2B1F"/>
    <w:rsid w:val="008E5C72"/>
    <w:rsid w:val="008E6236"/>
    <w:rsid w:val="008E733B"/>
    <w:rsid w:val="008E7B24"/>
    <w:rsid w:val="008F0E06"/>
    <w:rsid w:val="008F190C"/>
    <w:rsid w:val="008F2661"/>
    <w:rsid w:val="008F3B5A"/>
    <w:rsid w:val="008F487D"/>
    <w:rsid w:val="008F4ADA"/>
    <w:rsid w:val="008F55B2"/>
    <w:rsid w:val="008F5694"/>
    <w:rsid w:val="008F5919"/>
    <w:rsid w:val="009001D2"/>
    <w:rsid w:val="0090302E"/>
    <w:rsid w:val="00904160"/>
    <w:rsid w:val="009059F5"/>
    <w:rsid w:val="00905AE4"/>
    <w:rsid w:val="00905CAA"/>
    <w:rsid w:val="00905CDD"/>
    <w:rsid w:val="009062BC"/>
    <w:rsid w:val="009071EC"/>
    <w:rsid w:val="00910AF7"/>
    <w:rsid w:val="0091123D"/>
    <w:rsid w:val="00911B77"/>
    <w:rsid w:val="00913C1E"/>
    <w:rsid w:val="00913E51"/>
    <w:rsid w:val="009141B7"/>
    <w:rsid w:val="00915263"/>
    <w:rsid w:val="00915708"/>
    <w:rsid w:val="00916093"/>
    <w:rsid w:val="00916198"/>
    <w:rsid w:val="009163E7"/>
    <w:rsid w:val="009202E2"/>
    <w:rsid w:val="0092036C"/>
    <w:rsid w:val="00920C15"/>
    <w:rsid w:val="0092114D"/>
    <w:rsid w:val="009213D9"/>
    <w:rsid w:val="009221CA"/>
    <w:rsid w:val="00922D40"/>
    <w:rsid w:val="00922EF3"/>
    <w:rsid w:val="00923168"/>
    <w:rsid w:val="0092406D"/>
    <w:rsid w:val="009244BA"/>
    <w:rsid w:val="00924561"/>
    <w:rsid w:val="00925B8F"/>
    <w:rsid w:val="00926305"/>
    <w:rsid w:val="00926358"/>
    <w:rsid w:val="009267EF"/>
    <w:rsid w:val="009268B5"/>
    <w:rsid w:val="009268FD"/>
    <w:rsid w:val="00927374"/>
    <w:rsid w:val="00927712"/>
    <w:rsid w:val="0093032D"/>
    <w:rsid w:val="009303A5"/>
    <w:rsid w:val="00931343"/>
    <w:rsid w:val="0093190D"/>
    <w:rsid w:val="009342FB"/>
    <w:rsid w:val="00934BBF"/>
    <w:rsid w:val="00934EDC"/>
    <w:rsid w:val="00935FA5"/>
    <w:rsid w:val="0094089E"/>
    <w:rsid w:val="00941014"/>
    <w:rsid w:val="00942AA6"/>
    <w:rsid w:val="00942FC2"/>
    <w:rsid w:val="00943CCB"/>
    <w:rsid w:val="0094434B"/>
    <w:rsid w:val="009462C4"/>
    <w:rsid w:val="009466F4"/>
    <w:rsid w:val="009467DC"/>
    <w:rsid w:val="009471B9"/>
    <w:rsid w:val="0094743E"/>
    <w:rsid w:val="009511A7"/>
    <w:rsid w:val="00953319"/>
    <w:rsid w:val="00954076"/>
    <w:rsid w:val="009549CF"/>
    <w:rsid w:val="009556EC"/>
    <w:rsid w:val="009559BC"/>
    <w:rsid w:val="0095683B"/>
    <w:rsid w:val="009575F1"/>
    <w:rsid w:val="0095797A"/>
    <w:rsid w:val="00957AE6"/>
    <w:rsid w:val="00960A08"/>
    <w:rsid w:val="00960E44"/>
    <w:rsid w:val="009613C1"/>
    <w:rsid w:val="0096140D"/>
    <w:rsid w:val="00962CA3"/>
    <w:rsid w:val="009635B4"/>
    <w:rsid w:val="009655F3"/>
    <w:rsid w:val="00965AC1"/>
    <w:rsid w:val="00965B8F"/>
    <w:rsid w:val="009723B5"/>
    <w:rsid w:val="009726FE"/>
    <w:rsid w:val="00972C59"/>
    <w:rsid w:val="0097383F"/>
    <w:rsid w:val="00974939"/>
    <w:rsid w:val="00976367"/>
    <w:rsid w:val="00976454"/>
    <w:rsid w:val="009768D3"/>
    <w:rsid w:val="009770A7"/>
    <w:rsid w:val="009778F2"/>
    <w:rsid w:val="00980937"/>
    <w:rsid w:val="00981A4D"/>
    <w:rsid w:val="00982808"/>
    <w:rsid w:val="00982954"/>
    <w:rsid w:val="00985064"/>
    <w:rsid w:val="0098549B"/>
    <w:rsid w:val="009862C2"/>
    <w:rsid w:val="0098747D"/>
    <w:rsid w:val="009875FA"/>
    <w:rsid w:val="0098799C"/>
    <w:rsid w:val="00990A75"/>
    <w:rsid w:val="0099104D"/>
    <w:rsid w:val="00991CF0"/>
    <w:rsid w:val="00991EDE"/>
    <w:rsid w:val="00992400"/>
    <w:rsid w:val="00994C61"/>
    <w:rsid w:val="00995F01"/>
    <w:rsid w:val="0099620A"/>
    <w:rsid w:val="00996267"/>
    <w:rsid w:val="00996351"/>
    <w:rsid w:val="009970CF"/>
    <w:rsid w:val="0099748E"/>
    <w:rsid w:val="009979B3"/>
    <w:rsid w:val="00997E66"/>
    <w:rsid w:val="009A0DB0"/>
    <w:rsid w:val="009A476C"/>
    <w:rsid w:val="009A4DAC"/>
    <w:rsid w:val="009A64C7"/>
    <w:rsid w:val="009B0B3C"/>
    <w:rsid w:val="009B0CC8"/>
    <w:rsid w:val="009B1AD8"/>
    <w:rsid w:val="009B293B"/>
    <w:rsid w:val="009B4E88"/>
    <w:rsid w:val="009B605D"/>
    <w:rsid w:val="009B697B"/>
    <w:rsid w:val="009B6C2D"/>
    <w:rsid w:val="009B6DD9"/>
    <w:rsid w:val="009B6FC6"/>
    <w:rsid w:val="009B79E2"/>
    <w:rsid w:val="009B7CEE"/>
    <w:rsid w:val="009C0853"/>
    <w:rsid w:val="009C090D"/>
    <w:rsid w:val="009C27C0"/>
    <w:rsid w:val="009C3017"/>
    <w:rsid w:val="009C44A4"/>
    <w:rsid w:val="009C469B"/>
    <w:rsid w:val="009C55AE"/>
    <w:rsid w:val="009C6BA1"/>
    <w:rsid w:val="009C7DB3"/>
    <w:rsid w:val="009D012C"/>
    <w:rsid w:val="009D077B"/>
    <w:rsid w:val="009D0F05"/>
    <w:rsid w:val="009D4561"/>
    <w:rsid w:val="009D4574"/>
    <w:rsid w:val="009D5411"/>
    <w:rsid w:val="009D6C81"/>
    <w:rsid w:val="009E1B0A"/>
    <w:rsid w:val="009E1B91"/>
    <w:rsid w:val="009E24D0"/>
    <w:rsid w:val="009E37C3"/>
    <w:rsid w:val="009E435A"/>
    <w:rsid w:val="009E49E5"/>
    <w:rsid w:val="009E5195"/>
    <w:rsid w:val="009E5678"/>
    <w:rsid w:val="009E5768"/>
    <w:rsid w:val="009E6836"/>
    <w:rsid w:val="009E6E7B"/>
    <w:rsid w:val="009F1610"/>
    <w:rsid w:val="009F17BD"/>
    <w:rsid w:val="009F2889"/>
    <w:rsid w:val="009F417D"/>
    <w:rsid w:val="009F6011"/>
    <w:rsid w:val="009F60D5"/>
    <w:rsid w:val="009F7E8A"/>
    <w:rsid w:val="00A003AD"/>
    <w:rsid w:val="00A00F08"/>
    <w:rsid w:val="00A01DE2"/>
    <w:rsid w:val="00A01EBC"/>
    <w:rsid w:val="00A02D48"/>
    <w:rsid w:val="00A03EB6"/>
    <w:rsid w:val="00A0440A"/>
    <w:rsid w:val="00A06409"/>
    <w:rsid w:val="00A068EC"/>
    <w:rsid w:val="00A06C40"/>
    <w:rsid w:val="00A079DB"/>
    <w:rsid w:val="00A11672"/>
    <w:rsid w:val="00A12800"/>
    <w:rsid w:val="00A12CDF"/>
    <w:rsid w:val="00A15363"/>
    <w:rsid w:val="00A159AC"/>
    <w:rsid w:val="00A1613F"/>
    <w:rsid w:val="00A1682A"/>
    <w:rsid w:val="00A16BFA"/>
    <w:rsid w:val="00A16F31"/>
    <w:rsid w:val="00A17B29"/>
    <w:rsid w:val="00A22D30"/>
    <w:rsid w:val="00A2425E"/>
    <w:rsid w:val="00A24AA7"/>
    <w:rsid w:val="00A255D8"/>
    <w:rsid w:val="00A255F7"/>
    <w:rsid w:val="00A276E6"/>
    <w:rsid w:val="00A27C90"/>
    <w:rsid w:val="00A30B92"/>
    <w:rsid w:val="00A314F5"/>
    <w:rsid w:val="00A32832"/>
    <w:rsid w:val="00A32C21"/>
    <w:rsid w:val="00A33094"/>
    <w:rsid w:val="00A3343F"/>
    <w:rsid w:val="00A33709"/>
    <w:rsid w:val="00A33FB2"/>
    <w:rsid w:val="00A348E2"/>
    <w:rsid w:val="00A349E5"/>
    <w:rsid w:val="00A35B43"/>
    <w:rsid w:val="00A36037"/>
    <w:rsid w:val="00A367CD"/>
    <w:rsid w:val="00A368A6"/>
    <w:rsid w:val="00A37D7D"/>
    <w:rsid w:val="00A40103"/>
    <w:rsid w:val="00A42598"/>
    <w:rsid w:val="00A43BB1"/>
    <w:rsid w:val="00A4476D"/>
    <w:rsid w:val="00A44A69"/>
    <w:rsid w:val="00A45431"/>
    <w:rsid w:val="00A45566"/>
    <w:rsid w:val="00A46125"/>
    <w:rsid w:val="00A46B2E"/>
    <w:rsid w:val="00A478F4"/>
    <w:rsid w:val="00A479AB"/>
    <w:rsid w:val="00A47B94"/>
    <w:rsid w:val="00A47FF6"/>
    <w:rsid w:val="00A51032"/>
    <w:rsid w:val="00A51917"/>
    <w:rsid w:val="00A523B3"/>
    <w:rsid w:val="00A52F3E"/>
    <w:rsid w:val="00A54FFF"/>
    <w:rsid w:val="00A554A7"/>
    <w:rsid w:val="00A55B91"/>
    <w:rsid w:val="00A55E3B"/>
    <w:rsid w:val="00A56F0D"/>
    <w:rsid w:val="00A57F29"/>
    <w:rsid w:val="00A60DD3"/>
    <w:rsid w:val="00A60F46"/>
    <w:rsid w:val="00A61C15"/>
    <w:rsid w:val="00A620A4"/>
    <w:rsid w:val="00A6252E"/>
    <w:rsid w:val="00A629E1"/>
    <w:rsid w:val="00A64F76"/>
    <w:rsid w:val="00A67098"/>
    <w:rsid w:val="00A67B81"/>
    <w:rsid w:val="00A7047E"/>
    <w:rsid w:val="00A73ACD"/>
    <w:rsid w:val="00A76047"/>
    <w:rsid w:val="00A818F6"/>
    <w:rsid w:val="00A81993"/>
    <w:rsid w:val="00A8265C"/>
    <w:rsid w:val="00A82843"/>
    <w:rsid w:val="00A83839"/>
    <w:rsid w:val="00A83AC2"/>
    <w:rsid w:val="00A83F56"/>
    <w:rsid w:val="00A8564B"/>
    <w:rsid w:val="00A85902"/>
    <w:rsid w:val="00A8598B"/>
    <w:rsid w:val="00A86186"/>
    <w:rsid w:val="00A86560"/>
    <w:rsid w:val="00A874EB"/>
    <w:rsid w:val="00A8755C"/>
    <w:rsid w:val="00A9081E"/>
    <w:rsid w:val="00A90CD3"/>
    <w:rsid w:val="00A90F67"/>
    <w:rsid w:val="00A93CEC"/>
    <w:rsid w:val="00A94B97"/>
    <w:rsid w:val="00A94F9F"/>
    <w:rsid w:val="00A97BAB"/>
    <w:rsid w:val="00AA0383"/>
    <w:rsid w:val="00AA0693"/>
    <w:rsid w:val="00AA0D01"/>
    <w:rsid w:val="00AA0D32"/>
    <w:rsid w:val="00AA14F9"/>
    <w:rsid w:val="00AA1DEE"/>
    <w:rsid w:val="00AA2A02"/>
    <w:rsid w:val="00AA2A65"/>
    <w:rsid w:val="00AA3030"/>
    <w:rsid w:val="00AA30EF"/>
    <w:rsid w:val="00AA3AFF"/>
    <w:rsid w:val="00AA55DA"/>
    <w:rsid w:val="00AA5DAC"/>
    <w:rsid w:val="00AA6BF1"/>
    <w:rsid w:val="00AA766E"/>
    <w:rsid w:val="00AB1867"/>
    <w:rsid w:val="00AB2209"/>
    <w:rsid w:val="00AB3630"/>
    <w:rsid w:val="00AB579A"/>
    <w:rsid w:val="00AB582D"/>
    <w:rsid w:val="00AB68B8"/>
    <w:rsid w:val="00AB7717"/>
    <w:rsid w:val="00AC19A2"/>
    <w:rsid w:val="00AC202C"/>
    <w:rsid w:val="00AC367C"/>
    <w:rsid w:val="00AC450D"/>
    <w:rsid w:val="00AC49A8"/>
    <w:rsid w:val="00AC63FC"/>
    <w:rsid w:val="00AC755C"/>
    <w:rsid w:val="00AD0577"/>
    <w:rsid w:val="00AD212B"/>
    <w:rsid w:val="00AD2148"/>
    <w:rsid w:val="00AD2847"/>
    <w:rsid w:val="00AD2A67"/>
    <w:rsid w:val="00AD2C5D"/>
    <w:rsid w:val="00AD2CBA"/>
    <w:rsid w:val="00AD4F64"/>
    <w:rsid w:val="00AD6AC2"/>
    <w:rsid w:val="00AD6D98"/>
    <w:rsid w:val="00AD747D"/>
    <w:rsid w:val="00AE0267"/>
    <w:rsid w:val="00AE189F"/>
    <w:rsid w:val="00AE5273"/>
    <w:rsid w:val="00AE5B1F"/>
    <w:rsid w:val="00AE5D8A"/>
    <w:rsid w:val="00AF07DE"/>
    <w:rsid w:val="00AF0957"/>
    <w:rsid w:val="00AF11F5"/>
    <w:rsid w:val="00AF14D3"/>
    <w:rsid w:val="00AF3672"/>
    <w:rsid w:val="00AF3D10"/>
    <w:rsid w:val="00AF3F20"/>
    <w:rsid w:val="00AF459C"/>
    <w:rsid w:val="00AF5994"/>
    <w:rsid w:val="00AF5A55"/>
    <w:rsid w:val="00AF63B4"/>
    <w:rsid w:val="00AF6900"/>
    <w:rsid w:val="00AF7FFB"/>
    <w:rsid w:val="00B00201"/>
    <w:rsid w:val="00B0070D"/>
    <w:rsid w:val="00B01D52"/>
    <w:rsid w:val="00B0331A"/>
    <w:rsid w:val="00B052AD"/>
    <w:rsid w:val="00B055AA"/>
    <w:rsid w:val="00B05BDB"/>
    <w:rsid w:val="00B05C5F"/>
    <w:rsid w:val="00B05EBC"/>
    <w:rsid w:val="00B05F49"/>
    <w:rsid w:val="00B06593"/>
    <w:rsid w:val="00B06B60"/>
    <w:rsid w:val="00B06DF7"/>
    <w:rsid w:val="00B07335"/>
    <w:rsid w:val="00B07B4E"/>
    <w:rsid w:val="00B10F6F"/>
    <w:rsid w:val="00B11EE0"/>
    <w:rsid w:val="00B11FDA"/>
    <w:rsid w:val="00B134CD"/>
    <w:rsid w:val="00B145E9"/>
    <w:rsid w:val="00B15597"/>
    <w:rsid w:val="00B15F56"/>
    <w:rsid w:val="00B1697D"/>
    <w:rsid w:val="00B17314"/>
    <w:rsid w:val="00B2001D"/>
    <w:rsid w:val="00B22F76"/>
    <w:rsid w:val="00B233D6"/>
    <w:rsid w:val="00B23888"/>
    <w:rsid w:val="00B24489"/>
    <w:rsid w:val="00B24F39"/>
    <w:rsid w:val="00B25B71"/>
    <w:rsid w:val="00B25D5F"/>
    <w:rsid w:val="00B25F35"/>
    <w:rsid w:val="00B2605C"/>
    <w:rsid w:val="00B26320"/>
    <w:rsid w:val="00B27002"/>
    <w:rsid w:val="00B27320"/>
    <w:rsid w:val="00B300A2"/>
    <w:rsid w:val="00B320B1"/>
    <w:rsid w:val="00B348B8"/>
    <w:rsid w:val="00B35205"/>
    <w:rsid w:val="00B357EA"/>
    <w:rsid w:val="00B3760E"/>
    <w:rsid w:val="00B402C0"/>
    <w:rsid w:val="00B4176C"/>
    <w:rsid w:val="00B42B39"/>
    <w:rsid w:val="00B42F78"/>
    <w:rsid w:val="00B432CA"/>
    <w:rsid w:val="00B4397C"/>
    <w:rsid w:val="00B439F2"/>
    <w:rsid w:val="00B477A3"/>
    <w:rsid w:val="00B47D49"/>
    <w:rsid w:val="00B500C6"/>
    <w:rsid w:val="00B50148"/>
    <w:rsid w:val="00B50E5C"/>
    <w:rsid w:val="00B51231"/>
    <w:rsid w:val="00B51872"/>
    <w:rsid w:val="00B52027"/>
    <w:rsid w:val="00B520F6"/>
    <w:rsid w:val="00B5214B"/>
    <w:rsid w:val="00B53EC7"/>
    <w:rsid w:val="00B53F02"/>
    <w:rsid w:val="00B540C6"/>
    <w:rsid w:val="00B55DD2"/>
    <w:rsid w:val="00B566BE"/>
    <w:rsid w:val="00B56ED0"/>
    <w:rsid w:val="00B57C69"/>
    <w:rsid w:val="00B57FD1"/>
    <w:rsid w:val="00B6157E"/>
    <w:rsid w:val="00B61C84"/>
    <w:rsid w:val="00B625F1"/>
    <w:rsid w:val="00B627E3"/>
    <w:rsid w:val="00B6290A"/>
    <w:rsid w:val="00B6345F"/>
    <w:rsid w:val="00B64EB7"/>
    <w:rsid w:val="00B651FE"/>
    <w:rsid w:val="00B653F7"/>
    <w:rsid w:val="00B656F3"/>
    <w:rsid w:val="00B65F83"/>
    <w:rsid w:val="00B66811"/>
    <w:rsid w:val="00B672D1"/>
    <w:rsid w:val="00B67738"/>
    <w:rsid w:val="00B71391"/>
    <w:rsid w:val="00B7291F"/>
    <w:rsid w:val="00B72B04"/>
    <w:rsid w:val="00B74706"/>
    <w:rsid w:val="00B74A27"/>
    <w:rsid w:val="00B7728B"/>
    <w:rsid w:val="00B8041F"/>
    <w:rsid w:val="00B8072E"/>
    <w:rsid w:val="00B81155"/>
    <w:rsid w:val="00B812D3"/>
    <w:rsid w:val="00B81CC1"/>
    <w:rsid w:val="00B82023"/>
    <w:rsid w:val="00B84511"/>
    <w:rsid w:val="00B84AD2"/>
    <w:rsid w:val="00B85046"/>
    <w:rsid w:val="00B854B6"/>
    <w:rsid w:val="00B85D3B"/>
    <w:rsid w:val="00B8703C"/>
    <w:rsid w:val="00B87CE0"/>
    <w:rsid w:val="00B90E80"/>
    <w:rsid w:val="00B9142B"/>
    <w:rsid w:val="00B91D72"/>
    <w:rsid w:val="00B92917"/>
    <w:rsid w:val="00B943B1"/>
    <w:rsid w:val="00B94831"/>
    <w:rsid w:val="00B94EF3"/>
    <w:rsid w:val="00B9588A"/>
    <w:rsid w:val="00B96160"/>
    <w:rsid w:val="00B968E7"/>
    <w:rsid w:val="00B96D6E"/>
    <w:rsid w:val="00B97CAB"/>
    <w:rsid w:val="00BA0EF5"/>
    <w:rsid w:val="00BA0F76"/>
    <w:rsid w:val="00BA2311"/>
    <w:rsid w:val="00BA4129"/>
    <w:rsid w:val="00BA582C"/>
    <w:rsid w:val="00BA61D6"/>
    <w:rsid w:val="00BA65AF"/>
    <w:rsid w:val="00BA6E26"/>
    <w:rsid w:val="00BA78D2"/>
    <w:rsid w:val="00BA79FA"/>
    <w:rsid w:val="00BA7A8C"/>
    <w:rsid w:val="00BB03EA"/>
    <w:rsid w:val="00BB483B"/>
    <w:rsid w:val="00BB4A73"/>
    <w:rsid w:val="00BB5351"/>
    <w:rsid w:val="00BB54BA"/>
    <w:rsid w:val="00BC0794"/>
    <w:rsid w:val="00BC0AD2"/>
    <w:rsid w:val="00BC1B16"/>
    <w:rsid w:val="00BC213D"/>
    <w:rsid w:val="00BC24C1"/>
    <w:rsid w:val="00BC3C28"/>
    <w:rsid w:val="00BC4082"/>
    <w:rsid w:val="00BC6DB5"/>
    <w:rsid w:val="00BC6E62"/>
    <w:rsid w:val="00BC7C97"/>
    <w:rsid w:val="00BC7D94"/>
    <w:rsid w:val="00BD01FF"/>
    <w:rsid w:val="00BD04BB"/>
    <w:rsid w:val="00BD2645"/>
    <w:rsid w:val="00BD4F4F"/>
    <w:rsid w:val="00BD5F8E"/>
    <w:rsid w:val="00BD751E"/>
    <w:rsid w:val="00BD7C61"/>
    <w:rsid w:val="00BE01F6"/>
    <w:rsid w:val="00BE1D1A"/>
    <w:rsid w:val="00BE33A0"/>
    <w:rsid w:val="00BE3EF1"/>
    <w:rsid w:val="00BE5EB4"/>
    <w:rsid w:val="00BF0FD2"/>
    <w:rsid w:val="00BF11E1"/>
    <w:rsid w:val="00BF160A"/>
    <w:rsid w:val="00BF1998"/>
    <w:rsid w:val="00BF3920"/>
    <w:rsid w:val="00BF3A99"/>
    <w:rsid w:val="00BF3B71"/>
    <w:rsid w:val="00BF3F45"/>
    <w:rsid w:val="00BF4D9A"/>
    <w:rsid w:val="00BF50B1"/>
    <w:rsid w:val="00BF5424"/>
    <w:rsid w:val="00BF6223"/>
    <w:rsid w:val="00BF7919"/>
    <w:rsid w:val="00BF7EC6"/>
    <w:rsid w:val="00C01BAE"/>
    <w:rsid w:val="00C025ED"/>
    <w:rsid w:val="00C035B7"/>
    <w:rsid w:val="00C03900"/>
    <w:rsid w:val="00C04AFB"/>
    <w:rsid w:val="00C06A5B"/>
    <w:rsid w:val="00C06AFB"/>
    <w:rsid w:val="00C06B03"/>
    <w:rsid w:val="00C1000B"/>
    <w:rsid w:val="00C10953"/>
    <w:rsid w:val="00C1110E"/>
    <w:rsid w:val="00C111F5"/>
    <w:rsid w:val="00C11C69"/>
    <w:rsid w:val="00C12DFF"/>
    <w:rsid w:val="00C13EBD"/>
    <w:rsid w:val="00C15B86"/>
    <w:rsid w:val="00C16833"/>
    <w:rsid w:val="00C17B92"/>
    <w:rsid w:val="00C17D8F"/>
    <w:rsid w:val="00C20722"/>
    <w:rsid w:val="00C20C15"/>
    <w:rsid w:val="00C20F29"/>
    <w:rsid w:val="00C21886"/>
    <w:rsid w:val="00C22766"/>
    <w:rsid w:val="00C22A26"/>
    <w:rsid w:val="00C22B6D"/>
    <w:rsid w:val="00C241D9"/>
    <w:rsid w:val="00C24936"/>
    <w:rsid w:val="00C24DBF"/>
    <w:rsid w:val="00C25A34"/>
    <w:rsid w:val="00C25BEF"/>
    <w:rsid w:val="00C25C72"/>
    <w:rsid w:val="00C25EF4"/>
    <w:rsid w:val="00C26011"/>
    <w:rsid w:val="00C275F4"/>
    <w:rsid w:val="00C30170"/>
    <w:rsid w:val="00C30F0A"/>
    <w:rsid w:val="00C31841"/>
    <w:rsid w:val="00C32841"/>
    <w:rsid w:val="00C33F57"/>
    <w:rsid w:val="00C362FE"/>
    <w:rsid w:val="00C37E07"/>
    <w:rsid w:val="00C40B7D"/>
    <w:rsid w:val="00C40DC9"/>
    <w:rsid w:val="00C41E70"/>
    <w:rsid w:val="00C458D2"/>
    <w:rsid w:val="00C459BD"/>
    <w:rsid w:val="00C46587"/>
    <w:rsid w:val="00C465C8"/>
    <w:rsid w:val="00C468B6"/>
    <w:rsid w:val="00C47879"/>
    <w:rsid w:val="00C50BC4"/>
    <w:rsid w:val="00C50BDE"/>
    <w:rsid w:val="00C52ABB"/>
    <w:rsid w:val="00C54EE7"/>
    <w:rsid w:val="00C54F41"/>
    <w:rsid w:val="00C55278"/>
    <w:rsid w:val="00C558D2"/>
    <w:rsid w:val="00C56AF7"/>
    <w:rsid w:val="00C60AAE"/>
    <w:rsid w:val="00C60F62"/>
    <w:rsid w:val="00C6165A"/>
    <w:rsid w:val="00C63979"/>
    <w:rsid w:val="00C639D2"/>
    <w:rsid w:val="00C63E88"/>
    <w:rsid w:val="00C64F77"/>
    <w:rsid w:val="00C65BA0"/>
    <w:rsid w:val="00C67FEF"/>
    <w:rsid w:val="00C7024B"/>
    <w:rsid w:val="00C72678"/>
    <w:rsid w:val="00C73653"/>
    <w:rsid w:val="00C74AFE"/>
    <w:rsid w:val="00C74C55"/>
    <w:rsid w:val="00C74CA4"/>
    <w:rsid w:val="00C76F33"/>
    <w:rsid w:val="00C77C4F"/>
    <w:rsid w:val="00C80FC7"/>
    <w:rsid w:val="00C8142B"/>
    <w:rsid w:val="00C83067"/>
    <w:rsid w:val="00C84ADA"/>
    <w:rsid w:val="00C8676F"/>
    <w:rsid w:val="00C86E18"/>
    <w:rsid w:val="00C87A0C"/>
    <w:rsid w:val="00C9015E"/>
    <w:rsid w:val="00C91850"/>
    <w:rsid w:val="00C91997"/>
    <w:rsid w:val="00C9257C"/>
    <w:rsid w:val="00C92A8B"/>
    <w:rsid w:val="00C92DED"/>
    <w:rsid w:val="00C9360F"/>
    <w:rsid w:val="00C93853"/>
    <w:rsid w:val="00C95069"/>
    <w:rsid w:val="00C95D05"/>
    <w:rsid w:val="00CA0D31"/>
    <w:rsid w:val="00CA128B"/>
    <w:rsid w:val="00CA202B"/>
    <w:rsid w:val="00CA5C9A"/>
    <w:rsid w:val="00CA6723"/>
    <w:rsid w:val="00CB1EF3"/>
    <w:rsid w:val="00CB3F06"/>
    <w:rsid w:val="00CB4FD5"/>
    <w:rsid w:val="00CB5CDE"/>
    <w:rsid w:val="00CB604C"/>
    <w:rsid w:val="00CB671D"/>
    <w:rsid w:val="00CB6D73"/>
    <w:rsid w:val="00CB7F4E"/>
    <w:rsid w:val="00CC614D"/>
    <w:rsid w:val="00CD001E"/>
    <w:rsid w:val="00CD037C"/>
    <w:rsid w:val="00CD0418"/>
    <w:rsid w:val="00CD0482"/>
    <w:rsid w:val="00CD0535"/>
    <w:rsid w:val="00CD07BB"/>
    <w:rsid w:val="00CD1BEC"/>
    <w:rsid w:val="00CD236E"/>
    <w:rsid w:val="00CD2DCE"/>
    <w:rsid w:val="00CD366D"/>
    <w:rsid w:val="00CD3870"/>
    <w:rsid w:val="00CD3EBB"/>
    <w:rsid w:val="00CD3FC0"/>
    <w:rsid w:val="00CD41F1"/>
    <w:rsid w:val="00CD4545"/>
    <w:rsid w:val="00CD6649"/>
    <w:rsid w:val="00CD6804"/>
    <w:rsid w:val="00CD6823"/>
    <w:rsid w:val="00CD6DAE"/>
    <w:rsid w:val="00CE04D6"/>
    <w:rsid w:val="00CE2F24"/>
    <w:rsid w:val="00CE46C8"/>
    <w:rsid w:val="00CE54BB"/>
    <w:rsid w:val="00CE57A4"/>
    <w:rsid w:val="00CE7D0D"/>
    <w:rsid w:val="00CF02FA"/>
    <w:rsid w:val="00CF0DB7"/>
    <w:rsid w:val="00CF17DC"/>
    <w:rsid w:val="00CF1A43"/>
    <w:rsid w:val="00CF2BFF"/>
    <w:rsid w:val="00CF4CDE"/>
    <w:rsid w:val="00CF5160"/>
    <w:rsid w:val="00CF68F1"/>
    <w:rsid w:val="00CF6BFA"/>
    <w:rsid w:val="00CF6D62"/>
    <w:rsid w:val="00CF71F9"/>
    <w:rsid w:val="00D00058"/>
    <w:rsid w:val="00D01B91"/>
    <w:rsid w:val="00D0218E"/>
    <w:rsid w:val="00D021B5"/>
    <w:rsid w:val="00D02F33"/>
    <w:rsid w:val="00D03119"/>
    <w:rsid w:val="00D034F0"/>
    <w:rsid w:val="00D0361F"/>
    <w:rsid w:val="00D05796"/>
    <w:rsid w:val="00D068FB"/>
    <w:rsid w:val="00D07BC7"/>
    <w:rsid w:val="00D07ED4"/>
    <w:rsid w:val="00D10344"/>
    <w:rsid w:val="00D109A3"/>
    <w:rsid w:val="00D12C67"/>
    <w:rsid w:val="00D13B70"/>
    <w:rsid w:val="00D14C87"/>
    <w:rsid w:val="00D15095"/>
    <w:rsid w:val="00D151C3"/>
    <w:rsid w:val="00D1584C"/>
    <w:rsid w:val="00D17446"/>
    <w:rsid w:val="00D17C5F"/>
    <w:rsid w:val="00D2085B"/>
    <w:rsid w:val="00D2095C"/>
    <w:rsid w:val="00D20F53"/>
    <w:rsid w:val="00D2144D"/>
    <w:rsid w:val="00D21850"/>
    <w:rsid w:val="00D219DA"/>
    <w:rsid w:val="00D2238D"/>
    <w:rsid w:val="00D22651"/>
    <w:rsid w:val="00D2275C"/>
    <w:rsid w:val="00D2285D"/>
    <w:rsid w:val="00D2348A"/>
    <w:rsid w:val="00D235A3"/>
    <w:rsid w:val="00D24064"/>
    <w:rsid w:val="00D24C7B"/>
    <w:rsid w:val="00D24CC5"/>
    <w:rsid w:val="00D252F8"/>
    <w:rsid w:val="00D26170"/>
    <w:rsid w:val="00D2660F"/>
    <w:rsid w:val="00D27186"/>
    <w:rsid w:val="00D27353"/>
    <w:rsid w:val="00D30D27"/>
    <w:rsid w:val="00D31C0A"/>
    <w:rsid w:val="00D31C1C"/>
    <w:rsid w:val="00D32C32"/>
    <w:rsid w:val="00D33152"/>
    <w:rsid w:val="00D3323C"/>
    <w:rsid w:val="00D3375D"/>
    <w:rsid w:val="00D33BB1"/>
    <w:rsid w:val="00D33CD4"/>
    <w:rsid w:val="00D355AF"/>
    <w:rsid w:val="00D36030"/>
    <w:rsid w:val="00D36B0D"/>
    <w:rsid w:val="00D371B0"/>
    <w:rsid w:val="00D3721B"/>
    <w:rsid w:val="00D4002F"/>
    <w:rsid w:val="00D402AD"/>
    <w:rsid w:val="00D41D31"/>
    <w:rsid w:val="00D44B0A"/>
    <w:rsid w:val="00D44E89"/>
    <w:rsid w:val="00D455EF"/>
    <w:rsid w:val="00D468C5"/>
    <w:rsid w:val="00D46C4C"/>
    <w:rsid w:val="00D46C76"/>
    <w:rsid w:val="00D46DB6"/>
    <w:rsid w:val="00D46E60"/>
    <w:rsid w:val="00D4790A"/>
    <w:rsid w:val="00D47E7E"/>
    <w:rsid w:val="00D50A9A"/>
    <w:rsid w:val="00D514CA"/>
    <w:rsid w:val="00D5158E"/>
    <w:rsid w:val="00D56B49"/>
    <w:rsid w:val="00D57A58"/>
    <w:rsid w:val="00D60009"/>
    <w:rsid w:val="00D60146"/>
    <w:rsid w:val="00D612A8"/>
    <w:rsid w:val="00D6202D"/>
    <w:rsid w:val="00D6211C"/>
    <w:rsid w:val="00D66737"/>
    <w:rsid w:val="00D70CE9"/>
    <w:rsid w:val="00D71E4F"/>
    <w:rsid w:val="00D722D4"/>
    <w:rsid w:val="00D727C6"/>
    <w:rsid w:val="00D72CF8"/>
    <w:rsid w:val="00D7332E"/>
    <w:rsid w:val="00D73496"/>
    <w:rsid w:val="00D74AC0"/>
    <w:rsid w:val="00D774F3"/>
    <w:rsid w:val="00D77B4D"/>
    <w:rsid w:val="00D77C07"/>
    <w:rsid w:val="00D800A9"/>
    <w:rsid w:val="00D80362"/>
    <w:rsid w:val="00D8039E"/>
    <w:rsid w:val="00D81C36"/>
    <w:rsid w:val="00D83751"/>
    <w:rsid w:val="00D83D08"/>
    <w:rsid w:val="00D84F99"/>
    <w:rsid w:val="00D860C4"/>
    <w:rsid w:val="00D8698D"/>
    <w:rsid w:val="00D869B2"/>
    <w:rsid w:val="00D86CCC"/>
    <w:rsid w:val="00D877A2"/>
    <w:rsid w:val="00D87B1E"/>
    <w:rsid w:val="00D90596"/>
    <w:rsid w:val="00D91973"/>
    <w:rsid w:val="00D91DEE"/>
    <w:rsid w:val="00D91F07"/>
    <w:rsid w:val="00D9246F"/>
    <w:rsid w:val="00D92E68"/>
    <w:rsid w:val="00D92EFD"/>
    <w:rsid w:val="00D939AD"/>
    <w:rsid w:val="00D9461D"/>
    <w:rsid w:val="00D9463C"/>
    <w:rsid w:val="00D94D4F"/>
    <w:rsid w:val="00D95255"/>
    <w:rsid w:val="00D95562"/>
    <w:rsid w:val="00D955F7"/>
    <w:rsid w:val="00D95BB0"/>
    <w:rsid w:val="00D97A75"/>
    <w:rsid w:val="00D97BD4"/>
    <w:rsid w:val="00D97C34"/>
    <w:rsid w:val="00D97E5B"/>
    <w:rsid w:val="00DA34D5"/>
    <w:rsid w:val="00DA36A6"/>
    <w:rsid w:val="00DA39FD"/>
    <w:rsid w:val="00DA41FB"/>
    <w:rsid w:val="00DA6390"/>
    <w:rsid w:val="00DA6833"/>
    <w:rsid w:val="00DA6C09"/>
    <w:rsid w:val="00DA6D49"/>
    <w:rsid w:val="00DA73FB"/>
    <w:rsid w:val="00DA75FC"/>
    <w:rsid w:val="00DA7821"/>
    <w:rsid w:val="00DB0CB2"/>
    <w:rsid w:val="00DB0F36"/>
    <w:rsid w:val="00DB28AA"/>
    <w:rsid w:val="00DB43C0"/>
    <w:rsid w:val="00DB554A"/>
    <w:rsid w:val="00DB5B95"/>
    <w:rsid w:val="00DB6830"/>
    <w:rsid w:val="00DB6F5C"/>
    <w:rsid w:val="00DC0DD5"/>
    <w:rsid w:val="00DC1B59"/>
    <w:rsid w:val="00DC29C5"/>
    <w:rsid w:val="00DC453A"/>
    <w:rsid w:val="00DC6052"/>
    <w:rsid w:val="00DC6EE0"/>
    <w:rsid w:val="00DC7DA0"/>
    <w:rsid w:val="00DD078C"/>
    <w:rsid w:val="00DD0803"/>
    <w:rsid w:val="00DD0DD6"/>
    <w:rsid w:val="00DD0EA7"/>
    <w:rsid w:val="00DD1D4E"/>
    <w:rsid w:val="00DD1F07"/>
    <w:rsid w:val="00DD2E1C"/>
    <w:rsid w:val="00DD3144"/>
    <w:rsid w:val="00DD3AC1"/>
    <w:rsid w:val="00DD404A"/>
    <w:rsid w:val="00DD47DF"/>
    <w:rsid w:val="00DD5135"/>
    <w:rsid w:val="00DD56F8"/>
    <w:rsid w:val="00DD5B76"/>
    <w:rsid w:val="00DD72E5"/>
    <w:rsid w:val="00DD73B0"/>
    <w:rsid w:val="00DE0600"/>
    <w:rsid w:val="00DE0E1D"/>
    <w:rsid w:val="00DE0E57"/>
    <w:rsid w:val="00DE1267"/>
    <w:rsid w:val="00DE1607"/>
    <w:rsid w:val="00DE1969"/>
    <w:rsid w:val="00DE1C54"/>
    <w:rsid w:val="00DE4675"/>
    <w:rsid w:val="00DE5183"/>
    <w:rsid w:val="00DE5EEC"/>
    <w:rsid w:val="00DE7C78"/>
    <w:rsid w:val="00DE7FF8"/>
    <w:rsid w:val="00DF14BC"/>
    <w:rsid w:val="00DF189C"/>
    <w:rsid w:val="00DF1D60"/>
    <w:rsid w:val="00DF254A"/>
    <w:rsid w:val="00DF286A"/>
    <w:rsid w:val="00DF356D"/>
    <w:rsid w:val="00DF4CA0"/>
    <w:rsid w:val="00DF5983"/>
    <w:rsid w:val="00DF63B4"/>
    <w:rsid w:val="00DF6899"/>
    <w:rsid w:val="00DF721B"/>
    <w:rsid w:val="00E0029C"/>
    <w:rsid w:val="00E007CE"/>
    <w:rsid w:val="00E02065"/>
    <w:rsid w:val="00E029E4"/>
    <w:rsid w:val="00E02CC8"/>
    <w:rsid w:val="00E02D99"/>
    <w:rsid w:val="00E02EB5"/>
    <w:rsid w:val="00E02EEA"/>
    <w:rsid w:val="00E03CEF"/>
    <w:rsid w:val="00E03CFF"/>
    <w:rsid w:val="00E049B1"/>
    <w:rsid w:val="00E04C2D"/>
    <w:rsid w:val="00E05768"/>
    <w:rsid w:val="00E05A39"/>
    <w:rsid w:val="00E060B8"/>
    <w:rsid w:val="00E06548"/>
    <w:rsid w:val="00E108A5"/>
    <w:rsid w:val="00E10B15"/>
    <w:rsid w:val="00E10EA4"/>
    <w:rsid w:val="00E11391"/>
    <w:rsid w:val="00E1301C"/>
    <w:rsid w:val="00E13721"/>
    <w:rsid w:val="00E13D19"/>
    <w:rsid w:val="00E1552D"/>
    <w:rsid w:val="00E1562F"/>
    <w:rsid w:val="00E22BEC"/>
    <w:rsid w:val="00E2306B"/>
    <w:rsid w:val="00E247D7"/>
    <w:rsid w:val="00E25FCF"/>
    <w:rsid w:val="00E26F36"/>
    <w:rsid w:val="00E273E4"/>
    <w:rsid w:val="00E27719"/>
    <w:rsid w:val="00E34960"/>
    <w:rsid w:val="00E351A5"/>
    <w:rsid w:val="00E35793"/>
    <w:rsid w:val="00E357F2"/>
    <w:rsid w:val="00E367B1"/>
    <w:rsid w:val="00E36E0B"/>
    <w:rsid w:val="00E3711B"/>
    <w:rsid w:val="00E40DBC"/>
    <w:rsid w:val="00E40E4E"/>
    <w:rsid w:val="00E41249"/>
    <w:rsid w:val="00E41985"/>
    <w:rsid w:val="00E42B93"/>
    <w:rsid w:val="00E42C16"/>
    <w:rsid w:val="00E43165"/>
    <w:rsid w:val="00E43281"/>
    <w:rsid w:val="00E444E0"/>
    <w:rsid w:val="00E4521A"/>
    <w:rsid w:val="00E45ACF"/>
    <w:rsid w:val="00E47F00"/>
    <w:rsid w:val="00E508BA"/>
    <w:rsid w:val="00E509B2"/>
    <w:rsid w:val="00E51054"/>
    <w:rsid w:val="00E51EEF"/>
    <w:rsid w:val="00E524AF"/>
    <w:rsid w:val="00E529C6"/>
    <w:rsid w:val="00E53A08"/>
    <w:rsid w:val="00E55727"/>
    <w:rsid w:val="00E56045"/>
    <w:rsid w:val="00E56832"/>
    <w:rsid w:val="00E60452"/>
    <w:rsid w:val="00E61585"/>
    <w:rsid w:val="00E617D6"/>
    <w:rsid w:val="00E63B0F"/>
    <w:rsid w:val="00E63EB9"/>
    <w:rsid w:val="00E6449C"/>
    <w:rsid w:val="00E644DD"/>
    <w:rsid w:val="00E6557D"/>
    <w:rsid w:val="00E65949"/>
    <w:rsid w:val="00E65F1E"/>
    <w:rsid w:val="00E66386"/>
    <w:rsid w:val="00E665E3"/>
    <w:rsid w:val="00E6793B"/>
    <w:rsid w:val="00E67AF1"/>
    <w:rsid w:val="00E70AA5"/>
    <w:rsid w:val="00E70B08"/>
    <w:rsid w:val="00E71037"/>
    <w:rsid w:val="00E71B5B"/>
    <w:rsid w:val="00E720BB"/>
    <w:rsid w:val="00E72630"/>
    <w:rsid w:val="00E7274E"/>
    <w:rsid w:val="00E729CC"/>
    <w:rsid w:val="00E739C4"/>
    <w:rsid w:val="00E742E6"/>
    <w:rsid w:val="00E748D7"/>
    <w:rsid w:val="00E74914"/>
    <w:rsid w:val="00E75476"/>
    <w:rsid w:val="00E7666B"/>
    <w:rsid w:val="00E76FF0"/>
    <w:rsid w:val="00E774DE"/>
    <w:rsid w:val="00E77AA0"/>
    <w:rsid w:val="00E77C83"/>
    <w:rsid w:val="00E77C91"/>
    <w:rsid w:val="00E814B1"/>
    <w:rsid w:val="00E82A10"/>
    <w:rsid w:val="00E82DE2"/>
    <w:rsid w:val="00E833C1"/>
    <w:rsid w:val="00E83B9E"/>
    <w:rsid w:val="00E849C6"/>
    <w:rsid w:val="00E84EDB"/>
    <w:rsid w:val="00E86340"/>
    <w:rsid w:val="00E86389"/>
    <w:rsid w:val="00E8648A"/>
    <w:rsid w:val="00E86834"/>
    <w:rsid w:val="00E9063F"/>
    <w:rsid w:val="00E90663"/>
    <w:rsid w:val="00E90E61"/>
    <w:rsid w:val="00E918FE"/>
    <w:rsid w:val="00E92372"/>
    <w:rsid w:val="00E937EA"/>
    <w:rsid w:val="00E93C01"/>
    <w:rsid w:val="00E94EF6"/>
    <w:rsid w:val="00E955A6"/>
    <w:rsid w:val="00E95A77"/>
    <w:rsid w:val="00E96557"/>
    <w:rsid w:val="00E96EA9"/>
    <w:rsid w:val="00E9766D"/>
    <w:rsid w:val="00E97EEB"/>
    <w:rsid w:val="00EA0ADD"/>
    <w:rsid w:val="00EA0B2D"/>
    <w:rsid w:val="00EA1BBC"/>
    <w:rsid w:val="00EA272B"/>
    <w:rsid w:val="00EA3862"/>
    <w:rsid w:val="00EA404F"/>
    <w:rsid w:val="00EA41D0"/>
    <w:rsid w:val="00EA4364"/>
    <w:rsid w:val="00EA4444"/>
    <w:rsid w:val="00EA5C6A"/>
    <w:rsid w:val="00EA6D78"/>
    <w:rsid w:val="00EA7067"/>
    <w:rsid w:val="00EB01A0"/>
    <w:rsid w:val="00EB0DED"/>
    <w:rsid w:val="00EB13BB"/>
    <w:rsid w:val="00EB13E6"/>
    <w:rsid w:val="00EB1796"/>
    <w:rsid w:val="00EB3DC1"/>
    <w:rsid w:val="00EB40F5"/>
    <w:rsid w:val="00EB57FA"/>
    <w:rsid w:val="00EB5BB3"/>
    <w:rsid w:val="00EB62A5"/>
    <w:rsid w:val="00EB6B38"/>
    <w:rsid w:val="00EB6D72"/>
    <w:rsid w:val="00EC024E"/>
    <w:rsid w:val="00EC04E7"/>
    <w:rsid w:val="00EC106A"/>
    <w:rsid w:val="00EC18FC"/>
    <w:rsid w:val="00EC4177"/>
    <w:rsid w:val="00EC47BD"/>
    <w:rsid w:val="00EC5DC6"/>
    <w:rsid w:val="00EC68AD"/>
    <w:rsid w:val="00EC6C61"/>
    <w:rsid w:val="00ED019E"/>
    <w:rsid w:val="00ED2C25"/>
    <w:rsid w:val="00ED35AF"/>
    <w:rsid w:val="00ED3DA1"/>
    <w:rsid w:val="00ED3F30"/>
    <w:rsid w:val="00ED51C1"/>
    <w:rsid w:val="00EE0058"/>
    <w:rsid w:val="00EE0FA5"/>
    <w:rsid w:val="00EE170D"/>
    <w:rsid w:val="00EE26D5"/>
    <w:rsid w:val="00EE28EC"/>
    <w:rsid w:val="00EE500D"/>
    <w:rsid w:val="00EE5B1B"/>
    <w:rsid w:val="00EE6CD4"/>
    <w:rsid w:val="00EE7B9E"/>
    <w:rsid w:val="00EE7C3C"/>
    <w:rsid w:val="00EF0291"/>
    <w:rsid w:val="00EF11C0"/>
    <w:rsid w:val="00EF1D72"/>
    <w:rsid w:val="00EF34E5"/>
    <w:rsid w:val="00EF392E"/>
    <w:rsid w:val="00EF4393"/>
    <w:rsid w:val="00EF447E"/>
    <w:rsid w:val="00EF5024"/>
    <w:rsid w:val="00EF5364"/>
    <w:rsid w:val="00EF5C98"/>
    <w:rsid w:val="00EF75B6"/>
    <w:rsid w:val="00F00855"/>
    <w:rsid w:val="00F009D6"/>
    <w:rsid w:val="00F00FA9"/>
    <w:rsid w:val="00F01488"/>
    <w:rsid w:val="00F0195A"/>
    <w:rsid w:val="00F039E1"/>
    <w:rsid w:val="00F0454C"/>
    <w:rsid w:val="00F0489C"/>
    <w:rsid w:val="00F06E81"/>
    <w:rsid w:val="00F06F11"/>
    <w:rsid w:val="00F107E0"/>
    <w:rsid w:val="00F108E1"/>
    <w:rsid w:val="00F1175E"/>
    <w:rsid w:val="00F1345D"/>
    <w:rsid w:val="00F144E8"/>
    <w:rsid w:val="00F15309"/>
    <w:rsid w:val="00F153B0"/>
    <w:rsid w:val="00F1642D"/>
    <w:rsid w:val="00F173D5"/>
    <w:rsid w:val="00F17AFF"/>
    <w:rsid w:val="00F17FC0"/>
    <w:rsid w:val="00F2043F"/>
    <w:rsid w:val="00F209F1"/>
    <w:rsid w:val="00F25D73"/>
    <w:rsid w:val="00F260F7"/>
    <w:rsid w:val="00F26575"/>
    <w:rsid w:val="00F30076"/>
    <w:rsid w:val="00F30196"/>
    <w:rsid w:val="00F31E3F"/>
    <w:rsid w:val="00F3299B"/>
    <w:rsid w:val="00F33F6B"/>
    <w:rsid w:val="00F3423F"/>
    <w:rsid w:val="00F3442D"/>
    <w:rsid w:val="00F34FFA"/>
    <w:rsid w:val="00F3717D"/>
    <w:rsid w:val="00F40BCB"/>
    <w:rsid w:val="00F40E25"/>
    <w:rsid w:val="00F41078"/>
    <w:rsid w:val="00F41E48"/>
    <w:rsid w:val="00F42841"/>
    <w:rsid w:val="00F440E4"/>
    <w:rsid w:val="00F46B92"/>
    <w:rsid w:val="00F47752"/>
    <w:rsid w:val="00F47E42"/>
    <w:rsid w:val="00F47EB1"/>
    <w:rsid w:val="00F51842"/>
    <w:rsid w:val="00F5197B"/>
    <w:rsid w:val="00F519F8"/>
    <w:rsid w:val="00F5216E"/>
    <w:rsid w:val="00F52851"/>
    <w:rsid w:val="00F52F47"/>
    <w:rsid w:val="00F539F9"/>
    <w:rsid w:val="00F543F7"/>
    <w:rsid w:val="00F566A3"/>
    <w:rsid w:val="00F5753D"/>
    <w:rsid w:val="00F60498"/>
    <w:rsid w:val="00F6065F"/>
    <w:rsid w:val="00F608EB"/>
    <w:rsid w:val="00F633F9"/>
    <w:rsid w:val="00F64084"/>
    <w:rsid w:val="00F6635F"/>
    <w:rsid w:val="00F676F8"/>
    <w:rsid w:val="00F67DBE"/>
    <w:rsid w:val="00F70468"/>
    <w:rsid w:val="00F70922"/>
    <w:rsid w:val="00F70C92"/>
    <w:rsid w:val="00F70DD8"/>
    <w:rsid w:val="00F71126"/>
    <w:rsid w:val="00F715A9"/>
    <w:rsid w:val="00F717B5"/>
    <w:rsid w:val="00F7286C"/>
    <w:rsid w:val="00F72882"/>
    <w:rsid w:val="00F72BEE"/>
    <w:rsid w:val="00F73353"/>
    <w:rsid w:val="00F741CA"/>
    <w:rsid w:val="00F74D2B"/>
    <w:rsid w:val="00F76BA4"/>
    <w:rsid w:val="00F817E7"/>
    <w:rsid w:val="00F819A6"/>
    <w:rsid w:val="00F82376"/>
    <w:rsid w:val="00F83B96"/>
    <w:rsid w:val="00F83E8D"/>
    <w:rsid w:val="00F841DF"/>
    <w:rsid w:val="00F8544A"/>
    <w:rsid w:val="00F86C97"/>
    <w:rsid w:val="00F86E3D"/>
    <w:rsid w:val="00F87A3A"/>
    <w:rsid w:val="00F90AB2"/>
    <w:rsid w:val="00F90CA0"/>
    <w:rsid w:val="00F916BE"/>
    <w:rsid w:val="00F9302F"/>
    <w:rsid w:val="00F93D17"/>
    <w:rsid w:val="00F943CF"/>
    <w:rsid w:val="00F94840"/>
    <w:rsid w:val="00F95395"/>
    <w:rsid w:val="00F961A6"/>
    <w:rsid w:val="00F96884"/>
    <w:rsid w:val="00F96958"/>
    <w:rsid w:val="00F97A0B"/>
    <w:rsid w:val="00FA001F"/>
    <w:rsid w:val="00FA1D0B"/>
    <w:rsid w:val="00FA3D2C"/>
    <w:rsid w:val="00FA42CF"/>
    <w:rsid w:val="00FA5D2B"/>
    <w:rsid w:val="00FA645B"/>
    <w:rsid w:val="00FA6715"/>
    <w:rsid w:val="00FA6EB9"/>
    <w:rsid w:val="00FB0C82"/>
    <w:rsid w:val="00FB0F26"/>
    <w:rsid w:val="00FB2F69"/>
    <w:rsid w:val="00FB3846"/>
    <w:rsid w:val="00FB3EA2"/>
    <w:rsid w:val="00FB58A1"/>
    <w:rsid w:val="00FC3421"/>
    <w:rsid w:val="00FC4E06"/>
    <w:rsid w:val="00FC4E18"/>
    <w:rsid w:val="00FC739F"/>
    <w:rsid w:val="00FC7822"/>
    <w:rsid w:val="00FC7F72"/>
    <w:rsid w:val="00FD00A6"/>
    <w:rsid w:val="00FD2325"/>
    <w:rsid w:val="00FD2EBA"/>
    <w:rsid w:val="00FD30D4"/>
    <w:rsid w:val="00FD322A"/>
    <w:rsid w:val="00FD385B"/>
    <w:rsid w:val="00FD3980"/>
    <w:rsid w:val="00FD45B0"/>
    <w:rsid w:val="00FD5368"/>
    <w:rsid w:val="00FD6019"/>
    <w:rsid w:val="00FD681D"/>
    <w:rsid w:val="00FE1943"/>
    <w:rsid w:val="00FE3E3D"/>
    <w:rsid w:val="00FE6498"/>
    <w:rsid w:val="00FE68D4"/>
    <w:rsid w:val="00FE6931"/>
    <w:rsid w:val="00FE7BF1"/>
    <w:rsid w:val="00FF01DE"/>
    <w:rsid w:val="00FF047C"/>
    <w:rsid w:val="00FF1B3A"/>
    <w:rsid w:val="00FF1FBD"/>
    <w:rsid w:val="00FF26E4"/>
    <w:rsid w:val="00FF2E52"/>
    <w:rsid w:val="00FF3748"/>
    <w:rsid w:val="00FF3C3B"/>
    <w:rsid w:val="00FF4F5E"/>
    <w:rsid w:val="00FF4F8A"/>
    <w:rsid w:val="00FF5490"/>
    <w:rsid w:val="00FF5AE0"/>
    <w:rsid w:val="00FF5D22"/>
    <w:rsid w:val="00FF6489"/>
    <w:rsid w:val="00FF6FEB"/>
    <w:rsid w:val="01282737"/>
    <w:rsid w:val="01331AA5"/>
    <w:rsid w:val="01D55A0F"/>
    <w:rsid w:val="02412983"/>
    <w:rsid w:val="029C55FF"/>
    <w:rsid w:val="02AE0153"/>
    <w:rsid w:val="02B26296"/>
    <w:rsid w:val="032E14C4"/>
    <w:rsid w:val="034321D6"/>
    <w:rsid w:val="038D1FEF"/>
    <w:rsid w:val="063F1FB7"/>
    <w:rsid w:val="085A7650"/>
    <w:rsid w:val="0A5C4C58"/>
    <w:rsid w:val="0A5E5DEA"/>
    <w:rsid w:val="0AF82D7C"/>
    <w:rsid w:val="0B1B25CA"/>
    <w:rsid w:val="0B1E10DF"/>
    <w:rsid w:val="0C641167"/>
    <w:rsid w:val="0CAD420B"/>
    <w:rsid w:val="0E133FDC"/>
    <w:rsid w:val="0E1C34B3"/>
    <w:rsid w:val="0E7F2EED"/>
    <w:rsid w:val="0FF948FA"/>
    <w:rsid w:val="10533619"/>
    <w:rsid w:val="10C24925"/>
    <w:rsid w:val="11DF1678"/>
    <w:rsid w:val="120C5E50"/>
    <w:rsid w:val="12175C35"/>
    <w:rsid w:val="129405BA"/>
    <w:rsid w:val="12BB3C49"/>
    <w:rsid w:val="13F27D3A"/>
    <w:rsid w:val="1910749F"/>
    <w:rsid w:val="1A1434D5"/>
    <w:rsid w:val="1A8B7067"/>
    <w:rsid w:val="1C283976"/>
    <w:rsid w:val="1C874183"/>
    <w:rsid w:val="1E3E2007"/>
    <w:rsid w:val="1EB458DE"/>
    <w:rsid w:val="1F6E012C"/>
    <w:rsid w:val="1FB42A4C"/>
    <w:rsid w:val="206A6B9C"/>
    <w:rsid w:val="20C610AA"/>
    <w:rsid w:val="21185541"/>
    <w:rsid w:val="216D421D"/>
    <w:rsid w:val="21D13627"/>
    <w:rsid w:val="22BA56A5"/>
    <w:rsid w:val="24282908"/>
    <w:rsid w:val="243A5866"/>
    <w:rsid w:val="257C5B4B"/>
    <w:rsid w:val="25F623DD"/>
    <w:rsid w:val="262E0B04"/>
    <w:rsid w:val="28171FD2"/>
    <w:rsid w:val="2861730E"/>
    <w:rsid w:val="28854EC6"/>
    <w:rsid w:val="29543F45"/>
    <w:rsid w:val="29672F8A"/>
    <w:rsid w:val="29776717"/>
    <w:rsid w:val="2AF9558E"/>
    <w:rsid w:val="2BE6660F"/>
    <w:rsid w:val="2D53758B"/>
    <w:rsid w:val="2D75227F"/>
    <w:rsid w:val="2D7D34C3"/>
    <w:rsid w:val="2EFE507F"/>
    <w:rsid w:val="2FC3275B"/>
    <w:rsid w:val="2FD406A1"/>
    <w:rsid w:val="2FF206EC"/>
    <w:rsid w:val="30971339"/>
    <w:rsid w:val="30AF01D5"/>
    <w:rsid w:val="31252F48"/>
    <w:rsid w:val="321018E4"/>
    <w:rsid w:val="322A1B90"/>
    <w:rsid w:val="32731C58"/>
    <w:rsid w:val="33405DB0"/>
    <w:rsid w:val="33E735DA"/>
    <w:rsid w:val="34261D8B"/>
    <w:rsid w:val="34984755"/>
    <w:rsid w:val="351E1B30"/>
    <w:rsid w:val="36590DED"/>
    <w:rsid w:val="376670A8"/>
    <w:rsid w:val="377100CE"/>
    <w:rsid w:val="37BD09EA"/>
    <w:rsid w:val="383274E4"/>
    <w:rsid w:val="387238C0"/>
    <w:rsid w:val="387E3925"/>
    <w:rsid w:val="38DA47D5"/>
    <w:rsid w:val="39064C95"/>
    <w:rsid w:val="39B56E9E"/>
    <w:rsid w:val="39D16077"/>
    <w:rsid w:val="39E60BE9"/>
    <w:rsid w:val="39FF0C26"/>
    <w:rsid w:val="3A81603C"/>
    <w:rsid w:val="3ACF667D"/>
    <w:rsid w:val="3C000E15"/>
    <w:rsid w:val="3C303D7B"/>
    <w:rsid w:val="3CE2586E"/>
    <w:rsid w:val="3DAC0C10"/>
    <w:rsid w:val="3E9622D1"/>
    <w:rsid w:val="3EBB74A4"/>
    <w:rsid w:val="3F2F4B29"/>
    <w:rsid w:val="3FC3761C"/>
    <w:rsid w:val="40DA44F3"/>
    <w:rsid w:val="416D60D1"/>
    <w:rsid w:val="42834542"/>
    <w:rsid w:val="430F2B5D"/>
    <w:rsid w:val="44DC44CC"/>
    <w:rsid w:val="450B1E4C"/>
    <w:rsid w:val="45C24D48"/>
    <w:rsid w:val="48717162"/>
    <w:rsid w:val="48A4573B"/>
    <w:rsid w:val="49801C26"/>
    <w:rsid w:val="49AD5BED"/>
    <w:rsid w:val="49DE4826"/>
    <w:rsid w:val="49FB158E"/>
    <w:rsid w:val="4A647354"/>
    <w:rsid w:val="4AC335F6"/>
    <w:rsid w:val="4AE76527"/>
    <w:rsid w:val="4BC609D6"/>
    <w:rsid w:val="4DF6743A"/>
    <w:rsid w:val="4E113ACA"/>
    <w:rsid w:val="503C6987"/>
    <w:rsid w:val="51A6609B"/>
    <w:rsid w:val="52662470"/>
    <w:rsid w:val="52975CB3"/>
    <w:rsid w:val="530E32C0"/>
    <w:rsid w:val="553C572D"/>
    <w:rsid w:val="56E64BB7"/>
    <w:rsid w:val="57EB6F76"/>
    <w:rsid w:val="58443CED"/>
    <w:rsid w:val="58CE435E"/>
    <w:rsid w:val="59A776A2"/>
    <w:rsid w:val="5A165757"/>
    <w:rsid w:val="5A3966BC"/>
    <w:rsid w:val="5B8B4F81"/>
    <w:rsid w:val="5BC611CF"/>
    <w:rsid w:val="5D6410B1"/>
    <w:rsid w:val="5D804608"/>
    <w:rsid w:val="5EA12E72"/>
    <w:rsid w:val="5EF921E8"/>
    <w:rsid w:val="5F4A6B2B"/>
    <w:rsid w:val="607A11E3"/>
    <w:rsid w:val="61E12D57"/>
    <w:rsid w:val="634D0A80"/>
    <w:rsid w:val="634F3DC0"/>
    <w:rsid w:val="640210A3"/>
    <w:rsid w:val="65016C82"/>
    <w:rsid w:val="65633888"/>
    <w:rsid w:val="65B93EF9"/>
    <w:rsid w:val="65DE2082"/>
    <w:rsid w:val="666654D0"/>
    <w:rsid w:val="677A17D2"/>
    <w:rsid w:val="68B00384"/>
    <w:rsid w:val="68FB2DA6"/>
    <w:rsid w:val="6A2D7FEB"/>
    <w:rsid w:val="6A6264FE"/>
    <w:rsid w:val="6BEB1F0C"/>
    <w:rsid w:val="6C2F630D"/>
    <w:rsid w:val="6C7528F6"/>
    <w:rsid w:val="6CB11B23"/>
    <w:rsid w:val="6CE11CE5"/>
    <w:rsid w:val="6CF5428C"/>
    <w:rsid w:val="6D5F2451"/>
    <w:rsid w:val="6DEA2257"/>
    <w:rsid w:val="6F620B98"/>
    <w:rsid w:val="70ED74B0"/>
    <w:rsid w:val="70F908CA"/>
    <w:rsid w:val="710B6EA6"/>
    <w:rsid w:val="71A10AF3"/>
    <w:rsid w:val="71BF106B"/>
    <w:rsid w:val="72B80115"/>
    <w:rsid w:val="73561C1E"/>
    <w:rsid w:val="756643B1"/>
    <w:rsid w:val="75E572F8"/>
    <w:rsid w:val="77D34400"/>
    <w:rsid w:val="7837417A"/>
    <w:rsid w:val="78E9444B"/>
    <w:rsid w:val="7AA64929"/>
    <w:rsid w:val="7AB224EA"/>
    <w:rsid w:val="7ADA20C3"/>
    <w:rsid w:val="7B12263D"/>
    <w:rsid w:val="7B4A1C1B"/>
    <w:rsid w:val="7BF7214D"/>
    <w:rsid w:val="7D2D5128"/>
    <w:rsid w:val="7DB755F7"/>
    <w:rsid w:val="7DD44E62"/>
    <w:rsid w:val="7E541257"/>
    <w:rsid w:val="7FAC50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99" w:semiHidden="0" w:name="heading 4"/>
    <w:lsdException w:qFormat="1" w:uiPriority="0" w:name="heading 5"/>
    <w:lsdException w:qFormat="1" w:unhideWhenUsed="0" w:uiPriority="0" w:semiHidden="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42"/>
    <w:qFormat/>
    <w:uiPriority w:val="0"/>
    <w:pPr>
      <w:keepNext/>
      <w:keepLines/>
      <w:spacing w:before="120" w:after="120"/>
      <w:ind w:left="100" w:leftChars="100" w:right="100" w:rightChars="100"/>
      <w:outlineLvl w:val="0"/>
    </w:pPr>
    <w:rPr>
      <w:b/>
      <w:bCs/>
      <w:kern w:val="44"/>
      <w:szCs w:val="44"/>
    </w:rPr>
  </w:style>
  <w:style w:type="paragraph" w:styleId="3">
    <w:name w:val="heading 2"/>
    <w:basedOn w:val="1"/>
    <w:next w:val="1"/>
    <w:link w:val="43"/>
    <w:qFormat/>
    <w:uiPriority w:val="0"/>
    <w:pPr>
      <w:keepNext/>
      <w:keepLines/>
      <w:spacing w:before="260" w:after="260" w:line="416" w:lineRule="auto"/>
      <w:outlineLvl w:val="1"/>
    </w:pPr>
    <w:rPr>
      <w:rFonts w:ascii="等线 Light" w:hAnsi="等线 Light" w:eastAsia="等线 Light"/>
      <w:b/>
      <w:bCs/>
      <w:sz w:val="32"/>
      <w:szCs w:val="32"/>
    </w:rPr>
  </w:style>
  <w:style w:type="paragraph" w:styleId="4">
    <w:name w:val="heading 3"/>
    <w:basedOn w:val="1"/>
    <w:next w:val="1"/>
    <w:link w:val="44"/>
    <w:qFormat/>
    <w:uiPriority w:val="9"/>
    <w:pPr>
      <w:keepNext/>
      <w:keepLines/>
      <w:spacing w:before="260" w:after="260" w:line="416" w:lineRule="auto"/>
      <w:outlineLvl w:val="2"/>
    </w:pPr>
    <w:rPr>
      <w:b/>
      <w:bCs/>
      <w:sz w:val="32"/>
      <w:szCs w:val="32"/>
    </w:rPr>
  </w:style>
  <w:style w:type="paragraph" w:styleId="5">
    <w:name w:val="heading 4"/>
    <w:basedOn w:val="1"/>
    <w:next w:val="1"/>
    <w:link w:val="45"/>
    <w:qFormat/>
    <w:uiPriority w:val="99"/>
    <w:pPr>
      <w:keepNext/>
      <w:keepLines/>
      <w:spacing w:before="280" w:after="290" w:line="376" w:lineRule="auto"/>
      <w:outlineLvl w:val="3"/>
    </w:pPr>
    <w:rPr>
      <w:rFonts w:ascii="等线 Light" w:hAnsi="等线 Light" w:eastAsia="等线 Light"/>
      <w:b/>
      <w:bCs/>
      <w:sz w:val="28"/>
      <w:szCs w:val="28"/>
    </w:rPr>
  </w:style>
  <w:style w:type="paragraph" w:styleId="6">
    <w:name w:val="heading 6"/>
    <w:basedOn w:val="1"/>
    <w:next w:val="1"/>
    <w:link w:val="46"/>
    <w:qFormat/>
    <w:uiPriority w:val="0"/>
    <w:pPr>
      <w:keepNext/>
      <w:keepLines/>
      <w:spacing w:before="240" w:after="64" w:line="320" w:lineRule="auto"/>
      <w:outlineLvl w:val="5"/>
    </w:pPr>
    <w:rPr>
      <w:rFonts w:ascii="等线 Light" w:hAnsi="等线 Light" w:eastAsia="等线 Light"/>
      <w:b/>
      <w:bCs/>
      <w:sz w:val="24"/>
    </w:rPr>
  </w:style>
  <w:style w:type="paragraph" w:styleId="7">
    <w:name w:val="heading 8"/>
    <w:basedOn w:val="1"/>
    <w:next w:val="1"/>
    <w:link w:val="47"/>
    <w:qFormat/>
    <w:uiPriority w:val="0"/>
    <w:pPr>
      <w:keepNext/>
      <w:keepLines/>
      <w:spacing w:before="240" w:after="64" w:line="320" w:lineRule="auto"/>
      <w:outlineLvl w:val="7"/>
    </w:pPr>
    <w:rPr>
      <w:rFonts w:ascii="等线 Light" w:hAnsi="等线 Light" w:eastAsia="等线 Light"/>
      <w:sz w:val="24"/>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8">
    <w:name w:val="List 3"/>
    <w:basedOn w:val="1"/>
    <w:qFormat/>
    <w:uiPriority w:val="0"/>
    <w:pPr>
      <w:widowControl/>
      <w:ind w:left="100" w:leftChars="400" w:hanging="200" w:hangingChars="200"/>
      <w:contextualSpacing/>
      <w:jc w:val="left"/>
    </w:pPr>
    <w:rPr>
      <w:kern w:val="0"/>
      <w:sz w:val="20"/>
      <w:szCs w:val="20"/>
    </w:rPr>
  </w:style>
  <w:style w:type="paragraph" w:styleId="9">
    <w:name w:val="toc 7"/>
    <w:basedOn w:val="1"/>
    <w:next w:val="1"/>
    <w:unhideWhenUsed/>
    <w:qFormat/>
    <w:uiPriority w:val="39"/>
    <w:pPr>
      <w:ind w:left="2520" w:leftChars="1200"/>
    </w:pPr>
    <w:rPr>
      <w:rFonts w:ascii="等线" w:hAnsi="等线" w:eastAsia="等线"/>
      <w:szCs w:val="22"/>
    </w:rPr>
  </w:style>
  <w:style w:type="paragraph" w:styleId="10">
    <w:name w:val="Normal Indent"/>
    <w:basedOn w:val="1"/>
    <w:link w:val="48"/>
    <w:qFormat/>
    <w:uiPriority w:val="99"/>
    <w:pPr>
      <w:ind w:firstLine="420"/>
    </w:pPr>
    <w:rPr>
      <w:szCs w:val="20"/>
    </w:rPr>
  </w:style>
  <w:style w:type="paragraph" w:styleId="11">
    <w:name w:val="Document Map"/>
    <w:basedOn w:val="1"/>
    <w:link w:val="49"/>
    <w:qFormat/>
    <w:uiPriority w:val="0"/>
    <w:pPr>
      <w:shd w:val="clear" w:color="auto" w:fill="000080"/>
    </w:pPr>
  </w:style>
  <w:style w:type="paragraph" w:styleId="12">
    <w:name w:val="annotation text"/>
    <w:basedOn w:val="1"/>
    <w:link w:val="50"/>
    <w:qFormat/>
    <w:uiPriority w:val="0"/>
    <w:pPr>
      <w:jc w:val="left"/>
    </w:pPr>
  </w:style>
  <w:style w:type="paragraph" w:styleId="13">
    <w:name w:val="Body Text"/>
    <w:basedOn w:val="1"/>
    <w:link w:val="51"/>
    <w:qFormat/>
    <w:uiPriority w:val="0"/>
    <w:pPr>
      <w:spacing w:after="120"/>
    </w:pPr>
  </w:style>
  <w:style w:type="paragraph" w:styleId="14">
    <w:name w:val="Body Text Indent"/>
    <w:basedOn w:val="1"/>
    <w:link w:val="52"/>
    <w:qFormat/>
    <w:uiPriority w:val="99"/>
    <w:pPr>
      <w:spacing w:after="120"/>
      <w:ind w:left="420" w:leftChars="200"/>
    </w:pPr>
  </w:style>
  <w:style w:type="paragraph" w:styleId="15">
    <w:name w:val="index 4"/>
    <w:basedOn w:val="1"/>
    <w:next w:val="1"/>
    <w:unhideWhenUsed/>
    <w:qFormat/>
    <w:uiPriority w:val="99"/>
    <w:pPr>
      <w:ind w:left="600" w:leftChars="600"/>
    </w:pPr>
    <w:rPr>
      <w:rFonts w:ascii="宋体"/>
      <w:b/>
      <w:kern w:val="0"/>
      <w:position w:val="-10"/>
      <w:sz w:val="24"/>
      <w:szCs w:val="20"/>
    </w:rPr>
  </w:style>
  <w:style w:type="paragraph" w:styleId="16">
    <w:name w:val="toc 5"/>
    <w:basedOn w:val="1"/>
    <w:next w:val="1"/>
    <w:unhideWhenUsed/>
    <w:qFormat/>
    <w:uiPriority w:val="39"/>
    <w:pPr>
      <w:ind w:left="1680" w:leftChars="800"/>
    </w:pPr>
    <w:rPr>
      <w:rFonts w:ascii="等线" w:hAnsi="等线" w:eastAsia="等线"/>
      <w:szCs w:val="22"/>
    </w:rPr>
  </w:style>
  <w:style w:type="paragraph" w:styleId="17">
    <w:name w:val="toc 3"/>
    <w:basedOn w:val="1"/>
    <w:next w:val="1"/>
    <w:unhideWhenUsed/>
    <w:qFormat/>
    <w:uiPriority w:val="39"/>
    <w:pPr>
      <w:widowControl/>
      <w:spacing w:after="100" w:line="259" w:lineRule="auto"/>
      <w:ind w:left="440"/>
      <w:jc w:val="left"/>
    </w:pPr>
    <w:rPr>
      <w:rFonts w:ascii="等线" w:hAnsi="等线" w:eastAsia="等线"/>
      <w:kern w:val="0"/>
      <w:sz w:val="22"/>
      <w:szCs w:val="22"/>
    </w:rPr>
  </w:style>
  <w:style w:type="paragraph" w:styleId="18">
    <w:name w:val="Plain Text"/>
    <w:basedOn w:val="1"/>
    <w:link w:val="53"/>
    <w:qFormat/>
    <w:uiPriority w:val="0"/>
    <w:rPr>
      <w:rFonts w:ascii="宋体" w:hAnsi="Courier New" w:cs="Courier New"/>
      <w:szCs w:val="21"/>
    </w:rPr>
  </w:style>
  <w:style w:type="paragraph" w:styleId="19">
    <w:name w:val="toc 8"/>
    <w:basedOn w:val="1"/>
    <w:next w:val="1"/>
    <w:unhideWhenUsed/>
    <w:qFormat/>
    <w:uiPriority w:val="39"/>
    <w:pPr>
      <w:ind w:left="2940" w:leftChars="1400"/>
    </w:pPr>
    <w:rPr>
      <w:rFonts w:ascii="等线" w:hAnsi="等线" w:eastAsia="等线"/>
      <w:szCs w:val="22"/>
    </w:rPr>
  </w:style>
  <w:style w:type="paragraph" w:styleId="20">
    <w:name w:val="Date"/>
    <w:basedOn w:val="1"/>
    <w:next w:val="1"/>
    <w:link w:val="54"/>
    <w:qFormat/>
    <w:uiPriority w:val="0"/>
    <w:rPr>
      <w:sz w:val="24"/>
      <w:szCs w:val="20"/>
    </w:rPr>
  </w:style>
  <w:style w:type="paragraph" w:styleId="21">
    <w:name w:val="Balloon Text"/>
    <w:basedOn w:val="1"/>
    <w:link w:val="55"/>
    <w:qFormat/>
    <w:uiPriority w:val="0"/>
    <w:rPr>
      <w:sz w:val="18"/>
      <w:szCs w:val="18"/>
    </w:rPr>
  </w:style>
  <w:style w:type="paragraph" w:styleId="22">
    <w:name w:val="footer"/>
    <w:basedOn w:val="1"/>
    <w:link w:val="56"/>
    <w:qFormat/>
    <w:uiPriority w:val="99"/>
    <w:pPr>
      <w:tabs>
        <w:tab w:val="center" w:pos="4153"/>
        <w:tab w:val="right" w:pos="8306"/>
      </w:tabs>
      <w:snapToGrid w:val="0"/>
      <w:jc w:val="left"/>
    </w:pPr>
    <w:rPr>
      <w:sz w:val="18"/>
      <w:szCs w:val="18"/>
    </w:rPr>
  </w:style>
  <w:style w:type="paragraph" w:styleId="23">
    <w:name w:val="header"/>
    <w:basedOn w:val="1"/>
    <w:link w:val="57"/>
    <w:qFormat/>
    <w:uiPriority w:val="0"/>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99"/>
    <w:rPr>
      <w:rFonts w:ascii="仿宋_GB2312" w:eastAsia="仿宋_GB2312"/>
      <w:sz w:val="24"/>
    </w:rPr>
  </w:style>
  <w:style w:type="paragraph" w:styleId="25">
    <w:name w:val="toc 4"/>
    <w:basedOn w:val="1"/>
    <w:next w:val="1"/>
    <w:unhideWhenUsed/>
    <w:qFormat/>
    <w:uiPriority w:val="39"/>
    <w:pPr>
      <w:ind w:left="1260" w:leftChars="600"/>
    </w:pPr>
    <w:rPr>
      <w:rFonts w:ascii="等线" w:hAnsi="等线" w:eastAsia="等线"/>
      <w:szCs w:val="22"/>
    </w:rPr>
  </w:style>
  <w:style w:type="paragraph" w:styleId="26">
    <w:name w:val="toc 6"/>
    <w:basedOn w:val="1"/>
    <w:next w:val="1"/>
    <w:unhideWhenUsed/>
    <w:qFormat/>
    <w:uiPriority w:val="39"/>
    <w:pPr>
      <w:ind w:left="2100" w:leftChars="1000"/>
    </w:pPr>
    <w:rPr>
      <w:rFonts w:ascii="等线" w:hAnsi="等线" w:eastAsia="等线"/>
      <w:szCs w:val="22"/>
    </w:rPr>
  </w:style>
  <w:style w:type="paragraph" w:styleId="27">
    <w:name w:val="toc 2"/>
    <w:basedOn w:val="1"/>
    <w:next w:val="1"/>
    <w:unhideWhenUsed/>
    <w:qFormat/>
    <w:uiPriority w:val="39"/>
    <w:pPr>
      <w:widowControl/>
      <w:spacing w:after="100" w:line="259" w:lineRule="auto"/>
      <w:ind w:left="220"/>
      <w:jc w:val="left"/>
    </w:pPr>
    <w:rPr>
      <w:rFonts w:ascii="等线" w:hAnsi="等线" w:eastAsia="等线"/>
      <w:kern w:val="0"/>
      <w:sz w:val="22"/>
      <w:szCs w:val="22"/>
    </w:rPr>
  </w:style>
  <w:style w:type="paragraph" w:styleId="28">
    <w:name w:val="toc 9"/>
    <w:basedOn w:val="1"/>
    <w:next w:val="1"/>
    <w:unhideWhenUsed/>
    <w:qFormat/>
    <w:uiPriority w:val="39"/>
    <w:pPr>
      <w:ind w:left="3360" w:leftChars="1600"/>
    </w:pPr>
    <w:rPr>
      <w:rFonts w:ascii="等线" w:hAnsi="等线" w:eastAsia="等线"/>
      <w:szCs w:val="22"/>
    </w:rPr>
  </w:style>
  <w:style w:type="paragraph" w:styleId="29">
    <w:name w:val="Body Text 2"/>
    <w:basedOn w:val="1"/>
    <w:link w:val="58"/>
    <w:qFormat/>
    <w:uiPriority w:val="0"/>
    <w:pPr>
      <w:spacing w:after="120" w:line="480" w:lineRule="auto"/>
    </w:pPr>
    <w:rPr>
      <w:rFonts w:ascii="Calibri" w:hAnsi="Calibri"/>
    </w:rPr>
  </w:style>
  <w:style w:type="paragraph" w:styleId="30">
    <w:name w:val="Normal (Web)"/>
    <w:basedOn w:val="1"/>
    <w:qFormat/>
    <w:uiPriority w:val="0"/>
    <w:pPr>
      <w:widowControl/>
      <w:spacing w:before="100" w:beforeAutospacing="1" w:after="100" w:afterAutospacing="1"/>
      <w:jc w:val="left"/>
    </w:pPr>
    <w:rPr>
      <w:kern w:val="0"/>
      <w:sz w:val="24"/>
    </w:rPr>
  </w:style>
  <w:style w:type="paragraph" w:styleId="31">
    <w:name w:val="Title"/>
    <w:basedOn w:val="1"/>
    <w:next w:val="1"/>
    <w:link w:val="59"/>
    <w:qFormat/>
    <w:uiPriority w:val="99"/>
    <w:pPr>
      <w:spacing w:before="240" w:after="60"/>
      <w:jc w:val="center"/>
      <w:outlineLvl w:val="0"/>
    </w:pPr>
    <w:rPr>
      <w:rFonts w:ascii="等线 Light" w:hAnsi="等线 Light"/>
      <w:b/>
      <w:bCs/>
      <w:sz w:val="32"/>
      <w:szCs w:val="32"/>
    </w:rPr>
  </w:style>
  <w:style w:type="paragraph" w:styleId="32">
    <w:name w:val="annotation subject"/>
    <w:basedOn w:val="12"/>
    <w:next w:val="12"/>
    <w:link w:val="60"/>
    <w:qFormat/>
    <w:uiPriority w:val="0"/>
    <w:rPr>
      <w:b/>
      <w:bCs/>
    </w:rPr>
  </w:style>
  <w:style w:type="paragraph" w:styleId="33">
    <w:name w:val="Body Text First Indent 2"/>
    <w:basedOn w:val="14"/>
    <w:link w:val="100"/>
    <w:unhideWhenUsed/>
    <w:qFormat/>
    <w:uiPriority w:val="99"/>
    <w:pPr>
      <w:ind w:firstLine="420" w:firstLineChars="200"/>
    </w:pPr>
    <w:rPr>
      <w:rFonts w:ascii="Calibri" w:hAnsi="Calibri"/>
    </w:rPr>
  </w:style>
  <w:style w:type="table" w:styleId="35">
    <w:name w:val="Table Grid"/>
    <w:basedOn w:val="3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b/>
      <w:bCs/>
    </w:rPr>
  </w:style>
  <w:style w:type="character" w:styleId="38">
    <w:name w:val="page number"/>
    <w:qFormat/>
    <w:uiPriority w:val="0"/>
  </w:style>
  <w:style w:type="character" w:styleId="39">
    <w:name w:val="Emphasis"/>
    <w:qFormat/>
    <w:uiPriority w:val="0"/>
    <w:rPr>
      <w:i/>
      <w:iCs/>
    </w:rPr>
  </w:style>
  <w:style w:type="character" w:styleId="40">
    <w:name w:val="Hyperlink"/>
    <w:qFormat/>
    <w:uiPriority w:val="99"/>
    <w:rPr>
      <w:color w:val="auto"/>
      <w:u w:val="none"/>
    </w:rPr>
  </w:style>
  <w:style w:type="character" w:styleId="41">
    <w:name w:val="annotation reference"/>
    <w:qFormat/>
    <w:uiPriority w:val="0"/>
    <w:rPr>
      <w:sz w:val="21"/>
      <w:szCs w:val="21"/>
    </w:rPr>
  </w:style>
  <w:style w:type="character" w:customStyle="1" w:styleId="42">
    <w:name w:val="标题 1 字符"/>
    <w:link w:val="2"/>
    <w:qFormat/>
    <w:uiPriority w:val="0"/>
    <w:rPr>
      <w:b/>
      <w:bCs/>
      <w:kern w:val="44"/>
      <w:sz w:val="21"/>
      <w:szCs w:val="44"/>
    </w:rPr>
  </w:style>
  <w:style w:type="character" w:customStyle="1" w:styleId="43">
    <w:name w:val="标题 2 字符"/>
    <w:link w:val="3"/>
    <w:semiHidden/>
    <w:qFormat/>
    <w:uiPriority w:val="0"/>
    <w:rPr>
      <w:rFonts w:ascii="等线 Light" w:hAnsi="等线 Light" w:eastAsia="等线 Light" w:cs="Times New Roman"/>
      <w:b/>
      <w:bCs/>
      <w:kern w:val="2"/>
      <w:sz w:val="32"/>
      <w:szCs w:val="32"/>
    </w:rPr>
  </w:style>
  <w:style w:type="character" w:customStyle="1" w:styleId="44">
    <w:name w:val="标题 3 字符"/>
    <w:link w:val="4"/>
    <w:qFormat/>
    <w:uiPriority w:val="9"/>
    <w:rPr>
      <w:rFonts w:eastAsia="宋体"/>
      <w:b/>
      <w:bCs/>
      <w:kern w:val="2"/>
      <w:sz w:val="32"/>
      <w:szCs w:val="32"/>
      <w:lang w:val="en-US" w:eastAsia="zh-CN" w:bidi="ar-SA"/>
    </w:rPr>
  </w:style>
  <w:style w:type="character" w:customStyle="1" w:styleId="45">
    <w:name w:val="标题 4 字符"/>
    <w:link w:val="5"/>
    <w:semiHidden/>
    <w:qFormat/>
    <w:uiPriority w:val="0"/>
    <w:rPr>
      <w:rFonts w:ascii="等线 Light" w:hAnsi="等线 Light" w:eastAsia="等线 Light" w:cs="Times New Roman"/>
      <w:b/>
      <w:bCs/>
      <w:kern w:val="2"/>
      <w:sz w:val="28"/>
      <w:szCs w:val="28"/>
    </w:rPr>
  </w:style>
  <w:style w:type="character" w:customStyle="1" w:styleId="46">
    <w:name w:val="标题 6 字符"/>
    <w:link w:val="6"/>
    <w:qFormat/>
    <w:uiPriority w:val="0"/>
    <w:rPr>
      <w:rFonts w:ascii="等线 Light" w:hAnsi="等线 Light" w:eastAsia="等线 Light" w:cs="Times New Roman"/>
      <w:b/>
      <w:bCs/>
      <w:kern w:val="2"/>
      <w:sz w:val="24"/>
      <w:szCs w:val="24"/>
    </w:rPr>
  </w:style>
  <w:style w:type="character" w:customStyle="1" w:styleId="47">
    <w:name w:val="标题 8 字符"/>
    <w:link w:val="7"/>
    <w:semiHidden/>
    <w:qFormat/>
    <w:uiPriority w:val="0"/>
    <w:rPr>
      <w:rFonts w:ascii="等线 Light" w:hAnsi="等线 Light" w:eastAsia="等线 Light" w:cs="Times New Roman"/>
      <w:kern w:val="2"/>
      <w:sz w:val="24"/>
      <w:szCs w:val="24"/>
    </w:rPr>
  </w:style>
  <w:style w:type="character" w:customStyle="1" w:styleId="48">
    <w:name w:val="正文缩进 字符"/>
    <w:link w:val="10"/>
    <w:qFormat/>
    <w:uiPriority w:val="0"/>
    <w:rPr>
      <w:kern w:val="2"/>
      <w:sz w:val="21"/>
    </w:rPr>
  </w:style>
  <w:style w:type="character" w:customStyle="1" w:styleId="49">
    <w:name w:val="文档结构图 字符"/>
    <w:link w:val="11"/>
    <w:qFormat/>
    <w:uiPriority w:val="0"/>
    <w:rPr>
      <w:kern w:val="2"/>
      <w:sz w:val="21"/>
      <w:szCs w:val="24"/>
      <w:shd w:val="clear" w:color="auto" w:fill="000080"/>
    </w:rPr>
  </w:style>
  <w:style w:type="character" w:customStyle="1" w:styleId="50">
    <w:name w:val="批注文字 字符"/>
    <w:link w:val="12"/>
    <w:qFormat/>
    <w:uiPriority w:val="0"/>
    <w:rPr>
      <w:kern w:val="2"/>
      <w:sz w:val="21"/>
      <w:szCs w:val="24"/>
    </w:rPr>
  </w:style>
  <w:style w:type="character" w:customStyle="1" w:styleId="51">
    <w:name w:val="正文文本 字符"/>
    <w:link w:val="13"/>
    <w:qFormat/>
    <w:uiPriority w:val="1"/>
    <w:rPr>
      <w:kern w:val="2"/>
      <w:sz w:val="21"/>
      <w:szCs w:val="24"/>
    </w:rPr>
  </w:style>
  <w:style w:type="character" w:customStyle="1" w:styleId="52">
    <w:name w:val="正文文本缩进 字符"/>
    <w:basedOn w:val="36"/>
    <w:link w:val="14"/>
    <w:qFormat/>
    <w:uiPriority w:val="0"/>
    <w:rPr>
      <w:kern w:val="2"/>
      <w:sz w:val="21"/>
      <w:szCs w:val="24"/>
    </w:rPr>
  </w:style>
  <w:style w:type="character" w:customStyle="1" w:styleId="53">
    <w:name w:val="纯文本 字符"/>
    <w:link w:val="18"/>
    <w:qFormat/>
    <w:uiPriority w:val="0"/>
    <w:rPr>
      <w:rFonts w:ascii="宋体" w:hAnsi="Courier New" w:cs="Courier New"/>
      <w:kern w:val="2"/>
      <w:sz w:val="21"/>
      <w:szCs w:val="21"/>
    </w:rPr>
  </w:style>
  <w:style w:type="character" w:customStyle="1" w:styleId="54">
    <w:name w:val="日期 字符"/>
    <w:link w:val="20"/>
    <w:qFormat/>
    <w:uiPriority w:val="0"/>
    <w:rPr>
      <w:kern w:val="2"/>
      <w:sz w:val="24"/>
    </w:rPr>
  </w:style>
  <w:style w:type="character" w:customStyle="1" w:styleId="55">
    <w:name w:val="批注框文本 字符"/>
    <w:link w:val="21"/>
    <w:qFormat/>
    <w:uiPriority w:val="0"/>
    <w:rPr>
      <w:kern w:val="2"/>
      <w:sz w:val="18"/>
      <w:szCs w:val="18"/>
    </w:rPr>
  </w:style>
  <w:style w:type="character" w:customStyle="1" w:styleId="56">
    <w:name w:val="页脚 字符"/>
    <w:link w:val="22"/>
    <w:qFormat/>
    <w:uiPriority w:val="99"/>
    <w:rPr>
      <w:kern w:val="2"/>
      <w:sz w:val="18"/>
      <w:szCs w:val="18"/>
    </w:rPr>
  </w:style>
  <w:style w:type="character" w:customStyle="1" w:styleId="57">
    <w:name w:val="页眉 字符"/>
    <w:link w:val="23"/>
    <w:qFormat/>
    <w:uiPriority w:val="0"/>
    <w:rPr>
      <w:kern w:val="2"/>
      <w:sz w:val="18"/>
      <w:szCs w:val="18"/>
    </w:rPr>
  </w:style>
  <w:style w:type="character" w:customStyle="1" w:styleId="58">
    <w:name w:val="正文文本 2 字符"/>
    <w:link w:val="29"/>
    <w:qFormat/>
    <w:uiPriority w:val="0"/>
    <w:rPr>
      <w:rFonts w:ascii="Calibri" w:hAnsi="Calibri"/>
      <w:kern w:val="2"/>
      <w:sz w:val="21"/>
      <w:szCs w:val="24"/>
    </w:rPr>
  </w:style>
  <w:style w:type="character" w:customStyle="1" w:styleId="59">
    <w:name w:val="标题 字符"/>
    <w:link w:val="31"/>
    <w:qFormat/>
    <w:uiPriority w:val="99"/>
    <w:rPr>
      <w:rFonts w:ascii="等线 Light" w:hAnsi="等线 Light" w:cs="Times New Roman"/>
      <w:b/>
      <w:bCs/>
      <w:kern w:val="2"/>
      <w:sz w:val="32"/>
      <w:szCs w:val="32"/>
    </w:rPr>
  </w:style>
  <w:style w:type="character" w:customStyle="1" w:styleId="60">
    <w:name w:val="批注主题 字符"/>
    <w:link w:val="32"/>
    <w:qFormat/>
    <w:uiPriority w:val="0"/>
    <w:rPr>
      <w:b/>
      <w:bCs/>
      <w:kern w:val="2"/>
      <w:sz w:val="21"/>
      <w:szCs w:val="24"/>
    </w:rPr>
  </w:style>
  <w:style w:type="character" w:customStyle="1" w:styleId="61">
    <w:name w:val="p0 Char"/>
    <w:link w:val="62"/>
    <w:qFormat/>
    <w:uiPriority w:val="0"/>
    <w:rPr>
      <w:rFonts w:eastAsia="宋体"/>
      <w:sz w:val="21"/>
      <w:szCs w:val="21"/>
      <w:lang w:val="en-US" w:eastAsia="zh-CN" w:bidi="ar-SA"/>
    </w:rPr>
  </w:style>
  <w:style w:type="paragraph" w:customStyle="1" w:styleId="62">
    <w:name w:val="p0"/>
    <w:basedOn w:val="1"/>
    <w:link w:val="61"/>
    <w:qFormat/>
    <w:uiPriority w:val="0"/>
    <w:pPr>
      <w:widowControl/>
    </w:pPr>
    <w:rPr>
      <w:kern w:val="0"/>
      <w:szCs w:val="21"/>
    </w:rPr>
  </w:style>
  <w:style w:type="character" w:customStyle="1" w:styleId="63">
    <w:name w:val="标题 2 Char Char Char"/>
    <w:qFormat/>
    <w:uiPriority w:val="0"/>
    <w:rPr>
      <w:rFonts w:ascii="Arial" w:hAnsi="Arial" w:eastAsia="黑体"/>
      <w:b/>
      <w:bCs/>
      <w:kern w:val="2"/>
      <w:sz w:val="32"/>
      <w:szCs w:val="32"/>
      <w:lang w:val="en-US" w:eastAsia="zh-CN" w:bidi="ar-SA"/>
    </w:rPr>
  </w:style>
  <w:style w:type="character" w:customStyle="1" w:styleId="64">
    <w:name w:val="NormalCharacter"/>
    <w:semiHidden/>
    <w:qFormat/>
    <w:uiPriority w:val="0"/>
  </w:style>
  <w:style w:type="paragraph" w:customStyle="1" w:styleId="65">
    <w:name w:val="Heading2"/>
    <w:basedOn w:val="1"/>
    <w:next w:val="1"/>
    <w:qFormat/>
    <w:uiPriority w:val="0"/>
    <w:pPr>
      <w:keepNext/>
      <w:widowControl/>
      <w:jc w:val="center"/>
      <w:textAlignment w:val="baseline"/>
    </w:pPr>
    <w:rPr>
      <w:rFonts w:ascii="楷体_GB2312" w:eastAsia="楷体_GB2312"/>
      <w:sz w:val="18"/>
      <w:szCs w:val="20"/>
    </w:rPr>
  </w:style>
  <w:style w:type="paragraph" w:customStyle="1" w:styleId="66">
    <w:name w:val="TOC 标题1"/>
    <w:basedOn w:val="2"/>
    <w:next w:val="1"/>
    <w:qFormat/>
    <w:uiPriority w:val="39"/>
    <w:pPr>
      <w:widowControl/>
      <w:spacing w:before="240" w:after="0" w:line="259" w:lineRule="auto"/>
      <w:jc w:val="left"/>
      <w:outlineLvl w:val="9"/>
    </w:pPr>
    <w:rPr>
      <w:rFonts w:ascii="等线 Light" w:hAnsi="等线 Light" w:eastAsia="等线 Light"/>
      <w:b w:val="0"/>
      <w:bCs w:val="0"/>
      <w:color w:val="2E74B5"/>
      <w:kern w:val="0"/>
      <w:sz w:val="32"/>
      <w:szCs w:val="32"/>
    </w:rPr>
  </w:style>
  <w:style w:type="paragraph" w:styleId="67">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68">
    <w:name w:val="样式1"/>
    <w:basedOn w:val="2"/>
    <w:link w:val="69"/>
    <w:qFormat/>
    <w:uiPriority w:val="0"/>
    <w:pPr>
      <w:ind w:left="210" w:right="210"/>
    </w:pPr>
  </w:style>
  <w:style w:type="character" w:customStyle="1" w:styleId="69">
    <w:name w:val="样式1 字符"/>
    <w:link w:val="68"/>
    <w:qFormat/>
    <w:uiPriority w:val="0"/>
  </w:style>
  <w:style w:type="paragraph" w:customStyle="1" w:styleId="70">
    <w:name w:val="标题 21"/>
    <w:basedOn w:val="1"/>
    <w:qFormat/>
    <w:uiPriority w:val="1"/>
    <w:pPr>
      <w:autoSpaceDE w:val="0"/>
      <w:autoSpaceDN w:val="0"/>
      <w:ind w:left="801" w:hanging="401"/>
      <w:jc w:val="left"/>
      <w:outlineLvl w:val="2"/>
    </w:pPr>
    <w:rPr>
      <w:rFonts w:ascii="Microsoft JhengHei" w:hAnsi="Microsoft JhengHei" w:eastAsia="Microsoft JhengHei" w:cs="Microsoft JhengHei"/>
      <w:b/>
      <w:bCs/>
      <w:kern w:val="0"/>
      <w:sz w:val="32"/>
      <w:szCs w:val="32"/>
      <w:lang w:val="zh-CN" w:bidi="zh-CN"/>
    </w:rPr>
  </w:style>
  <w:style w:type="paragraph" w:styleId="71">
    <w:name w:val="List Paragraph"/>
    <w:basedOn w:val="1"/>
    <w:qFormat/>
    <w:uiPriority w:val="1"/>
    <w:pPr>
      <w:autoSpaceDE w:val="0"/>
      <w:autoSpaceDN w:val="0"/>
      <w:ind w:left="400" w:firstLine="420"/>
      <w:jc w:val="left"/>
    </w:pPr>
    <w:rPr>
      <w:rFonts w:ascii="宋体" w:hAnsi="宋体" w:cs="宋体"/>
      <w:kern w:val="0"/>
      <w:sz w:val="22"/>
      <w:szCs w:val="22"/>
      <w:lang w:val="zh-CN" w:bidi="zh-CN"/>
    </w:rPr>
  </w:style>
  <w:style w:type="paragraph" w:customStyle="1" w:styleId="72">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73">
    <w:name w:val="ask-title2"/>
    <w:qFormat/>
    <w:uiPriority w:val="0"/>
  </w:style>
  <w:style w:type="paragraph" w:customStyle="1" w:styleId="74">
    <w:name w:val="列出段落2"/>
    <w:basedOn w:val="1"/>
    <w:unhideWhenUsed/>
    <w:qFormat/>
    <w:uiPriority w:val="99"/>
    <w:pPr>
      <w:autoSpaceDE w:val="0"/>
      <w:autoSpaceDN w:val="0"/>
      <w:adjustRightInd w:val="0"/>
      <w:ind w:firstLine="420" w:firstLineChars="200"/>
      <w:jc w:val="left"/>
    </w:pPr>
    <w:rPr>
      <w:rFonts w:ascii="宋体"/>
      <w:kern w:val="0"/>
      <w:sz w:val="20"/>
      <w:szCs w:val="20"/>
    </w:rPr>
  </w:style>
  <w:style w:type="paragraph" w:customStyle="1" w:styleId="75">
    <w:name w:val="纯文本1"/>
    <w:basedOn w:val="1"/>
    <w:qFormat/>
    <w:uiPriority w:val="0"/>
    <w:rPr>
      <w:rFonts w:ascii="宋体" w:hAnsi="Courier New"/>
      <w:kern w:val="0"/>
      <w:sz w:val="20"/>
      <w:szCs w:val="21"/>
    </w:rPr>
  </w:style>
  <w:style w:type="character" w:customStyle="1" w:styleId="76">
    <w:name w:val="纯文本 Char2"/>
    <w:qFormat/>
    <w:uiPriority w:val="0"/>
    <w:rPr>
      <w:rFonts w:ascii="宋体" w:hAnsi="Courier New"/>
      <w:sz w:val="21"/>
    </w:rPr>
  </w:style>
  <w:style w:type="paragraph" w:customStyle="1" w:styleId="77">
    <w:name w:val="列出段落1"/>
    <w:basedOn w:val="1"/>
    <w:qFormat/>
    <w:uiPriority w:val="0"/>
    <w:pPr>
      <w:spacing w:line="0" w:lineRule="atLeast"/>
      <w:ind w:firstLine="420" w:firstLineChars="200"/>
    </w:pPr>
    <w:rPr>
      <w:rFonts w:eastAsia="微软雅黑"/>
      <w:sz w:val="20"/>
      <w:szCs w:val="20"/>
    </w:rPr>
  </w:style>
  <w:style w:type="character" w:customStyle="1" w:styleId="78">
    <w:name w:val="纯文本 Char"/>
    <w:link w:val="79"/>
    <w:qFormat/>
    <w:uiPriority w:val="0"/>
    <w:rPr>
      <w:rFonts w:ascii="宋体" w:hAnsi="Courier New"/>
    </w:rPr>
  </w:style>
  <w:style w:type="paragraph" w:customStyle="1" w:styleId="79">
    <w:name w:val="纯文本2"/>
    <w:basedOn w:val="1"/>
    <w:link w:val="78"/>
    <w:qFormat/>
    <w:uiPriority w:val="0"/>
    <w:pPr>
      <w:spacing w:line="360" w:lineRule="auto"/>
      <w:ind w:firstLine="200" w:firstLineChars="200"/>
    </w:pPr>
    <w:rPr>
      <w:rFonts w:ascii="宋体" w:hAnsi="Courier New"/>
      <w:kern w:val="0"/>
      <w:sz w:val="20"/>
      <w:szCs w:val="20"/>
    </w:rPr>
  </w:style>
  <w:style w:type="character" w:customStyle="1" w:styleId="80">
    <w:name w:val="页脚 Char"/>
    <w:qFormat/>
    <w:uiPriority w:val="0"/>
    <w:rPr>
      <w:sz w:val="18"/>
      <w:szCs w:val="18"/>
    </w:rPr>
  </w:style>
  <w:style w:type="paragraph" w:customStyle="1" w:styleId="81">
    <w:name w:val="_Style 83"/>
    <w:basedOn w:val="1"/>
    <w:next w:val="71"/>
    <w:qFormat/>
    <w:uiPriority w:val="99"/>
    <w:pPr>
      <w:ind w:firstLine="420" w:firstLineChars="200"/>
    </w:pPr>
  </w:style>
  <w:style w:type="paragraph" w:customStyle="1" w:styleId="8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3">
    <w:name w:val="正文首行缩进 21"/>
    <w:basedOn w:val="84"/>
    <w:qFormat/>
    <w:uiPriority w:val="0"/>
    <w:pPr>
      <w:ind w:firstLine="420" w:firstLineChars="200"/>
    </w:pPr>
  </w:style>
  <w:style w:type="paragraph" w:customStyle="1" w:styleId="84">
    <w:name w:val="正文文本缩进1"/>
    <w:basedOn w:val="1"/>
    <w:qFormat/>
    <w:uiPriority w:val="0"/>
    <w:pPr>
      <w:spacing w:after="120"/>
      <w:ind w:left="420" w:leftChars="200"/>
    </w:pPr>
    <w:rPr>
      <w:szCs w:val="21"/>
    </w:rPr>
  </w:style>
  <w:style w:type="character" w:customStyle="1" w:styleId="85">
    <w:name w:val="font11"/>
    <w:basedOn w:val="36"/>
    <w:qFormat/>
    <w:uiPriority w:val="0"/>
    <w:rPr>
      <w:rFonts w:hint="eastAsia" w:ascii="方正仿宋_GBK" w:hAnsi="方正仿宋_GBK" w:eastAsia="方正仿宋_GBK" w:cs="方正仿宋_GBK"/>
      <w:color w:val="000000"/>
      <w:sz w:val="32"/>
      <w:szCs w:val="32"/>
      <w:u w:val="none"/>
    </w:rPr>
  </w:style>
  <w:style w:type="character" w:customStyle="1" w:styleId="86">
    <w:name w:val="font21"/>
    <w:basedOn w:val="36"/>
    <w:qFormat/>
    <w:uiPriority w:val="0"/>
    <w:rPr>
      <w:rFonts w:hint="eastAsia" w:ascii="方正仿宋_GBK" w:hAnsi="方正仿宋_GBK" w:eastAsia="方正仿宋_GBK" w:cs="方正仿宋_GBK"/>
      <w:color w:val="000000"/>
      <w:sz w:val="32"/>
      <w:szCs w:val="32"/>
      <w:u w:val="none"/>
    </w:rPr>
  </w:style>
  <w:style w:type="character" w:customStyle="1" w:styleId="87">
    <w:name w:val="font01"/>
    <w:qFormat/>
    <w:uiPriority w:val="0"/>
    <w:rPr>
      <w:rFonts w:hint="eastAsia" w:ascii="方正仿宋_GBK" w:hAnsi="方正仿宋_GBK" w:eastAsia="方正仿宋_GBK" w:cs="方正仿宋_GBK"/>
      <w:color w:val="000000"/>
      <w:sz w:val="32"/>
      <w:szCs w:val="32"/>
      <w:u w:val="none"/>
    </w:rPr>
  </w:style>
  <w:style w:type="character" w:customStyle="1" w:styleId="88">
    <w:name w:val="font31"/>
    <w:basedOn w:val="36"/>
    <w:qFormat/>
    <w:uiPriority w:val="0"/>
    <w:rPr>
      <w:rFonts w:hint="eastAsia" w:ascii="方正仿宋_GBK" w:hAnsi="方正仿宋_GBK" w:eastAsia="方正仿宋_GBK" w:cs="方正仿宋_GBK"/>
      <w:color w:val="000000"/>
      <w:sz w:val="32"/>
      <w:szCs w:val="32"/>
      <w:u w:val="none"/>
    </w:rPr>
  </w:style>
  <w:style w:type="table" w:customStyle="1" w:styleId="89">
    <w:name w:val="Table Normal"/>
    <w:unhideWhenUsed/>
    <w:qFormat/>
    <w:uiPriority w:val="0"/>
    <w:tblPr>
      <w:tblCellMar>
        <w:top w:w="0" w:type="dxa"/>
        <w:left w:w="0" w:type="dxa"/>
        <w:bottom w:w="0" w:type="dxa"/>
        <w:right w:w="0" w:type="dxa"/>
      </w:tblCellMar>
    </w:tblPr>
  </w:style>
  <w:style w:type="character" w:customStyle="1" w:styleId="90">
    <w:name w:val="font81"/>
    <w:basedOn w:val="36"/>
    <w:qFormat/>
    <w:uiPriority w:val="0"/>
    <w:rPr>
      <w:rFonts w:hint="eastAsia" w:ascii="宋体" w:hAnsi="宋体" w:eastAsia="宋体" w:cs="宋体"/>
      <w:b/>
      <w:bCs/>
      <w:color w:val="000000"/>
      <w:sz w:val="20"/>
      <w:szCs w:val="20"/>
      <w:u w:val="none"/>
    </w:rPr>
  </w:style>
  <w:style w:type="character" w:customStyle="1" w:styleId="91">
    <w:name w:val="font51"/>
    <w:basedOn w:val="36"/>
    <w:qFormat/>
    <w:uiPriority w:val="0"/>
    <w:rPr>
      <w:rFonts w:hint="default" w:ascii="Times New Roman" w:hAnsi="Times New Roman" w:cs="Times New Roman"/>
      <w:b/>
      <w:bCs/>
      <w:color w:val="000000"/>
      <w:sz w:val="20"/>
      <w:szCs w:val="20"/>
      <w:u w:val="none"/>
    </w:rPr>
  </w:style>
  <w:style w:type="character" w:customStyle="1" w:styleId="92">
    <w:name w:val="font101"/>
    <w:basedOn w:val="36"/>
    <w:qFormat/>
    <w:uiPriority w:val="0"/>
    <w:rPr>
      <w:rFonts w:hint="eastAsia" w:ascii="宋体" w:hAnsi="宋体" w:eastAsia="宋体" w:cs="宋体"/>
      <w:b/>
      <w:bCs/>
      <w:color w:val="000000"/>
      <w:sz w:val="24"/>
      <w:szCs w:val="24"/>
      <w:u w:val="none"/>
    </w:rPr>
  </w:style>
  <w:style w:type="character" w:customStyle="1" w:styleId="93">
    <w:name w:val="font71"/>
    <w:basedOn w:val="36"/>
    <w:qFormat/>
    <w:uiPriority w:val="0"/>
    <w:rPr>
      <w:rFonts w:hint="default" w:ascii="Times New Roman" w:hAnsi="Times New Roman" w:cs="Times New Roman"/>
      <w:b/>
      <w:bCs/>
      <w:color w:val="000000"/>
      <w:sz w:val="24"/>
      <w:szCs w:val="24"/>
      <w:u w:val="none"/>
    </w:rPr>
  </w:style>
  <w:style w:type="character" w:customStyle="1" w:styleId="94">
    <w:name w:val="font91"/>
    <w:basedOn w:val="36"/>
    <w:qFormat/>
    <w:uiPriority w:val="0"/>
    <w:rPr>
      <w:rFonts w:hint="eastAsia" w:ascii="宋体" w:hAnsi="宋体" w:eastAsia="宋体" w:cs="宋体"/>
      <w:color w:val="FF0000"/>
      <w:sz w:val="20"/>
      <w:szCs w:val="20"/>
      <w:u w:val="none"/>
    </w:rPr>
  </w:style>
  <w:style w:type="character" w:customStyle="1" w:styleId="95">
    <w:name w:val="font41"/>
    <w:basedOn w:val="36"/>
    <w:qFormat/>
    <w:uiPriority w:val="0"/>
    <w:rPr>
      <w:rFonts w:hint="eastAsia" w:ascii="宋体" w:hAnsi="宋体" w:eastAsia="宋体" w:cs="宋体"/>
      <w:color w:val="FF0000"/>
      <w:sz w:val="20"/>
      <w:szCs w:val="20"/>
      <w:u w:val="none"/>
    </w:rPr>
  </w:style>
  <w:style w:type="paragraph" w:customStyle="1" w:styleId="96">
    <w:name w:val="修订1"/>
    <w:hidden/>
    <w:unhideWhenUsed/>
    <w:qFormat/>
    <w:uiPriority w:val="99"/>
    <w:rPr>
      <w:rFonts w:ascii="Times New Roman" w:hAnsi="Times New Roman" w:eastAsia="宋体" w:cs="Times New Roman"/>
      <w:kern w:val="2"/>
      <w:sz w:val="21"/>
      <w:szCs w:val="24"/>
      <w:lang w:val="en-US" w:eastAsia="zh-CN" w:bidi="ar-SA"/>
    </w:rPr>
  </w:style>
  <w:style w:type="character" w:customStyle="1" w:styleId="97">
    <w:name w:val="num"/>
    <w:qFormat/>
    <w:uiPriority w:val="0"/>
    <w:rPr>
      <w:b/>
      <w:color w:val="FF0000"/>
      <w:sz w:val="15"/>
      <w:szCs w:val="15"/>
    </w:rPr>
  </w:style>
  <w:style w:type="paragraph" w:customStyle="1" w:styleId="98">
    <w:name w:val="正文首行缩进 22"/>
    <w:basedOn w:val="99"/>
    <w:qFormat/>
    <w:uiPriority w:val="0"/>
    <w:pPr>
      <w:ind w:firstLine="420" w:firstLineChars="200"/>
    </w:pPr>
  </w:style>
  <w:style w:type="paragraph" w:customStyle="1" w:styleId="99">
    <w:name w:val="正文文本缩进2"/>
    <w:basedOn w:val="1"/>
    <w:qFormat/>
    <w:uiPriority w:val="0"/>
    <w:pPr>
      <w:ind w:left="420" w:leftChars="200"/>
    </w:pPr>
    <w:rPr>
      <w:szCs w:val="21"/>
    </w:rPr>
  </w:style>
  <w:style w:type="character" w:customStyle="1" w:styleId="100">
    <w:name w:val="正文文本首行缩进 2 字符"/>
    <w:basedOn w:val="52"/>
    <w:link w:val="33"/>
    <w:qFormat/>
    <w:uiPriority w:val="99"/>
    <w:rPr>
      <w:rFonts w:ascii="Calibri" w:hAnsi="Calibri"/>
      <w:kern w:val="2"/>
      <w:sz w:val="21"/>
      <w:szCs w:val="24"/>
    </w:rPr>
  </w:style>
  <w:style w:type="character" w:customStyle="1" w:styleId="101">
    <w:name w:val="font151"/>
    <w:basedOn w:val="36"/>
    <w:qFormat/>
    <w:uiPriority w:val="0"/>
    <w:rPr>
      <w:rFonts w:hint="eastAsia" w:ascii="宋体" w:hAnsi="宋体" w:eastAsia="宋体" w:cs="宋体"/>
      <w:color w:val="000000"/>
      <w:sz w:val="16"/>
      <w:szCs w:val="16"/>
      <w:u w:val="none"/>
    </w:rPr>
  </w:style>
  <w:style w:type="character" w:customStyle="1" w:styleId="102">
    <w:name w:val="font161"/>
    <w:basedOn w:val="36"/>
    <w:qFormat/>
    <w:uiPriority w:val="0"/>
    <w:rPr>
      <w:rFonts w:hint="eastAsia" w:ascii="宋体" w:hAnsi="宋体" w:eastAsia="宋体" w:cs="宋体"/>
      <w:color w:val="000000"/>
      <w:sz w:val="16"/>
      <w:szCs w:val="16"/>
      <w:u w:val="none"/>
    </w:rPr>
  </w:style>
  <w:style w:type="character" w:customStyle="1" w:styleId="103">
    <w:name w:val="font201"/>
    <w:basedOn w:val="36"/>
    <w:qFormat/>
    <w:uiPriority w:val="0"/>
    <w:rPr>
      <w:rFonts w:hint="default" w:ascii="Times New Roman" w:hAnsi="Times New Roman" w:cs="Times New Roman"/>
      <w:color w:val="000000"/>
      <w:sz w:val="16"/>
      <w:szCs w:val="16"/>
      <w:u w:val="none"/>
    </w:rPr>
  </w:style>
  <w:style w:type="character" w:customStyle="1" w:styleId="104">
    <w:name w:val="font181"/>
    <w:basedOn w:val="36"/>
    <w:qFormat/>
    <w:uiPriority w:val="0"/>
    <w:rPr>
      <w:rFonts w:hint="eastAsia" w:ascii="宋体" w:hAnsi="宋体" w:eastAsia="宋体" w:cs="宋体"/>
      <w:color w:val="000000"/>
      <w:sz w:val="16"/>
      <w:szCs w:val="16"/>
      <w:u w:val="none"/>
    </w:rPr>
  </w:style>
  <w:style w:type="character" w:customStyle="1" w:styleId="105">
    <w:name w:val="font212"/>
    <w:basedOn w:val="36"/>
    <w:qFormat/>
    <w:uiPriority w:val="0"/>
    <w:rPr>
      <w:rFonts w:hint="default" w:ascii="Times New Roman" w:hAnsi="Times New Roman" w:cs="Times New Roman"/>
      <w:color w:val="000000"/>
      <w:sz w:val="16"/>
      <w:szCs w:val="16"/>
      <w:u w:val="none"/>
    </w:rPr>
  </w:style>
  <w:style w:type="character" w:customStyle="1" w:styleId="106">
    <w:name w:val="font171"/>
    <w:basedOn w:val="36"/>
    <w:qFormat/>
    <w:uiPriority w:val="0"/>
    <w:rPr>
      <w:rFonts w:hint="eastAsia" w:ascii="宋体" w:hAnsi="宋体" w:eastAsia="宋体" w:cs="宋体"/>
      <w:color w:val="000000"/>
      <w:sz w:val="16"/>
      <w:szCs w:val="16"/>
      <w:u w:val="none"/>
    </w:rPr>
  </w:style>
  <w:style w:type="character" w:customStyle="1" w:styleId="107">
    <w:name w:val="font241"/>
    <w:basedOn w:val="36"/>
    <w:qFormat/>
    <w:uiPriority w:val="0"/>
    <w:rPr>
      <w:rFonts w:hint="default" w:ascii="Times New Roman" w:hAnsi="Times New Roman" w:cs="Times New Roman"/>
      <w:color w:val="000000"/>
      <w:sz w:val="16"/>
      <w:szCs w:val="16"/>
      <w:u w:val="none"/>
    </w:rPr>
  </w:style>
  <w:style w:type="character" w:customStyle="1" w:styleId="108">
    <w:name w:val="font251"/>
    <w:basedOn w:val="36"/>
    <w:qFormat/>
    <w:uiPriority w:val="0"/>
    <w:rPr>
      <w:rFonts w:hint="default" w:ascii="Times New Roman" w:hAnsi="Times New Roman" w:cs="Times New Roman"/>
      <w:color w:val="000000"/>
      <w:sz w:val="16"/>
      <w:szCs w:val="16"/>
      <w:u w:val="none"/>
    </w:rPr>
  </w:style>
  <w:style w:type="character" w:customStyle="1" w:styleId="109">
    <w:name w:val="font261"/>
    <w:basedOn w:val="36"/>
    <w:qFormat/>
    <w:uiPriority w:val="0"/>
    <w:rPr>
      <w:rFonts w:hint="eastAsia" w:ascii="宋体" w:hAnsi="宋体" w:eastAsia="宋体" w:cs="宋体"/>
      <w:color w:val="000000"/>
      <w:sz w:val="20"/>
      <w:szCs w:val="20"/>
      <w:u w:val="none"/>
      <w:vertAlign w:val="superscript"/>
    </w:rPr>
  </w:style>
  <w:style w:type="character" w:customStyle="1" w:styleId="110">
    <w:name w:val="font112"/>
    <w:basedOn w:val="36"/>
    <w:qFormat/>
    <w:uiPriority w:val="0"/>
    <w:rPr>
      <w:rFonts w:hint="eastAsia" w:ascii="宋体" w:hAnsi="宋体" w:eastAsia="宋体" w:cs="宋体"/>
      <w:b/>
      <w:bCs/>
      <w:color w:val="000000"/>
      <w:sz w:val="20"/>
      <w:szCs w:val="20"/>
      <w:u w:val="none"/>
    </w:rPr>
  </w:style>
  <w:style w:type="character" w:customStyle="1" w:styleId="111">
    <w:name w:val="font121"/>
    <w:basedOn w:val="36"/>
    <w:qFormat/>
    <w:uiPriority w:val="0"/>
    <w:rPr>
      <w:rFonts w:hint="eastAsia" w:ascii="宋体" w:hAnsi="宋体" w:eastAsia="宋体" w:cs="宋体"/>
      <w:color w:val="000000"/>
      <w:sz w:val="20"/>
      <w:szCs w:val="20"/>
      <w:u w:val="none"/>
    </w:rPr>
  </w:style>
  <w:style w:type="character" w:customStyle="1" w:styleId="112">
    <w:name w:val="font131"/>
    <w:basedOn w:val="36"/>
    <w:qFormat/>
    <w:uiPriority w:val="0"/>
    <w:rPr>
      <w:rFonts w:hint="eastAsia" w:ascii="宋体" w:hAnsi="宋体" w:eastAsia="宋体" w:cs="宋体"/>
      <w:color w:val="000000"/>
      <w:sz w:val="20"/>
      <w:szCs w:val="20"/>
      <w:u w:val="none"/>
    </w:rPr>
  </w:style>
  <w:style w:type="character" w:customStyle="1" w:styleId="113">
    <w:name w:val="font191"/>
    <w:basedOn w:val="36"/>
    <w:qFormat/>
    <w:uiPriority w:val="0"/>
    <w:rPr>
      <w:rFonts w:hint="eastAsia" w:ascii="宋体" w:hAnsi="宋体" w:eastAsia="宋体" w:cs="宋体"/>
      <w:b/>
      <w:bCs/>
      <w:color w:val="000000"/>
      <w:sz w:val="20"/>
      <w:szCs w:val="20"/>
      <w:u w:val="none"/>
    </w:rPr>
  </w:style>
  <w:style w:type="character" w:customStyle="1" w:styleId="114">
    <w:name w:val="font61"/>
    <w:basedOn w:val="36"/>
    <w:qFormat/>
    <w:uiPriority w:val="0"/>
    <w:rPr>
      <w:rFonts w:hint="eastAsia" w:ascii="宋体" w:hAnsi="宋体" w:eastAsia="宋体" w:cs="宋体"/>
      <w:color w:val="000000"/>
      <w:sz w:val="20"/>
      <w:szCs w:val="20"/>
      <w:u w:val="none"/>
    </w:rPr>
  </w:style>
  <w:style w:type="character" w:customStyle="1" w:styleId="115">
    <w:name w:val="font231"/>
    <w:basedOn w:val="36"/>
    <w:qFormat/>
    <w:uiPriority w:val="0"/>
    <w:rPr>
      <w:rFonts w:ascii="方正仿宋_GBK" w:hAnsi="方正仿宋_GBK" w:eastAsia="方正仿宋_GBK" w:cs="方正仿宋_GBK"/>
      <w:b/>
      <w:bCs/>
      <w:color w:val="000000"/>
      <w:sz w:val="20"/>
      <w:szCs w:val="20"/>
      <w:u w:val="none"/>
    </w:rPr>
  </w:style>
  <w:style w:type="paragraph" w:customStyle="1" w:styleId="116">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117">
    <w:name w:val="10"/>
    <w:basedOn w:val="36"/>
    <w:qFormat/>
    <w:uiPriority w:val="0"/>
    <w:rPr>
      <w:rFonts w:hint="default" w:ascii="Times New Roman" w:hAnsi="Times New Roman" w:cs="Times New Roman"/>
    </w:rPr>
  </w:style>
  <w:style w:type="character" w:customStyle="1" w:styleId="118">
    <w:name w:val="15"/>
    <w:basedOn w:val="36"/>
    <w:qFormat/>
    <w:uiPriority w:val="0"/>
    <w:rPr>
      <w:rFonts w:hint="eastAsia" w:ascii="宋体" w:hAnsi="宋体" w:eastAsia="宋体"/>
      <w:color w:val="000000"/>
      <w:sz w:val="20"/>
      <w:szCs w:val="20"/>
    </w:rPr>
  </w:style>
  <w:style w:type="character" w:customStyle="1" w:styleId="119">
    <w:name w:val="16"/>
    <w:basedOn w:val="36"/>
    <w:qFormat/>
    <w:uiPriority w:val="0"/>
    <w:rPr>
      <w:rFonts w:hint="eastAsia" w:ascii="宋体" w:hAnsi="宋体" w:eastAsia="宋体"/>
      <w:b/>
      <w:bCs/>
      <w:color w:val="000000"/>
      <w:sz w:val="20"/>
      <w:szCs w:val="20"/>
    </w:rPr>
  </w:style>
  <w:style w:type="character" w:customStyle="1" w:styleId="120">
    <w:name w:val="17"/>
    <w:basedOn w:val="36"/>
    <w:qFormat/>
    <w:uiPriority w:val="0"/>
    <w:rPr>
      <w:rFonts w:hint="eastAsia" w:ascii="宋体" w:hAnsi="宋体" w:eastAsia="宋体"/>
      <w:color w:val="000000"/>
      <w:sz w:val="20"/>
      <w:szCs w:val="20"/>
    </w:rPr>
  </w:style>
  <w:style w:type="paragraph" w:customStyle="1" w:styleId="121">
    <w:name w:val="Revision"/>
    <w:hidden/>
    <w:unhideWhenUsed/>
    <w:qFormat/>
    <w:uiPriority w:val="99"/>
    <w:rPr>
      <w:rFonts w:ascii="Times New Roman" w:hAnsi="Times New Roman" w:eastAsia="宋体" w:cs="Times New Roman"/>
      <w:kern w:val="2"/>
      <w:sz w:val="21"/>
      <w:szCs w:val="24"/>
      <w:lang w:val="en-US" w:eastAsia="zh-CN" w:bidi="ar-SA"/>
    </w:rPr>
  </w:style>
  <w:style w:type="paragraph" w:customStyle="1" w:styleId="122">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8.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2AEB1E-FADD-48FF-B175-E8A8DCFB321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148</Pages>
  <Words>25706</Words>
  <Characters>27807</Characters>
  <Lines>197</Lines>
  <Paragraphs>161</Paragraphs>
  <TotalTime>55</TotalTime>
  <ScaleCrop>false</ScaleCrop>
  <LinksUpToDate>false</LinksUpToDate>
  <CharactersWithSpaces>28521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2024-07-11T04:15:00Z</dcterms:created>
  <dc:creator>island</dc:creator>
  <cp:lastModifiedBy>JSZB</cp:lastModifiedBy>
  <cp:lastPrinted>2023-02-06T07:10:00Z</cp:lastPrinted>
  <dcterms:modified xsi:type="dcterms:W3CDTF">2026-04-03T07:41:41Z</dcterms:modified>
  <dc:title>第五章 单一来源操作规程</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050C77D7A3764D638BC062D9E1A6ABE7_13</vt:lpwstr>
  </property>
  <property fmtid="{D5CDD505-2E9C-101B-9397-08002B2CF9AE}" pid="4" name="KSOTemplateDocerSaveRecord">
    <vt:lpwstr>eyJoZGlkIjoiNjJhZTBhOTY1MjRiM2M0ZDcxZDI5YzAxZDNmYzc4OTMiLCJ1c2VySWQiOiI1NjMyNDY1ODYifQ==</vt:lpwstr>
  </property>
</Properties>
</file>